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E7E0" w14:textId="1F2CA7C7" w:rsidR="00A76E97" w:rsidRDefault="00A32E73" w:rsidP="00A32E73">
      <w:pPr>
        <w:pStyle w:val="Pagedecouverture"/>
        <w:rPr>
          <w:noProof/>
        </w:rPr>
      </w:pPr>
      <w:bookmarkStart w:id="0" w:name="LW_BM_COVERPAGE"/>
      <w:r>
        <w:rPr>
          <w:noProof/>
        </w:rPr>
        <w:pict w14:anchorId="5DE63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0ECCB56-5DA0-4DEB-857F-9DD9CEF86BDB" style="width:455.25pt;height:378.75pt">
            <v:imagedata r:id="rId8" o:title=""/>
          </v:shape>
        </w:pict>
      </w:r>
    </w:p>
    <w:bookmarkEnd w:id="0"/>
    <w:p w14:paraId="622D45A3" w14:textId="03FAF27F" w:rsidR="00A2545B" w:rsidRPr="00A2545B" w:rsidRDefault="00A2545B" w:rsidP="00587E5B">
      <w:pPr>
        <w:rPr>
          <w:noProof/>
        </w:rPr>
        <w:sectPr w:rsidR="00A2545B" w:rsidRPr="00A2545B" w:rsidSect="00A32E7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2C94ACF1" w14:textId="53E8B49F" w:rsidR="00A109E1" w:rsidRPr="00C0330D" w:rsidRDefault="00A109E1" w:rsidP="00AF5CCA">
      <w:pPr>
        <w:pStyle w:val="Heading1"/>
        <w:numPr>
          <w:ilvl w:val="0"/>
          <w:numId w:val="81"/>
        </w:numPr>
        <w:spacing w:before="60" w:after="60"/>
        <w:ind w:left="426" w:hanging="426"/>
        <w:rPr>
          <w:b/>
          <w:noProof/>
          <w:sz w:val="28"/>
          <w:szCs w:val="28"/>
        </w:rPr>
      </w:pPr>
      <w:bookmarkStart w:id="1" w:name="_Toc111380283"/>
      <w:bookmarkStart w:id="2" w:name="_Toc654778250"/>
      <w:bookmarkStart w:id="3" w:name="_Toc414681038"/>
      <w:bookmarkStart w:id="4" w:name="_Toc1599042630"/>
      <w:bookmarkStart w:id="5" w:name="_Toc1505554909"/>
      <w:bookmarkStart w:id="6" w:name="_Toc653498752"/>
      <w:bookmarkStart w:id="7" w:name="_Toc846272315"/>
      <w:bookmarkStart w:id="8" w:name="_Toc2102804072"/>
      <w:bookmarkStart w:id="9" w:name="_Toc647621308"/>
      <w:bookmarkStart w:id="10" w:name="_Toc1132344182"/>
      <w:bookmarkStart w:id="11" w:name="_GoBack"/>
      <w:bookmarkEnd w:id="11"/>
      <w:r>
        <w:rPr>
          <w:b/>
          <w:noProof/>
          <w:sz w:val="28"/>
        </w:rPr>
        <w:lastRenderedPageBreak/>
        <w:t>Uvod</w:t>
      </w:r>
      <w:bookmarkEnd w:id="1"/>
      <w:bookmarkEnd w:id="2"/>
      <w:bookmarkEnd w:id="3"/>
      <w:bookmarkEnd w:id="4"/>
      <w:bookmarkEnd w:id="5"/>
      <w:bookmarkEnd w:id="6"/>
      <w:bookmarkEnd w:id="7"/>
      <w:bookmarkEnd w:id="8"/>
      <w:bookmarkEnd w:id="9"/>
      <w:bookmarkEnd w:id="10"/>
    </w:p>
    <w:p w14:paraId="38CF9653" w14:textId="42D43C58" w:rsidR="009E4B12" w:rsidRDefault="00F5410A" w:rsidP="00434CBA">
      <w:pPr>
        <w:spacing w:before="60" w:line="240" w:lineRule="auto"/>
        <w:jc w:val="both"/>
        <w:rPr>
          <w:noProof/>
        </w:rPr>
      </w:pPr>
      <w:r>
        <w:rPr>
          <w:noProof/>
        </w:rPr>
        <w:t xml:space="preserve">Iz iskustva u proteklih nekoliko godina, posebno pandemije bolesti COVID-19, jasnije je nego ikad prije da </w:t>
      </w:r>
      <w:r>
        <w:rPr>
          <w:b/>
          <w:noProof/>
        </w:rPr>
        <w:t>zdravlje nema granica</w:t>
      </w:r>
      <w:r>
        <w:rPr>
          <w:noProof/>
        </w:rPr>
        <w:t>: ono je globalno opće dobro. Dobrobit i životi građana, blagostanje i stabilnost društava i gospodarstava te održivi razvoj općenito ovise o pristupanju zdravlju iz te perspektive. Globalno zdravlje važan je stup vanjske politike EU-a, ključan sektor u geopolitičkom smislu i središnji element otvorene strateške autonomije EU-a.</w:t>
      </w:r>
    </w:p>
    <w:p w14:paraId="5C45C7B4" w14:textId="69470EA3" w:rsidR="009E4B12" w:rsidRDefault="00F5410A" w:rsidP="00F5410A">
      <w:pPr>
        <w:spacing w:line="240" w:lineRule="auto"/>
        <w:jc w:val="both"/>
        <w:rPr>
          <w:rFonts w:ascii="Calibri" w:eastAsia="Calibri" w:hAnsi="Calibri" w:cs="Calibri"/>
          <w:noProof/>
          <w:color w:val="0D0D0D" w:themeColor="text1" w:themeTint="F2"/>
        </w:rPr>
      </w:pPr>
      <w:r>
        <w:rPr>
          <w:noProof/>
        </w:rPr>
        <w:t>Od posljednje Komunikacije EU-a iz 2010. o ulozi EU-a u globalnom zdravlju</w:t>
      </w:r>
      <w:r>
        <w:rPr>
          <w:noProof/>
          <w:vertAlign w:val="superscript"/>
        </w:rPr>
        <w:footnoteReference w:id="1"/>
      </w:r>
      <w:r>
        <w:rPr>
          <w:noProof/>
        </w:rPr>
        <w:t xml:space="preserve"> stanje u području zdravlja neprestano se mijenja, kao i </w:t>
      </w:r>
      <w:r>
        <w:rPr>
          <w:b/>
          <w:noProof/>
        </w:rPr>
        <w:t>geopolitičko</w:t>
      </w:r>
      <w:r>
        <w:rPr>
          <w:noProof/>
        </w:rPr>
        <w:t xml:space="preserve"> okruženje. </w:t>
      </w:r>
      <w:r>
        <w:rPr>
          <w:noProof/>
          <w:sz w:val="21"/>
        </w:rPr>
        <w:t>U današnje vrijeme na globalno zdravlje posebno utječe trostruka kriza našeg planeta zbog klimatskih promjena, gubitka bioraznolikosti i onečišćenja, a najteže su pogođene najranjivije zemlje i osobe.</w:t>
      </w:r>
      <w:r>
        <w:rPr>
          <w:noProof/>
          <w:color w:val="0D0D0D" w:themeColor="text1" w:themeTint="F2"/>
        </w:rPr>
        <w:t xml:space="preserve"> Istodobno su se pojavile nove mogućnosti povezane s područjima kao što su </w:t>
      </w:r>
      <w:r>
        <w:rPr>
          <w:b/>
          <w:noProof/>
          <w:color w:val="0D0D0D" w:themeColor="text1" w:themeTint="F2"/>
        </w:rPr>
        <w:t>istraživanje</w:t>
      </w:r>
      <w:r>
        <w:rPr>
          <w:noProof/>
          <w:color w:val="0D0D0D" w:themeColor="text1" w:themeTint="F2"/>
        </w:rPr>
        <w:t xml:space="preserve"> ili </w:t>
      </w:r>
      <w:r>
        <w:rPr>
          <w:b/>
          <w:noProof/>
          <w:color w:val="0D0D0D" w:themeColor="text1" w:themeTint="F2"/>
        </w:rPr>
        <w:t>digitalizacija</w:t>
      </w:r>
      <w:r>
        <w:rPr>
          <w:noProof/>
          <w:color w:val="0D0D0D" w:themeColor="text1" w:themeTint="F2"/>
        </w:rPr>
        <w:t xml:space="preserve">. Potrebna je čvrsta </w:t>
      </w:r>
      <w:r>
        <w:rPr>
          <w:b/>
          <w:noProof/>
          <w:color w:val="0D0D0D" w:themeColor="text1" w:themeTint="F2"/>
        </w:rPr>
        <w:t>strategija za globalno zdravlje</w:t>
      </w:r>
      <w:r>
        <w:rPr>
          <w:noProof/>
          <w:color w:val="0D0D0D" w:themeColor="text1" w:themeTint="F2"/>
        </w:rPr>
        <w:t xml:space="preserve"> (dalje u tekstu „strategija”) kako bi se osigurala nova, dosljedna, djelotvorna i usmjerena politika na globalnoj razini.</w:t>
      </w:r>
      <w:r>
        <w:rPr>
          <w:rFonts w:ascii="Calibri" w:hAnsi="Calibri"/>
          <w:noProof/>
          <w:color w:val="0D0D0D" w:themeColor="text1" w:themeTint="F2"/>
        </w:rPr>
        <w:t xml:space="preserve"> </w:t>
      </w:r>
    </w:p>
    <w:p w14:paraId="597DD1EE" w14:textId="77777777" w:rsidR="002733FA" w:rsidRPr="00587E5B" w:rsidRDefault="002733FA" w:rsidP="002733FA">
      <w:pPr>
        <w:spacing w:line="240" w:lineRule="auto"/>
        <w:jc w:val="both"/>
        <w:rPr>
          <w:rFonts w:ascii="Calibri" w:eastAsia="Calibri" w:hAnsi="Calibri" w:cs="Calibri"/>
          <w:noProof/>
          <w:color w:val="0D0D0D" w:themeColor="text1" w:themeTint="F2"/>
        </w:rPr>
      </w:pPr>
      <w:r>
        <w:rPr>
          <w:noProof/>
          <w:color w:val="0D0D0D" w:themeColor="text1" w:themeTint="F2"/>
        </w:rPr>
        <w:t>Budući da je svjetsko stanovništvo upravo prešlo brojku od 8 milijardi, a očekivani životni vijek raste na globalnoj razini, prioriteti bi nam trebali biti zdravlje i dobrobit svih tijekom cijelog života.</w:t>
      </w:r>
    </w:p>
    <w:p w14:paraId="1270E1B4" w14:textId="64F73DB6" w:rsidR="009E4B12" w:rsidRPr="003C7608" w:rsidRDefault="009E4B12" w:rsidP="00F5410A">
      <w:pPr>
        <w:spacing w:line="240" w:lineRule="auto"/>
        <w:jc w:val="both"/>
        <w:rPr>
          <w:rFonts w:ascii="Calibri" w:eastAsia="Calibri" w:hAnsi="Calibri" w:cs="Calibri"/>
          <w:noProof/>
        </w:rPr>
      </w:pPr>
      <w:r>
        <w:rPr>
          <w:rFonts w:ascii="Calibri" w:hAnsi="Calibri"/>
          <w:noProof/>
        </w:rPr>
        <w:t xml:space="preserve">Ova strategija predstavlja vanjsku dimenziju </w:t>
      </w:r>
      <w:r>
        <w:rPr>
          <w:rFonts w:ascii="Calibri" w:hAnsi="Calibri"/>
          <w:b/>
          <w:noProof/>
        </w:rPr>
        <w:t>europske zdravstvene unije</w:t>
      </w:r>
      <w:r>
        <w:rPr>
          <w:rFonts w:ascii="Calibri" w:hAnsi="Calibri"/>
          <w:noProof/>
        </w:rPr>
        <w:t xml:space="preserve">, koja štiti dobrobit Europljana i otpornost njihovih zdravstvenih sustava, te ključnu sastavnicu strategije </w:t>
      </w:r>
      <w:r>
        <w:rPr>
          <w:rFonts w:ascii="Calibri" w:hAnsi="Calibri"/>
          <w:b/>
          <w:noProof/>
        </w:rPr>
        <w:t>Global Gateway</w:t>
      </w:r>
      <w:r>
        <w:rPr>
          <w:rStyle w:val="FootnoteReference"/>
          <w:rFonts w:ascii="Calibri" w:eastAsia="Calibri" w:hAnsi="Calibri" w:cs="Calibri"/>
          <w:b/>
          <w:bCs/>
          <w:noProof/>
          <w:color w:val="0D0D0D" w:themeColor="text1" w:themeTint="F2"/>
        </w:rPr>
        <w:footnoteReference w:id="2"/>
      </w:r>
      <w:r>
        <w:rPr>
          <w:rFonts w:ascii="Calibri" w:hAnsi="Calibri"/>
          <w:noProof/>
        </w:rPr>
        <w:t>, kojom se grade partnerstva ravnopravnih s partnerskim zemljama na temelju zajedničkog preuzimanja odgovornosti.</w:t>
      </w:r>
    </w:p>
    <w:p w14:paraId="5E831C3A" w14:textId="14B95CD7" w:rsidR="00A04144" w:rsidRPr="003C7608" w:rsidRDefault="00F5410A" w:rsidP="00A04144">
      <w:pPr>
        <w:spacing w:line="240" w:lineRule="auto"/>
        <w:jc w:val="both"/>
        <w:rPr>
          <w:rFonts w:ascii="Calibri" w:eastAsia="Calibri" w:hAnsi="Calibri" w:cs="Calibri"/>
          <w:noProof/>
        </w:rPr>
      </w:pPr>
      <w:r>
        <w:rPr>
          <w:rFonts w:ascii="Calibri" w:hAnsi="Calibri"/>
          <w:noProof/>
        </w:rPr>
        <w:t>Vodeća uloga EU-a u borbi protiv pandemije bolesti COVID-19 pokazala je da pristup Tima Europa</w:t>
      </w:r>
      <w:r>
        <w:rPr>
          <w:rFonts w:ascii="Calibri" w:eastAsia="Calibri" w:hAnsi="Calibri" w:cs="Calibri"/>
          <w:b/>
          <w:bCs/>
          <w:noProof/>
          <w:vertAlign w:val="superscript"/>
        </w:rPr>
        <w:footnoteReference w:id="3"/>
      </w:r>
      <w:r>
        <w:rPr>
          <w:rFonts w:ascii="Calibri" w:hAnsi="Calibri"/>
          <w:noProof/>
        </w:rPr>
        <w:t xml:space="preserve"> može znatno doprinijeti globalnim ciljevima (vidjeti okvir A). Glavna je poruka ove strategije da EU namjerava </w:t>
      </w:r>
      <w:r>
        <w:rPr>
          <w:rFonts w:ascii="Calibri" w:hAnsi="Calibri"/>
          <w:b/>
          <w:noProof/>
        </w:rPr>
        <w:t>ponovno potvrditi svoju odgovornost</w:t>
      </w:r>
      <w:r>
        <w:rPr>
          <w:rFonts w:ascii="Calibri" w:hAnsi="Calibri"/>
          <w:noProof/>
        </w:rPr>
        <w:t xml:space="preserve"> i </w:t>
      </w:r>
      <w:r>
        <w:rPr>
          <w:rFonts w:ascii="Calibri" w:hAnsi="Calibri"/>
          <w:b/>
          <w:noProof/>
        </w:rPr>
        <w:t>produbiti svoje vodstvo</w:t>
      </w:r>
      <w:r>
        <w:rPr>
          <w:rFonts w:ascii="Calibri" w:hAnsi="Calibri"/>
          <w:noProof/>
        </w:rPr>
        <w:t xml:space="preserve"> u interesu najviših mogućih zdravstvenih standarda, koji se zasnivaju na </w:t>
      </w:r>
      <w:r>
        <w:rPr>
          <w:rFonts w:ascii="Calibri" w:hAnsi="Calibri"/>
          <w:b/>
          <w:noProof/>
        </w:rPr>
        <w:t>temeljnim vrijednostima</w:t>
      </w:r>
      <w:r>
        <w:rPr>
          <w:rFonts w:ascii="Calibri" w:hAnsi="Calibri"/>
          <w:noProof/>
        </w:rPr>
        <w:t xml:space="preserve">, kao što su solidarnost i pravednost, te </w:t>
      </w:r>
      <w:r>
        <w:rPr>
          <w:rFonts w:ascii="Calibri" w:hAnsi="Calibri"/>
          <w:b/>
          <w:noProof/>
        </w:rPr>
        <w:t>poštovanju ljudskih prava</w:t>
      </w:r>
      <w:r>
        <w:rPr>
          <w:rFonts w:ascii="Calibri" w:hAnsi="Calibri"/>
          <w:noProof/>
        </w:rPr>
        <w:t>.</w:t>
      </w:r>
    </w:p>
    <w:p w14:paraId="751118D1" w14:textId="5D0A6C1C" w:rsidR="00A04144" w:rsidRPr="003C7608" w:rsidRDefault="00A04144" w:rsidP="00A04144">
      <w:pPr>
        <w:spacing w:line="240" w:lineRule="auto"/>
        <w:jc w:val="both"/>
        <w:rPr>
          <w:rFonts w:ascii="Calibri" w:eastAsia="Calibri" w:hAnsi="Calibri" w:cs="Calibri"/>
          <w:noProof/>
        </w:rPr>
      </w:pPr>
      <w:r>
        <w:rPr>
          <w:rFonts w:ascii="Calibri" w:hAnsi="Calibri"/>
          <w:noProof/>
        </w:rPr>
        <w:t xml:space="preserve">Izazovi su veliki. U području globalnog zdravlja </w:t>
      </w:r>
      <w:r>
        <w:rPr>
          <w:rFonts w:ascii="Calibri" w:hAnsi="Calibri"/>
          <w:b/>
          <w:noProof/>
        </w:rPr>
        <w:t>ogroman je broj nedovršenih zadaća</w:t>
      </w:r>
      <w:r>
        <w:rPr>
          <w:rFonts w:ascii="Calibri" w:hAnsi="Calibri"/>
          <w:noProof/>
        </w:rPr>
        <w:t xml:space="preserve"> jer su mnoge zemlje prestale napredovati u postizanju ciljeva univerzalnog zdravlja utvrđenih u </w:t>
      </w:r>
      <w:r>
        <w:rPr>
          <w:rFonts w:ascii="Calibri" w:hAnsi="Calibri"/>
          <w:b/>
          <w:noProof/>
        </w:rPr>
        <w:t>Programu održivog razvoja do 2030. i njegovim ciljevima</w:t>
      </w:r>
      <w:r>
        <w:rPr>
          <w:rStyle w:val="FootnoteReference"/>
          <w:rFonts w:ascii="Calibri" w:eastAsia="Calibri" w:hAnsi="Calibri" w:cs="Calibri"/>
          <w:noProof/>
        </w:rPr>
        <w:footnoteReference w:id="4"/>
      </w:r>
      <w:r>
        <w:rPr>
          <w:rFonts w:ascii="Calibri" w:hAnsi="Calibri"/>
          <w:noProof/>
        </w:rPr>
        <w:t xml:space="preserve">: zajedno su ostvarile samo otprilike četvrtinu onoga što je potrebno za postizanje ciljeva održivog razvoja u području zdravlja do 2030. </w:t>
      </w:r>
      <w:r>
        <w:rPr>
          <w:noProof/>
        </w:rPr>
        <w:t xml:space="preserve">Glavne zarazne bolesti velik su teret za mnoge zemlje, a visoka stopa smrtnosti novorođenčadi i majki te pothranjenost i dalje su među razlozima za zabrinutost. </w:t>
      </w:r>
      <w:r>
        <w:rPr>
          <w:rFonts w:ascii="Calibri" w:hAnsi="Calibri"/>
          <w:noProof/>
        </w:rPr>
        <w:t>Usto treba brzo i temeljito poraditi na globalnoj zdravstvenoj sigurnosti kako bismo postali uspješniji u prevenciji i otporniji u borbi protiv pandemija.</w:t>
      </w:r>
      <w:r>
        <w:rPr>
          <w:noProof/>
        </w:rPr>
        <w:t xml:space="preserve"> </w:t>
      </w:r>
      <w:r>
        <w:rPr>
          <w:rFonts w:ascii="Calibri" w:hAnsi="Calibri"/>
          <w:noProof/>
        </w:rPr>
        <w:t>Visokokvalitetna pripravnost na rizike u zdravstvenom sektoru znatno će doprinijeti otpornosti drugih ključnih sektora.</w:t>
      </w:r>
    </w:p>
    <w:p w14:paraId="7D6EFE04" w14:textId="2BF20F60" w:rsidR="006E752B" w:rsidRPr="003C7608" w:rsidRDefault="006E752B" w:rsidP="00F5410A">
      <w:pPr>
        <w:spacing w:line="240" w:lineRule="auto"/>
        <w:jc w:val="both"/>
        <w:rPr>
          <w:rFonts w:ascii="Calibri" w:eastAsia="Calibri" w:hAnsi="Calibri" w:cs="Calibri"/>
          <w:noProof/>
        </w:rPr>
      </w:pPr>
    </w:p>
    <w:tbl>
      <w:tblPr>
        <w:tblStyle w:val="TableGrid"/>
        <w:tblW w:w="9360" w:type="dxa"/>
        <w:tblLayout w:type="fixed"/>
        <w:tblLook w:val="06A0" w:firstRow="1" w:lastRow="0" w:firstColumn="1" w:lastColumn="0" w:noHBand="1" w:noVBand="1"/>
      </w:tblPr>
      <w:tblGrid>
        <w:gridCol w:w="9360"/>
      </w:tblGrid>
      <w:tr w:rsidR="006E752B" w:rsidRPr="003C7608" w14:paraId="63D0B067" w14:textId="77777777" w:rsidTr="00F91C09">
        <w:trPr>
          <w:trHeight w:val="289"/>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Pr>
          <w:p w14:paraId="58A8EE74" w14:textId="77777777" w:rsidR="006E752B" w:rsidRPr="003C7608" w:rsidRDefault="006E752B" w:rsidP="00F91C09">
            <w:pPr>
              <w:keepNext/>
              <w:jc w:val="both"/>
              <w:rPr>
                <w:rFonts w:ascii="Calibri" w:eastAsia="Calibri" w:hAnsi="Calibri" w:cs="Calibri"/>
                <w:noProof/>
              </w:rPr>
            </w:pPr>
            <w:r>
              <w:rPr>
                <w:rFonts w:ascii="Calibri" w:hAnsi="Calibri"/>
                <w:noProof/>
                <w:color w:val="FFFFFF" w:themeColor="background1"/>
              </w:rPr>
              <w:t>Polje A: Odgovor EU-a na bolest COVID-19 – vodstvo putem pristupa Tima Europa</w:t>
            </w:r>
          </w:p>
        </w:tc>
      </w:tr>
      <w:tr w:rsidR="006E752B" w:rsidRPr="003C7608" w14:paraId="4B7E7136" w14:textId="77777777" w:rsidTr="00F91C09">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0C5E92" w14:textId="602576B9" w:rsidR="006E752B" w:rsidRPr="00780EB0" w:rsidRDefault="006E752B" w:rsidP="00F91C09">
            <w:pPr>
              <w:keepNext/>
              <w:jc w:val="both"/>
              <w:rPr>
                <w:rFonts w:ascii="Calibri" w:eastAsia="Calibri" w:hAnsi="Calibri" w:cs="Calibri"/>
                <w:noProof/>
                <w:sz w:val="20"/>
                <w:szCs w:val="20"/>
              </w:rPr>
            </w:pPr>
            <w:r>
              <w:rPr>
                <w:rFonts w:ascii="Calibri" w:hAnsi="Calibri"/>
                <w:noProof/>
                <w:sz w:val="20"/>
              </w:rPr>
              <w:t xml:space="preserve">EU je imao odlučujuću ulogu u globalnom odgovoru na pandemiju bolesti COVID-19. Pokazivao je solidarnost i pružao potporu u okviru pristupa </w:t>
            </w:r>
            <w:r>
              <w:rPr>
                <w:rFonts w:ascii="Calibri" w:hAnsi="Calibri"/>
                <w:b/>
                <w:noProof/>
                <w:sz w:val="20"/>
              </w:rPr>
              <w:t>Tima Europa</w:t>
            </w:r>
            <w:r>
              <w:rPr>
                <w:rFonts w:ascii="Calibri" w:hAnsi="Calibri"/>
                <w:noProof/>
                <w:sz w:val="20"/>
              </w:rPr>
              <w:t xml:space="preserve"> kako bi pomogao u provedbi globalne kampanje cijepljenja i ponovno izrazio svoju predanost multilateralizmu.</w:t>
            </w:r>
          </w:p>
          <w:p w14:paraId="6D94EA3E" w14:textId="1260E5C5" w:rsidR="006E752B" w:rsidRPr="00780EB0" w:rsidRDefault="006E752B" w:rsidP="00F91C09">
            <w:pPr>
              <w:jc w:val="both"/>
              <w:rPr>
                <w:rFonts w:ascii="Calibri" w:eastAsia="Calibri" w:hAnsi="Calibri" w:cs="Calibri"/>
                <w:noProof/>
                <w:sz w:val="20"/>
                <w:szCs w:val="20"/>
              </w:rPr>
            </w:pPr>
            <w:r>
              <w:rPr>
                <w:rFonts w:ascii="Calibri" w:hAnsi="Calibri"/>
                <w:b/>
                <w:noProof/>
                <w:sz w:val="20"/>
              </w:rPr>
              <w:t>Vodstvo</w:t>
            </w:r>
            <w:r>
              <w:rPr>
                <w:rFonts w:ascii="Calibri" w:hAnsi="Calibri"/>
                <w:noProof/>
                <w:sz w:val="20"/>
              </w:rPr>
              <w:t>: EU je bio pokretačka snaga donošenja Rimske deklaracije skupine G-20</w:t>
            </w:r>
            <w:r>
              <w:rPr>
                <w:rStyle w:val="FootnoteReference"/>
                <w:rFonts w:ascii="Calibri" w:eastAsia="Calibri" w:hAnsi="Calibri" w:cs="Calibri"/>
                <w:noProof/>
                <w:sz w:val="20"/>
                <w:szCs w:val="20"/>
              </w:rPr>
              <w:footnoteReference w:id="5"/>
            </w:r>
            <w:r>
              <w:rPr>
                <w:rFonts w:ascii="Calibri" w:hAnsi="Calibri"/>
                <w:noProof/>
                <w:sz w:val="20"/>
              </w:rPr>
              <w:t xml:space="preserve"> – međunarodno dogovorenih načela djelovanja za suzbijanje i sprečavanje pandemija te pripravnost i odgovor u slučaju njihove pojave. Uz druge ključne globalne dionike EU je imao vodeću ulogu u organizaciji prve globalne donatorske konferencije protiv bolesti COVID-19 i uspostavi Akceleratora pristupa alatima za borbu protiv bolesti COVID-19 (Akcelerator ACT), jednog od glavnih instrumenata za potporu razvoju i pravednoj distribuciji testova, lijekova i cjepiva zemljama s nižim dohotkom. Zajedno s državama članicama EU je izdvojio više od 7 milijardi EUR za doprinos Akceleratoru ACT, uključujući njegov stup za cjepiva (COVAX).</w:t>
            </w:r>
          </w:p>
          <w:p w14:paraId="04EB3940" w14:textId="2A5B639A" w:rsidR="006E752B" w:rsidRPr="00780EB0" w:rsidRDefault="006E752B" w:rsidP="00F91C09">
            <w:pPr>
              <w:keepNext/>
              <w:jc w:val="both"/>
              <w:rPr>
                <w:rFonts w:ascii="Calibri" w:eastAsia="Calibri" w:hAnsi="Calibri" w:cs="Calibri"/>
                <w:noProof/>
                <w:sz w:val="20"/>
                <w:szCs w:val="20"/>
              </w:rPr>
            </w:pPr>
            <w:r>
              <w:rPr>
                <w:rFonts w:ascii="Calibri" w:hAnsi="Calibri"/>
                <w:b/>
                <w:noProof/>
                <w:sz w:val="20"/>
              </w:rPr>
              <w:t>Suradnja</w:t>
            </w:r>
            <w:r>
              <w:rPr>
                <w:rFonts w:ascii="Calibri" w:hAnsi="Calibri"/>
                <w:noProof/>
                <w:sz w:val="20"/>
              </w:rPr>
              <w:t>: EU pojačava suradnju, primjerice uvođenjem EU digitalne COVID potvrde, pionirskog rješenja u svijetu: do listopada 2022. 49 zemalja izvan EU-a, uključujući sedam zemalja afričkog kontinenta, povezalo se s pristupnikom za EU digitalnu COVID potvrdu, što ga čini najvećim međusobno povezanim sustavom digitalnih COVID potvrda na svijetu. Zahvaljujući solidarnosti EU-a preko Mehanizma Unije za civilnu zaštitu mobiliziran je niz medicinskih timova za hitne slučajeve te su trećim zemljama dostavljene medicinska oprema i potrepštine</w:t>
            </w:r>
            <w:r>
              <w:rPr>
                <w:rStyle w:val="FootnoteReference"/>
                <w:rFonts w:ascii="Calibri" w:eastAsia="Calibri" w:hAnsi="Calibri" w:cs="Calibri"/>
                <w:noProof/>
                <w:sz w:val="20"/>
                <w:szCs w:val="20"/>
              </w:rPr>
              <w:footnoteReference w:id="6"/>
            </w:r>
            <w:r>
              <w:rPr>
                <w:rFonts w:ascii="Calibri" w:hAnsi="Calibri"/>
                <w:noProof/>
                <w:sz w:val="20"/>
              </w:rPr>
              <w:t xml:space="preserve">. EU je bio jedan od glavnih pokretača COVAX-a te se sve više zauzima za suradnju u području dijagnostike i terapeutike putem Akceleratora ACT, međunarodnih organizacija i istraživačkih ustanova. </w:t>
            </w:r>
          </w:p>
          <w:p w14:paraId="4EFFEEF1" w14:textId="5E725BE9" w:rsidR="006E752B" w:rsidRPr="00C0330D" w:rsidRDefault="006E752B" w:rsidP="00B42523">
            <w:pPr>
              <w:keepNext/>
              <w:jc w:val="both"/>
              <w:rPr>
                <w:rFonts w:ascii="Calibri" w:eastAsia="Calibri" w:hAnsi="Calibri" w:cs="Calibri"/>
                <w:noProof/>
                <w:sz w:val="20"/>
                <w:szCs w:val="20"/>
              </w:rPr>
            </w:pPr>
            <w:r>
              <w:rPr>
                <w:rFonts w:ascii="Calibri" w:hAnsi="Calibri"/>
                <w:b/>
                <w:noProof/>
                <w:sz w:val="20"/>
              </w:rPr>
              <w:t>Resursi</w:t>
            </w:r>
            <w:r>
              <w:rPr>
                <w:rFonts w:ascii="Calibri" w:hAnsi="Calibri"/>
                <w:noProof/>
                <w:sz w:val="20"/>
              </w:rPr>
              <w:t>: EU je udružio svoje resurse kako bi bili što korisniji u odgovoru na pandemiju bolesti COVID-19. Od izbijanja te bolesti EU, njegove države članice i europske financijske institucije kao Tim Europa dosad su izdvojili 53,7 milijardi EUR za potporu 140 zemalja, koja je obuhvaćala hitan odgovor na humanitarne potrebe, jačanje zdravstvenih, vodoopskrbnih i sanitarnih sustava te ublažavanje socijalnih i gospodarskih posljedica pandemije. Način rada Tima Europa pokazao se uspješnim i vrijednim te je uveden i u druge globalne prioritete. EU je pojačao istraživanja, posebno u području razvoja cjepiva i lijekova, stvorio poticajno okruženje za proizvodnju i distribuciju četiri milijarde doza cjepiva protiv bolesti COVID-19 u EU-u i u svijetu te podržao dodatno uvođenje cjepiva</w:t>
            </w:r>
            <w:r>
              <w:rPr>
                <w:rStyle w:val="FootnoteReference"/>
                <w:rFonts w:ascii="Calibri" w:eastAsia="Calibri" w:hAnsi="Calibri" w:cs="Calibri"/>
                <w:noProof/>
                <w:sz w:val="20"/>
                <w:szCs w:val="20"/>
              </w:rPr>
              <w:footnoteReference w:id="7"/>
            </w:r>
            <w:r>
              <w:rPr>
                <w:rFonts w:ascii="Calibri" w:hAnsi="Calibri"/>
                <w:noProof/>
                <w:sz w:val="20"/>
              </w:rPr>
              <w:t>. Europska komisija i države članice EU-a brzo su uspostavile i novu europsku pričuvu resursa, uključujući zalihe medicinskih proizvoda, za odgovor na zdravstvene krize</w:t>
            </w:r>
            <w:r>
              <w:rPr>
                <w:rStyle w:val="FootnoteReference"/>
                <w:rFonts w:ascii="Calibri" w:eastAsia="Calibri" w:hAnsi="Calibri" w:cs="Calibri"/>
                <w:noProof/>
                <w:sz w:val="20"/>
                <w:szCs w:val="20"/>
              </w:rPr>
              <w:footnoteReference w:id="8"/>
            </w:r>
            <w:r>
              <w:rPr>
                <w:rFonts w:ascii="Calibri" w:hAnsi="Calibri"/>
                <w:noProof/>
                <w:sz w:val="20"/>
              </w:rPr>
              <w:t xml:space="preserve">. </w:t>
            </w:r>
          </w:p>
        </w:tc>
      </w:tr>
    </w:tbl>
    <w:p w14:paraId="17BEC85A" w14:textId="77777777" w:rsidR="00B9220C" w:rsidRPr="003C7608" w:rsidRDefault="00B9220C" w:rsidP="00F5410A">
      <w:pPr>
        <w:spacing w:line="240" w:lineRule="auto"/>
        <w:jc w:val="both"/>
        <w:rPr>
          <w:rFonts w:ascii="Calibri" w:eastAsia="Calibri" w:hAnsi="Calibri" w:cs="Calibri"/>
          <w:noProof/>
        </w:rPr>
      </w:pPr>
    </w:p>
    <w:p w14:paraId="212D24C4" w14:textId="14831B3F" w:rsidR="009204B5" w:rsidRPr="00780EB0" w:rsidRDefault="00004ED2" w:rsidP="00D24F89">
      <w:pPr>
        <w:spacing w:line="240" w:lineRule="auto"/>
        <w:jc w:val="both"/>
        <w:rPr>
          <w:rFonts w:ascii="Calibri" w:eastAsia="Calibri" w:hAnsi="Calibri" w:cs="Calibri"/>
          <w:b/>
          <w:bCs/>
          <w:noProof/>
        </w:rPr>
      </w:pPr>
      <w:r>
        <w:rPr>
          <w:rFonts w:ascii="Calibri" w:hAnsi="Calibri"/>
          <w:noProof/>
        </w:rPr>
        <w:t xml:space="preserve">Kako bi u svijetu koji se konstantno mijenja ljudi bili što zdraviji, potreban je </w:t>
      </w:r>
      <w:r>
        <w:rPr>
          <w:rFonts w:ascii="Calibri" w:hAnsi="Calibri"/>
          <w:b/>
          <w:noProof/>
        </w:rPr>
        <w:t>drukčiji pristup</w:t>
      </w:r>
      <w:r>
        <w:rPr>
          <w:rFonts w:ascii="Calibri" w:hAnsi="Calibri"/>
          <w:noProof/>
        </w:rPr>
        <w:t xml:space="preserve">, počevši od onoga </w:t>
      </w:r>
      <w:r>
        <w:rPr>
          <w:rFonts w:ascii="Calibri" w:hAnsi="Calibri"/>
          <w:b/>
          <w:noProof/>
        </w:rPr>
        <w:t>što</w:t>
      </w:r>
      <w:r>
        <w:rPr>
          <w:rFonts w:ascii="Calibri" w:hAnsi="Calibri"/>
          <w:noProof/>
        </w:rPr>
        <w:t xml:space="preserve"> se mora učiniti. U tu je svrhu strategija usmjerena na </w:t>
      </w:r>
      <w:r>
        <w:rPr>
          <w:rFonts w:ascii="Calibri" w:hAnsi="Calibri"/>
          <w:b/>
          <w:noProof/>
        </w:rPr>
        <w:t>tri ključna prioriteta</w:t>
      </w:r>
      <w:r>
        <w:rPr>
          <w:rFonts w:ascii="Calibri" w:hAnsi="Calibri"/>
          <w:noProof/>
        </w:rPr>
        <w:t>.</w:t>
      </w:r>
    </w:p>
    <w:p w14:paraId="3BE43943" w14:textId="7388C56C" w:rsidR="009204B5" w:rsidRPr="004B3269" w:rsidRDefault="004B3269" w:rsidP="00D24F89">
      <w:pPr>
        <w:spacing w:line="240" w:lineRule="auto"/>
        <w:jc w:val="both"/>
        <w:rPr>
          <w:rFonts w:ascii="Calibri" w:eastAsia="Calibri" w:hAnsi="Calibri" w:cs="Calibri"/>
          <w:noProof/>
        </w:rPr>
      </w:pPr>
      <w:r>
        <w:rPr>
          <w:rFonts w:ascii="Calibri" w:hAnsi="Calibri"/>
          <w:noProof/>
        </w:rPr>
        <w:t xml:space="preserve">Kao temelj, prva su dva ključna prioriteta: </w:t>
      </w:r>
      <w:r>
        <w:rPr>
          <w:rFonts w:ascii="Calibri" w:hAnsi="Calibri"/>
          <w:b/>
          <w:noProof/>
        </w:rPr>
        <w:t>ulaganje u dobrobit svih ljudi i postizanje univerzalnog zdravstvenog osiguranja s jačim zdravstvenim sustavima</w:t>
      </w:r>
      <w:r>
        <w:rPr>
          <w:rFonts w:ascii="Calibri" w:hAnsi="Calibri"/>
          <w:noProof/>
        </w:rPr>
        <w:t>. Kako bismo ostvarili ta dva cilja, moramo preusmjeriti pozornost jer se situacija znatno razlikuje od 2010.:</w:t>
      </w:r>
    </w:p>
    <w:p w14:paraId="6763E3AF" w14:textId="654D4E76" w:rsidR="009204B5" w:rsidRPr="003C7608" w:rsidRDefault="00F455F1" w:rsidP="009125DB">
      <w:pPr>
        <w:pStyle w:val="ListParagraph"/>
        <w:numPr>
          <w:ilvl w:val="0"/>
          <w:numId w:val="57"/>
        </w:numPr>
        <w:spacing w:line="240" w:lineRule="auto"/>
        <w:ind w:left="426" w:hanging="284"/>
        <w:jc w:val="both"/>
        <w:rPr>
          <w:rFonts w:ascii="Calibri" w:eastAsia="Calibri" w:hAnsi="Calibri" w:cs="Calibri"/>
          <w:noProof/>
        </w:rPr>
      </w:pPr>
      <w:r>
        <w:rPr>
          <w:rFonts w:ascii="Calibri" w:hAnsi="Calibri"/>
          <w:noProof/>
        </w:rPr>
        <w:t xml:space="preserve">osim tradicionalnih temeljnih uzroka lošeg zdravlja, kao što su siromaštvo i socijalne nejednakosti, integriranim pristupom moraju se rješavati i </w:t>
      </w:r>
      <w:r>
        <w:rPr>
          <w:rFonts w:ascii="Calibri" w:hAnsi="Calibri"/>
          <w:b/>
          <w:noProof/>
        </w:rPr>
        <w:t>drugi uzroci lošeg zdravlja</w:t>
      </w:r>
      <w:r>
        <w:rPr>
          <w:rFonts w:ascii="Calibri" w:hAnsi="Calibri"/>
          <w:noProof/>
        </w:rPr>
        <w:t>, kao što su klimatske promjene, degradacija okoliša, humanitarne krize ili nesigurnost opskrbe hranom, dodatno pogoršani krizama kao što je agresivni rat Rusije protiv Ukrajine. Stoga je bitno mobilizirati širok raspon politika za rad na programu za globalno zdravlje,</w:t>
      </w:r>
    </w:p>
    <w:p w14:paraId="0A6485B9" w14:textId="73D1A9C8" w:rsidR="00004ED2" w:rsidRPr="003C7608" w:rsidRDefault="007103C2" w:rsidP="009125DB">
      <w:pPr>
        <w:pStyle w:val="ListParagraph"/>
        <w:numPr>
          <w:ilvl w:val="0"/>
          <w:numId w:val="57"/>
        </w:numPr>
        <w:spacing w:line="240" w:lineRule="auto"/>
        <w:ind w:left="426" w:hanging="284"/>
        <w:jc w:val="both"/>
        <w:rPr>
          <w:rFonts w:ascii="Calibri" w:eastAsia="Calibri" w:hAnsi="Calibri" w:cs="Calibri"/>
          <w:noProof/>
        </w:rPr>
      </w:pPr>
      <w:r>
        <w:rPr>
          <w:rFonts w:ascii="Calibri" w:hAnsi="Calibri"/>
          <w:noProof/>
        </w:rPr>
        <w:t xml:space="preserve">prioritet moraju biti </w:t>
      </w:r>
      <w:r>
        <w:rPr>
          <w:rFonts w:ascii="Calibri" w:hAnsi="Calibri"/>
          <w:b/>
          <w:noProof/>
        </w:rPr>
        <w:t>problemi koji postaju sve izraženiji</w:t>
      </w:r>
      <w:r>
        <w:rPr>
          <w:rFonts w:ascii="Calibri" w:hAnsi="Calibri"/>
          <w:noProof/>
        </w:rPr>
        <w:t xml:space="preserve">, kao što su antimikrobna otpornost i mentalno zdravlje, i </w:t>
      </w:r>
      <w:r>
        <w:rPr>
          <w:rFonts w:ascii="Calibri" w:hAnsi="Calibri"/>
          <w:b/>
          <w:noProof/>
        </w:rPr>
        <w:t>promjenjivi problemi</w:t>
      </w:r>
      <w:r>
        <w:rPr>
          <w:rFonts w:ascii="Calibri" w:hAnsi="Calibri"/>
          <w:noProof/>
        </w:rPr>
        <w:t xml:space="preserve"> zdravstvenih sustava i sustava skrbi, uključujući neravnoteže u radnoj snazi i manjak resursa, a ujedno treba maksimalno iskoristiti nove mogućnosti koje su u područje zdravlja donijeli snažni pokretači kao što su istraživanje i digitalizacija, uključujući upotrebu umjetne inteligencije.</w:t>
      </w:r>
    </w:p>
    <w:p w14:paraId="72E022F4" w14:textId="7354B24E" w:rsidR="00F5410A" w:rsidRPr="003C7608" w:rsidRDefault="00004ED2" w:rsidP="00F5410A">
      <w:pPr>
        <w:spacing w:line="240" w:lineRule="auto"/>
        <w:jc w:val="both"/>
        <w:rPr>
          <w:rFonts w:ascii="Calibri" w:hAnsi="Calibri"/>
          <w:noProof/>
        </w:rPr>
      </w:pPr>
      <w:r>
        <w:rPr>
          <w:rFonts w:ascii="Calibri" w:hAnsi="Calibri"/>
          <w:noProof/>
        </w:rPr>
        <w:t xml:space="preserve">Treći je ključni prioritet </w:t>
      </w:r>
      <w:r>
        <w:rPr>
          <w:rFonts w:ascii="Calibri" w:hAnsi="Calibri"/>
          <w:b/>
          <w:noProof/>
        </w:rPr>
        <w:t>borba protiv sadašnjih i budućih prijetnji zdravlju</w:t>
      </w:r>
      <w:r>
        <w:rPr>
          <w:rFonts w:ascii="Calibri" w:hAnsi="Calibri"/>
          <w:noProof/>
        </w:rPr>
        <w:t xml:space="preserve">, za koju je također potreban novi fokus. U tu se svrhu poziva na </w:t>
      </w:r>
      <w:bookmarkStart w:id="12" w:name="_Hlk118388852"/>
      <w:r>
        <w:rPr>
          <w:rFonts w:ascii="Calibri" w:hAnsi="Calibri"/>
          <w:noProof/>
        </w:rPr>
        <w:t xml:space="preserve">veću jednakost u pristupu cjepivima i drugim protumjerama; </w:t>
      </w:r>
      <w:bookmarkEnd w:id="12"/>
      <w:r>
        <w:rPr>
          <w:rFonts w:ascii="Calibri" w:hAnsi="Calibri"/>
          <w:noProof/>
        </w:rPr>
        <w:t>na pristup „jedno zdravlje”</w:t>
      </w:r>
      <w:r>
        <w:rPr>
          <w:rFonts w:ascii="Calibri" w:hAnsi="Calibri"/>
          <w:noProof/>
          <w:vertAlign w:val="superscript"/>
        </w:rPr>
        <w:footnoteReference w:id="9"/>
      </w:r>
      <w:r>
        <w:rPr>
          <w:rFonts w:ascii="Calibri" w:hAnsi="Calibri"/>
          <w:noProof/>
        </w:rPr>
        <w:t>, kojim se uzima u obzir složena međusobna povezanost čovječanstva, klime, okoliša i životinja; na djelotvorniji nadzor bolesti u svijetu; te na čvršća međunarodna pravila i mehanizme suradnje u području zdravlja.</w:t>
      </w:r>
    </w:p>
    <w:p w14:paraId="09C57A19" w14:textId="605C0225" w:rsidR="00004ED2" w:rsidRPr="003C7608" w:rsidRDefault="00F5410A" w:rsidP="00334723">
      <w:pPr>
        <w:spacing w:line="240" w:lineRule="auto"/>
        <w:jc w:val="both"/>
        <w:rPr>
          <w:rFonts w:ascii="Calibri" w:hAnsi="Calibri"/>
          <w:noProof/>
        </w:rPr>
      </w:pPr>
      <w:r>
        <w:rPr>
          <w:rFonts w:ascii="Calibri" w:hAnsi="Calibri"/>
          <w:noProof/>
        </w:rPr>
        <w:t xml:space="preserve">Osim što je potrebno iznova utvrditi što treba učiniti, mora se dogoditi </w:t>
      </w:r>
      <w:r>
        <w:rPr>
          <w:rFonts w:ascii="Calibri" w:hAnsi="Calibri"/>
          <w:b/>
          <w:noProof/>
        </w:rPr>
        <w:t>jednako korjenita promjena</w:t>
      </w:r>
      <w:r>
        <w:rPr>
          <w:rFonts w:ascii="Calibri" w:hAnsi="Calibri"/>
          <w:noProof/>
        </w:rPr>
        <w:t xml:space="preserve"> u načinu </w:t>
      </w:r>
      <w:r>
        <w:rPr>
          <w:rFonts w:ascii="Calibri" w:hAnsi="Calibri"/>
          <w:b/>
          <w:noProof/>
        </w:rPr>
        <w:t>kako</w:t>
      </w:r>
      <w:r>
        <w:rPr>
          <w:rFonts w:ascii="Calibri" w:hAnsi="Calibri"/>
          <w:noProof/>
        </w:rPr>
        <w:t xml:space="preserve"> to učiniti. Na pragu smo novoga globalnog zdravstvenog poretka, a EU mora doprinijeti njegovu oblikovanju strateški razrađenijim i djelotvornijim angažmanom. </w:t>
      </w:r>
    </w:p>
    <w:p w14:paraId="26D03083" w14:textId="634DF697" w:rsidR="00AB33F4" w:rsidRPr="003C7608" w:rsidRDefault="00F455F1" w:rsidP="00334723">
      <w:pPr>
        <w:spacing w:line="240" w:lineRule="auto"/>
        <w:jc w:val="both"/>
        <w:rPr>
          <w:noProof/>
        </w:rPr>
      </w:pPr>
      <w:r>
        <w:rPr>
          <w:rFonts w:ascii="Calibri" w:hAnsi="Calibri"/>
          <w:noProof/>
        </w:rPr>
        <w:t xml:space="preserve">EU ima jedinstven potencijal za poticanje međunarodne suradnje. </w:t>
      </w:r>
      <w:r>
        <w:rPr>
          <w:rFonts w:ascii="Calibri" w:hAnsi="Calibri"/>
          <w:b/>
          <w:noProof/>
        </w:rPr>
        <w:t>Proširenje partnerstava</w:t>
      </w:r>
      <w:r>
        <w:rPr>
          <w:rFonts w:ascii="Calibri" w:hAnsi="Calibri"/>
          <w:noProof/>
        </w:rPr>
        <w:t xml:space="preserve"> s nizom različitih relevantnih dionika od iznimne je važnosti jer se time </w:t>
      </w:r>
      <w:r>
        <w:rPr>
          <w:rFonts w:ascii="Calibri" w:hAnsi="Calibri"/>
          <w:b/>
          <w:noProof/>
        </w:rPr>
        <w:t>promiče suverenitet zdravstva</w:t>
      </w:r>
      <w:r>
        <w:rPr>
          <w:rFonts w:ascii="Calibri" w:hAnsi="Calibri"/>
          <w:noProof/>
        </w:rPr>
        <w:t xml:space="preserve"> </w:t>
      </w:r>
      <w:r>
        <w:rPr>
          <w:rFonts w:ascii="Calibri" w:hAnsi="Calibri"/>
          <w:b/>
          <w:noProof/>
        </w:rPr>
        <w:t>u cilju veće otpornosti i otvorene strateške autonomije</w:t>
      </w:r>
      <w:r>
        <w:rPr>
          <w:rFonts w:ascii="Calibri" w:hAnsi="Calibri"/>
          <w:noProof/>
        </w:rPr>
        <w:t>, uz potporu političke predanosti i odgovornosti partnera. Naš odnos s međunarodnim partnerima mora se voditi zajedničkim prioritetima u skladu s ovom strategijom.</w:t>
      </w:r>
    </w:p>
    <w:p w14:paraId="5100293A" w14:textId="17C1D5D6" w:rsidR="00334723" w:rsidRPr="003C7608" w:rsidRDefault="00334723" w:rsidP="00334723">
      <w:pPr>
        <w:spacing w:line="240" w:lineRule="auto"/>
        <w:jc w:val="both"/>
        <w:rPr>
          <w:rFonts w:ascii="Calibri" w:eastAsia="Calibri" w:hAnsi="Calibri" w:cs="Calibri"/>
          <w:noProof/>
        </w:rPr>
      </w:pPr>
      <w:r>
        <w:rPr>
          <w:rFonts w:ascii="Calibri" w:hAnsi="Calibri"/>
          <w:noProof/>
        </w:rPr>
        <w:t xml:space="preserve">Kako bi se ojačala uloga EU-a kao snažnog i uspješnog aktera, </w:t>
      </w:r>
      <w:r>
        <w:rPr>
          <w:rFonts w:ascii="Calibri" w:hAnsi="Calibri"/>
          <w:b/>
          <w:noProof/>
        </w:rPr>
        <w:t>Komisija i države članice</w:t>
      </w:r>
      <w:r>
        <w:rPr>
          <w:rFonts w:ascii="Calibri" w:hAnsi="Calibri"/>
          <w:noProof/>
        </w:rPr>
        <w:t xml:space="preserve"> osigurat će sinergiju između nacionalnih i EU-ovih strategija za globalno zdravlje i jače nego ikad prije surađivati u okviru </w:t>
      </w:r>
      <w:r>
        <w:rPr>
          <w:rFonts w:ascii="Calibri" w:hAnsi="Calibri"/>
          <w:b/>
          <w:noProof/>
        </w:rPr>
        <w:t>pristupa Tima Europa</w:t>
      </w:r>
      <w:r>
        <w:rPr>
          <w:rFonts w:ascii="Calibri" w:hAnsi="Calibri"/>
          <w:noProof/>
        </w:rPr>
        <w:t xml:space="preserve">, s novim mehanizmima za bolju koordinaciju politika, mjera i financiranja, nastupajući i djelujući zajednički kako bi učinak bio što veći. </w:t>
      </w:r>
    </w:p>
    <w:p w14:paraId="562F0104" w14:textId="4B371019" w:rsidR="00161AEA" w:rsidRPr="003C7608" w:rsidRDefault="00161AEA" w:rsidP="00F5410A">
      <w:pPr>
        <w:spacing w:line="240" w:lineRule="auto"/>
        <w:jc w:val="both"/>
        <w:rPr>
          <w:rFonts w:ascii="Calibri" w:eastAsia="Calibri" w:hAnsi="Calibri" w:cs="Calibri"/>
          <w:noProof/>
        </w:rPr>
      </w:pPr>
      <w:r>
        <w:rPr>
          <w:rFonts w:ascii="Calibri" w:hAnsi="Calibri"/>
          <w:noProof/>
        </w:rPr>
        <w:t xml:space="preserve">Za </w:t>
      </w:r>
      <w:r>
        <w:rPr>
          <w:rFonts w:ascii="Calibri" w:hAnsi="Calibri"/>
          <w:b/>
          <w:noProof/>
        </w:rPr>
        <w:t>upravljanje na globalnoj razini</w:t>
      </w:r>
      <w:r>
        <w:rPr>
          <w:rFonts w:ascii="Calibri" w:hAnsi="Calibri"/>
          <w:noProof/>
        </w:rPr>
        <w:t xml:space="preserve"> bit će potrebno usredotočiti se na održavanje učinkovitog i prilagodljivog multilateralnog sustava, kojemu je u središtu Svjetska zdravstvena organizacija (</w:t>
      </w:r>
      <w:r>
        <w:rPr>
          <w:rFonts w:ascii="Calibri" w:hAnsi="Calibri"/>
          <w:b/>
          <w:noProof/>
        </w:rPr>
        <w:t>SZO</w:t>
      </w:r>
      <w:r>
        <w:rPr>
          <w:rFonts w:ascii="Calibri" w:hAnsi="Calibri"/>
          <w:noProof/>
        </w:rPr>
        <w:t xml:space="preserve">), a odlikuju ga održivo financiranje, odgovornost i djelotvornost. Konsenzus bi trebalo postići produbljivanjem suradnje u okviru skupina G-7 i G-20 te s drugim globalnim, regionalnim i bilateralnim partnerima. EU bi trebao poticati ključni proces </w:t>
      </w:r>
      <w:r>
        <w:rPr>
          <w:rFonts w:ascii="Calibri" w:hAnsi="Calibri"/>
          <w:b/>
          <w:noProof/>
        </w:rPr>
        <w:t>uklanjanja postojećih nedostataka</w:t>
      </w:r>
      <w:r>
        <w:rPr>
          <w:rFonts w:ascii="Calibri" w:hAnsi="Calibri"/>
          <w:noProof/>
        </w:rPr>
        <w:t xml:space="preserve"> u upravljanju na globalnoj razini kako bi se izbjeglo udvostručavanje i uskladilo djelovanje. Za to će biti potrebna bliska suradnja s</w:t>
      </w:r>
      <w:r>
        <w:rPr>
          <w:noProof/>
        </w:rPr>
        <w:t xml:space="preserve"> privatnim sektorom, filantropskim organizacijama, civilnim društvom </w:t>
      </w:r>
      <w:r>
        <w:rPr>
          <w:rFonts w:ascii="Calibri" w:hAnsi="Calibri"/>
          <w:noProof/>
        </w:rPr>
        <w:t xml:space="preserve">i drugim dionicima kako bi se poduprli ciljevi strategije. </w:t>
      </w:r>
    </w:p>
    <w:p w14:paraId="1098438F" w14:textId="70646662" w:rsidR="00161AEA" w:rsidRPr="003C7608" w:rsidRDefault="009F0F6B" w:rsidP="00161AEA">
      <w:pPr>
        <w:spacing w:line="240" w:lineRule="auto"/>
        <w:jc w:val="both"/>
        <w:rPr>
          <w:rFonts w:ascii="Calibri" w:eastAsia="Calibri" w:hAnsi="Calibri" w:cs="Calibri"/>
          <w:bCs/>
          <w:noProof/>
        </w:rPr>
      </w:pPr>
      <w:r>
        <w:rPr>
          <w:rFonts w:ascii="Calibri" w:hAnsi="Calibri"/>
          <w:b/>
          <w:noProof/>
        </w:rPr>
        <w:t>Djelotvorno financiranje</w:t>
      </w:r>
      <w:r>
        <w:rPr>
          <w:rFonts w:ascii="Calibri" w:hAnsi="Calibri"/>
          <w:noProof/>
        </w:rPr>
        <w:t xml:space="preserve"> još je jedan ključan element strategije. EU i njegove države članice zajedno su među najvećim ulagačima u globalno zdravlje, bilo da je riječ o globalnim dobrima (financiranje međunarodnih organizacija i inicijativa za globalno zdravlje), razvojnoj pomoći ili humanitarnoj pomoći</w:t>
      </w:r>
      <w:r>
        <w:rPr>
          <w:rFonts w:ascii="Calibri" w:eastAsia="Calibri" w:hAnsi="Calibri" w:cs="Calibri"/>
          <w:noProof/>
          <w:vertAlign w:val="superscript"/>
        </w:rPr>
        <w:footnoteReference w:id="10"/>
      </w:r>
      <w:r>
        <w:rPr>
          <w:rFonts w:ascii="Calibri" w:hAnsi="Calibri"/>
          <w:noProof/>
        </w:rPr>
        <w:t xml:space="preserve">. Za postizanje ciljeva ove strategije bit će potrebna velika politička predanost na globalnoj razini, kao i znatni resursi. Financijski doprinos EU-a slijedit će </w:t>
      </w:r>
      <w:r>
        <w:rPr>
          <w:rFonts w:ascii="Calibri" w:hAnsi="Calibri"/>
          <w:b/>
          <w:noProof/>
        </w:rPr>
        <w:t>novi pristup</w:t>
      </w:r>
      <w:r>
        <w:rPr>
          <w:rFonts w:ascii="Calibri" w:hAnsi="Calibri"/>
          <w:noProof/>
        </w:rPr>
        <w:t xml:space="preserve"> koji uključuje inovativno financiranje, zajedničko ulaganje partnera i udruživanje s drugim međunarodnim akterima, a utjecaj EU-a u oblikovanju programa mora odgovarati financijskoj potpori koju pruža kao pobornik globalnog zdravlja.</w:t>
      </w:r>
    </w:p>
    <w:p w14:paraId="093CFC64" w14:textId="27D5596C" w:rsidR="009B17F7" w:rsidRPr="003C7608" w:rsidDel="00DB4E94" w:rsidRDefault="009B17F7" w:rsidP="009B17F7">
      <w:pPr>
        <w:spacing w:line="240" w:lineRule="auto"/>
        <w:jc w:val="both"/>
        <w:rPr>
          <w:rFonts w:ascii="Calibri" w:eastAsia="Calibri" w:hAnsi="Calibri" w:cs="Calibri"/>
          <w:noProof/>
          <w:sz w:val="24"/>
          <w:szCs w:val="24"/>
        </w:rPr>
      </w:pPr>
      <w:r>
        <w:rPr>
          <w:rFonts w:ascii="Calibri" w:hAnsi="Calibri"/>
          <w:noProof/>
        </w:rPr>
        <w:t xml:space="preserve">Naravno, uspjeh će ovisiti i o </w:t>
      </w:r>
      <w:r>
        <w:rPr>
          <w:rFonts w:ascii="Calibri" w:hAnsi="Calibri"/>
          <w:b/>
          <w:noProof/>
        </w:rPr>
        <w:t>doprinosu naših partnera</w:t>
      </w:r>
      <w:r>
        <w:rPr>
          <w:rFonts w:ascii="Calibri" w:hAnsi="Calibri"/>
          <w:noProof/>
        </w:rPr>
        <w:t xml:space="preserve">, ali EU će preuzeti svoju punu </w:t>
      </w:r>
      <w:r>
        <w:rPr>
          <w:rFonts w:ascii="Calibri" w:hAnsi="Calibri"/>
          <w:b/>
          <w:noProof/>
        </w:rPr>
        <w:t>odgovornost</w:t>
      </w:r>
      <w:r>
        <w:rPr>
          <w:rFonts w:ascii="Calibri" w:hAnsi="Calibri"/>
          <w:noProof/>
        </w:rPr>
        <w:t>.</w:t>
      </w:r>
      <w:r>
        <w:rPr>
          <w:rFonts w:ascii="Calibri" w:hAnsi="Calibri"/>
          <w:b/>
          <w:noProof/>
        </w:rPr>
        <w:t xml:space="preserve"> </w:t>
      </w:r>
      <w:r>
        <w:rPr>
          <w:rFonts w:ascii="Calibri" w:hAnsi="Calibri"/>
          <w:noProof/>
        </w:rPr>
        <w:t xml:space="preserve">To uključuje i poboljšanje pripravnosti i odgovora u području zdravstva </w:t>
      </w:r>
      <w:r>
        <w:rPr>
          <w:rFonts w:ascii="Calibri" w:hAnsi="Calibri"/>
          <w:b/>
          <w:noProof/>
        </w:rPr>
        <w:t>na svojem području</w:t>
      </w:r>
      <w:r>
        <w:rPr>
          <w:rFonts w:ascii="Calibri" w:hAnsi="Calibri"/>
          <w:noProof/>
        </w:rPr>
        <w:t>, u okviru europske zdravstvene unije, jer razvoj stanja u zdravstvu u EU-u utječe na partnere u svijetu i obrnuto. U EU-u će se nastaviti razvijati univerzalno zdravstveno osiguranje i kvalitetan okvir EU-a za zdravstvenu sigurnost provedbom ključnih inicijativa koje su u tijeku ili u pripremi. To uključuje europski plan za borbu protiv raka</w:t>
      </w:r>
      <w:r>
        <w:rPr>
          <w:rStyle w:val="FootnoteReference"/>
          <w:rFonts w:ascii="Calibri" w:eastAsia="Calibri" w:hAnsi="Calibri" w:cs="Calibri"/>
          <w:noProof/>
        </w:rPr>
        <w:footnoteReference w:id="11"/>
      </w:r>
      <w:r>
        <w:rPr>
          <w:rFonts w:ascii="Calibri" w:hAnsi="Calibri"/>
          <w:noProof/>
        </w:rPr>
        <w:t>, farmaceutsku strategiju</w:t>
      </w:r>
      <w:r>
        <w:rPr>
          <w:rStyle w:val="FootnoteReference"/>
          <w:rFonts w:ascii="Calibri" w:eastAsia="Calibri" w:hAnsi="Calibri" w:cs="Calibri"/>
          <w:noProof/>
        </w:rPr>
        <w:footnoteReference w:id="12"/>
      </w:r>
      <w:r>
        <w:rPr>
          <w:rFonts w:ascii="Calibri" w:hAnsi="Calibri"/>
          <w:noProof/>
        </w:rPr>
        <w:t xml:space="preserve"> i planirani europski prostor za zdravstvene podatke</w:t>
      </w:r>
      <w:r>
        <w:rPr>
          <w:rStyle w:val="FootnoteReference"/>
          <w:rFonts w:ascii="Calibri" w:eastAsia="Calibri" w:hAnsi="Calibri" w:cs="Calibri"/>
          <w:noProof/>
        </w:rPr>
        <w:footnoteReference w:id="13"/>
      </w:r>
      <w:r>
        <w:rPr>
          <w:rFonts w:ascii="Calibri" w:hAnsi="Calibri"/>
          <w:noProof/>
        </w:rPr>
        <w:t>. Sveobuhvatnija borba protiv prijetnji zdravlju bit će moguća zahvaljujući provedbi nove uredbe o prekograničnim prijetnjama zdravlju</w:t>
      </w:r>
      <w:r>
        <w:rPr>
          <w:rStyle w:val="FootnoteReference"/>
          <w:rFonts w:ascii="Calibri" w:eastAsia="Calibri" w:hAnsi="Calibri" w:cs="Calibri"/>
          <w:noProof/>
        </w:rPr>
        <w:footnoteReference w:id="14"/>
      </w:r>
      <w:r>
        <w:rPr>
          <w:rFonts w:ascii="Calibri" w:hAnsi="Calibri"/>
          <w:noProof/>
        </w:rPr>
        <w:t>, pojačanim mandatima Europskog centra za sprečavanje i kontrolu bolesti i Europske agencije za lijekove, radu novog Tijela za pripravnost i odgovor na zdravstvene krize kojim se nastoji poboljšati pripravnost i odgovor u okviru medicinskih protumjera</w:t>
      </w:r>
      <w:r>
        <w:rPr>
          <w:rStyle w:val="FootnoteReference"/>
          <w:rFonts w:ascii="Calibri" w:eastAsia="Calibri" w:hAnsi="Calibri" w:cs="Calibri"/>
          <w:noProof/>
        </w:rPr>
        <w:footnoteReference w:id="15"/>
      </w:r>
      <w:r>
        <w:rPr>
          <w:rFonts w:ascii="Calibri" w:hAnsi="Calibri"/>
          <w:noProof/>
        </w:rPr>
        <w:t xml:space="preserve"> te mreži „jedno zdravlje” za djelovanje protiv svih patogenih prijetnji s integriranim nadzorom</w:t>
      </w:r>
      <w:r>
        <w:rPr>
          <w:rStyle w:val="FootnoteReference"/>
          <w:rFonts w:ascii="Calibri" w:eastAsia="Calibri" w:hAnsi="Calibri" w:cs="Calibri"/>
          <w:noProof/>
        </w:rPr>
        <w:footnoteReference w:id="16"/>
      </w:r>
      <w:r>
        <w:rPr>
          <w:rFonts w:ascii="Calibri" w:hAnsi="Calibri"/>
          <w:noProof/>
        </w:rPr>
        <w:t>. Bolje pružanje zdravstvene skrbi, otvorena strateška autonomija u vrijednosnim lancima povezanima sa zdravljem i odlučno djelovanje u pogledu antimikrobne otpornosti također će biti čvrsti temelji za položaj EU-a u svijetu. Nastavit ćemo podupirati države članice u provedbi zdravstvenih reformi i ulaganja u okviru Mehanizma za oporavak i otpornost. Provodit ćemo europski zeleni plan</w:t>
      </w:r>
      <w:r>
        <w:rPr>
          <w:rStyle w:val="FootnoteReference"/>
          <w:rFonts w:ascii="Calibri" w:eastAsia="Calibri" w:hAnsi="Calibri" w:cs="Calibri"/>
          <w:noProof/>
        </w:rPr>
        <w:footnoteReference w:id="17"/>
      </w:r>
      <w:r>
        <w:rPr>
          <w:rFonts w:ascii="Calibri" w:hAnsi="Calibri"/>
          <w:noProof/>
        </w:rPr>
        <w:t>, a posebno Akcijski plan za postizanje nulte onečišćenja</w:t>
      </w:r>
      <w:r>
        <w:rPr>
          <w:rStyle w:val="FootnoteReference"/>
          <w:rFonts w:ascii="Calibri" w:eastAsia="Calibri" w:hAnsi="Calibri" w:cs="Calibri"/>
          <w:noProof/>
        </w:rPr>
        <w:footnoteReference w:id="18"/>
      </w:r>
      <w:r>
        <w:rPr>
          <w:rFonts w:ascii="Calibri" w:hAnsi="Calibri"/>
          <w:noProof/>
        </w:rPr>
        <w:t xml:space="preserve"> i Strategiju održivosti u području kemikalija kako bismo uklonili temeljne uzroke lošeg zdravlja u EU-u. Sav taj rad zajedno s ovom novom strategijom činit će neprekidan kontinuum za zaštitu zdravlja u EU-u i cijelom svijetu. </w:t>
      </w:r>
    </w:p>
    <w:p w14:paraId="7ECD04CD" w14:textId="1F29C89C" w:rsidR="00F5410A" w:rsidRPr="003C7608" w:rsidRDefault="00A42934" w:rsidP="00267D9A">
      <w:pPr>
        <w:jc w:val="both"/>
        <w:rPr>
          <w:rFonts w:ascii="Calibri" w:eastAsia="Calibri" w:hAnsi="Calibri" w:cs="Calibri"/>
          <w:noProof/>
        </w:rPr>
      </w:pPr>
      <w:r>
        <w:rPr>
          <w:rFonts w:ascii="Calibri" w:hAnsi="Calibri"/>
          <w:b/>
          <w:noProof/>
        </w:rPr>
        <w:t>Strategija</w:t>
      </w:r>
      <w:r>
        <w:rPr>
          <w:rFonts w:ascii="Calibri" w:hAnsi="Calibri"/>
          <w:noProof/>
        </w:rPr>
        <w:t xml:space="preserve"> nudi program za razdoblje do </w:t>
      </w:r>
      <w:r>
        <w:rPr>
          <w:rFonts w:ascii="Calibri" w:hAnsi="Calibri"/>
          <w:b/>
          <w:noProof/>
        </w:rPr>
        <w:t>2030.</w:t>
      </w:r>
      <w:r>
        <w:rPr>
          <w:noProof/>
        </w:rPr>
        <w:t xml:space="preserve"> </w:t>
      </w:r>
      <w:r>
        <w:rPr>
          <w:rFonts w:ascii="Calibri" w:hAnsi="Calibri"/>
          <w:noProof/>
        </w:rPr>
        <w:t xml:space="preserve">U njoj se utvrđuju </w:t>
      </w:r>
      <w:r>
        <w:rPr>
          <w:rFonts w:ascii="Calibri" w:hAnsi="Calibri"/>
          <w:b/>
          <w:noProof/>
        </w:rPr>
        <w:t>tri prioriteta politike</w:t>
      </w:r>
      <w:r>
        <w:rPr>
          <w:rFonts w:ascii="Calibri" w:hAnsi="Calibri"/>
          <w:noProof/>
        </w:rPr>
        <w:t xml:space="preserve">, navodi se </w:t>
      </w:r>
      <w:r>
        <w:rPr>
          <w:rFonts w:ascii="Calibri" w:hAnsi="Calibri"/>
          <w:b/>
          <w:noProof/>
        </w:rPr>
        <w:t>20 vodećih načela</w:t>
      </w:r>
      <w:r>
        <w:rPr>
          <w:rFonts w:ascii="Calibri" w:hAnsi="Calibri"/>
          <w:noProof/>
        </w:rPr>
        <w:t xml:space="preserve"> za razvoj globalnog zdravlja, određuju se konkretni </w:t>
      </w:r>
      <w:r>
        <w:rPr>
          <w:rFonts w:ascii="Calibri" w:hAnsi="Calibri"/>
          <w:b/>
          <w:noProof/>
        </w:rPr>
        <w:t>smjerovi djelovanja</w:t>
      </w:r>
      <w:r>
        <w:rPr>
          <w:rFonts w:ascii="Calibri" w:hAnsi="Calibri"/>
          <w:noProof/>
        </w:rPr>
        <w:t xml:space="preserve"> kako bi se ta načela primjenjivala u praksi te se pruža novi </w:t>
      </w:r>
      <w:r>
        <w:rPr>
          <w:rFonts w:ascii="Calibri" w:hAnsi="Calibri"/>
          <w:b/>
          <w:noProof/>
        </w:rPr>
        <w:t>okvir za praćenje</w:t>
      </w:r>
      <w:r>
        <w:rPr>
          <w:rFonts w:ascii="Calibri" w:hAnsi="Calibri"/>
          <w:noProof/>
        </w:rPr>
        <w:t xml:space="preserve"> za procjenu djelotvornosti i učinka politika i financiranja EU-a. Opisuje se što će Komisija poduzeti i na što poziva države članice, oboje strogo u okviru njihovih nadležnosti i institucijskih uloga kako su predviđene Ugovorima</w:t>
      </w:r>
      <w:r>
        <w:rPr>
          <w:rFonts w:ascii="Calibri" w:eastAsia="Calibri" w:hAnsi="Calibri" w:cs="Calibri"/>
          <w:noProof/>
          <w:vertAlign w:val="superscript"/>
        </w:rPr>
        <w:footnoteReference w:id="19"/>
      </w:r>
      <w:r>
        <w:rPr>
          <w:rFonts w:ascii="Calibri" w:hAnsi="Calibri"/>
          <w:noProof/>
        </w:rPr>
        <w:t xml:space="preserve">. Kako bi se bolje predočile predstojeće mjere, u Prilogu 1. navode se neki od ključnih projekata na globalnoj, regionalnoj i nacionalnoj razini na kojima se ova strategija temelji. </w:t>
      </w:r>
    </w:p>
    <w:p w14:paraId="25996416" w14:textId="31AAF98F" w:rsidR="00FE3BBE" w:rsidRPr="003C7608" w:rsidRDefault="00FE3BBE" w:rsidP="00267D9A">
      <w:pPr>
        <w:spacing w:line="240" w:lineRule="auto"/>
        <w:jc w:val="both"/>
        <w:rPr>
          <w:rFonts w:ascii="Calibri" w:eastAsia="Calibri" w:hAnsi="Calibri" w:cs="Calibri"/>
          <w:noProof/>
        </w:rPr>
      </w:pPr>
      <w:r>
        <w:rPr>
          <w:rFonts w:ascii="Calibri" w:hAnsi="Calibri"/>
          <w:noProof/>
        </w:rPr>
        <w:t xml:space="preserve">Strategija se temelji na </w:t>
      </w:r>
      <w:r>
        <w:rPr>
          <w:rFonts w:ascii="Calibri" w:hAnsi="Calibri"/>
          <w:b/>
          <w:noProof/>
        </w:rPr>
        <w:t>važnom doprinosu</w:t>
      </w:r>
      <w:r>
        <w:rPr>
          <w:rFonts w:ascii="Calibri" w:hAnsi="Calibri"/>
          <w:noProof/>
        </w:rPr>
        <w:t xml:space="preserve"> Europskog parlamenta, uzastopnih predsjedništava Vijeća, zdravstvene strategije civilnog društva u sjeni iz 2020.</w:t>
      </w:r>
      <w:r>
        <w:rPr>
          <w:rStyle w:val="FootnoteReference"/>
          <w:rFonts w:ascii="Calibri" w:eastAsia="Calibri" w:hAnsi="Calibri" w:cs="Calibri"/>
          <w:noProof/>
        </w:rPr>
        <w:footnoteReference w:id="20"/>
      </w:r>
      <w:r>
        <w:rPr>
          <w:rFonts w:ascii="Calibri" w:hAnsi="Calibri"/>
          <w:noProof/>
        </w:rPr>
        <w:t xml:space="preserve"> i drugih ključnih dionika, uključujući doprinose zaprimljene tijekom opsežnog javnog savjetovanja. Trebalo bi je čitati zajedno s prvim </w:t>
      </w:r>
      <w:r>
        <w:rPr>
          <w:rFonts w:ascii="Calibri" w:hAnsi="Calibri"/>
          <w:b/>
          <w:noProof/>
        </w:rPr>
        <w:t>Izvješćem o stanju pripravnosti u području zdravlja</w:t>
      </w:r>
      <w:r>
        <w:rPr>
          <w:rFonts w:ascii="Calibri" w:hAnsi="Calibri"/>
          <w:noProof/>
        </w:rPr>
        <w:t>, koje se objavljuje usporedno s njom</w:t>
      </w:r>
      <w:r>
        <w:rPr>
          <w:rStyle w:val="FootnoteReference"/>
          <w:rFonts w:ascii="Calibri" w:eastAsia="Calibri" w:hAnsi="Calibri" w:cs="Calibri"/>
          <w:noProof/>
        </w:rPr>
        <w:footnoteReference w:id="21"/>
      </w:r>
      <w:r>
        <w:rPr>
          <w:rFonts w:ascii="Calibri" w:hAnsi="Calibri"/>
          <w:noProof/>
        </w:rPr>
        <w:t>.</w:t>
      </w:r>
    </w:p>
    <w:p w14:paraId="63C51B92" w14:textId="0734AA70" w:rsidR="00A109E1" w:rsidRPr="00C0330D" w:rsidRDefault="00EC5D52" w:rsidP="00AF5CCA">
      <w:pPr>
        <w:pStyle w:val="Heading1"/>
        <w:numPr>
          <w:ilvl w:val="0"/>
          <w:numId w:val="80"/>
        </w:numPr>
        <w:spacing w:before="60" w:after="60"/>
        <w:ind w:left="426" w:hanging="426"/>
        <w:rPr>
          <w:b/>
          <w:noProof/>
          <w:sz w:val="28"/>
          <w:szCs w:val="28"/>
        </w:rPr>
      </w:pPr>
      <w:r>
        <w:rPr>
          <w:b/>
          <w:noProof/>
          <w:sz w:val="28"/>
        </w:rPr>
        <w:t>Prioriteti EU-a za globalno zdravlje</w:t>
      </w:r>
    </w:p>
    <w:p w14:paraId="1E3BCCB5" w14:textId="7681ABD8" w:rsidR="00513C3F" w:rsidRDefault="00FA0EA1" w:rsidP="00513C3F">
      <w:pPr>
        <w:spacing w:before="60" w:after="60" w:line="240" w:lineRule="auto"/>
        <w:jc w:val="both"/>
        <w:rPr>
          <w:rFonts w:eastAsia="Calibri" w:cstheme="minorHAnsi"/>
          <w:noProof/>
        </w:rPr>
      </w:pPr>
      <w:r>
        <w:rPr>
          <w:rFonts w:ascii="Calibri" w:hAnsi="Calibri"/>
          <w:noProof/>
        </w:rPr>
        <w:t>Strategijom se ponovno potvrđuje predanost ciljevima održivog razvoja i Europskom konsenzusu o razvoju</w:t>
      </w:r>
      <w:r>
        <w:rPr>
          <w:rStyle w:val="FootnoteReference"/>
          <w:rFonts w:ascii="Calibri" w:eastAsia="Calibri" w:hAnsi="Calibri" w:cs="Calibri"/>
          <w:noProof/>
        </w:rPr>
        <w:footnoteReference w:id="22"/>
      </w:r>
      <w:r>
        <w:rPr>
          <w:rFonts w:ascii="Calibri" w:hAnsi="Calibri"/>
          <w:noProof/>
        </w:rPr>
        <w:t xml:space="preserve"> te djelovanju, posebno u područjima koja su temelj dobrog zdravlja. </w:t>
      </w:r>
      <w:r>
        <w:rPr>
          <w:noProof/>
        </w:rPr>
        <w:t xml:space="preserve">Kako bi se osigurao uspjeh u tom nastojanju, predlaže se nov pristup koji se temelji na ključnim prioritetima. </w:t>
      </w:r>
    </w:p>
    <w:p w14:paraId="59130ADF" w14:textId="69668CFE" w:rsidR="00A109E1" w:rsidRPr="00513C3F" w:rsidRDefault="00FA0EA1" w:rsidP="00513C3F">
      <w:pPr>
        <w:spacing w:before="60" w:after="60" w:line="240" w:lineRule="auto"/>
        <w:jc w:val="both"/>
        <w:rPr>
          <w:rFonts w:eastAsia="Calibri" w:cstheme="minorHAnsi"/>
          <w:noProof/>
        </w:rPr>
      </w:pPr>
      <w:r>
        <w:rPr>
          <w:rFonts w:ascii="Calibri" w:hAnsi="Calibri"/>
          <w:noProof/>
        </w:rPr>
        <w:t>Komisija će stoga usmjeriti svoj rad na tri međusobno povezana prioriteta</w:t>
      </w:r>
      <w:r>
        <w:rPr>
          <w:rStyle w:val="FootnoteReference"/>
          <w:rFonts w:ascii="Calibri" w:eastAsia="Calibri" w:hAnsi="Calibri" w:cs="Calibri"/>
          <w:noProof/>
        </w:rPr>
        <w:footnoteReference w:id="23"/>
      </w:r>
      <w:r>
        <w:rPr>
          <w:rFonts w:ascii="Calibri" w:hAnsi="Calibri"/>
          <w:noProof/>
        </w:rPr>
        <w:t xml:space="preserve">, na što poziva i države članice: </w:t>
      </w:r>
    </w:p>
    <w:p w14:paraId="4A950545" w14:textId="581CA267" w:rsidR="00A109E1" w:rsidRPr="003C7608" w:rsidRDefault="00A109E1" w:rsidP="00876D3A">
      <w:pPr>
        <w:spacing w:line="240" w:lineRule="auto"/>
        <w:jc w:val="both"/>
        <w:rPr>
          <w:rFonts w:ascii="Calibri" w:eastAsia="Calibri" w:hAnsi="Calibri" w:cs="Calibri"/>
          <w:b/>
          <w:noProof/>
        </w:rPr>
      </w:pPr>
      <w:r>
        <w:rPr>
          <w:rFonts w:ascii="Calibri" w:hAnsi="Calibri"/>
          <w:b/>
          <w:noProof/>
        </w:rPr>
        <w:t>1. osigurati bolje zdravlje i dobrobit ljudi tijekom cijelog života;</w:t>
      </w:r>
    </w:p>
    <w:p w14:paraId="51F8165C" w14:textId="02D17ECC" w:rsidR="00A109E1" w:rsidRPr="003C7608" w:rsidRDefault="00A109E1" w:rsidP="00876D3A">
      <w:pPr>
        <w:spacing w:line="240" w:lineRule="auto"/>
        <w:jc w:val="both"/>
        <w:rPr>
          <w:rFonts w:ascii="Calibri" w:eastAsia="Calibri" w:hAnsi="Calibri" w:cs="Calibri"/>
          <w:b/>
          <w:noProof/>
          <w:color w:val="000000" w:themeColor="text1"/>
        </w:rPr>
      </w:pPr>
      <w:r>
        <w:rPr>
          <w:rFonts w:ascii="Calibri" w:hAnsi="Calibri"/>
          <w:b/>
          <w:noProof/>
        </w:rPr>
        <w:t>2. ojačati zdravstvene sustave i promicati univerzalno zdravstveno osiguranje;</w:t>
      </w:r>
      <w:r>
        <w:rPr>
          <w:rFonts w:ascii="Calibri" w:hAnsi="Calibri"/>
          <w:b/>
          <w:noProof/>
          <w:color w:val="000000" w:themeColor="text1"/>
        </w:rPr>
        <w:t xml:space="preserve"> i </w:t>
      </w:r>
    </w:p>
    <w:p w14:paraId="5A221B30" w14:textId="4B8E2CF5" w:rsidR="00FA0EA1" w:rsidRPr="003C7608" w:rsidRDefault="00A109E1" w:rsidP="00876D3A">
      <w:pPr>
        <w:spacing w:line="240" w:lineRule="auto"/>
        <w:jc w:val="both"/>
        <w:rPr>
          <w:rFonts w:ascii="Calibri" w:eastAsia="Calibri" w:hAnsi="Calibri" w:cs="Calibri"/>
          <w:b/>
          <w:noProof/>
        </w:rPr>
      </w:pPr>
      <w:r>
        <w:rPr>
          <w:rFonts w:ascii="Calibri" w:hAnsi="Calibri"/>
          <w:b/>
          <w:noProof/>
          <w:color w:val="000000" w:themeColor="text1"/>
        </w:rPr>
        <w:t>3. sprečavati i suzbijati prijetnje zdravlju, uključujući pandemije, primjenom pristupa „jedno zdravlje”.</w:t>
      </w:r>
    </w:p>
    <w:p w14:paraId="5825402E" w14:textId="54D39EBD" w:rsidR="00A109E1" w:rsidRPr="00C0330D" w:rsidRDefault="00A109E1" w:rsidP="00445866">
      <w:pPr>
        <w:pStyle w:val="Heading2"/>
        <w:spacing w:before="80" w:after="80"/>
        <w:rPr>
          <w:rFonts w:eastAsia="Calibri Light"/>
          <w:b/>
          <w:noProof/>
        </w:rPr>
      </w:pPr>
      <w:r>
        <w:rPr>
          <w:b/>
          <w:noProof/>
        </w:rPr>
        <w:t>2.1. Osiguravanje boljeg zdravlja i dobrobiti ljudi tijekom cijelog života</w:t>
      </w:r>
    </w:p>
    <w:p w14:paraId="74199A69" w14:textId="6696CB14" w:rsidR="00FA0EA1" w:rsidRPr="003C7608" w:rsidRDefault="00A109E1" w:rsidP="00445866">
      <w:pPr>
        <w:spacing w:before="80" w:after="80" w:line="240" w:lineRule="auto"/>
        <w:jc w:val="both"/>
        <w:rPr>
          <w:rFonts w:ascii="Calibri" w:eastAsia="Calibri" w:hAnsi="Calibri" w:cs="Calibri"/>
          <w:noProof/>
          <w:color w:val="000000" w:themeColor="text1"/>
        </w:rPr>
      </w:pPr>
      <w:r>
        <w:rPr>
          <w:rStyle w:val="normaltextrun"/>
          <w:rFonts w:ascii="Calibri" w:hAnsi="Calibri"/>
          <w:noProof/>
        </w:rPr>
        <w:t>EU će koncentrirati svoju kolektivnu snagu i surađivati sa zemljama kako bi se na globalnoj razini ostvarili</w:t>
      </w:r>
      <w:r>
        <w:rPr>
          <w:rFonts w:ascii="Calibri" w:hAnsi="Calibri"/>
          <w:noProof/>
        </w:rPr>
        <w:t xml:space="preserve"> </w:t>
      </w:r>
      <w:r>
        <w:rPr>
          <w:rFonts w:ascii="Calibri" w:hAnsi="Calibri"/>
          <w:b/>
          <w:noProof/>
        </w:rPr>
        <w:t>ambiciozni ciljevi održivog razvoja povezani sa zdravljem</w:t>
      </w:r>
      <w:r>
        <w:rPr>
          <w:rFonts w:ascii="Calibri" w:hAnsi="Calibri"/>
          <w:noProof/>
        </w:rPr>
        <w:t>, posebno cilj br. 3 (osigurati zdravlje svima i promicati dobrobit u svakoj životnoj dobi), cilj br. 5 (postići rodnu ravnopravnost) i cilj br. 10 (smanjiti nejednakosti unutar zemalja i među zemljama).</w:t>
      </w:r>
      <w:r>
        <w:rPr>
          <w:rFonts w:ascii="Calibri" w:hAnsi="Calibri"/>
          <w:noProof/>
          <w:color w:val="000000" w:themeColor="text1"/>
        </w:rPr>
        <w:t xml:space="preserve"> </w:t>
      </w:r>
    </w:p>
    <w:p w14:paraId="7361FD5A" w14:textId="3B4D277B" w:rsidR="001D18C9" w:rsidRDefault="001D18C9" w:rsidP="00A13400">
      <w:pPr>
        <w:spacing w:line="240" w:lineRule="auto"/>
        <w:jc w:val="both"/>
        <w:rPr>
          <w:rStyle w:val="normaltextrun"/>
          <w:rFonts w:ascii="Calibri" w:hAnsi="Calibri" w:cs="Calibri"/>
          <w:noProof/>
        </w:rPr>
      </w:pPr>
      <w:r>
        <w:rPr>
          <w:rStyle w:val="normaltextrun"/>
          <w:rFonts w:ascii="Calibri" w:hAnsi="Calibri"/>
          <w:noProof/>
        </w:rPr>
        <w:t xml:space="preserve">U tu će svrhu Komisija slijediti </w:t>
      </w:r>
      <w:r>
        <w:rPr>
          <w:rStyle w:val="normaltextrun"/>
          <w:rFonts w:ascii="Calibri" w:hAnsi="Calibri"/>
          <w:b/>
          <w:noProof/>
          <w:u w:val="single"/>
        </w:rPr>
        <w:t>vodeća načela</w:t>
      </w:r>
      <w:r>
        <w:rPr>
          <w:rStyle w:val="normaltextrun"/>
          <w:rFonts w:ascii="Calibri" w:hAnsi="Calibri"/>
          <w:noProof/>
        </w:rPr>
        <w:t xml:space="preserve">, na što poziva i države članice: </w:t>
      </w:r>
    </w:p>
    <w:p w14:paraId="7AD863FB" w14:textId="3ED4554F" w:rsidR="00B74C7B" w:rsidRPr="006C349C" w:rsidRDefault="00B74C7B" w:rsidP="00A13400">
      <w:pPr>
        <w:spacing w:line="240" w:lineRule="auto"/>
        <w:jc w:val="both"/>
        <w:rPr>
          <w:rFonts w:ascii="Times New Roman" w:eastAsiaTheme="minorEastAsia" w:hAnsi="Times New Roman" w:cs="Times New Roman"/>
          <w:b/>
          <w:bCs/>
          <w:i/>
          <w:iCs/>
          <w:noProof/>
          <w:color w:val="002060"/>
          <w:sz w:val="24"/>
        </w:rPr>
      </w:pPr>
      <w:bookmarkStart w:id="13" w:name="_Hlk117809051"/>
      <w:r>
        <w:rPr>
          <w:rFonts w:ascii="Times New Roman" w:hAnsi="Times New Roman"/>
          <w:b/>
          <w:i/>
          <w:noProof/>
          <w:color w:val="002060"/>
          <w:sz w:val="24"/>
        </w:rPr>
        <w:t xml:space="preserve">1. vodeće načelo: </w:t>
      </w:r>
      <w:bookmarkEnd w:id="13"/>
      <w:r>
        <w:rPr>
          <w:rFonts w:ascii="Times New Roman" w:hAnsi="Times New Roman"/>
          <w:b/>
          <w:i/>
          <w:noProof/>
          <w:color w:val="002060"/>
          <w:sz w:val="24"/>
        </w:rPr>
        <w:t>kao prioritet odrediti uklanjanje temeljnih uzroka lošeg zdravlja, posvećujući posebnu pozornost pravima žena i djevojčica te ranjivim skupinama stanovništva i skupinama u nepovoljnom položaju</w:t>
      </w:r>
    </w:p>
    <w:p w14:paraId="059383AC" w14:textId="071E1B83" w:rsidR="00824718" w:rsidRPr="003C7608" w:rsidRDefault="00004ED2" w:rsidP="00A62EA6">
      <w:pPr>
        <w:spacing w:line="240" w:lineRule="auto"/>
        <w:jc w:val="both"/>
        <w:rPr>
          <w:rFonts w:ascii="Calibri" w:eastAsia="Calibri" w:hAnsi="Calibri" w:cs="Calibri"/>
          <w:noProof/>
          <w:color w:val="000000" w:themeColor="text1"/>
        </w:rPr>
      </w:pPr>
      <w:r>
        <w:rPr>
          <w:rFonts w:ascii="Calibri" w:hAnsi="Calibri"/>
          <w:noProof/>
          <w:color w:val="000000" w:themeColor="text1"/>
        </w:rPr>
        <w:t xml:space="preserve">Rad na postizanju boljeg zdravlja tradicionalno je bio usmjeren na borbu protiv određenih bolesti, što se mora i nastaviti. Međutim, ako se ne uklone temeljni uzroci lošeg zdravlja, zbog kojih su ljudi podložni bolestima, i dalje će obolijevati široke skupine stanovništva, posebno one najranjivije. </w:t>
      </w:r>
      <w:r>
        <w:rPr>
          <w:rFonts w:ascii="Calibri" w:hAnsi="Calibri"/>
          <w:noProof/>
        </w:rPr>
        <w:t xml:space="preserve">Stoga će se u okviru strategije uvesti nešto novo – </w:t>
      </w:r>
      <w:r>
        <w:rPr>
          <w:rFonts w:ascii="Calibri" w:hAnsi="Calibri"/>
          <w:b/>
          <w:noProof/>
        </w:rPr>
        <w:t>prioritetno će se posvetiti pozornost glavnim gospodarskim, socijalnim i okolišnim uzrocima zdravlja i bolesti</w:t>
      </w:r>
      <w:r>
        <w:rPr>
          <w:rFonts w:ascii="Calibri" w:hAnsi="Calibri"/>
          <w:noProof/>
        </w:rPr>
        <w:t xml:space="preserve"> – uključujući siromaštvo i diskriminaciju, dob, prehranu i zdravu prehranu, socijalnu zaštitu, obrazovanje, skrb, vodu, sanitarne uvjete i higijenu, zdravlje na radu – te područjima kao što su onečišćenje zdravih ekosustava, kontakt s kemikalijama ili otpadom te prijetnje sigurnosti opskrbe energijom.</w:t>
      </w:r>
      <w:r>
        <w:rPr>
          <w:rFonts w:ascii="Calibri" w:hAnsi="Calibri"/>
          <w:noProof/>
          <w:color w:val="000000" w:themeColor="text1"/>
        </w:rPr>
        <w:t xml:space="preserve"> Za to će biti potreban i integrirani pristup „zdravlje u svim politikama” (vidjeti 3. odjeljak).</w:t>
      </w:r>
    </w:p>
    <w:p w14:paraId="7B922366" w14:textId="77777777" w:rsidR="007F123C" w:rsidRDefault="00DB4E94" w:rsidP="00B24C6C">
      <w:pPr>
        <w:spacing w:line="240" w:lineRule="auto"/>
        <w:jc w:val="both"/>
        <w:rPr>
          <w:rFonts w:ascii="Calibri" w:eastAsia="Calibri" w:hAnsi="Calibri" w:cs="Calibri"/>
          <w:noProof/>
          <w:color w:val="000000" w:themeColor="text1"/>
        </w:rPr>
      </w:pPr>
      <w:r>
        <w:rPr>
          <w:rFonts w:ascii="Calibri" w:hAnsi="Calibri"/>
          <w:noProof/>
          <w:color w:val="000000" w:themeColor="text1"/>
        </w:rPr>
        <w:t xml:space="preserve">Tijekom provedbe ove strategije zadržat će se pristup utemeljen na </w:t>
      </w:r>
      <w:r>
        <w:rPr>
          <w:rFonts w:ascii="Calibri" w:hAnsi="Calibri"/>
          <w:b/>
          <w:noProof/>
          <w:color w:val="000000" w:themeColor="text1"/>
        </w:rPr>
        <w:t>ljudskim pravima</w:t>
      </w:r>
      <w:r>
        <w:rPr>
          <w:rFonts w:ascii="Calibri" w:hAnsi="Calibri"/>
          <w:noProof/>
          <w:color w:val="000000" w:themeColor="text1"/>
        </w:rPr>
        <w:t xml:space="preserve"> kojim se nikoga ne zapostavlja. To uključuje i poseban naglasak na spolnom i reproduktivnom zdravlju i pravima. </w:t>
      </w:r>
    </w:p>
    <w:p w14:paraId="779EA7BE" w14:textId="707CB755" w:rsidR="00B74C7B" w:rsidRPr="006C349C" w:rsidRDefault="00B74C7B" w:rsidP="00B24C6C">
      <w:pPr>
        <w:spacing w:line="240" w:lineRule="auto"/>
        <w:jc w:val="both"/>
        <w:rPr>
          <w:rFonts w:ascii="Times New Roman" w:eastAsiaTheme="minorEastAsia" w:hAnsi="Times New Roman" w:cs="Times New Roman"/>
          <w:b/>
          <w:bCs/>
          <w:i/>
          <w:iCs/>
          <w:noProof/>
          <w:color w:val="002060"/>
          <w:sz w:val="24"/>
        </w:rPr>
      </w:pPr>
      <w:r>
        <w:rPr>
          <w:rFonts w:ascii="Times New Roman" w:hAnsi="Times New Roman"/>
          <w:b/>
          <w:i/>
          <w:iCs/>
          <w:noProof/>
          <w:color w:val="002060"/>
          <w:sz w:val="24"/>
        </w:rPr>
        <w:t>2. vodeće načelo:</w:t>
      </w:r>
      <w:r>
        <w:rPr>
          <w:rFonts w:ascii="Times New Roman" w:hAnsi="Times New Roman"/>
          <w:b/>
          <w:i/>
          <w:noProof/>
          <w:color w:val="002060"/>
          <w:sz w:val="24"/>
        </w:rPr>
        <w:t xml:space="preserve"> poboljšati pravedan pristup svim osnovnim zdravstvenim uslugama, od promicanja zdravlja, prevencije bolesti i cjenovno pristupačnog kvalitetnog liječenja, rehabilitacije i palijativne skrbi do borbe protiv zaraznih i nezaraznih bolesti </w:t>
      </w:r>
    </w:p>
    <w:p w14:paraId="71C19452" w14:textId="299827AC" w:rsidR="00B74C7B" w:rsidRPr="003C7608" w:rsidRDefault="00A109E1" w:rsidP="00B24C6C">
      <w:pPr>
        <w:spacing w:line="240" w:lineRule="auto"/>
        <w:jc w:val="both"/>
        <w:rPr>
          <w:rStyle w:val="normaltextrun"/>
          <w:rFonts w:ascii="Calibri" w:eastAsia="Calibri" w:hAnsi="Calibri" w:cs="Calibri"/>
          <w:noProof/>
          <w:color w:val="000000" w:themeColor="text1"/>
        </w:rPr>
      </w:pPr>
      <w:r>
        <w:rPr>
          <w:rFonts w:ascii="Calibri" w:hAnsi="Calibri"/>
          <w:noProof/>
          <w:color w:val="000000" w:themeColor="text1"/>
        </w:rPr>
        <w:t>Otporni programi javnog zdravlja ključni su za kontrolu bolesti, posebno zaraznih i zanemarenih tropskih bolesti, te za smanjivanje temeljnih rizika od nezaraznih bolesti. Istodobno su potrebni bolja prevencija, više resursa i pojačano istraživanje kako bi se odgovorilo na sve veću pojavu nezaraznih bolesti i drugih zdravstvenih problema.</w:t>
      </w:r>
    </w:p>
    <w:p w14:paraId="7D66DB23" w14:textId="7A3AB086" w:rsidR="00B74C7B" w:rsidRPr="003C7608" w:rsidRDefault="00FA0EA1" w:rsidP="00B74C7B">
      <w:pPr>
        <w:contextualSpacing/>
        <w:jc w:val="both"/>
        <w:rPr>
          <w:rFonts w:ascii="Calibri" w:eastAsia="Calibri" w:hAnsi="Calibri" w:cs="Calibri"/>
          <w:noProof/>
        </w:rPr>
      </w:pPr>
      <w:bookmarkStart w:id="14" w:name="_Hlk117831260"/>
      <w:r>
        <w:rPr>
          <w:rFonts w:ascii="Calibri" w:hAnsi="Calibri"/>
          <w:noProof/>
        </w:rPr>
        <w:t xml:space="preserve">Kako bi se ta dva vodeća načela primijenila, prioritetni su sljedeći </w:t>
      </w:r>
      <w:r>
        <w:rPr>
          <w:rFonts w:ascii="Calibri" w:hAnsi="Calibri"/>
          <w:b/>
          <w:noProof/>
          <w:u w:val="single"/>
        </w:rPr>
        <w:t>smjerovi djelovanja</w:t>
      </w:r>
      <w:r>
        <w:rPr>
          <w:rFonts w:ascii="Calibri" w:hAnsi="Calibri"/>
          <w:noProof/>
        </w:rPr>
        <w:t>:</w:t>
      </w:r>
      <w:bookmarkEnd w:id="14"/>
    </w:p>
    <w:p w14:paraId="7B8A460C" w14:textId="5C86666A" w:rsidR="006C349C" w:rsidRPr="00780EB0" w:rsidRDefault="006C349C" w:rsidP="00E71F1D">
      <w:pPr>
        <w:pStyle w:val="ListParagraph"/>
        <w:numPr>
          <w:ilvl w:val="0"/>
          <w:numId w:val="4"/>
        </w:numPr>
        <w:spacing w:line="240" w:lineRule="auto"/>
        <w:jc w:val="both"/>
        <w:rPr>
          <w:rFonts w:eastAsia="Calibri"/>
          <w:noProof/>
          <w:color w:val="000000" w:themeColor="text1"/>
        </w:rPr>
      </w:pPr>
      <w:r>
        <w:rPr>
          <w:rFonts w:ascii="Calibri" w:hAnsi="Calibri"/>
          <w:noProof/>
          <w:color w:val="000000" w:themeColor="text1"/>
        </w:rPr>
        <w:t xml:space="preserve">Prioritetno uklanjati glavne gospodarske, socijalne i okolišne </w:t>
      </w:r>
      <w:r>
        <w:rPr>
          <w:rFonts w:ascii="Calibri" w:hAnsi="Calibri"/>
          <w:b/>
          <w:noProof/>
          <w:color w:val="000000" w:themeColor="text1"/>
        </w:rPr>
        <w:t>temeljne uzroke lošeg zdravlja</w:t>
      </w:r>
      <w:r>
        <w:rPr>
          <w:rFonts w:ascii="Calibri" w:hAnsi="Calibri"/>
          <w:noProof/>
          <w:color w:val="000000" w:themeColor="text1"/>
        </w:rPr>
        <w:t xml:space="preserve"> s pomoću pristupa „zdravlje u svim politikama”.</w:t>
      </w:r>
    </w:p>
    <w:p w14:paraId="4222F623" w14:textId="031BCBCC" w:rsidR="00E71F1D" w:rsidRPr="003C7608" w:rsidRDefault="00E71F1D" w:rsidP="00E71F1D">
      <w:pPr>
        <w:pStyle w:val="ListParagraph"/>
        <w:numPr>
          <w:ilvl w:val="0"/>
          <w:numId w:val="4"/>
        </w:numPr>
        <w:spacing w:line="240" w:lineRule="auto"/>
        <w:jc w:val="both"/>
        <w:rPr>
          <w:rFonts w:eastAsia="Calibri"/>
          <w:noProof/>
          <w:color w:val="000000" w:themeColor="text1"/>
        </w:rPr>
      </w:pPr>
      <w:r>
        <w:rPr>
          <w:rFonts w:ascii="Calibri" w:hAnsi="Calibri"/>
          <w:noProof/>
        </w:rPr>
        <w:t xml:space="preserve">U cijeloj strategiji </w:t>
      </w:r>
      <w:r>
        <w:rPr>
          <w:rFonts w:ascii="Calibri" w:hAnsi="Calibri"/>
          <w:noProof/>
          <w:color w:val="000000" w:themeColor="text1"/>
        </w:rPr>
        <w:t xml:space="preserve">slijediti </w:t>
      </w:r>
      <w:r>
        <w:rPr>
          <w:rFonts w:ascii="Calibri" w:hAnsi="Calibri"/>
          <w:b/>
          <w:noProof/>
          <w:color w:val="000000" w:themeColor="text1"/>
        </w:rPr>
        <w:t>pristup koji se temelji na ljudskim pravima</w:t>
      </w:r>
      <w:r>
        <w:rPr>
          <w:rFonts w:ascii="Calibri" w:hAnsi="Calibri"/>
          <w:noProof/>
          <w:color w:val="000000" w:themeColor="text1"/>
        </w:rPr>
        <w:t xml:space="preserve">, a posebnu pozornost posvetiti potrebama i pravima </w:t>
      </w:r>
      <w:r>
        <w:rPr>
          <w:rFonts w:ascii="Calibri" w:hAnsi="Calibri"/>
          <w:b/>
          <w:noProof/>
          <w:color w:val="000000" w:themeColor="text1"/>
        </w:rPr>
        <w:t>žena,</w:t>
      </w:r>
      <w:r>
        <w:rPr>
          <w:rFonts w:ascii="Calibri" w:hAnsi="Calibri"/>
          <w:noProof/>
          <w:color w:val="000000" w:themeColor="text1"/>
        </w:rPr>
        <w:t xml:space="preserve"> </w:t>
      </w:r>
      <w:r>
        <w:rPr>
          <w:rFonts w:ascii="Calibri" w:hAnsi="Calibri"/>
          <w:b/>
          <w:noProof/>
          <w:color w:val="000000" w:themeColor="text1"/>
        </w:rPr>
        <w:t>djece i mladih</w:t>
      </w:r>
      <w:r>
        <w:rPr>
          <w:rFonts w:ascii="Calibri" w:hAnsi="Calibri"/>
          <w:noProof/>
          <w:color w:val="000000" w:themeColor="text1"/>
        </w:rPr>
        <w:t xml:space="preserve"> u skladu s Akcijskim planom za rodnu ravnopravnost III</w:t>
      </w:r>
      <w:r>
        <w:rPr>
          <w:rStyle w:val="FootnoteReference"/>
          <w:rFonts w:ascii="Calibri" w:hAnsi="Calibri" w:cs="Calibri"/>
          <w:b/>
          <w:bCs/>
          <w:noProof/>
        </w:rPr>
        <w:footnoteReference w:id="24"/>
      </w:r>
      <w:r>
        <w:rPr>
          <w:rFonts w:ascii="Calibri" w:hAnsi="Calibri"/>
          <w:noProof/>
          <w:color w:val="000000" w:themeColor="text1"/>
        </w:rPr>
        <w:t xml:space="preserve"> i Akcijskim planom za mlade</w:t>
      </w:r>
      <w:r>
        <w:rPr>
          <w:rStyle w:val="FootnoteReference"/>
          <w:rFonts w:ascii="Calibri" w:eastAsia="Calibri" w:hAnsi="Calibri" w:cs="Calibri"/>
          <w:noProof/>
          <w:color w:val="000000" w:themeColor="text1"/>
        </w:rPr>
        <w:footnoteReference w:id="25"/>
      </w:r>
      <w:r>
        <w:rPr>
          <w:rFonts w:ascii="Calibri" w:hAnsi="Calibri"/>
          <w:noProof/>
          <w:color w:val="000000" w:themeColor="text1"/>
        </w:rPr>
        <w:t xml:space="preserve"> te</w:t>
      </w:r>
      <w:r>
        <w:rPr>
          <w:noProof/>
        </w:rPr>
        <w:t xml:space="preserve"> </w:t>
      </w:r>
      <w:r>
        <w:rPr>
          <w:rFonts w:ascii="Calibri" w:hAnsi="Calibri"/>
          <w:noProof/>
          <w:color w:val="000000" w:themeColor="text1"/>
        </w:rPr>
        <w:t>potrebama i pravima osoba s invaliditetom u skladu s Konvencijom UN-a o pravima osoba s invaliditetom</w:t>
      </w:r>
      <w:r>
        <w:rPr>
          <w:rStyle w:val="FootnoteReference"/>
          <w:rFonts w:ascii="Calibri" w:eastAsia="Calibri" w:hAnsi="Calibri" w:cs="Calibri"/>
          <w:noProof/>
          <w:color w:val="000000" w:themeColor="text1"/>
        </w:rPr>
        <w:footnoteReference w:id="26"/>
      </w:r>
      <w:r>
        <w:rPr>
          <w:rFonts w:ascii="Calibri" w:hAnsi="Calibri"/>
          <w:noProof/>
          <w:color w:val="000000" w:themeColor="text1"/>
        </w:rPr>
        <w:t>, kao i pristupu zdravstvu za druge ranjive skupine, kao što su LGBTIQ osobe</w:t>
      </w:r>
      <w:r>
        <w:rPr>
          <w:rStyle w:val="FootnoteReference"/>
          <w:rFonts w:ascii="Calibri" w:eastAsia="Calibri" w:hAnsi="Calibri" w:cs="Calibri"/>
          <w:noProof/>
          <w:color w:val="000000" w:themeColor="text1"/>
        </w:rPr>
        <w:footnoteReference w:id="27"/>
      </w:r>
      <w:r>
        <w:rPr>
          <w:rFonts w:ascii="Calibri" w:hAnsi="Calibri"/>
          <w:noProof/>
          <w:color w:val="000000" w:themeColor="text1"/>
        </w:rPr>
        <w:t xml:space="preserve">, starije osobe, migranti, izbjeglice i interno raseljene osobe, među ostalim u kontekstu prirodnih katastrofa ili katastrofa izazvanih ljudskim djelovanjem i utjecaja klimatskih promjena. </w:t>
      </w:r>
    </w:p>
    <w:p w14:paraId="3BD09FC3" w14:textId="0CB1BC4D" w:rsidR="00B74C7B" w:rsidRPr="003C7608" w:rsidRDefault="007A67FE" w:rsidP="005E4B61">
      <w:pPr>
        <w:numPr>
          <w:ilvl w:val="0"/>
          <w:numId w:val="4"/>
        </w:numPr>
        <w:contextualSpacing/>
        <w:jc w:val="both"/>
        <w:rPr>
          <w:rFonts w:ascii="Calibri" w:eastAsia="Calibri" w:hAnsi="Calibri" w:cs="Calibri"/>
          <w:noProof/>
        </w:rPr>
      </w:pPr>
      <w:r>
        <w:rPr>
          <w:rFonts w:ascii="Calibri" w:hAnsi="Calibri"/>
          <w:b/>
          <w:noProof/>
        </w:rPr>
        <w:t>Zadržati vodeći položaj u borbi protiv niza zaraznih bolesti, posebno AIDS-a, tuberkuloze, malarije, poliomijelitisa, bolesti virusa ebole te zanemarenih tropskih bolesti</w:t>
      </w:r>
      <w:r>
        <w:rPr>
          <w:rStyle w:val="FootnoteReference"/>
          <w:rFonts w:ascii="Calibri" w:eastAsia="Calibri" w:hAnsi="Calibri" w:cs="Calibri"/>
          <w:bCs/>
          <w:noProof/>
        </w:rPr>
        <w:footnoteReference w:id="28"/>
      </w:r>
      <w:r>
        <w:rPr>
          <w:rFonts w:ascii="Calibri" w:hAnsi="Calibri"/>
          <w:noProof/>
        </w:rPr>
        <w:t>. To uključuje ulaganje s partnerskim zemljama, kao i ulaganje putem saveza za istraživanje i razvoj te putem inicijativa u području globalnog zdravlja, kao što je Globalni fond za borbu protiv AIDS-a, tuberkuloze i malarije</w:t>
      </w:r>
      <w:r>
        <w:rPr>
          <w:rStyle w:val="FootnoteReference"/>
          <w:rFonts w:ascii="Calibri" w:eastAsia="Calibri" w:hAnsi="Calibri" w:cs="Calibri"/>
          <w:noProof/>
        </w:rPr>
        <w:footnoteReference w:id="29"/>
      </w:r>
      <w:r>
        <w:rPr>
          <w:rFonts w:ascii="Calibri" w:hAnsi="Calibri"/>
          <w:noProof/>
        </w:rPr>
        <w:t xml:space="preserve"> </w:t>
      </w:r>
      <w:r>
        <w:rPr>
          <w:rStyle w:val="FootnoteReference"/>
          <w:rFonts w:ascii="Calibri" w:eastAsia="Calibri" w:hAnsi="Calibri" w:cs="Calibri"/>
          <w:noProof/>
        </w:rPr>
        <w:footnoteReference w:id="30"/>
      </w:r>
      <w:r>
        <w:rPr>
          <w:rFonts w:ascii="Calibri" w:hAnsi="Calibri"/>
          <w:noProof/>
        </w:rPr>
        <w:t>.</w:t>
      </w:r>
    </w:p>
    <w:p w14:paraId="3E2843E4" w14:textId="4156F188" w:rsidR="00E10BB6" w:rsidRPr="003C7608" w:rsidRDefault="007A67FE" w:rsidP="00F91C09">
      <w:pPr>
        <w:numPr>
          <w:ilvl w:val="0"/>
          <w:numId w:val="4"/>
        </w:numPr>
        <w:contextualSpacing/>
        <w:jc w:val="both"/>
        <w:rPr>
          <w:rFonts w:ascii="Calibri" w:eastAsia="Calibri" w:hAnsi="Calibri" w:cs="Calibri"/>
          <w:noProof/>
        </w:rPr>
      </w:pPr>
      <w:r>
        <w:rPr>
          <w:rFonts w:ascii="Calibri" w:hAnsi="Calibri"/>
          <w:b/>
          <w:noProof/>
        </w:rPr>
        <w:t>Pomoći u sprečavanju nezaraznih bolesti i upravljanju tim bolestima</w:t>
      </w:r>
      <w:r>
        <w:rPr>
          <w:rFonts w:ascii="Calibri" w:hAnsi="Calibri"/>
          <w:noProof/>
        </w:rPr>
        <w:t>, što je sve važnije u svijetu koji stari, u kojem će osobe u dobi iznad 65 godina i one u dobi iznad 80 godina predstavljati sve veći udio svjetskog stanovništva.</w:t>
      </w:r>
      <w:r>
        <w:rPr>
          <w:rFonts w:ascii="Calibri" w:hAnsi="Calibri"/>
          <w:b/>
          <w:noProof/>
        </w:rPr>
        <w:t xml:space="preserve"> </w:t>
      </w:r>
      <w:r>
        <w:rPr>
          <w:rFonts w:ascii="Calibri" w:hAnsi="Calibri"/>
          <w:noProof/>
        </w:rPr>
        <w:t>To ćemo poduprijeti u okviru Partnerstva Svjetske zdravstvene organizacije za univerzalno zdravstveno osiguranje</w:t>
      </w:r>
      <w:r>
        <w:rPr>
          <w:rStyle w:val="FootnoteReference"/>
          <w:rFonts w:ascii="Calibri" w:eastAsia="Calibri" w:hAnsi="Calibri" w:cs="Calibri"/>
          <w:bCs/>
          <w:noProof/>
        </w:rPr>
        <w:footnoteReference w:id="31"/>
      </w:r>
      <w:r>
        <w:rPr>
          <w:rFonts w:ascii="Calibri" w:hAnsi="Calibri"/>
          <w:noProof/>
        </w:rPr>
        <w:t xml:space="preserve"> </w:t>
      </w:r>
      <w:r>
        <w:rPr>
          <w:rStyle w:val="FootnoteReference"/>
          <w:rFonts w:ascii="Calibri" w:eastAsia="Calibri" w:hAnsi="Calibri" w:cs="Calibri"/>
          <w:bCs/>
          <w:noProof/>
        </w:rPr>
        <w:footnoteReference w:id="32"/>
      </w:r>
      <w:r>
        <w:rPr>
          <w:rFonts w:ascii="Calibri" w:hAnsi="Calibri"/>
          <w:noProof/>
        </w:rPr>
        <w:t xml:space="preserve"> te ćemo primijeniti višesektorske pristupe usmjerene na uklanjanje glavnih čimbenika rizika, kao što su zlouporaba droga, prehrana, tjelesna neaktivnost i onečišćenje zraka. To se posebno odnosi na rak.</w:t>
      </w:r>
    </w:p>
    <w:p w14:paraId="45F9A282" w14:textId="0E7DA9F9" w:rsidR="009E0626" w:rsidRDefault="00E71F1D" w:rsidP="00A235E2">
      <w:pPr>
        <w:numPr>
          <w:ilvl w:val="0"/>
          <w:numId w:val="4"/>
        </w:numPr>
        <w:contextualSpacing/>
        <w:jc w:val="both"/>
        <w:rPr>
          <w:rFonts w:ascii="Calibri" w:eastAsia="Calibri" w:hAnsi="Calibri" w:cs="Calibri"/>
          <w:noProof/>
        </w:rPr>
      </w:pPr>
      <w:r>
        <w:rPr>
          <w:rFonts w:ascii="Calibri" w:hAnsi="Calibri"/>
          <w:b/>
          <w:noProof/>
        </w:rPr>
        <w:t>Podupirati širu primjenu cjepiva protiv dječjih bolesti</w:t>
      </w:r>
      <w:r>
        <w:rPr>
          <w:rFonts w:ascii="Calibri" w:hAnsi="Calibri"/>
          <w:noProof/>
        </w:rPr>
        <w:t>, a sve više i radi zaštite zdravlja odraslih, među ostalim daljnjim pružanjem snažne potpore Gaviju, Savezu za cjepiva</w:t>
      </w:r>
      <w:r>
        <w:rPr>
          <w:rStyle w:val="FootnoteReference"/>
          <w:rFonts w:ascii="Calibri" w:eastAsia="Calibri" w:hAnsi="Calibri" w:cs="Calibri"/>
          <w:noProof/>
        </w:rPr>
        <w:footnoteReference w:id="33"/>
      </w:r>
      <w:r>
        <w:rPr>
          <w:rFonts w:ascii="Calibri" w:hAnsi="Calibri"/>
          <w:noProof/>
        </w:rPr>
        <w:t xml:space="preserve"> </w:t>
      </w:r>
      <w:r>
        <w:rPr>
          <w:rStyle w:val="FootnoteReference"/>
          <w:rFonts w:ascii="Calibri" w:eastAsia="Calibri" w:hAnsi="Calibri" w:cs="Calibri"/>
          <w:noProof/>
        </w:rPr>
        <w:footnoteReference w:id="34"/>
      </w:r>
      <w:r>
        <w:rPr>
          <w:rFonts w:ascii="Calibri" w:hAnsi="Calibri"/>
          <w:noProof/>
        </w:rPr>
        <w:t xml:space="preserve">, koji pomaže u povećanju pravedne i održive upotrebe cjepiva. </w:t>
      </w:r>
    </w:p>
    <w:p w14:paraId="1D97A552" w14:textId="18C1F7F0" w:rsidR="00E10BB6" w:rsidRPr="003C7608" w:rsidRDefault="007A67FE" w:rsidP="00A235E2">
      <w:pPr>
        <w:numPr>
          <w:ilvl w:val="0"/>
          <w:numId w:val="4"/>
        </w:numPr>
        <w:contextualSpacing/>
        <w:jc w:val="both"/>
        <w:rPr>
          <w:rFonts w:ascii="Calibri" w:eastAsia="Calibri" w:hAnsi="Calibri" w:cs="Calibri"/>
          <w:noProof/>
        </w:rPr>
      </w:pPr>
      <w:r>
        <w:rPr>
          <w:rFonts w:ascii="Calibri" w:hAnsi="Calibri"/>
          <w:b/>
          <w:noProof/>
        </w:rPr>
        <w:t>Osiguravati razvoj i primjenu inovativnih cjepiva, načina liječenja i dijagnostike za nove, raširene ili zanemarene zarazne i nezarazne bolesti</w:t>
      </w:r>
      <w:r>
        <w:rPr>
          <w:rFonts w:ascii="Calibri" w:hAnsi="Calibri"/>
          <w:noProof/>
        </w:rPr>
        <w:t xml:space="preserve">, među ostalim s pomoću financiranja u okviru programa Obzor Europa te suradnje EU-a i Afrike za globalno zdravlje u obliku </w:t>
      </w:r>
      <w:bookmarkStart w:id="15" w:name="_Hlk119437704"/>
      <w:r>
        <w:rPr>
          <w:rFonts w:ascii="Calibri" w:hAnsi="Calibri"/>
          <w:noProof/>
        </w:rPr>
        <w:t xml:space="preserve">Partnerstva europskih zemalja i zemalja u razvoju u području kliničkih studija </w:t>
      </w:r>
      <w:bookmarkEnd w:id="15"/>
      <w:r>
        <w:rPr>
          <w:rFonts w:ascii="Calibri" w:hAnsi="Calibri"/>
          <w:noProof/>
        </w:rPr>
        <w:t>(EDCTP3)</w:t>
      </w:r>
      <w:r>
        <w:rPr>
          <w:rStyle w:val="FootnoteReference"/>
          <w:rFonts w:ascii="Calibri" w:eastAsia="Calibri" w:hAnsi="Calibri" w:cs="Calibri"/>
          <w:noProof/>
        </w:rPr>
        <w:footnoteReference w:id="35"/>
      </w:r>
      <w:r>
        <w:rPr>
          <w:rFonts w:ascii="Calibri" w:hAnsi="Calibri"/>
          <w:noProof/>
        </w:rPr>
        <w:t>, namijenjenog istraživanjima, izgradnji kapaciteta i jačanju regulatornog okruženja u supsaharskoj Africi.</w:t>
      </w:r>
    </w:p>
    <w:p w14:paraId="60EB7CAE" w14:textId="2C169812" w:rsidR="00FD1CA2" w:rsidRPr="003C7608" w:rsidRDefault="00FD1CA2" w:rsidP="00FD1CA2">
      <w:pPr>
        <w:numPr>
          <w:ilvl w:val="0"/>
          <w:numId w:val="4"/>
        </w:numPr>
        <w:contextualSpacing/>
        <w:jc w:val="both"/>
        <w:rPr>
          <w:rFonts w:ascii="Calibri" w:eastAsia="Calibri" w:hAnsi="Calibri" w:cs="Calibri"/>
          <w:noProof/>
        </w:rPr>
      </w:pPr>
      <w:r>
        <w:rPr>
          <w:rFonts w:ascii="Calibri" w:hAnsi="Calibri"/>
          <w:b/>
          <w:noProof/>
        </w:rPr>
        <w:t>Pojačati potporu za univerzalan pristup spolnom i reproduktivnom zdravlju i pravima</w:t>
      </w:r>
      <w:r>
        <w:rPr>
          <w:rStyle w:val="FootnoteReference"/>
          <w:rFonts w:ascii="Calibri" w:eastAsia="Calibri" w:hAnsi="Calibri" w:cs="Calibri"/>
          <w:b/>
          <w:bCs/>
          <w:noProof/>
        </w:rPr>
        <w:footnoteReference w:id="36"/>
      </w:r>
      <w:r>
        <w:rPr>
          <w:rFonts w:ascii="Calibri" w:hAnsi="Calibri"/>
          <w:noProof/>
        </w:rPr>
        <w:t xml:space="preserve"> s naglaskom na ženama, djevojčicama, mladima i osobama s invaliditetom, među ostalim </w:t>
      </w:r>
      <w:r>
        <w:rPr>
          <w:rFonts w:ascii="Calibri" w:hAnsi="Calibri"/>
          <w:b/>
          <w:noProof/>
        </w:rPr>
        <w:t>osmišljavanjem inicijative Tima Europa za spolno i reproduktivno zdravlje i prava u Africi</w:t>
      </w:r>
      <w:r>
        <w:rPr>
          <w:rFonts w:ascii="Calibri" w:hAnsi="Calibri"/>
          <w:noProof/>
        </w:rPr>
        <w:t xml:space="preserve"> i potporom Partnerstvu za opskrbu Fonda Ujedinjenih naroda za stanovništvo (UNFPA)</w:t>
      </w:r>
      <w:r>
        <w:rPr>
          <w:rStyle w:val="FootnoteReference"/>
          <w:rFonts w:ascii="Calibri" w:eastAsia="Calibri" w:hAnsi="Calibri" w:cs="Calibri"/>
          <w:noProof/>
        </w:rPr>
        <w:footnoteReference w:id="37"/>
      </w:r>
      <w:r>
        <w:rPr>
          <w:rFonts w:ascii="Calibri" w:hAnsi="Calibri"/>
          <w:noProof/>
        </w:rPr>
        <w:t>. To uključuje rješavanje problema rodno uvjetovanog nasilja, štetne prakse, neispunjenih potreba za planiranjem obitelji, smrtnosti trudnica i rodilja koja se može spriječiti i rodne nejednakosti. Taj se rad temelji na osiguravanju pravednog pristupa kvalitetnim uslugama, proizvodima i informacijama, među ostalim jačanjem zdravstvenih sustava u cilju univerzalnog zdravstvenog osiguranja i uslugama koje su prilagođene mladima.</w:t>
      </w:r>
    </w:p>
    <w:p w14:paraId="58F20DDC" w14:textId="61CC214F" w:rsidR="001F5965" w:rsidRPr="003C7608" w:rsidRDefault="00E71F1D" w:rsidP="009C7B84">
      <w:pPr>
        <w:numPr>
          <w:ilvl w:val="0"/>
          <w:numId w:val="4"/>
        </w:numPr>
        <w:contextualSpacing/>
        <w:jc w:val="both"/>
        <w:rPr>
          <w:rFonts w:ascii="Calibri" w:eastAsia="Calibri" w:hAnsi="Calibri" w:cs="Calibri"/>
          <w:noProof/>
        </w:rPr>
      </w:pPr>
      <w:r>
        <w:rPr>
          <w:rFonts w:ascii="Calibri" w:hAnsi="Calibri"/>
          <w:b/>
          <w:noProof/>
        </w:rPr>
        <w:t xml:space="preserve">Zajednicama pružati potporu u pogledu zdravlja, prehrane, mentalnog zdravlja i psihosocijalne pomoći </w:t>
      </w:r>
      <w:r>
        <w:rPr>
          <w:rFonts w:ascii="Calibri" w:hAnsi="Calibri"/>
          <w:noProof/>
        </w:rPr>
        <w:t xml:space="preserve">tijekom i nakon kriznih situacija (prirodnih ili uzrokovanih ljudskim djelovanjem), i to tako da se </w:t>
      </w:r>
      <w:r>
        <w:rPr>
          <w:rStyle w:val="normaltextrun"/>
          <w:rFonts w:ascii="Calibri" w:hAnsi="Calibri"/>
          <w:noProof/>
          <w:bdr w:val="none" w:sz="0" w:space="0" w:color="auto" w:frame="1"/>
        </w:rPr>
        <w:t>ograniče smrtnost, pobolijevanje, invaliditet i bolesti povezane s humanitarnim krizama</w:t>
      </w:r>
      <w:r>
        <w:rPr>
          <w:rStyle w:val="FootnoteReference"/>
          <w:rFonts w:ascii="Calibri" w:hAnsi="Calibri" w:cs="Calibri"/>
          <w:noProof/>
          <w:bdr w:val="none" w:sz="0" w:space="0" w:color="auto" w:frame="1"/>
        </w:rPr>
        <w:footnoteReference w:id="38"/>
      </w:r>
      <w:r>
        <w:rPr>
          <w:rFonts w:ascii="Calibri" w:hAnsi="Calibri"/>
          <w:noProof/>
        </w:rPr>
        <w:t>.</w:t>
      </w:r>
    </w:p>
    <w:p w14:paraId="4FCE4C4E" w14:textId="3BD7EDF9" w:rsidR="00A109E1" w:rsidRPr="00C0330D" w:rsidRDefault="00393726" w:rsidP="00445866">
      <w:pPr>
        <w:pStyle w:val="Heading2"/>
        <w:spacing w:before="60" w:after="60"/>
        <w:rPr>
          <w:rFonts w:eastAsia="Calibri Light"/>
          <w:b/>
          <w:noProof/>
        </w:rPr>
      </w:pPr>
      <w:r>
        <w:rPr>
          <w:b/>
          <w:noProof/>
        </w:rPr>
        <w:t>2.2. Jačanje zdravstvenih sustava i promicanje univerzalnog zdravstvenog osiguranja </w:t>
      </w:r>
    </w:p>
    <w:p w14:paraId="40C59CCE" w14:textId="4711B12A" w:rsidR="003F316B" w:rsidRPr="003C7608" w:rsidRDefault="00247812" w:rsidP="00445866">
      <w:pPr>
        <w:spacing w:before="60" w:after="60" w:line="240" w:lineRule="auto"/>
        <w:jc w:val="both"/>
        <w:rPr>
          <w:rFonts w:ascii="Calibri" w:eastAsia="Calibri" w:hAnsi="Calibri" w:cs="Calibri"/>
          <w:noProof/>
          <w:color w:val="000000" w:themeColor="text1"/>
        </w:rPr>
      </w:pPr>
      <w:r>
        <w:rPr>
          <w:rFonts w:ascii="Calibri" w:hAnsi="Calibri"/>
          <w:noProof/>
        </w:rPr>
        <w:t xml:space="preserve">Glavni je prioritet strategije osigurati </w:t>
      </w:r>
      <w:r>
        <w:rPr>
          <w:rFonts w:ascii="Calibri" w:hAnsi="Calibri"/>
          <w:b/>
          <w:noProof/>
        </w:rPr>
        <w:t>zdravstvene sustave koji su djelotvorni, otporni i pristupačni</w:t>
      </w:r>
      <w:r>
        <w:rPr>
          <w:rFonts w:ascii="Calibri" w:hAnsi="Calibri"/>
          <w:noProof/>
        </w:rPr>
        <w:t xml:space="preserve"> u svim svojim temeljnim aspektima (pružanje usluga, zdravstvena radna snaga, zdravstveni informacijski sustavi, pristup osnovnim lijekovima, financiranje i vodstvo/upravljanje). Promicanjem </w:t>
      </w:r>
      <w:r>
        <w:rPr>
          <w:rFonts w:ascii="Calibri" w:hAnsi="Calibri"/>
          <w:b/>
          <w:noProof/>
        </w:rPr>
        <w:t>univerzalnog zdravstvenog osiguranja</w:t>
      </w:r>
      <w:r>
        <w:rPr>
          <w:rFonts w:ascii="Calibri" w:hAnsi="Calibri"/>
          <w:noProof/>
        </w:rPr>
        <w:t xml:space="preserve"> na pravedan način osigurat će se zaštita od financijskih rizika, pristup kvalitetnim osnovnim zdravstvenim uslugama te sigurnim, djelotvornim, kvalitetnim i cjenovno pristupačnim osnovnim lijekovima i cjepivima. </w:t>
      </w:r>
      <w:bookmarkStart w:id="16" w:name="_Hlk117836016"/>
    </w:p>
    <w:p w14:paraId="6CC08236" w14:textId="0CC5820E" w:rsidR="00780EB0" w:rsidRPr="003C7608" w:rsidRDefault="00FA0EA1" w:rsidP="009C12D5">
      <w:pPr>
        <w:spacing w:line="240" w:lineRule="auto"/>
        <w:jc w:val="both"/>
        <w:rPr>
          <w:noProof/>
        </w:rPr>
      </w:pPr>
      <w:bookmarkStart w:id="17" w:name="_Hlk117833915"/>
      <w:r>
        <w:rPr>
          <w:noProof/>
        </w:rPr>
        <w:t xml:space="preserve">U tu će svrhu Komisija slijediti </w:t>
      </w:r>
      <w:r>
        <w:rPr>
          <w:b/>
          <w:noProof/>
          <w:u w:val="single"/>
        </w:rPr>
        <w:t>vodeća načela</w:t>
      </w:r>
      <w:r>
        <w:rPr>
          <w:noProof/>
        </w:rPr>
        <w:t xml:space="preserve">, na što poziva i države članice: </w:t>
      </w:r>
      <w:bookmarkEnd w:id="16"/>
    </w:p>
    <w:bookmarkEnd w:id="17"/>
    <w:p w14:paraId="0774398E" w14:textId="2861AB5B" w:rsidR="000A6EFB" w:rsidRPr="00780EB0" w:rsidRDefault="000A6EFB" w:rsidP="000A6EFB">
      <w:pPr>
        <w:spacing w:line="240" w:lineRule="auto"/>
        <w:jc w:val="both"/>
        <w:textAlignment w:val="baseline"/>
        <w:rPr>
          <w:rFonts w:ascii="Times New Roman" w:eastAsiaTheme="minorEastAsia" w:hAnsi="Times New Roman" w:cs="Times New Roman"/>
          <w:b/>
          <w:bCs/>
          <w:i/>
          <w:iCs/>
          <w:noProof/>
          <w:color w:val="002060"/>
          <w:sz w:val="24"/>
        </w:rPr>
      </w:pPr>
      <w:r>
        <w:rPr>
          <w:rFonts w:ascii="Times New Roman" w:hAnsi="Times New Roman"/>
          <w:b/>
          <w:i/>
          <w:noProof/>
          <w:color w:val="002060"/>
          <w:sz w:val="24"/>
        </w:rPr>
        <w:t>3. vodeće načelo: poboljšati primarnu zdravstvenu zaštitu s uključenim kapacitetom za nepredviđene povećane potrebe</w:t>
      </w:r>
      <w:r>
        <w:rPr>
          <w:rStyle w:val="FootnoteReference"/>
          <w:rFonts w:ascii="Times New Roman" w:eastAsiaTheme="minorEastAsia" w:hAnsi="Times New Roman" w:cs="Times New Roman"/>
          <w:b/>
          <w:bCs/>
          <w:i/>
          <w:iCs/>
          <w:noProof/>
          <w:color w:val="002060"/>
          <w:sz w:val="24"/>
        </w:rPr>
        <w:footnoteReference w:id="39"/>
      </w:r>
      <w:r>
        <w:rPr>
          <w:rFonts w:ascii="Times New Roman" w:hAnsi="Times New Roman"/>
          <w:b/>
          <w:i/>
          <w:noProof/>
          <w:color w:val="002060"/>
          <w:sz w:val="24"/>
        </w:rPr>
        <w:t xml:space="preserve"> i povećati osnovne kapacitete javnog zdravstva kako bi se ispunili zahtjevi iz Međunarodnih zdravstvenih propisa</w:t>
      </w:r>
      <w:r>
        <w:rPr>
          <w:rStyle w:val="FootnoteReference"/>
          <w:rFonts w:ascii="Times New Roman" w:eastAsiaTheme="minorEastAsia" w:hAnsi="Times New Roman" w:cs="Times New Roman"/>
          <w:b/>
          <w:bCs/>
          <w:i/>
          <w:iCs/>
          <w:noProof/>
          <w:color w:val="002060"/>
          <w:sz w:val="24"/>
        </w:rPr>
        <w:footnoteReference w:id="40"/>
      </w:r>
      <w:r>
        <w:rPr>
          <w:rFonts w:ascii="Times New Roman" w:hAnsi="Times New Roman"/>
          <w:b/>
          <w:i/>
          <w:noProof/>
          <w:color w:val="002060"/>
          <w:sz w:val="24"/>
        </w:rPr>
        <w:t xml:space="preserve"> </w:t>
      </w:r>
    </w:p>
    <w:p w14:paraId="10D0B05D" w14:textId="0DA6A926" w:rsidR="000A6EFB" w:rsidRPr="003C7608" w:rsidRDefault="0010149C" w:rsidP="000A6EFB">
      <w:pPr>
        <w:spacing w:line="240" w:lineRule="auto"/>
        <w:jc w:val="both"/>
        <w:textAlignment w:val="baseline"/>
        <w:rPr>
          <w:rFonts w:ascii="Calibri" w:eastAsia="Calibri" w:hAnsi="Calibri" w:cs="Calibri"/>
          <w:noProof/>
        </w:rPr>
      </w:pPr>
      <w:r>
        <w:rPr>
          <w:rFonts w:ascii="Calibri" w:hAnsi="Calibri"/>
          <w:noProof/>
        </w:rPr>
        <w:t xml:space="preserve">Pandemija je pokazala koliko je važno imati odgovarajuće dostupne medicinske kapacitete za procjenu i skrb za naglo povećanje broja pacijenata koje otežava ili nadilazi normalno funkcioniranje zdravstvenih sustava. Prioritetnost tog područja u našem radu nov je pristup i imat će važnu dodanu vrijednost kao prva prepreka širenju pandemija i drugih prijetnji zdravlju. Potpora primarnoj zdravstvenoj zaštiti pomoći će i u upravljanju u području nezaraznih bolesti. </w:t>
      </w:r>
    </w:p>
    <w:p w14:paraId="6E43DAC6" w14:textId="0A7CBB98" w:rsidR="00DD3C21" w:rsidRPr="003C7608" w:rsidRDefault="00DD3C21" w:rsidP="00A62EA6">
      <w:pPr>
        <w:spacing w:line="240" w:lineRule="auto"/>
        <w:jc w:val="both"/>
        <w:textAlignment w:val="baseline"/>
        <w:rPr>
          <w:rFonts w:ascii="Calibri" w:eastAsia="Calibri" w:hAnsi="Calibri" w:cs="Calibri"/>
          <w:b/>
          <w:bCs/>
          <w:noProof/>
        </w:rPr>
      </w:pPr>
      <w:r>
        <w:rPr>
          <w:rFonts w:ascii="Calibri" w:hAnsi="Calibri"/>
          <w:noProof/>
        </w:rPr>
        <w:t xml:space="preserve">Kako bi se to vodeće načelo primijenilo, prioritetni su sljedeći </w:t>
      </w:r>
      <w:r>
        <w:rPr>
          <w:rFonts w:ascii="Calibri" w:hAnsi="Calibri"/>
          <w:b/>
          <w:noProof/>
          <w:u w:val="single"/>
        </w:rPr>
        <w:t>smjerovi djelovanja</w:t>
      </w:r>
      <w:r>
        <w:rPr>
          <w:rFonts w:ascii="Calibri" w:hAnsi="Calibri"/>
          <w:noProof/>
        </w:rPr>
        <w:t>:</w:t>
      </w:r>
    </w:p>
    <w:p w14:paraId="1027B377" w14:textId="76565FB5" w:rsidR="005E4B61" w:rsidRPr="003C7608" w:rsidRDefault="00225C80" w:rsidP="005E4B61">
      <w:pPr>
        <w:numPr>
          <w:ilvl w:val="0"/>
          <w:numId w:val="5"/>
        </w:numPr>
        <w:contextualSpacing/>
        <w:jc w:val="both"/>
        <w:rPr>
          <w:noProof/>
        </w:rPr>
      </w:pPr>
      <w:r>
        <w:rPr>
          <w:rFonts w:ascii="Calibri" w:hAnsi="Calibri"/>
          <w:b/>
          <w:noProof/>
        </w:rPr>
        <w:t xml:space="preserve">Surađivati s partnerskim zemljama kako bi se proširio pristup osnovnom paketu zdravstvenih usluga </w:t>
      </w:r>
      <w:r>
        <w:rPr>
          <w:rFonts w:ascii="Calibri" w:hAnsi="Calibri"/>
          <w:noProof/>
        </w:rPr>
        <w:t>koji obuhvaća prevenciju i skrb, s posebnim naglaskom na siromašnom i marginaliziranom stanovništvu, preko bilateralnih i regionalnih programa</w:t>
      </w:r>
      <w:r>
        <w:rPr>
          <w:rStyle w:val="FootnoteReference"/>
          <w:rFonts w:ascii="Calibri" w:eastAsia="Calibri" w:hAnsi="Calibri" w:cs="Calibri"/>
          <w:bCs/>
          <w:noProof/>
        </w:rPr>
        <w:footnoteReference w:id="41"/>
      </w:r>
      <w:r>
        <w:rPr>
          <w:rFonts w:ascii="Calibri" w:hAnsi="Calibri"/>
          <w:noProof/>
        </w:rPr>
        <w:t>. Partnerstvo za univerzalno zdravstveno osiguranje pod okriljem SZO-a omogućuje ciljanu tehničku potporu u 119 zemalja i ima vodeću ulogu u usklađivanju nacionalnih aktivnosti za postizanje nacionalnih ciljeva u okviru cilja održivog razvoja br. 3.</w:t>
      </w:r>
    </w:p>
    <w:p w14:paraId="7859BC90" w14:textId="4134E6F3" w:rsidR="005E4B61" w:rsidRPr="003C7608" w:rsidRDefault="002F5B91" w:rsidP="005E4B61">
      <w:pPr>
        <w:numPr>
          <w:ilvl w:val="0"/>
          <w:numId w:val="5"/>
        </w:numPr>
        <w:contextualSpacing/>
        <w:jc w:val="both"/>
        <w:rPr>
          <w:noProof/>
        </w:rPr>
      </w:pPr>
      <w:r>
        <w:rPr>
          <w:rStyle w:val="normaltextrun"/>
          <w:rFonts w:ascii="Calibri" w:hAnsi="Calibri"/>
          <w:b/>
          <w:noProof/>
        </w:rPr>
        <w:t>Promicati ulaganja u zdravstvene sustave provedbom ciljanih poticaja i povećanjem odgovornosti</w:t>
      </w:r>
      <w:r>
        <w:rPr>
          <w:rStyle w:val="FootnoteReference"/>
          <w:rFonts w:eastAsia="Calibri"/>
          <w:b/>
          <w:bCs/>
          <w:noProof/>
          <w:color w:val="000000" w:themeColor="text1"/>
        </w:rPr>
        <w:footnoteReference w:id="42"/>
      </w:r>
      <w:r>
        <w:rPr>
          <w:rStyle w:val="normaltextrun"/>
          <w:rFonts w:ascii="Calibri" w:hAnsi="Calibri"/>
          <w:noProof/>
        </w:rPr>
        <w:t>.</w:t>
      </w:r>
      <w:r>
        <w:rPr>
          <w:noProof/>
          <w:color w:val="000000" w:themeColor="text1"/>
        </w:rPr>
        <w:t> </w:t>
      </w:r>
      <w:r>
        <w:rPr>
          <w:rStyle w:val="normaltextrun"/>
          <w:rFonts w:ascii="Calibri" w:hAnsi="Calibri"/>
          <w:noProof/>
        </w:rPr>
        <w:t xml:space="preserve">EU bi trebao smatrati </w:t>
      </w:r>
      <w:r>
        <w:rPr>
          <w:rStyle w:val="normaltextrun"/>
          <w:rFonts w:ascii="Calibri" w:hAnsi="Calibri"/>
          <w:b/>
          <w:noProof/>
        </w:rPr>
        <w:t>poboljšanje zdravstvenih sustava i javnog zdravlja jednim od najvažnijih aspekata međunarodne suradnje</w:t>
      </w:r>
      <w:r>
        <w:rPr>
          <w:rStyle w:val="normaltextrun"/>
          <w:rFonts w:ascii="Calibri" w:hAnsi="Calibri"/>
          <w:noProof/>
        </w:rPr>
        <w:t xml:space="preserve"> s partnerima, uključujući financijsku potporu. </w:t>
      </w:r>
    </w:p>
    <w:p w14:paraId="07D8DE99" w14:textId="10756B69" w:rsidR="001A193D" w:rsidRPr="003C7608" w:rsidRDefault="00227B1D" w:rsidP="005E4B61">
      <w:pPr>
        <w:numPr>
          <w:ilvl w:val="0"/>
          <w:numId w:val="5"/>
        </w:numPr>
        <w:contextualSpacing/>
        <w:jc w:val="both"/>
        <w:rPr>
          <w:noProof/>
        </w:rPr>
      </w:pPr>
      <w:r>
        <w:rPr>
          <w:b/>
          <w:noProof/>
        </w:rPr>
        <w:t>Ojačati sustave socijalne zaštite</w:t>
      </w:r>
      <w:r>
        <w:rPr>
          <w:noProof/>
        </w:rPr>
        <w:t xml:space="preserve"> bilateralnim programima za pojedine zemlje, posebno podupiranjem izrade pravila o minimalnoj socijalnoj zaštiti koja uključuju pravedan pristup osnovnoj zdravstvenoj skrbi. </w:t>
      </w:r>
    </w:p>
    <w:p w14:paraId="0CAC8A07" w14:textId="16CAEEE7" w:rsidR="00F84419" w:rsidRPr="003C7608" w:rsidRDefault="00E10BB6" w:rsidP="009C7B84">
      <w:pPr>
        <w:numPr>
          <w:ilvl w:val="0"/>
          <w:numId w:val="5"/>
        </w:numPr>
        <w:contextualSpacing/>
        <w:jc w:val="both"/>
        <w:rPr>
          <w:rFonts w:ascii="Calibri" w:eastAsia="Calibri" w:hAnsi="Calibri" w:cs="Calibri"/>
          <w:b/>
          <w:bCs/>
          <w:i/>
          <w:iCs/>
          <w:noProof/>
        </w:rPr>
      </w:pPr>
      <w:r>
        <w:rPr>
          <w:rFonts w:ascii="Calibri" w:hAnsi="Calibri"/>
          <w:b/>
          <w:noProof/>
        </w:rPr>
        <w:t>Promicati međunarodne standarde u području farmaceutskih i medicinskih proizvoda i tehnologija</w:t>
      </w:r>
      <w:r>
        <w:rPr>
          <w:rFonts w:ascii="Calibri" w:hAnsi="Calibri"/>
          <w:noProof/>
        </w:rPr>
        <w:t xml:space="preserve"> sudjelovanjem Komisije u međunarodnim organizacijama i tijelima te visoku razinu standarda kvalitete, djelotvornosti i sigurnosti, kao i obuku u regulatornim pitanjima, uz potporu Europske agencije za lijekove i u suradnji sa Svjetskom zdravstvenom organizacijom.</w:t>
      </w:r>
      <w:r>
        <w:rPr>
          <w:rFonts w:ascii="Calibri" w:hAnsi="Calibri"/>
          <w:b/>
          <w:noProof/>
        </w:rPr>
        <w:t xml:space="preserve"> </w:t>
      </w:r>
    </w:p>
    <w:p w14:paraId="5486FE27" w14:textId="77777777" w:rsidR="001A193D" w:rsidRPr="003C7608" w:rsidRDefault="001A193D" w:rsidP="001260AB">
      <w:pPr>
        <w:ind w:left="360"/>
        <w:contextualSpacing/>
        <w:jc w:val="both"/>
        <w:rPr>
          <w:rFonts w:ascii="Calibri" w:eastAsia="Calibri" w:hAnsi="Calibri" w:cs="Calibri"/>
          <w:b/>
          <w:bCs/>
          <w:i/>
          <w:iCs/>
          <w:noProof/>
        </w:rPr>
      </w:pPr>
    </w:p>
    <w:p w14:paraId="1C72E7EA" w14:textId="06311B65" w:rsidR="006E752B" w:rsidRPr="00780EB0" w:rsidRDefault="006E752B" w:rsidP="006E752B">
      <w:pPr>
        <w:spacing w:line="240" w:lineRule="auto"/>
        <w:jc w:val="both"/>
        <w:textAlignment w:val="baseline"/>
        <w:rPr>
          <w:rFonts w:ascii="Times New Roman" w:eastAsiaTheme="minorEastAsia" w:hAnsi="Times New Roman" w:cs="Times New Roman"/>
          <w:b/>
          <w:bCs/>
          <w:i/>
          <w:iCs/>
          <w:noProof/>
          <w:color w:val="002060"/>
          <w:sz w:val="24"/>
        </w:rPr>
      </w:pPr>
      <w:r>
        <w:rPr>
          <w:rFonts w:ascii="Times New Roman" w:hAnsi="Times New Roman"/>
          <w:b/>
          <w:i/>
          <w:noProof/>
          <w:color w:val="002060"/>
          <w:sz w:val="24"/>
        </w:rPr>
        <w:t xml:space="preserve">4. vodeće načelo: poticati digitalizaciju kao jedan od temeljnih pokretača napretka </w:t>
      </w:r>
    </w:p>
    <w:p w14:paraId="3270367B" w14:textId="33A3BF7A" w:rsidR="006E752B" w:rsidRPr="003C7608" w:rsidRDefault="006E752B" w:rsidP="003C7608">
      <w:pPr>
        <w:spacing w:line="240" w:lineRule="auto"/>
        <w:jc w:val="both"/>
        <w:textAlignment w:val="baseline"/>
        <w:rPr>
          <w:rFonts w:ascii="Calibri" w:eastAsia="Times New Roman" w:hAnsi="Calibri" w:cs="Calibri"/>
          <w:noProof/>
        </w:rPr>
      </w:pPr>
      <w:r>
        <w:rPr>
          <w:rFonts w:ascii="Calibri" w:hAnsi="Calibri"/>
          <w:noProof/>
        </w:rPr>
        <w:t xml:space="preserve">Kako bi se to vodeće načelo primijenilo, </w:t>
      </w:r>
      <w:r>
        <w:rPr>
          <w:rFonts w:ascii="Calibri" w:hAnsi="Calibri"/>
          <w:b/>
          <w:noProof/>
        </w:rPr>
        <w:t>digitalno djelovanje za globalno zdravlje</w:t>
      </w:r>
      <w:r>
        <w:rPr>
          <w:rFonts w:ascii="Calibri" w:hAnsi="Calibri"/>
          <w:noProof/>
        </w:rPr>
        <w:t xml:space="preserve"> bit će pokazatelj vodeće uloge EU-a te će na pravedan način oblikovati digitalnu transformaciju koja je u tijeku</w:t>
      </w:r>
      <w:r>
        <w:rPr>
          <w:rStyle w:val="FootnoteReference"/>
          <w:rFonts w:ascii="Calibri" w:eastAsia="Times New Roman" w:hAnsi="Calibri" w:cs="Calibri"/>
          <w:noProof/>
          <w:lang w:eastAsia="en-GB"/>
        </w:rPr>
        <w:footnoteReference w:id="43"/>
      </w:r>
      <w:r>
        <w:rPr>
          <w:rFonts w:ascii="Calibri" w:hAnsi="Calibri"/>
          <w:noProof/>
        </w:rPr>
        <w:t>:</w:t>
      </w:r>
    </w:p>
    <w:p w14:paraId="27C6C4AA" w14:textId="01BE0490" w:rsidR="005E4B61" w:rsidRPr="003C7608" w:rsidRDefault="00C438D3" w:rsidP="00A62EA6">
      <w:pPr>
        <w:pStyle w:val="ListParagraph"/>
        <w:numPr>
          <w:ilvl w:val="0"/>
          <w:numId w:val="52"/>
        </w:numPr>
        <w:spacing w:line="240" w:lineRule="auto"/>
        <w:ind w:left="357" w:hanging="357"/>
        <w:jc w:val="both"/>
        <w:rPr>
          <w:rFonts w:ascii="Calibri" w:eastAsia="Times New Roman" w:hAnsi="Calibri" w:cs="Calibri"/>
          <w:noProof/>
        </w:rPr>
      </w:pPr>
      <w:r>
        <w:rPr>
          <w:rFonts w:ascii="Calibri" w:hAnsi="Calibri"/>
          <w:b/>
          <w:noProof/>
        </w:rPr>
        <w:t>Riješiti problem nedovoljnih ulaganja u digitalno zdravstvo i skrb u zemljama s niskim i srednjim dohotkom</w:t>
      </w:r>
      <w:r>
        <w:rPr>
          <w:rFonts w:ascii="Calibri" w:hAnsi="Calibri"/>
          <w:noProof/>
        </w:rPr>
        <w:t>, i to inicijativom Tima Europa za digitalno zdravstvo, vođenom načelima na kojima se temelji planirani europski prostor za zdravstvene podatke. Inicijativa bi bila usmjerena na postizanje transformacijskog učinka za unapređenje univerzalnog zdravstvenog osiguranja, primarne zdravstvene zaštite, pripravnosti i odgovora na pandemije, poboljšanje dijagnostike i personalizirane medicine te kontinuiteta skrbi. Konkretan je primjer činjenica da pružanje digitalnih zdravstvenih usluga i usluga skrbi može olakšati pristup stručnom znanju čak i na geografski udaljenim lokacijama, npr. putem m-zdravstva (mobilno zdravstvo) i telemedicine. Podupirat će se razvoj i/ili provedba nacionalnih i regionalnih strategija kao što su buduće strategije za digitalno zdravstvo Afričke unije i Afričkog centra za sprečavanje i kontrolu bolesti.</w:t>
      </w:r>
    </w:p>
    <w:p w14:paraId="69D85CE9" w14:textId="6968D9CA" w:rsidR="00B9220C" w:rsidRPr="003C7608" w:rsidRDefault="00C438D3" w:rsidP="00A62EA6">
      <w:pPr>
        <w:pStyle w:val="ListParagraph"/>
        <w:numPr>
          <w:ilvl w:val="0"/>
          <w:numId w:val="52"/>
        </w:numPr>
        <w:spacing w:line="240" w:lineRule="auto"/>
        <w:ind w:left="357" w:hanging="357"/>
        <w:jc w:val="both"/>
        <w:rPr>
          <w:rFonts w:ascii="Calibri" w:eastAsia="Times New Roman" w:hAnsi="Calibri" w:cs="Calibri"/>
          <w:noProof/>
        </w:rPr>
      </w:pPr>
      <w:r>
        <w:rPr>
          <w:rFonts w:ascii="Calibri" w:hAnsi="Calibri"/>
          <w:b/>
          <w:noProof/>
        </w:rPr>
        <w:t>Iskoristiti to što je EU predvodnik u reguliranju zdravstvenih podataka, digitalnih potvrda, upotrebe oblaka za razmjenu podataka, zaštite podataka i privatnosti.</w:t>
      </w:r>
      <w:r>
        <w:rPr>
          <w:rFonts w:ascii="Calibri" w:hAnsi="Calibri"/>
          <w:noProof/>
        </w:rPr>
        <w:t xml:space="preserve"> EU će iskoristiti potencijal zdravstvenih podataka iz cijelog svijeta u skladu s načelima planiranog europskog prostora za zdravstvene podatke i poticati upotrebu novih tehnologija, uključujući umjetnu inteligenciju, kako bi se povećao njihov potencijal za poboljšanje dijagnostike i liječenja u cijelom svijetu.</w:t>
      </w:r>
      <w:r>
        <w:rPr>
          <w:noProof/>
        </w:rPr>
        <w:t xml:space="preserve"> </w:t>
      </w:r>
    </w:p>
    <w:p w14:paraId="0C3ED0FF" w14:textId="38970E76" w:rsidR="007071C5" w:rsidRPr="003C7608" w:rsidRDefault="007071C5" w:rsidP="003C7608">
      <w:pPr>
        <w:pStyle w:val="ListParagraph"/>
        <w:numPr>
          <w:ilvl w:val="0"/>
          <w:numId w:val="52"/>
        </w:numPr>
        <w:spacing w:line="240" w:lineRule="auto"/>
        <w:ind w:left="357" w:hanging="357"/>
        <w:jc w:val="both"/>
        <w:rPr>
          <w:rFonts w:ascii="Calibri" w:eastAsia="Times New Roman" w:hAnsi="Calibri" w:cs="Calibri"/>
          <w:bCs/>
          <w:noProof/>
        </w:rPr>
      </w:pPr>
      <w:r>
        <w:rPr>
          <w:rFonts w:ascii="Calibri" w:hAnsi="Calibri"/>
          <w:noProof/>
        </w:rPr>
        <w:t xml:space="preserve">Doprinositi </w:t>
      </w:r>
      <w:r>
        <w:rPr>
          <w:rFonts w:ascii="Calibri" w:hAnsi="Calibri"/>
          <w:b/>
          <w:noProof/>
        </w:rPr>
        <w:t>oblikovanju digitalnog zdravstvenog ekosustava na globalnoj razini</w:t>
      </w:r>
      <w:r>
        <w:rPr>
          <w:rFonts w:ascii="Calibri" w:hAnsi="Calibri"/>
          <w:noProof/>
        </w:rPr>
        <w:t xml:space="preserve"> (pravila, norme, standardi, interoperabilnost) s pomoću europskih primjera i najbolje prakse, npr. EU digitalne COVID potvrde, i </w:t>
      </w:r>
      <w:r>
        <w:rPr>
          <w:rFonts w:ascii="Calibri" w:hAnsi="Calibri"/>
          <w:b/>
          <w:noProof/>
        </w:rPr>
        <w:t>podupiranjem međunarodnih pravila</w:t>
      </w:r>
      <w:r>
        <w:rPr>
          <w:rFonts w:ascii="Calibri" w:hAnsi="Calibri"/>
          <w:noProof/>
        </w:rPr>
        <w:t xml:space="preserve"> kompatibilnih s okvirom EU-a, ujedno olakšavajući upravljanje zdravstvenim podacima usmjereno na pojedince i takvu zaštitu tih podataka.</w:t>
      </w:r>
      <w:r>
        <w:rPr>
          <w:noProof/>
        </w:rPr>
        <w:t xml:space="preserve"> </w:t>
      </w:r>
    </w:p>
    <w:p w14:paraId="4753554D" w14:textId="4FB347B0" w:rsidR="007B0083" w:rsidRPr="00780EB0" w:rsidRDefault="00141E80" w:rsidP="003C7608">
      <w:pPr>
        <w:spacing w:line="240" w:lineRule="auto"/>
        <w:jc w:val="both"/>
        <w:rPr>
          <w:rFonts w:ascii="Times New Roman" w:eastAsiaTheme="minorEastAsia" w:hAnsi="Times New Roman" w:cs="Times New Roman"/>
          <w:b/>
          <w:bCs/>
          <w:i/>
          <w:iCs/>
          <w:noProof/>
          <w:color w:val="002060"/>
          <w:sz w:val="24"/>
        </w:rPr>
      </w:pPr>
      <w:bookmarkStart w:id="18" w:name="_Hlk119428229"/>
      <w:r>
        <w:rPr>
          <w:rFonts w:ascii="Times New Roman" w:hAnsi="Times New Roman"/>
          <w:b/>
          <w:i/>
          <w:noProof/>
          <w:color w:val="002060"/>
          <w:sz w:val="24"/>
        </w:rPr>
        <w:t xml:space="preserve">5. vodeće načelo: poticati globalna zdravstvena istraživanja kako bi se razvile tehnologije i protumjere potrebne za poboljšanje zdravlja </w:t>
      </w:r>
      <w:bookmarkEnd w:id="18"/>
    </w:p>
    <w:p w14:paraId="743714BB" w14:textId="32801E5B" w:rsidR="001364AF" w:rsidRDefault="00C945A4" w:rsidP="001260AB">
      <w:pPr>
        <w:pStyle w:val="ListParagraph"/>
        <w:keepNext/>
        <w:ind w:left="0"/>
        <w:jc w:val="both"/>
        <w:rPr>
          <w:rFonts w:ascii="Calibri" w:eastAsia="Times New Roman" w:hAnsi="Calibri" w:cs="Calibri"/>
          <w:noProof/>
        </w:rPr>
      </w:pPr>
      <w:r>
        <w:rPr>
          <w:rFonts w:ascii="Calibri" w:hAnsi="Calibri"/>
          <w:noProof/>
        </w:rPr>
        <w:t xml:space="preserve">Istraživanje je također neophodan čimbenik za poticanje boljeg zdravlja. Iskorištavanjem istraživačkog rada iz cijelog svijeta može se postići znatan napredak u području dijagnostike i liječenja. Na temelju uspjeha cjepiva protiv bolesti COVID-19 </w:t>
      </w:r>
      <w:r>
        <w:rPr>
          <w:rFonts w:ascii="Calibri" w:hAnsi="Calibri"/>
          <w:b/>
          <w:noProof/>
        </w:rPr>
        <w:t>aktivnostima istraživanja za globalno zdravlje</w:t>
      </w:r>
      <w:r>
        <w:rPr>
          <w:rFonts w:ascii="Calibri" w:hAnsi="Calibri"/>
          <w:noProof/>
        </w:rPr>
        <w:t xml:space="preserve"> potaknut će se promjene kako bi se osiguralo da istraživanje i inovacije koriste ljudima u cijelom svijetu. </w:t>
      </w:r>
    </w:p>
    <w:p w14:paraId="7F0AA50D" w14:textId="77777777" w:rsidR="001364AF" w:rsidRPr="001364AF" w:rsidRDefault="001364AF" w:rsidP="001260AB">
      <w:pPr>
        <w:pStyle w:val="ListParagraph"/>
        <w:keepNext/>
        <w:ind w:left="0"/>
        <w:jc w:val="both"/>
        <w:rPr>
          <w:rFonts w:ascii="Calibri" w:eastAsia="Times New Roman" w:hAnsi="Calibri" w:cs="Calibri"/>
          <w:noProof/>
          <w:lang w:eastAsia="en-GB"/>
        </w:rPr>
      </w:pPr>
    </w:p>
    <w:p w14:paraId="00BB0A54" w14:textId="4B9BD7EB" w:rsidR="007B0083" w:rsidRPr="003C7608" w:rsidRDefault="007B0083" w:rsidP="001260AB">
      <w:pPr>
        <w:pStyle w:val="ListParagraph"/>
        <w:keepNext/>
        <w:ind w:left="0"/>
        <w:jc w:val="both"/>
        <w:rPr>
          <w:noProof/>
        </w:rPr>
      </w:pPr>
      <w:r>
        <w:rPr>
          <w:noProof/>
        </w:rPr>
        <w:t xml:space="preserve">Kako bi se to vodeće načelo primijenilo, prioritetni su sljedeći </w:t>
      </w:r>
      <w:r>
        <w:rPr>
          <w:b/>
          <w:noProof/>
          <w:u w:val="single"/>
        </w:rPr>
        <w:t>smjerovi djelovanja</w:t>
      </w:r>
      <w:r>
        <w:rPr>
          <w:noProof/>
        </w:rPr>
        <w:t>:</w:t>
      </w:r>
    </w:p>
    <w:p w14:paraId="2C4EF6B3" w14:textId="5031D2A4" w:rsidR="002C5B2A" w:rsidRPr="003C7608" w:rsidRDefault="002C5B2A" w:rsidP="00D66D66">
      <w:pPr>
        <w:pStyle w:val="ListParagraph"/>
        <w:numPr>
          <w:ilvl w:val="0"/>
          <w:numId w:val="70"/>
        </w:numPr>
        <w:ind w:left="426" w:hanging="437"/>
        <w:jc w:val="both"/>
        <w:rPr>
          <w:noProof/>
        </w:rPr>
      </w:pPr>
      <w:r>
        <w:rPr>
          <w:b/>
          <w:noProof/>
        </w:rPr>
        <w:t>Proširiti međunarodnu suradnju u području istraživanja i inovacija</w:t>
      </w:r>
      <w:r>
        <w:rPr>
          <w:noProof/>
        </w:rPr>
        <w:t xml:space="preserve">, osigurati da istraživački podaci budu što otvoreniji, standardiziraniji i interoperabilniji te promicati širenje i iskorištavanje rezultata kao općeg dobra. To je u skladu s Komunikacijom Komisije „Globalni pristup istraživanju i inovacijama” i povezanim zaključcima Vijeća. </w:t>
      </w:r>
    </w:p>
    <w:p w14:paraId="42429032" w14:textId="4E8B0F3A" w:rsidR="007B0083" w:rsidRPr="003C7608" w:rsidRDefault="007B0083" w:rsidP="003C7608">
      <w:pPr>
        <w:pStyle w:val="ListParagraph"/>
        <w:keepNext/>
        <w:numPr>
          <w:ilvl w:val="0"/>
          <w:numId w:val="70"/>
        </w:numPr>
        <w:ind w:left="426" w:hanging="437"/>
        <w:jc w:val="both"/>
        <w:rPr>
          <w:noProof/>
        </w:rPr>
      </w:pPr>
      <w:r>
        <w:rPr>
          <w:b/>
          <w:noProof/>
        </w:rPr>
        <w:t>Podupirati cjelovita istraživanja</w:t>
      </w:r>
      <w:r>
        <w:rPr>
          <w:noProof/>
        </w:rPr>
        <w:t xml:space="preserve"> stvaranjem povoljnog istraživačkog okruženja i jačanjem cijelog vrijednosnog lanca od temeljnih do pretkliničkih i kliničkih istraživanja kako bi se premostio jaz između stvaranja i provedbe znanja i dokaza.</w:t>
      </w:r>
    </w:p>
    <w:p w14:paraId="72C1BF49" w14:textId="734D7291" w:rsidR="007B0083" w:rsidRPr="003C7608" w:rsidRDefault="007B0083" w:rsidP="003C7608">
      <w:pPr>
        <w:pStyle w:val="ListParagraph"/>
        <w:numPr>
          <w:ilvl w:val="0"/>
          <w:numId w:val="70"/>
        </w:numPr>
        <w:ind w:left="426" w:hanging="437"/>
        <w:jc w:val="both"/>
        <w:rPr>
          <w:noProof/>
        </w:rPr>
      </w:pPr>
      <w:r>
        <w:rPr>
          <w:b/>
          <w:noProof/>
        </w:rPr>
        <w:t>Podupirati izradu propisa, proizvodnju, nabavu i provedbu</w:t>
      </w:r>
      <w:r>
        <w:rPr>
          <w:noProof/>
        </w:rPr>
        <w:t xml:space="preserve"> kako bi istraživanja provedena u gospodarstvima s niskim i srednjim dohotkom bila relevantna za lokalnu proizvodnju lijekova i zdravstvenih tehnologija. </w:t>
      </w:r>
    </w:p>
    <w:p w14:paraId="529FAE72" w14:textId="0074FC1F" w:rsidR="007B0083" w:rsidRPr="003C7608" w:rsidRDefault="007B0083" w:rsidP="003C7608">
      <w:pPr>
        <w:pStyle w:val="ListParagraph"/>
        <w:numPr>
          <w:ilvl w:val="0"/>
          <w:numId w:val="70"/>
        </w:numPr>
        <w:ind w:left="426" w:hanging="437"/>
        <w:jc w:val="both"/>
        <w:rPr>
          <w:noProof/>
        </w:rPr>
      </w:pPr>
      <w:r>
        <w:rPr>
          <w:b/>
          <w:noProof/>
        </w:rPr>
        <w:t>Doprinositi uzajamnoj izgradnji kapaciteta</w:t>
      </w:r>
      <w:r>
        <w:rPr>
          <w:noProof/>
        </w:rPr>
        <w:t xml:space="preserve"> putem zajedničkih poduzeća, kao što je Globalno zdravstveno partnerstvo europskih zemalja i zemalja u razvoju u području kliničkih studija, kako bi se dodatno potaknula suradnja sa zemljama s niskim i srednjim dohotkom</w:t>
      </w:r>
      <w:r>
        <w:rPr>
          <w:rStyle w:val="FootnoteReference"/>
          <w:noProof/>
        </w:rPr>
        <w:footnoteReference w:id="44"/>
      </w:r>
      <w:r>
        <w:rPr>
          <w:noProof/>
        </w:rPr>
        <w:t xml:space="preserve">. </w:t>
      </w:r>
    </w:p>
    <w:p w14:paraId="537E29E3" w14:textId="0B7E90AE" w:rsidR="007B0083" w:rsidRPr="003C7608" w:rsidRDefault="007B0083" w:rsidP="003C7608">
      <w:pPr>
        <w:pStyle w:val="ListParagraph"/>
        <w:numPr>
          <w:ilvl w:val="0"/>
          <w:numId w:val="70"/>
        </w:numPr>
        <w:ind w:left="426" w:hanging="437"/>
        <w:jc w:val="both"/>
        <w:rPr>
          <w:noProof/>
        </w:rPr>
      </w:pPr>
      <w:r>
        <w:rPr>
          <w:b/>
          <w:noProof/>
        </w:rPr>
        <w:t>Iskoristiti industrijsku dimenziju</w:t>
      </w:r>
      <w:r>
        <w:rPr>
          <w:noProof/>
        </w:rPr>
        <w:t xml:space="preserve"> za jačanje lokalnih proizvodnih kapaciteta, osiguravajući uspješnu suradnju javnih i privatnih subjekata. </w:t>
      </w:r>
    </w:p>
    <w:p w14:paraId="734D3E0B" w14:textId="6F48D792" w:rsidR="006E79BC" w:rsidRPr="001364AF" w:rsidRDefault="00C945A4" w:rsidP="003C7608">
      <w:pPr>
        <w:pStyle w:val="ListParagraph"/>
        <w:numPr>
          <w:ilvl w:val="0"/>
          <w:numId w:val="70"/>
        </w:numPr>
        <w:ind w:left="426" w:hanging="437"/>
        <w:jc w:val="both"/>
        <w:rPr>
          <w:rFonts w:ascii="Calibri" w:eastAsia="Times New Roman" w:hAnsi="Calibri" w:cs="Calibri"/>
          <w:bCs/>
          <w:noProof/>
        </w:rPr>
      </w:pPr>
      <w:r>
        <w:rPr>
          <w:b/>
          <w:noProof/>
        </w:rPr>
        <w:t>Pojačati potporu međunarodnim procesima kojima se jača znanstvena osnova</w:t>
      </w:r>
      <w:r>
        <w:rPr>
          <w:noProof/>
        </w:rPr>
        <w:t xml:space="preserve"> za političko djelovanje, uključujući osnivanje znanstveno-političkog panela za kemikalije, otpad i onečišćenje.  </w:t>
      </w:r>
    </w:p>
    <w:p w14:paraId="5882F592" w14:textId="77777777" w:rsidR="001364AF" w:rsidRPr="003C7608" w:rsidRDefault="001364AF" w:rsidP="001364AF">
      <w:pPr>
        <w:pStyle w:val="ListParagraph"/>
        <w:ind w:left="426"/>
        <w:jc w:val="both"/>
        <w:rPr>
          <w:rFonts w:ascii="Calibri" w:eastAsia="Times New Roman" w:hAnsi="Calibri" w:cs="Calibri"/>
          <w:bCs/>
          <w:noProof/>
          <w:lang w:eastAsia="en-GB"/>
        </w:rPr>
      </w:pPr>
    </w:p>
    <w:p w14:paraId="7D7E64E3" w14:textId="10C933AC" w:rsidR="007A3026" w:rsidRPr="001364AF" w:rsidRDefault="007A3026" w:rsidP="003C7608">
      <w:pPr>
        <w:spacing w:line="240" w:lineRule="auto"/>
        <w:jc w:val="both"/>
        <w:rPr>
          <w:rFonts w:ascii="Times New Roman" w:eastAsiaTheme="minorEastAsia" w:hAnsi="Times New Roman" w:cs="Times New Roman"/>
          <w:b/>
          <w:i/>
          <w:iCs/>
          <w:noProof/>
          <w:color w:val="002060"/>
          <w:sz w:val="24"/>
        </w:rPr>
      </w:pPr>
      <w:r>
        <w:rPr>
          <w:rFonts w:ascii="Times New Roman" w:hAnsi="Times New Roman"/>
          <w:b/>
          <w:i/>
          <w:noProof/>
          <w:color w:val="002060"/>
          <w:sz w:val="24"/>
        </w:rPr>
        <w:t>6. vodeće načelo: riješiti problem neravnoteže u radnoj snazi i poticati razvoj vještina</w:t>
      </w:r>
    </w:p>
    <w:p w14:paraId="21D58193" w14:textId="6853963D" w:rsidR="006E752B" w:rsidRPr="003C7608" w:rsidRDefault="006E752B" w:rsidP="003C7608">
      <w:pPr>
        <w:spacing w:line="240" w:lineRule="auto"/>
        <w:jc w:val="both"/>
        <w:rPr>
          <w:rFonts w:ascii="Calibri" w:eastAsia="Times New Roman" w:hAnsi="Calibri" w:cs="Calibri"/>
          <w:noProof/>
        </w:rPr>
      </w:pPr>
      <w:r>
        <w:rPr>
          <w:rStyle w:val="normaltextrun"/>
          <w:noProof/>
        </w:rPr>
        <w:t xml:space="preserve">U okviru </w:t>
      </w:r>
      <w:r>
        <w:rPr>
          <w:rStyle w:val="normaltextrun"/>
          <w:b/>
          <w:noProof/>
        </w:rPr>
        <w:t>mjera za radnu snagu u zdravstvu</w:t>
      </w:r>
      <w:r>
        <w:rPr>
          <w:rStyle w:val="normaltextrun"/>
          <w:noProof/>
        </w:rPr>
        <w:t xml:space="preserve"> u ovoj će se strategiji razmotriti i nužni razvoj odgovarajućih vještina i problem nedostatka osoblja. Za to je potreban dugoročan, integriran pristup uz sudjelovanje socijalnih partnera, suradnju među zemljama i uviđanje da su problemi ozbiljniji u segmentu zdravstvene njege i skrbi te da nerazmjerno pogađaju žene:</w:t>
      </w:r>
      <w:r>
        <w:rPr>
          <w:rFonts w:ascii="Calibri" w:hAnsi="Calibri"/>
          <w:noProof/>
        </w:rPr>
        <w:t xml:space="preserve"> </w:t>
      </w:r>
    </w:p>
    <w:p w14:paraId="01FE2BEE" w14:textId="77777777" w:rsidR="00E31B52" w:rsidRPr="00587E5B" w:rsidRDefault="00C438D3" w:rsidP="00A62EA6">
      <w:pPr>
        <w:pStyle w:val="ListParagraph"/>
        <w:numPr>
          <w:ilvl w:val="0"/>
          <w:numId w:val="53"/>
        </w:numPr>
        <w:ind w:left="357" w:hanging="357"/>
        <w:jc w:val="both"/>
        <w:rPr>
          <w:rFonts w:ascii="Calibri" w:eastAsia="Times New Roman" w:hAnsi="Calibri" w:cs="Calibri"/>
          <w:noProof/>
        </w:rPr>
      </w:pPr>
      <w:r>
        <w:rPr>
          <w:rFonts w:ascii="Calibri" w:hAnsi="Calibri"/>
          <w:b/>
          <w:noProof/>
        </w:rPr>
        <w:t>Jačati međunarodnu suradnju i poštovanje međunarodnih obveza u pogledu zapošljavanja</w:t>
      </w:r>
      <w:r>
        <w:rPr>
          <w:rFonts w:ascii="Calibri" w:hAnsi="Calibri"/>
          <w:noProof/>
        </w:rPr>
        <w:t xml:space="preserve"> i razvijati pouzdano </w:t>
      </w:r>
      <w:r>
        <w:rPr>
          <w:rFonts w:ascii="Calibri" w:hAnsi="Calibri"/>
          <w:b/>
          <w:noProof/>
        </w:rPr>
        <w:t>praćenje i prikupljanje podataka o radnoj snazi i njezinim tokovima</w:t>
      </w:r>
      <w:r>
        <w:rPr>
          <w:rFonts w:ascii="Calibri" w:hAnsi="Calibri"/>
          <w:noProof/>
        </w:rPr>
        <w:t>.</w:t>
      </w:r>
    </w:p>
    <w:p w14:paraId="699E2194" w14:textId="6C93739D" w:rsidR="005F7AF7" w:rsidRPr="00195AA8" w:rsidRDefault="009F52F5" w:rsidP="005F7AF7">
      <w:pPr>
        <w:pStyle w:val="ListParagraph"/>
        <w:numPr>
          <w:ilvl w:val="0"/>
          <w:numId w:val="53"/>
        </w:numPr>
        <w:ind w:left="357" w:hanging="357"/>
        <w:jc w:val="both"/>
        <w:rPr>
          <w:rFonts w:ascii="Calibri" w:eastAsia="Times New Roman" w:hAnsi="Calibri" w:cs="Calibri"/>
          <w:noProof/>
        </w:rPr>
      </w:pPr>
      <w:bookmarkStart w:id="19" w:name="_Hlk119917632"/>
      <w:r>
        <w:rPr>
          <w:rFonts w:ascii="Calibri" w:hAnsi="Calibri"/>
          <w:noProof/>
        </w:rPr>
        <w:t>U kontekstu nedostatka radne snage u zdravstvu</w:t>
      </w:r>
      <w:r>
        <w:rPr>
          <w:rStyle w:val="FootnoteReference"/>
          <w:rFonts w:ascii="Calibri" w:eastAsia="Times New Roman" w:hAnsi="Calibri" w:cs="Calibri"/>
          <w:bCs/>
          <w:noProof/>
          <w:lang w:eastAsia="en-GB"/>
        </w:rPr>
        <w:footnoteReference w:id="45"/>
      </w:r>
      <w:r>
        <w:rPr>
          <w:rFonts w:ascii="Calibri" w:hAnsi="Calibri"/>
          <w:noProof/>
        </w:rPr>
        <w:t xml:space="preserve"> </w:t>
      </w:r>
      <w:r>
        <w:rPr>
          <w:rFonts w:ascii="Calibri" w:hAnsi="Calibri"/>
          <w:b/>
          <w:noProof/>
        </w:rPr>
        <w:t>poticati uzajamno korisne aranžmane za mobilnost</w:t>
      </w:r>
      <w:r>
        <w:rPr>
          <w:rFonts w:ascii="Calibri" w:hAnsi="Calibri"/>
          <w:noProof/>
        </w:rPr>
        <w:t xml:space="preserve"> s partnerima, promicati kružnu mobilnost i suzbijati odljev mozgova, među ostalim oslanjajući se na Paket za vještine i talente, posebno na buduća partnerstva za talente s partnerskim zemljama.</w:t>
      </w:r>
    </w:p>
    <w:bookmarkEnd w:id="19"/>
    <w:p w14:paraId="520B3651" w14:textId="05654B33" w:rsidR="006E752B" w:rsidRPr="00587E5B" w:rsidRDefault="009F52F5" w:rsidP="007A3026">
      <w:pPr>
        <w:pStyle w:val="ListParagraph"/>
        <w:numPr>
          <w:ilvl w:val="0"/>
          <w:numId w:val="53"/>
        </w:numPr>
        <w:ind w:left="357" w:hanging="357"/>
        <w:jc w:val="both"/>
        <w:rPr>
          <w:rFonts w:ascii="Segoe UI" w:hAnsi="Segoe UI" w:cs="Segoe UI"/>
          <w:noProof/>
          <w:color w:val="2F5496" w:themeColor="accent1" w:themeShade="BF"/>
          <w:sz w:val="18"/>
          <w:szCs w:val="18"/>
        </w:rPr>
      </w:pPr>
      <w:r>
        <w:rPr>
          <w:rFonts w:ascii="Calibri" w:hAnsi="Calibri"/>
          <w:b/>
          <w:noProof/>
        </w:rPr>
        <w:t>Podupirati partnerske zemlje u osposobljavanju, zapošljavanju i raspoređivanju zdravstvenih radnika te osiguravanju njihova profesionalnog razvoja</w:t>
      </w:r>
      <w:r>
        <w:rPr>
          <w:rFonts w:ascii="Calibri" w:hAnsi="Calibri"/>
          <w:noProof/>
        </w:rPr>
        <w:t xml:space="preserve"> odgovarajućim obrazovanjem i provođenjem programa strukovnog osposobljavanja za pomoćno osoblje u partnerstvu s drugim donatorima, pritom poštujući potrebu da se podupire zadržavanje kvalificiranih zdravstvenih radnika. </w:t>
      </w:r>
      <w:r>
        <w:rPr>
          <w:noProof/>
        </w:rPr>
        <w:t>Inicijativa Tima Europa za strukovno osposobljavanje potaknuto prilikama</w:t>
      </w:r>
      <w:r>
        <w:rPr>
          <w:rStyle w:val="FootnoteReference"/>
          <w:noProof/>
        </w:rPr>
        <w:footnoteReference w:id="46"/>
      </w:r>
      <w:r>
        <w:rPr>
          <w:noProof/>
        </w:rPr>
        <w:t xml:space="preserve"> pomoći će u analizi potrebe za tehničkim profilima i provedbi potrebnog osposobljavanja. </w:t>
      </w:r>
    </w:p>
    <w:p w14:paraId="1A029967" w14:textId="0D07BC6B" w:rsidR="00317D69" w:rsidRPr="003C7608" w:rsidRDefault="00317D69" w:rsidP="007A3026">
      <w:pPr>
        <w:pStyle w:val="ListParagraph"/>
        <w:numPr>
          <w:ilvl w:val="0"/>
          <w:numId w:val="53"/>
        </w:numPr>
        <w:ind w:left="357" w:hanging="357"/>
        <w:jc w:val="both"/>
        <w:rPr>
          <w:rFonts w:ascii="Segoe UI" w:hAnsi="Segoe UI" w:cs="Segoe UI"/>
          <w:noProof/>
          <w:color w:val="2F5496" w:themeColor="accent1" w:themeShade="BF"/>
          <w:sz w:val="18"/>
          <w:szCs w:val="18"/>
        </w:rPr>
      </w:pPr>
      <w:r>
        <w:rPr>
          <w:rFonts w:ascii="Calibri" w:hAnsi="Calibri"/>
          <w:b/>
          <w:noProof/>
        </w:rPr>
        <w:t>Podupirati partnerstva u okviru Pakta za vještine i Plana za sektorsku suradnju u području vještina</w:t>
      </w:r>
      <w:r>
        <w:rPr>
          <w:rFonts w:ascii="Calibri" w:hAnsi="Calibri"/>
          <w:noProof/>
        </w:rPr>
        <w:t xml:space="preserve"> kako bi se bolje razumjele posebne potrebe za vještinama u području zdravstva i skrbi te razvila relevantna rješenja za izobrazbu.</w:t>
      </w:r>
    </w:p>
    <w:p w14:paraId="41E577B5" w14:textId="7FFB8964" w:rsidR="00A109E1" w:rsidRPr="00C0330D" w:rsidRDefault="00A109E1" w:rsidP="001364AF">
      <w:pPr>
        <w:pStyle w:val="Heading2"/>
        <w:spacing w:before="0"/>
        <w:jc w:val="both"/>
        <w:rPr>
          <w:rFonts w:ascii="Segoe UI" w:eastAsia="Times New Roman" w:hAnsi="Segoe UI" w:cs="Segoe UI"/>
          <w:b/>
          <w:noProof/>
          <w:sz w:val="18"/>
          <w:szCs w:val="18"/>
        </w:rPr>
      </w:pPr>
      <w:r>
        <w:rPr>
          <w:b/>
          <w:noProof/>
        </w:rPr>
        <w:t xml:space="preserve">2.3. Sprečavanje i suzbijanje prijetnji zdravlju, uključujući pandemije, primjenom pristupa „jedno zdravlje” </w:t>
      </w:r>
    </w:p>
    <w:p w14:paraId="5E2EE49E" w14:textId="26E495D9" w:rsidR="001345FE" w:rsidRPr="003C7608" w:rsidRDefault="009F6D26" w:rsidP="009C12D5">
      <w:pPr>
        <w:spacing w:line="240" w:lineRule="auto"/>
        <w:jc w:val="both"/>
        <w:rPr>
          <w:rFonts w:ascii="Calibri" w:eastAsia="Times New Roman" w:hAnsi="Calibri" w:cs="Calibri"/>
          <w:noProof/>
        </w:rPr>
      </w:pPr>
      <w:r>
        <w:rPr>
          <w:rFonts w:ascii="Calibri" w:hAnsi="Calibri"/>
          <w:noProof/>
        </w:rPr>
        <w:t>Suzbijanje prijetnji zdravlju postalo je jedan od glavnih prioriteta. Izgledno je da je svijet na pragu doba pandemija</w:t>
      </w:r>
      <w:r>
        <w:rPr>
          <w:rStyle w:val="FootnoteReference"/>
          <w:rFonts w:ascii="Calibri" w:eastAsia="Times New Roman" w:hAnsi="Calibri" w:cs="Calibri"/>
          <w:noProof/>
          <w:lang w:eastAsia="en-GB"/>
        </w:rPr>
        <w:footnoteReference w:id="47"/>
      </w:r>
      <w:r>
        <w:rPr>
          <w:rFonts w:ascii="Calibri" w:hAnsi="Calibri"/>
          <w:noProof/>
        </w:rPr>
        <w:t xml:space="preserve"> zbog međusobne povezanosti današnjih društava i povezanosti našeg postojanja s klimom, okolišem i životinjama. Prijetnje zdravlju mogu biti različitog podrijetla, uključujući onečišćenje okoliša te kemijske, biološke, radiološke ili nuklearne (KBRN) prijetnje, a to iziskuje sveobuhvatan pristup koji obuhvaća sve opasnosti. Komisija je u srpnju 2022.</w:t>
      </w:r>
      <w:r>
        <w:rPr>
          <w:rStyle w:val="FootnoteReference"/>
          <w:rFonts w:ascii="Calibri" w:eastAsia="Times New Roman" w:hAnsi="Calibri" w:cs="Calibri"/>
          <w:noProof/>
          <w:lang w:eastAsia="en-GB"/>
        </w:rPr>
        <w:footnoteReference w:id="48"/>
      </w:r>
      <w:r>
        <w:rPr>
          <w:rFonts w:ascii="Calibri" w:hAnsi="Calibri"/>
          <w:noProof/>
        </w:rPr>
        <w:t xml:space="preserve"> sastavila popis triju najvećih prekograničnih prijetnji zdravlju za koje se treba pripremiti (patogeni s velikim potencijalom pandemije, KBRN prijetnje i antimikrobna otpornost), koji bi trebao poslužiti za usmjeravanje i unutarnjeg i vanjskog djelovanja. </w:t>
      </w:r>
    </w:p>
    <w:p w14:paraId="14C4EF94" w14:textId="29A022BB" w:rsidR="007061E2" w:rsidRPr="003C7608" w:rsidRDefault="007061E2" w:rsidP="007061E2">
      <w:pPr>
        <w:spacing w:line="240" w:lineRule="auto"/>
        <w:jc w:val="both"/>
        <w:rPr>
          <w:rFonts w:eastAsia="Calibri"/>
          <w:noProof/>
          <w:color w:val="000000" w:themeColor="text1"/>
        </w:rPr>
      </w:pPr>
      <w:r>
        <w:rPr>
          <w:rStyle w:val="normaltextrun"/>
          <w:rFonts w:ascii="Calibri" w:hAnsi="Calibri"/>
          <w:b/>
          <w:noProof/>
        </w:rPr>
        <w:t>EU</w:t>
      </w:r>
      <w:r>
        <w:rPr>
          <w:noProof/>
        </w:rPr>
        <w:t xml:space="preserve"> </w:t>
      </w:r>
      <w:r>
        <w:rPr>
          <w:rStyle w:val="normaltextrun"/>
          <w:rFonts w:ascii="Calibri" w:hAnsi="Calibri"/>
          <w:b/>
          <w:noProof/>
        </w:rPr>
        <w:t>je odmah počeo učiti iz iskustva pandemije</w:t>
      </w:r>
      <w:r>
        <w:rPr>
          <w:rStyle w:val="normaltextrun"/>
          <w:rFonts w:ascii="Calibri" w:hAnsi="Calibri"/>
          <w:noProof/>
        </w:rPr>
        <w:t>; donio je</w:t>
      </w:r>
      <w:r>
        <w:rPr>
          <w:rStyle w:val="normaltextrun"/>
          <w:rFonts w:ascii="Calibri" w:hAnsi="Calibri"/>
          <w:b/>
          <w:noProof/>
        </w:rPr>
        <w:t xml:space="preserve"> </w:t>
      </w:r>
      <w:r>
        <w:rPr>
          <w:rStyle w:val="normaltextrun"/>
          <w:rFonts w:ascii="Calibri" w:hAnsi="Calibri"/>
          <w:noProof/>
        </w:rPr>
        <w:t xml:space="preserve">novu Uredbu o ozbiljnim prekograničnim prijetnjama zdravlju </w:t>
      </w:r>
      <w:r>
        <w:rPr>
          <w:rFonts w:ascii="Calibri" w:hAnsi="Calibri"/>
          <w:noProof/>
        </w:rPr>
        <w:t xml:space="preserve">te poboljšao pripravnost i odgovor u području medicinskih protumjera, prvenstveno </w:t>
      </w:r>
      <w:r>
        <w:rPr>
          <w:rStyle w:val="normaltextrun"/>
          <w:rFonts w:ascii="Calibri" w:hAnsi="Calibri"/>
          <w:noProof/>
        </w:rPr>
        <w:t>uspostavom Tijela za pripravnost i odgovor na zdravstvene krize (HERA)</w:t>
      </w:r>
      <w:r>
        <w:rPr>
          <w:rFonts w:ascii="Calibri" w:hAnsi="Calibri"/>
          <w:noProof/>
        </w:rPr>
        <w:t>.</w:t>
      </w:r>
      <w:r>
        <w:rPr>
          <w:rFonts w:ascii="Calibri" w:hAnsi="Calibri"/>
          <w:b/>
          <w:noProof/>
        </w:rPr>
        <w:t xml:space="preserve"> </w:t>
      </w:r>
      <w:r>
        <w:rPr>
          <w:rStyle w:val="normaltextrun"/>
          <w:rFonts w:ascii="Calibri" w:hAnsi="Calibri"/>
          <w:noProof/>
        </w:rPr>
        <w:t xml:space="preserve">Kad je riječ o takvim protumjerama, u Izvješću o stanju pripravnosti u području zdravlja, koje se predstavlja usporedno sa strategijom, navode se konkretne mjere koje su poduzete, među ostalim na globalnoj razini. </w:t>
      </w:r>
    </w:p>
    <w:p w14:paraId="1B2E2576" w14:textId="15BE4F5C" w:rsidR="00A109E1" w:rsidRPr="003C7608" w:rsidRDefault="009E7168" w:rsidP="009C12D5">
      <w:pPr>
        <w:spacing w:line="240" w:lineRule="auto"/>
        <w:jc w:val="both"/>
        <w:rPr>
          <w:rFonts w:ascii="Calibri" w:eastAsia="Calibri" w:hAnsi="Calibri" w:cs="Calibri"/>
          <w:noProof/>
          <w:color w:val="000000" w:themeColor="text1"/>
        </w:rPr>
      </w:pPr>
      <w:r>
        <w:rPr>
          <w:rFonts w:ascii="Calibri" w:hAnsi="Calibri"/>
          <w:noProof/>
        </w:rPr>
        <w:t>Taj se rad mora nastaviti jer, kako je naglasio Neovisni odbor za pripravnost i odgovor na pandemije, treba još mnogo učiniti prije nego što svijet bude kolektivno spreman za tu zadaću</w:t>
      </w:r>
      <w:r>
        <w:rPr>
          <w:rStyle w:val="FootnoteReference"/>
          <w:rFonts w:ascii="Calibri" w:eastAsia="Times New Roman" w:hAnsi="Calibri" w:cs="Calibri"/>
          <w:noProof/>
          <w:lang w:eastAsia="en-GB"/>
        </w:rPr>
        <w:footnoteReference w:id="49"/>
      </w:r>
      <w:r>
        <w:rPr>
          <w:rFonts w:ascii="Calibri" w:hAnsi="Calibri"/>
          <w:noProof/>
        </w:rPr>
        <w:t xml:space="preserve">. Stoga se strategijom i dalje nastoji riješiti problem aktualne pandemije bolesti COVID-19 i njezinih posljedica te na temelju iskustva iz protekle tri godine izgraditi sveobuhvatan pristup osiguravanju </w:t>
      </w:r>
      <w:r>
        <w:rPr>
          <w:rFonts w:ascii="Calibri" w:hAnsi="Calibri"/>
          <w:b/>
          <w:noProof/>
        </w:rPr>
        <w:t>globalne zdravstvene sigurnosti</w:t>
      </w:r>
      <w:r>
        <w:rPr>
          <w:rFonts w:ascii="Calibri" w:hAnsi="Calibri"/>
          <w:noProof/>
        </w:rPr>
        <w:t xml:space="preserve">. </w:t>
      </w:r>
    </w:p>
    <w:p w14:paraId="022D2DAD" w14:textId="77530024" w:rsidR="001364AF" w:rsidRPr="003C7608" w:rsidRDefault="00A109E1" w:rsidP="00506A1E">
      <w:pPr>
        <w:spacing w:line="240" w:lineRule="auto"/>
        <w:jc w:val="both"/>
        <w:rPr>
          <w:noProof/>
        </w:rPr>
      </w:pPr>
      <w:r>
        <w:rPr>
          <w:noProof/>
        </w:rPr>
        <w:t xml:space="preserve">Kako bi predvodila ta globalna nastojanja, Komisija će slijediti </w:t>
      </w:r>
      <w:r>
        <w:rPr>
          <w:b/>
          <w:noProof/>
          <w:u w:val="single"/>
        </w:rPr>
        <w:t>vodeća načela</w:t>
      </w:r>
      <w:r>
        <w:rPr>
          <w:noProof/>
        </w:rPr>
        <w:t xml:space="preserve">, na što poziva i države članice: </w:t>
      </w:r>
    </w:p>
    <w:p w14:paraId="29AE8AC2" w14:textId="40F73D9C" w:rsidR="00780EB0" w:rsidRPr="00780EB0" w:rsidRDefault="00780EB0" w:rsidP="00156321">
      <w:pPr>
        <w:spacing w:line="240" w:lineRule="auto"/>
        <w:jc w:val="both"/>
        <w:rPr>
          <w:rFonts w:ascii="Times New Roman" w:eastAsiaTheme="minorEastAsia" w:hAnsi="Times New Roman" w:cs="Times New Roman"/>
          <w:b/>
          <w:bCs/>
          <w:i/>
          <w:iCs/>
          <w:noProof/>
          <w:color w:val="002060"/>
          <w:sz w:val="24"/>
        </w:rPr>
      </w:pPr>
      <w:r>
        <w:rPr>
          <w:rFonts w:ascii="Times New Roman" w:hAnsi="Times New Roman"/>
          <w:b/>
          <w:i/>
          <w:noProof/>
          <w:color w:val="002060"/>
          <w:sz w:val="24"/>
        </w:rPr>
        <w:t>7. vodeće načelo: jačati kapacitete za prevenciju, pripravnost i odgovor te rano otkrivanje prijetnji zdravlju na globalnoj razini</w:t>
      </w:r>
    </w:p>
    <w:p w14:paraId="12AFF6D4" w14:textId="3D7623D6" w:rsidR="00156321" w:rsidRPr="003C7608" w:rsidRDefault="009F0F6B" w:rsidP="00156321">
      <w:pPr>
        <w:spacing w:line="240" w:lineRule="auto"/>
        <w:jc w:val="both"/>
        <w:rPr>
          <w:rFonts w:ascii="Calibri" w:hAnsi="Calibri" w:cs="Calibri"/>
          <w:noProof/>
        </w:rPr>
      </w:pPr>
      <w:r>
        <w:rPr>
          <w:rStyle w:val="normaltextrun"/>
          <w:rFonts w:ascii="Calibri" w:hAnsi="Calibri"/>
          <w:noProof/>
        </w:rPr>
        <w:t xml:space="preserve">Pandemija bolesti COVID-19 ukazala je na važnost pouzdanih kapaciteta za pripravnost i odgovor te odgovarajućih financijskih sredstava za spašavanje života. </w:t>
      </w:r>
      <w:r>
        <w:rPr>
          <w:rStyle w:val="normaltextrun"/>
          <w:noProof/>
        </w:rPr>
        <w:t>Pokazala je i da bi se potrošnjom nekoliko milijardi eura bili uštedjeli bilijuni.</w:t>
      </w:r>
      <w:r>
        <w:rPr>
          <w:rStyle w:val="normaltextrun"/>
          <w:rFonts w:ascii="Calibri" w:hAnsi="Calibri"/>
          <w:noProof/>
        </w:rPr>
        <w:t xml:space="preserve"> Bit će ključno SZO-u osigurati održivo financiranje i predvoditi inovativne načine za osiguravanje sredstava koja nedostaju, kao što je Fond za pandemije</w:t>
      </w:r>
      <w:r>
        <w:rPr>
          <w:rStyle w:val="FootnoteReference"/>
          <w:rFonts w:ascii="Calibri" w:hAnsi="Calibri" w:cs="Calibri"/>
          <w:noProof/>
        </w:rPr>
        <w:footnoteReference w:id="50"/>
      </w:r>
      <w:r>
        <w:rPr>
          <w:rStyle w:val="normaltextrun"/>
          <w:rFonts w:ascii="Calibri" w:hAnsi="Calibri"/>
          <w:noProof/>
        </w:rPr>
        <w:t xml:space="preserve">, koji su Komisija i neke države članice EU-a zajednički osnovale kao glavni donatori. </w:t>
      </w:r>
    </w:p>
    <w:p w14:paraId="039CDAB1" w14:textId="15FE4F67" w:rsidR="00156321" w:rsidRPr="003C7608" w:rsidRDefault="00156321" w:rsidP="00156321">
      <w:pPr>
        <w:spacing w:line="240" w:lineRule="auto"/>
        <w:jc w:val="both"/>
        <w:rPr>
          <w:rStyle w:val="normaltextrun"/>
          <w:rFonts w:ascii="Calibri" w:hAnsi="Calibri" w:cs="Calibri"/>
          <w:noProof/>
        </w:rPr>
      </w:pPr>
      <w:r>
        <w:rPr>
          <w:rStyle w:val="normaltextrun"/>
          <w:rFonts w:ascii="Calibri" w:hAnsi="Calibri"/>
          <w:noProof/>
        </w:rPr>
        <w:t xml:space="preserve">EU bi i dalje trebao biti usmjeren na poboljšanje mjera biološke zaštite i biološke sigurnosti u relevantnim institucijama te na bolje informiranje javnosti i izobrazbu osoblja. </w:t>
      </w:r>
    </w:p>
    <w:p w14:paraId="337E6A34" w14:textId="77777777" w:rsidR="00156321" w:rsidRPr="003C7608" w:rsidRDefault="00156321" w:rsidP="00156321">
      <w:pPr>
        <w:spacing w:line="240" w:lineRule="auto"/>
        <w:jc w:val="both"/>
        <w:rPr>
          <w:rFonts w:cstheme="minorHAnsi"/>
          <w:noProof/>
        </w:rPr>
      </w:pPr>
      <w:r>
        <w:rPr>
          <w:noProof/>
        </w:rPr>
        <w:t xml:space="preserve">Kako bi se ta vodeća načela primijenila, prioritetni su sljedeći </w:t>
      </w:r>
      <w:r>
        <w:rPr>
          <w:b/>
          <w:noProof/>
          <w:u w:val="single"/>
        </w:rPr>
        <w:t>smjerovi djelovanja</w:t>
      </w:r>
      <w:r>
        <w:rPr>
          <w:noProof/>
        </w:rPr>
        <w:t>:</w:t>
      </w:r>
    </w:p>
    <w:p w14:paraId="13BD25AF" w14:textId="6F1E54DD" w:rsidR="00156321" w:rsidRPr="003C7608" w:rsidRDefault="00156321" w:rsidP="00156321">
      <w:pPr>
        <w:numPr>
          <w:ilvl w:val="0"/>
          <w:numId w:val="5"/>
        </w:numPr>
        <w:ind w:left="357" w:hanging="357"/>
        <w:contextualSpacing/>
        <w:jc w:val="both"/>
        <w:textAlignment w:val="baseline"/>
        <w:rPr>
          <w:rFonts w:ascii="Calibri" w:eastAsia="Times New Roman" w:hAnsi="Calibri" w:cs="Calibri"/>
          <w:noProof/>
        </w:rPr>
      </w:pPr>
      <w:r>
        <w:rPr>
          <w:rFonts w:ascii="Calibri" w:hAnsi="Calibri"/>
          <w:b/>
          <w:noProof/>
        </w:rPr>
        <w:t>Zdravstvenu sigurnost odrediti kao prioritet u programu za globalno zdravlje</w:t>
      </w:r>
      <w:r>
        <w:rPr>
          <w:rFonts w:ascii="Calibri" w:hAnsi="Calibri"/>
          <w:noProof/>
        </w:rPr>
        <w:t xml:space="preserve">, među ostalim </w:t>
      </w:r>
      <w:r>
        <w:rPr>
          <w:rFonts w:ascii="Calibri" w:hAnsi="Calibri"/>
          <w:b/>
          <w:noProof/>
        </w:rPr>
        <w:t>osmišljavanjem i provedbom inicijative Tima Europa s Afrikom</w:t>
      </w:r>
      <w:r>
        <w:rPr>
          <w:rStyle w:val="FootnoteReference"/>
          <w:rFonts w:ascii="Calibri" w:eastAsia="Times New Roman" w:hAnsi="Calibri" w:cs="Calibri"/>
          <w:b/>
          <w:noProof/>
          <w:lang w:eastAsia="en-GB"/>
        </w:rPr>
        <w:footnoteReference w:id="51"/>
      </w:r>
      <w:r>
        <w:rPr>
          <w:rFonts w:ascii="Calibri" w:hAnsi="Calibri"/>
          <w:noProof/>
        </w:rPr>
        <w:t xml:space="preserve"> za zdravstvenu sigurnost primjenom pristupa „jedno zdravlje” kako bi se ojačali sustavi i kapaciteti za prevenciju, pripravnost i odgovor na prijetnje zaraznih i nezaraznih bolesti, uključujući one koje proizlaze iz onečišćenja okoliša i antimikrobne otpornosti, koji su održivi i temelje se na poznavanju rizika (vidjeti i 11. načelo u nastavku).  </w:t>
      </w:r>
    </w:p>
    <w:p w14:paraId="5A5B676A" w14:textId="13870ED9" w:rsidR="00156321" w:rsidRPr="003C7608" w:rsidRDefault="00156321" w:rsidP="00156321">
      <w:pPr>
        <w:numPr>
          <w:ilvl w:val="0"/>
          <w:numId w:val="5"/>
        </w:numPr>
        <w:contextualSpacing/>
        <w:jc w:val="both"/>
        <w:rPr>
          <w:rFonts w:ascii="Calibri" w:eastAsia="Calibri" w:hAnsi="Calibri" w:cs="Calibri"/>
          <w:noProof/>
        </w:rPr>
      </w:pPr>
      <w:r>
        <w:rPr>
          <w:rFonts w:ascii="Calibri" w:hAnsi="Calibri"/>
          <w:b/>
          <w:noProof/>
        </w:rPr>
        <w:t>Podupirati regionalno i državno djelovanje za jačanje farmaceutskih sustava i proizvodnih kapaciteta</w:t>
      </w:r>
      <w:r>
        <w:rPr>
          <w:rFonts w:ascii="Calibri" w:hAnsi="Calibri"/>
          <w:noProof/>
        </w:rPr>
        <w:t xml:space="preserve"> za cjepiva i druge medicinske proizvode i tehnologije kako bi se povećali kvaliteta, sigurnost, pravedan pristup i suverenitet zdravstva. U tu svrhu pojačati aktualnu </w:t>
      </w:r>
      <w:r>
        <w:rPr>
          <w:rFonts w:ascii="Calibri" w:hAnsi="Calibri"/>
          <w:b/>
          <w:noProof/>
        </w:rPr>
        <w:t>inicijativu Tima Europa za proizvodnju i pristup cjepivima, lijekovima i zdravstvenim tehnologijama u Africi</w:t>
      </w:r>
      <w:r>
        <w:rPr>
          <w:rStyle w:val="FootnoteReference"/>
          <w:rFonts w:ascii="Calibri" w:eastAsia="Times New Roman" w:hAnsi="Calibri" w:cs="Calibri"/>
          <w:noProof/>
          <w:lang w:eastAsia="en-GB"/>
        </w:rPr>
        <w:footnoteReference w:id="52"/>
      </w:r>
      <w:r>
        <w:rPr>
          <w:rFonts w:ascii="Calibri" w:hAnsi="Calibri"/>
          <w:noProof/>
        </w:rPr>
        <w:t xml:space="preserve"> te </w:t>
      </w:r>
      <w:r>
        <w:rPr>
          <w:rFonts w:ascii="Calibri" w:hAnsi="Calibri"/>
          <w:b/>
          <w:noProof/>
        </w:rPr>
        <w:t>partnerstvo EU-a s Latinskom Amerikom i Karibima za zdravlje</w:t>
      </w:r>
      <w:r>
        <w:rPr>
          <w:rStyle w:val="FootnoteReference"/>
          <w:rFonts w:ascii="Calibri" w:eastAsia="Times New Roman" w:hAnsi="Calibri" w:cs="Calibri"/>
          <w:noProof/>
          <w:lang w:eastAsia="en-GB"/>
        </w:rPr>
        <w:footnoteReference w:id="53"/>
      </w:r>
      <w:r>
        <w:rPr>
          <w:rFonts w:ascii="Calibri" w:hAnsi="Calibri"/>
          <w:noProof/>
        </w:rPr>
        <w:t>. EU će ulagati u jačanje tržišta zdravstvenih proizvoda i podupiranje sveobuhvatne javne nabave i upravljanja lancem opskrbe, uključujući transparentnost i praćenje, a pritom će se, među ostalim, koristiti mrežama za potporu poslovanju kako bi olakšao povezivanje, razmjene na tržištu i dijalog industrijskih aktera.</w:t>
      </w:r>
      <w:r>
        <w:rPr>
          <w:noProof/>
        </w:rPr>
        <w:t xml:space="preserve"> </w:t>
      </w:r>
    </w:p>
    <w:p w14:paraId="7F9B3A3A" w14:textId="0679AE83" w:rsidR="00156321" w:rsidRPr="003C7608" w:rsidRDefault="00156321" w:rsidP="00156321">
      <w:pPr>
        <w:numPr>
          <w:ilvl w:val="0"/>
          <w:numId w:val="5"/>
        </w:numPr>
        <w:contextualSpacing/>
        <w:jc w:val="both"/>
        <w:rPr>
          <w:rFonts w:ascii="Calibri" w:eastAsia="Calibri" w:hAnsi="Calibri" w:cs="Calibri"/>
          <w:noProof/>
        </w:rPr>
      </w:pPr>
      <w:r>
        <w:rPr>
          <w:rFonts w:ascii="Calibri" w:hAnsi="Calibri"/>
          <w:b/>
          <w:noProof/>
        </w:rPr>
        <w:t>Diversificirati i izgraditi kapacitete lanaca opskrbe EU-a za ključnu opremu i protumjere, dijagnostiku i terapiju</w:t>
      </w:r>
      <w:r>
        <w:rPr>
          <w:rFonts w:ascii="Calibri" w:hAnsi="Calibri"/>
          <w:noProof/>
        </w:rPr>
        <w:t xml:space="preserve"> ciljanim djelovanjem kako bi se izbjegle nestašice u opskrbi i zaštitili pružatelji usluga u cijelom svijetu. Tako će se povećati strateška otpornost EU-a i, što je najvažnije, globalna dostupnost protumjera, čime će se pak poboljšati pristup partnera takvim proizvodima i otvoriti putovi za suradnju.</w:t>
      </w:r>
    </w:p>
    <w:p w14:paraId="0115B26B" w14:textId="01F57FA0" w:rsidR="00156321" w:rsidRPr="003C7608" w:rsidRDefault="00347F69" w:rsidP="00156321">
      <w:pPr>
        <w:numPr>
          <w:ilvl w:val="0"/>
          <w:numId w:val="5"/>
        </w:numPr>
        <w:ind w:left="357" w:hanging="357"/>
        <w:contextualSpacing/>
        <w:jc w:val="both"/>
        <w:textAlignment w:val="baseline"/>
        <w:rPr>
          <w:rFonts w:ascii="Calibri" w:eastAsia="Times New Roman" w:hAnsi="Calibri" w:cs="Calibri"/>
          <w:noProof/>
        </w:rPr>
      </w:pPr>
      <w:r>
        <w:rPr>
          <w:rFonts w:ascii="Calibri" w:hAnsi="Calibri"/>
          <w:b/>
          <w:noProof/>
        </w:rPr>
        <w:t>Razviti kapacitete za rano otkrivanje te dobro i održivo gospodarenje opasnim</w:t>
      </w:r>
      <w:r>
        <w:rPr>
          <w:rFonts w:ascii="Calibri" w:hAnsi="Calibri"/>
          <w:noProof/>
        </w:rPr>
        <w:t xml:space="preserve"> otpadom i </w:t>
      </w:r>
      <w:r>
        <w:rPr>
          <w:rFonts w:ascii="Calibri" w:hAnsi="Calibri"/>
          <w:b/>
          <w:noProof/>
        </w:rPr>
        <w:t>materijalima</w:t>
      </w:r>
      <w:r>
        <w:rPr>
          <w:rStyle w:val="FootnoteReference"/>
          <w:rFonts w:ascii="Calibri" w:eastAsia="Times New Roman" w:hAnsi="Calibri" w:cs="Calibri"/>
          <w:b/>
          <w:noProof/>
          <w:lang w:eastAsia="en-GB"/>
        </w:rPr>
        <w:footnoteReference w:id="54"/>
      </w:r>
      <w:r>
        <w:rPr>
          <w:rFonts w:ascii="Calibri" w:hAnsi="Calibri"/>
          <w:noProof/>
        </w:rPr>
        <w:t xml:space="preserve"> oslanjajući se na rad u okviru Mehanizma Unije za civilnu zaštitu i jačajući zakonodavni okvir povezan s </w:t>
      </w:r>
      <w:r>
        <w:rPr>
          <w:rFonts w:ascii="Calibri" w:hAnsi="Calibri"/>
          <w:b/>
          <w:noProof/>
        </w:rPr>
        <w:t>mjerama biološke zaštite i biološke sigurnosti</w:t>
      </w:r>
      <w:r>
        <w:rPr>
          <w:rFonts w:ascii="Calibri" w:hAnsi="Calibri"/>
          <w:noProof/>
        </w:rPr>
        <w:t xml:space="preserve"> u svim relevantnim institucijama.</w:t>
      </w:r>
      <w:r>
        <w:rPr>
          <w:rStyle w:val="normaltextrun"/>
          <w:rFonts w:ascii="Calibri" w:hAnsi="Calibri"/>
          <w:noProof/>
        </w:rPr>
        <w:t xml:space="preserve"> U informiranju i obuci osoblja trebali bi pomagati centri izvrsnosti EU-a za ublažavanje KBRN rizika</w:t>
      </w:r>
      <w:r>
        <w:rPr>
          <w:rStyle w:val="FootnoteReference"/>
          <w:rFonts w:ascii="Calibri" w:hAnsi="Calibri" w:cs="Calibri"/>
          <w:noProof/>
        </w:rPr>
        <w:footnoteReference w:id="55"/>
      </w:r>
      <w:r>
        <w:rPr>
          <w:rStyle w:val="normaltextrun"/>
          <w:rFonts w:ascii="Calibri" w:hAnsi="Calibri"/>
          <w:noProof/>
        </w:rPr>
        <w:t xml:space="preserve"> i njihove aktivnosti u 63 partnerske zemlje.</w:t>
      </w:r>
    </w:p>
    <w:p w14:paraId="386A635A" w14:textId="2E0DBF4C" w:rsidR="00156321" w:rsidRPr="003C7608" w:rsidRDefault="00D73AE1" w:rsidP="00156321">
      <w:pPr>
        <w:numPr>
          <w:ilvl w:val="0"/>
          <w:numId w:val="5"/>
        </w:numPr>
        <w:ind w:left="357" w:hanging="357"/>
        <w:contextualSpacing/>
        <w:jc w:val="both"/>
        <w:textAlignment w:val="baseline"/>
        <w:rPr>
          <w:rFonts w:ascii="Calibri" w:eastAsia="Times New Roman" w:hAnsi="Calibri" w:cs="Calibri"/>
          <w:noProof/>
        </w:rPr>
      </w:pPr>
      <w:r>
        <w:rPr>
          <w:rFonts w:ascii="Calibri" w:hAnsi="Calibri"/>
          <w:b/>
          <w:noProof/>
        </w:rPr>
        <w:t>Podupirati razvoj sveobuhvatnog sustava humanitarnog odgovora na izbijanje bolesti</w:t>
      </w:r>
      <w:r>
        <w:rPr>
          <w:rFonts w:ascii="Calibri" w:hAnsi="Calibri"/>
          <w:noProof/>
        </w:rPr>
        <w:t xml:space="preserve"> koji bi obuhvaćao i područja izvan EU-a, a temeljio bi se na djelovanju Mehanizma Unije za civilnu zaštitu i Europskog kapaciteta za humanitarni odgovor.</w:t>
      </w:r>
    </w:p>
    <w:p w14:paraId="64723B2D" w14:textId="353D12D6" w:rsidR="00156321" w:rsidRPr="003C7608" w:rsidRDefault="00156321" w:rsidP="00156321">
      <w:pPr>
        <w:numPr>
          <w:ilvl w:val="0"/>
          <w:numId w:val="5"/>
        </w:numPr>
        <w:spacing w:after="0" w:line="240" w:lineRule="auto"/>
        <w:ind w:left="357" w:hanging="357"/>
        <w:contextualSpacing/>
        <w:jc w:val="both"/>
        <w:textAlignment w:val="baseline"/>
        <w:rPr>
          <w:rFonts w:ascii="Calibri" w:eastAsia="Times New Roman" w:hAnsi="Calibri" w:cs="Calibri"/>
          <w:noProof/>
        </w:rPr>
      </w:pPr>
      <w:r>
        <w:rPr>
          <w:rFonts w:ascii="Calibri" w:hAnsi="Calibri"/>
          <w:b/>
          <w:noProof/>
        </w:rPr>
        <w:t>Nastaviti podupirati provedbu Rezolucije Vijeća sigurnosti 2286</w:t>
      </w:r>
      <w:r>
        <w:rPr>
          <w:rStyle w:val="FootnoteReference"/>
          <w:rFonts w:ascii="Calibri" w:eastAsia="Times New Roman" w:hAnsi="Calibri" w:cs="Calibri"/>
          <w:b/>
          <w:noProof/>
          <w:lang w:eastAsia="en-GB"/>
        </w:rPr>
        <w:footnoteReference w:id="56"/>
      </w:r>
      <w:r>
        <w:rPr>
          <w:rFonts w:ascii="Calibri" w:hAnsi="Calibri"/>
          <w:b/>
          <w:noProof/>
        </w:rPr>
        <w:t xml:space="preserve"> o zaštiti civila u oružanim sukobima</w:t>
      </w:r>
      <w:r>
        <w:rPr>
          <w:rFonts w:ascii="Calibri" w:hAnsi="Calibri"/>
          <w:noProof/>
        </w:rPr>
        <w:t xml:space="preserve"> zagovaranjem poštovanja međunarodnog humanitarnog prava i zalaganjem za preuzimanje odgovornosti za napade na zdravstvene radnike i infrastrukturu te kontinuitet zdravstvene skrbi i pristupa u oružanim sukobima.</w:t>
      </w:r>
    </w:p>
    <w:p w14:paraId="545ADD34" w14:textId="190D915F" w:rsidR="001A193D" w:rsidRPr="00780EB0" w:rsidRDefault="00156321" w:rsidP="00780EB0">
      <w:pPr>
        <w:pStyle w:val="ListParagraph"/>
        <w:numPr>
          <w:ilvl w:val="0"/>
          <w:numId w:val="5"/>
        </w:numPr>
        <w:spacing w:after="0" w:line="240" w:lineRule="auto"/>
        <w:jc w:val="both"/>
        <w:textAlignment w:val="baseline"/>
        <w:rPr>
          <w:rFonts w:ascii="Calibri" w:eastAsia="Times New Roman" w:hAnsi="Calibri" w:cs="Calibri"/>
          <w:noProof/>
        </w:rPr>
      </w:pPr>
      <w:r>
        <w:rPr>
          <w:rFonts w:ascii="Calibri" w:hAnsi="Calibri"/>
          <w:b/>
          <w:noProof/>
        </w:rPr>
        <w:t>Širiti i jačati europska i globalna istraživačka partnerstva</w:t>
      </w:r>
      <w:r>
        <w:rPr>
          <w:rFonts w:ascii="Calibri" w:hAnsi="Calibri"/>
          <w:noProof/>
        </w:rPr>
        <w:t>, uključujući mreže za klinička ispitivanja koje se mogu usmjeriti na nove patogene kako bi se osigurala pravodobna dostupnost djelotvornih medicinskih protumjera.</w:t>
      </w:r>
    </w:p>
    <w:p w14:paraId="4B1CB04F" w14:textId="77777777" w:rsidR="00156321" w:rsidRPr="003C7608" w:rsidRDefault="00156321" w:rsidP="003C7608">
      <w:pPr>
        <w:spacing w:after="0" w:line="240" w:lineRule="auto"/>
        <w:ind w:left="357"/>
        <w:contextualSpacing/>
        <w:jc w:val="both"/>
        <w:textAlignment w:val="baseline"/>
        <w:rPr>
          <w:b/>
          <w:bCs/>
          <w:i/>
          <w:iCs/>
          <w:noProof/>
        </w:rPr>
      </w:pPr>
    </w:p>
    <w:p w14:paraId="6E24E94A" w14:textId="5FC25F6B" w:rsidR="00EC2108" w:rsidRPr="00780EB0" w:rsidRDefault="00506A1E" w:rsidP="00267D9A">
      <w:pPr>
        <w:spacing w:line="240" w:lineRule="auto"/>
        <w:jc w:val="both"/>
        <w:rPr>
          <w:rFonts w:ascii="Times New Roman" w:eastAsia="Times New Roman" w:hAnsi="Times New Roman" w:cs="Times New Roman"/>
          <w:i/>
          <w:iCs/>
          <w:noProof/>
          <w:color w:val="002060"/>
          <w:sz w:val="24"/>
          <w:szCs w:val="24"/>
        </w:rPr>
      </w:pPr>
      <w:r>
        <w:rPr>
          <w:rFonts w:ascii="Times New Roman" w:hAnsi="Times New Roman"/>
          <w:b/>
          <w:i/>
          <w:noProof/>
          <w:color w:val="002060"/>
          <w:sz w:val="24"/>
        </w:rPr>
        <w:t>8. vodeće načelo:</w:t>
      </w:r>
      <w:r>
        <w:rPr>
          <w:rFonts w:ascii="Times New Roman" w:hAnsi="Times New Roman"/>
          <w:i/>
          <w:noProof/>
          <w:color w:val="002060"/>
          <w:sz w:val="24"/>
        </w:rPr>
        <w:t xml:space="preserve"> </w:t>
      </w:r>
      <w:r>
        <w:rPr>
          <w:rFonts w:ascii="Times New Roman" w:hAnsi="Times New Roman"/>
          <w:b/>
          <w:i/>
          <w:noProof/>
          <w:color w:val="002060"/>
          <w:sz w:val="24"/>
        </w:rPr>
        <w:t>raditi na uspostavi trajnog globalnog mehanizma kojim se potiče razvoj cjepiva i protumjera te pravedan pristup tim cjepivima i protumjerama za zemlje s niskim i srednjim dohotkom</w:t>
      </w:r>
    </w:p>
    <w:p w14:paraId="7BC8824D" w14:textId="02FFE6FA" w:rsidR="00A109E1" w:rsidRPr="003C7608" w:rsidRDefault="00EC2108" w:rsidP="00267D9A">
      <w:pPr>
        <w:spacing w:line="240" w:lineRule="auto"/>
        <w:jc w:val="both"/>
        <w:rPr>
          <w:rFonts w:ascii="Calibri" w:eastAsia="Calibri" w:hAnsi="Calibri" w:cs="Calibri"/>
          <w:noProof/>
        </w:rPr>
      </w:pPr>
      <w:r>
        <w:rPr>
          <w:noProof/>
        </w:rPr>
        <w:t>Jedna je od najvažnijih pouka pandemije bolesti COVID-19 ta da je pravedan pristup medicinskim protumjerama ključan za pripravnost i odgovor na pandemije.</w:t>
      </w:r>
      <w:r>
        <w:rPr>
          <w:rFonts w:ascii="Calibri" w:hAnsi="Calibri"/>
          <w:noProof/>
        </w:rPr>
        <w:t xml:space="preserve"> Za to je potrebno trajno rješenje, koje se temelji na Akceleratoru pristupa alatima za borbu protiv bolesti COVID-19 (Akcelerator ACT), Okviru za pripravnost za pandemiju gripe</w:t>
      </w:r>
      <w:r>
        <w:rPr>
          <w:rStyle w:val="FootnoteReference"/>
          <w:rFonts w:ascii="Calibri" w:eastAsia="Calibri" w:hAnsi="Calibri" w:cs="Calibri"/>
          <w:noProof/>
        </w:rPr>
        <w:footnoteReference w:id="57"/>
      </w:r>
      <w:r>
        <w:rPr>
          <w:rFonts w:ascii="Calibri" w:hAnsi="Calibri"/>
          <w:noProof/>
        </w:rPr>
        <w:t xml:space="preserve"> i drugom relevantnom iskustvu. </w:t>
      </w:r>
    </w:p>
    <w:p w14:paraId="679B8FF1" w14:textId="505E0C40" w:rsidR="00AB7577" w:rsidRPr="003C7608" w:rsidRDefault="0075444C" w:rsidP="00267D9A">
      <w:pPr>
        <w:spacing w:line="240" w:lineRule="auto"/>
        <w:jc w:val="both"/>
        <w:rPr>
          <w:rFonts w:ascii="Calibri" w:eastAsia="Calibri" w:hAnsi="Calibri" w:cs="Calibri"/>
          <w:noProof/>
        </w:rPr>
      </w:pPr>
      <w:r>
        <w:rPr>
          <w:rFonts w:ascii="Calibri" w:hAnsi="Calibri"/>
          <w:noProof/>
        </w:rPr>
        <w:t xml:space="preserve">Kako bi djelotvorne medicinske protumjere brzo postale dostupne, adekvatnim nadzorom moraju se rano identificirati patogeni, a </w:t>
      </w:r>
      <w:r>
        <w:rPr>
          <w:rFonts w:ascii="Calibri" w:hAnsi="Calibri"/>
          <w:b/>
          <w:noProof/>
        </w:rPr>
        <w:t>učinkovite istraživačke platforme</w:t>
      </w:r>
      <w:r>
        <w:rPr>
          <w:rFonts w:ascii="Calibri" w:hAnsi="Calibri"/>
          <w:noProof/>
        </w:rPr>
        <w:t xml:space="preserve"> moraju biti spremne za pružanje potrebnih dokaza za brz razvoj i uvođenje. To znači da treba osigurati povoljno istraživačko okruženje s platformama za klinička ispitivanja koje se mogu brzo usmjeriti na nove bolesti, kao i učinkovito regulatorno okruženje za provedbu kliničkih ispitivanja.</w:t>
      </w:r>
    </w:p>
    <w:p w14:paraId="6740B399" w14:textId="2ED91AA2" w:rsidR="00EC2108" w:rsidRPr="00780EB0" w:rsidRDefault="00506A1E" w:rsidP="00267D9A">
      <w:pPr>
        <w:spacing w:line="240" w:lineRule="auto"/>
        <w:jc w:val="both"/>
        <w:rPr>
          <w:rFonts w:ascii="Times New Roman" w:eastAsia="Calibri" w:hAnsi="Times New Roman" w:cs="Times New Roman"/>
          <w:b/>
          <w:bCs/>
          <w:i/>
          <w:iCs/>
          <w:noProof/>
          <w:color w:val="002060"/>
          <w:sz w:val="24"/>
          <w:szCs w:val="24"/>
        </w:rPr>
      </w:pPr>
      <w:r>
        <w:rPr>
          <w:rFonts w:ascii="Times New Roman" w:hAnsi="Times New Roman"/>
          <w:b/>
          <w:i/>
          <w:noProof/>
          <w:color w:val="002060"/>
          <w:sz w:val="24"/>
        </w:rPr>
        <w:t>9. vodeće načelo:</w:t>
      </w:r>
      <w:r>
        <w:rPr>
          <w:rFonts w:ascii="Times New Roman" w:hAnsi="Times New Roman"/>
          <w:i/>
          <w:noProof/>
          <w:color w:val="002060"/>
          <w:sz w:val="24"/>
        </w:rPr>
        <w:t xml:space="preserve"> </w:t>
      </w:r>
      <w:r>
        <w:rPr>
          <w:rFonts w:ascii="Times New Roman" w:hAnsi="Times New Roman"/>
          <w:b/>
          <w:i/>
          <w:noProof/>
          <w:color w:val="002060"/>
          <w:sz w:val="24"/>
        </w:rPr>
        <w:t>pregovarati o djelotvornom pravno obvezujućem sporazumu o pandemijama s pristupom „jedno zdravlje” i ojačanim Međunarodnim zdravstvenim propisima</w:t>
      </w:r>
    </w:p>
    <w:p w14:paraId="70BDA0F0" w14:textId="6A895C6E" w:rsidR="00506A1E" w:rsidRPr="003C7608" w:rsidRDefault="00EC2108" w:rsidP="00267D9A">
      <w:pPr>
        <w:spacing w:line="240" w:lineRule="auto"/>
        <w:jc w:val="both"/>
        <w:rPr>
          <w:rFonts w:ascii="Calibri" w:eastAsia="Calibri" w:hAnsi="Calibri" w:cs="Calibri"/>
          <w:noProof/>
        </w:rPr>
      </w:pPr>
      <w:r>
        <w:rPr>
          <w:rFonts w:ascii="Calibri" w:hAnsi="Calibri"/>
          <w:noProof/>
        </w:rPr>
        <w:t>Time bi se uklonili nedostaci u međunarodnim pravilima za pripravnost i odgovor na pandemije, prema kojima zemlje imaju obvezu, a SZO bolju sposobnost za brzo prijavljivanje i istraživanje opasnosti od pandemije</w:t>
      </w:r>
      <w:r>
        <w:rPr>
          <w:rStyle w:val="FootnoteReference"/>
          <w:rFonts w:ascii="Calibri" w:eastAsia="Calibri" w:hAnsi="Calibri" w:cs="Calibri"/>
          <w:noProof/>
        </w:rPr>
        <w:footnoteReference w:id="58"/>
      </w:r>
      <w:r>
        <w:rPr>
          <w:rFonts w:ascii="Calibri" w:hAnsi="Calibri"/>
          <w:noProof/>
        </w:rPr>
        <w:t>. Sporazum o pandemijama trebao bi sadržavati konkretne odredbe o antimikrobnoj otpornosti</w:t>
      </w:r>
      <w:r>
        <w:rPr>
          <w:rStyle w:val="FootnoteReference"/>
          <w:rFonts w:ascii="Calibri" w:eastAsia="Calibri" w:hAnsi="Calibri" w:cs="Calibri"/>
          <w:noProof/>
        </w:rPr>
        <w:footnoteReference w:id="59"/>
      </w:r>
      <w:r>
        <w:rPr>
          <w:rFonts w:ascii="Calibri" w:hAnsi="Calibri"/>
          <w:noProof/>
        </w:rPr>
        <w:t xml:space="preserve">. </w:t>
      </w:r>
    </w:p>
    <w:p w14:paraId="79B27FBA" w14:textId="7430504E" w:rsidR="00506A1E" w:rsidRPr="00780EB0" w:rsidRDefault="00506A1E" w:rsidP="00506A1E">
      <w:pPr>
        <w:spacing w:line="240" w:lineRule="auto"/>
        <w:jc w:val="both"/>
        <w:rPr>
          <w:rFonts w:ascii="Times New Roman" w:eastAsia="Calibri" w:hAnsi="Times New Roman" w:cs="Times New Roman"/>
          <w:i/>
          <w:iCs/>
          <w:noProof/>
          <w:color w:val="002060"/>
          <w:sz w:val="24"/>
          <w:szCs w:val="24"/>
        </w:rPr>
      </w:pPr>
      <w:r>
        <w:rPr>
          <w:rFonts w:ascii="Times New Roman" w:hAnsi="Times New Roman"/>
          <w:b/>
          <w:i/>
          <w:noProof/>
          <w:color w:val="002060"/>
          <w:sz w:val="24"/>
        </w:rPr>
        <w:t>10. vodeće načelo:</w:t>
      </w:r>
      <w:r>
        <w:rPr>
          <w:rFonts w:ascii="Times New Roman" w:hAnsi="Times New Roman"/>
          <w:i/>
          <w:noProof/>
          <w:color w:val="002060"/>
          <w:sz w:val="24"/>
        </w:rPr>
        <w:t xml:space="preserve"> </w:t>
      </w:r>
      <w:r>
        <w:rPr>
          <w:rFonts w:ascii="Times New Roman" w:hAnsi="Times New Roman"/>
          <w:b/>
          <w:i/>
          <w:noProof/>
          <w:color w:val="002060"/>
          <w:sz w:val="24"/>
        </w:rPr>
        <w:t>izgraditi snažnu globalnu mrežu za suradnički nadzor radi boljeg otkrivanja patogena i postupanja u vezi s njima</w:t>
      </w:r>
      <w:r>
        <w:rPr>
          <w:rFonts w:ascii="Times New Roman" w:hAnsi="Times New Roman"/>
          <w:i/>
          <w:noProof/>
          <w:color w:val="002060"/>
          <w:sz w:val="24"/>
        </w:rPr>
        <w:t xml:space="preserve"> </w:t>
      </w:r>
    </w:p>
    <w:p w14:paraId="7AB8AD66" w14:textId="14A9D1FB" w:rsidR="006C7F4B" w:rsidRPr="003C7608" w:rsidRDefault="00DB4E94" w:rsidP="009125DB">
      <w:pPr>
        <w:spacing w:line="240" w:lineRule="auto"/>
        <w:jc w:val="both"/>
        <w:rPr>
          <w:rFonts w:eastAsia="Times New Roman"/>
          <w:b/>
          <w:bCs/>
          <w:noProof/>
        </w:rPr>
      </w:pPr>
      <w:r>
        <w:rPr>
          <w:rFonts w:ascii="Calibri" w:hAnsi="Calibri"/>
          <w:noProof/>
        </w:rPr>
        <w:t>Strategijom se potiče stvaranje nove pouzdane mreže za ispitivanje i otkrivanje patogena u ključnim žarišnim točkama, u okviru koje bi se osim utvrđivanja prijetnji osiguralo i savjetovanje o mjerama koje treba poduzeti. Delegacije EU-a na terenu poduprle bi taj rad i dopunile inicijativu skupine G-7 kojom se povezuju postojeće mreže</w:t>
      </w:r>
      <w:r>
        <w:rPr>
          <w:rStyle w:val="FootnoteReference"/>
          <w:rFonts w:ascii="Calibri" w:eastAsia="Calibri" w:hAnsi="Calibri" w:cs="Calibri"/>
          <w:noProof/>
        </w:rPr>
        <w:footnoteReference w:id="60"/>
      </w:r>
      <w:r>
        <w:rPr>
          <w:rFonts w:ascii="Calibri" w:hAnsi="Calibri"/>
          <w:noProof/>
        </w:rPr>
        <w:t xml:space="preserve">. Bit će potrebni digitalizacija i integracija sustava nadzora u cijelom spektru ljudi, životinja i okoliša, jačanje laboratorijskih kapaciteta i sposobnosti sekvenciranja genoma, kao i osposobljavanje radne snage. </w:t>
      </w:r>
    </w:p>
    <w:p w14:paraId="143C0CF6" w14:textId="1F86BD2A" w:rsidR="008304CB" w:rsidRPr="00780EB0" w:rsidRDefault="008304CB" w:rsidP="009125DB">
      <w:pPr>
        <w:spacing w:line="240" w:lineRule="auto"/>
        <w:jc w:val="both"/>
        <w:rPr>
          <w:rFonts w:ascii="Times New Roman" w:eastAsia="Times New Roman" w:hAnsi="Times New Roman" w:cs="Times New Roman"/>
          <w:b/>
          <w:bCs/>
          <w:i/>
          <w:iCs/>
          <w:noProof/>
          <w:color w:val="002060"/>
          <w:sz w:val="24"/>
          <w:szCs w:val="24"/>
        </w:rPr>
      </w:pPr>
      <w:r>
        <w:rPr>
          <w:rFonts w:ascii="Times New Roman" w:hAnsi="Times New Roman"/>
          <w:b/>
          <w:i/>
          <w:noProof/>
          <w:color w:val="002060"/>
          <w:sz w:val="24"/>
        </w:rPr>
        <w:t>11. vodeće načelo:</w:t>
      </w:r>
      <w:r>
        <w:rPr>
          <w:rStyle w:val="normaltextrun"/>
          <w:rFonts w:ascii="Times New Roman" w:hAnsi="Times New Roman"/>
          <w:i/>
          <w:noProof/>
          <w:color w:val="002060"/>
          <w:sz w:val="24"/>
        </w:rPr>
        <w:t xml:space="preserve"> </w:t>
      </w:r>
      <w:r>
        <w:rPr>
          <w:rStyle w:val="normaltextrun"/>
          <w:rFonts w:ascii="Times New Roman" w:hAnsi="Times New Roman"/>
          <w:b/>
          <w:i/>
          <w:noProof/>
          <w:color w:val="002060"/>
          <w:sz w:val="24"/>
        </w:rPr>
        <w:t>primjenjivati sveobuhvatan pristup „jedno zdravlje” i pojačati borbu protiv antimikrobne otpornosti</w:t>
      </w:r>
    </w:p>
    <w:p w14:paraId="0620FA15" w14:textId="70D27A96" w:rsidR="00A471AA" w:rsidRPr="003C7608" w:rsidRDefault="006F6679" w:rsidP="00025D11">
      <w:pPr>
        <w:spacing w:line="240" w:lineRule="auto"/>
        <w:jc w:val="both"/>
        <w:rPr>
          <w:rFonts w:ascii="Calibri" w:eastAsia="Times New Roman" w:hAnsi="Calibri" w:cs="Calibri"/>
          <w:noProof/>
        </w:rPr>
      </w:pPr>
      <w:r>
        <w:rPr>
          <w:rFonts w:ascii="Calibri" w:hAnsi="Calibri"/>
          <w:noProof/>
          <w:color w:val="000000" w:themeColor="text1"/>
        </w:rPr>
        <w:t xml:space="preserve">Proteklih se godina pokazalo hitnim obratiti veću pozornost na dva bitna aspekta. </w:t>
      </w:r>
      <w:r>
        <w:rPr>
          <w:rFonts w:ascii="Calibri" w:hAnsi="Calibri"/>
          <w:noProof/>
        </w:rPr>
        <w:t xml:space="preserve">Prvi se odnosi na složenost i posljedice </w:t>
      </w:r>
      <w:r>
        <w:rPr>
          <w:rFonts w:ascii="Calibri" w:hAnsi="Calibri"/>
          <w:b/>
          <w:noProof/>
        </w:rPr>
        <w:t>interakcija životinja, okoliša i ljudi, koje iziskuju višesektorski, integrirani i transdisciplinarni</w:t>
      </w:r>
      <w:r>
        <w:rPr>
          <w:rFonts w:ascii="Calibri" w:hAnsi="Calibri"/>
          <w:noProof/>
        </w:rPr>
        <w:t xml:space="preserve"> pristup „jedno zdravlje”. To uključuje povećani rizik od izbijanja pandemija, posebno zbog promjena u korištenju zemljišta, degradacije okoliša, složenih sustava proizvodnje hrane te pojačane trgovine i sve više putovanja, ali i opterećenja u gospodarstvima s niskim i srednjim dohotkom zbog zanemarenih bolesti povezanih s onečišćenjem ili endemskih bolesti, od kojih se većina može prenositi preko životinja, zrakom, vodom ili vektorima. </w:t>
      </w:r>
    </w:p>
    <w:p w14:paraId="2A5F3E4B" w14:textId="4FBCBA76" w:rsidR="00780EB0" w:rsidRPr="003C7608" w:rsidRDefault="00F84419" w:rsidP="00025D11">
      <w:pPr>
        <w:spacing w:line="240" w:lineRule="auto"/>
        <w:jc w:val="both"/>
        <w:rPr>
          <w:rFonts w:ascii="Calibri" w:eastAsia="Times New Roman" w:hAnsi="Calibri" w:cs="Calibri"/>
          <w:noProof/>
        </w:rPr>
      </w:pPr>
      <w:r>
        <w:rPr>
          <w:rStyle w:val="normaltextrun"/>
          <w:rFonts w:ascii="Calibri" w:hAnsi="Calibri"/>
          <w:noProof/>
        </w:rPr>
        <w:t xml:space="preserve">Drugi je tiha pandemija </w:t>
      </w:r>
      <w:r>
        <w:rPr>
          <w:rStyle w:val="normaltextrun"/>
          <w:rFonts w:ascii="Calibri" w:hAnsi="Calibri"/>
          <w:b/>
          <w:noProof/>
        </w:rPr>
        <w:t>antimikrobne otpornosti</w:t>
      </w:r>
      <w:r>
        <w:rPr>
          <w:rStyle w:val="normaltextrun"/>
          <w:rFonts w:ascii="Calibri" w:hAnsi="Calibri"/>
          <w:noProof/>
        </w:rPr>
        <w:t>, za koju je SZO ustvrdio da je jedna od deset najvećih trenutačnih globalnih prijetnji zdravlju</w:t>
      </w:r>
      <w:r>
        <w:rPr>
          <w:rStyle w:val="FootnoteReference"/>
          <w:rFonts w:ascii="Calibri" w:hAnsi="Calibri" w:cs="Calibri"/>
          <w:noProof/>
        </w:rPr>
        <w:footnoteReference w:id="61"/>
      </w:r>
      <w:r>
        <w:rPr>
          <w:rStyle w:val="normaltextrun"/>
          <w:rFonts w:ascii="Calibri" w:hAnsi="Calibri"/>
          <w:noProof/>
        </w:rPr>
        <w:t>. Antimikrobna otpornost otegotni je čimbenik i tijekom pandemija. Usto, antimikrobna sredstva onečišćuju okoliš i utječu na bioraznolikost</w:t>
      </w:r>
      <w:r>
        <w:rPr>
          <w:rStyle w:val="FootnoteReference"/>
          <w:rFonts w:ascii="Calibri" w:hAnsi="Calibri" w:cs="Calibri"/>
          <w:noProof/>
        </w:rPr>
        <w:footnoteReference w:id="62"/>
      </w:r>
      <w:r>
        <w:rPr>
          <w:rStyle w:val="normaltextrun"/>
          <w:rFonts w:ascii="Calibri" w:hAnsi="Calibri"/>
          <w:noProof/>
        </w:rPr>
        <w:t xml:space="preserve">. </w:t>
      </w:r>
      <w:r>
        <w:rPr>
          <w:rFonts w:ascii="Calibri" w:hAnsi="Calibri"/>
          <w:noProof/>
        </w:rPr>
        <w:t xml:space="preserve">Zemlje, institucije i globalni dionici moraju zajednički i sveobuhvatno reagirati na te situacije kao prioritet. </w:t>
      </w:r>
    </w:p>
    <w:p w14:paraId="56D753AA" w14:textId="018B9B54" w:rsidR="004D1AA6" w:rsidRPr="003C7608" w:rsidRDefault="008304CB" w:rsidP="005E4B61">
      <w:pPr>
        <w:spacing w:line="240" w:lineRule="auto"/>
        <w:jc w:val="both"/>
        <w:rPr>
          <w:rStyle w:val="normaltextrun"/>
          <w:rFonts w:cstheme="minorHAnsi"/>
          <w:noProof/>
        </w:rPr>
      </w:pPr>
      <w:r>
        <w:rPr>
          <w:noProof/>
        </w:rPr>
        <w:t xml:space="preserve">Kako bi se to vodeće načelo primijenilo, prioritetni su sljedeći </w:t>
      </w:r>
      <w:r>
        <w:rPr>
          <w:b/>
          <w:noProof/>
          <w:u w:val="single"/>
        </w:rPr>
        <w:t>smjerovi djelovanja</w:t>
      </w:r>
      <w:r>
        <w:rPr>
          <w:noProof/>
        </w:rPr>
        <w:t>:</w:t>
      </w:r>
    </w:p>
    <w:p w14:paraId="1699155A" w14:textId="13256D71" w:rsidR="002E2837" w:rsidRPr="003C7608" w:rsidRDefault="008304CB" w:rsidP="002E2837">
      <w:pPr>
        <w:pStyle w:val="ListParagraph"/>
        <w:numPr>
          <w:ilvl w:val="0"/>
          <w:numId w:val="62"/>
        </w:numPr>
        <w:spacing w:line="240" w:lineRule="auto"/>
        <w:ind w:left="357" w:hanging="357"/>
        <w:jc w:val="both"/>
        <w:rPr>
          <w:rStyle w:val="normaltextrun"/>
          <w:rFonts w:ascii="Calibri" w:hAnsi="Calibri" w:cs="Calibri"/>
          <w:noProof/>
        </w:rPr>
      </w:pPr>
      <w:r>
        <w:rPr>
          <w:rStyle w:val="normaltextrun"/>
          <w:rFonts w:ascii="Calibri" w:hAnsi="Calibri"/>
          <w:b/>
          <w:noProof/>
        </w:rPr>
        <w:t>Intenzivirati suradnju s Četverostranim savezom</w:t>
      </w:r>
      <w:r>
        <w:rPr>
          <w:rStyle w:val="normaltextrun"/>
          <w:rFonts w:ascii="Calibri" w:hAnsi="Calibri"/>
          <w:noProof/>
        </w:rPr>
        <w:t>, koji uključuje SZO, Organizaciju Ujedinjenih naroda za hranu i poljoprivredu (FAO), Svjetsku organizaciju za zdravlje životinja (WOAH) i Program Ujedinjenih naroda za okoliš (UNEP), na provedbi njegova Zajedničkog akcijskog plana za „jedno zdravlje”.</w:t>
      </w:r>
    </w:p>
    <w:p w14:paraId="106D3EE5" w14:textId="4AF90D1A" w:rsidR="00D13C24" w:rsidRPr="001364AF" w:rsidRDefault="00F84419" w:rsidP="001364AF">
      <w:pPr>
        <w:pStyle w:val="ListParagraph"/>
        <w:numPr>
          <w:ilvl w:val="0"/>
          <w:numId w:val="62"/>
        </w:numPr>
        <w:spacing w:line="240" w:lineRule="auto"/>
        <w:ind w:left="357" w:hanging="357"/>
        <w:jc w:val="both"/>
        <w:rPr>
          <w:rStyle w:val="normaltextrun"/>
          <w:rFonts w:ascii="Calibri" w:hAnsi="Calibri" w:cs="Calibri"/>
          <w:b/>
          <w:bCs/>
          <w:noProof/>
        </w:rPr>
      </w:pPr>
      <w:r>
        <w:rPr>
          <w:rStyle w:val="normaltextrun"/>
          <w:rFonts w:ascii="Calibri" w:hAnsi="Calibri"/>
          <w:b/>
          <w:noProof/>
        </w:rPr>
        <w:t>Težiti „temeljitoj prevenciji”</w:t>
      </w:r>
      <w:r>
        <w:rPr>
          <w:rStyle w:val="FootnoteReference"/>
          <w:rFonts w:ascii="Calibri" w:hAnsi="Calibri" w:cs="Calibri"/>
          <w:b/>
          <w:noProof/>
        </w:rPr>
        <w:footnoteReference w:id="63"/>
      </w:r>
      <w:r>
        <w:rPr>
          <w:rFonts w:ascii="Calibri" w:hAnsi="Calibri"/>
          <w:noProof/>
        </w:rPr>
        <w:t xml:space="preserve"> – utvrđivanju i uklanjanju prijetnji prije prelaska patogena sa životinja na ljude, a ne nakon izbijanja bolesti u ljudi, te jačati kapacitete za sprečavanje prijetnji zdravlju povezanih s onečišćenjem.</w:t>
      </w:r>
      <w:r>
        <w:rPr>
          <w:rStyle w:val="normaltextrun"/>
          <w:rFonts w:ascii="Calibri" w:hAnsi="Calibri"/>
          <w:noProof/>
        </w:rPr>
        <w:t xml:space="preserve"> </w:t>
      </w:r>
    </w:p>
    <w:p w14:paraId="28108539" w14:textId="6B2548F8" w:rsidR="005E4B61" w:rsidRPr="003C7608" w:rsidRDefault="00EF4635" w:rsidP="00A62EA6">
      <w:pPr>
        <w:pStyle w:val="ListParagraph"/>
        <w:numPr>
          <w:ilvl w:val="0"/>
          <w:numId w:val="62"/>
        </w:numPr>
        <w:spacing w:line="240" w:lineRule="auto"/>
        <w:ind w:left="357" w:hanging="357"/>
        <w:jc w:val="both"/>
        <w:rPr>
          <w:rFonts w:ascii="Calibri" w:hAnsi="Calibri" w:cs="Calibri"/>
          <w:b/>
          <w:bCs/>
          <w:noProof/>
        </w:rPr>
      </w:pPr>
      <w:r>
        <w:rPr>
          <w:rStyle w:val="normaltextrun"/>
          <w:rFonts w:ascii="Calibri" w:hAnsi="Calibri"/>
          <w:noProof/>
        </w:rPr>
        <w:t xml:space="preserve">Komisija će istražiti </w:t>
      </w:r>
      <w:r>
        <w:rPr>
          <w:rStyle w:val="normaltextrun"/>
          <w:rFonts w:ascii="Calibri" w:hAnsi="Calibri"/>
          <w:b/>
          <w:noProof/>
        </w:rPr>
        <w:t xml:space="preserve">postojeće međunarodne konvencije </w:t>
      </w:r>
      <w:r>
        <w:rPr>
          <w:rStyle w:val="normaltextrun"/>
          <w:rFonts w:ascii="Calibri" w:hAnsi="Calibri"/>
          <w:noProof/>
        </w:rPr>
        <w:t>koje utječu na „prethodni” tijek mogućih pandemija kako bi ispitala mogu li se njihove odredbe ili planovi provedbe pojačati radi potpore pristupu „jedno zdravlje”</w:t>
      </w:r>
      <w:r>
        <w:rPr>
          <w:rStyle w:val="FootnoteReference"/>
          <w:rFonts w:eastAsia="Times New Roman"/>
          <w:noProof/>
          <w:lang w:eastAsia="en-GB"/>
        </w:rPr>
        <w:footnoteReference w:id="64"/>
      </w:r>
      <w:r>
        <w:rPr>
          <w:noProof/>
        </w:rPr>
        <w:t>.</w:t>
      </w:r>
    </w:p>
    <w:p w14:paraId="17DE95EA" w14:textId="31D6B62C" w:rsidR="00D13C24" w:rsidRPr="00780EB0" w:rsidRDefault="00D13C24" w:rsidP="00D13C24">
      <w:pPr>
        <w:pStyle w:val="ListParagraph"/>
        <w:numPr>
          <w:ilvl w:val="0"/>
          <w:numId w:val="62"/>
        </w:numPr>
        <w:spacing w:line="240" w:lineRule="auto"/>
        <w:ind w:left="357" w:hanging="357"/>
        <w:jc w:val="both"/>
        <w:rPr>
          <w:rStyle w:val="normaltextrun"/>
          <w:rFonts w:ascii="Calibri" w:hAnsi="Calibri" w:cs="Calibri"/>
          <w:noProof/>
        </w:rPr>
      </w:pPr>
      <w:r>
        <w:rPr>
          <w:rFonts w:ascii="Calibri" w:hAnsi="Calibri"/>
          <w:noProof/>
        </w:rPr>
        <w:t xml:space="preserve">Raditi na uključivanju konkretnih odredaba o antimikrobnoj otpornosti u </w:t>
      </w:r>
      <w:r>
        <w:rPr>
          <w:rFonts w:ascii="Calibri" w:hAnsi="Calibri"/>
          <w:b/>
          <w:noProof/>
        </w:rPr>
        <w:t>sporazum o pandemijama</w:t>
      </w:r>
      <w:r>
        <w:rPr>
          <w:rFonts w:ascii="Calibri" w:hAnsi="Calibri"/>
          <w:noProof/>
        </w:rPr>
        <w:t>.</w:t>
      </w:r>
    </w:p>
    <w:p w14:paraId="62D4E6AC" w14:textId="355A468D" w:rsidR="00A109E1" w:rsidRPr="001364AF" w:rsidRDefault="008304CB" w:rsidP="00A62EA6">
      <w:pPr>
        <w:pStyle w:val="ListParagraph"/>
        <w:numPr>
          <w:ilvl w:val="0"/>
          <w:numId w:val="62"/>
        </w:numPr>
        <w:spacing w:line="240" w:lineRule="auto"/>
        <w:ind w:left="357" w:hanging="357"/>
        <w:jc w:val="both"/>
        <w:rPr>
          <w:rStyle w:val="eop"/>
          <w:rFonts w:ascii="Calibri" w:hAnsi="Calibri" w:cs="Calibri"/>
          <w:noProof/>
        </w:rPr>
      </w:pPr>
      <w:r>
        <w:rPr>
          <w:rStyle w:val="eop"/>
          <w:rFonts w:ascii="Calibri" w:hAnsi="Calibri"/>
          <w:b/>
          <w:noProof/>
        </w:rPr>
        <w:t xml:space="preserve">Podupirati </w:t>
      </w:r>
      <w:r>
        <w:rPr>
          <w:rStyle w:val="eop"/>
          <w:rFonts w:ascii="Calibri" w:hAnsi="Calibri"/>
          <w:noProof/>
        </w:rPr>
        <w:t>razvoj i dostupnost</w:t>
      </w:r>
      <w:r>
        <w:rPr>
          <w:rStyle w:val="eop"/>
          <w:rFonts w:ascii="Calibri" w:hAnsi="Calibri"/>
          <w:b/>
          <w:noProof/>
        </w:rPr>
        <w:t xml:space="preserve"> inovativnih medicinskih protumjera za antimikrobnu otpornost, </w:t>
      </w:r>
      <w:r>
        <w:rPr>
          <w:rStyle w:val="eop"/>
          <w:rFonts w:ascii="Calibri" w:hAnsi="Calibri"/>
          <w:noProof/>
        </w:rPr>
        <w:t>uključujući antimikrobna sredstva, cjepiva i dijagnostiku</w:t>
      </w:r>
      <w:r>
        <w:rPr>
          <w:rStyle w:val="FootnoteReference"/>
          <w:rFonts w:ascii="Calibri" w:hAnsi="Calibri" w:cs="Calibri"/>
          <w:noProof/>
        </w:rPr>
        <w:footnoteReference w:id="65"/>
      </w:r>
      <w:r>
        <w:rPr>
          <w:rStyle w:val="eop"/>
          <w:rFonts w:ascii="Calibri" w:hAnsi="Calibri"/>
          <w:noProof/>
        </w:rPr>
        <w:t xml:space="preserve">. </w:t>
      </w:r>
    </w:p>
    <w:p w14:paraId="63515009" w14:textId="77777777" w:rsidR="001364AF" w:rsidRPr="003C7608" w:rsidRDefault="001364AF" w:rsidP="001364AF">
      <w:pPr>
        <w:pStyle w:val="ListParagraph"/>
        <w:spacing w:line="240" w:lineRule="auto"/>
        <w:ind w:left="357"/>
        <w:jc w:val="both"/>
        <w:rPr>
          <w:rStyle w:val="eop"/>
          <w:rFonts w:ascii="Calibri" w:hAnsi="Calibri" w:cs="Calibri"/>
          <w:noProof/>
        </w:rPr>
      </w:pPr>
    </w:p>
    <w:p w14:paraId="7F751D07" w14:textId="10E65C5F" w:rsidR="003C4251" w:rsidRPr="00C0330D" w:rsidRDefault="003C4251" w:rsidP="00AF5CCA">
      <w:pPr>
        <w:pStyle w:val="Heading1"/>
        <w:numPr>
          <w:ilvl w:val="0"/>
          <w:numId w:val="80"/>
        </w:numPr>
        <w:spacing w:before="60" w:after="60"/>
        <w:ind w:left="426" w:hanging="426"/>
        <w:rPr>
          <w:b/>
          <w:noProof/>
          <w:sz w:val="28"/>
          <w:szCs w:val="28"/>
        </w:rPr>
      </w:pPr>
      <w:r>
        <w:rPr>
          <w:b/>
          <w:noProof/>
          <w:sz w:val="28"/>
        </w:rPr>
        <w:t>Novo unutarnje upravljanje za rješavanje globalnih zdravstvenih pitanja</w:t>
      </w:r>
    </w:p>
    <w:p w14:paraId="6BDFAA0B" w14:textId="2EA3C938" w:rsidR="001364AF" w:rsidRDefault="00000637" w:rsidP="001364AF">
      <w:pPr>
        <w:keepNext/>
        <w:spacing w:before="60" w:after="60" w:line="240" w:lineRule="auto"/>
        <w:jc w:val="both"/>
        <w:rPr>
          <w:noProof/>
        </w:rPr>
      </w:pPr>
      <w:r>
        <w:rPr>
          <w:noProof/>
        </w:rPr>
        <w:t xml:space="preserve">Za postizanje ciljeva ove strategije potreban je izrazitije suradnički način rada unutar Komisije te s državama članicama i partnerima. Razlog je to što se </w:t>
      </w:r>
      <w:r>
        <w:rPr>
          <w:rFonts w:ascii="Calibri" w:hAnsi="Calibri"/>
          <w:noProof/>
        </w:rPr>
        <w:t>globalno zdravlje sve više razvija pod utjecajem različitih politika</w:t>
      </w:r>
      <w:r>
        <w:rPr>
          <w:noProof/>
        </w:rPr>
        <w:t xml:space="preserve"> (u područjima kao što su </w:t>
      </w:r>
      <w:r>
        <w:rPr>
          <w:b/>
          <w:noProof/>
        </w:rPr>
        <w:t>klima, okoliš, energija, prehrana, sigurnost opskrbe hranom, socijalna zaštita, demografija, obrazovanje, istraživanje, humanitarna pomoć, financije, trgovina, industrijska politika ili vanjska i sigurnosna politika</w:t>
      </w:r>
      <w:r>
        <w:rPr>
          <w:noProof/>
        </w:rPr>
        <w:t xml:space="preserve">) </w:t>
      </w:r>
      <w:r>
        <w:rPr>
          <w:rFonts w:ascii="Calibri" w:hAnsi="Calibri"/>
          <w:noProof/>
        </w:rPr>
        <w:t>koje ili utječu na zdravlje ili omogućuju rješavanje zdravstvenih problema</w:t>
      </w:r>
      <w:r>
        <w:rPr>
          <w:noProof/>
        </w:rPr>
        <w:t>, uz aktivno sudjelovanje raznih agencija i tijela na razini EU-a i na nacionalnoj razini te različitih financijskih institucija. Zbog toga je potrebna pojačana koordinacija kako bi se doprinijelo ostvarenju prioriteta iz ove strategije i provedbi istinskog upravljanja prema novom pristupu koji se u njoj predstavlja – „</w:t>
      </w:r>
      <w:r>
        <w:rPr>
          <w:b/>
          <w:noProof/>
        </w:rPr>
        <w:t>zdravlje u svim politikama</w:t>
      </w:r>
      <w:r>
        <w:rPr>
          <w:noProof/>
        </w:rPr>
        <w:t>”.</w:t>
      </w:r>
    </w:p>
    <w:p w14:paraId="1608C93C" w14:textId="77777777" w:rsidR="001364AF" w:rsidRPr="00513C3F" w:rsidRDefault="001364AF" w:rsidP="001364AF">
      <w:pPr>
        <w:keepNext/>
        <w:spacing w:before="40" w:after="40" w:line="240" w:lineRule="auto"/>
        <w:jc w:val="both"/>
        <w:rPr>
          <w:noProof/>
        </w:rPr>
      </w:pPr>
    </w:p>
    <w:p w14:paraId="1121CB37" w14:textId="160B5D3C" w:rsidR="00F84419" w:rsidRPr="00780EB0" w:rsidRDefault="00884DF8" w:rsidP="00267D9A">
      <w:pPr>
        <w:keepNext/>
        <w:spacing w:line="240" w:lineRule="auto"/>
        <w:jc w:val="both"/>
        <w:rPr>
          <w:rFonts w:ascii="Times New Roman" w:hAnsi="Times New Roman" w:cs="Times New Roman"/>
          <w:b/>
          <w:bCs/>
          <w:i/>
          <w:iCs/>
          <w:noProof/>
          <w:color w:val="002060"/>
          <w:sz w:val="24"/>
          <w:szCs w:val="24"/>
        </w:rPr>
      </w:pPr>
      <w:r>
        <w:rPr>
          <w:rFonts w:ascii="Times New Roman" w:hAnsi="Times New Roman"/>
          <w:b/>
          <w:i/>
          <w:noProof/>
          <w:color w:val="002060"/>
          <w:sz w:val="24"/>
        </w:rPr>
        <w:t>12. vodeće načelo: unutar Komisije, agencija EU-a i financijskih institucija EU-a funkcionalno povezati sve politike i mjere koje utječu na globalno zdravlje</w:t>
      </w:r>
    </w:p>
    <w:p w14:paraId="19F4C209" w14:textId="1AC866D5" w:rsidR="00510B84" w:rsidRPr="003C7608" w:rsidRDefault="00884DF8" w:rsidP="00267D9A">
      <w:pPr>
        <w:spacing w:line="240" w:lineRule="auto"/>
        <w:jc w:val="both"/>
        <w:rPr>
          <w:noProof/>
        </w:rPr>
      </w:pPr>
      <w:r>
        <w:rPr>
          <w:noProof/>
        </w:rPr>
        <w:t xml:space="preserve">Komisija će u potpunosti integrirati globalna zdravstvena pitanja u sva područja politika EU-a koja utječu na globalno zdravlje jačanjem unutarnje koordinacije uloga i odgovornosti, politika i alata te načina na koji će oni pomoći u postizanju prioriteta ove strategije. </w:t>
      </w:r>
    </w:p>
    <w:p w14:paraId="191DC356" w14:textId="3DDA1298" w:rsidR="00F84419" w:rsidRPr="003C7608" w:rsidRDefault="00884DF8" w:rsidP="00267D9A">
      <w:pPr>
        <w:spacing w:line="240" w:lineRule="auto"/>
        <w:jc w:val="both"/>
        <w:rPr>
          <w:noProof/>
        </w:rPr>
      </w:pPr>
      <w:r>
        <w:rPr>
          <w:noProof/>
        </w:rPr>
        <w:t xml:space="preserve">To uključuje </w:t>
      </w:r>
      <w:r>
        <w:rPr>
          <w:b/>
          <w:noProof/>
          <w:u w:val="single"/>
        </w:rPr>
        <w:t>smjerove djelovanja</w:t>
      </w:r>
      <w:r>
        <w:rPr>
          <w:noProof/>
        </w:rPr>
        <w:t xml:space="preserve"> u sljedećim ključnim područjima politike:</w:t>
      </w:r>
    </w:p>
    <w:p w14:paraId="049DDF2A" w14:textId="63FF3F3B" w:rsidR="005C59EB" w:rsidRPr="00587E5B" w:rsidRDefault="005C59EB" w:rsidP="00587E5B">
      <w:pPr>
        <w:pStyle w:val="ListParagraph"/>
        <w:numPr>
          <w:ilvl w:val="0"/>
          <w:numId w:val="44"/>
        </w:numPr>
        <w:autoSpaceDE w:val="0"/>
        <w:autoSpaceDN w:val="0"/>
        <w:spacing w:before="40" w:after="40" w:line="240" w:lineRule="auto"/>
        <w:ind w:left="284" w:hanging="284"/>
        <w:jc w:val="both"/>
        <w:rPr>
          <w:rFonts w:cstheme="minorHAnsi"/>
          <w:noProof/>
        </w:rPr>
      </w:pPr>
      <w:r>
        <w:rPr>
          <w:b/>
          <w:noProof/>
        </w:rPr>
        <w:t>Raditi na postizanju globalne klimatske neutralnosti do 2050.</w:t>
      </w:r>
      <w:r>
        <w:rPr>
          <w:noProof/>
        </w:rPr>
        <w:t>, povećati kapacitet prilagodbe, jačati otpornost i smanjiti osjetljivost na klimatske promjene u skladu s Pariškim sporazumom. </w:t>
      </w:r>
    </w:p>
    <w:p w14:paraId="21461279" w14:textId="704DD464" w:rsidR="003C31B3" w:rsidRDefault="00A52F25" w:rsidP="005E4B61">
      <w:pPr>
        <w:pStyle w:val="ListParagraph"/>
        <w:numPr>
          <w:ilvl w:val="0"/>
          <w:numId w:val="44"/>
        </w:numPr>
        <w:spacing w:line="240" w:lineRule="auto"/>
        <w:ind w:left="284" w:hanging="284"/>
        <w:jc w:val="both"/>
        <w:rPr>
          <w:noProof/>
        </w:rPr>
      </w:pPr>
      <w:r>
        <w:rPr>
          <w:b/>
          <w:noProof/>
        </w:rPr>
        <w:t>Promicati ambiciozne globalne mjere za borbu protiv gubitka bioraznolikosti, nezakonite trgovine divljom faunom i florom, onečišćenja zraka, vode i tla</w:t>
      </w:r>
      <w:r>
        <w:rPr>
          <w:noProof/>
        </w:rPr>
        <w:t xml:space="preserve"> te izloženosti toksičnim tvarima. Poticati pristup „jedno zdravlje” u budućem globalnom okviru za bioraznolikost koji će se dogovoriti na Konferenciji UN-a o bioraznolikosti (COP15) i u okviru globalnih mjera za suzbijanje nezakonite trgovine divljom faunom i florom kako bi se smanjio rizik od zoonoza. Podupirati bioraznolikost tla, međunarodni rad na smanjenju onečišćenja zraka i ublažavanju globalnih emisija, promicanje ključnih međunarodnih instrumenata i globalnog mehanizma za upravljanje kemikalijama i otpadom nakon 2020., pregovore o novom, pravno obvezujućem instrumentu za okončanje onečišćenja plastikom i ambiciozne rezultate u pogledu vode i zdravlja na predstojećoj Konferenciji UN-a o vodama 2023.</w:t>
      </w:r>
    </w:p>
    <w:p w14:paraId="451A906E" w14:textId="74D9E51B" w:rsidR="00317D69" w:rsidRPr="003C7608" w:rsidRDefault="00317D69" w:rsidP="005E4B61">
      <w:pPr>
        <w:pStyle w:val="ListParagraph"/>
        <w:numPr>
          <w:ilvl w:val="0"/>
          <w:numId w:val="44"/>
        </w:numPr>
        <w:spacing w:line="240" w:lineRule="auto"/>
        <w:ind w:left="284" w:hanging="284"/>
        <w:jc w:val="both"/>
        <w:rPr>
          <w:noProof/>
        </w:rPr>
      </w:pPr>
      <w:r>
        <w:rPr>
          <w:b/>
          <w:noProof/>
        </w:rPr>
        <w:t>Promicati djelotvorne zdravstvene i sigurnosne standarde u cijelom svijetu</w:t>
      </w:r>
      <w:r>
        <w:rPr>
          <w:noProof/>
        </w:rPr>
        <w:t xml:space="preserve"> nastavkom suradnje s Međunarodnom organizacijom rada (ILO) u podupiranju integracije prava na sigurne i zdrave radne uvjete u okvir za temeljna načela i prava na radu ILO-a.</w:t>
      </w:r>
    </w:p>
    <w:p w14:paraId="183F61C2" w14:textId="55471B4D" w:rsidR="003C31B3" w:rsidRPr="003C7608" w:rsidRDefault="00A52F25" w:rsidP="005E4B61">
      <w:pPr>
        <w:pStyle w:val="ListParagraph"/>
        <w:numPr>
          <w:ilvl w:val="0"/>
          <w:numId w:val="44"/>
        </w:numPr>
        <w:spacing w:line="240" w:lineRule="auto"/>
        <w:ind w:left="284" w:hanging="284"/>
        <w:jc w:val="both"/>
        <w:rPr>
          <w:noProof/>
        </w:rPr>
      </w:pPr>
      <w:r>
        <w:rPr>
          <w:b/>
          <w:noProof/>
        </w:rPr>
        <w:t>Povećati humanitarnu pomoć i potporu</w:t>
      </w:r>
      <w:r>
        <w:rPr>
          <w:noProof/>
        </w:rPr>
        <w:t xml:space="preserve"> regijama i stanovništvu koji su najviše pogođeni </w:t>
      </w:r>
      <w:r>
        <w:rPr>
          <w:b/>
          <w:noProof/>
        </w:rPr>
        <w:t>nesigurnošću opskrbe hranom i visokom stopom pothranjenosti</w:t>
      </w:r>
      <w:r>
        <w:rPr>
          <w:noProof/>
        </w:rPr>
        <w:t>, pratiti cijene hrane i staviti zalihe na raspolaganje zemljama kojima je potrebna pomoć, kako je navedeno u Komunikaciji Komisije iz ožujka 2022. „Očuvanje sigurnosti opskrbe hranom i jačanje otpornosti prehrambenih sustava”</w:t>
      </w:r>
      <w:r>
        <w:rPr>
          <w:rStyle w:val="FootnoteReference"/>
          <w:noProof/>
        </w:rPr>
        <w:footnoteReference w:id="66"/>
      </w:r>
      <w:r>
        <w:rPr>
          <w:noProof/>
        </w:rPr>
        <w:t xml:space="preserve"> i Komunikaciji o gnojivima. Uvesti sustavan pristup ubrzavanjem prelaska na održiv prehrambeni sustav koji može donijeti koristi za zdravlje, okoliš i društvo.  </w:t>
      </w:r>
    </w:p>
    <w:p w14:paraId="626340A3" w14:textId="61572CE7" w:rsidR="003C31B3" w:rsidRPr="003C7608" w:rsidRDefault="00A52F25" w:rsidP="005E4B61">
      <w:pPr>
        <w:pStyle w:val="ListParagraph"/>
        <w:numPr>
          <w:ilvl w:val="0"/>
          <w:numId w:val="44"/>
        </w:numPr>
        <w:spacing w:line="240" w:lineRule="auto"/>
        <w:ind w:left="284" w:hanging="284"/>
        <w:jc w:val="both"/>
        <w:rPr>
          <w:noProof/>
        </w:rPr>
      </w:pPr>
      <w:r>
        <w:rPr>
          <w:b/>
          <w:noProof/>
        </w:rPr>
        <w:t>Potaknuti ulaganja u obrazovanje</w:t>
      </w:r>
      <w:r>
        <w:rPr>
          <w:noProof/>
        </w:rPr>
        <w:t xml:space="preserve"> radi kratkoročnog i dugoročnog doprinosa zdravlju, u skladu s obvezama preuzetima na sastanku na vrhu o preobrazbi obrazovanja, pri čemu su prioriteti razvoj u ranom djetinjstvu, zdravstveno obrazovanje, spolno i reproduktivno zdravlje i prava te školski obroci u okviru programa s partnerskim zemljama.</w:t>
      </w:r>
    </w:p>
    <w:p w14:paraId="2AF0ECDE" w14:textId="4808BF63" w:rsidR="003C31B3" w:rsidRPr="003C7608" w:rsidRDefault="00B1584C" w:rsidP="005E4B61">
      <w:pPr>
        <w:pStyle w:val="ListParagraph"/>
        <w:numPr>
          <w:ilvl w:val="0"/>
          <w:numId w:val="18"/>
        </w:numPr>
        <w:spacing w:line="240" w:lineRule="auto"/>
        <w:ind w:left="284" w:hanging="284"/>
        <w:jc w:val="both"/>
        <w:rPr>
          <w:noProof/>
        </w:rPr>
      </w:pPr>
      <w:r>
        <w:rPr>
          <w:b/>
          <w:noProof/>
        </w:rPr>
        <w:t>Jačati operacije humanitarne pomoći i civilne zaštite</w:t>
      </w:r>
      <w:r>
        <w:rPr>
          <w:noProof/>
        </w:rPr>
        <w:t xml:space="preserve"> povezane s globalnim zdravljem u izvanrednim i kriznim situacijama povećanjem operativnih, analitičkih, nadzornih i komunikacijskih kapaciteta Koordinacijskog centra za odgovor na hitne situacije i Europskog kapaciteta za humanitarni odgovor te raspoređivanjem većeg broja stručnjaka za javno zdravlje u krizna područja. Podupirati izgradnju kapaciteta za upravljanje katastrofama s organizacijama kao što je Koordinacijski centar ASEAN-a za humanitarnu pomoć. Povećati dostupnost kapaciteta za odgovor u području zdravlja u okviru </w:t>
      </w:r>
      <w:r>
        <w:rPr>
          <w:b/>
          <w:noProof/>
        </w:rPr>
        <w:t>Mehanizma Unije za civilnu zaštitu</w:t>
      </w:r>
      <w:r>
        <w:rPr>
          <w:noProof/>
        </w:rPr>
        <w:t>; razvijati nove medicinske kapacitete i kapacitete povezane s KBRN-om u okviru Europskih udruženih sredstava za civilnu zaštitu i sustava RescEU; pojačati suradnju sa SZO-om u odgovoru na hitne situacije i nastaviti podupirati njezin rad na izradi normi i postupcima klasifikacije medicinskih timova za hitne slučajeve koji se mogu rasporediti u cijelom svijetu.</w:t>
      </w:r>
    </w:p>
    <w:p w14:paraId="77BBCEDF" w14:textId="4745DFF5" w:rsidR="003C31B3" w:rsidRPr="003C7608" w:rsidRDefault="002A60DF" w:rsidP="005E4B61">
      <w:pPr>
        <w:pStyle w:val="ListParagraph"/>
        <w:numPr>
          <w:ilvl w:val="0"/>
          <w:numId w:val="18"/>
        </w:numPr>
        <w:spacing w:line="240" w:lineRule="auto"/>
        <w:ind w:left="284" w:hanging="284"/>
        <w:jc w:val="both"/>
        <w:rPr>
          <w:noProof/>
        </w:rPr>
      </w:pPr>
      <w:r>
        <w:rPr>
          <w:b/>
          <w:noProof/>
        </w:rPr>
        <w:t>Usmjeravati ponašanje javnih i privatnih dionika tako da doprinosi globalnom zdravlju nizom mjera povezanih s financijama</w:t>
      </w:r>
      <w:r>
        <w:rPr>
          <w:noProof/>
        </w:rPr>
        <w:t>: i. promicanjem postupanja domaćih i stranih poduzeća u korist zdravlja uključivanjem zdravstvenih učinaka u Direktivu EU-a o nefinancijskom izvješćivanju</w:t>
      </w:r>
      <w:r>
        <w:rPr>
          <w:rStyle w:val="FootnoteReference"/>
          <w:noProof/>
        </w:rPr>
        <w:footnoteReference w:id="67"/>
      </w:r>
      <w:r>
        <w:rPr>
          <w:noProof/>
        </w:rPr>
        <w:t>; ii. suradnjom s međunarodnim financijskim institucijama i agencijama za kreditni rejting kako bi u svoje odluke uključile iste zdravstvene kriterije; i iii. suradnjom s Međunarodnim monetarnim fondom (MMF) kako bi uključio ulaganja u zdravstvo u svoju redovitu procjenu makroekonomske stabilnosti zemalja, čime bi se potaknula ulaganja u javno zdravstvo.</w:t>
      </w:r>
    </w:p>
    <w:p w14:paraId="4F4F4CBF" w14:textId="277A990D" w:rsidR="001364AF" w:rsidRPr="007B5945" w:rsidRDefault="00B1584C" w:rsidP="00B5232F">
      <w:pPr>
        <w:pStyle w:val="ListParagraph"/>
        <w:numPr>
          <w:ilvl w:val="0"/>
          <w:numId w:val="18"/>
        </w:numPr>
        <w:spacing w:line="240" w:lineRule="auto"/>
        <w:ind w:left="284" w:hanging="284"/>
        <w:jc w:val="both"/>
        <w:rPr>
          <w:noProof/>
        </w:rPr>
      </w:pPr>
      <w:r>
        <w:rPr>
          <w:b/>
          <w:noProof/>
        </w:rPr>
        <w:t>Osigurati da međunarodna trgovinska politika doprinosi</w:t>
      </w:r>
      <w:r>
        <w:rPr>
          <w:noProof/>
        </w:rPr>
        <w:t xml:space="preserve"> globalnom zdravlju kako se ne bi poremetili međunarodni lanci opskrbe farmaceutskim proizvodima i kako bi partneri mogli koristiti lijekove, medicinske proizvode i usluge; jačati otpornost zdravstvenih sustava u sklopu inicijative Svjetske trgovinske organizacije (WTO) za trgovinu i zdravlje i razmjenjivati iskustva s partnerima WTO-a</w:t>
      </w:r>
      <w:r>
        <w:rPr>
          <w:rStyle w:val="FootnoteReference"/>
          <w:noProof/>
        </w:rPr>
        <w:footnoteReference w:id="68"/>
      </w:r>
      <w:r>
        <w:rPr>
          <w:noProof/>
        </w:rPr>
        <w:t xml:space="preserve"> o olakšavanju trgovine. To uključuje godišnji pregled iskustava stečenih tijekom pandemije s partnerima WTO-a i praćenje provedbe Ministarske odluke o Sporazumu WTO-a o trgovinskim aspektima prava intelektualnog vlasništva (TRIPS)</w:t>
      </w:r>
      <w:r>
        <w:rPr>
          <w:rStyle w:val="FootnoteReference"/>
          <w:noProof/>
        </w:rPr>
        <w:footnoteReference w:id="69"/>
      </w:r>
      <w:r>
        <w:rPr>
          <w:noProof/>
        </w:rPr>
        <w:t>, kojim se omogućuje brzo i pojednostavnjeno odobravanje proizvodnje i izvoza cjepiva protiv bolesti COVID-19 bez pristanka vlasnika patenta. Konstruktivno ćemo raspravljati o tome treba li taj mehanizam proširiti na terapeutike i dijagnostiku bolesti COVID-19 te podupirati povećanje kapaciteta za proizvodnju cjepiva i drugih proizvoda u zemljama u razvoju.</w:t>
      </w:r>
      <w:r>
        <w:rPr>
          <w:i/>
          <w:noProof/>
        </w:rPr>
        <w:t xml:space="preserve"> </w:t>
      </w:r>
    </w:p>
    <w:p w14:paraId="615F788F" w14:textId="4819FD68" w:rsidR="003C31B3" w:rsidRPr="003C7608" w:rsidRDefault="00B1584C" w:rsidP="005E4B61">
      <w:pPr>
        <w:pStyle w:val="ListParagraph"/>
        <w:numPr>
          <w:ilvl w:val="0"/>
          <w:numId w:val="18"/>
        </w:numPr>
        <w:spacing w:line="240" w:lineRule="auto"/>
        <w:ind w:left="284" w:hanging="284"/>
        <w:jc w:val="both"/>
        <w:rPr>
          <w:noProof/>
        </w:rPr>
      </w:pPr>
      <w:r>
        <w:rPr>
          <w:b/>
          <w:noProof/>
        </w:rPr>
        <w:t>Kao potporu Visokom predstavniku oblikovati zajedničku vanjsku i sigurnosnu politiku i promicati potpunu provedbu te politike</w:t>
      </w:r>
      <w:r>
        <w:rPr>
          <w:noProof/>
        </w:rPr>
        <w:t xml:space="preserve"> uključivanjem zdravlja u političke dijaloge s partnerima kako bi se olakšala međunarodna suradnja. Vanjsko djelovanje može poslužiti kao vektor promicanja globalnog zdravlja, na primjer mapiranjem vanjskih sigurnosnih prijetnji. Globalno zdravlje trebalo bi povezati s drugim čimbenicima koji utječu na zdravlje, kao što su okoliš, migracije, demografija ili sigurnost opskrbe hranom. Budući smjerovi djelovanja trebali bi uključivati: i. podupiranje uspostave mehanizama za nadzor pandemija u zemljama koje nisu članice EU-a; ii. širenje uzajamnih informacija o planovima partnera za unapređenje vanjske politike i komercijalnih ciljeva putem zdravlja; iii. osiguranje suradnje s partnerima istomišljenicima u Ženevi, New Yorku i drugdje u svijetu; i iv. sprečavanje manipulacije informacijama i ometanja iz inozemstva te odgovor na te aktivnosti, u kojima se globalno zdravlje može iskoristiti kao oružje. Uspješno informiranje dionika i javnosti o djelovanju EU-a u području zdravlja pokazalo se vrlo korisnim alatom u tom pogledu.</w:t>
      </w:r>
    </w:p>
    <w:p w14:paraId="3413A776" w14:textId="5A409F08" w:rsidR="003C31B3" w:rsidRPr="003C7608" w:rsidRDefault="00B1584C" w:rsidP="00267D9A">
      <w:pPr>
        <w:pStyle w:val="ListParagraph"/>
        <w:numPr>
          <w:ilvl w:val="0"/>
          <w:numId w:val="18"/>
        </w:numPr>
        <w:spacing w:line="240" w:lineRule="auto"/>
        <w:ind w:left="284" w:hanging="284"/>
        <w:jc w:val="both"/>
        <w:rPr>
          <w:noProof/>
        </w:rPr>
      </w:pPr>
      <w:r>
        <w:rPr>
          <w:b/>
          <w:noProof/>
        </w:rPr>
        <w:t>Osigurati aktivnu ulogu delegacija EU-a u provedbi ove strategije</w:t>
      </w:r>
      <w:r>
        <w:rPr>
          <w:noProof/>
        </w:rPr>
        <w:t xml:space="preserve">. Tijekom pandemije bolesti COVID-19 delegacije EU-a pokazale su se djelotvornim izvorom jer prikupljaju obavještajne podatke povezane sa zdravljem iz cijelog svijeta te komuniciraju i informiraju o prioritetima EU-a, ujedno usmjeravajući politiku na ta pitanja. Bit će potrebno ojačati ulogu delegacija EU-a osiguravajući posebno stručno znanje u područjima povezanima sa zdravljem koja imaju geostratešku važnost. Razmotrit će se jačanje posebnog stručnog znanja u području zdravlja u delegacijama, među ostalim upućivanjem stručnjaka. </w:t>
      </w:r>
    </w:p>
    <w:p w14:paraId="51C68389" w14:textId="1FE28E8F" w:rsidR="00C90593" w:rsidRPr="00780EB0" w:rsidRDefault="00C90593" w:rsidP="00A62EA6">
      <w:pPr>
        <w:spacing w:line="240" w:lineRule="auto"/>
        <w:jc w:val="both"/>
        <w:rPr>
          <w:rFonts w:ascii="Times New Roman" w:eastAsia="Calibri" w:hAnsi="Times New Roman" w:cs="Times New Roman"/>
          <w:i/>
          <w:iCs/>
          <w:noProof/>
          <w:color w:val="002060"/>
          <w:sz w:val="24"/>
          <w:szCs w:val="24"/>
        </w:rPr>
      </w:pPr>
      <w:bookmarkStart w:id="20" w:name="_Hlk114400765"/>
      <w:r>
        <w:rPr>
          <w:rFonts w:ascii="Times New Roman" w:hAnsi="Times New Roman"/>
          <w:b/>
          <w:i/>
          <w:noProof/>
          <w:color w:val="002060"/>
          <w:sz w:val="24"/>
        </w:rPr>
        <w:t>13. vodeće načelo: bolje povezati i koordinirati politike i mjere EU-a i njegovih država članica kako bi nastupali jednoglasno i uspješno djelovali u cijelom svijetu</w:t>
      </w:r>
    </w:p>
    <w:bookmarkEnd w:id="20"/>
    <w:p w14:paraId="6DBE2588" w14:textId="26DF67D5" w:rsidR="00CE030E" w:rsidRPr="003C7608" w:rsidRDefault="003C4251" w:rsidP="00A62EA6">
      <w:pPr>
        <w:spacing w:line="240" w:lineRule="auto"/>
        <w:jc w:val="both"/>
        <w:rPr>
          <w:rFonts w:eastAsia="Calibri" w:cstheme="minorHAnsi"/>
          <w:noProof/>
        </w:rPr>
      </w:pPr>
      <w:r>
        <w:rPr>
          <w:rFonts w:ascii="Calibri" w:hAnsi="Calibri"/>
          <w:noProof/>
        </w:rPr>
        <w:t xml:space="preserve">Vodeći položaj EU-a ima ključnu ulogu u globalnoj borbi protiv pandemije bolesti COVID-19 putem </w:t>
      </w:r>
      <w:r>
        <w:rPr>
          <w:rFonts w:ascii="Calibri" w:hAnsi="Calibri"/>
          <w:b/>
          <w:noProof/>
        </w:rPr>
        <w:t>pristupa Tima Europa</w:t>
      </w:r>
      <w:r>
        <w:rPr>
          <w:rFonts w:ascii="Calibri" w:hAnsi="Calibri"/>
          <w:noProof/>
        </w:rPr>
        <w:t xml:space="preserve">, pri čemu EU i države članice djeluju u okviru svojih nadležnosti. </w:t>
      </w:r>
      <w:r>
        <w:rPr>
          <w:rFonts w:ascii="Calibri" w:hAnsi="Calibri"/>
          <w:b/>
          <w:noProof/>
        </w:rPr>
        <w:t>Jačanje tog vodstva</w:t>
      </w:r>
      <w:r>
        <w:rPr>
          <w:rFonts w:ascii="Calibri" w:hAnsi="Calibri"/>
          <w:noProof/>
        </w:rPr>
        <w:t xml:space="preserve"> ključno je za povećanje učinka doprinosa EU-a globalnom zdravlju i oblikovanje novoga globalnog zdravstvenog poretka utemeljenog na našim temeljnim vrijednostima. Među državama članicama EU-a i dionicima postoji opći konsenzus da je za to potrebna bolja koordinacija u smislu prakse, kojom bi se, uz poštovanje posebnih nadležnosti, olakšalo donošenje odluka postojećim zakonskim kanalima.</w:t>
      </w:r>
      <w:r>
        <w:rPr>
          <w:noProof/>
        </w:rPr>
        <w:t xml:space="preserve"> </w:t>
      </w:r>
    </w:p>
    <w:p w14:paraId="06D702F7" w14:textId="21971FA4" w:rsidR="00CE030E" w:rsidRPr="003C7608" w:rsidRDefault="00C90593" w:rsidP="00A62EA6">
      <w:pPr>
        <w:spacing w:line="240" w:lineRule="auto"/>
        <w:jc w:val="both"/>
        <w:rPr>
          <w:rFonts w:ascii="Calibri" w:eastAsia="Calibri" w:hAnsi="Calibri" w:cs="Calibri"/>
          <w:noProof/>
        </w:rPr>
      </w:pPr>
      <w:r>
        <w:rPr>
          <w:rFonts w:ascii="Calibri" w:hAnsi="Calibri"/>
          <w:noProof/>
        </w:rPr>
        <w:t>Na temelju ideja iz država članica EU-a u ovoj se strategiji predlaže definiranje praktičnih načina za poboljšanje koordinacije u 2023.</w:t>
      </w:r>
      <w:r>
        <w:rPr>
          <w:rStyle w:val="FootnoteReference"/>
          <w:rFonts w:ascii="Calibri" w:eastAsia="Calibri" w:hAnsi="Calibri" w:cs="Calibri"/>
          <w:noProof/>
        </w:rPr>
        <w:footnoteReference w:id="70"/>
      </w:r>
      <w:r>
        <w:rPr>
          <w:rFonts w:ascii="Calibri" w:hAnsi="Calibri"/>
          <w:noProof/>
        </w:rPr>
        <w:t xml:space="preserve">, i to sljedećim </w:t>
      </w:r>
      <w:r>
        <w:rPr>
          <w:rFonts w:ascii="Calibri" w:hAnsi="Calibri"/>
          <w:b/>
          <w:noProof/>
          <w:u w:val="single"/>
        </w:rPr>
        <w:t>smjerovima djelovanja</w:t>
      </w:r>
      <w:r>
        <w:rPr>
          <w:rFonts w:ascii="Calibri" w:hAnsi="Calibri"/>
          <w:noProof/>
        </w:rPr>
        <w:t xml:space="preserve">: </w:t>
      </w:r>
    </w:p>
    <w:p w14:paraId="6306266B" w14:textId="1F3E4F56" w:rsidR="00081121" w:rsidRPr="003C7608" w:rsidRDefault="00081121" w:rsidP="00081121">
      <w:pPr>
        <w:pStyle w:val="ListParagraph"/>
        <w:numPr>
          <w:ilvl w:val="0"/>
          <w:numId w:val="20"/>
        </w:numPr>
        <w:ind w:left="360"/>
        <w:jc w:val="both"/>
        <w:rPr>
          <w:rFonts w:ascii="Calibri" w:eastAsia="Calibri" w:hAnsi="Calibri" w:cs="Calibri"/>
          <w:b/>
          <w:bCs/>
          <w:noProof/>
        </w:rPr>
      </w:pPr>
      <w:r>
        <w:rPr>
          <w:rFonts w:ascii="Calibri" w:hAnsi="Calibri"/>
          <w:b/>
          <w:noProof/>
        </w:rPr>
        <w:t>Osigurati sinergiju između nacionalnih i EU-ovih strategija za globalno zdravlje.</w:t>
      </w:r>
    </w:p>
    <w:p w14:paraId="31462110" w14:textId="300C3B73" w:rsidR="00CE030E" w:rsidRPr="003C7608" w:rsidRDefault="00B1584C" w:rsidP="00C90593">
      <w:pPr>
        <w:pStyle w:val="ListParagraph"/>
        <w:numPr>
          <w:ilvl w:val="0"/>
          <w:numId w:val="20"/>
        </w:numPr>
        <w:ind w:left="360"/>
        <w:jc w:val="both"/>
        <w:rPr>
          <w:rFonts w:ascii="Calibri" w:eastAsia="Calibri" w:hAnsi="Calibri" w:cs="Calibri"/>
          <w:noProof/>
        </w:rPr>
      </w:pPr>
      <w:r>
        <w:rPr>
          <w:rFonts w:ascii="Calibri" w:hAnsi="Calibri"/>
          <w:b/>
          <w:noProof/>
        </w:rPr>
        <w:t>Olakšati razmjenu informacija i obavještajnih podataka između EU-a i država članica</w:t>
      </w:r>
      <w:r>
        <w:rPr>
          <w:rFonts w:ascii="Calibri" w:hAnsi="Calibri"/>
          <w:noProof/>
        </w:rPr>
        <w:t xml:space="preserve"> u brojnim središnjicama koje se bave globalnim zdravljem (</w:t>
      </w:r>
      <w:r>
        <w:rPr>
          <w:rFonts w:ascii="Calibri" w:hAnsi="Calibri"/>
          <w:b/>
          <w:noProof/>
        </w:rPr>
        <w:t>Bruxelles, glavni gradovi država članica, Ženeva i New York</w:t>
      </w:r>
      <w:r>
        <w:rPr>
          <w:rFonts w:ascii="Calibri" w:hAnsi="Calibri"/>
          <w:noProof/>
        </w:rPr>
        <w:t xml:space="preserve">) i povećati zdravstvene kapacitete i/ili stručno znanje u posljednje dvije od njih. To će se temeljiti na aktualnoj inicijativi češkog predsjedništva Vijeća za ispunjenje te potrebe. </w:t>
      </w:r>
    </w:p>
    <w:p w14:paraId="03B17EC7" w14:textId="60518032" w:rsidR="0029643E" w:rsidRPr="003C7608" w:rsidRDefault="00B1584C" w:rsidP="00C90593">
      <w:pPr>
        <w:pStyle w:val="ListParagraph"/>
        <w:numPr>
          <w:ilvl w:val="0"/>
          <w:numId w:val="20"/>
        </w:numPr>
        <w:ind w:left="360"/>
        <w:jc w:val="both"/>
        <w:rPr>
          <w:rFonts w:ascii="Calibri" w:eastAsia="Calibri" w:hAnsi="Calibri" w:cs="Calibri"/>
          <w:noProof/>
        </w:rPr>
      </w:pPr>
      <w:r>
        <w:rPr>
          <w:rFonts w:ascii="Calibri" w:hAnsi="Calibri"/>
          <w:b/>
          <w:noProof/>
        </w:rPr>
        <w:t>Prikupljati stajališta država članica</w:t>
      </w:r>
      <w:r>
        <w:rPr>
          <w:rFonts w:ascii="Calibri" w:hAnsi="Calibri"/>
          <w:noProof/>
        </w:rPr>
        <w:t xml:space="preserve">, među ostalim provođenjem periodičnih istraživanja o određenim temama, kako bi se olakšalo oblikovanje stajališta. </w:t>
      </w:r>
    </w:p>
    <w:p w14:paraId="7FB678F7" w14:textId="5197B2BA" w:rsidR="00CE030E" w:rsidRPr="003C7608" w:rsidRDefault="00B1584C" w:rsidP="00C90593">
      <w:pPr>
        <w:pStyle w:val="ListParagraph"/>
        <w:numPr>
          <w:ilvl w:val="0"/>
          <w:numId w:val="20"/>
        </w:numPr>
        <w:ind w:left="360"/>
        <w:jc w:val="both"/>
        <w:rPr>
          <w:rFonts w:ascii="Calibri" w:eastAsia="Calibri" w:hAnsi="Calibri" w:cs="Calibri"/>
          <w:noProof/>
        </w:rPr>
      </w:pPr>
      <w:r>
        <w:rPr>
          <w:b/>
          <w:noProof/>
        </w:rPr>
        <w:t>Kontinuirano mapirati ključne mjere i izdvajanje sredstava</w:t>
      </w:r>
      <w:r>
        <w:rPr>
          <w:noProof/>
        </w:rPr>
        <w:t xml:space="preserve"> EU-a i njegovih država članica kako bi se bolje razumjelo koje se mjere provode i omogućilo povezivanje sredstava s prioritetima strategije, prema potrebi uz pomoć </w:t>
      </w:r>
      <w:r>
        <w:rPr>
          <w:b/>
          <w:noProof/>
        </w:rPr>
        <w:t>zajedničkih ministarskih sastanaka</w:t>
      </w:r>
      <w:r>
        <w:rPr>
          <w:noProof/>
        </w:rPr>
        <w:t xml:space="preserve"> u području zdravstva, financija, vanjskih poslova i razvoja.</w:t>
      </w:r>
    </w:p>
    <w:p w14:paraId="2DA32CF4" w14:textId="76549AE0" w:rsidR="00C90593" w:rsidRPr="003C7608" w:rsidRDefault="00A52F25" w:rsidP="00C90593">
      <w:pPr>
        <w:pStyle w:val="ListParagraph"/>
        <w:numPr>
          <w:ilvl w:val="0"/>
          <w:numId w:val="20"/>
        </w:numPr>
        <w:ind w:left="360"/>
        <w:jc w:val="both"/>
        <w:rPr>
          <w:rFonts w:ascii="Calibri" w:eastAsia="Calibri" w:hAnsi="Calibri" w:cs="Calibri"/>
          <w:noProof/>
        </w:rPr>
      </w:pPr>
      <w:r>
        <w:rPr>
          <w:rFonts w:ascii="Calibri" w:hAnsi="Calibri"/>
          <w:b/>
          <w:noProof/>
        </w:rPr>
        <w:t>Ojačati prethodnu koordinaciju s državama članicama</w:t>
      </w:r>
      <w:r>
        <w:rPr>
          <w:rFonts w:ascii="Calibri" w:hAnsi="Calibri"/>
          <w:noProof/>
        </w:rPr>
        <w:t xml:space="preserve">, posebno u forumima u kojima ne sudjeluju izravno sve države članice (npr. skupine </w:t>
      </w:r>
      <w:r>
        <w:rPr>
          <w:rFonts w:ascii="Calibri" w:hAnsi="Calibri"/>
          <w:b/>
          <w:noProof/>
        </w:rPr>
        <w:t>G-7</w:t>
      </w:r>
      <w:r>
        <w:rPr>
          <w:rFonts w:ascii="Calibri" w:hAnsi="Calibri"/>
          <w:noProof/>
        </w:rPr>
        <w:t xml:space="preserve"> i </w:t>
      </w:r>
      <w:r>
        <w:rPr>
          <w:rFonts w:ascii="Calibri" w:hAnsi="Calibri"/>
          <w:b/>
          <w:noProof/>
        </w:rPr>
        <w:t>G-20</w:t>
      </w:r>
      <w:r>
        <w:rPr>
          <w:rFonts w:ascii="Calibri" w:hAnsi="Calibri"/>
          <w:noProof/>
        </w:rPr>
        <w:t xml:space="preserve"> i </w:t>
      </w:r>
      <w:r>
        <w:rPr>
          <w:rFonts w:ascii="Calibri" w:hAnsi="Calibri"/>
          <w:b/>
          <w:noProof/>
        </w:rPr>
        <w:t>Organizacija za gospodarsku suradnju i razvoj</w:t>
      </w:r>
      <w:r>
        <w:rPr>
          <w:rFonts w:ascii="Calibri" w:hAnsi="Calibri"/>
          <w:noProof/>
        </w:rPr>
        <w:t xml:space="preserve"> (OECD)). </w:t>
      </w:r>
    </w:p>
    <w:p w14:paraId="6800546B" w14:textId="7C21C926" w:rsidR="00C90593" w:rsidRPr="00780EB0" w:rsidRDefault="00B1584C" w:rsidP="00C90593">
      <w:pPr>
        <w:pStyle w:val="ListParagraph"/>
        <w:numPr>
          <w:ilvl w:val="0"/>
          <w:numId w:val="20"/>
        </w:numPr>
        <w:ind w:left="360"/>
        <w:jc w:val="both"/>
        <w:rPr>
          <w:rFonts w:ascii="Calibri" w:eastAsia="Calibri" w:hAnsi="Calibri" w:cs="Calibri"/>
          <w:b/>
          <w:bCs/>
          <w:noProof/>
        </w:rPr>
      </w:pPr>
      <w:r>
        <w:rPr>
          <w:rFonts w:ascii="Calibri" w:hAnsi="Calibri"/>
          <w:noProof/>
        </w:rPr>
        <w:t xml:space="preserve">Pojačati koordinaciju na razini EU-a i povezivanje sa saveznicima </w:t>
      </w:r>
      <w:r>
        <w:rPr>
          <w:rFonts w:ascii="Calibri" w:hAnsi="Calibri"/>
          <w:b/>
          <w:noProof/>
        </w:rPr>
        <w:t>kako bi se osigurala odgovarajuća prisutnost i uloga EU-a u donošenju odluka u međunarodnim organizacijama</w:t>
      </w:r>
      <w:r>
        <w:rPr>
          <w:rFonts w:ascii="Calibri" w:hAnsi="Calibri"/>
          <w:noProof/>
        </w:rPr>
        <w:t>.</w:t>
      </w:r>
      <w:r>
        <w:rPr>
          <w:rFonts w:ascii="Calibri" w:hAnsi="Calibri"/>
          <w:b/>
          <w:noProof/>
        </w:rPr>
        <w:t xml:space="preserve"> </w:t>
      </w:r>
    </w:p>
    <w:p w14:paraId="35994224" w14:textId="346204FA" w:rsidR="00B24C6C" w:rsidRPr="003C7608" w:rsidRDefault="00A52F25" w:rsidP="005E4B61">
      <w:pPr>
        <w:pStyle w:val="ListParagraph"/>
        <w:numPr>
          <w:ilvl w:val="0"/>
          <w:numId w:val="20"/>
        </w:numPr>
        <w:ind w:left="360"/>
        <w:jc w:val="both"/>
        <w:rPr>
          <w:rFonts w:ascii="Calibri" w:eastAsia="Calibri" w:hAnsi="Calibri" w:cs="Calibri"/>
          <w:b/>
          <w:bCs/>
          <w:noProof/>
        </w:rPr>
      </w:pPr>
      <w:r>
        <w:rPr>
          <w:rFonts w:ascii="Calibri" w:hAnsi="Calibri"/>
          <w:b/>
          <w:noProof/>
        </w:rPr>
        <w:t>Ojačati vanjsku komunikaciju</w:t>
      </w:r>
      <w:r>
        <w:rPr>
          <w:rFonts w:ascii="Calibri" w:hAnsi="Calibri"/>
          <w:noProof/>
        </w:rPr>
        <w:t xml:space="preserve"> prilagođenu strategiji kako bi trud EU-a i njegovih država članica dobio odgovarajuće priznanje, pri čemu je „pristup Tima Europa” zaštitni znak za uspješno djelovanje EU-a u području zdravlja, u skladu sa strategijom Global Gateway.</w:t>
      </w:r>
    </w:p>
    <w:p w14:paraId="33AD8F6E" w14:textId="4E2BA036" w:rsidR="00C0330D" w:rsidRPr="00C0330D" w:rsidRDefault="003C4251" w:rsidP="00AF5CCA">
      <w:pPr>
        <w:pStyle w:val="Heading2"/>
        <w:numPr>
          <w:ilvl w:val="0"/>
          <w:numId w:val="80"/>
        </w:numPr>
        <w:spacing w:before="60" w:after="60"/>
        <w:ind w:left="426" w:hanging="426"/>
        <w:rPr>
          <w:b/>
          <w:noProof/>
          <w:sz w:val="28"/>
          <w:szCs w:val="28"/>
        </w:rPr>
      </w:pPr>
      <w:bookmarkStart w:id="21" w:name="_Toc111380297"/>
      <w:bookmarkStart w:id="22" w:name="_Toc1553553278"/>
      <w:bookmarkStart w:id="23" w:name="_Toc938568653"/>
      <w:bookmarkStart w:id="24" w:name="_Toc475509139"/>
      <w:bookmarkStart w:id="25" w:name="_Toc1988416378"/>
      <w:bookmarkStart w:id="26" w:name="_Toc1005249865"/>
      <w:bookmarkStart w:id="27" w:name="_Toc640130926"/>
      <w:bookmarkStart w:id="28" w:name="_Toc2145492024"/>
      <w:bookmarkStart w:id="29" w:name="_Toc1296186201"/>
      <w:bookmarkStart w:id="30" w:name="_Toc1369124071"/>
      <w:r>
        <w:rPr>
          <w:b/>
          <w:noProof/>
          <w:sz w:val="28"/>
        </w:rPr>
        <w:t>Novo multilateralno upravljanje za novi globalni zdravstveni poredak koji je u nastajanju</w:t>
      </w:r>
      <w:bookmarkEnd w:id="21"/>
      <w:r>
        <w:rPr>
          <w:b/>
          <w:noProof/>
          <w:sz w:val="28"/>
        </w:rPr>
        <w:t xml:space="preserve"> </w:t>
      </w:r>
      <w:bookmarkEnd w:id="22"/>
      <w:bookmarkEnd w:id="23"/>
      <w:bookmarkEnd w:id="24"/>
      <w:bookmarkEnd w:id="25"/>
      <w:bookmarkEnd w:id="26"/>
      <w:bookmarkEnd w:id="27"/>
      <w:bookmarkEnd w:id="28"/>
      <w:bookmarkEnd w:id="29"/>
      <w:bookmarkEnd w:id="30"/>
    </w:p>
    <w:p w14:paraId="32EF4ADC" w14:textId="67FF7420" w:rsidR="00F1713F" w:rsidRPr="003C7608" w:rsidRDefault="00A157A4" w:rsidP="00445866">
      <w:pPr>
        <w:spacing w:before="60" w:after="60" w:line="240" w:lineRule="auto"/>
        <w:jc w:val="both"/>
        <w:rPr>
          <w:rFonts w:eastAsia="Calibri" w:cstheme="minorHAnsi"/>
          <w:noProof/>
        </w:rPr>
      </w:pPr>
      <w:r>
        <w:rPr>
          <w:noProof/>
        </w:rPr>
        <w:t xml:space="preserve">Od Komunikacije iz 2010. javlja se </w:t>
      </w:r>
      <w:r>
        <w:rPr>
          <w:b/>
          <w:noProof/>
        </w:rPr>
        <w:t>novi globalni zdravstveni poredak</w:t>
      </w:r>
      <w:r>
        <w:rPr>
          <w:noProof/>
        </w:rPr>
        <w:t xml:space="preserve">: sustav koji se stalno razvija, s mnoštvom novih dionika i inicijativa koji u složenom geopolitičkom kontekstu preoblikuju odnose u području globalnog zdravlja. Pandemija bolesti COVID-19 pouzdano je pokazala što je neophodno, što se mora promijeniti, a što nedostaje kako bi se omogućilo djelotvorno upravljanje zdravljem na globalnoj razini. </w:t>
      </w:r>
      <w:bookmarkStart w:id="31" w:name="_Hlk118868896"/>
      <w:r>
        <w:rPr>
          <w:noProof/>
        </w:rPr>
        <w:t>Komisija će slijediti vodeća načela, na što poziva i države članice:</w:t>
      </w:r>
    </w:p>
    <w:bookmarkEnd w:id="31"/>
    <w:p w14:paraId="59739710" w14:textId="372EAF71" w:rsidR="00CE030E" w:rsidRPr="00780EB0" w:rsidRDefault="00CE030E" w:rsidP="00DF39FA">
      <w:pPr>
        <w:spacing w:before="120" w:line="240" w:lineRule="auto"/>
        <w:jc w:val="both"/>
        <w:rPr>
          <w:rFonts w:ascii="Times New Roman" w:eastAsia="Calibri" w:hAnsi="Times New Roman" w:cs="Times New Roman"/>
          <w:i/>
          <w:iCs/>
          <w:noProof/>
          <w:color w:val="002060"/>
          <w:sz w:val="24"/>
          <w:szCs w:val="24"/>
        </w:rPr>
      </w:pPr>
      <w:r>
        <w:rPr>
          <w:rFonts w:ascii="Times New Roman" w:hAnsi="Times New Roman"/>
          <w:b/>
          <w:i/>
          <w:noProof/>
          <w:color w:val="002060"/>
          <w:sz w:val="24"/>
        </w:rPr>
        <w:t>14. vodeće načelo:</w:t>
      </w:r>
      <w:r>
        <w:rPr>
          <w:rFonts w:ascii="Times New Roman" w:hAnsi="Times New Roman"/>
          <w:i/>
          <w:noProof/>
          <w:color w:val="002060"/>
          <w:sz w:val="24"/>
        </w:rPr>
        <w:t xml:space="preserve"> </w:t>
      </w:r>
      <w:r>
        <w:rPr>
          <w:rFonts w:ascii="Times New Roman" w:hAnsi="Times New Roman"/>
          <w:b/>
          <w:i/>
          <w:noProof/>
          <w:color w:val="002060"/>
          <w:sz w:val="24"/>
        </w:rPr>
        <w:t>podupirati snažniju, djelotvorniju i odgovorniju Svjetsku zdravstvenu organizaciju</w:t>
      </w:r>
    </w:p>
    <w:p w14:paraId="4C41285C" w14:textId="3879AE58" w:rsidR="003C4251" w:rsidRPr="003C7608" w:rsidRDefault="00314E8E" w:rsidP="009C12D5">
      <w:pPr>
        <w:spacing w:line="240" w:lineRule="auto"/>
        <w:jc w:val="both"/>
        <w:rPr>
          <w:rFonts w:eastAsia="Calibri" w:cstheme="minorHAnsi"/>
          <w:noProof/>
        </w:rPr>
      </w:pPr>
      <w:r>
        <w:rPr>
          <w:noProof/>
        </w:rPr>
        <w:t xml:space="preserve">Sve države članice EU-27 članice su Svjetske zdravstvene organizacije. Sam EU, iako formalno nije član, oduvijek je čvrsto podupirao tu organizaciju, i u trenucima kad se njezina uloga dovodila u pitanje. Pandemija bolesti COVID-19 pokazala je da je </w:t>
      </w:r>
      <w:r>
        <w:rPr>
          <w:b/>
          <w:noProof/>
        </w:rPr>
        <w:t>SZO neizostavan temelj</w:t>
      </w:r>
      <w:r>
        <w:rPr>
          <w:noProof/>
        </w:rPr>
        <w:t xml:space="preserve"> multilateralnog zdravstvenog sustava, a ujedno je otkrila područja s određenim nedostacima. Cilj ove strategije trebao bi biti </w:t>
      </w:r>
      <w:bookmarkStart w:id="32" w:name="_Hlk114423570"/>
      <w:r>
        <w:rPr>
          <w:noProof/>
        </w:rPr>
        <w:t xml:space="preserve">daljnje jačanje </w:t>
      </w:r>
      <w:r>
        <w:rPr>
          <w:b/>
          <w:noProof/>
        </w:rPr>
        <w:t>vodstva, djelotvornosti, učinkovitosti i odgovornosti SZO-a</w:t>
      </w:r>
      <w:r>
        <w:rPr>
          <w:noProof/>
        </w:rPr>
        <w:t xml:space="preserve"> te </w:t>
      </w:r>
      <w:r>
        <w:rPr>
          <w:b/>
          <w:noProof/>
        </w:rPr>
        <w:t>usklađivanje</w:t>
      </w:r>
      <w:r>
        <w:rPr>
          <w:noProof/>
        </w:rPr>
        <w:t xml:space="preserve"> prioriteta EU-a i SZO-a. </w:t>
      </w:r>
    </w:p>
    <w:p w14:paraId="05BD5300" w14:textId="77777777" w:rsidR="00CE030E" w:rsidRPr="003C7608" w:rsidRDefault="00CE030E" w:rsidP="00267D9A">
      <w:pPr>
        <w:jc w:val="both"/>
        <w:rPr>
          <w:rFonts w:eastAsia="Calibri" w:cstheme="minorHAnsi"/>
          <w:noProof/>
        </w:rPr>
      </w:pPr>
      <w:r>
        <w:rPr>
          <w:noProof/>
        </w:rPr>
        <w:t xml:space="preserve">Prioritetni su sljedeći </w:t>
      </w:r>
      <w:r>
        <w:rPr>
          <w:b/>
          <w:noProof/>
          <w:u w:val="single"/>
        </w:rPr>
        <w:t>smjerovi djelovanja</w:t>
      </w:r>
      <w:r>
        <w:rPr>
          <w:noProof/>
        </w:rPr>
        <w:t>:</w:t>
      </w:r>
      <w:r>
        <w:rPr>
          <w:b/>
          <w:noProof/>
        </w:rPr>
        <w:t xml:space="preserve"> </w:t>
      </w:r>
    </w:p>
    <w:p w14:paraId="70ACCCBB" w14:textId="5F3A2C45" w:rsidR="0041788E" w:rsidRPr="003C7608" w:rsidRDefault="0041788E" w:rsidP="0041788E">
      <w:pPr>
        <w:pStyle w:val="ListParagraph"/>
        <w:numPr>
          <w:ilvl w:val="0"/>
          <w:numId w:val="21"/>
        </w:numPr>
        <w:jc w:val="both"/>
        <w:rPr>
          <w:rFonts w:eastAsia="Calibri" w:cstheme="minorHAnsi"/>
          <w:noProof/>
        </w:rPr>
      </w:pPr>
      <w:r>
        <w:rPr>
          <w:b/>
          <w:noProof/>
        </w:rPr>
        <w:t>Zatražiti za EU formalni status promatrača sa svim pravima sudjelovanja</w:t>
      </w:r>
      <w:r>
        <w:rPr>
          <w:noProof/>
        </w:rPr>
        <w:t xml:space="preserve"> kao prvi korak prema punopravnom članstvu u SZO-u. </w:t>
      </w:r>
    </w:p>
    <w:p w14:paraId="383A2838" w14:textId="5246A6D6" w:rsidR="00CE030E" w:rsidRPr="003C7608" w:rsidRDefault="0075444C" w:rsidP="00CE030E">
      <w:pPr>
        <w:pStyle w:val="ListParagraph"/>
        <w:numPr>
          <w:ilvl w:val="0"/>
          <w:numId w:val="21"/>
        </w:numPr>
        <w:jc w:val="both"/>
        <w:rPr>
          <w:rFonts w:eastAsia="Calibri" w:cstheme="minorHAnsi"/>
          <w:noProof/>
        </w:rPr>
      </w:pPr>
      <w:r>
        <w:rPr>
          <w:b/>
          <w:noProof/>
        </w:rPr>
        <w:t>Pridonijeti većoj održivosti financiranja SZO-a</w:t>
      </w:r>
      <w:r>
        <w:rPr>
          <w:noProof/>
        </w:rPr>
        <w:t xml:space="preserve"> do 2030.–2031. u skladu s odlukama 75. Svjetske zdravstvene skupštine</w:t>
      </w:r>
      <w:r>
        <w:rPr>
          <w:rStyle w:val="FootnoteReference"/>
          <w:rFonts w:eastAsia="Calibri" w:cstheme="minorHAnsi"/>
          <w:noProof/>
        </w:rPr>
        <w:footnoteReference w:id="71"/>
      </w:r>
      <w:r>
        <w:rPr>
          <w:noProof/>
        </w:rPr>
        <w:t>.</w:t>
      </w:r>
    </w:p>
    <w:p w14:paraId="2A25C7AF" w14:textId="5FF4FD8F" w:rsidR="00CE030E" w:rsidRPr="003C7608" w:rsidRDefault="00B1584C" w:rsidP="00CE030E">
      <w:pPr>
        <w:pStyle w:val="ListParagraph"/>
        <w:numPr>
          <w:ilvl w:val="0"/>
          <w:numId w:val="21"/>
        </w:numPr>
        <w:jc w:val="both"/>
        <w:rPr>
          <w:rFonts w:eastAsia="Calibri" w:cstheme="minorHAnsi"/>
          <w:noProof/>
        </w:rPr>
      </w:pPr>
      <w:r>
        <w:rPr>
          <w:b/>
          <w:noProof/>
        </w:rPr>
        <w:t>Podupirati reformu SZO-a kako bi se ojačalo njegovo upravljanje, djelotvornost, odgovornost i provedba</w:t>
      </w:r>
      <w:r>
        <w:rPr>
          <w:noProof/>
        </w:rPr>
        <w:t xml:space="preserve"> pravila, u skladu s njegovom prirodom djelovanja na inicijativu članova. </w:t>
      </w:r>
    </w:p>
    <w:p w14:paraId="57D6A311" w14:textId="097FC233" w:rsidR="00CE030E" w:rsidRPr="003C7608" w:rsidRDefault="00B1584C" w:rsidP="00CE030E">
      <w:pPr>
        <w:pStyle w:val="ListParagraph"/>
        <w:numPr>
          <w:ilvl w:val="0"/>
          <w:numId w:val="21"/>
        </w:numPr>
        <w:jc w:val="both"/>
        <w:rPr>
          <w:rFonts w:eastAsia="Calibri" w:cstheme="minorHAnsi"/>
          <w:noProof/>
        </w:rPr>
      </w:pPr>
      <w:r>
        <w:rPr>
          <w:b/>
          <w:noProof/>
        </w:rPr>
        <w:t>Pojačati usredotočenost SZO-a na njegovu normativnu ulogu</w:t>
      </w:r>
      <w:r>
        <w:rPr>
          <w:noProof/>
        </w:rPr>
        <w:t xml:space="preserve"> u područjima od globalne važnosti, počevši od ojačanih Međunarodnih zdravstvenih propisa i budućeg sporazuma o pandemijama do 2024., te istražiti druga područja, kao što su upravljanje zdravstvenim podacima i radna snaga. </w:t>
      </w:r>
    </w:p>
    <w:p w14:paraId="3B9BFB9D" w14:textId="1760FFE9" w:rsidR="007D6B73" w:rsidRDefault="00CE030E" w:rsidP="007D6B73">
      <w:pPr>
        <w:pStyle w:val="ListParagraph"/>
        <w:numPr>
          <w:ilvl w:val="0"/>
          <w:numId w:val="21"/>
        </w:numPr>
        <w:jc w:val="both"/>
        <w:rPr>
          <w:rFonts w:eastAsia="Calibri" w:cstheme="minorHAnsi"/>
          <w:noProof/>
        </w:rPr>
      </w:pPr>
      <w:r>
        <w:rPr>
          <w:b/>
          <w:noProof/>
        </w:rPr>
        <w:t>Poboljšati suradnju sa SZO-om</w:t>
      </w:r>
      <w:r>
        <w:rPr>
          <w:noProof/>
        </w:rPr>
        <w:t xml:space="preserve"> na središnjoj i regionalnoj europskoj razini s pomoću prethodno navedenih mehanizama mapiranja kako bi se bolje uskladili prioriteti EU-a i SZO-a. Tim zajedničkim ciljevima usmjeravat će se </w:t>
      </w:r>
      <w:r>
        <w:rPr>
          <w:b/>
          <w:noProof/>
        </w:rPr>
        <w:t>znatan dobrovoljni doprinos EU-a SZO-u</w:t>
      </w:r>
      <w:r>
        <w:rPr>
          <w:noProof/>
        </w:rPr>
        <w:t>. Dobrovoljni doprinosi Komisije 2020. i 2021. bili su četvrti po veličini, a EU i njegove države članice zajedno su dali najveći doprinos za proračun SZO-a, više od 20 %</w:t>
      </w:r>
      <w:r>
        <w:rPr>
          <w:rStyle w:val="FootnoteReference"/>
          <w:rFonts w:eastAsia="Calibri" w:cstheme="minorHAnsi"/>
          <w:noProof/>
        </w:rPr>
        <w:footnoteReference w:id="72"/>
      </w:r>
      <w:r>
        <w:rPr>
          <w:noProof/>
        </w:rPr>
        <w:t>.</w:t>
      </w:r>
    </w:p>
    <w:p w14:paraId="6DFE3020" w14:textId="77777777" w:rsidR="001364AF" w:rsidRPr="003C7608" w:rsidRDefault="001364AF" w:rsidP="001364AF">
      <w:pPr>
        <w:pStyle w:val="ListParagraph"/>
        <w:ind w:left="360"/>
        <w:jc w:val="both"/>
        <w:rPr>
          <w:rFonts w:eastAsia="Calibri" w:cstheme="minorHAnsi"/>
          <w:noProof/>
        </w:rPr>
      </w:pPr>
    </w:p>
    <w:bookmarkEnd w:id="32"/>
    <w:p w14:paraId="3C2D4583" w14:textId="65E39858" w:rsidR="007D6B73" w:rsidRPr="00780EB0" w:rsidRDefault="007D6B73" w:rsidP="007D6B73">
      <w:pPr>
        <w:spacing w:line="240" w:lineRule="auto"/>
        <w:jc w:val="both"/>
        <w:rPr>
          <w:rFonts w:ascii="Times New Roman" w:eastAsia="Calibri" w:hAnsi="Times New Roman" w:cs="Times New Roman"/>
          <w:b/>
          <w:bCs/>
          <w:i/>
          <w:iCs/>
          <w:noProof/>
          <w:color w:val="002060"/>
          <w:sz w:val="24"/>
          <w:szCs w:val="24"/>
        </w:rPr>
      </w:pPr>
      <w:r>
        <w:rPr>
          <w:rFonts w:ascii="Times New Roman" w:hAnsi="Times New Roman"/>
          <w:b/>
          <w:i/>
          <w:noProof/>
          <w:color w:val="002060"/>
          <w:sz w:val="24"/>
        </w:rPr>
        <w:t xml:space="preserve">15. vodeće načelo: usmjeravati novo upravljanje zdravljem na globalnoj razini uklanjanjem nedostataka i osiguravanjem usklađenosti djelovanja </w:t>
      </w:r>
    </w:p>
    <w:p w14:paraId="5B05D0D6" w14:textId="42B5C004" w:rsidR="007D6B73" w:rsidRPr="003C7608" w:rsidRDefault="007D6B73" w:rsidP="007D6B73">
      <w:pPr>
        <w:spacing w:line="240" w:lineRule="auto"/>
        <w:jc w:val="both"/>
        <w:rPr>
          <w:rFonts w:eastAsia="Calibri" w:cstheme="minorHAnsi"/>
          <w:noProof/>
        </w:rPr>
      </w:pPr>
      <w:r>
        <w:rPr>
          <w:noProof/>
        </w:rPr>
        <w:t>Kao što se ponovno pokazalo tijekom pandemije bolesti COVID-19, upravljanje zdravljem na globalnoj razini (skup institucija, aktera, pravila i potprograma financiranja u tom području) potrebno je ojačati kako bi se osiguralo: i. da su dostupni mehanizmi potrebni za rješavanje problema u području zdravlja; i ii. da su razna tijela koja djeluju u području globalnog zdravlja dovoljno usklađena kako bi se izbjegli dupliciranje i fragmentacija, koji otežavaju djelotvorne i učinkovite odgovore na probleme u tom području.</w:t>
      </w:r>
    </w:p>
    <w:p w14:paraId="09298507" w14:textId="0549E051" w:rsidR="007D6B73" w:rsidRPr="003C7608" w:rsidRDefault="007D6B73" w:rsidP="007D6B73">
      <w:pPr>
        <w:spacing w:line="240" w:lineRule="auto"/>
        <w:jc w:val="both"/>
        <w:rPr>
          <w:rFonts w:eastAsia="Calibri" w:cstheme="minorHAnsi"/>
          <w:noProof/>
        </w:rPr>
      </w:pPr>
      <w:r>
        <w:rPr>
          <w:noProof/>
        </w:rPr>
        <w:t>Kratkoročno, sustav Ujedinjenih naroda, skupine G-7, G-20 i OECD dali su važan poticaj globalnom djelovanju. Dobar je primjer Pakt skupine G-7 za pripravnost na pandemije</w:t>
      </w:r>
      <w:r>
        <w:rPr>
          <w:rStyle w:val="FootnoteReference"/>
          <w:rFonts w:eastAsia="Calibri" w:cstheme="minorHAnsi"/>
          <w:noProof/>
        </w:rPr>
        <w:footnoteReference w:id="73"/>
      </w:r>
      <w:r>
        <w:rPr>
          <w:noProof/>
        </w:rPr>
        <w:t xml:space="preserve"> – u nedostatku globalne mreže za nadzor patogena, njime se nastoje povezati postojeće manje mreže. Još jedan dobar primjer je Fond za pandemije</w:t>
      </w:r>
      <w:r>
        <w:rPr>
          <w:rStyle w:val="FootnoteReference"/>
          <w:rFonts w:eastAsia="Calibri" w:cstheme="minorHAnsi"/>
          <w:noProof/>
        </w:rPr>
        <w:footnoteReference w:id="74"/>
      </w:r>
      <w:r>
        <w:rPr>
          <w:noProof/>
        </w:rPr>
        <w:t xml:space="preserve">, koji je pokrenula skupina G-20, a njime se osiguravaju neposredna financijska sredstva koja nedostaju na globalnoj, regionalnoj i nacionalnoj razini. </w:t>
      </w:r>
    </w:p>
    <w:p w14:paraId="22DCFE5F" w14:textId="6FB7D811" w:rsidR="00263A21" w:rsidRPr="003C7608" w:rsidRDefault="00FE4F67" w:rsidP="00A52F25">
      <w:pPr>
        <w:jc w:val="both"/>
        <w:rPr>
          <w:rFonts w:cstheme="minorHAnsi"/>
          <w:noProof/>
        </w:rPr>
      </w:pPr>
      <w:r>
        <w:rPr>
          <w:noProof/>
        </w:rPr>
        <w:t xml:space="preserve">Dugoročno je za snažno upravljanje zdravljem na globalnoj razini potrebno ukloniti postojeće nedostatke i osigurati usklađenost. Uz </w:t>
      </w:r>
      <w:bookmarkStart w:id="33" w:name="_Hlk117858389"/>
      <w:r>
        <w:rPr>
          <w:noProof/>
        </w:rPr>
        <w:t xml:space="preserve">nastojanje da se sklopi sporazum o pandemijama (vidjeti odjeljak 2.3.), prioritetni će biti sljedeći </w:t>
      </w:r>
      <w:r>
        <w:rPr>
          <w:b/>
          <w:noProof/>
          <w:u w:val="single"/>
        </w:rPr>
        <w:t>smjerovi djelovanja</w:t>
      </w:r>
      <w:r>
        <w:rPr>
          <w:noProof/>
        </w:rPr>
        <w:t>:</w:t>
      </w:r>
      <w:bookmarkEnd w:id="33"/>
    </w:p>
    <w:p w14:paraId="4ED7C65D" w14:textId="3EBE1C21" w:rsidR="000F379A" w:rsidRPr="003C7608" w:rsidRDefault="00A52F25" w:rsidP="00A62EA6">
      <w:pPr>
        <w:pStyle w:val="ListParagraph"/>
        <w:numPr>
          <w:ilvl w:val="0"/>
          <w:numId w:val="46"/>
        </w:numPr>
        <w:spacing w:line="240" w:lineRule="auto"/>
        <w:ind w:left="357" w:hanging="357"/>
        <w:jc w:val="both"/>
        <w:rPr>
          <w:rFonts w:eastAsia="Calibri" w:cstheme="minorHAnsi"/>
          <w:noProof/>
        </w:rPr>
      </w:pPr>
      <w:r>
        <w:rPr>
          <w:b/>
          <w:noProof/>
        </w:rPr>
        <w:t>Raditi na stalnoj suradnji i sinergijama između zdravstva i financija</w:t>
      </w:r>
      <w:r>
        <w:rPr>
          <w:noProof/>
        </w:rPr>
        <w:t xml:space="preserve">, s mehanizmom za stalno usklađivanje zdravstvenih i financijskih politika </w:t>
      </w:r>
      <w:r>
        <w:rPr>
          <w:b/>
          <w:noProof/>
        </w:rPr>
        <w:t>radi uspješnog suzbijanja prijetnji globalnom zdravlju i globalnom gospodarstvu</w:t>
      </w:r>
      <w:r>
        <w:rPr>
          <w:noProof/>
        </w:rPr>
        <w:t xml:space="preserve">, na temelju rada Zajedničke radne skupine za zdravlje i financiranje koju je uspostavila skupina G-20. U okviru tog mehanizma procjenjivali bi se gospodarski učinci globalnih prijetnji zdravlju i ranjivosti te utvrđivalo što bi vlade trebale učiniti kako bi se bolje pripremile za moguću krizu. Usto bi se </w:t>
      </w:r>
      <w:r>
        <w:rPr>
          <w:b/>
          <w:noProof/>
        </w:rPr>
        <w:t>mobilizirala i potrebna financijska sredstva</w:t>
      </w:r>
      <w:r>
        <w:rPr>
          <w:noProof/>
        </w:rPr>
        <w:t xml:space="preserve"> nakon što SZO proglasi izvanredno stanje zbog pandemije kako bi se zemlje mogle bolje nositi s posljedičnim gospodarskim i socijalnim učincima.</w:t>
      </w:r>
    </w:p>
    <w:p w14:paraId="4FC0AEDC" w14:textId="7D969421" w:rsidR="000F379A" w:rsidRDefault="00B1584C" w:rsidP="00A62EA6">
      <w:pPr>
        <w:pStyle w:val="ListParagraph"/>
        <w:numPr>
          <w:ilvl w:val="0"/>
          <w:numId w:val="46"/>
        </w:numPr>
        <w:spacing w:line="240" w:lineRule="auto"/>
        <w:ind w:left="357" w:hanging="357"/>
        <w:jc w:val="both"/>
        <w:rPr>
          <w:rFonts w:eastAsia="Calibri" w:cstheme="minorHAnsi"/>
          <w:noProof/>
        </w:rPr>
      </w:pPr>
      <w:r>
        <w:rPr>
          <w:b/>
          <w:noProof/>
        </w:rPr>
        <w:t>Jačati usklađivanje i koordinaciju inicijativa u području globalnog zdravlja</w:t>
      </w:r>
      <w:r>
        <w:rPr>
          <w:noProof/>
        </w:rPr>
        <w:t xml:space="preserve"> kako bi se osigurala maksimalna učinkovitost i </w:t>
      </w:r>
      <w:r>
        <w:rPr>
          <w:b/>
          <w:noProof/>
        </w:rPr>
        <w:t>istražila trajna rješenja</w:t>
      </w:r>
      <w:r>
        <w:rPr>
          <w:rStyle w:val="FootnoteReference"/>
          <w:rFonts w:eastAsia="Calibri" w:cstheme="minorHAnsi"/>
          <w:noProof/>
        </w:rPr>
        <w:footnoteReference w:id="75"/>
      </w:r>
      <w:r>
        <w:rPr>
          <w:noProof/>
        </w:rPr>
        <w:t xml:space="preserve"> kojima bi se mogle kombinirati ili proširiti operacije nekoliko postojećih zdravstvenih fondova te nastaviti osiguravati znatna financijska sredstva za njihov glavni rad</w:t>
      </w:r>
      <w:r>
        <w:rPr>
          <w:rStyle w:val="FootnoteReference"/>
          <w:rFonts w:eastAsia="Calibri" w:cstheme="minorHAnsi"/>
          <w:noProof/>
        </w:rPr>
        <w:footnoteReference w:id="76"/>
      </w:r>
      <w:r>
        <w:rPr>
          <w:noProof/>
        </w:rPr>
        <w:t xml:space="preserve">. </w:t>
      </w:r>
    </w:p>
    <w:p w14:paraId="18D24C16" w14:textId="67584507" w:rsidR="000F379A" w:rsidRPr="003C7608" w:rsidRDefault="00B1584C" w:rsidP="00A62EA6">
      <w:pPr>
        <w:pStyle w:val="ListParagraph"/>
        <w:numPr>
          <w:ilvl w:val="0"/>
          <w:numId w:val="46"/>
        </w:numPr>
        <w:spacing w:line="240" w:lineRule="auto"/>
        <w:ind w:left="357" w:hanging="357"/>
        <w:jc w:val="both"/>
        <w:rPr>
          <w:rFonts w:eastAsia="Calibri" w:cstheme="minorHAnsi"/>
          <w:noProof/>
        </w:rPr>
      </w:pPr>
      <w:r>
        <w:rPr>
          <w:b/>
          <w:noProof/>
        </w:rPr>
        <w:t>Osigurati da globalni zdravstveni izazovi ostanu na vrhu globalne agende i da čelne instance budu strukturno uključene</w:t>
      </w:r>
      <w:r>
        <w:rPr>
          <w:noProof/>
        </w:rPr>
        <w:t xml:space="preserve"> kako bi poticale rad u području globalnog zdravlja, sa središnjom ulogom Svjetske zdravstvene organizacije, te preuzimale pojedinačnu i kolektivnu odgovornost. Podupirati strukturu koja uključuje, prema potrebi, </w:t>
      </w:r>
      <w:r>
        <w:rPr>
          <w:b/>
          <w:noProof/>
        </w:rPr>
        <w:t>čelnike država i vlada</w:t>
      </w:r>
      <w:r>
        <w:rPr>
          <w:noProof/>
        </w:rPr>
        <w:t>, kako bi to činila u kontekstu tekućih multilateralnih rasprava.</w:t>
      </w:r>
    </w:p>
    <w:p w14:paraId="7D11E0E4" w14:textId="405D0E4F" w:rsidR="00CE030E" w:rsidRPr="00780EB0" w:rsidRDefault="00200BE9" w:rsidP="00267D9A">
      <w:pPr>
        <w:rPr>
          <w:rFonts w:ascii="Times New Roman" w:hAnsi="Times New Roman" w:cs="Times New Roman"/>
          <w:i/>
          <w:iCs/>
          <w:noProof/>
          <w:color w:val="002060"/>
          <w:sz w:val="24"/>
          <w:szCs w:val="24"/>
        </w:rPr>
      </w:pPr>
      <w:r>
        <w:rPr>
          <w:rFonts w:ascii="Times New Roman" w:hAnsi="Times New Roman"/>
          <w:b/>
          <w:i/>
          <w:noProof/>
          <w:color w:val="002060"/>
          <w:sz w:val="24"/>
        </w:rPr>
        <w:t>16. vodeće načelo:</w:t>
      </w:r>
      <w:r>
        <w:rPr>
          <w:rFonts w:ascii="Times New Roman" w:hAnsi="Times New Roman"/>
          <w:i/>
          <w:noProof/>
          <w:color w:val="002060"/>
          <w:sz w:val="24"/>
        </w:rPr>
        <w:t xml:space="preserve"> </w:t>
      </w:r>
      <w:r>
        <w:rPr>
          <w:rFonts w:ascii="Times New Roman" w:hAnsi="Times New Roman"/>
          <w:b/>
          <w:i/>
          <w:noProof/>
          <w:color w:val="002060"/>
          <w:sz w:val="24"/>
        </w:rPr>
        <w:t>osigurati snažniju ulogu EU-a u međunarodnim organizacijama i tijelima</w:t>
      </w:r>
    </w:p>
    <w:p w14:paraId="5943DB8B" w14:textId="77777777" w:rsidR="0029643E" w:rsidRPr="003C7608" w:rsidRDefault="007853F3" w:rsidP="00C0330D">
      <w:pPr>
        <w:spacing w:line="240" w:lineRule="auto"/>
        <w:jc w:val="both"/>
        <w:rPr>
          <w:rFonts w:eastAsia="Calibri" w:cstheme="minorHAnsi"/>
          <w:noProof/>
        </w:rPr>
      </w:pPr>
      <w:r>
        <w:rPr>
          <w:noProof/>
        </w:rPr>
        <w:t xml:space="preserve">EU i njegove države članice u okviru pristupa Tima Europa daju znatne financijske doprinose svim ključnim međunarodnim institucijama i inicijativama za globalno zdravlje. Stoga je ključno osigurati da se ti financijski doprinosi prenesu u odgovarajuće ovlasti za donošenje odluka kako bi se postigli ciljevi ove strategije. </w:t>
      </w:r>
    </w:p>
    <w:p w14:paraId="2F7EFDEB" w14:textId="11C54DBC" w:rsidR="00200BE9" w:rsidRPr="003C7608" w:rsidRDefault="00200BE9" w:rsidP="00267D9A">
      <w:pPr>
        <w:jc w:val="both"/>
        <w:rPr>
          <w:rFonts w:eastAsiaTheme="majorEastAsia" w:cstheme="minorHAnsi"/>
          <w:noProof/>
          <w:color w:val="2F5496" w:themeColor="accent1" w:themeShade="BF"/>
        </w:rPr>
      </w:pPr>
      <w:r>
        <w:rPr>
          <w:noProof/>
        </w:rPr>
        <w:t xml:space="preserve">Prioritetni su sljedeći </w:t>
      </w:r>
      <w:r>
        <w:rPr>
          <w:b/>
          <w:noProof/>
          <w:u w:val="single"/>
        </w:rPr>
        <w:t>smjerovi djelovanja</w:t>
      </w:r>
      <w:r>
        <w:rPr>
          <w:noProof/>
        </w:rPr>
        <w:t>:</w:t>
      </w:r>
    </w:p>
    <w:p w14:paraId="3191EB16" w14:textId="114F94AF" w:rsidR="00200BE9" w:rsidRPr="003C7608" w:rsidRDefault="007818EE" w:rsidP="00200BE9">
      <w:pPr>
        <w:pStyle w:val="ListParagraph"/>
        <w:keepNext/>
        <w:numPr>
          <w:ilvl w:val="0"/>
          <w:numId w:val="23"/>
        </w:numPr>
        <w:jc w:val="both"/>
        <w:rPr>
          <w:rFonts w:eastAsia="Calibri" w:cstheme="minorHAnsi"/>
          <w:noProof/>
        </w:rPr>
      </w:pPr>
      <w:r>
        <w:rPr>
          <w:b/>
          <w:noProof/>
        </w:rPr>
        <w:t>U svim institucijama i tijelima osigurati razinu sudjelovanja i ulogu u donošenju odluka koje su razmjerne</w:t>
      </w:r>
      <w:r>
        <w:rPr>
          <w:noProof/>
        </w:rPr>
        <w:t xml:space="preserve"> doprinosima EU-a i država članica kako bi se povećao naš učinak.</w:t>
      </w:r>
    </w:p>
    <w:p w14:paraId="5ABDD98E" w14:textId="2E7528DA" w:rsidR="00200BE9" w:rsidRPr="003C7608" w:rsidRDefault="00A52F25" w:rsidP="00A961A8">
      <w:pPr>
        <w:pStyle w:val="ListParagraph"/>
        <w:keepNext/>
        <w:numPr>
          <w:ilvl w:val="0"/>
          <w:numId w:val="23"/>
        </w:numPr>
        <w:spacing w:line="240" w:lineRule="auto"/>
        <w:jc w:val="both"/>
        <w:rPr>
          <w:rFonts w:eastAsia="Calibri" w:cstheme="minorHAnsi"/>
          <w:noProof/>
        </w:rPr>
      </w:pPr>
      <w:r>
        <w:rPr>
          <w:b/>
          <w:noProof/>
        </w:rPr>
        <w:t>Pratiti financijske doprinose EU-a</w:t>
      </w:r>
      <w:r>
        <w:rPr>
          <w:noProof/>
        </w:rPr>
        <w:t xml:space="preserve"> međunarodnim organizacijama, agencijama i inicijativama te način na koji se njima podupiru prioriteti EU-a.</w:t>
      </w:r>
    </w:p>
    <w:p w14:paraId="5A72E808" w14:textId="38EB5038" w:rsidR="00B24C6C" w:rsidRPr="00595513" w:rsidRDefault="00A52F25" w:rsidP="002D39E5">
      <w:pPr>
        <w:pStyle w:val="ListParagraph"/>
        <w:keepNext/>
        <w:numPr>
          <w:ilvl w:val="0"/>
          <w:numId w:val="23"/>
        </w:numPr>
        <w:spacing w:line="240" w:lineRule="auto"/>
        <w:jc w:val="both"/>
        <w:rPr>
          <w:rFonts w:cstheme="minorHAnsi"/>
          <w:noProof/>
        </w:rPr>
      </w:pPr>
      <w:r>
        <w:rPr>
          <w:b/>
          <w:noProof/>
        </w:rPr>
        <w:t>Izraditi plan za daljnje povećanje utjecaja EU-a u razumnom roku</w:t>
      </w:r>
      <w:r>
        <w:rPr>
          <w:noProof/>
        </w:rPr>
        <w:t xml:space="preserve"> kad god učinak EU-a u institucijama i tijelima nije razmjeran doprinosima EU-a, s ciljem osiguravanja usklađenosti.</w:t>
      </w:r>
    </w:p>
    <w:p w14:paraId="31BC5ECC" w14:textId="77138535" w:rsidR="00C0330D" w:rsidRPr="00C0330D" w:rsidRDefault="00A109E1" w:rsidP="00AF5CCA">
      <w:pPr>
        <w:pStyle w:val="Heading2"/>
        <w:numPr>
          <w:ilvl w:val="0"/>
          <w:numId w:val="80"/>
        </w:numPr>
        <w:spacing w:before="80" w:after="80" w:line="240" w:lineRule="auto"/>
        <w:ind w:left="426" w:hanging="426"/>
        <w:rPr>
          <w:b/>
          <w:noProof/>
          <w:sz w:val="28"/>
          <w:szCs w:val="28"/>
        </w:rPr>
      </w:pPr>
      <w:r>
        <w:rPr>
          <w:b/>
          <w:noProof/>
          <w:sz w:val="28"/>
        </w:rPr>
        <w:t>Širenje strateških partnerstava Unije u području zdravlja i preoblikovanje suradnje s različitim dionicima</w:t>
      </w:r>
    </w:p>
    <w:p w14:paraId="0CF3B0EC" w14:textId="04FC72E0" w:rsidR="00445866" w:rsidRPr="003C7608" w:rsidRDefault="005A2EE9" w:rsidP="00B96EB9">
      <w:pPr>
        <w:spacing w:before="80" w:after="80" w:line="240" w:lineRule="auto"/>
        <w:jc w:val="both"/>
        <w:rPr>
          <w:rFonts w:eastAsia="Calibri" w:cstheme="minorHAnsi"/>
          <w:noProof/>
          <w:color w:val="000000" w:themeColor="text1"/>
        </w:rPr>
      </w:pPr>
      <w:bookmarkStart w:id="34" w:name="_Hlk119507785"/>
      <w:r>
        <w:rPr>
          <w:noProof/>
          <w:color w:val="000000" w:themeColor="text1"/>
        </w:rPr>
        <w:t>Veliki izazovi u globalnom zdravlju svuda u svijeta iziskuju proširenje naših partnerstava iskorištavanjem jedinstvenog potencijala EU-a za poticanje međunarodne suradnje.</w:t>
      </w:r>
      <w:bookmarkEnd w:id="34"/>
    </w:p>
    <w:p w14:paraId="11A7C93E" w14:textId="634C324E" w:rsidR="00F84419" w:rsidRPr="003C7608" w:rsidRDefault="00F84419" w:rsidP="00F84419">
      <w:pPr>
        <w:spacing w:line="240" w:lineRule="auto"/>
        <w:jc w:val="both"/>
        <w:rPr>
          <w:rFonts w:eastAsia="Calibri" w:cstheme="minorHAnsi"/>
          <w:noProof/>
        </w:rPr>
      </w:pPr>
      <w:r>
        <w:rPr>
          <w:noProof/>
        </w:rPr>
        <w:t xml:space="preserve">Komisija će slijediti </w:t>
      </w:r>
      <w:r>
        <w:rPr>
          <w:b/>
          <w:noProof/>
          <w:u w:val="single"/>
        </w:rPr>
        <w:t>vodeća načela</w:t>
      </w:r>
      <w:r>
        <w:rPr>
          <w:noProof/>
        </w:rPr>
        <w:t>, na što poziva i države članice:</w:t>
      </w:r>
    </w:p>
    <w:p w14:paraId="798FB94D" w14:textId="7B950BCD" w:rsidR="00200BE9" w:rsidRPr="00780EB0" w:rsidRDefault="00200BE9" w:rsidP="009246CD">
      <w:pPr>
        <w:spacing w:line="240" w:lineRule="auto"/>
        <w:jc w:val="both"/>
        <w:rPr>
          <w:rFonts w:ascii="Times New Roman" w:eastAsia="Calibri" w:hAnsi="Times New Roman" w:cs="Times New Roman"/>
          <w:i/>
          <w:iCs/>
          <w:noProof/>
          <w:color w:val="002060"/>
          <w:sz w:val="24"/>
          <w:szCs w:val="24"/>
        </w:rPr>
      </w:pPr>
      <w:r>
        <w:rPr>
          <w:rFonts w:ascii="Times New Roman" w:hAnsi="Times New Roman"/>
          <w:b/>
          <w:i/>
          <w:noProof/>
          <w:color w:val="002060"/>
          <w:sz w:val="24"/>
        </w:rPr>
        <w:t>17. vodeće načelo:</w:t>
      </w:r>
      <w:r>
        <w:rPr>
          <w:rFonts w:ascii="Times New Roman" w:hAnsi="Times New Roman"/>
          <w:i/>
          <w:noProof/>
          <w:color w:val="002060"/>
          <w:sz w:val="24"/>
        </w:rPr>
        <w:t xml:space="preserve"> </w:t>
      </w:r>
      <w:r>
        <w:rPr>
          <w:rFonts w:ascii="Times New Roman" w:hAnsi="Times New Roman"/>
          <w:b/>
          <w:i/>
          <w:noProof/>
          <w:color w:val="002060"/>
          <w:sz w:val="24"/>
        </w:rPr>
        <w:t xml:space="preserve">proširiti partnerstva utemeljena na ravnopravnim uvjetima, zajedničkom preuzimanju odgovornosti, uzajamnom interesu i strateškim prioritetima </w:t>
      </w:r>
    </w:p>
    <w:p w14:paraId="03582195" w14:textId="7F65641E" w:rsidR="009246CD" w:rsidRPr="003C7608" w:rsidDel="00966C5B" w:rsidRDefault="00200BE9" w:rsidP="009246CD">
      <w:pPr>
        <w:spacing w:line="240" w:lineRule="auto"/>
        <w:jc w:val="both"/>
        <w:rPr>
          <w:rFonts w:eastAsia="Calibri" w:cstheme="minorHAnsi"/>
          <w:noProof/>
        </w:rPr>
      </w:pPr>
      <w:r>
        <w:rPr>
          <w:noProof/>
          <w:color w:val="000000" w:themeColor="text1"/>
        </w:rPr>
        <w:t>Cilj je strategije Global Gateway produbiti konstruktivna i uzajamno korisna partnerstva sa širokim rasponom tradicionalnih i netradicionalnih partnera i dionika,</w:t>
      </w:r>
      <w:r>
        <w:rPr>
          <w:noProof/>
        </w:rPr>
        <w:t xml:space="preserve"> pri čemu je zdravlje jedan od glavnih stupova. EU će nastaviti razvijati partnerstva za potporu poboljšanju zdravlja u cijelom svijetu, s posebnim naglaskom na zemljama sa slabijim zdravstvenim sustavima. </w:t>
      </w:r>
    </w:p>
    <w:p w14:paraId="68D16F7B" w14:textId="486335F0" w:rsidR="00A109E1" w:rsidRPr="003C7608" w:rsidRDefault="009246CD" w:rsidP="009A7C30">
      <w:pPr>
        <w:spacing w:line="240" w:lineRule="auto"/>
        <w:jc w:val="both"/>
        <w:rPr>
          <w:rFonts w:eastAsia="Calibri" w:cstheme="minorHAnsi"/>
          <w:noProof/>
        </w:rPr>
      </w:pPr>
      <w:r>
        <w:rPr>
          <w:noProof/>
        </w:rPr>
        <w:t xml:space="preserve">Odnosi EU-a s partnerima moraju se temeljiti na odgovornosti – </w:t>
      </w:r>
      <w:r>
        <w:rPr>
          <w:b/>
          <w:noProof/>
        </w:rPr>
        <w:t>i EU i partneri moraju preuzimati odgovornost</w:t>
      </w:r>
      <w:r>
        <w:rPr>
          <w:noProof/>
        </w:rPr>
        <w:t xml:space="preserve">, koja je ključna za postizanje </w:t>
      </w:r>
      <w:r>
        <w:rPr>
          <w:b/>
          <w:noProof/>
        </w:rPr>
        <w:t>suvereniteta u zdravstvu</w:t>
      </w:r>
      <w:r>
        <w:rPr>
          <w:noProof/>
        </w:rPr>
        <w:t xml:space="preserve">.  </w:t>
      </w:r>
    </w:p>
    <w:p w14:paraId="574EECD1" w14:textId="0452D946" w:rsidR="00A109E1" w:rsidRPr="003C7608" w:rsidRDefault="00A109E1" w:rsidP="00393726">
      <w:pPr>
        <w:spacing w:line="240" w:lineRule="auto"/>
        <w:jc w:val="both"/>
        <w:rPr>
          <w:rFonts w:eastAsia="Calibri" w:cstheme="minorHAnsi"/>
          <w:noProof/>
        </w:rPr>
      </w:pPr>
      <w:r>
        <w:rPr>
          <w:b/>
          <w:noProof/>
        </w:rPr>
        <w:t>Bilateralna partnerstva EU-a</w:t>
      </w:r>
      <w:r>
        <w:rPr>
          <w:noProof/>
        </w:rPr>
        <w:t xml:space="preserve"> temeljit će se na stalnoj suradnji sa širokim rasponom partnera, uključujući nacionalna zdravstvena tijela, javnozdravstvene ustanove i druga relevantna tijela. U duhu konstruktivnog partnerstva EU će poticati partnerske zemlje da preuzimaju i ispunjavaju ambiciozne obveze za sprečavanje prijetnji zdravlju, poboljšanje zdravlja i ulaganje u zdravstvene usluge za cjelokupno stanovništvo, čime će se dugoročno povećati usmjeravanje domaćih resursa na zdravlje. To uključuje, na primjer, u Africi napredak prema cilju utvrđenom u Deklaraciji Afričke unije iz Abuje iz 2001.</w:t>
      </w:r>
      <w:r>
        <w:rPr>
          <w:rStyle w:val="FootnoteReference"/>
          <w:rFonts w:eastAsia="Calibri" w:cstheme="minorHAnsi"/>
          <w:noProof/>
          <w:color w:val="000000" w:themeColor="text1"/>
        </w:rPr>
        <w:footnoteReference w:id="77"/>
      </w:r>
      <w:r>
        <w:rPr>
          <w:noProof/>
        </w:rPr>
        <w:t xml:space="preserve"> da se „najmanje 15 % godišnjeg proračuna dodijeli za poboljšanje zdravstvenog sektora, uz uzimanje u obzir potrebnog fiskalnog prostora”.</w:t>
      </w:r>
    </w:p>
    <w:p w14:paraId="4AF55427" w14:textId="77777777" w:rsidR="00DF39FA" w:rsidRDefault="00A109E1" w:rsidP="0016100F">
      <w:pPr>
        <w:spacing w:line="240" w:lineRule="auto"/>
        <w:jc w:val="both"/>
        <w:rPr>
          <w:rFonts w:eastAsia="Calibri" w:cstheme="minorHAnsi"/>
          <w:noProof/>
        </w:rPr>
      </w:pPr>
      <w:r>
        <w:rPr>
          <w:b/>
          <w:noProof/>
        </w:rPr>
        <w:t>EU širi partnerstva u području zdravlja na regionalnoj razini.</w:t>
      </w:r>
      <w:r>
        <w:rPr>
          <w:noProof/>
        </w:rPr>
        <w:t xml:space="preserve"> Regionalizam je važan za globalno zdravlje, a regionalni dionici imaju sve važniju ulogu. Ključno će biti produbljivanje partnerstava u zdravstvu na regionalnoj razini, među ostalim </w:t>
      </w:r>
      <w:r>
        <w:rPr>
          <w:b/>
          <w:noProof/>
        </w:rPr>
        <w:t>u Africi, Latinskoj Americi i na Karibima te u azijsko-pacifičkoj regiji</w:t>
      </w:r>
      <w:r>
        <w:rPr>
          <w:noProof/>
        </w:rPr>
        <w:t xml:space="preserve">, kao i potpora suradnji jug-jug. </w:t>
      </w:r>
    </w:p>
    <w:p w14:paraId="2DEAE82D" w14:textId="68C43A16" w:rsidR="00DE1923" w:rsidRPr="003C7608" w:rsidRDefault="00A109E1" w:rsidP="0016100F">
      <w:pPr>
        <w:spacing w:line="240" w:lineRule="auto"/>
        <w:jc w:val="both"/>
        <w:rPr>
          <w:rFonts w:eastAsia="Calibri" w:cstheme="minorHAnsi"/>
          <w:noProof/>
        </w:rPr>
      </w:pPr>
      <w:r>
        <w:rPr>
          <w:noProof/>
        </w:rPr>
        <w:t>Na sastanku na vrhu EU-a i Afričke unije u veljači 2022. ojačano je partnerstvo EU-a i Afrike u području zdravstva, na kojem se temelji pet inicijativa Tima Europa s afričkim partnerima</w:t>
      </w:r>
      <w:r>
        <w:rPr>
          <w:rStyle w:val="FootnoteReference"/>
          <w:rFonts w:eastAsia="Calibri" w:cstheme="minorHAnsi"/>
          <w:noProof/>
        </w:rPr>
        <w:footnoteReference w:id="78"/>
      </w:r>
      <w:r>
        <w:rPr>
          <w:noProof/>
        </w:rPr>
        <w:t xml:space="preserve">. EU predano sudjeluje i u Zajedničkom poduzeću EU-a i Afrike za globalno zdravlje EDCTP3, koje se temelji na Partnerstvu europskih zemalja i zemalja u razvoju u području kliničkih studija, a ono okuplja 15 članova iz EU-a, 21 člana iz Afrike te druge javne i privatne aktere, iz industrije i filantropije te iz zemalja izvan EU-a odnosno izvan Afrike.  </w:t>
      </w:r>
    </w:p>
    <w:p w14:paraId="13245305" w14:textId="6FBED2B9" w:rsidR="00A102DC" w:rsidRPr="003C7608" w:rsidRDefault="00A109E1" w:rsidP="0016100F">
      <w:pPr>
        <w:spacing w:line="240" w:lineRule="auto"/>
        <w:jc w:val="both"/>
        <w:rPr>
          <w:rFonts w:eastAsia="Calibri" w:cstheme="minorHAnsi"/>
          <w:noProof/>
        </w:rPr>
      </w:pPr>
      <w:r>
        <w:rPr>
          <w:noProof/>
        </w:rPr>
        <w:t>U Latinskoj Americi i na Karibima razvija se regionalna inicijativa Tima Europa</w:t>
      </w:r>
      <w:r>
        <w:rPr>
          <w:rStyle w:val="FootnoteReference"/>
          <w:rFonts w:eastAsia="Calibri" w:cstheme="minorHAnsi"/>
          <w:noProof/>
        </w:rPr>
        <w:footnoteReference w:id="79"/>
      </w:r>
      <w:r>
        <w:rPr>
          <w:noProof/>
        </w:rPr>
        <w:t xml:space="preserve"> s naglaskom na 1) angažmanu privatnog sektora, 2) poboljšanju regionalnih lanaca opskrbe, trgovinske integracije i poslovnog okruženja, 3) jačanju regulative, 4) konsolidaciji potražnje i objedinjenoj nabavi, 5) znanstvenoj suradnji, 6) pripravnosti na pandemije i zdravstvenoj sigurnosti te 7) drugim područjima povezanima sa zdravljem (zdravstveni podaci, digitalne i nove tehnologije, nezarazne bolesti, zdravstveni sustavi itd.). Partnerstvo će podupirati aktualne regionalne inicijative, posebno Plan za samodostatnost u zdravstvenim pitanjima koji je Zajednica latinoameričkih i karipskih država (CELAC) podržala u rujnu 2021., a u kojem su utvrđene mjere za jačanje kapaciteta za proizvodnju cjepiva i lijekova u toj regiji. Među glavnim partnerima bit će Panamerička zdravstvena organizacija (PAHO/WHO).</w:t>
      </w:r>
    </w:p>
    <w:p w14:paraId="47137DFE" w14:textId="4297E22B" w:rsidR="00780EB0" w:rsidRPr="00780EB0" w:rsidRDefault="00780EB0" w:rsidP="0016100F">
      <w:pPr>
        <w:spacing w:line="240" w:lineRule="auto"/>
        <w:jc w:val="both"/>
        <w:rPr>
          <w:noProof/>
        </w:rPr>
      </w:pPr>
      <w:r>
        <w:rPr>
          <w:noProof/>
        </w:rPr>
        <w:t>U skladu sa svojom Strategijom za suradnju u indo-pacifičkoj regiji EU će nastaviti surađivati s indo-pacifičkim partnerima na jačanju njihovih kapaciteta, suvereniteta u području zdravstva i pripravnosti za pandemije, posebno za najmanje razvijene zemlje u regiji. Poboljšat će zajedničko istraživanje zaraznih bolesti u kontekstu programa za istraživanja Obzor Europa. U skladu sa svojom farmaceutskom strategijom EU će pojačati multilateralnu suradnju u cilju pružanja sigurnih i raznolikih industrijskih lanaca opskrbe u farmaciji i drugim područjima povezanima sa zdravljem radi lakšeg pristupa kvalitetnim lijekovima i proizvodima za zaštitu zdravlja. Istražit će daljnju suradnju EU-a i ASEAN-a kao dio pristupa „jedno zdravlje” promičući uže veze između regionalnih zdravstvenih kapaciteta, kao što je novi Centar ASEAN-a za hitne slučajeve u području javnog zdravlja i nove bolesti (ACPHEED).</w:t>
      </w:r>
    </w:p>
    <w:p w14:paraId="1655F586" w14:textId="5AE30D3F" w:rsidR="006B3EA4" w:rsidRPr="003C7608" w:rsidRDefault="006B3EA4" w:rsidP="00120722">
      <w:pPr>
        <w:spacing w:line="240" w:lineRule="auto"/>
        <w:jc w:val="both"/>
        <w:rPr>
          <w:rFonts w:cstheme="minorHAnsi"/>
          <w:noProof/>
        </w:rPr>
      </w:pPr>
      <w:r>
        <w:rPr>
          <w:b/>
          <w:noProof/>
        </w:rPr>
        <w:t>EU će smatrati zdravstvenu otpornost u svojem susjedstvu još većim prioritetom.</w:t>
      </w:r>
      <w:r>
        <w:rPr>
          <w:noProof/>
        </w:rPr>
        <w:t xml:space="preserve"> EU aktivno pomaže svojim partnerima na zapadnom Balkanu i u susjedstvu da povećaju svoje zdravstvene standarde i smanje vjerojatnost budućih zatvaranja granica zbog zdravstvenih kriza. Pomaže i </w:t>
      </w:r>
      <w:r>
        <w:rPr>
          <w:b/>
          <w:noProof/>
        </w:rPr>
        <w:t>zemljama kandidatkinjama i potencijalnim kandidatkinjama, uključujući Ukrajinu, Moldovu i Gruziju,</w:t>
      </w:r>
      <w:r>
        <w:rPr>
          <w:noProof/>
        </w:rPr>
        <w:t xml:space="preserve"> da usklade svoje zakonodavstvo u području zdravlja s pravom EU-a u tom području i da ga mogu provesti. U tu se svrhu mobiliziraju Agencije EU-a (ECDC i EMA) kako bi pružile potporu posebno u sljedećim područjima: provedbi pravne stečevine EU-a o prekograničnim prijetnjama zdravlju u skladu sa standardima EU-a, programu osposobljavanja u području epidemiologije radi jačanja nacionalnih kapaciteta radne snage u području javnog zdravlja u cijelom susjedstvu i na zapadnom Balkanu, daljnjim koracima u pristupu „jedno zdravlje” u pogledu antimikrobne otpornosti, jačanju sustava nadzora i javnozdravstvenih kapaciteta za mikrobiologiju te regionalnoj suradnji u području prikupljanja informacija o epidemijama, procjene rizika, pripravnosti, odgovora i izvanrednih stanja u području javnog zdravlja. </w:t>
      </w:r>
    </w:p>
    <w:p w14:paraId="61E52FF8" w14:textId="5E8D3F12" w:rsidR="006B3EA4" w:rsidRPr="003C7608" w:rsidRDefault="006B3EA4" w:rsidP="006B3EA4">
      <w:pPr>
        <w:spacing w:line="240" w:lineRule="auto"/>
        <w:jc w:val="both"/>
        <w:rPr>
          <w:rFonts w:cstheme="minorHAnsi"/>
          <w:b/>
          <w:bCs/>
          <w:noProof/>
        </w:rPr>
      </w:pPr>
      <w:r>
        <w:rPr>
          <w:noProof/>
        </w:rPr>
        <w:t xml:space="preserve">Partneri sa zapadnog Balkana i Ukrajina pozvani su da se pridruže Odboru za zdravstvenu sigurnost kao promatrači, a zemlje zapadnog Balkana potpisnice su i Sporazuma EU-a o zajedničkoj nabavi za medicinske protumjere. </w:t>
      </w:r>
    </w:p>
    <w:p w14:paraId="09FD6C57" w14:textId="575279F4" w:rsidR="009E17CA" w:rsidRPr="003C7608" w:rsidRDefault="009E17CA" w:rsidP="009E17CA">
      <w:pPr>
        <w:spacing w:line="240" w:lineRule="auto"/>
        <w:jc w:val="both"/>
        <w:rPr>
          <w:rFonts w:eastAsia="Calibri" w:cstheme="minorHAnsi"/>
          <w:noProof/>
        </w:rPr>
      </w:pPr>
      <w:r>
        <w:rPr>
          <w:b/>
          <w:noProof/>
        </w:rPr>
        <w:t>Sjedinjene Američke Države</w:t>
      </w:r>
      <w:r>
        <w:rPr>
          <w:noProof/>
        </w:rPr>
        <w:t xml:space="preserve"> (SAD) jedan su od ključnih partnera u globalnom zdravlju, čemu svjedoče Program SAD-a i EU-a za borbu protiv globalne pandemije, cijepljenje u cijelom svijetu, spašavanje života i izgradnju bolje globalne zdravstvene sigurnosti</w:t>
      </w:r>
      <w:r>
        <w:rPr>
          <w:rStyle w:val="FootnoteReference"/>
          <w:rFonts w:eastAsia="Calibri" w:cstheme="minorHAnsi"/>
          <w:noProof/>
        </w:rPr>
        <w:footnoteReference w:id="80"/>
      </w:r>
      <w:r>
        <w:rPr>
          <w:noProof/>
        </w:rPr>
        <w:t>, administrativni dogovor s Ministarstvom zdravstva i socijalne skrbi SAD-a o prijetnjama javnom zdravlju</w:t>
      </w:r>
      <w:r>
        <w:rPr>
          <w:rStyle w:val="FootnoteReference"/>
          <w:rFonts w:eastAsia="Calibri" w:cstheme="minorHAnsi"/>
          <w:noProof/>
        </w:rPr>
        <w:footnoteReference w:id="81"/>
      </w:r>
      <w:r>
        <w:rPr>
          <w:noProof/>
        </w:rPr>
        <w:t>, Transatlantska radna skupina za antimikrobnu otpornost</w:t>
      </w:r>
      <w:r>
        <w:rPr>
          <w:rStyle w:val="FootnoteReference"/>
          <w:rFonts w:eastAsia="Calibri" w:cstheme="minorHAnsi"/>
          <w:noProof/>
        </w:rPr>
        <w:footnoteReference w:id="82"/>
      </w:r>
      <w:r>
        <w:rPr>
          <w:noProof/>
        </w:rPr>
        <w:t>, zajednička Radna skupina EU-a i SAD-a za proizvodnju i lanac opskrbe u kontekstu pandemije bolesti COVID-19</w:t>
      </w:r>
      <w:r>
        <w:rPr>
          <w:rStyle w:val="FootnoteReference"/>
          <w:rFonts w:eastAsia="Calibri" w:cstheme="minorHAnsi"/>
          <w:noProof/>
        </w:rPr>
        <w:footnoteReference w:id="83"/>
      </w:r>
      <w:r>
        <w:rPr>
          <w:noProof/>
        </w:rPr>
        <w:t xml:space="preserve"> i koordinacija s Agencijom SAD-a za međunarodni razvoj. Partnerstvo EU-a i SAD-a trebalo bi proširiti kako bi obuhvatilo sveobuhvatniji skup zdravstvenih pitanja, s radnom skupinom EU-a i SAD-a za suradnju u području zdravlja koja bi obuhvaćala zdravstvenu sigurnost, politiku za borbu protiv raka i upravljanje zdravljem na globalnoj razini.</w:t>
      </w:r>
    </w:p>
    <w:p w14:paraId="5A31FF39" w14:textId="208039F0" w:rsidR="009E17CA" w:rsidRPr="003C7608" w:rsidRDefault="009E17CA" w:rsidP="009E17CA">
      <w:pPr>
        <w:spacing w:line="240" w:lineRule="auto"/>
        <w:jc w:val="both"/>
        <w:rPr>
          <w:rFonts w:eastAsia="Calibri" w:cstheme="minorHAnsi"/>
          <w:noProof/>
        </w:rPr>
      </w:pPr>
      <w:r>
        <w:rPr>
          <w:noProof/>
        </w:rPr>
        <w:t xml:space="preserve">Bliska suradnja s partnerima i donatorima istomišljenicima, kao što su </w:t>
      </w:r>
      <w:r>
        <w:rPr>
          <w:b/>
          <w:noProof/>
        </w:rPr>
        <w:t>Kanada, Japan i Ujedinjena Kraljevina</w:t>
      </w:r>
      <w:r>
        <w:rPr>
          <w:noProof/>
        </w:rPr>
        <w:t>, u pitanjima kao što su jačanje zdravstvenih sustava, pravednost i univerzalno zdravstveno osiguranje, i dalje će biti ključna za izgradnju multilateralnih pristupa rješavanju globalnih pitanja. Europski centar za sprečavanje i kontrolu bolesti surađuje s drugim centrima za kontrolu bolesti u zemljama izvan EU-a, uključujući Centar za sprečavanje i kontrolu bolesti SAD-a.</w:t>
      </w:r>
    </w:p>
    <w:p w14:paraId="2789A5DE" w14:textId="685E29AB" w:rsidR="00F1713F" w:rsidRPr="003C7608" w:rsidRDefault="00200BE9" w:rsidP="00876D3A">
      <w:pPr>
        <w:spacing w:line="240" w:lineRule="auto"/>
        <w:jc w:val="both"/>
        <w:rPr>
          <w:rFonts w:eastAsia="Calibri" w:cstheme="minorHAnsi"/>
          <w:noProof/>
        </w:rPr>
      </w:pPr>
      <w:r>
        <w:rPr>
          <w:noProof/>
        </w:rPr>
        <w:t xml:space="preserve">Kako bi se to vodeće načelo primijenilo, prioritetni su sljedeći </w:t>
      </w:r>
      <w:r>
        <w:rPr>
          <w:b/>
          <w:noProof/>
          <w:u w:val="single"/>
        </w:rPr>
        <w:t>smjerovi djelovanja</w:t>
      </w:r>
      <w:r>
        <w:rPr>
          <w:noProof/>
        </w:rPr>
        <w:t>:</w:t>
      </w:r>
    </w:p>
    <w:p w14:paraId="7044A6C9" w14:textId="06A6FEEB" w:rsidR="005E4B61" w:rsidRPr="003C7608" w:rsidRDefault="005B5C10" w:rsidP="00A62EA6">
      <w:pPr>
        <w:numPr>
          <w:ilvl w:val="0"/>
          <w:numId w:val="24"/>
        </w:numPr>
        <w:spacing w:line="240" w:lineRule="auto"/>
        <w:ind w:left="357" w:hanging="357"/>
        <w:contextualSpacing/>
        <w:jc w:val="both"/>
        <w:rPr>
          <w:rFonts w:eastAsia="Calibri" w:cstheme="minorHAnsi"/>
          <w:noProof/>
        </w:rPr>
      </w:pPr>
      <w:r>
        <w:rPr>
          <w:rFonts w:ascii="Calibri" w:hAnsi="Calibri"/>
          <w:b/>
          <w:noProof/>
        </w:rPr>
        <w:t>Usredotočiti se, u svim regijama, na partnere kojima je pomoć najpotrebnija</w:t>
      </w:r>
      <w:r>
        <w:rPr>
          <w:rFonts w:ascii="Calibri" w:hAnsi="Calibri"/>
          <w:noProof/>
        </w:rPr>
        <w:t xml:space="preserve"> i na čijim se područjima </w:t>
      </w:r>
      <w:r>
        <w:rPr>
          <w:rFonts w:ascii="Calibri" w:hAnsi="Calibri"/>
          <w:b/>
          <w:noProof/>
        </w:rPr>
        <w:t>mogu postići rezultati na terenu</w:t>
      </w:r>
      <w:r>
        <w:rPr>
          <w:rFonts w:ascii="Calibri" w:hAnsi="Calibri"/>
          <w:noProof/>
        </w:rPr>
        <w:t>, uzimajući pritom u obzir posebne poteškoće kao što su sukobi, i promicati suradnju u kojoj vlade preuzimaju odgovornost i olakšavaju djelotvornost potpore.</w:t>
      </w:r>
    </w:p>
    <w:p w14:paraId="326DA147" w14:textId="2F6C7F9E" w:rsidR="00C0330D" w:rsidRPr="00C0330D" w:rsidRDefault="005B5C10" w:rsidP="00C0330D">
      <w:pPr>
        <w:numPr>
          <w:ilvl w:val="0"/>
          <w:numId w:val="24"/>
        </w:numPr>
        <w:spacing w:line="240" w:lineRule="auto"/>
        <w:ind w:left="357" w:hanging="357"/>
        <w:contextualSpacing/>
        <w:jc w:val="both"/>
        <w:rPr>
          <w:rFonts w:eastAsia="Calibri" w:cstheme="minorHAnsi"/>
          <w:noProof/>
        </w:rPr>
      </w:pPr>
      <w:r>
        <w:rPr>
          <w:rFonts w:ascii="Calibri" w:hAnsi="Calibri"/>
          <w:b/>
          <w:noProof/>
        </w:rPr>
        <w:t>Kao još veći prioritet odrediti zdravlje u svojem susjedstvu i u okviru potpore zemljama kandidatkinjama</w:t>
      </w:r>
      <w:r>
        <w:rPr>
          <w:rFonts w:ascii="Calibri" w:hAnsi="Calibri"/>
          <w:noProof/>
        </w:rPr>
        <w:t xml:space="preserve"> i potencijalnim kandidatkinjama; podržati </w:t>
      </w:r>
      <w:r>
        <w:rPr>
          <w:rFonts w:ascii="Calibri" w:hAnsi="Calibri"/>
          <w:b/>
          <w:noProof/>
        </w:rPr>
        <w:t>Ukrajinu i Moldovu</w:t>
      </w:r>
      <w:r>
        <w:rPr>
          <w:rFonts w:ascii="Calibri" w:hAnsi="Calibri"/>
          <w:noProof/>
        </w:rPr>
        <w:t>, čiji su zdravstveni sustavi pod golemim pritiskom zbog agresivnog rata Rusije protiv Ukrajine, te pružiti sveobuhvatnu potporu za poslijeratnu obnovu, modernizaciju i ponovnu izgradnju njihovih zdravstvenih sustava.</w:t>
      </w:r>
    </w:p>
    <w:p w14:paraId="485E5F52" w14:textId="5CBEC067" w:rsidR="00D96372" w:rsidRDefault="00542F61" w:rsidP="00A62EA6">
      <w:pPr>
        <w:numPr>
          <w:ilvl w:val="0"/>
          <w:numId w:val="24"/>
        </w:numPr>
        <w:ind w:left="357" w:hanging="357"/>
        <w:contextualSpacing/>
        <w:jc w:val="both"/>
        <w:rPr>
          <w:rFonts w:ascii="Calibri" w:eastAsia="Calibri" w:hAnsi="Calibri" w:cs="Calibri"/>
          <w:noProof/>
        </w:rPr>
      </w:pPr>
      <w:r>
        <w:rPr>
          <w:rFonts w:ascii="Calibri" w:hAnsi="Calibri"/>
          <w:b/>
          <w:noProof/>
        </w:rPr>
        <w:t>Iskoristiti prednosti EU-a s jedinstvenim regionalnim tijelima</w:t>
      </w:r>
      <w:r>
        <w:rPr>
          <w:rFonts w:ascii="Calibri" w:hAnsi="Calibri"/>
          <w:noProof/>
        </w:rPr>
        <w:t xml:space="preserve"> (kao što su Europski centar za sprečavanje i kontrolu bolesti (ECDC) i Europska agencija za lijekove (EMA)) koja mogu surađivati s drugim regionalnim inicijativama u svijetu, razmjenjivati podatke, znanost i znanje EU-a te imati koristi od stručnog znanja izvan EU-a. Time bi se </w:t>
      </w:r>
      <w:r>
        <w:rPr>
          <w:rFonts w:ascii="Calibri" w:hAnsi="Calibri"/>
          <w:b/>
          <w:noProof/>
        </w:rPr>
        <w:t>ojačala suradnja</w:t>
      </w:r>
      <w:r>
        <w:rPr>
          <w:rFonts w:ascii="Calibri" w:hAnsi="Calibri"/>
          <w:noProof/>
        </w:rPr>
        <w:t xml:space="preserve"> s tijelima kao što su Afrički centar za sprečavanje i kontrolu bolesti, Afrička agencija za lijekove i slični subjekti u susjedstvu te u okviru programa u Latinskoj Americi i indo-pacifičkoj regiji (kao što je Program za pripravnost i odgovor na pandemije u jugoistočnoj Aziji, u sklopu kojeg se zemljama ASEAN-a pruža potpora u jačanju nacionalnih kapaciteta za kontrolu bolesti COVID-19).</w:t>
      </w:r>
    </w:p>
    <w:p w14:paraId="3CF0516F" w14:textId="77777777" w:rsidR="00DF39FA" w:rsidRDefault="00DF39FA" w:rsidP="00876D3A">
      <w:pPr>
        <w:spacing w:line="240" w:lineRule="auto"/>
        <w:jc w:val="both"/>
        <w:rPr>
          <w:rFonts w:ascii="Times New Roman" w:eastAsia="Calibri" w:hAnsi="Times New Roman" w:cs="Times New Roman"/>
          <w:b/>
          <w:bCs/>
          <w:i/>
          <w:iCs/>
          <w:noProof/>
          <w:color w:val="002060"/>
          <w:sz w:val="24"/>
          <w:szCs w:val="24"/>
        </w:rPr>
      </w:pPr>
    </w:p>
    <w:p w14:paraId="3BA512BA" w14:textId="4257CA15" w:rsidR="00200BE9" w:rsidRPr="00780EB0" w:rsidRDefault="00200BE9" w:rsidP="00876D3A">
      <w:pPr>
        <w:spacing w:line="240" w:lineRule="auto"/>
        <w:jc w:val="both"/>
        <w:rPr>
          <w:rFonts w:ascii="Times New Roman" w:eastAsia="Calibri" w:hAnsi="Times New Roman" w:cs="Times New Roman"/>
          <w:b/>
          <w:i/>
          <w:iCs/>
          <w:noProof/>
          <w:color w:val="002060"/>
          <w:sz w:val="24"/>
          <w:szCs w:val="24"/>
        </w:rPr>
      </w:pPr>
      <w:r>
        <w:rPr>
          <w:rFonts w:ascii="Times New Roman" w:hAnsi="Times New Roman"/>
          <w:b/>
          <w:i/>
          <w:noProof/>
          <w:color w:val="002060"/>
          <w:sz w:val="24"/>
        </w:rPr>
        <w:t>18. vodeće načelo:  pojačati suradnju s ključnim globalnim dionicima u području zdravlja</w:t>
      </w:r>
    </w:p>
    <w:p w14:paraId="3378627C" w14:textId="1425C342" w:rsidR="00966C5B" w:rsidRPr="003C7608" w:rsidRDefault="00966C5B" w:rsidP="00966C5B">
      <w:pPr>
        <w:spacing w:line="240" w:lineRule="auto"/>
        <w:jc w:val="both"/>
        <w:rPr>
          <w:rFonts w:eastAsia="Calibri" w:cstheme="minorHAnsi"/>
          <w:noProof/>
        </w:rPr>
      </w:pPr>
      <w:r>
        <w:rPr>
          <w:rFonts w:ascii="Calibri" w:hAnsi="Calibri"/>
          <w:noProof/>
        </w:rPr>
        <w:t xml:space="preserve">Neke globalne organizacije </w:t>
      </w:r>
      <w:r>
        <w:rPr>
          <w:rFonts w:ascii="Calibri" w:hAnsi="Calibri"/>
          <w:b/>
          <w:noProof/>
        </w:rPr>
        <w:t>civilnog društva</w:t>
      </w:r>
      <w:r>
        <w:rPr>
          <w:rFonts w:ascii="Calibri" w:hAnsi="Calibri"/>
          <w:noProof/>
        </w:rPr>
        <w:t xml:space="preserve">, </w:t>
      </w:r>
      <w:r>
        <w:rPr>
          <w:rFonts w:ascii="Calibri" w:hAnsi="Calibri"/>
          <w:b/>
          <w:noProof/>
        </w:rPr>
        <w:t>filantropske</w:t>
      </w:r>
      <w:r>
        <w:rPr>
          <w:rFonts w:ascii="Calibri" w:hAnsi="Calibri"/>
          <w:noProof/>
        </w:rPr>
        <w:t xml:space="preserve"> organizacije, </w:t>
      </w:r>
      <w:r>
        <w:rPr>
          <w:rFonts w:ascii="Calibri" w:hAnsi="Calibri"/>
          <w:b/>
          <w:noProof/>
        </w:rPr>
        <w:t>inicijative u području globalnog zdravlja</w:t>
      </w:r>
      <w:r>
        <w:rPr>
          <w:rFonts w:ascii="Calibri" w:hAnsi="Calibri"/>
          <w:noProof/>
        </w:rPr>
        <w:t xml:space="preserve"> (kao što su Globalni fond, Gavi, CEPI i druge), druga tijela UN-a (uključujući UNFPA, UNICEF, UNAIDS), multilateralne razvojne banke i privatni dionici imaju više financijskih sredstava od mnogih donatorskih zemalja. Suradnja s tim dionicima ključna je za osiguravanje koordinacije i komplementarnosti djelovanja. Suradnja sa svim vrstama </w:t>
      </w:r>
      <w:r>
        <w:rPr>
          <w:rFonts w:ascii="Calibri" w:hAnsi="Calibri"/>
          <w:b/>
          <w:noProof/>
        </w:rPr>
        <w:t>organizacija civilnog društva</w:t>
      </w:r>
      <w:r>
        <w:rPr>
          <w:rFonts w:ascii="Calibri" w:hAnsi="Calibri"/>
          <w:noProof/>
        </w:rPr>
        <w:t xml:space="preserve"> (uključujući organizacije mladih), organizacijama pacijenata, socijalnim partnerima, parlamentima i zajednicama u širem smislu neophodna je kako bi EU mogao izraziti svoju potporu solidarnosti i demokraciji te usmjerenost na otvoreno i transparentno upravljanje i ljudska prava. Jednako je važna suradnja sa zajednicama i lokalizacija, koja može povećati uspješnost djelovanja.</w:t>
      </w:r>
      <w:r>
        <w:rPr>
          <w:noProof/>
        </w:rPr>
        <w:t xml:space="preserve"> Naposljetku, uloga privatnog sektora ključna je posebno u farmaceutskoj, biotehnološkoj i medicinsko-tehnološkoj industriji te za digitalna rješenja kako bi se poboljšala samodostatnost.</w:t>
      </w:r>
    </w:p>
    <w:p w14:paraId="37686D70" w14:textId="77777777" w:rsidR="00966C5B" w:rsidRPr="003C7608" w:rsidRDefault="00966C5B" w:rsidP="00966C5B">
      <w:pPr>
        <w:spacing w:line="240" w:lineRule="auto"/>
        <w:jc w:val="both"/>
        <w:rPr>
          <w:rFonts w:eastAsia="Calibri" w:cstheme="minorHAnsi"/>
          <w:noProof/>
        </w:rPr>
      </w:pPr>
      <w:r>
        <w:rPr>
          <w:noProof/>
        </w:rPr>
        <w:t xml:space="preserve">Kako bi se to vodeće načelo primijenilo, prioritetni su sljedeći </w:t>
      </w:r>
      <w:r>
        <w:rPr>
          <w:b/>
          <w:noProof/>
          <w:u w:val="single"/>
        </w:rPr>
        <w:t>smjerovi djelovanja</w:t>
      </w:r>
      <w:r>
        <w:rPr>
          <w:noProof/>
        </w:rPr>
        <w:t>:</w:t>
      </w:r>
    </w:p>
    <w:p w14:paraId="341A3BDA" w14:textId="4B2F86D8" w:rsidR="00A109E1" w:rsidRPr="003C7608" w:rsidRDefault="00966C5B" w:rsidP="003C7608">
      <w:pPr>
        <w:pStyle w:val="ListParagraph"/>
        <w:numPr>
          <w:ilvl w:val="0"/>
          <w:numId w:val="73"/>
        </w:numPr>
        <w:spacing w:line="240" w:lineRule="auto"/>
        <w:ind w:left="567" w:hanging="567"/>
        <w:jc w:val="both"/>
        <w:rPr>
          <w:rFonts w:ascii="Calibri" w:eastAsia="Calibri" w:hAnsi="Calibri" w:cs="Calibri"/>
          <w:noProof/>
        </w:rPr>
      </w:pPr>
      <w:r>
        <w:rPr>
          <w:rFonts w:ascii="Calibri" w:hAnsi="Calibri"/>
          <w:b/>
          <w:noProof/>
        </w:rPr>
        <w:t>Nastaviti graditi snažna partnerstva</w:t>
      </w:r>
      <w:r>
        <w:rPr>
          <w:rFonts w:ascii="Calibri" w:hAnsi="Calibri"/>
          <w:noProof/>
        </w:rPr>
        <w:t xml:space="preserve"> s globalnim dionicima u području zdravstva te: i. unaprjeđivati zajedničke prioritete; ii. pomagati u postizanju ciljeva javnog sektora; iii. osiguravati preuzimanje odgovornosti; i iv. izbjegavati fragmentaciju, koja može ugroziti djelotvornost djelovanja u području globalnog zdravlja. EU će podupirati nastojanja tih organizacija da bolje koordiniraju svoje djelovanje, izbjegnu udvostručavanje i maksimiziraju svoj učinak na terenu. I dalje će se zalagati za snažnu suradnju i postavljanje zajedničkih ciljeva, primjerice u okviru Globalnog akcijskog plana za zdrav život i dobrobit za sve</w:t>
      </w:r>
      <w:r>
        <w:rPr>
          <w:rStyle w:val="FootnoteReference"/>
          <w:rFonts w:ascii="Calibri" w:eastAsia="Calibri" w:hAnsi="Calibri" w:cs="Calibri"/>
          <w:noProof/>
        </w:rPr>
        <w:footnoteReference w:id="84"/>
      </w:r>
      <w:r>
        <w:rPr>
          <w:rFonts w:ascii="Calibri" w:hAnsi="Calibri"/>
          <w:noProof/>
        </w:rPr>
        <w:t>.</w:t>
      </w:r>
    </w:p>
    <w:p w14:paraId="62E3A28F" w14:textId="10AD1EF1" w:rsidR="00120722" w:rsidRPr="003C7608" w:rsidRDefault="00D66D66" w:rsidP="003C7608">
      <w:pPr>
        <w:pStyle w:val="ListParagraph"/>
        <w:numPr>
          <w:ilvl w:val="0"/>
          <w:numId w:val="73"/>
        </w:numPr>
        <w:spacing w:line="240" w:lineRule="auto"/>
        <w:ind w:left="567" w:hanging="567"/>
        <w:jc w:val="both"/>
        <w:rPr>
          <w:rFonts w:ascii="Calibri" w:eastAsia="Calibri" w:hAnsi="Calibri" w:cs="Calibri"/>
          <w:noProof/>
        </w:rPr>
      </w:pPr>
      <w:r>
        <w:rPr>
          <w:rFonts w:ascii="Calibri" w:hAnsi="Calibri"/>
          <w:b/>
          <w:noProof/>
        </w:rPr>
        <w:t>Nastaviti pružati potporu za jačanje civilnog društva</w:t>
      </w:r>
      <w:r>
        <w:rPr>
          <w:rFonts w:ascii="Calibri" w:hAnsi="Calibri"/>
          <w:noProof/>
        </w:rPr>
        <w:t xml:space="preserve"> kao partnera u strategiji te uloge i glasa ljudi u osiguravanju vlastitog zdravlja, među ostalim pozivanjem vlada i pružatelja zdravstvenih usluga na odgovornost. EU će proširiti tu potporu na sudjelovanje i angažman zajednica u svim zdravstvenim procesima.</w:t>
      </w:r>
      <w:r>
        <w:rPr>
          <w:noProof/>
        </w:rPr>
        <w:t xml:space="preserve"> Zajednice su ključne, a lokalizacija može povećati uspješnost djelovanja. </w:t>
      </w:r>
    </w:p>
    <w:p w14:paraId="433FCE39" w14:textId="435EA315" w:rsidR="00D6640D" w:rsidRPr="003C7608" w:rsidRDefault="00D66D66" w:rsidP="003C7608">
      <w:pPr>
        <w:pStyle w:val="ListParagraph"/>
        <w:numPr>
          <w:ilvl w:val="0"/>
          <w:numId w:val="73"/>
        </w:numPr>
        <w:spacing w:after="0" w:line="240" w:lineRule="auto"/>
        <w:ind w:left="567" w:hanging="567"/>
        <w:jc w:val="both"/>
        <w:rPr>
          <w:noProof/>
        </w:rPr>
      </w:pPr>
      <w:r>
        <w:rPr>
          <w:b/>
          <w:noProof/>
        </w:rPr>
        <w:t>Osigurati da se privatni sektor i zdravstvena industrija na odgovarajući način uzmu u obzir</w:t>
      </w:r>
      <w:r>
        <w:rPr>
          <w:noProof/>
        </w:rPr>
        <w:t xml:space="preserve"> i uključe, u svojim različitim oblicima, uključujući proizvodnju robe, pružanje usluga i potporu. </w:t>
      </w:r>
    </w:p>
    <w:p w14:paraId="130BD024" w14:textId="03C8A788" w:rsidR="004C3553" w:rsidRPr="00C0330D" w:rsidRDefault="002E2837" w:rsidP="00AF5CCA">
      <w:pPr>
        <w:pStyle w:val="Heading1"/>
        <w:numPr>
          <w:ilvl w:val="0"/>
          <w:numId w:val="80"/>
        </w:numPr>
        <w:spacing w:before="80" w:after="80"/>
        <w:ind w:left="426" w:hanging="426"/>
        <w:rPr>
          <w:b/>
          <w:noProof/>
          <w:sz w:val="28"/>
          <w:szCs w:val="28"/>
        </w:rPr>
      </w:pPr>
      <w:r>
        <w:rPr>
          <w:b/>
          <w:noProof/>
          <w:sz w:val="28"/>
        </w:rPr>
        <w:t xml:space="preserve">Financiranje </w:t>
      </w:r>
    </w:p>
    <w:p w14:paraId="04AB5CCB" w14:textId="764BBDE1" w:rsidR="00D73AE1" w:rsidRPr="00D73AE1" w:rsidRDefault="00996974" w:rsidP="00B96EB9">
      <w:pPr>
        <w:spacing w:before="80" w:after="80" w:line="240" w:lineRule="auto"/>
        <w:jc w:val="both"/>
        <w:rPr>
          <w:rFonts w:ascii="Calibri" w:eastAsia="Calibri" w:hAnsi="Calibri" w:cs="Calibri"/>
          <w:bCs/>
          <w:noProof/>
        </w:rPr>
      </w:pPr>
      <w:r>
        <w:rPr>
          <w:rFonts w:ascii="Calibri" w:hAnsi="Calibri"/>
          <w:noProof/>
        </w:rPr>
        <w:t>Zbog pandemije bolesti COVID-19 rizici povezani s nedovoljno financiranim zdravstvenim sustavima postali su izraženiji nego ikad prije. Uslijedila je dosad nezabilježena mobilizacija financijskih sredstava za globalno zdravlje te se povećala svijest o važnosti preventivnih mjera za borbu protiv onečišćenja i zaštitu prirode. Potrebno je održati ta financijska ulaganja i osigurati da se njima na odgovarajući način doprinosi boljem zdravlju i dobrobiti ljudi, jačim zdravstvenim sustavima i borbi protiv prijetnji zdravlju na globalnoj razini.</w:t>
      </w:r>
    </w:p>
    <w:p w14:paraId="595CEDA5" w14:textId="46A13B81" w:rsidR="00F84419" w:rsidRPr="003C7608" w:rsidRDefault="00F84419" w:rsidP="00876D3A">
      <w:pPr>
        <w:spacing w:line="240" w:lineRule="auto"/>
        <w:jc w:val="both"/>
        <w:rPr>
          <w:rFonts w:ascii="Calibri" w:eastAsia="Calibri" w:hAnsi="Calibri" w:cs="Calibri"/>
          <w:bCs/>
          <w:noProof/>
        </w:rPr>
      </w:pPr>
      <w:r>
        <w:rPr>
          <w:rFonts w:ascii="Calibri" w:hAnsi="Calibri"/>
          <w:noProof/>
        </w:rPr>
        <w:t xml:space="preserve">Komisija će slijediti </w:t>
      </w:r>
      <w:r>
        <w:rPr>
          <w:rFonts w:ascii="Calibri" w:hAnsi="Calibri"/>
          <w:b/>
          <w:noProof/>
          <w:u w:val="single"/>
        </w:rPr>
        <w:t>vodeća načela</w:t>
      </w:r>
      <w:r>
        <w:rPr>
          <w:rFonts w:ascii="Calibri" w:hAnsi="Calibri"/>
          <w:noProof/>
        </w:rPr>
        <w:t>, na što poziva i države članice:</w:t>
      </w:r>
    </w:p>
    <w:p w14:paraId="521E54BE" w14:textId="759EF2F2" w:rsidR="004C3553" w:rsidRPr="00780EB0" w:rsidRDefault="004C3553" w:rsidP="00876D3A">
      <w:pPr>
        <w:spacing w:line="240" w:lineRule="auto"/>
        <w:jc w:val="both"/>
        <w:rPr>
          <w:rFonts w:ascii="Times New Roman" w:eastAsia="Calibri" w:hAnsi="Times New Roman" w:cs="Times New Roman"/>
          <w:b/>
          <w:i/>
          <w:iCs/>
          <w:noProof/>
          <w:color w:val="002060"/>
          <w:sz w:val="24"/>
          <w:szCs w:val="24"/>
        </w:rPr>
      </w:pPr>
      <w:r>
        <w:rPr>
          <w:rFonts w:ascii="Times New Roman" w:hAnsi="Times New Roman"/>
          <w:b/>
          <w:i/>
          <w:noProof/>
          <w:color w:val="002060"/>
          <w:sz w:val="24"/>
        </w:rPr>
        <w:t>19. vodeće načelo: povećati financijska sredstva EU-a za globalno zdravlje s najvećim mogućim učinkom</w:t>
      </w:r>
    </w:p>
    <w:p w14:paraId="618E5084" w14:textId="387F5552" w:rsidR="00693C9F" w:rsidRPr="003C7608" w:rsidRDefault="00552247" w:rsidP="005E4B61">
      <w:pPr>
        <w:spacing w:line="240" w:lineRule="auto"/>
        <w:jc w:val="both"/>
        <w:rPr>
          <w:rFonts w:ascii="Calibri" w:eastAsia="Calibri" w:hAnsi="Calibri" w:cs="Calibri"/>
          <w:bCs/>
          <w:noProof/>
        </w:rPr>
      </w:pPr>
      <w:r>
        <w:rPr>
          <w:rFonts w:ascii="Calibri" w:hAnsi="Calibri"/>
          <w:noProof/>
        </w:rPr>
        <w:t xml:space="preserve">EU i njegove države članice trebali bi ulagati u globalno zdravlje na predvidljiv i održiv način koji odgovara potrebama i ambicijama. Važno je napomenuti da rezultati neće ovisiti samo o tome koliko, već sve više o tome kako financiramo, pa je potrebno pomnije pratiti ukupni učinak financijskog doprinosa EU-a. Osim toga, potrebno je iskoristiti i druge izvore financiranja, uključujući doprinose samih partnera i upotrebu novih financijskih instrumenata kako bi se ispunili visoki ciljevi utvrđeni u strategiji. </w:t>
      </w:r>
    </w:p>
    <w:p w14:paraId="2D67F1A6" w14:textId="5585F5D7" w:rsidR="00E12A0E" w:rsidRPr="003C7608" w:rsidRDefault="00E12A0E" w:rsidP="00E12A0E">
      <w:pPr>
        <w:contextualSpacing/>
        <w:jc w:val="both"/>
        <w:rPr>
          <w:rFonts w:ascii="Calibri" w:eastAsia="Calibri" w:hAnsi="Calibri" w:cs="Calibri"/>
          <w:noProof/>
        </w:rPr>
      </w:pPr>
      <w:r>
        <w:rPr>
          <w:rFonts w:ascii="Calibri" w:hAnsi="Calibri"/>
          <w:noProof/>
        </w:rPr>
        <w:t xml:space="preserve">Kako bi se to vodeće načelo primijenilo, prioritetni su sljedeći </w:t>
      </w:r>
      <w:r>
        <w:rPr>
          <w:rFonts w:ascii="Calibri" w:hAnsi="Calibri"/>
          <w:b/>
          <w:noProof/>
          <w:u w:val="single"/>
        </w:rPr>
        <w:t>smjerovi djelovanja</w:t>
      </w:r>
      <w:r>
        <w:rPr>
          <w:rFonts w:ascii="Calibri" w:hAnsi="Calibri"/>
          <w:noProof/>
        </w:rPr>
        <w:t>:</w:t>
      </w:r>
    </w:p>
    <w:p w14:paraId="2F103DE3" w14:textId="07C07ECA" w:rsidR="00E12A0E" w:rsidRPr="003C7608" w:rsidRDefault="00E12A0E" w:rsidP="00A62EA6">
      <w:pPr>
        <w:pStyle w:val="ListParagraph"/>
        <w:numPr>
          <w:ilvl w:val="0"/>
          <w:numId w:val="64"/>
        </w:numPr>
        <w:spacing w:line="240" w:lineRule="auto"/>
        <w:ind w:left="357" w:hanging="357"/>
        <w:jc w:val="both"/>
        <w:rPr>
          <w:rFonts w:ascii="Calibri" w:eastAsia="Calibri" w:hAnsi="Calibri" w:cs="Calibri"/>
          <w:b/>
          <w:noProof/>
        </w:rPr>
      </w:pPr>
      <w:r>
        <w:rPr>
          <w:rFonts w:ascii="Calibri" w:hAnsi="Calibri"/>
          <w:b/>
          <w:noProof/>
        </w:rPr>
        <w:t>Odrediti globalno zdravlje kao prioritet u svim relevantnim programima financiranja iz proračuna EU-a</w:t>
      </w:r>
      <w:r>
        <w:rPr>
          <w:rFonts w:ascii="Calibri" w:hAnsi="Calibri"/>
          <w:noProof/>
        </w:rPr>
        <w:t>, uključujući program „EU za zdravlje”, Obzor Europa, Instrument za susjedstvo, razvoj i međunarodnu suradnju – Globalna Europa, Instrument pretpristupne pomoći i Instrument za tehničku pomoć i razmjenu informacija.</w:t>
      </w:r>
      <w:r>
        <w:rPr>
          <w:noProof/>
        </w:rPr>
        <w:t xml:space="preserve"> Potpora iz proračuna i dalje će biti glavna metoda za, prema potrebi, usmjeravanje nacionalnih politika i reformi te osiguravanje snažnog političkog dijaloga s partnerskim zemljama. </w:t>
      </w:r>
    </w:p>
    <w:p w14:paraId="497F6B9B" w14:textId="52C05207" w:rsidR="00E12A0E" w:rsidRPr="002E2837" w:rsidRDefault="00E12A0E" w:rsidP="00A62EA6">
      <w:pPr>
        <w:pStyle w:val="ListParagraph"/>
        <w:numPr>
          <w:ilvl w:val="0"/>
          <w:numId w:val="64"/>
        </w:numPr>
        <w:spacing w:line="240" w:lineRule="auto"/>
        <w:ind w:left="357" w:hanging="357"/>
        <w:jc w:val="both"/>
        <w:rPr>
          <w:rFonts w:ascii="Calibri" w:eastAsia="Calibri" w:hAnsi="Calibri" w:cs="Calibri"/>
          <w:noProof/>
        </w:rPr>
      </w:pPr>
      <w:r>
        <w:rPr>
          <w:rFonts w:ascii="Calibri" w:hAnsi="Calibri"/>
          <w:b/>
          <w:noProof/>
        </w:rPr>
        <w:t>Ispuniti svoju preuzetu obvezu financiranja globalnog zdravlja u sklopu višegodišnjeg financijskog okvira</w:t>
      </w:r>
      <w:r>
        <w:rPr>
          <w:rFonts w:ascii="Calibri" w:hAnsi="Calibri"/>
          <w:noProof/>
        </w:rPr>
        <w:t>. EU se obvezao dodijeliti najmanje 20 % svoje službene razvojne pomoći za ljudski razvoj i socijalno uključivanje</w:t>
      </w:r>
      <w:r>
        <w:rPr>
          <w:noProof/>
          <w:vertAlign w:val="superscript"/>
        </w:rPr>
        <w:footnoteReference w:id="85"/>
      </w:r>
      <w:r>
        <w:rPr>
          <w:rFonts w:ascii="Calibri" w:hAnsi="Calibri"/>
          <w:noProof/>
        </w:rPr>
        <w:t xml:space="preserve"> u okviru Instrumenta za susjedstvo, razvoj i međunarodnu suradnju – Globalna Europa (NDICI – Globalna Europa). U okviru tog instrumenta za razdoblje 2021.–2027. EU je dosad programirao više od </w:t>
      </w:r>
      <w:r>
        <w:rPr>
          <w:rFonts w:ascii="Calibri" w:hAnsi="Calibri"/>
          <w:b/>
          <w:noProof/>
        </w:rPr>
        <w:t>4,4 milijarde EUR</w:t>
      </w:r>
      <w:r>
        <w:rPr>
          <w:rStyle w:val="FootnoteReference"/>
          <w:rFonts w:ascii="Calibri" w:eastAsia="Calibri" w:hAnsi="Calibri" w:cs="Calibri"/>
          <w:bCs/>
          <w:noProof/>
        </w:rPr>
        <w:footnoteReference w:id="86"/>
      </w:r>
      <w:r>
        <w:rPr>
          <w:rFonts w:ascii="Calibri" w:hAnsi="Calibri"/>
          <w:noProof/>
        </w:rPr>
        <w:t xml:space="preserve"> bespovratnih sredstava za globalno zdravlje na nacionalnoj, regionalnoj i globalnoj razini, što bi se trebalo nastaviti u skladu s ovom strategijom. </w:t>
      </w:r>
    </w:p>
    <w:p w14:paraId="31D01ABC" w14:textId="74E89B10" w:rsidR="00E12A0E" w:rsidRPr="003C7608" w:rsidRDefault="00E12A0E" w:rsidP="00A62EA6">
      <w:pPr>
        <w:pStyle w:val="ListParagraph"/>
        <w:numPr>
          <w:ilvl w:val="0"/>
          <w:numId w:val="64"/>
        </w:numPr>
        <w:spacing w:line="240" w:lineRule="auto"/>
        <w:ind w:left="357" w:hanging="357"/>
        <w:jc w:val="both"/>
        <w:rPr>
          <w:rFonts w:ascii="Calibri" w:eastAsia="Calibri" w:hAnsi="Calibri" w:cs="Calibri"/>
          <w:noProof/>
        </w:rPr>
      </w:pPr>
      <w:r>
        <w:rPr>
          <w:rFonts w:ascii="Calibri" w:hAnsi="Calibri"/>
          <w:b/>
          <w:noProof/>
        </w:rPr>
        <w:t>Tražiti nove načine financiranja u okviru djelotvornog pristupa Tima Europa</w:t>
      </w:r>
      <w:r>
        <w:rPr>
          <w:rFonts w:ascii="Calibri" w:hAnsi="Calibri"/>
          <w:noProof/>
        </w:rPr>
        <w:t>, u kojem se sredstva EU-a i država članica mogu udružiti kako bi se postigao najveći mogući učinak. EU će se zalagati za to da njegove države članice povećaju financiranje za globalno zdravlje u skladu s prioritetima strategije.</w:t>
      </w:r>
    </w:p>
    <w:p w14:paraId="3911093B" w14:textId="70AFF915" w:rsidR="00F015F2" w:rsidRPr="003C7608" w:rsidRDefault="00F015F2" w:rsidP="00F015F2">
      <w:pPr>
        <w:pStyle w:val="ListParagraph"/>
        <w:numPr>
          <w:ilvl w:val="0"/>
          <w:numId w:val="64"/>
        </w:numPr>
        <w:spacing w:line="240" w:lineRule="auto"/>
        <w:ind w:left="357" w:hanging="357"/>
        <w:jc w:val="both"/>
        <w:rPr>
          <w:bCs/>
          <w:noProof/>
        </w:rPr>
      </w:pPr>
      <w:r>
        <w:rPr>
          <w:rFonts w:ascii="Calibri" w:hAnsi="Calibri"/>
          <w:b/>
          <w:noProof/>
        </w:rPr>
        <w:t>Poticati upotrebu inovativnih financijskih instrumenata</w:t>
      </w:r>
      <w:r>
        <w:rPr>
          <w:rFonts w:ascii="Calibri" w:hAnsi="Calibri"/>
          <w:noProof/>
        </w:rPr>
        <w:t xml:space="preserve"> i nastaviti rad u okviru Europskog fonda za održivi razvoj plus (EFOR+), kojim se olakšava pristup mješovitom financiranju i proračunskim jamstvima. </w:t>
      </w:r>
      <w:r>
        <w:rPr>
          <w:rFonts w:ascii="Calibri" w:hAnsi="Calibri"/>
          <w:b/>
          <w:noProof/>
        </w:rPr>
        <w:t>Posebna sastavnica za ljudski razvoj</w:t>
      </w:r>
      <w:r>
        <w:rPr>
          <w:rFonts w:ascii="Calibri" w:hAnsi="Calibri"/>
          <w:noProof/>
        </w:rPr>
        <w:t xml:space="preserve"> u okviru otvorene strukture fonda EFOR+ pruža mogućnosti za poticanje daljnjih ulaganja u zdravlje. Zajedno s </w:t>
      </w:r>
      <w:r>
        <w:rPr>
          <w:rFonts w:ascii="Calibri" w:hAnsi="Calibri"/>
          <w:b/>
          <w:noProof/>
        </w:rPr>
        <w:t>Europskom investicijskom bankom i Europskom bankom za obnovu i razvoj</w:t>
      </w:r>
      <w:r>
        <w:rPr>
          <w:rFonts w:ascii="Calibri" w:hAnsi="Calibri"/>
          <w:noProof/>
        </w:rPr>
        <w:t xml:space="preserve"> Komisija namjerava razviti okvir za financiranje globalnog zdravlja, usklađen s našim prioritetima i prioritetima naših partnerskih zemalja te odgovarajućim mandatima obiju banaka. </w:t>
      </w:r>
      <w:r>
        <w:rPr>
          <w:noProof/>
        </w:rPr>
        <w:t xml:space="preserve">Poticati sudjelovanje </w:t>
      </w:r>
      <w:r>
        <w:rPr>
          <w:b/>
          <w:noProof/>
        </w:rPr>
        <w:t>privatnih ulagača</w:t>
      </w:r>
      <w:r>
        <w:rPr>
          <w:noProof/>
        </w:rPr>
        <w:t xml:space="preserve"> kad je to relevantno i u skladu s prioritetima EU-a.</w:t>
      </w:r>
    </w:p>
    <w:p w14:paraId="4C736106" w14:textId="5F89D259" w:rsidR="00835755" w:rsidRPr="003C7608" w:rsidRDefault="00E12A0E" w:rsidP="00A62EA6">
      <w:pPr>
        <w:pStyle w:val="ListParagraph"/>
        <w:numPr>
          <w:ilvl w:val="0"/>
          <w:numId w:val="64"/>
        </w:numPr>
        <w:spacing w:line="240" w:lineRule="auto"/>
        <w:ind w:left="357" w:hanging="357"/>
        <w:jc w:val="both"/>
        <w:rPr>
          <w:bCs/>
          <w:noProof/>
        </w:rPr>
      </w:pPr>
      <w:r>
        <w:rPr>
          <w:rFonts w:ascii="Calibri" w:hAnsi="Calibri"/>
          <w:b/>
          <w:noProof/>
        </w:rPr>
        <w:t>Prioritetno se posvetiti inicijativama za zajedničko ulaganje s lokalnim partnerima</w:t>
      </w:r>
      <w:r>
        <w:rPr>
          <w:rFonts w:ascii="Calibri" w:hAnsi="Calibri"/>
          <w:noProof/>
        </w:rPr>
        <w:t xml:space="preserve"> i </w:t>
      </w:r>
      <w:r>
        <w:rPr>
          <w:rFonts w:ascii="Calibri" w:hAnsi="Calibri"/>
          <w:b/>
          <w:noProof/>
        </w:rPr>
        <w:t>udruženom financiranju</w:t>
      </w:r>
      <w:r>
        <w:rPr>
          <w:rFonts w:ascii="Calibri" w:hAnsi="Calibri"/>
          <w:noProof/>
        </w:rPr>
        <w:t xml:space="preserve"> s drugim međunarodnim dionicima. EU mora oblikovati budućnost različitih fondova i inicijativa svojom središnjom ulogom u njihovu upravljanju i utjecanjem na njihove prioritete, financijske tokove i djelovanje. EU će podupirati i poticati </w:t>
      </w:r>
      <w:r>
        <w:rPr>
          <w:rFonts w:ascii="Calibri" w:hAnsi="Calibri"/>
          <w:b/>
          <w:noProof/>
        </w:rPr>
        <w:t>mobilizaciju i učinkovitost domaćih resursa u partnerskim zemljama</w:t>
      </w:r>
      <w:r>
        <w:rPr>
          <w:rFonts w:ascii="Calibri" w:hAnsi="Calibri"/>
          <w:noProof/>
        </w:rPr>
        <w:t xml:space="preserve"> kao najodrživiji izvor javnog financiranja.</w:t>
      </w:r>
      <w:r>
        <w:rPr>
          <w:noProof/>
        </w:rPr>
        <w:t xml:space="preserve"> </w:t>
      </w:r>
    </w:p>
    <w:p w14:paraId="1084CCF0" w14:textId="77777777" w:rsidR="00835755" w:rsidRPr="003C7608" w:rsidRDefault="00835755" w:rsidP="00A62EA6">
      <w:pPr>
        <w:pStyle w:val="ListParagraph"/>
        <w:numPr>
          <w:ilvl w:val="0"/>
          <w:numId w:val="64"/>
        </w:numPr>
        <w:spacing w:line="240" w:lineRule="auto"/>
        <w:ind w:left="357" w:hanging="357"/>
        <w:jc w:val="both"/>
        <w:rPr>
          <w:noProof/>
        </w:rPr>
      </w:pPr>
      <w:r>
        <w:rPr>
          <w:b/>
          <w:noProof/>
        </w:rPr>
        <w:t>Zalagati se za povećanje dostupnog financiranja za zemlje</w:t>
      </w:r>
      <w:r>
        <w:rPr>
          <w:noProof/>
        </w:rPr>
        <w:t xml:space="preserve"> putem multilateralnog kreditiranja razvojnih banaka i za povećanje održivog financiranja, na primjer posebnim pravom na povlačenje zajmova kako bi se doprinijelo Fondu za smanjenje siromaštva i rast te Zakladi za otpornost i održivost Međunarodnog monetarnog fonda (MMF). </w:t>
      </w:r>
    </w:p>
    <w:p w14:paraId="62BA48E5" w14:textId="3717C8F6" w:rsidR="00835755" w:rsidRPr="003C7608" w:rsidRDefault="00835755" w:rsidP="00A62EA6">
      <w:pPr>
        <w:pStyle w:val="ListParagraph"/>
        <w:numPr>
          <w:ilvl w:val="0"/>
          <w:numId w:val="64"/>
        </w:numPr>
        <w:spacing w:line="240" w:lineRule="auto"/>
        <w:ind w:left="357" w:hanging="357"/>
        <w:jc w:val="both"/>
        <w:rPr>
          <w:rFonts w:ascii="Calibri" w:eastAsia="Calibri" w:hAnsi="Calibri" w:cs="Calibri"/>
          <w:noProof/>
        </w:rPr>
      </w:pPr>
      <w:r>
        <w:rPr>
          <w:noProof/>
        </w:rPr>
        <w:t xml:space="preserve">EU će zajedno s državama članicama promicati nove metode financiranja, uključujući </w:t>
      </w:r>
      <w:r>
        <w:rPr>
          <w:b/>
          <w:noProof/>
        </w:rPr>
        <w:t>zamjene duga ili otkupe kredita</w:t>
      </w:r>
      <w:r>
        <w:rPr>
          <w:noProof/>
        </w:rPr>
        <w:t>, kako bi se dug pretvorio u ulaganja u reforme zdravstvenog sustava i nove programe za spašavanje života. Takve transakcije mogle bi se olakšati povlaštenim zajmovima i jamstvima u partnerstvu s institucijama za financiranje razvoja kako bi državni novac bio raspoloživ i kako bi se potaknule reforme zdravstvenih sustava.</w:t>
      </w:r>
      <w:r>
        <w:rPr>
          <w:rFonts w:ascii="Calibri" w:hAnsi="Calibri"/>
          <w:noProof/>
        </w:rPr>
        <w:t xml:space="preserve"> Povećanjem prihoda ostvarenih oporezivanjem u području zaštite okoliša moglo bi se smanjiti financiranje zaduživanjem i mobilizirati sredstva za usluge javnog zdravstva. Zemlje bi trebalo poticati da, kad god je to moguće, osiguraju da onečišćivači snose troškove svojeg onečišćenja.</w:t>
      </w:r>
    </w:p>
    <w:p w14:paraId="69332346" w14:textId="77777777" w:rsidR="00DF39FA" w:rsidRDefault="00E12A0E" w:rsidP="00A62EA6">
      <w:pPr>
        <w:pStyle w:val="ListParagraph"/>
        <w:numPr>
          <w:ilvl w:val="0"/>
          <w:numId w:val="64"/>
        </w:numPr>
        <w:spacing w:line="240" w:lineRule="auto"/>
        <w:ind w:left="357" w:hanging="357"/>
        <w:jc w:val="both"/>
        <w:rPr>
          <w:rFonts w:ascii="Calibri" w:eastAsia="Calibri" w:hAnsi="Calibri" w:cs="Calibri"/>
          <w:bCs/>
          <w:noProof/>
        </w:rPr>
      </w:pPr>
      <w:r>
        <w:rPr>
          <w:rFonts w:ascii="Calibri" w:hAnsi="Calibri"/>
          <w:b/>
          <w:noProof/>
        </w:rPr>
        <w:t>Diversificirati domaće financiranje zdravstva</w:t>
      </w:r>
      <w:r>
        <w:rPr>
          <w:rFonts w:ascii="Calibri" w:hAnsi="Calibri"/>
          <w:noProof/>
        </w:rPr>
        <w:t>, poduprijeti financiranje zdravstva i reforme sustava u zemljama i u okviru inicijativa za globalno zdravlje te ojačati upravljanje javnim rashodima.</w:t>
      </w:r>
    </w:p>
    <w:p w14:paraId="3F8AFAAB" w14:textId="55604490" w:rsidR="00E12A0E" w:rsidRPr="00445866" w:rsidRDefault="00835755" w:rsidP="00A62EA6">
      <w:pPr>
        <w:pStyle w:val="ListParagraph"/>
        <w:numPr>
          <w:ilvl w:val="0"/>
          <w:numId w:val="64"/>
        </w:numPr>
        <w:spacing w:line="240" w:lineRule="auto"/>
        <w:ind w:left="357" w:hanging="357"/>
        <w:jc w:val="both"/>
        <w:rPr>
          <w:rFonts w:ascii="Calibri" w:eastAsia="Calibri" w:hAnsi="Calibri" w:cs="Calibri"/>
          <w:bCs/>
          <w:noProof/>
        </w:rPr>
      </w:pPr>
      <w:r>
        <w:rPr>
          <w:b/>
          <w:noProof/>
        </w:rPr>
        <w:t>Pratiti rashode za zdravstvo u korist zemalja s niskim i srednjim dohotkom</w:t>
      </w:r>
      <w:r>
        <w:rPr>
          <w:noProof/>
        </w:rPr>
        <w:t xml:space="preserve">, posebno službenu razvojnu pomoć, trendove u domaćem financiranju i financiranje drugih donatora. </w:t>
      </w:r>
    </w:p>
    <w:p w14:paraId="1C2EF9B1" w14:textId="77777777" w:rsidR="00445866" w:rsidRPr="003C7608" w:rsidRDefault="00445866" w:rsidP="00445866">
      <w:pPr>
        <w:pStyle w:val="ListParagraph"/>
        <w:spacing w:line="240" w:lineRule="auto"/>
        <w:ind w:left="357"/>
        <w:jc w:val="both"/>
        <w:rPr>
          <w:rFonts w:ascii="Calibri" w:eastAsia="Calibri" w:hAnsi="Calibri" w:cs="Calibri"/>
          <w:bCs/>
          <w:noProof/>
        </w:rPr>
      </w:pPr>
    </w:p>
    <w:p w14:paraId="664D4CBD" w14:textId="4FFD4822" w:rsidR="00A109E1" w:rsidRPr="00922201" w:rsidRDefault="004C3553" w:rsidP="00AF5CCA">
      <w:pPr>
        <w:pStyle w:val="Heading2"/>
        <w:spacing w:before="60" w:after="60"/>
        <w:ind w:left="426" w:hanging="426"/>
        <w:rPr>
          <w:b/>
          <w:noProof/>
          <w:sz w:val="32"/>
          <w:szCs w:val="32"/>
        </w:rPr>
      </w:pPr>
      <w:bookmarkStart w:id="35" w:name="_Toc111380309"/>
      <w:bookmarkStart w:id="36" w:name="_Toc875310708"/>
      <w:bookmarkStart w:id="37" w:name="_Toc423466957"/>
      <w:bookmarkStart w:id="38" w:name="_Toc763308505"/>
      <w:bookmarkStart w:id="39" w:name="_Toc753955643"/>
      <w:bookmarkStart w:id="40" w:name="_Toc432814269"/>
      <w:bookmarkStart w:id="41" w:name="_Toc1581288642"/>
      <w:bookmarkStart w:id="42" w:name="_Toc1276407092"/>
      <w:bookmarkStart w:id="43" w:name="_Toc2105097289"/>
      <w:bookmarkStart w:id="44" w:name="_Toc1298931600"/>
      <w:r>
        <w:rPr>
          <w:b/>
          <w:noProof/>
        </w:rPr>
        <w:t>7.</w:t>
      </w:r>
      <w:r>
        <w:rPr>
          <w:noProof/>
        </w:rPr>
        <w:tab/>
      </w:r>
      <w:r>
        <w:rPr>
          <w:b/>
          <w:noProof/>
          <w:sz w:val="28"/>
        </w:rPr>
        <w:t>Daljnji koraci: odgovornost kroz praćenje i evaluacije</w:t>
      </w:r>
      <w:bookmarkEnd w:id="35"/>
      <w:bookmarkEnd w:id="36"/>
      <w:bookmarkEnd w:id="37"/>
      <w:bookmarkEnd w:id="38"/>
      <w:bookmarkEnd w:id="39"/>
      <w:bookmarkEnd w:id="40"/>
      <w:bookmarkEnd w:id="41"/>
      <w:bookmarkEnd w:id="42"/>
      <w:bookmarkEnd w:id="43"/>
      <w:bookmarkEnd w:id="44"/>
    </w:p>
    <w:p w14:paraId="3E85E6C5" w14:textId="33AB462A" w:rsidR="00A109E1" w:rsidRPr="003C7608" w:rsidRDefault="00A109E1" w:rsidP="00445866">
      <w:pPr>
        <w:spacing w:before="60" w:after="60" w:line="240" w:lineRule="auto"/>
        <w:jc w:val="both"/>
        <w:rPr>
          <w:rFonts w:ascii="Calibri" w:eastAsia="Calibri" w:hAnsi="Calibri" w:cs="Calibri"/>
          <w:noProof/>
        </w:rPr>
      </w:pPr>
      <w:r>
        <w:rPr>
          <w:rFonts w:ascii="Calibri" w:hAnsi="Calibri"/>
          <w:b/>
          <w:noProof/>
        </w:rPr>
        <w:t>Za postizanje prioriteta ove strategije bit će potreban uključiv i sveobuhvatan proces.</w:t>
      </w:r>
      <w:r>
        <w:rPr>
          <w:rFonts w:ascii="Calibri" w:hAnsi="Calibri"/>
          <w:noProof/>
        </w:rPr>
        <w:t xml:space="preserve"> Temelji se na trajnom djelovanju u okviru pristupa Tima Europa i snažnoj interakciji s partnerima u cijelom svijetu. Provedba ove strategije znatno će se ojačati uspješnim partnerstvima s državama članicama, partnerskim zemljama, civilnim društvom, uključujući organizacije mladih, globalnim i regionalnim dionicima, međunarodnim financijskim institucijama, akademskom zajednicom i privatnim sektorom. </w:t>
      </w:r>
    </w:p>
    <w:p w14:paraId="7EAF770F" w14:textId="14D08082" w:rsidR="009110BD" w:rsidRPr="00780EB0" w:rsidRDefault="009110BD" w:rsidP="009C12D5">
      <w:pPr>
        <w:spacing w:line="240" w:lineRule="auto"/>
        <w:jc w:val="both"/>
        <w:rPr>
          <w:rFonts w:ascii="Times New Roman" w:eastAsia="Calibri" w:hAnsi="Times New Roman" w:cs="Times New Roman"/>
          <w:b/>
          <w:bCs/>
          <w:i/>
          <w:iCs/>
          <w:noProof/>
          <w:color w:val="002060"/>
          <w:sz w:val="24"/>
          <w:szCs w:val="24"/>
        </w:rPr>
      </w:pPr>
      <w:r>
        <w:rPr>
          <w:rFonts w:ascii="Times New Roman" w:hAnsi="Times New Roman"/>
          <w:b/>
          <w:i/>
          <w:noProof/>
          <w:color w:val="002060"/>
          <w:sz w:val="24"/>
        </w:rPr>
        <w:t xml:space="preserve">20. vodeće načelo: procijeniti napredak i osigurati odgovornost u djelovanju EU-a u području globalnog zdravlja stalnim praćenjem i procjenom </w:t>
      </w:r>
    </w:p>
    <w:p w14:paraId="05624F4F" w14:textId="61ECBF0B" w:rsidR="009110BD" w:rsidRPr="003C7608" w:rsidRDefault="009110BD" w:rsidP="00A62EA6">
      <w:pPr>
        <w:contextualSpacing/>
        <w:jc w:val="both"/>
        <w:rPr>
          <w:rFonts w:ascii="Calibri" w:eastAsia="Calibri" w:hAnsi="Calibri" w:cs="Calibri"/>
          <w:noProof/>
        </w:rPr>
      </w:pPr>
      <w:r>
        <w:rPr>
          <w:rFonts w:ascii="Calibri" w:hAnsi="Calibri"/>
          <w:noProof/>
        </w:rPr>
        <w:t xml:space="preserve">Kako bi se to vodeće načelo primijenilo, prioritetni su sljedeći </w:t>
      </w:r>
      <w:r>
        <w:rPr>
          <w:rFonts w:ascii="Calibri" w:hAnsi="Calibri"/>
          <w:b/>
          <w:noProof/>
          <w:u w:val="single"/>
        </w:rPr>
        <w:t>smjerovi djelovanja</w:t>
      </w:r>
      <w:r>
        <w:rPr>
          <w:rFonts w:ascii="Calibri" w:hAnsi="Calibri"/>
          <w:noProof/>
        </w:rPr>
        <w:t>:</w:t>
      </w:r>
    </w:p>
    <w:p w14:paraId="67B5429A" w14:textId="06E612C5" w:rsidR="009110BD" w:rsidRPr="003C7608" w:rsidRDefault="00A109E1" w:rsidP="00A62EA6">
      <w:pPr>
        <w:pStyle w:val="ListParagraph"/>
        <w:numPr>
          <w:ilvl w:val="0"/>
          <w:numId w:val="65"/>
        </w:numPr>
        <w:spacing w:line="240" w:lineRule="auto"/>
        <w:ind w:left="357" w:hanging="357"/>
        <w:jc w:val="both"/>
        <w:rPr>
          <w:rFonts w:ascii="Calibri" w:eastAsia="Calibri" w:hAnsi="Calibri" w:cs="Calibri"/>
          <w:noProof/>
        </w:rPr>
      </w:pPr>
      <w:r>
        <w:rPr>
          <w:rFonts w:ascii="Calibri" w:hAnsi="Calibri"/>
          <w:b/>
          <w:noProof/>
        </w:rPr>
        <w:t>Provedba strategije pratit će se primjenom parametara i ključnih pokazatelja</w:t>
      </w:r>
      <w:r>
        <w:rPr>
          <w:rFonts w:ascii="Calibri" w:hAnsi="Calibri"/>
          <w:noProof/>
        </w:rPr>
        <w:t xml:space="preserve"> koji će se razviti 2023. uz pomoć projekta „EU za zdravlje”, počevši s praćenjem mjera provedenih od 2020. Parametri i pokazatelji bit će izravno povezani s mjerama i zdravstvenim ishodima koji odgovaraju prioritetima EU-a te će biti javno dostupni</w:t>
      </w:r>
      <w:r>
        <w:rPr>
          <w:rStyle w:val="FootnoteReference"/>
          <w:rFonts w:ascii="Calibri" w:eastAsia="Calibri" w:hAnsi="Calibri" w:cs="Calibri"/>
          <w:noProof/>
        </w:rPr>
        <w:footnoteReference w:id="87"/>
      </w:r>
      <w:r>
        <w:rPr>
          <w:rFonts w:ascii="Calibri" w:hAnsi="Calibri"/>
          <w:noProof/>
        </w:rPr>
        <w:t xml:space="preserve">. Cilj je procijeniti učinak našeg djelovanja i financiranja te se prema potrebi moći prilagoditi kako bi se ostvarila ambicija utvrđena u strategiji i u širem smislu ispunili prioriteti EU-a. </w:t>
      </w:r>
    </w:p>
    <w:p w14:paraId="49CEA6ED" w14:textId="3252AEBF" w:rsidR="00F919BE" w:rsidRPr="003C7608" w:rsidRDefault="00A109E1" w:rsidP="00A62EA6">
      <w:pPr>
        <w:pStyle w:val="ListParagraph"/>
        <w:numPr>
          <w:ilvl w:val="0"/>
          <w:numId w:val="65"/>
        </w:numPr>
        <w:spacing w:line="240" w:lineRule="auto"/>
        <w:ind w:left="357" w:hanging="357"/>
        <w:jc w:val="both"/>
        <w:rPr>
          <w:rFonts w:ascii="Calibri" w:eastAsia="Calibri" w:hAnsi="Calibri" w:cs="Calibri"/>
          <w:noProof/>
        </w:rPr>
      </w:pPr>
      <w:r>
        <w:rPr>
          <w:rFonts w:ascii="Calibri" w:hAnsi="Calibri"/>
          <w:b/>
          <w:noProof/>
        </w:rPr>
        <w:t>Komisija će provesti preispitivanje u sredini programskog razdoblja i završnu evaluaciju</w:t>
      </w:r>
      <w:r>
        <w:rPr>
          <w:rFonts w:ascii="Calibri" w:hAnsi="Calibri"/>
          <w:noProof/>
        </w:rPr>
        <w:t xml:space="preserve"> provedbe strategije 2030. </w:t>
      </w:r>
    </w:p>
    <w:p w14:paraId="2A25CCD7" w14:textId="78533938" w:rsidR="00414D1A" w:rsidRPr="003C7608" w:rsidRDefault="00A109E1" w:rsidP="005D465E">
      <w:pPr>
        <w:pStyle w:val="ListParagraph"/>
        <w:numPr>
          <w:ilvl w:val="0"/>
          <w:numId w:val="65"/>
        </w:numPr>
        <w:spacing w:after="240" w:line="240" w:lineRule="auto"/>
        <w:ind w:left="357" w:hanging="357"/>
        <w:jc w:val="both"/>
        <w:rPr>
          <w:rFonts w:ascii="Calibri" w:eastAsia="Calibri" w:hAnsi="Calibri" w:cs="Calibri"/>
          <w:noProof/>
        </w:rPr>
      </w:pPr>
      <w:r>
        <w:rPr>
          <w:b/>
          <w:noProof/>
        </w:rPr>
        <w:t>Komisija će redovito obavještavati Europski parlament, Vijeće i civilno društvo</w:t>
      </w:r>
      <w:r>
        <w:rPr>
          <w:noProof/>
        </w:rPr>
        <w:t xml:space="preserve"> o napretku u financiranju i provedbi organiziranjem redovitih razmjena na visokoj razini i objavljivanjem izvješća u načelu svake dvije godine. </w:t>
      </w:r>
      <w:r>
        <w:rPr>
          <w:rFonts w:ascii="Calibri" w:hAnsi="Calibri"/>
          <w:noProof/>
        </w:rPr>
        <w:t>EU će u okviru godišnjeg Foruma o politikama za globalno zdravlje biti domaćin strukturiranog dijaloga s dionicima kako bi se raspravila provedba i provele potrebne prilagodbe.</w:t>
      </w:r>
    </w:p>
    <w:p w14:paraId="3E8E778C" w14:textId="15F8F507" w:rsidR="005A45B9" w:rsidRPr="00DE04F9" w:rsidRDefault="00DE04F9" w:rsidP="00DE04F9">
      <w:pPr>
        <w:pStyle w:val="Heading2"/>
        <w:spacing w:before="60" w:after="60"/>
        <w:ind w:left="426" w:hanging="426"/>
        <w:rPr>
          <w:b/>
          <w:noProof/>
        </w:rPr>
      </w:pPr>
      <w:r>
        <w:rPr>
          <w:b/>
          <w:noProof/>
        </w:rPr>
        <w:t>8.</w:t>
      </w:r>
      <w:r>
        <w:rPr>
          <w:noProof/>
        </w:rPr>
        <w:tab/>
      </w:r>
      <w:r>
        <w:rPr>
          <w:b/>
          <w:noProof/>
        </w:rPr>
        <w:t xml:space="preserve">Zaključak </w:t>
      </w:r>
    </w:p>
    <w:p w14:paraId="5365068D" w14:textId="5F099167" w:rsidR="00CD6356" w:rsidRPr="003C7608" w:rsidRDefault="008262A2" w:rsidP="00445866">
      <w:pPr>
        <w:spacing w:before="40" w:after="40" w:line="240" w:lineRule="auto"/>
        <w:jc w:val="both"/>
        <w:rPr>
          <w:noProof/>
        </w:rPr>
      </w:pPr>
      <w:r>
        <w:rPr>
          <w:rFonts w:ascii="Calibri" w:hAnsi="Calibri"/>
          <w:noProof/>
        </w:rPr>
        <w:t>Ambiciozna strategija za globalno zdravlje presudna je u svijetu u kojem bolesti nemaju granice, a zdravlje je ključno za zaštitu dobrobiti ljudi, jamčenje stabilnosti društava i ostvarivanje održivog razvoja u složenom geopolitičkom okruženju.</w:t>
      </w:r>
    </w:p>
    <w:p w14:paraId="3625F763" w14:textId="4962CCA9" w:rsidR="00796397" w:rsidRPr="003C7608" w:rsidRDefault="008262A2" w:rsidP="00A76E97">
      <w:pPr>
        <w:spacing w:line="240" w:lineRule="auto"/>
        <w:jc w:val="both"/>
        <w:rPr>
          <w:noProof/>
        </w:rPr>
      </w:pPr>
      <w:r>
        <w:rPr>
          <w:noProof/>
        </w:rPr>
        <w:t xml:space="preserve">Utemeljena na pravednosti, solidarnosti i ljudskim pravima, potaknuta duhom partnerstva i odlučnošću da se ojača globalno upravljanje, ova strategija određuje tri prioriteta politike, 20 vodećih načela i konkretne smjerove djelovanja kako bi se doprinijelo boljem zdravlju za sve u svijetu koji se mijenja. </w:t>
      </w:r>
    </w:p>
    <w:p w14:paraId="2D11F10F" w14:textId="65FDE723" w:rsidR="00A50B4C" w:rsidRPr="003C7608" w:rsidRDefault="00F30041" w:rsidP="00A50B4C">
      <w:pPr>
        <w:spacing w:line="240" w:lineRule="auto"/>
        <w:jc w:val="both"/>
        <w:rPr>
          <w:noProof/>
        </w:rPr>
      </w:pPr>
      <w:r>
        <w:rPr>
          <w:noProof/>
        </w:rPr>
        <w:t xml:space="preserve">Do 2030. ovom će se strategijom nastojati preokrenuti situacija i </w:t>
      </w:r>
      <w:r>
        <w:rPr>
          <w:b/>
          <w:noProof/>
        </w:rPr>
        <w:t>nadoknaditi izgubljeno u pogledu univerzalnih ciljeva u području zdravlja u okviru ciljeva održivog razvoja do 2030.</w:t>
      </w:r>
      <w:r>
        <w:rPr>
          <w:noProof/>
        </w:rPr>
        <w:t xml:space="preserve"> usmjeravanjem naših snaga na temeljna pitanja (jačanje zdravstvenih sustava, univerzalno zdravstveno osiguranje, primarna zdravstvena skrb, javno zdravstvo, odrednice zdravlja), rješavanjem problema neravnoteže u radnoj snazi i posvećivanjem posebne pozornosti ženama, djevojčicama i ranjivim osobama. </w:t>
      </w:r>
    </w:p>
    <w:p w14:paraId="7A50032E" w14:textId="436AB10F" w:rsidR="00653985" w:rsidRPr="003C7608" w:rsidRDefault="00A50B4C" w:rsidP="003C7608">
      <w:pPr>
        <w:spacing w:line="240" w:lineRule="auto"/>
        <w:jc w:val="both"/>
        <w:rPr>
          <w:noProof/>
        </w:rPr>
      </w:pPr>
      <w:r>
        <w:rPr>
          <w:b/>
          <w:noProof/>
        </w:rPr>
        <w:t>Digitalizacija i istraživanje</w:t>
      </w:r>
      <w:r>
        <w:rPr>
          <w:noProof/>
        </w:rPr>
        <w:t xml:space="preserve"> </w:t>
      </w:r>
      <w:r>
        <w:rPr>
          <w:rFonts w:ascii="Calibri" w:hAnsi="Calibri"/>
          <w:noProof/>
        </w:rPr>
        <w:t xml:space="preserve">bit će </w:t>
      </w:r>
      <w:r>
        <w:rPr>
          <w:rFonts w:ascii="Calibri" w:hAnsi="Calibri"/>
          <w:b/>
          <w:noProof/>
        </w:rPr>
        <w:t>glavni pokretači</w:t>
      </w:r>
      <w:r>
        <w:rPr>
          <w:rFonts w:ascii="Calibri" w:hAnsi="Calibri"/>
          <w:noProof/>
        </w:rPr>
        <w:t xml:space="preserve"> i oblikovati potencijal digitalne transformacije i inovacija koje su u tijeku na pravedan način.</w:t>
      </w:r>
    </w:p>
    <w:p w14:paraId="5CF5AFF9" w14:textId="3E29723A" w:rsidR="00A50B4C" w:rsidRPr="003C7608" w:rsidRDefault="00A50B4C" w:rsidP="003C7608">
      <w:pPr>
        <w:spacing w:line="240" w:lineRule="auto"/>
        <w:jc w:val="both"/>
        <w:rPr>
          <w:noProof/>
        </w:rPr>
      </w:pPr>
      <w:r>
        <w:rPr>
          <w:noProof/>
        </w:rPr>
        <w:t xml:space="preserve">Znatan napredak u </w:t>
      </w:r>
      <w:r>
        <w:rPr>
          <w:b/>
          <w:noProof/>
        </w:rPr>
        <w:t>zdravstvenoj sigurnosti</w:t>
      </w:r>
      <w:r>
        <w:rPr>
          <w:noProof/>
        </w:rPr>
        <w:t xml:space="preserve"> postići će se </w:t>
      </w:r>
      <w:r>
        <w:rPr>
          <w:b/>
          <w:noProof/>
        </w:rPr>
        <w:t>trajnim mehanizmom</w:t>
      </w:r>
      <w:r>
        <w:rPr>
          <w:noProof/>
        </w:rPr>
        <w:t xml:space="preserve"> kojim se povećava jednakost u razvoju i pristupu alatima kao što su cjepiva, </w:t>
      </w:r>
      <w:r>
        <w:rPr>
          <w:b/>
          <w:noProof/>
        </w:rPr>
        <w:t>globalnom nadzornom mrežom</w:t>
      </w:r>
      <w:r>
        <w:rPr>
          <w:noProof/>
        </w:rPr>
        <w:t xml:space="preserve"> koja u potpunosti utjelovljuje načela pristupa „jedno zdravlje” i </w:t>
      </w:r>
      <w:r>
        <w:rPr>
          <w:b/>
          <w:noProof/>
        </w:rPr>
        <w:t>čvrstim međunarodnim pravilima</w:t>
      </w:r>
      <w:r>
        <w:rPr>
          <w:noProof/>
        </w:rPr>
        <w:t xml:space="preserve">, uključujući pojačane mjere za borbu protiv </w:t>
      </w:r>
      <w:r>
        <w:rPr>
          <w:b/>
          <w:noProof/>
        </w:rPr>
        <w:t>antimikrobne otpornosti</w:t>
      </w:r>
      <w:r>
        <w:rPr>
          <w:noProof/>
        </w:rPr>
        <w:t>.</w:t>
      </w:r>
    </w:p>
    <w:p w14:paraId="69D4996A" w14:textId="268546DB" w:rsidR="002D39E5" w:rsidRPr="003C7608" w:rsidRDefault="00BD7930" w:rsidP="003C7608">
      <w:pPr>
        <w:spacing w:line="240" w:lineRule="auto"/>
        <w:jc w:val="both"/>
        <w:rPr>
          <w:noProof/>
        </w:rPr>
      </w:pPr>
      <w:bookmarkStart w:id="45" w:name="_Hlk118466060"/>
      <w:r>
        <w:rPr>
          <w:noProof/>
        </w:rPr>
        <w:t xml:space="preserve">EU će i dalje biti predvodnik u globalnom zdravlju i nastojati oblikovati novi globalni zdravstveni poredak koji tek nastaje, sa središnjom ulogom djelotvornije i odgovornije </w:t>
      </w:r>
      <w:r>
        <w:rPr>
          <w:b/>
          <w:noProof/>
        </w:rPr>
        <w:t>Svjetske zdravstvene organizacije</w:t>
      </w:r>
      <w:r>
        <w:rPr>
          <w:noProof/>
        </w:rPr>
        <w:t xml:space="preserve">, u kojoj EU ima </w:t>
      </w:r>
      <w:r>
        <w:rPr>
          <w:b/>
          <w:noProof/>
        </w:rPr>
        <w:t>službeni status promatrača</w:t>
      </w:r>
      <w:r>
        <w:rPr>
          <w:noProof/>
        </w:rPr>
        <w:t xml:space="preserve">. U sklopu novog pristupa </w:t>
      </w:r>
      <w:r>
        <w:rPr>
          <w:b/>
          <w:noProof/>
        </w:rPr>
        <w:t>uklanjat će postojeće nedostatke u upravljanju na globalnoj razini</w:t>
      </w:r>
      <w:r>
        <w:rPr>
          <w:noProof/>
        </w:rPr>
        <w:t xml:space="preserve"> trajnim povezivanjem globalnog zdravlja s financijskim nastojanjima, stalnom pozornošću najvišeg političkog vodstva i djelotvornim financiranjem. Iskorištavat će poticaj dionika u globalnom zdravstvu i privatnih inicijativa za promicanje zajedničkih ciljeva – </w:t>
      </w:r>
      <w:r>
        <w:rPr>
          <w:b/>
          <w:noProof/>
        </w:rPr>
        <w:t>borba protiv udvostručavanja i osiguravanje usklađenosti</w:t>
      </w:r>
      <w:r>
        <w:rPr>
          <w:noProof/>
        </w:rPr>
        <w:t xml:space="preserve"> djelovanja u multilateralnom zdravstvenom sustavu</w:t>
      </w:r>
      <w:bookmarkEnd w:id="45"/>
      <w:r>
        <w:rPr>
          <w:noProof/>
        </w:rPr>
        <w:t xml:space="preserve"> omogućit će korjenitu promjenu kako bi se osigurala bolja zdravstvena sigurnost na globalnoj razini.</w:t>
      </w:r>
    </w:p>
    <w:p w14:paraId="314AD134" w14:textId="79EF7ED3" w:rsidR="00653985" w:rsidRPr="003C7608" w:rsidRDefault="00A50B4C" w:rsidP="003C7608">
      <w:pPr>
        <w:spacing w:line="240" w:lineRule="auto"/>
        <w:jc w:val="both"/>
        <w:rPr>
          <w:noProof/>
        </w:rPr>
      </w:pPr>
      <w:r>
        <w:rPr>
          <w:noProof/>
        </w:rPr>
        <w:t xml:space="preserve">Naša </w:t>
      </w:r>
      <w:r>
        <w:rPr>
          <w:b/>
          <w:noProof/>
        </w:rPr>
        <w:t>međunarodna partnerstva</w:t>
      </w:r>
      <w:r>
        <w:rPr>
          <w:noProof/>
        </w:rPr>
        <w:t xml:space="preserve"> proširit će se s novim naglaskom na strategiji Global Gateway </w:t>
      </w:r>
      <w:r>
        <w:rPr>
          <w:b/>
          <w:noProof/>
        </w:rPr>
        <w:t>na temelju suodgovornosti naših partnera</w:t>
      </w:r>
      <w:r>
        <w:rPr>
          <w:noProof/>
        </w:rPr>
        <w:t xml:space="preserve"> za promicanje suvereniteta zdravstva, veće otpornosti i autonomije, čime će se omogućiti usmjeravanje na one kojima je pomoć najpotrebnija ako naš angažman može imati najveći učinak, kao i ostvarivanje naših zdravstvenih prioriteta u skladu sa širim interesima EU-a.</w:t>
      </w:r>
    </w:p>
    <w:p w14:paraId="7E1E8EB0" w14:textId="69768EFD" w:rsidR="00796397" w:rsidRPr="003C7608" w:rsidRDefault="00A50B4C" w:rsidP="00445866">
      <w:pPr>
        <w:jc w:val="both"/>
        <w:rPr>
          <w:noProof/>
        </w:rPr>
      </w:pPr>
      <w:r>
        <w:rPr>
          <w:noProof/>
        </w:rPr>
        <w:t xml:space="preserve">Iskoristit ćemo pristup </w:t>
      </w:r>
      <w:r>
        <w:rPr>
          <w:b/>
          <w:noProof/>
        </w:rPr>
        <w:t>Tima Europa</w:t>
      </w:r>
      <w:r>
        <w:rPr>
          <w:noProof/>
        </w:rPr>
        <w:t xml:space="preserve"> s </w:t>
      </w:r>
      <w:r>
        <w:rPr>
          <w:b/>
          <w:noProof/>
        </w:rPr>
        <w:t>istinski jedinstvenim i snažnim glasom</w:t>
      </w:r>
      <w:r>
        <w:rPr>
          <w:noProof/>
        </w:rPr>
        <w:t xml:space="preserve">, osigurati sinergiju između nacionalnih i EU-ovih strategija za globalno zdravlje, mobilizirati sve politike (unutarnje i vanjske) za rad na globalnom zdravlju te osigurati </w:t>
      </w:r>
      <w:r>
        <w:rPr>
          <w:b/>
          <w:noProof/>
        </w:rPr>
        <w:t>blisku koordinaciju s državama članicama</w:t>
      </w:r>
      <w:r>
        <w:rPr>
          <w:noProof/>
        </w:rPr>
        <w:t xml:space="preserve"> kako bi političko djelovanje i financijska sredstva bili povezani s novim prioritetima.</w:t>
      </w:r>
    </w:p>
    <w:p w14:paraId="0B856317" w14:textId="2E46A3FE" w:rsidR="00796397" w:rsidRPr="003C7608" w:rsidRDefault="00A50B4C" w:rsidP="003C7608">
      <w:pPr>
        <w:rPr>
          <w:b/>
          <w:bCs/>
          <w:noProof/>
        </w:rPr>
      </w:pPr>
      <w:r>
        <w:rPr>
          <w:noProof/>
        </w:rPr>
        <w:t xml:space="preserve">Svoj </w:t>
      </w:r>
      <w:r>
        <w:rPr>
          <w:b/>
          <w:noProof/>
        </w:rPr>
        <w:t>važan financijski doprinos</w:t>
      </w:r>
      <w:r>
        <w:rPr>
          <w:noProof/>
        </w:rPr>
        <w:t xml:space="preserve"> globalnom zdravlju učinit ćemo još učinkovitijim inovativnim financiranjem, udruživanjem financijskih sredstava na međunarodnoj razini i zajedničkim ulaganjem partnerskih zemalja.</w:t>
      </w:r>
    </w:p>
    <w:p w14:paraId="2FC34BB1" w14:textId="4E38583F" w:rsidR="00796397" w:rsidRDefault="00A50B4C" w:rsidP="003C7608">
      <w:pPr>
        <w:spacing w:line="240" w:lineRule="auto"/>
        <w:jc w:val="both"/>
        <w:rPr>
          <w:noProof/>
        </w:rPr>
      </w:pPr>
      <w:r>
        <w:rPr>
          <w:b/>
          <w:noProof/>
        </w:rPr>
        <w:t>Uspostavom pouzdanog i transparentnog sustava praćenja</w:t>
      </w:r>
      <w:r>
        <w:rPr>
          <w:noProof/>
        </w:rPr>
        <w:t xml:space="preserve"> kojim se mapiraju nastojanja EU-a i utvrđuju učinci uz pomoć dionika osigurat će se odgovornost u našem djelovanju u ključnom području globalnog zdravlja i maksimalno povećati kapacitet EU-a za potporu i utjecaj.</w:t>
      </w:r>
    </w:p>
    <w:p w14:paraId="42C01ABE" w14:textId="629E4B91" w:rsidR="00AC5861" w:rsidRPr="003C7608" w:rsidRDefault="00983590" w:rsidP="003C7608">
      <w:pPr>
        <w:spacing w:line="240" w:lineRule="auto"/>
        <w:jc w:val="both"/>
        <w:rPr>
          <w:noProof/>
        </w:rPr>
      </w:pPr>
      <w:r>
        <w:rPr>
          <w:noProof/>
        </w:rPr>
        <w:t xml:space="preserve">Komisija poziva države članice, Europski parlament, druga europska tijela, dionike i partnere u cijelom svijetu da se pridruže našim nastojanjima kako bismo ovu ambicioznu strategiju pretvorili u stvarnost i tako svima omogućili bolje zdravlje u svijetu koji se mijenja. </w:t>
      </w:r>
    </w:p>
    <w:p w14:paraId="123DDD37" w14:textId="77777777" w:rsidR="00796397" w:rsidRPr="003C7608" w:rsidRDefault="00796397" w:rsidP="003C7608">
      <w:pPr>
        <w:rPr>
          <w:noProof/>
        </w:rPr>
      </w:pPr>
    </w:p>
    <w:p w14:paraId="76C9B3F6" w14:textId="5660764A" w:rsidR="000A6EFB" w:rsidRPr="003C7608" w:rsidRDefault="00200CD3" w:rsidP="000A6EFB">
      <w:pPr>
        <w:spacing w:line="240" w:lineRule="auto"/>
        <w:jc w:val="both"/>
        <w:rPr>
          <w:b/>
          <w:bCs/>
          <w:noProof/>
        </w:rPr>
      </w:pPr>
      <w:r>
        <w:rPr>
          <w:noProof/>
        </w:rPr>
        <w:br w:type="page"/>
      </w:r>
      <w:r>
        <w:rPr>
          <w:b/>
          <w:noProof/>
        </w:rPr>
        <w:t>PRILOG 1.: Ključni projekti</w:t>
      </w:r>
    </w:p>
    <w:p w14:paraId="3F988272" w14:textId="432D698E" w:rsidR="006E0B15" w:rsidRPr="003C7608" w:rsidRDefault="000A6EFB" w:rsidP="006E0B15">
      <w:pPr>
        <w:spacing w:line="240" w:lineRule="auto"/>
        <w:jc w:val="both"/>
        <w:rPr>
          <w:noProof/>
        </w:rPr>
      </w:pPr>
      <w:r>
        <w:rPr>
          <w:b/>
          <w:noProof/>
        </w:rPr>
        <w:t xml:space="preserve">Projektima koji su predstavljeni u neiscrpnom popisu u ovom prilogu podupiru se smjerovi djelovanja navedeni u ovoj strategiji. </w:t>
      </w:r>
    </w:p>
    <w:tbl>
      <w:tblPr>
        <w:tblStyle w:val="TableGrid"/>
        <w:tblW w:w="9778" w:type="dxa"/>
        <w:tblLook w:val="04A0" w:firstRow="1" w:lastRow="0" w:firstColumn="1" w:lastColumn="0" w:noHBand="0" w:noVBand="1"/>
      </w:tblPr>
      <w:tblGrid>
        <w:gridCol w:w="7947"/>
        <w:gridCol w:w="1831"/>
      </w:tblGrid>
      <w:tr w:rsidR="007D50AA" w:rsidRPr="003C7608" w14:paraId="68750DFF" w14:textId="77777777" w:rsidTr="009125DB">
        <w:tc>
          <w:tcPr>
            <w:tcW w:w="7947" w:type="dxa"/>
          </w:tcPr>
          <w:p w14:paraId="27C04FD1" w14:textId="5E2F4B55" w:rsidR="007D50AA" w:rsidRPr="003C7608" w:rsidRDefault="00F21502" w:rsidP="00F8344C">
            <w:pPr>
              <w:jc w:val="both"/>
              <w:rPr>
                <w:noProof/>
              </w:rPr>
            </w:pPr>
            <w:r>
              <w:rPr>
                <w:noProof/>
              </w:rPr>
              <w:t>Projekti</w:t>
            </w:r>
          </w:p>
        </w:tc>
        <w:tc>
          <w:tcPr>
            <w:tcW w:w="1831" w:type="dxa"/>
          </w:tcPr>
          <w:p w14:paraId="17C2DF4B" w14:textId="77777777" w:rsidR="007D50AA" w:rsidRPr="003C7608" w:rsidRDefault="007D50AA" w:rsidP="00F8344C">
            <w:pPr>
              <w:jc w:val="both"/>
              <w:rPr>
                <w:noProof/>
              </w:rPr>
            </w:pPr>
            <w:r>
              <w:rPr>
                <w:noProof/>
              </w:rPr>
              <w:t>Indikativni vremenski okvir</w:t>
            </w:r>
          </w:p>
        </w:tc>
      </w:tr>
      <w:tr w:rsidR="007D50AA" w:rsidRPr="003C7608" w14:paraId="65F67A2C" w14:textId="77777777" w:rsidTr="009125DB">
        <w:tc>
          <w:tcPr>
            <w:tcW w:w="7947" w:type="dxa"/>
            <w:shd w:val="clear" w:color="auto" w:fill="E7E6E6" w:themeFill="background2"/>
          </w:tcPr>
          <w:p w14:paraId="322CF5A6" w14:textId="0DF6ADBD" w:rsidR="007D50AA" w:rsidRPr="003C7608" w:rsidRDefault="007D50AA" w:rsidP="00F8344C">
            <w:pPr>
              <w:jc w:val="both"/>
              <w:rPr>
                <w:b/>
                <w:noProof/>
              </w:rPr>
            </w:pPr>
            <w:r>
              <w:rPr>
                <w:b/>
                <w:noProof/>
              </w:rPr>
              <w:t>Globalni projekti</w:t>
            </w:r>
          </w:p>
        </w:tc>
        <w:tc>
          <w:tcPr>
            <w:tcW w:w="1831" w:type="dxa"/>
            <w:shd w:val="clear" w:color="auto" w:fill="E7E6E6" w:themeFill="background2"/>
          </w:tcPr>
          <w:p w14:paraId="01D8B2C2" w14:textId="77777777" w:rsidR="007D50AA" w:rsidRPr="003C7608" w:rsidRDefault="007D50AA" w:rsidP="00F8344C">
            <w:pPr>
              <w:jc w:val="both"/>
              <w:rPr>
                <w:noProof/>
              </w:rPr>
            </w:pPr>
          </w:p>
        </w:tc>
      </w:tr>
      <w:tr w:rsidR="007D50AA" w:rsidRPr="003C7608" w14:paraId="1C450A36" w14:textId="77777777" w:rsidTr="009125DB">
        <w:tc>
          <w:tcPr>
            <w:tcW w:w="7947" w:type="dxa"/>
          </w:tcPr>
          <w:p w14:paraId="6DA6E6D8" w14:textId="1DFD0006" w:rsidR="007D50AA" w:rsidRPr="003C7608" w:rsidRDefault="004A7C11" w:rsidP="004A7C11">
            <w:pPr>
              <w:pStyle w:val="ListParagraph"/>
              <w:numPr>
                <w:ilvl w:val="0"/>
                <w:numId w:val="37"/>
              </w:numPr>
              <w:jc w:val="both"/>
              <w:rPr>
                <w:noProof/>
              </w:rPr>
            </w:pPr>
            <w:r>
              <w:rPr>
                <w:b/>
                <w:noProof/>
              </w:rPr>
              <w:t>Uspostava koordinacijskog sustava s državama članicama EU-a</w:t>
            </w:r>
            <w:r>
              <w:rPr>
                <w:noProof/>
              </w:rPr>
              <w:t xml:space="preserve"> kako bi se osigurao snažan glas i vodstvo EU-a u globalnom zdravlju u okviru pristupa Tima Europa. Predviđena potpora iz programa „EU za zdravlje”.</w:t>
            </w:r>
          </w:p>
        </w:tc>
        <w:tc>
          <w:tcPr>
            <w:tcW w:w="1831" w:type="dxa"/>
          </w:tcPr>
          <w:p w14:paraId="36F2EC4C" w14:textId="2A5668EA" w:rsidR="007D50AA" w:rsidRPr="003C7608" w:rsidRDefault="00230967" w:rsidP="00F8344C">
            <w:pPr>
              <w:jc w:val="both"/>
              <w:rPr>
                <w:noProof/>
              </w:rPr>
            </w:pPr>
            <w:r>
              <w:rPr>
                <w:noProof/>
              </w:rPr>
              <w:t>druga polovina 2023.</w:t>
            </w:r>
          </w:p>
        </w:tc>
      </w:tr>
      <w:tr w:rsidR="007D50AA" w:rsidRPr="003C7608" w14:paraId="7AC47D4D" w14:textId="77777777" w:rsidTr="009125DB">
        <w:tc>
          <w:tcPr>
            <w:tcW w:w="7947" w:type="dxa"/>
          </w:tcPr>
          <w:p w14:paraId="33C1CB36" w14:textId="0A41FD21" w:rsidR="007D50AA" w:rsidRPr="003C7608" w:rsidRDefault="007D50AA" w:rsidP="007D50AA">
            <w:pPr>
              <w:pStyle w:val="ListParagraph"/>
              <w:numPr>
                <w:ilvl w:val="0"/>
                <w:numId w:val="37"/>
              </w:numPr>
              <w:jc w:val="both"/>
              <w:rPr>
                <w:noProof/>
              </w:rPr>
            </w:pPr>
            <w:r>
              <w:rPr>
                <w:b/>
                <w:noProof/>
              </w:rPr>
              <w:t>Proširenje postojeće Europske mreže za nadzor antimikrobne otpornosti</w:t>
            </w:r>
            <w:r>
              <w:rPr>
                <w:noProof/>
              </w:rPr>
              <w:t xml:space="preserve"> u integrirani nadzorni mehanizam koji obuhvaća sve patogene. Uz potporu iz programa „EU za zdravlje”.</w:t>
            </w:r>
          </w:p>
        </w:tc>
        <w:tc>
          <w:tcPr>
            <w:tcW w:w="1831" w:type="dxa"/>
          </w:tcPr>
          <w:p w14:paraId="2C9D9974" w14:textId="77777777" w:rsidR="007D50AA" w:rsidRPr="003C7608" w:rsidRDefault="007D50AA" w:rsidP="00F8344C">
            <w:pPr>
              <w:jc w:val="both"/>
              <w:rPr>
                <w:noProof/>
              </w:rPr>
            </w:pPr>
            <w:r>
              <w:rPr>
                <w:noProof/>
              </w:rPr>
              <w:t>2023.–2024.</w:t>
            </w:r>
          </w:p>
        </w:tc>
      </w:tr>
      <w:tr w:rsidR="007D50AA" w:rsidRPr="003C7608" w14:paraId="38C8BD18" w14:textId="77777777" w:rsidTr="009125DB">
        <w:tc>
          <w:tcPr>
            <w:tcW w:w="7947" w:type="dxa"/>
          </w:tcPr>
          <w:p w14:paraId="2353B2D1" w14:textId="209886C0" w:rsidR="007D50AA" w:rsidRPr="003C7608" w:rsidRDefault="007D50AA" w:rsidP="007D50AA">
            <w:pPr>
              <w:pStyle w:val="ListParagraph"/>
              <w:numPr>
                <w:ilvl w:val="0"/>
                <w:numId w:val="37"/>
              </w:numPr>
              <w:jc w:val="both"/>
              <w:rPr>
                <w:noProof/>
              </w:rPr>
            </w:pPr>
            <w:r>
              <w:rPr>
                <w:b/>
                <w:noProof/>
              </w:rPr>
              <w:t>Iskorištavanje potencijala zdravstvenih podataka iz cijelog svijeta</w:t>
            </w:r>
            <w:r>
              <w:rPr>
                <w:noProof/>
              </w:rPr>
              <w:t>. Uz potporu iz programa „EU za zdravlje”.</w:t>
            </w:r>
          </w:p>
        </w:tc>
        <w:tc>
          <w:tcPr>
            <w:tcW w:w="1831" w:type="dxa"/>
          </w:tcPr>
          <w:p w14:paraId="5CFFB971" w14:textId="77777777" w:rsidR="007D50AA" w:rsidRPr="003C7608" w:rsidRDefault="007D50AA" w:rsidP="00F8344C">
            <w:pPr>
              <w:jc w:val="both"/>
              <w:rPr>
                <w:noProof/>
              </w:rPr>
            </w:pPr>
            <w:r>
              <w:rPr>
                <w:noProof/>
              </w:rPr>
              <w:t>2023.–2024.</w:t>
            </w:r>
          </w:p>
        </w:tc>
      </w:tr>
      <w:tr w:rsidR="007D50AA" w:rsidRPr="003C7608" w14:paraId="20AE6E01" w14:textId="77777777" w:rsidTr="009125DB">
        <w:tc>
          <w:tcPr>
            <w:tcW w:w="7947" w:type="dxa"/>
          </w:tcPr>
          <w:p w14:paraId="080B1BC9" w14:textId="7E1547E0" w:rsidR="007D50AA" w:rsidRPr="003C7608" w:rsidRDefault="007D50AA" w:rsidP="007D50AA">
            <w:pPr>
              <w:pStyle w:val="ListParagraph"/>
              <w:numPr>
                <w:ilvl w:val="0"/>
                <w:numId w:val="37"/>
              </w:numPr>
              <w:jc w:val="both"/>
              <w:rPr>
                <w:noProof/>
              </w:rPr>
            </w:pPr>
            <w:r>
              <w:rPr>
                <w:b/>
                <w:noProof/>
              </w:rPr>
              <w:t>Poticanje uzajamno korisnih aranžmana za mobilnost s partnerima</w:t>
            </w:r>
            <w:r>
              <w:rPr>
                <w:noProof/>
              </w:rPr>
              <w:t xml:space="preserve">, među ostalim podupiranjem partnerskih zemalja u osposobljavanju, zapošljavanju, raspoređivanju i zadržavanju zdravstvenih radnika te osiguravanjem njihova profesionalnog razvoja obrazovanjem i programima strukovnog osposobljavanja za pomoćno osoblje. Uz potporu u okviru </w:t>
            </w:r>
            <w:r>
              <w:rPr>
                <w:rFonts w:ascii="Calibri" w:hAnsi="Calibri"/>
                <w:noProof/>
              </w:rPr>
              <w:t>Instrumenta za susjedstvo, razvoj i međunarodnu suradnju – Globalna Europa</w:t>
            </w:r>
            <w:r>
              <w:rPr>
                <w:noProof/>
              </w:rPr>
              <w:t xml:space="preserve"> (NDICI – Globalna Europa) i programa „EU za zdravlje”.</w:t>
            </w:r>
          </w:p>
        </w:tc>
        <w:tc>
          <w:tcPr>
            <w:tcW w:w="1831" w:type="dxa"/>
          </w:tcPr>
          <w:p w14:paraId="2D35AE3C" w14:textId="77777777" w:rsidR="007D50AA" w:rsidRPr="003C7608" w:rsidRDefault="007D50AA" w:rsidP="00F8344C">
            <w:pPr>
              <w:jc w:val="both"/>
              <w:rPr>
                <w:noProof/>
              </w:rPr>
            </w:pPr>
            <w:r>
              <w:rPr>
                <w:noProof/>
              </w:rPr>
              <w:t>2023.–2025.</w:t>
            </w:r>
          </w:p>
        </w:tc>
      </w:tr>
      <w:tr w:rsidR="007D50AA" w:rsidRPr="003C7608" w14:paraId="0355E81D" w14:textId="77777777" w:rsidTr="009125DB">
        <w:tc>
          <w:tcPr>
            <w:tcW w:w="7947" w:type="dxa"/>
          </w:tcPr>
          <w:p w14:paraId="5EBEDDA0" w14:textId="0070AB58" w:rsidR="007D50AA" w:rsidRPr="003C7608" w:rsidRDefault="00230967" w:rsidP="00A07EE4">
            <w:pPr>
              <w:pStyle w:val="ListParagraph"/>
              <w:numPr>
                <w:ilvl w:val="0"/>
                <w:numId w:val="37"/>
              </w:numPr>
              <w:jc w:val="both"/>
              <w:rPr>
                <w:noProof/>
              </w:rPr>
            </w:pPr>
            <w:r>
              <w:rPr>
                <w:b/>
                <w:noProof/>
              </w:rPr>
              <w:t>Praćenje, nadzor i evaluacija provedbe strategije EU-a za globalno zdravlje</w:t>
            </w:r>
            <w:r>
              <w:rPr>
                <w:noProof/>
              </w:rPr>
              <w:t>, objavljivanje izvješća u načelu svake dvije godine, podupiranje kontinuiranog dijaloga i uključivanje ključnih dionika. Predviđena potpora iz programa „EU za zdravlje”.</w:t>
            </w:r>
          </w:p>
        </w:tc>
        <w:tc>
          <w:tcPr>
            <w:tcW w:w="1831" w:type="dxa"/>
          </w:tcPr>
          <w:p w14:paraId="5B4924FB" w14:textId="77777777" w:rsidR="007D50AA" w:rsidRPr="003C7608" w:rsidRDefault="007D50AA" w:rsidP="00F8344C">
            <w:pPr>
              <w:jc w:val="both"/>
              <w:rPr>
                <w:noProof/>
              </w:rPr>
            </w:pPr>
            <w:r>
              <w:rPr>
                <w:noProof/>
              </w:rPr>
              <w:t>2023.</w:t>
            </w:r>
          </w:p>
        </w:tc>
      </w:tr>
      <w:tr w:rsidR="007D50AA" w:rsidRPr="003C7608" w14:paraId="2A63252B" w14:textId="77777777" w:rsidTr="009125DB">
        <w:tc>
          <w:tcPr>
            <w:tcW w:w="7947" w:type="dxa"/>
          </w:tcPr>
          <w:p w14:paraId="17DC99D2" w14:textId="64F9C359" w:rsidR="007D50AA" w:rsidRPr="003C7608" w:rsidRDefault="008F4F5E" w:rsidP="00C04B94">
            <w:pPr>
              <w:pStyle w:val="ListParagraph"/>
              <w:numPr>
                <w:ilvl w:val="0"/>
                <w:numId w:val="37"/>
              </w:numPr>
              <w:jc w:val="both"/>
              <w:rPr>
                <w:noProof/>
              </w:rPr>
            </w:pPr>
            <w:r>
              <w:rPr>
                <w:b/>
                <w:noProof/>
              </w:rPr>
              <w:t>Podupiranje Partnerstva za opskrbu proizvodima za reproduktivno zdravlje u okviru Fonda Ujedinjenih naroda za stanovništvo</w:t>
            </w:r>
            <w:r>
              <w:rPr>
                <w:noProof/>
              </w:rPr>
              <w:t>, čime se pomaže u rješavanju problema neispunjenih potreba za planiranjem obitelji te smrtnosti trudnica i rodilja koja se može spriječiti. Uz potporu u okviru instrumenta NDICI – Globalna Europa (preuzeta obveza u iznosu od 45 milijuna EUR).</w:t>
            </w:r>
          </w:p>
        </w:tc>
        <w:tc>
          <w:tcPr>
            <w:tcW w:w="1831" w:type="dxa"/>
          </w:tcPr>
          <w:p w14:paraId="0505D66C" w14:textId="0653C68F" w:rsidR="007D50AA" w:rsidRPr="003C7608" w:rsidRDefault="007D50AA" w:rsidP="00F8344C">
            <w:pPr>
              <w:jc w:val="both"/>
              <w:rPr>
                <w:noProof/>
              </w:rPr>
            </w:pPr>
            <w:r>
              <w:rPr>
                <w:noProof/>
              </w:rPr>
              <w:t>2023.–2027.</w:t>
            </w:r>
          </w:p>
        </w:tc>
      </w:tr>
      <w:tr w:rsidR="007D50AA" w:rsidRPr="003C7608" w14:paraId="34824DBD" w14:textId="77777777" w:rsidTr="009125DB">
        <w:tc>
          <w:tcPr>
            <w:tcW w:w="7947" w:type="dxa"/>
          </w:tcPr>
          <w:p w14:paraId="3C9AF9BC" w14:textId="129C701F" w:rsidR="007D50AA" w:rsidRPr="003C7608" w:rsidRDefault="008F4F5E" w:rsidP="00F5407A">
            <w:pPr>
              <w:pStyle w:val="ListParagraph"/>
              <w:numPr>
                <w:ilvl w:val="0"/>
                <w:numId w:val="37"/>
              </w:numPr>
              <w:jc w:val="both"/>
              <w:rPr>
                <w:noProof/>
              </w:rPr>
            </w:pPr>
            <w:r>
              <w:rPr>
                <w:b/>
                <w:noProof/>
              </w:rPr>
              <w:t>Podupiranje Globalnog fonda za borbu protiv AIDS-a, tuberkuloze i malarije</w:t>
            </w:r>
            <w:r>
              <w:rPr>
                <w:noProof/>
              </w:rPr>
              <w:t xml:space="preserve"> te jačanje zdravstvenih sustava. Uz potporu u okviru instrumenta NDICI – Globalna Europa (preuzeta obveza u iznosu od 715 milijuna EUR).</w:t>
            </w:r>
          </w:p>
        </w:tc>
        <w:tc>
          <w:tcPr>
            <w:tcW w:w="1831" w:type="dxa"/>
          </w:tcPr>
          <w:p w14:paraId="206B6F39" w14:textId="23C07F6A" w:rsidR="007D50AA" w:rsidRPr="003C7608" w:rsidRDefault="007D50AA" w:rsidP="00F8344C">
            <w:pPr>
              <w:jc w:val="both"/>
              <w:rPr>
                <w:noProof/>
              </w:rPr>
            </w:pPr>
            <w:r>
              <w:rPr>
                <w:noProof/>
              </w:rPr>
              <w:t>2023.–2025.</w:t>
            </w:r>
          </w:p>
        </w:tc>
      </w:tr>
      <w:tr w:rsidR="007D50AA" w:rsidRPr="003C7608" w14:paraId="03C62FF8" w14:textId="77777777" w:rsidTr="009125DB">
        <w:tc>
          <w:tcPr>
            <w:tcW w:w="7947" w:type="dxa"/>
          </w:tcPr>
          <w:p w14:paraId="31FE06D4" w14:textId="01E708A7" w:rsidR="007D50AA" w:rsidRPr="003C7608" w:rsidRDefault="007D50AA" w:rsidP="00A07EE4">
            <w:pPr>
              <w:pStyle w:val="ListParagraph"/>
              <w:numPr>
                <w:ilvl w:val="0"/>
                <w:numId w:val="37"/>
              </w:numPr>
              <w:jc w:val="both"/>
              <w:rPr>
                <w:noProof/>
              </w:rPr>
            </w:pPr>
            <w:r>
              <w:rPr>
                <w:rFonts w:ascii="Calibri" w:hAnsi="Calibri"/>
                <w:b/>
                <w:noProof/>
              </w:rPr>
              <w:t>Podupiranje Partnerstva za univerzalno zdravstveno osiguranje, kojim upravlja Svjetska zdravstvena organizacija, kako bi se unaprijedilo univerzalno zdravstveno osiguranje i ojačali zdravstveni sustavi</w:t>
            </w:r>
            <w:r>
              <w:rPr>
                <w:rFonts w:ascii="Calibri" w:hAnsi="Calibri"/>
                <w:noProof/>
              </w:rPr>
              <w:t xml:space="preserve"> u partnerskim zemljama. </w:t>
            </w:r>
            <w:r>
              <w:rPr>
                <w:noProof/>
              </w:rPr>
              <w:t>Uz potporu u okviru instrumenta NDICI – Globalna Europa i Instrumenta za hitnu potporu (programirano 125 milijuna EUR).</w:t>
            </w:r>
          </w:p>
        </w:tc>
        <w:tc>
          <w:tcPr>
            <w:tcW w:w="1831" w:type="dxa"/>
          </w:tcPr>
          <w:p w14:paraId="7958B9AB" w14:textId="7AA83CB3" w:rsidR="007D50AA" w:rsidRPr="003C7608" w:rsidRDefault="007D50AA" w:rsidP="00F8344C">
            <w:pPr>
              <w:jc w:val="both"/>
              <w:rPr>
                <w:noProof/>
              </w:rPr>
            </w:pPr>
            <w:r>
              <w:rPr>
                <w:noProof/>
              </w:rPr>
              <w:t>2023.–2027.</w:t>
            </w:r>
          </w:p>
        </w:tc>
      </w:tr>
      <w:tr w:rsidR="007D50AA" w:rsidRPr="003C7608" w14:paraId="6F5F7316" w14:textId="77777777" w:rsidTr="009125DB">
        <w:tc>
          <w:tcPr>
            <w:tcW w:w="7947" w:type="dxa"/>
          </w:tcPr>
          <w:p w14:paraId="4FF84FA4" w14:textId="79DD797D" w:rsidR="007D50AA" w:rsidRPr="003C7608" w:rsidRDefault="007D50AA" w:rsidP="00ED3922">
            <w:pPr>
              <w:pStyle w:val="ListParagraph"/>
              <w:numPr>
                <w:ilvl w:val="0"/>
                <w:numId w:val="37"/>
              </w:numPr>
              <w:jc w:val="both"/>
              <w:rPr>
                <w:rFonts w:ascii="Calibri" w:eastAsia="Calibri" w:hAnsi="Calibri" w:cs="Calibri"/>
                <w:b/>
                <w:noProof/>
              </w:rPr>
            </w:pPr>
            <w:r>
              <w:rPr>
                <w:b/>
                <w:noProof/>
              </w:rPr>
              <w:t>Podupiranje Gavija, Saveza za cjepiva, kako bi se osigurala šira primjena cjepiva</w:t>
            </w:r>
            <w:r>
              <w:rPr>
                <w:noProof/>
              </w:rPr>
              <w:t xml:space="preserve"> protiv dječjih bolesti, a sve više i kako bi se zaštitilo zdravlje odraslih (na primjer, primjenom cjepiva protiv humanog papilomavirusa). Uz potporu u okviru instrumenta NDICI – Globalna Europa (preuzeta obveza u iznosu od 300 milijuna EUR).</w:t>
            </w:r>
          </w:p>
        </w:tc>
        <w:tc>
          <w:tcPr>
            <w:tcW w:w="1831" w:type="dxa"/>
          </w:tcPr>
          <w:p w14:paraId="04141F99" w14:textId="01FEB9A2" w:rsidR="007D50AA" w:rsidRPr="003C7608" w:rsidRDefault="007D50AA" w:rsidP="00F8344C">
            <w:pPr>
              <w:jc w:val="both"/>
              <w:rPr>
                <w:noProof/>
              </w:rPr>
            </w:pPr>
            <w:r>
              <w:rPr>
                <w:noProof/>
              </w:rPr>
              <w:t>2021.–2025.</w:t>
            </w:r>
          </w:p>
        </w:tc>
      </w:tr>
      <w:tr w:rsidR="007D50AA" w:rsidRPr="003C7608" w14:paraId="086039FC" w14:textId="77777777" w:rsidTr="009125DB">
        <w:tc>
          <w:tcPr>
            <w:tcW w:w="7947" w:type="dxa"/>
          </w:tcPr>
          <w:p w14:paraId="64357F14" w14:textId="3B1264A4" w:rsidR="007D50AA" w:rsidRPr="003C7608" w:rsidRDefault="00230967" w:rsidP="00BE447A">
            <w:pPr>
              <w:pStyle w:val="ListParagraph"/>
              <w:numPr>
                <w:ilvl w:val="0"/>
                <w:numId w:val="37"/>
              </w:numPr>
              <w:jc w:val="both"/>
              <w:rPr>
                <w:b/>
                <w:noProof/>
              </w:rPr>
            </w:pPr>
            <w:r>
              <w:rPr>
                <w:b/>
                <w:noProof/>
              </w:rPr>
              <w:t>Podupiranje Fonda za pandemije</w:t>
            </w:r>
            <w:r>
              <w:rPr>
                <w:noProof/>
              </w:rPr>
              <w:t>. Uz potporu u okviru instrumenta NDICI – Globalna Europa (preuzeta obveza u iznosu od 427 milijuna EUR).</w:t>
            </w:r>
          </w:p>
        </w:tc>
        <w:tc>
          <w:tcPr>
            <w:tcW w:w="1831" w:type="dxa"/>
          </w:tcPr>
          <w:p w14:paraId="7359094A" w14:textId="51D6C642" w:rsidR="007D50AA" w:rsidRPr="003C7608" w:rsidRDefault="007D50AA" w:rsidP="00F8344C">
            <w:pPr>
              <w:jc w:val="both"/>
              <w:rPr>
                <w:noProof/>
              </w:rPr>
            </w:pPr>
            <w:r>
              <w:rPr>
                <w:noProof/>
              </w:rPr>
              <w:t>2023.–2027.</w:t>
            </w:r>
          </w:p>
        </w:tc>
      </w:tr>
      <w:tr w:rsidR="007D50AA" w:rsidRPr="003C7608" w14:paraId="669DF509" w14:textId="77777777" w:rsidTr="009125DB">
        <w:tc>
          <w:tcPr>
            <w:tcW w:w="7947" w:type="dxa"/>
          </w:tcPr>
          <w:p w14:paraId="62122353" w14:textId="42050C73" w:rsidR="007D50AA" w:rsidRPr="003C7608" w:rsidRDefault="007D50AA" w:rsidP="00CB441D">
            <w:pPr>
              <w:pStyle w:val="ListParagraph"/>
              <w:numPr>
                <w:ilvl w:val="0"/>
                <w:numId w:val="37"/>
              </w:numPr>
              <w:jc w:val="both"/>
              <w:rPr>
                <w:b/>
                <w:noProof/>
              </w:rPr>
            </w:pPr>
            <w:r>
              <w:rPr>
                <w:b/>
                <w:noProof/>
              </w:rPr>
              <w:t>Podupiranje uvođenja cjepiva protiv bolesti COVID-19</w:t>
            </w:r>
            <w:r>
              <w:rPr>
                <w:noProof/>
              </w:rPr>
              <w:t xml:space="preserve"> u odabranim zemljama s najmanjom procijepljenošću. Uz potporu u okviru instrumenta NDICI – Globalna Europa i Instrumenta za hitnu potporu (programirano 375 milijuna EUR).</w:t>
            </w:r>
          </w:p>
        </w:tc>
        <w:tc>
          <w:tcPr>
            <w:tcW w:w="1831" w:type="dxa"/>
          </w:tcPr>
          <w:p w14:paraId="6CE2216F" w14:textId="474ADE91" w:rsidR="007D50AA" w:rsidRPr="003C7608" w:rsidRDefault="007D50AA" w:rsidP="00F8344C">
            <w:pPr>
              <w:jc w:val="both"/>
              <w:rPr>
                <w:noProof/>
              </w:rPr>
            </w:pPr>
            <w:r>
              <w:rPr>
                <w:noProof/>
              </w:rPr>
              <w:t>2023.</w:t>
            </w:r>
          </w:p>
        </w:tc>
      </w:tr>
      <w:tr w:rsidR="00FF3E91" w:rsidRPr="003C7608" w14:paraId="04C86547" w14:textId="77777777" w:rsidTr="009125DB">
        <w:tc>
          <w:tcPr>
            <w:tcW w:w="7947" w:type="dxa"/>
          </w:tcPr>
          <w:p w14:paraId="319A4553" w14:textId="684E8FC5" w:rsidR="00FF3E91" w:rsidRPr="003C7608" w:rsidRDefault="00FF3E91" w:rsidP="00CB441D">
            <w:pPr>
              <w:pStyle w:val="ListParagraph"/>
              <w:numPr>
                <w:ilvl w:val="0"/>
                <w:numId w:val="37"/>
              </w:numPr>
              <w:jc w:val="both"/>
              <w:rPr>
                <w:b/>
                <w:noProof/>
              </w:rPr>
            </w:pPr>
            <w:r>
              <w:rPr>
                <w:b/>
                <w:noProof/>
              </w:rPr>
              <w:t>Podupiranje istraživanja i razvoja cjepiva protiv novih zaraznih bolesti</w:t>
            </w:r>
            <w:r>
              <w:rPr>
                <w:noProof/>
              </w:rPr>
              <w:t xml:space="preserve">, među ostalim putem </w:t>
            </w:r>
            <w:r>
              <w:rPr>
                <w:b/>
                <w:noProof/>
              </w:rPr>
              <w:t>Koalicije za inovacije u području pripravnosti za epidemije (CEPI)</w:t>
            </w:r>
            <w:r>
              <w:rPr>
                <w:noProof/>
              </w:rPr>
              <w:t>.</w:t>
            </w:r>
            <w:r>
              <w:rPr>
                <w:b/>
                <w:noProof/>
              </w:rPr>
              <w:t xml:space="preserve"> </w:t>
            </w:r>
            <w:r>
              <w:rPr>
                <w:noProof/>
              </w:rPr>
              <w:t>Uz potporu iz programa Obzor Europa.</w:t>
            </w:r>
          </w:p>
        </w:tc>
        <w:tc>
          <w:tcPr>
            <w:tcW w:w="1831" w:type="dxa"/>
          </w:tcPr>
          <w:p w14:paraId="066250F4" w14:textId="6B0FB61D" w:rsidR="00FF3E91" w:rsidRPr="003C7608" w:rsidRDefault="00FF3E91" w:rsidP="00F8344C">
            <w:pPr>
              <w:jc w:val="both"/>
              <w:rPr>
                <w:noProof/>
              </w:rPr>
            </w:pPr>
            <w:r>
              <w:rPr>
                <w:noProof/>
              </w:rPr>
              <w:t>2021.–2024.</w:t>
            </w:r>
          </w:p>
        </w:tc>
      </w:tr>
      <w:tr w:rsidR="007D50AA" w:rsidRPr="003C7608" w14:paraId="2A03789A" w14:textId="77777777" w:rsidTr="009125DB">
        <w:tc>
          <w:tcPr>
            <w:tcW w:w="7947" w:type="dxa"/>
          </w:tcPr>
          <w:p w14:paraId="6926CF09" w14:textId="77777777" w:rsidR="007D50AA" w:rsidRPr="003C7608" w:rsidRDefault="007D50AA" w:rsidP="00891637">
            <w:pPr>
              <w:contextualSpacing/>
              <w:jc w:val="both"/>
              <w:rPr>
                <w:b/>
                <w:noProof/>
              </w:rPr>
            </w:pPr>
          </w:p>
        </w:tc>
        <w:tc>
          <w:tcPr>
            <w:tcW w:w="1831" w:type="dxa"/>
          </w:tcPr>
          <w:p w14:paraId="10E172A0" w14:textId="77777777" w:rsidR="007D50AA" w:rsidRPr="003C7608" w:rsidRDefault="007D50AA" w:rsidP="00F8344C">
            <w:pPr>
              <w:jc w:val="both"/>
              <w:rPr>
                <w:noProof/>
              </w:rPr>
            </w:pPr>
          </w:p>
        </w:tc>
      </w:tr>
      <w:tr w:rsidR="007D50AA" w:rsidRPr="003C7608" w14:paraId="59619CCA" w14:textId="77777777" w:rsidTr="009125DB">
        <w:tc>
          <w:tcPr>
            <w:tcW w:w="7947" w:type="dxa"/>
            <w:shd w:val="clear" w:color="auto" w:fill="E7E6E6" w:themeFill="background2"/>
          </w:tcPr>
          <w:p w14:paraId="07C13973" w14:textId="062714C3" w:rsidR="007D50AA" w:rsidRPr="003C7608" w:rsidRDefault="007D50AA" w:rsidP="00C22ED0">
            <w:pPr>
              <w:jc w:val="both"/>
              <w:rPr>
                <w:noProof/>
              </w:rPr>
            </w:pPr>
            <w:r>
              <w:rPr>
                <w:b/>
                <w:noProof/>
              </w:rPr>
              <w:t>Regionalni projekti</w:t>
            </w:r>
          </w:p>
        </w:tc>
        <w:tc>
          <w:tcPr>
            <w:tcW w:w="1831" w:type="dxa"/>
            <w:shd w:val="clear" w:color="auto" w:fill="E7E6E6" w:themeFill="background2"/>
          </w:tcPr>
          <w:p w14:paraId="1AC5B20B" w14:textId="77777777" w:rsidR="007D50AA" w:rsidRPr="003C7608" w:rsidRDefault="007D50AA" w:rsidP="00F8344C">
            <w:pPr>
              <w:jc w:val="both"/>
              <w:rPr>
                <w:noProof/>
              </w:rPr>
            </w:pPr>
          </w:p>
        </w:tc>
      </w:tr>
      <w:tr w:rsidR="007D50AA" w:rsidRPr="003C7608" w14:paraId="352A7AAE" w14:textId="77777777" w:rsidTr="009125DB">
        <w:tc>
          <w:tcPr>
            <w:tcW w:w="7947" w:type="dxa"/>
          </w:tcPr>
          <w:p w14:paraId="23493ED7" w14:textId="2B5FCFFC" w:rsidR="007D50AA" w:rsidRPr="003C7608" w:rsidRDefault="007D50AA" w:rsidP="00306E07">
            <w:pPr>
              <w:pStyle w:val="ListParagraph"/>
              <w:numPr>
                <w:ilvl w:val="0"/>
                <w:numId w:val="37"/>
              </w:numPr>
              <w:jc w:val="both"/>
              <w:rPr>
                <w:b/>
                <w:noProof/>
              </w:rPr>
            </w:pPr>
            <w:r>
              <w:rPr>
                <w:b/>
                <w:noProof/>
              </w:rPr>
              <w:t>Inicijativa Tima Europa za proizvodnju i pristup cjepivima, lijekovima i zdravstvenim tehnologijama u Africi</w:t>
            </w:r>
            <w:r>
              <w:rPr>
                <w:noProof/>
              </w:rPr>
              <w:t xml:space="preserve"> radi jačanja farmaceutskih sustava i, zajedno sa zdravstvenom industrijom, regionalnih proizvodnih kapaciteta. Doprinos EU-a uz potporu u okviru instrumenta NDICI – Globalna Europa i drugih instrumenata.</w:t>
            </w:r>
          </w:p>
        </w:tc>
        <w:tc>
          <w:tcPr>
            <w:tcW w:w="1831" w:type="dxa"/>
          </w:tcPr>
          <w:p w14:paraId="4BFC77E0" w14:textId="72A3A5F3" w:rsidR="007D50AA" w:rsidRPr="003C7608" w:rsidRDefault="007D50AA" w:rsidP="007D42A1">
            <w:pPr>
              <w:jc w:val="both"/>
              <w:rPr>
                <w:noProof/>
              </w:rPr>
            </w:pPr>
            <w:r>
              <w:rPr>
                <w:noProof/>
              </w:rPr>
              <w:t>2021.–2027.</w:t>
            </w:r>
          </w:p>
        </w:tc>
      </w:tr>
      <w:tr w:rsidR="007D50AA" w:rsidRPr="003C7608" w14:paraId="13C7249E" w14:textId="77777777" w:rsidTr="009125DB">
        <w:tc>
          <w:tcPr>
            <w:tcW w:w="7947" w:type="dxa"/>
          </w:tcPr>
          <w:p w14:paraId="45A6C3B5" w14:textId="5A7C7242" w:rsidR="007D50AA" w:rsidRPr="003C7608" w:rsidRDefault="007D50AA" w:rsidP="00306E07">
            <w:pPr>
              <w:pStyle w:val="ListParagraph"/>
              <w:numPr>
                <w:ilvl w:val="0"/>
                <w:numId w:val="37"/>
              </w:numPr>
              <w:jc w:val="both"/>
              <w:rPr>
                <w:b/>
                <w:noProof/>
              </w:rPr>
            </w:pPr>
            <w:r>
              <w:rPr>
                <w:b/>
                <w:noProof/>
              </w:rPr>
              <w:t>Inicijativa Tima Europa za poboljšanje spolnog i reproduktivnog zdravlja i prava</w:t>
            </w:r>
            <w:r>
              <w:rPr>
                <w:noProof/>
              </w:rPr>
              <w:t xml:space="preserve"> u supsaharskoj Africi, posebno među adolescenticama i mladim ženama. Doprinos EU-a uz potporu u okviru instrumenta NDICI – Globalna Europa.</w:t>
            </w:r>
          </w:p>
        </w:tc>
        <w:tc>
          <w:tcPr>
            <w:tcW w:w="1831" w:type="dxa"/>
          </w:tcPr>
          <w:p w14:paraId="29AEDCA8" w14:textId="5DD8B2EB" w:rsidR="007D50AA" w:rsidRPr="003C7608" w:rsidRDefault="007D50AA" w:rsidP="00F8344C">
            <w:pPr>
              <w:jc w:val="both"/>
              <w:rPr>
                <w:noProof/>
              </w:rPr>
            </w:pPr>
            <w:r>
              <w:rPr>
                <w:noProof/>
              </w:rPr>
              <w:t>2022.–2027.</w:t>
            </w:r>
          </w:p>
        </w:tc>
      </w:tr>
      <w:tr w:rsidR="007D50AA" w:rsidRPr="003C7608" w14:paraId="2E65BFF5" w14:textId="77777777" w:rsidTr="009125DB">
        <w:tc>
          <w:tcPr>
            <w:tcW w:w="7947" w:type="dxa"/>
          </w:tcPr>
          <w:p w14:paraId="59D47F37" w14:textId="73384004" w:rsidR="007D50AA" w:rsidRPr="003C7608" w:rsidRDefault="007D50AA" w:rsidP="00306E07">
            <w:pPr>
              <w:pStyle w:val="ListParagraph"/>
              <w:numPr>
                <w:ilvl w:val="0"/>
                <w:numId w:val="37"/>
              </w:numPr>
              <w:jc w:val="both"/>
              <w:rPr>
                <w:b/>
                <w:noProof/>
              </w:rPr>
            </w:pPr>
            <w:r>
              <w:rPr>
                <w:b/>
                <w:noProof/>
              </w:rPr>
              <w:t>Inicijativa Tima Europa za održivu zdravstvenu sigurnost primjenom pristupa „jedno zdravlje”</w:t>
            </w:r>
            <w:r>
              <w:rPr>
                <w:noProof/>
              </w:rPr>
              <w:t xml:space="preserve"> u Africi kako bi se ojačali sustavi i kapaciteti za prevenciju, pripravnost i odgovor na prijetnje zaraznih bolesti i antimikrobnu otpornost koji su održivi i temelje se na poznavanju rizika. Doprinos EU-a uz potporu u okviru instrumenta NDICI – Globalna Europa.</w:t>
            </w:r>
          </w:p>
        </w:tc>
        <w:tc>
          <w:tcPr>
            <w:tcW w:w="1831" w:type="dxa"/>
          </w:tcPr>
          <w:p w14:paraId="48213533" w14:textId="22AB0A52" w:rsidR="007D50AA" w:rsidRPr="003C7608" w:rsidRDefault="007D50AA" w:rsidP="00AF646C">
            <w:pPr>
              <w:jc w:val="both"/>
              <w:rPr>
                <w:noProof/>
              </w:rPr>
            </w:pPr>
            <w:r>
              <w:rPr>
                <w:noProof/>
              </w:rPr>
              <w:t>2022.</w:t>
            </w:r>
          </w:p>
        </w:tc>
      </w:tr>
      <w:tr w:rsidR="007D50AA" w:rsidRPr="003C7608" w14:paraId="7D3A330E" w14:textId="77777777" w:rsidTr="009125DB">
        <w:tc>
          <w:tcPr>
            <w:tcW w:w="7947" w:type="dxa"/>
          </w:tcPr>
          <w:p w14:paraId="4E96E78A" w14:textId="4FFCC4D3" w:rsidR="007D50AA" w:rsidRPr="003C7608" w:rsidRDefault="007D50AA" w:rsidP="00306E07">
            <w:pPr>
              <w:pStyle w:val="ListParagraph"/>
              <w:numPr>
                <w:ilvl w:val="0"/>
                <w:numId w:val="37"/>
              </w:numPr>
              <w:jc w:val="both"/>
              <w:rPr>
                <w:b/>
                <w:noProof/>
              </w:rPr>
            </w:pPr>
            <w:r>
              <w:rPr>
                <w:b/>
                <w:noProof/>
              </w:rPr>
              <w:t>Inicijativa Tima Europa za kapacitete javnog zdravlja u Africi</w:t>
            </w:r>
            <w:r>
              <w:rPr>
                <w:noProof/>
              </w:rPr>
              <w:t xml:space="preserve"> pružanjem potpore ustanovama javnog zdravstva u Africi, na nacionalnoj i regionalnoj razini te putem partnerstava između ustanova javnog zdravstva u Afričkoj uniji i EU-u. Doprinos EU-a uz potporu u okviru instrumenta NDICI – Globalna Europa.</w:t>
            </w:r>
          </w:p>
        </w:tc>
        <w:tc>
          <w:tcPr>
            <w:tcW w:w="1831" w:type="dxa"/>
          </w:tcPr>
          <w:p w14:paraId="0E3D657D" w14:textId="11E34622" w:rsidR="007D50AA" w:rsidRPr="003C7608" w:rsidRDefault="007D50AA" w:rsidP="00AF646C">
            <w:pPr>
              <w:jc w:val="both"/>
              <w:rPr>
                <w:noProof/>
              </w:rPr>
            </w:pPr>
            <w:r>
              <w:rPr>
                <w:noProof/>
              </w:rPr>
              <w:t>2023.</w:t>
            </w:r>
          </w:p>
        </w:tc>
      </w:tr>
      <w:tr w:rsidR="007D50AA" w:rsidRPr="003C7608" w14:paraId="1A0376C3" w14:textId="77777777" w:rsidTr="009125DB">
        <w:trPr>
          <w:trHeight w:val="274"/>
        </w:trPr>
        <w:tc>
          <w:tcPr>
            <w:tcW w:w="7947" w:type="dxa"/>
          </w:tcPr>
          <w:p w14:paraId="3CC59DF7" w14:textId="2F17B7BB" w:rsidR="007D50AA" w:rsidRPr="003C7608" w:rsidRDefault="007D50AA" w:rsidP="00306E07">
            <w:pPr>
              <w:pStyle w:val="ListParagraph"/>
              <w:numPr>
                <w:ilvl w:val="0"/>
                <w:numId w:val="37"/>
              </w:numPr>
              <w:jc w:val="both"/>
              <w:rPr>
                <w:b/>
                <w:noProof/>
              </w:rPr>
            </w:pPr>
            <w:r>
              <w:rPr>
                <w:b/>
                <w:noProof/>
              </w:rPr>
              <w:t>Inicijativa Tima Europa za digitalno zdravstvo</w:t>
            </w:r>
            <w:r>
              <w:rPr>
                <w:noProof/>
              </w:rPr>
              <w:t>, usmjerena na jačanje zdravstvenih sustava i univerzalno zdravstveno osiguranje kao potporu snažnim i digitaliziranim zdravstvenim sustavima u Africi. Doprinos EU-a uz potporu u okviru instrumenta NDICI – Globalna Europa.</w:t>
            </w:r>
          </w:p>
        </w:tc>
        <w:tc>
          <w:tcPr>
            <w:tcW w:w="1831" w:type="dxa"/>
          </w:tcPr>
          <w:p w14:paraId="0449EC91" w14:textId="4E9BCF5C" w:rsidR="007D50AA" w:rsidRPr="003C7608" w:rsidRDefault="007D50AA" w:rsidP="00AF646C">
            <w:pPr>
              <w:jc w:val="both"/>
              <w:rPr>
                <w:noProof/>
              </w:rPr>
            </w:pPr>
            <w:r>
              <w:rPr>
                <w:noProof/>
              </w:rPr>
              <w:t>2023.</w:t>
            </w:r>
          </w:p>
        </w:tc>
      </w:tr>
      <w:tr w:rsidR="00513C3F" w:rsidRPr="003C7608" w14:paraId="187CE97C" w14:textId="77777777" w:rsidTr="009125DB">
        <w:trPr>
          <w:trHeight w:val="274"/>
        </w:trPr>
        <w:tc>
          <w:tcPr>
            <w:tcW w:w="7947" w:type="dxa"/>
          </w:tcPr>
          <w:p w14:paraId="184C17C2" w14:textId="3BF05C0C" w:rsidR="00513C3F" w:rsidRPr="00595513" w:rsidRDefault="00513C3F" w:rsidP="00513CBA">
            <w:pPr>
              <w:pStyle w:val="ListParagraph"/>
              <w:numPr>
                <w:ilvl w:val="0"/>
                <w:numId w:val="37"/>
              </w:numPr>
              <w:jc w:val="both"/>
              <w:rPr>
                <w:b/>
                <w:noProof/>
              </w:rPr>
            </w:pPr>
            <w:r>
              <w:rPr>
                <w:b/>
                <w:noProof/>
              </w:rPr>
              <w:t>Podupiranje Zajedničkog poduzeća za globalno zdravlje EDCTP3 u okviru pristupa Tima Europa</w:t>
            </w:r>
            <w:r>
              <w:rPr>
                <w:noProof/>
              </w:rPr>
              <w:t xml:space="preserve"> i Tima Afrika u poticanju novih rješenja za </w:t>
            </w:r>
            <w:r>
              <w:rPr>
                <w:b/>
                <w:noProof/>
              </w:rPr>
              <w:t>smanjenje tereta zaraznih bolesti</w:t>
            </w:r>
            <w:r>
              <w:rPr>
                <w:noProof/>
              </w:rPr>
              <w:t xml:space="preserve"> u supsaharskoj Africi, među ostalim rješavanjem problema sve veće prijetnje </w:t>
            </w:r>
            <w:r>
              <w:rPr>
                <w:b/>
                <w:noProof/>
              </w:rPr>
              <w:t>antimikrobne otpornosti</w:t>
            </w:r>
            <w:r>
              <w:rPr>
                <w:noProof/>
              </w:rPr>
              <w:t xml:space="preserve"> te </w:t>
            </w:r>
            <w:r>
              <w:rPr>
                <w:b/>
                <w:noProof/>
              </w:rPr>
              <w:t>zaraznih bolesti povezanih s klimatskom krizom</w:t>
            </w:r>
            <w:r>
              <w:rPr>
                <w:noProof/>
              </w:rPr>
              <w:t>. Podupire se iz programa Obzor Europa (programirano 800 milijuna EUR).</w:t>
            </w:r>
          </w:p>
        </w:tc>
        <w:tc>
          <w:tcPr>
            <w:tcW w:w="1831" w:type="dxa"/>
          </w:tcPr>
          <w:p w14:paraId="3A382F57" w14:textId="4A59B4C7" w:rsidR="00513C3F" w:rsidRPr="00595513" w:rsidRDefault="00513C3F" w:rsidP="002165C0">
            <w:pPr>
              <w:jc w:val="both"/>
              <w:rPr>
                <w:noProof/>
              </w:rPr>
            </w:pPr>
            <w:r>
              <w:rPr>
                <w:noProof/>
              </w:rPr>
              <w:t>2021.–2027.</w:t>
            </w:r>
          </w:p>
        </w:tc>
      </w:tr>
      <w:tr w:rsidR="00513C3F" w:rsidRPr="003C7608" w14:paraId="67A700BC" w14:textId="77777777" w:rsidTr="009125DB">
        <w:trPr>
          <w:trHeight w:val="274"/>
        </w:trPr>
        <w:tc>
          <w:tcPr>
            <w:tcW w:w="7947" w:type="dxa"/>
          </w:tcPr>
          <w:p w14:paraId="4DF36488" w14:textId="0F080D68" w:rsidR="00513C3F" w:rsidRPr="00595513" w:rsidRDefault="00513C3F" w:rsidP="00306E07">
            <w:pPr>
              <w:pStyle w:val="ListParagraph"/>
              <w:numPr>
                <w:ilvl w:val="0"/>
                <w:numId w:val="37"/>
              </w:numPr>
              <w:jc w:val="both"/>
              <w:rPr>
                <w:b/>
                <w:noProof/>
              </w:rPr>
            </w:pPr>
            <w:r>
              <w:rPr>
                <w:b/>
                <w:noProof/>
              </w:rPr>
              <w:t>Partnerstvo EU-a, Latinske Amerike i Kariba</w:t>
            </w:r>
            <w:r>
              <w:rPr>
                <w:noProof/>
              </w:rPr>
              <w:t xml:space="preserve"> za proizvodnju cjepiva, lijekova i zdravstvenih tehnologija te jačanje zdravstvenih sustava. Doprinos EU-a uz potporu u okviru instrumenta NDICI – Globalna Europa.</w:t>
            </w:r>
          </w:p>
        </w:tc>
        <w:tc>
          <w:tcPr>
            <w:tcW w:w="1831" w:type="dxa"/>
          </w:tcPr>
          <w:p w14:paraId="0D649B50" w14:textId="1FBA107F" w:rsidR="00513C3F" w:rsidRPr="00595513" w:rsidRDefault="00513C3F" w:rsidP="00AF646C">
            <w:pPr>
              <w:jc w:val="both"/>
              <w:rPr>
                <w:noProof/>
              </w:rPr>
            </w:pPr>
            <w:r>
              <w:rPr>
                <w:noProof/>
              </w:rPr>
              <w:t>2022.</w:t>
            </w:r>
          </w:p>
        </w:tc>
      </w:tr>
      <w:tr w:rsidR="007D50AA" w:rsidRPr="003C7608" w14:paraId="125EDEF8" w14:textId="77777777" w:rsidTr="009125DB">
        <w:tc>
          <w:tcPr>
            <w:tcW w:w="7947" w:type="dxa"/>
          </w:tcPr>
          <w:p w14:paraId="3C39EE27" w14:textId="05DAC5B9" w:rsidR="007D50AA" w:rsidRPr="003C7608" w:rsidRDefault="007D50AA" w:rsidP="00DF39FA">
            <w:pPr>
              <w:jc w:val="both"/>
              <w:rPr>
                <w:b/>
                <w:noProof/>
              </w:rPr>
            </w:pPr>
            <w:r>
              <w:rPr>
                <w:b/>
                <w:noProof/>
              </w:rPr>
              <w:t xml:space="preserve">Bilateralni projekti  </w:t>
            </w:r>
          </w:p>
        </w:tc>
        <w:tc>
          <w:tcPr>
            <w:tcW w:w="1831" w:type="dxa"/>
          </w:tcPr>
          <w:p w14:paraId="15722FE1" w14:textId="77777777" w:rsidR="007D50AA" w:rsidRPr="003C7608" w:rsidRDefault="007D50AA" w:rsidP="002165C0">
            <w:pPr>
              <w:jc w:val="both"/>
              <w:rPr>
                <w:noProof/>
              </w:rPr>
            </w:pPr>
          </w:p>
        </w:tc>
      </w:tr>
      <w:tr w:rsidR="007D50AA" w:rsidRPr="008425C3" w14:paraId="07671D06" w14:textId="77777777" w:rsidTr="009125DB">
        <w:tc>
          <w:tcPr>
            <w:tcW w:w="7947" w:type="dxa"/>
          </w:tcPr>
          <w:p w14:paraId="7F693917" w14:textId="63EA40CC" w:rsidR="00D95868" w:rsidRPr="00AF646C" w:rsidRDefault="007D50AA" w:rsidP="00922201">
            <w:pPr>
              <w:pStyle w:val="ListParagraph"/>
              <w:numPr>
                <w:ilvl w:val="0"/>
                <w:numId w:val="37"/>
              </w:numPr>
              <w:jc w:val="both"/>
              <w:rPr>
                <w:b/>
                <w:noProof/>
              </w:rPr>
            </w:pPr>
            <w:r>
              <w:rPr>
                <w:b/>
                <w:noProof/>
              </w:rPr>
              <w:t>Podupiranje i jačanje zdravstvenih sustava u partnerskim zemljama</w:t>
            </w:r>
            <w:r>
              <w:rPr>
                <w:noProof/>
              </w:rPr>
              <w:t xml:space="preserve"> kako bi se poboljšao pravedan pristup osnovnoj skrbi. Popis zemalja u kojima je zdravlje prioritet u višegodišnjim okvirnim programima za instrument NDICI-Globalna Europa: Egipat, Tunis, Libija, Maroko, Demokratska Republika Kongo, Srednjoafrička Republika, Burundi, Kenija, Južni Sudan, Sudan, Uganda, Madagaskar, Etiopija, Zambija, Zimbabve, Nigerija, Mauritanija, Gvineja Bisau, Mali, Tadžikistan, Laos, Afganistan, Iran, Kuba, Palestina, Libanon.</w:t>
            </w:r>
          </w:p>
        </w:tc>
        <w:tc>
          <w:tcPr>
            <w:tcW w:w="1831" w:type="dxa"/>
          </w:tcPr>
          <w:p w14:paraId="02C01DF9" w14:textId="77777777" w:rsidR="007D50AA" w:rsidRPr="008425C3" w:rsidRDefault="007D50AA" w:rsidP="002165C0">
            <w:pPr>
              <w:jc w:val="both"/>
              <w:rPr>
                <w:noProof/>
              </w:rPr>
            </w:pPr>
          </w:p>
        </w:tc>
      </w:tr>
    </w:tbl>
    <w:p w14:paraId="36A125B0" w14:textId="77777777" w:rsidR="000122F0" w:rsidRPr="008425C3" w:rsidRDefault="000122F0" w:rsidP="000122F0">
      <w:pPr>
        <w:spacing w:line="240" w:lineRule="auto"/>
        <w:jc w:val="both"/>
        <w:rPr>
          <w:noProof/>
        </w:rPr>
      </w:pPr>
    </w:p>
    <w:p w14:paraId="78FACAE0" w14:textId="77777777" w:rsidR="00884DF8" w:rsidRPr="008425C3" w:rsidRDefault="00884DF8" w:rsidP="009125DB">
      <w:pPr>
        <w:rPr>
          <w:noProof/>
        </w:rPr>
      </w:pPr>
    </w:p>
    <w:sectPr w:rsidR="00884DF8" w:rsidRPr="008425C3" w:rsidSect="00A76E9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18"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27806" w16cid:durableId="27306A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0382" w14:textId="77777777" w:rsidR="009C7120" w:rsidRDefault="009C7120" w:rsidP="003C4251">
      <w:pPr>
        <w:spacing w:after="0" w:line="240" w:lineRule="auto"/>
      </w:pPr>
      <w:r>
        <w:separator/>
      </w:r>
    </w:p>
  </w:endnote>
  <w:endnote w:type="continuationSeparator" w:id="0">
    <w:p w14:paraId="0F5AC12A" w14:textId="77777777" w:rsidR="009C7120" w:rsidRDefault="009C7120" w:rsidP="003C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DB17" w14:textId="77777777" w:rsidR="00A32E73" w:rsidRPr="00A32E73" w:rsidRDefault="00A32E73" w:rsidP="00A32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C804" w14:textId="7A365988" w:rsidR="000D6A6B" w:rsidRPr="00A32E73" w:rsidRDefault="00A32E73" w:rsidP="00A32E73">
    <w:pPr>
      <w:pStyle w:val="FooterCoverPage"/>
      <w:rPr>
        <w:rFonts w:ascii="Arial" w:hAnsi="Arial" w:cs="Arial"/>
        <w:b/>
        <w:sz w:val="48"/>
      </w:rPr>
    </w:pPr>
    <w:r w:rsidRPr="00A32E73">
      <w:rPr>
        <w:rFonts w:ascii="Arial" w:hAnsi="Arial" w:cs="Arial"/>
        <w:b/>
        <w:sz w:val="48"/>
      </w:rPr>
      <w:t>HR</w:t>
    </w:r>
    <w:r w:rsidRPr="00A32E73">
      <w:rPr>
        <w:rFonts w:ascii="Arial" w:hAnsi="Arial" w:cs="Arial"/>
        <w:b/>
        <w:sz w:val="48"/>
      </w:rPr>
      <w:tab/>
    </w:r>
    <w:r w:rsidRPr="00A32E73">
      <w:rPr>
        <w:rFonts w:ascii="Arial" w:hAnsi="Arial" w:cs="Arial"/>
        <w:b/>
        <w:sz w:val="48"/>
      </w:rPr>
      <w:tab/>
    </w:r>
    <w:r w:rsidRPr="00A32E73">
      <w:tab/>
    </w:r>
    <w:r w:rsidRPr="00A32E73">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FF3E" w14:textId="77777777" w:rsidR="00A32E73" w:rsidRPr="00A32E73" w:rsidRDefault="00A32E73" w:rsidP="00A32E7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FEC7" w14:textId="77777777" w:rsidR="009C7120" w:rsidRDefault="009C71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64156"/>
      <w:docPartObj>
        <w:docPartGallery w:val="Page Numbers (Bottom of Page)"/>
        <w:docPartUnique/>
      </w:docPartObj>
    </w:sdtPr>
    <w:sdtEndPr>
      <w:rPr>
        <w:noProof/>
      </w:rPr>
    </w:sdtEndPr>
    <w:sdtContent>
      <w:p w14:paraId="6E947BA0" w14:textId="369BF593" w:rsidR="009C7120" w:rsidRDefault="009C7120">
        <w:pPr>
          <w:pStyle w:val="Footer"/>
          <w:jc w:val="right"/>
        </w:pPr>
        <w:r>
          <w:fldChar w:fldCharType="begin"/>
        </w:r>
        <w:r>
          <w:instrText xml:space="preserve"> PAGE   \* MERGEFORMAT </w:instrText>
        </w:r>
        <w:r>
          <w:fldChar w:fldCharType="separate"/>
        </w:r>
        <w:r w:rsidR="00A32E73">
          <w:rPr>
            <w:noProof/>
          </w:rPr>
          <w:t>1</w:t>
        </w:r>
        <w:r>
          <w:fldChar w:fldCharType="end"/>
        </w:r>
      </w:p>
    </w:sdtContent>
  </w:sdt>
  <w:p w14:paraId="515797DE" w14:textId="77777777" w:rsidR="009C7120" w:rsidRDefault="009C71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CF468" w14:textId="77777777" w:rsidR="009C7120" w:rsidRDefault="009C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2B702" w14:textId="77777777" w:rsidR="009C7120" w:rsidRDefault="009C7120" w:rsidP="003C4251">
      <w:pPr>
        <w:spacing w:after="0" w:line="240" w:lineRule="auto"/>
      </w:pPr>
      <w:r>
        <w:separator/>
      </w:r>
    </w:p>
  </w:footnote>
  <w:footnote w:type="continuationSeparator" w:id="0">
    <w:p w14:paraId="2D92F9D4" w14:textId="77777777" w:rsidR="009C7120" w:rsidRDefault="009C7120" w:rsidP="003C4251">
      <w:pPr>
        <w:spacing w:after="0" w:line="240" w:lineRule="auto"/>
      </w:pPr>
      <w:r>
        <w:continuationSeparator/>
      </w:r>
    </w:p>
  </w:footnote>
  <w:footnote w:id="1">
    <w:p w14:paraId="5CA6CD37" w14:textId="77777777" w:rsidR="009C7120" w:rsidRPr="00450F1C" w:rsidRDefault="009C7120" w:rsidP="00F5410A">
      <w:pPr>
        <w:pStyle w:val="FootnoteText"/>
      </w:pPr>
      <w:r>
        <w:rPr>
          <w:rStyle w:val="FootnoteReference"/>
        </w:rPr>
        <w:footnoteRef/>
      </w:r>
      <w:r>
        <w:t xml:space="preserve"> COM(2010) 128 final – 31.3.2010.  </w:t>
      </w:r>
    </w:p>
  </w:footnote>
  <w:footnote w:id="2">
    <w:p w14:paraId="0419F578" w14:textId="77777777" w:rsidR="009C7120" w:rsidRPr="007B61FB" w:rsidRDefault="009C7120" w:rsidP="009E4B12">
      <w:pPr>
        <w:pStyle w:val="FootnoteText"/>
      </w:pPr>
      <w:r>
        <w:rPr>
          <w:rStyle w:val="FootnoteReference"/>
        </w:rPr>
        <w:footnoteRef/>
      </w:r>
      <w:r>
        <w:t xml:space="preserve"> </w:t>
      </w:r>
      <w:hyperlink r:id="rId1" w:history="1">
        <w:r>
          <w:rPr>
            <w:rStyle w:val="Hyperlink"/>
          </w:rPr>
          <w:t>https://ec.europa.eu/info/strategy/priorities-2019-2024/stronger-europe-world/global-gateway_hr</w:t>
        </w:r>
      </w:hyperlink>
    </w:p>
  </w:footnote>
  <w:footnote w:id="3">
    <w:p w14:paraId="4A462807" w14:textId="77777777" w:rsidR="009C7120" w:rsidRPr="004E53AF" w:rsidRDefault="009C7120" w:rsidP="00004ED2">
      <w:pPr>
        <w:pStyle w:val="FootnoteText"/>
      </w:pPr>
      <w:r>
        <w:rPr>
          <w:rStyle w:val="FootnoteReference"/>
        </w:rPr>
        <w:footnoteRef/>
      </w:r>
      <w:r>
        <w:t xml:space="preserve"> „Pristup Tima Europa” odnosi se na djelovanje institucija EU-a i nekih ili svih njegovih država članica u skladu s odgovarajućim nadležnostima.</w:t>
      </w:r>
    </w:p>
  </w:footnote>
  <w:footnote w:id="4">
    <w:p w14:paraId="6DACEA9B" w14:textId="7027788E" w:rsidR="00477B68" w:rsidRPr="0080340A" w:rsidRDefault="009C7120">
      <w:pPr>
        <w:pStyle w:val="FootnoteText"/>
      </w:pPr>
      <w:r>
        <w:rPr>
          <w:rStyle w:val="FootnoteReference"/>
        </w:rPr>
        <w:footnoteRef/>
      </w:r>
      <w:r>
        <w:t xml:space="preserve"> </w:t>
      </w:r>
      <w:hyperlink r:id="rId2" w:history="1">
        <w:r>
          <w:rPr>
            <w:rStyle w:val="Hyperlink"/>
          </w:rPr>
          <w:t>https://www.un.org/sustainabledevelopment/development-agenda/</w:t>
        </w:r>
      </w:hyperlink>
    </w:p>
  </w:footnote>
  <w:footnote w:id="5">
    <w:p w14:paraId="4CCA0067" w14:textId="77777777" w:rsidR="009C7120" w:rsidRPr="00157432" w:rsidRDefault="009C7120" w:rsidP="006E752B">
      <w:pPr>
        <w:pStyle w:val="FootnoteText"/>
      </w:pPr>
      <w:r>
        <w:rPr>
          <w:rStyle w:val="FootnoteReference"/>
        </w:rPr>
        <w:footnoteRef/>
      </w:r>
      <w:r>
        <w:t xml:space="preserve"> </w:t>
      </w:r>
      <w:hyperlink r:id="rId3" w:history="1">
        <w:r>
          <w:rPr>
            <w:rStyle w:val="Hyperlink"/>
          </w:rPr>
          <w:t>https://global-health-summit.europa.eu/rome-declaration_en</w:t>
        </w:r>
      </w:hyperlink>
    </w:p>
  </w:footnote>
  <w:footnote w:id="6">
    <w:p w14:paraId="16BB78E6" w14:textId="77777777" w:rsidR="009C7120" w:rsidRPr="0087495A" w:rsidRDefault="009C7120" w:rsidP="006E752B">
      <w:pPr>
        <w:pStyle w:val="FootnoteText"/>
      </w:pPr>
      <w:r>
        <w:rPr>
          <w:rStyle w:val="FootnoteReference"/>
        </w:rPr>
        <w:footnoteRef/>
      </w:r>
      <w:r>
        <w:t xml:space="preserve"> Vidjeti glavne činjenice i brojke na </w:t>
      </w:r>
      <w:hyperlink r:id="rId4" w:anchor="#facts--figures" w:history="1">
        <w:r>
          <w:rPr>
            <w:rStyle w:val="Hyperlink"/>
          </w:rPr>
          <w:t>https://civil-protection-humanitarian-aid.ec.europa.eu/what/civil-protection/eu-civil-protection-mechanism_en#facts--figures</w:t>
        </w:r>
      </w:hyperlink>
      <w:r>
        <w:t>.</w:t>
      </w:r>
    </w:p>
  </w:footnote>
  <w:footnote w:id="7">
    <w:p w14:paraId="3F777513" w14:textId="7CFFE0E0" w:rsidR="009C7120" w:rsidRPr="00F449A8" w:rsidRDefault="009C7120">
      <w:pPr>
        <w:pStyle w:val="FootnoteText"/>
      </w:pPr>
      <w:r>
        <w:rPr>
          <w:rStyle w:val="FootnoteReference"/>
        </w:rPr>
        <w:footnoteRef/>
      </w:r>
      <w:r>
        <w:t xml:space="preserve"> Vidjeti 11. projekt u Prilogu 1.</w:t>
      </w:r>
    </w:p>
  </w:footnote>
  <w:footnote w:id="8">
    <w:p w14:paraId="3119C13C" w14:textId="77777777" w:rsidR="009C7120" w:rsidRPr="00C03F04" w:rsidRDefault="009C7120" w:rsidP="006E752B">
      <w:pPr>
        <w:pStyle w:val="FootnoteText"/>
      </w:pPr>
      <w:r>
        <w:rPr>
          <w:rStyle w:val="FootnoteReference"/>
        </w:rPr>
        <w:footnoteRef/>
      </w:r>
      <w:r>
        <w:t xml:space="preserve"> </w:t>
      </w:r>
      <w:hyperlink r:id="rId5" w:history="1">
        <w:r>
          <w:rPr>
            <w:rFonts w:asciiTheme="minorHAnsi" w:hAnsiTheme="minorHAnsi"/>
            <w:color w:val="0000FF"/>
            <w:u w:val="single"/>
          </w:rPr>
          <w:t>EU razvija stratešku pričuvu za kemijske, biološke, radiološke i nuklearne krizne situacije (europa.eu)</w:t>
        </w:r>
      </w:hyperlink>
    </w:p>
  </w:footnote>
  <w:footnote w:id="9">
    <w:p w14:paraId="6B57392F" w14:textId="58DB54F9" w:rsidR="009C7120" w:rsidRDefault="009C7120" w:rsidP="00004ED2">
      <w:pPr>
        <w:pStyle w:val="FootnoteText"/>
      </w:pPr>
      <w:r>
        <w:rPr>
          <w:rStyle w:val="FootnoteReference"/>
        </w:rPr>
        <w:footnoteRef/>
      </w:r>
      <w:r>
        <w:t xml:space="preserve"> Detaljna definicija načela „jedno zdravlje”, kako ju je utvrdio OHHLEP, dostupna je na </w:t>
      </w:r>
      <w:hyperlink r:id="rId6" w:history="1">
        <w:r>
          <w:rPr>
            <w:rStyle w:val="Hyperlink"/>
          </w:rPr>
          <w:t>https://www.who.int/news/item/01-12-2021-tripartite-and-unep-support-ohhlep-s-definition-of-one-health</w:t>
        </w:r>
      </w:hyperlink>
      <w:r>
        <w:t xml:space="preserve">. </w:t>
      </w:r>
    </w:p>
    <w:p w14:paraId="44BE5CDF" w14:textId="7931F47A" w:rsidR="009C7120" w:rsidRPr="009E0626" w:rsidRDefault="009C7120" w:rsidP="00004ED2">
      <w:pPr>
        <w:pStyle w:val="FootnoteText"/>
      </w:pPr>
      <w:r>
        <w:t>U kontekstu savjetovanja o budućnosti Europe građani su predložili pristup „jedno zdravlje”: „usvajanje holističkog pristupa zdravlju, bavljenje zdravstvenom pismenošću i prevencijom (izvan okvira bolesti i izlječenja) te promicanje zajedničkog pogleda na izazove s kojima se suočavaju bolesnici ili osobe s invaliditetom, u skladu s pristupom „jedno zdravlje”, koji bi trebalo naglasiti kao horizontalno i temeljno načelo koje obuhvaća sve politike EU-a”.</w:t>
      </w:r>
    </w:p>
  </w:footnote>
  <w:footnote w:id="10">
    <w:p w14:paraId="79109807" w14:textId="77777777" w:rsidR="009C7120" w:rsidRPr="009E0626" w:rsidRDefault="009C7120" w:rsidP="00161AEA">
      <w:pPr>
        <w:spacing w:after="0" w:line="240" w:lineRule="auto"/>
        <w:rPr>
          <w:sz w:val="20"/>
          <w:szCs w:val="20"/>
        </w:rPr>
      </w:pPr>
      <w:r>
        <w:rPr>
          <w:rStyle w:val="FootnoteReference"/>
          <w:sz w:val="20"/>
          <w:szCs w:val="20"/>
        </w:rPr>
        <w:footnoteRef/>
      </w:r>
      <w:r>
        <w:rPr>
          <w:sz w:val="20"/>
        </w:rPr>
        <w:t xml:space="preserve"> Prema podacima Odbora OECD-a za razvojnu pomoć: </w:t>
      </w:r>
      <w:hyperlink r:id="rId7" w:history="1">
        <w:r>
          <w:rPr>
            <w:rStyle w:val="Hyperlink"/>
            <w:sz w:val="20"/>
          </w:rPr>
          <w:t>https://www.oecd.org/dac/development-assistance-committee/</w:t>
        </w:r>
      </w:hyperlink>
      <w:r>
        <w:rPr>
          <w:sz w:val="20"/>
        </w:rPr>
        <w:t xml:space="preserve"> </w:t>
      </w:r>
    </w:p>
  </w:footnote>
  <w:footnote w:id="11">
    <w:p w14:paraId="03AB49BF" w14:textId="7E13414C" w:rsidR="009C7120" w:rsidRPr="00587E5B" w:rsidRDefault="009C7120" w:rsidP="009B17F7">
      <w:pPr>
        <w:pStyle w:val="FootnoteText"/>
      </w:pPr>
      <w:r>
        <w:rPr>
          <w:rStyle w:val="FootnoteReference"/>
        </w:rPr>
        <w:footnoteRef/>
      </w:r>
      <w:r>
        <w:t xml:space="preserve"> </w:t>
      </w:r>
      <w:hyperlink r:id="rId8" w:anchor=":~:text=Europe%E2%80%99s%20Beating%20Cancer%20Plan%20will%20have%20%E2%82%AC4%20billion,Early%20detection%20through%20screening%20can%20help%20save%20lives." w:history="1">
        <w:r>
          <w:rPr>
            <w:color w:val="0000FF"/>
            <w:u w:val="single"/>
          </w:rPr>
          <w:t>Europski plan za borbu protiv raka |</w:t>
        </w:r>
      </w:hyperlink>
      <w:hyperlink r:id="rId9" w:anchor=":~:text=Europe%E2%80%99s%20Beating%20Cancer%20Plan%20will%20have%20%E2%82%AC4%20billion,Early%20detection%20through%20screening%20can%20help%20save%20lives." w:history="1">
        <w:r>
          <w:rPr>
            <w:color w:val="0000FF"/>
            <w:u w:val="single"/>
          </w:rPr>
          <w:t xml:space="preserve"> Europska komisija (europa.eu)</w:t>
        </w:r>
      </w:hyperlink>
      <w:r>
        <w:rPr>
          <w:color w:val="0000FF"/>
          <w:u w:val="single"/>
        </w:rPr>
        <w:t xml:space="preserve">. Podupire ga misija EU-a za borbu protiv raka </w:t>
      </w:r>
      <w:hyperlink r:id="rId10" w:history="1">
        <w:r>
          <w:rPr>
            <w:rStyle w:val="Hyperlink"/>
          </w:rPr>
          <w:t>(Misija EU-a:</w:t>
        </w:r>
      </w:hyperlink>
      <w:hyperlink r:id="rId11" w:history="1">
        <w:r>
          <w:rPr>
            <w:rStyle w:val="Hyperlink"/>
          </w:rPr>
          <w:t xml:space="preserve"> rak |</w:t>
        </w:r>
      </w:hyperlink>
      <w:hyperlink r:id="rId12" w:history="1">
        <w:r>
          <w:rPr>
            <w:rStyle w:val="Hyperlink"/>
          </w:rPr>
          <w:t xml:space="preserve"> Europska komisija (europa.eu)</w:t>
        </w:r>
      </w:hyperlink>
      <w:r>
        <w:rPr>
          <w:rStyle w:val="Hyperlink"/>
        </w:rPr>
        <w:t>).</w:t>
      </w:r>
    </w:p>
  </w:footnote>
  <w:footnote w:id="12">
    <w:p w14:paraId="5D38C774" w14:textId="77777777" w:rsidR="009C7120" w:rsidRPr="00587E5B" w:rsidRDefault="009C7120" w:rsidP="009B17F7">
      <w:pPr>
        <w:pStyle w:val="FootnoteText"/>
      </w:pPr>
      <w:r>
        <w:rPr>
          <w:rStyle w:val="FootnoteReference"/>
        </w:rPr>
        <w:footnoteRef/>
      </w:r>
      <w:r>
        <w:t xml:space="preserve"> </w:t>
      </w:r>
      <w:hyperlink r:id="rId13" w:history="1">
        <w:r>
          <w:rPr>
            <w:rStyle w:val="Hyperlink"/>
          </w:rPr>
          <w:t>https://eur-lex.europa.eu/legal-content/HR/TXT/PDF/?uri=CELEX:52020DC0761&amp;from=HR</w:t>
        </w:r>
      </w:hyperlink>
    </w:p>
  </w:footnote>
  <w:footnote w:id="13">
    <w:p w14:paraId="66488747" w14:textId="77777777" w:rsidR="009C7120" w:rsidRPr="00315176" w:rsidRDefault="009C7120" w:rsidP="009B17F7">
      <w:pPr>
        <w:pStyle w:val="FootnoteText"/>
        <w:rPr>
          <w:color w:val="0000FF"/>
          <w:u w:val="single"/>
        </w:rPr>
      </w:pPr>
      <w:r>
        <w:rPr>
          <w:rStyle w:val="FootnoteReference"/>
        </w:rPr>
        <w:footnoteRef/>
      </w:r>
      <w:r>
        <w:t xml:space="preserve"> </w:t>
      </w:r>
      <w:hyperlink r:id="rId14" w:history="1">
        <w:r>
          <w:rPr>
            <w:color w:val="0000FF"/>
            <w:u w:val="single"/>
          </w:rPr>
          <w:t>Europski prostor za zdravstvene podatke (europa.eu)</w:t>
        </w:r>
      </w:hyperlink>
    </w:p>
  </w:footnote>
  <w:footnote w:id="14">
    <w:p w14:paraId="077A9C58" w14:textId="77777777" w:rsidR="009C7120" w:rsidRPr="00315176" w:rsidRDefault="009C7120" w:rsidP="009B17F7">
      <w:pPr>
        <w:pStyle w:val="FootnoteText"/>
      </w:pPr>
      <w:r>
        <w:rPr>
          <w:rStyle w:val="FootnoteReference"/>
        </w:rPr>
        <w:footnoteRef/>
      </w:r>
      <w:r>
        <w:t xml:space="preserve"> </w:t>
      </w:r>
      <w:hyperlink r:id="rId15" w:history="1">
        <w:r>
          <w:rPr>
            <w:rStyle w:val="Hyperlink"/>
          </w:rPr>
          <w:t>https://www.consilium.europa.eu/hr/press/press-releases/2022/06/23/provisional-agreement-on-new-eu-law-on-serious-cross-border-threats-to-health/</w:t>
        </w:r>
      </w:hyperlink>
    </w:p>
  </w:footnote>
  <w:footnote w:id="15">
    <w:p w14:paraId="05CC7E84" w14:textId="77777777" w:rsidR="009C7120" w:rsidRPr="00315176" w:rsidRDefault="009C7120" w:rsidP="009B17F7">
      <w:pPr>
        <w:pStyle w:val="FootnoteText"/>
      </w:pPr>
      <w:r>
        <w:rPr>
          <w:rStyle w:val="FootnoteReference"/>
        </w:rPr>
        <w:footnoteRef/>
      </w:r>
      <w:r>
        <w:t xml:space="preserve"> Tijelo za pripravnost i odgovor na zdravstvene krize.</w:t>
      </w:r>
    </w:p>
  </w:footnote>
  <w:footnote w:id="16">
    <w:p w14:paraId="111E3751" w14:textId="011A9B70" w:rsidR="009C7120" w:rsidRPr="00315176" w:rsidRDefault="009C7120" w:rsidP="009B17F7">
      <w:pPr>
        <w:pStyle w:val="FootnoteText"/>
      </w:pPr>
      <w:r>
        <w:rPr>
          <w:rStyle w:val="FootnoteReference"/>
        </w:rPr>
        <w:footnoteRef/>
      </w:r>
      <w:r>
        <w:t xml:space="preserve"> Vidjeti 2., financijski, projekt u Prilogu 1.</w:t>
      </w:r>
    </w:p>
  </w:footnote>
  <w:footnote w:id="17">
    <w:p w14:paraId="4F3CDC17" w14:textId="77777777" w:rsidR="009C7120" w:rsidRPr="00315176" w:rsidRDefault="009C7120" w:rsidP="009B17F7">
      <w:pPr>
        <w:pStyle w:val="FootnoteText"/>
        <w:rPr>
          <w:color w:val="0000FF"/>
          <w:u w:val="single"/>
        </w:rPr>
      </w:pPr>
      <w:r>
        <w:rPr>
          <w:rStyle w:val="FootnoteReference"/>
        </w:rPr>
        <w:footnoteRef/>
      </w:r>
      <w:r>
        <w:t xml:space="preserve"> </w:t>
      </w:r>
      <w:hyperlink r:id="rId16" w:history="1">
        <w:r>
          <w:rPr>
            <w:color w:val="0000FF"/>
            <w:u w:val="single"/>
          </w:rPr>
          <w:t>Europski zeleni plan |</w:t>
        </w:r>
      </w:hyperlink>
      <w:hyperlink r:id="rId17" w:history="1">
        <w:r>
          <w:rPr>
            <w:color w:val="0000FF"/>
            <w:u w:val="single"/>
          </w:rPr>
          <w:t xml:space="preserve"> Europska komisija (europa.eu)</w:t>
        </w:r>
      </w:hyperlink>
    </w:p>
  </w:footnote>
  <w:footnote w:id="18">
    <w:p w14:paraId="6CD44B00" w14:textId="77777777" w:rsidR="009C7120" w:rsidRPr="00A62EA6" w:rsidRDefault="009C7120" w:rsidP="009B17F7">
      <w:pPr>
        <w:pStyle w:val="FootnoteText"/>
      </w:pPr>
      <w:r>
        <w:rPr>
          <w:rStyle w:val="FootnoteReference"/>
        </w:rPr>
        <w:footnoteRef/>
      </w:r>
      <w:r>
        <w:t xml:space="preserve"> </w:t>
      </w:r>
      <w:hyperlink r:id="rId18" w:history="1">
        <w:r>
          <w:rPr>
            <w:color w:val="0000FF"/>
            <w:u w:val="single"/>
          </w:rPr>
          <w:t>Akcijski plan za postizanje nulte stope onečišćenja (europa.eu)</w:t>
        </w:r>
      </w:hyperlink>
    </w:p>
  </w:footnote>
  <w:footnote w:id="19">
    <w:p w14:paraId="3410C869" w14:textId="77777777" w:rsidR="009C7120" w:rsidRPr="004E53AF" w:rsidRDefault="009C7120" w:rsidP="00F5410A">
      <w:pPr>
        <w:pStyle w:val="FootnoteText"/>
      </w:pPr>
      <w:r>
        <w:rPr>
          <w:rStyle w:val="FootnoteReference"/>
        </w:rPr>
        <w:footnoteRef/>
      </w:r>
      <w:r>
        <w:t xml:space="preserve"> Relevantna upućivanja na EU u ovom dokumentu trebalo bi tumačiti na taj način. Isto vrijedi i za uporabu pojmova „mi” i „naš”.</w:t>
      </w:r>
    </w:p>
  </w:footnote>
  <w:footnote w:id="20">
    <w:p w14:paraId="2B1AFE0B" w14:textId="67086AAF" w:rsidR="009C7120" w:rsidRPr="004E53AF" w:rsidRDefault="009C7120">
      <w:pPr>
        <w:pStyle w:val="FootnoteText"/>
      </w:pPr>
      <w:r>
        <w:rPr>
          <w:rStyle w:val="FootnoteReference"/>
        </w:rPr>
        <w:footnoteRef/>
      </w:r>
      <w:r>
        <w:t xml:space="preserve"> </w:t>
      </w:r>
      <w:hyperlink r:id="rId19" w:history="1">
        <w:r>
          <w:rPr>
            <w:rStyle w:val="Hyperlink"/>
          </w:rPr>
          <w:t>https://www.ghadvocates.eu/wp-content/uploads/Global-Health-Strategy.pdf</w:t>
        </w:r>
      </w:hyperlink>
    </w:p>
  </w:footnote>
  <w:footnote w:id="21">
    <w:p w14:paraId="38C87745" w14:textId="7C20C957" w:rsidR="009C7120" w:rsidRPr="00243B47" w:rsidRDefault="009C7120" w:rsidP="00EC5D52">
      <w:pPr>
        <w:pStyle w:val="FootnoteText"/>
      </w:pPr>
      <w:r>
        <w:rPr>
          <w:rStyle w:val="FootnoteReference"/>
        </w:rPr>
        <w:footnoteRef/>
      </w:r>
      <w:r>
        <w:t xml:space="preserve"> </w:t>
      </w:r>
      <w:hyperlink r:id="rId20" w:history="1">
        <w:r>
          <w:rPr>
            <w:rStyle w:val="Hyperlink"/>
          </w:rPr>
          <w:t>https://health.ec.europa.eu/health-emergency-preparedness-and-response-hera/key-documents_en</w:t>
        </w:r>
      </w:hyperlink>
      <w:r>
        <w:t xml:space="preserve"> </w:t>
      </w:r>
    </w:p>
  </w:footnote>
  <w:footnote w:id="22">
    <w:p w14:paraId="67AA720E" w14:textId="0ADD0B97" w:rsidR="009C7120" w:rsidRPr="009C7120" w:rsidRDefault="009C7120" w:rsidP="009C7120">
      <w:pPr>
        <w:spacing w:after="0"/>
        <w:rPr>
          <w:rFonts w:cstheme="minorHAnsi"/>
          <w:sz w:val="20"/>
          <w:szCs w:val="20"/>
        </w:rPr>
      </w:pPr>
      <w:r>
        <w:rPr>
          <w:rStyle w:val="FootnoteReference"/>
          <w:rFonts w:cstheme="minorHAnsi"/>
          <w:sz w:val="20"/>
          <w:szCs w:val="20"/>
        </w:rPr>
        <w:footnoteRef/>
      </w:r>
      <w:r>
        <w:rPr>
          <w:sz w:val="20"/>
        </w:rPr>
        <w:t xml:space="preserve"> </w:t>
      </w:r>
      <w:hyperlink r:id="rId21" w:history="1">
        <w:r>
          <w:rPr>
            <w:rStyle w:val="Hyperlink"/>
            <w:color w:val="0000FF"/>
            <w:sz w:val="20"/>
          </w:rPr>
          <w:t>european-consensus-on-development-final-20170626_en.pdf</w:t>
        </w:r>
      </w:hyperlink>
    </w:p>
  </w:footnote>
  <w:footnote w:id="23">
    <w:p w14:paraId="673A0A71" w14:textId="213D7186" w:rsidR="009C7120" w:rsidRPr="004E53AF" w:rsidRDefault="009C7120">
      <w:pPr>
        <w:pStyle w:val="FootnoteText"/>
      </w:pPr>
      <w:r>
        <w:rPr>
          <w:rStyle w:val="FootnoteReference"/>
        </w:rPr>
        <w:footnoteRef/>
      </w:r>
      <w:r>
        <w:t xml:space="preserve"> Ti prioriteti u velikoj su mjeri u skladu s programom rada SZO-a, koji uključuje „ciljeve od tri milijarde”: </w:t>
      </w:r>
      <w:hyperlink r:id="rId22" w:history="1">
        <w:r>
          <w:rPr>
            <w:rStyle w:val="Hyperlink"/>
          </w:rPr>
          <w:t>https://www.who.int/about/what-we-do/thirteenth-general-programme-of-work-2019---2023</w:t>
        </w:r>
      </w:hyperlink>
      <w:r>
        <w:t xml:space="preserve"> </w:t>
      </w:r>
    </w:p>
  </w:footnote>
  <w:footnote w:id="24">
    <w:p w14:paraId="64A1366C" w14:textId="77777777" w:rsidR="009C7120" w:rsidRPr="00477B68" w:rsidRDefault="009C7120" w:rsidP="00E71F1D">
      <w:pPr>
        <w:pStyle w:val="FootnoteText"/>
      </w:pPr>
      <w:r>
        <w:rPr>
          <w:rStyle w:val="FootnoteReference"/>
        </w:rPr>
        <w:footnoteRef/>
      </w:r>
      <w:r>
        <w:t xml:space="preserve"> Akcijski plan EU-a za rodnu ravnopravnost (GAP) III: </w:t>
      </w:r>
      <w:hyperlink r:id="rId23" w:history="1">
        <w:r>
          <w:rPr>
            <w:rStyle w:val="Hyperlink"/>
          </w:rPr>
          <w:t>https://eur-lex.europa.eu/legal-content/HR/TXT/?uri=CELEX:52020JC0017</w:t>
        </w:r>
      </w:hyperlink>
      <w:r>
        <w:t xml:space="preserve"> </w:t>
      </w:r>
    </w:p>
  </w:footnote>
  <w:footnote w:id="25">
    <w:p w14:paraId="17B1C8B8" w14:textId="77777777" w:rsidR="009C7120" w:rsidRPr="004E53AF" w:rsidRDefault="009C7120" w:rsidP="00E71F1D">
      <w:pPr>
        <w:pStyle w:val="FootnoteText"/>
      </w:pPr>
      <w:r>
        <w:rPr>
          <w:rStyle w:val="FootnoteReference"/>
        </w:rPr>
        <w:footnoteRef/>
      </w:r>
      <w:r>
        <w:t xml:space="preserve"> Akcijski plan EU-a za mlade: </w:t>
      </w:r>
      <w:hyperlink r:id="rId24" w:history="1">
        <w:r>
          <w:rPr>
            <w:rStyle w:val="Hyperlink"/>
          </w:rPr>
          <w:t>https://international-partnerships.ec.europa.eu/document/fe1bcd30-58da-4a37-ab2a-61848789da60_en</w:t>
        </w:r>
      </w:hyperlink>
    </w:p>
  </w:footnote>
  <w:footnote w:id="26">
    <w:p w14:paraId="69CF6413" w14:textId="149B3031" w:rsidR="009C7120" w:rsidRPr="009C7120" w:rsidRDefault="009C7120" w:rsidP="009C7120">
      <w:pPr>
        <w:pStyle w:val="Personnequisigne"/>
      </w:pPr>
      <w:r>
        <w:rPr>
          <w:rStyle w:val="FootnoteReference"/>
          <w:rFonts w:asciiTheme="minorHAnsi" w:hAnsiTheme="minorHAnsi" w:cstheme="minorHAnsi"/>
          <w:i w:val="0"/>
          <w:sz w:val="20"/>
          <w:szCs w:val="20"/>
        </w:rPr>
        <w:footnoteRef/>
      </w:r>
      <w:r>
        <w:rPr>
          <w:rFonts w:asciiTheme="minorHAnsi" w:hAnsiTheme="minorHAnsi"/>
          <w:i w:val="0"/>
          <w:sz w:val="20"/>
        </w:rPr>
        <w:t xml:space="preserve"> </w:t>
      </w:r>
      <w:hyperlink r:id="rId25" w:history="1">
        <w:r>
          <w:rPr>
            <w:rStyle w:val="Hyperlink"/>
            <w:rFonts w:asciiTheme="minorHAnsi" w:hAnsiTheme="minorHAnsi"/>
            <w:i w:val="0"/>
            <w:sz w:val="20"/>
          </w:rPr>
          <w:t>https://ec.europa.eu/social/main.jsp?catId=738&amp;langId=hr&amp;pubId=8376&amp;furtherPubs=yes</w:t>
        </w:r>
      </w:hyperlink>
    </w:p>
  </w:footnote>
  <w:footnote w:id="27">
    <w:p w14:paraId="1A6DFB82" w14:textId="77777777" w:rsidR="009C7120" w:rsidRPr="004E53AF" w:rsidRDefault="009C7120" w:rsidP="00E71F1D">
      <w:pPr>
        <w:pStyle w:val="FootnoteText"/>
      </w:pPr>
      <w:r>
        <w:rPr>
          <w:rStyle w:val="FootnoteReference"/>
        </w:rPr>
        <w:footnoteRef/>
      </w:r>
      <w:r>
        <w:t xml:space="preserve"> </w:t>
      </w:r>
      <w:hyperlink r:id="rId26" w:history="1">
        <w:r>
          <w:rPr>
            <w:rFonts w:asciiTheme="minorHAnsi" w:hAnsiTheme="minorHAnsi"/>
            <w:color w:val="0000FF"/>
            <w:u w:val="single"/>
          </w:rPr>
          <w:t>Strategija o ravnopravnosti LGBTIQ osoba 2020.–2025. |</w:t>
        </w:r>
      </w:hyperlink>
      <w:hyperlink r:id="rId27" w:history="1">
        <w:r>
          <w:rPr>
            <w:rFonts w:asciiTheme="minorHAnsi" w:hAnsiTheme="minorHAnsi"/>
            <w:color w:val="0000FF"/>
            <w:u w:val="single"/>
          </w:rPr>
          <w:t xml:space="preserve"> Europska komisija (europa.eu)</w:t>
        </w:r>
      </w:hyperlink>
    </w:p>
  </w:footnote>
  <w:footnote w:id="28">
    <w:p w14:paraId="39721D9A" w14:textId="77777777" w:rsidR="009C7120" w:rsidRPr="00F51C67" w:rsidRDefault="009C7120" w:rsidP="00B74C7B">
      <w:pPr>
        <w:pStyle w:val="FootnoteText"/>
      </w:pPr>
      <w:r>
        <w:rPr>
          <w:rStyle w:val="FootnoteReference"/>
        </w:rPr>
        <w:footnoteRef/>
      </w:r>
      <w:r>
        <w:t xml:space="preserve"> Zanemarene tropske bolesti raznolika su skupina od 20 bolesti koje su uglavnom raširene u tropskim područjima, gdje pogađaju više od milijarde ljudi koji pretežno žive u osiromašenim zajednicama. „Zanemarene” su jer gotovo nikako nisu uključene u program za globalno zdravlje. </w:t>
      </w:r>
    </w:p>
  </w:footnote>
  <w:footnote w:id="29">
    <w:p w14:paraId="1FB168E0" w14:textId="3C16FFE4" w:rsidR="009C7120" w:rsidRPr="009822FB" w:rsidRDefault="009C7120">
      <w:pPr>
        <w:pStyle w:val="FootnoteText"/>
      </w:pPr>
      <w:r>
        <w:rPr>
          <w:rStyle w:val="FootnoteReference"/>
        </w:rPr>
        <w:footnoteRef/>
      </w:r>
      <w:r>
        <w:t xml:space="preserve"> Vidjeti 7. projekt u Prilogu 1.</w:t>
      </w:r>
    </w:p>
  </w:footnote>
  <w:footnote w:id="30">
    <w:p w14:paraId="69E6797B" w14:textId="77777777" w:rsidR="009C7120" w:rsidRPr="00EB5564" w:rsidRDefault="009C7120" w:rsidP="00B74C7B">
      <w:pPr>
        <w:pStyle w:val="FootnoteText"/>
      </w:pPr>
      <w:r>
        <w:rPr>
          <w:rStyle w:val="FootnoteReference"/>
        </w:rPr>
        <w:footnoteRef/>
      </w:r>
      <w:r>
        <w:t xml:space="preserve"> </w:t>
      </w:r>
      <w:hyperlink r:id="rId28" w:history="1">
        <w:r>
          <w:rPr>
            <w:rStyle w:val="Hyperlink"/>
          </w:rPr>
          <w:t>https://www.theglobalfund.org/en/</w:t>
        </w:r>
      </w:hyperlink>
      <w:r>
        <w:t xml:space="preserve"> </w:t>
      </w:r>
    </w:p>
  </w:footnote>
  <w:footnote w:id="31">
    <w:p w14:paraId="49CF4A09" w14:textId="77777777" w:rsidR="009C7120" w:rsidRPr="00E530FB" w:rsidRDefault="009C7120" w:rsidP="00B74C7B">
      <w:pPr>
        <w:pStyle w:val="FootnoteText"/>
      </w:pPr>
      <w:r>
        <w:rPr>
          <w:rStyle w:val="FootnoteReference"/>
        </w:rPr>
        <w:footnoteRef/>
      </w:r>
      <w:r>
        <w:t xml:space="preserve"> </w:t>
      </w:r>
      <w:hyperlink r:id="rId29" w:history="1">
        <w:r>
          <w:rPr>
            <w:rStyle w:val="Hyperlink"/>
          </w:rPr>
          <w:t>https://extranet.who.int/uhcpartnership/</w:t>
        </w:r>
      </w:hyperlink>
      <w:r>
        <w:t xml:space="preserve"> </w:t>
      </w:r>
    </w:p>
  </w:footnote>
  <w:footnote w:id="32">
    <w:p w14:paraId="15D5F21C" w14:textId="41B02441" w:rsidR="009C7120" w:rsidRPr="00BE0657" w:rsidRDefault="009C7120">
      <w:pPr>
        <w:pStyle w:val="FootnoteText"/>
      </w:pPr>
      <w:r>
        <w:rPr>
          <w:rStyle w:val="FootnoteReference"/>
        </w:rPr>
        <w:footnoteRef/>
      </w:r>
      <w:r>
        <w:t xml:space="preserve"> Vidjeti 8. projekt u Prilogu 1.</w:t>
      </w:r>
    </w:p>
  </w:footnote>
  <w:footnote w:id="33">
    <w:p w14:paraId="4E329B58" w14:textId="77777777" w:rsidR="009C7120" w:rsidRPr="00315176" w:rsidRDefault="009C7120" w:rsidP="00E71F1D">
      <w:pPr>
        <w:pStyle w:val="FootnoteText"/>
      </w:pPr>
      <w:r>
        <w:rPr>
          <w:rStyle w:val="FootnoteReference"/>
        </w:rPr>
        <w:footnoteRef/>
      </w:r>
      <w:r>
        <w:t xml:space="preserve"> Vidjeti 9. projekt u Prilogu 1.</w:t>
      </w:r>
    </w:p>
  </w:footnote>
  <w:footnote w:id="34">
    <w:p w14:paraId="067E6C71" w14:textId="77777777" w:rsidR="009C7120" w:rsidRPr="00EB5564" w:rsidRDefault="009C7120" w:rsidP="00E71F1D">
      <w:pPr>
        <w:pStyle w:val="FootnoteText"/>
      </w:pPr>
      <w:r>
        <w:rPr>
          <w:rStyle w:val="FootnoteReference"/>
        </w:rPr>
        <w:footnoteRef/>
      </w:r>
      <w:r>
        <w:t xml:space="preserve"> https://www.gavi.org/</w:t>
      </w:r>
    </w:p>
  </w:footnote>
  <w:footnote w:id="35">
    <w:p w14:paraId="22002A57" w14:textId="5B84C418" w:rsidR="009C7120" w:rsidRPr="00970571" w:rsidRDefault="009C7120">
      <w:pPr>
        <w:pStyle w:val="FootnoteText"/>
      </w:pPr>
      <w:r>
        <w:rPr>
          <w:rStyle w:val="FootnoteReference"/>
        </w:rPr>
        <w:footnoteRef/>
      </w:r>
      <w:r>
        <w:t xml:space="preserve"> Vidjeti 18. projekt u Prilogu 1.</w:t>
      </w:r>
    </w:p>
  </w:footnote>
  <w:footnote w:id="36">
    <w:p w14:paraId="3763D2CD" w14:textId="77777777" w:rsidR="009C7120" w:rsidRPr="000617E9" w:rsidRDefault="009C7120" w:rsidP="00FD1CA2">
      <w:pPr>
        <w:pStyle w:val="FootnoteText"/>
      </w:pPr>
      <w:r>
        <w:rPr>
          <w:rStyle w:val="FootnoteReference"/>
        </w:rPr>
        <w:footnoteRef/>
      </w:r>
      <w:r>
        <w:t xml:space="preserve"> S obzirom na Europski konsenzus o razvoju (2017.) </w:t>
      </w:r>
      <w:hyperlink r:id="rId30" w:history="1">
        <w:r>
          <w:rPr>
            <w:rStyle w:val="Hyperlink"/>
          </w:rPr>
          <w:t>https://eur-lex.europa.eu/legal-content/HR/TXT/?uri=celex%3A42017Y0630%2801%29</w:t>
        </w:r>
      </w:hyperlink>
    </w:p>
  </w:footnote>
  <w:footnote w:id="37">
    <w:p w14:paraId="0B9AC982" w14:textId="77777777" w:rsidR="009C7120" w:rsidRPr="00315176" w:rsidRDefault="009C7120" w:rsidP="00FD1CA2">
      <w:pPr>
        <w:pStyle w:val="FootnoteText"/>
      </w:pPr>
      <w:r>
        <w:rPr>
          <w:rStyle w:val="FootnoteReference"/>
        </w:rPr>
        <w:footnoteRef/>
      </w:r>
      <w:r>
        <w:t xml:space="preserve"> Vidjeti 6. projekt u Prilogu 1.</w:t>
      </w:r>
    </w:p>
  </w:footnote>
  <w:footnote w:id="38">
    <w:p w14:paraId="0D0ADC18" w14:textId="77777777" w:rsidR="009C7120" w:rsidRPr="00045BCC" w:rsidRDefault="009C7120" w:rsidP="00E71F1D">
      <w:pPr>
        <w:pStyle w:val="FootnoteText"/>
      </w:pPr>
      <w:r>
        <w:rPr>
          <w:rStyle w:val="FootnoteReference"/>
        </w:rPr>
        <w:footnoteRef/>
      </w:r>
      <w:r>
        <w:t xml:space="preserve"> </w:t>
      </w:r>
      <w:hyperlink r:id="rId31" w:history="1">
        <w:r>
          <w:rPr>
            <w:rStyle w:val="Hyperlink"/>
          </w:rPr>
          <w:t>Glavna uprava za europsku civilnu zaštitu i europske operacije humanitarne pomoći:</w:t>
        </w:r>
      </w:hyperlink>
      <w:hyperlink r:id="rId32" w:history="1">
        <w:r>
          <w:rPr>
            <w:rStyle w:val="Hyperlink"/>
          </w:rPr>
          <w:t>Opće smjernice, 2014.</w:t>
        </w:r>
      </w:hyperlink>
    </w:p>
  </w:footnote>
  <w:footnote w:id="39">
    <w:p w14:paraId="4E894DE5" w14:textId="443B24B0" w:rsidR="009C7120" w:rsidRDefault="009C7120">
      <w:pPr>
        <w:pStyle w:val="FootnoteText"/>
      </w:pPr>
      <w:r>
        <w:rPr>
          <w:rStyle w:val="FootnoteReference"/>
        </w:rPr>
        <w:footnoteRef/>
      </w:r>
      <w:r>
        <w:t xml:space="preserve"> To se odnosi na sposobnost zdravstvenog sustava da se pripremi za nepredviđena povećanja potreba za liječenjem i nosi se s njima (iznenadne eskalacije velikih razmjera).</w:t>
      </w:r>
    </w:p>
  </w:footnote>
  <w:footnote w:id="40">
    <w:p w14:paraId="258F7D8A" w14:textId="070BA968" w:rsidR="009C7120" w:rsidRDefault="009C7120">
      <w:pPr>
        <w:pStyle w:val="FootnoteText"/>
      </w:pPr>
      <w:r>
        <w:rPr>
          <w:rStyle w:val="FootnoteReference"/>
        </w:rPr>
        <w:footnoteRef/>
      </w:r>
      <w:r>
        <w:t xml:space="preserve"> Riječ je o međunarodno prihvaćenim značajkama koje zdravstveni sustavi moraju imati kako bi „spriječili, zaštitili, kontrolirali i pružili javnozdravstveni odgovor na širenje bolesti na međunarodnoj razini”.  Vidjeti </w:t>
      </w:r>
      <w:hyperlink r:id="rId33" w:history="1">
        <w:r>
          <w:rPr>
            <w:rFonts w:asciiTheme="minorHAnsi" w:hAnsiTheme="minorHAnsi"/>
            <w:color w:val="0000FF"/>
            <w:u w:val="single"/>
          </w:rPr>
          <w:t>Međunarodne zdravstvene propise (2005.), treće izdanje (who.int)</w:t>
        </w:r>
      </w:hyperlink>
      <w:r>
        <w:t>.</w:t>
      </w:r>
    </w:p>
  </w:footnote>
  <w:footnote w:id="41">
    <w:p w14:paraId="2C575A46" w14:textId="6EF31011" w:rsidR="009C7120" w:rsidRPr="00FB58EE" w:rsidRDefault="009C7120">
      <w:pPr>
        <w:pStyle w:val="FootnoteText"/>
      </w:pPr>
      <w:r>
        <w:rPr>
          <w:rStyle w:val="FootnoteReference"/>
        </w:rPr>
        <w:footnoteRef/>
      </w:r>
      <w:r>
        <w:t xml:space="preserve"> Vidjeti 20. projekt u Prilogu 1.</w:t>
      </w:r>
    </w:p>
  </w:footnote>
  <w:footnote w:id="42">
    <w:p w14:paraId="45D64381" w14:textId="2AE1201C" w:rsidR="009C7120" w:rsidRPr="003C7608" w:rsidRDefault="009C7120" w:rsidP="00D844B2">
      <w:pPr>
        <w:pStyle w:val="FootnoteText"/>
      </w:pPr>
      <w:r>
        <w:rPr>
          <w:rStyle w:val="FootnoteReference"/>
        </w:rPr>
        <w:footnoteRef/>
      </w:r>
      <w:r>
        <w:t xml:space="preserve"> Vidjeti Kickbusch, Ilona, </w:t>
      </w:r>
      <w:r>
        <w:rPr>
          <w:i/>
          <w:iCs/>
        </w:rPr>
        <w:t>et al.</w:t>
      </w:r>
      <w:r>
        <w:t xml:space="preserve">, </w:t>
      </w:r>
      <w:hyperlink r:id="rId34" w:history="1">
        <w:r>
          <w:rPr>
            <w:rStyle w:val="Hyperlink"/>
          </w:rPr>
          <w:t>https://urldefense.com/v3/__https://globalchallenges.org/wp-content/uploads/2021/12/A-new-understanding-of-global-heath-security-UPDATED.pdf__;!!DOxrgLBm!FfwKtCBNDEEFdv0Lhhm84mxHTFJ8hsQ0BQMCPJAfrez0deRI_jLni1swaTgq5XZ7EBHjoJF3f4CdHtU7soD0FII0igpx4g7IYurdHQ$</w:t>
        </w:r>
      </w:hyperlink>
      <w:r>
        <w:rPr>
          <w:rStyle w:val="Hyperlink"/>
        </w:rPr>
        <w:t>.</w:t>
      </w:r>
      <w:r>
        <w:rPr>
          <w:rStyle w:val="Hyperlink"/>
          <w:u w:val="none"/>
        </w:rPr>
        <w:t xml:space="preserve"> </w:t>
      </w:r>
      <w:r>
        <w:rPr>
          <w:rStyle w:val="Hyperlink"/>
          <w:color w:val="auto"/>
          <w:u w:val="none"/>
        </w:rPr>
        <w:t>Donatorska sredstva i tehnička pomoć uvijek će biti važni, ali strukture (potpora – financijska, politička i geopolitička) moraju poticati jasno poimanje nacionalne odgovornosti.</w:t>
      </w:r>
    </w:p>
  </w:footnote>
  <w:footnote w:id="43">
    <w:p w14:paraId="17441588" w14:textId="2592D1DF" w:rsidR="009C7120" w:rsidRPr="003C7608" w:rsidRDefault="009C7120">
      <w:pPr>
        <w:pStyle w:val="FootnoteText"/>
      </w:pPr>
      <w:r>
        <w:rPr>
          <w:rStyle w:val="FootnoteReference"/>
        </w:rPr>
        <w:footnoteRef/>
      </w:r>
      <w:r>
        <w:t xml:space="preserve"> Vidjeti 3. projekt u Prilogu 1.</w:t>
      </w:r>
    </w:p>
  </w:footnote>
  <w:footnote w:id="44">
    <w:p w14:paraId="6D2288BC" w14:textId="3F579CE6" w:rsidR="009C7120" w:rsidRPr="002C5B2A" w:rsidRDefault="009C7120">
      <w:pPr>
        <w:pStyle w:val="FootnoteText"/>
      </w:pPr>
      <w:r>
        <w:rPr>
          <w:rStyle w:val="FootnoteReference"/>
        </w:rPr>
        <w:footnoteRef/>
      </w:r>
      <w:r>
        <w:t xml:space="preserve"> Vidjeti 12. i 19. projekt u Prilogu 1.</w:t>
      </w:r>
    </w:p>
  </w:footnote>
  <w:footnote w:id="45">
    <w:p w14:paraId="3723CCEB" w14:textId="259A8071" w:rsidR="009C7120" w:rsidRPr="009B7258" w:rsidRDefault="009C7120" w:rsidP="006E752B">
      <w:pPr>
        <w:pStyle w:val="FootnoteText"/>
      </w:pPr>
      <w:r>
        <w:rPr>
          <w:rStyle w:val="FootnoteReference"/>
        </w:rPr>
        <w:footnoteRef/>
      </w:r>
      <w:r>
        <w:t xml:space="preserve"> Uz potporu u okviru 4. projekta u Prilogu 1.</w:t>
      </w:r>
    </w:p>
  </w:footnote>
  <w:footnote w:id="46">
    <w:p w14:paraId="73791B86" w14:textId="77777777" w:rsidR="009C7120" w:rsidRPr="00027077" w:rsidRDefault="009C7120" w:rsidP="006E752B">
      <w:pPr>
        <w:pStyle w:val="FootnoteText"/>
      </w:pPr>
      <w:r>
        <w:rPr>
          <w:rStyle w:val="FootnoteReference"/>
        </w:rPr>
        <w:footnoteRef/>
      </w:r>
      <w:r>
        <w:t xml:space="preserve"> Vidjeti </w:t>
      </w:r>
      <w:hyperlink r:id="rId35" w:history="1">
        <w:r>
          <w:rPr>
            <w:rStyle w:val="Hyperlink"/>
          </w:rPr>
          <w:t>https://europa.eu/capacity4dev/tei-jp-tracker/</w:t>
        </w:r>
      </w:hyperlink>
      <w:r>
        <w:t>.</w:t>
      </w:r>
    </w:p>
  </w:footnote>
  <w:footnote w:id="47">
    <w:p w14:paraId="77B6A0A1" w14:textId="0E41857D" w:rsidR="009C7120" w:rsidRPr="00267D9A" w:rsidRDefault="009C7120">
      <w:pPr>
        <w:pStyle w:val="FootnoteText"/>
      </w:pPr>
      <w:r>
        <w:rPr>
          <w:rStyle w:val="FootnoteReference"/>
        </w:rPr>
        <w:footnoteRef/>
      </w:r>
      <w:r>
        <w:t xml:space="preserve"> Profesor Peter Piot, citat na </w:t>
      </w:r>
      <w:hyperlink r:id="rId36" w:history="1">
        <w:r>
          <w:rPr>
            <w:rStyle w:val="Hyperlink"/>
          </w:rPr>
          <w:t>https://ec.europa.eu/research-and-innovation/en/horizon-magazine/how-we-prepare-age-pandemics</w:t>
        </w:r>
      </w:hyperlink>
      <w:r>
        <w:t>.</w:t>
      </w:r>
    </w:p>
  </w:footnote>
  <w:footnote w:id="48">
    <w:p w14:paraId="73BC6AAB" w14:textId="77777777" w:rsidR="009C7120" w:rsidRDefault="009C7120" w:rsidP="001345FE">
      <w:pPr>
        <w:pStyle w:val="FootnoteText"/>
      </w:pPr>
      <w:r>
        <w:rPr>
          <w:rStyle w:val="FootnoteReference"/>
        </w:rPr>
        <w:footnoteRef/>
      </w:r>
      <w:r>
        <w:t xml:space="preserve"> https://ec.europa.eu/commission/presscorner/detail/hr/IP_22_4474</w:t>
      </w:r>
    </w:p>
  </w:footnote>
  <w:footnote w:id="49">
    <w:p w14:paraId="35B13CE4" w14:textId="538BFB5F" w:rsidR="009C7120" w:rsidRDefault="009C7120">
      <w:pPr>
        <w:pStyle w:val="FootnoteText"/>
      </w:pPr>
      <w:r>
        <w:rPr>
          <w:rStyle w:val="FootnoteReference"/>
        </w:rPr>
        <w:footnoteRef/>
      </w:r>
      <w:r>
        <w:t xml:space="preserve"> Neovisni odbor za pripravnost i odgovor na pandemije osnovao je glavni direktor SZO-a kao odgovor na rezoluciju Svjetske zdravstvene skupštine WHA73.1: </w:t>
      </w:r>
      <w:hyperlink r:id="rId37" w:history="1">
        <w:r>
          <w:rPr>
            <w:rStyle w:val="Hyperlink"/>
          </w:rPr>
          <w:t>https://theindependentpanel.org/</w:t>
        </w:r>
      </w:hyperlink>
    </w:p>
  </w:footnote>
  <w:footnote w:id="50">
    <w:p w14:paraId="0D258C2B" w14:textId="3C408186" w:rsidR="009C7120" w:rsidRPr="00DB4E94" w:rsidRDefault="009C7120" w:rsidP="00156321">
      <w:pPr>
        <w:pStyle w:val="FootnoteText"/>
      </w:pPr>
      <w:r>
        <w:rPr>
          <w:rStyle w:val="FootnoteReference"/>
        </w:rPr>
        <w:footnoteRef/>
      </w:r>
      <w:hyperlink r:id="rId38" w:history="1">
        <w:r>
          <w:rPr>
            <w:rStyle w:val="Hyperlink"/>
          </w:rPr>
          <w:t>https://www.worldbank.org/en/programs/financial-intermediary-fund-for-pandemic-prevention-preparedness-and-response-ppr-fif</w:t>
        </w:r>
      </w:hyperlink>
    </w:p>
  </w:footnote>
  <w:footnote w:id="51">
    <w:p w14:paraId="486B0178" w14:textId="34056ACC" w:rsidR="009C7120" w:rsidRDefault="009C7120" w:rsidP="00156321">
      <w:pPr>
        <w:pStyle w:val="FootnoteText"/>
      </w:pPr>
      <w:r>
        <w:rPr>
          <w:rStyle w:val="FootnoteReference"/>
        </w:rPr>
        <w:footnoteRef/>
      </w:r>
      <w:r>
        <w:t xml:space="preserve"> Vidjeti 15. projekt u Prilogu 1.</w:t>
      </w:r>
    </w:p>
  </w:footnote>
  <w:footnote w:id="52">
    <w:p w14:paraId="4C242A31" w14:textId="77777777" w:rsidR="009C7120" w:rsidRPr="00A77A27" w:rsidRDefault="009C7120" w:rsidP="00156321">
      <w:pPr>
        <w:pStyle w:val="FootnoteText"/>
        <w:jc w:val="left"/>
      </w:pPr>
      <w:r>
        <w:rPr>
          <w:rStyle w:val="FootnoteReference"/>
        </w:rPr>
        <w:footnoteRef/>
      </w:r>
      <w:r>
        <w:t xml:space="preserve"> </w:t>
      </w:r>
      <w:hyperlink r:id="rId39" w:history="1">
        <w:r>
          <w:rPr>
            <w:rStyle w:val="Hyperlink"/>
          </w:rPr>
          <w:t>https://europa.eu/capacity4dev/tei-jp-tracker/tei/manufacturing-and-access-vaccines-medicines-and-health-technology-products-africa</w:t>
        </w:r>
      </w:hyperlink>
      <w:r>
        <w:t xml:space="preserve"> </w:t>
      </w:r>
    </w:p>
  </w:footnote>
  <w:footnote w:id="53">
    <w:p w14:paraId="22736C39" w14:textId="77777777" w:rsidR="009C7120" w:rsidRPr="00A77A27" w:rsidRDefault="009C7120" w:rsidP="00156321">
      <w:pPr>
        <w:pStyle w:val="FootnoteText"/>
      </w:pPr>
      <w:r>
        <w:rPr>
          <w:rStyle w:val="FootnoteReference"/>
        </w:rPr>
        <w:footnoteRef/>
      </w:r>
      <w:r>
        <w:t xml:space="preserve"> </w:t>
      </w:r>
      <w:hyperlink r:id="rId40" w:history="1">
        <w:r>
          <w:rPr>
            <w:rStyle w:val="Hyperlink"/>
          </w:rPr>
          <w:t>https://ec.europa.eu/commission/presscorner/detail/hr/ip_22_3890</w:t>
        </w:r>
      </w:hyperlink>
      <w:r>
        <w:t xml:space="preserve"> </w:t>
      </w:r>
    </w:p>
  </w:footnote>
  <w:footnote w:id="54">
    <w:p w14:paraId="410B990E" w14:textId="77777777" w:rsidR="009C7120" w:rsidRPr="00874590" w:rsidRDefault="009C7120" w:rsidP="00156321">
      <w:pPr>
        <w:pStyle w:val="FootnoteText"/>
      </w:pPr>
      <w:r>
        <w:rPr>
          <w:rStyle w:val="FootnoteReference"/>
        </w:rPr>
        <w:footnoteRef/>
      </w:r>
      <w:r>
        <w:t xml:space="preserve"> Uključujući one u </w:t>
      </w:r>
      <w:hyperlink r:id="rId41" w:anchor=":~:text=Under%20EU%20waste%20shipment%20law%2C%20shipments%20of%20hazardous,are%20prohibited%20to%20non-OECD%20countries%20outside%20the%20EU." w:history="1">
        <w:r>
          <w:rPr>
            <w:rFonts w:asciiTheme="minorHAnsi" w:hAnsiTheme="minorHAnsi"/>
            <w:color w:val="0000FF"/>
            <w:u w:val="single"/>
          </w:rPr>
          <w:t>pošiljkama otpada (europa.eu)</w:t>
        </w:r>
      </w:hyperlink>
      <w:r>
        <w:t>.</w:t>
      </w:r>
    </w:p>
  </w:footnote>
  <w:footnote w:id="55">
    <w:p w14:paraId="4DD90FF5" w14:textId="77777777" w:rsidR="009C7120" w:rsidRPr="00315176" w:rsidRDefault="009C7120" w:rsidP="009F0F6B">
      <w:pPr>
        <w:pStyle w:val="FootnoteText"/>
        <w:jc w:val="left"/>
      </w:pPr>
      <w:r>
        <w:rPr>
          <w:rStyle w:val="FootnoteReference"/>
        </w:rPr>
        <w:footnoteRef/>
      </w:r>
      <w:r>
        <w:t xml:space="preserve"> </w:t>
      </w:r>
      <w:hyperlink r:id="rId42" w:history="1">
        <w:r>
          <w:rPr>
            <w:rStyle w:val="Hyperlink"/>
          </w:rPr>
          <w:t>https://cbrn-risk-mitigation.network.europa.eu/index_en</w:t>
        </w:r>
      </w:hyperlink>
      <w:r>
        <w:t xml:space="preserve"> </w:t>
      </w:r>
    </w:p>
  </w:footnote>
  <w:footnote w:id="56">
    <w:p w14:paraId="74FB7976" w14:textId="77777777" w:rsidR="009C7120" w:rsidRPr="00874590" w:rsidRDefault="009C7120" w:rsidP="00156321">
      <w:pPr>
        <w:pStyle w:val="FootnoteText"/>
      </w:pPr>
      <w:r>
        <w:rPr>
          <w:rStyle w:val="FootnoteReference"/>
        </w:rPr>
        <w:footnoteRef/>
      </w:r>
      <w:r>
        <w:t xml:space="preserve"> http://unscr.com/en/resolutions/2286</w:t>
      </w:r>
    </w:p>
  </w:footnote>
  <w:footnote w:id="57">
    <w:p w14:paraId="10156FBF" w14:textId="133074E7" w:rsidR="009C7120" w:rsidRPr="00027077" w:rsidRDefault="009C7120">
      <w:pPr>
        <w:pStyle w:val="FootnoteText"/>
      </w:pPr>
      <w:r>
        <w:rPr>
          <w:rStyle w:val="FootnoteReference"/>
        </w:rPr>
        <w:footnoteRef/>
      </w:r>
      <w:r>
        <w:t xml:space="preserve"> https://www.who.int/initiatives/pandemic-influenza-preparedness-framework</w:t>
      </w:r>
    </w:p>
  </w:footnote>
  <w:footnote w:id="58">
    <w:p w14:paraId="327991AF" w14:textId="62ECD725" w:rsidR="009C7120" w:rsidRPr="00267D9A" w:rsidRDefault="009C7120">
      <w:pPr>
        <w:pStyle w:val="FootnoteText"/>
      </w:pPr>
      <w:r>
        <w:rPr>
          <w:rStyle w:val="FootnoteReference"/>
        </w:rPr>
        <w:footnoteRef/>
      </w:r>
      <w:r>
        <w:t xml:space="preserve"> </w:t>
      </w:r>
      <w:hyperlink r:id="rId43" w:history="1">
        <w:r>
          <w:rPr>
            <w:rStyle w:val="Hyperlink"/>
          </w:rPr>
          <w:t>https://www.consilium.europa.eu/hr/press/press-releases/2022/03/03/council-gives-green-light-to-start-negotiations-on-international-pandemic-treaty/</w:t>
        </w:r>
      </w:hyperlink>
    </w:p>
  </w:footnote>
  <w:footnote w:id="59">
    <w:p w14:paraId="02A9110C" w14:textId="28753215" w:rsidR="009C7120" w:rsidRPr="00443873" w:rsidRDefault="009C7120">
      <w:pPr>
        <w:pStyle w:val="FootnoteText"/>
      </w:pPr>
      <w:r>
        <w:rPr>
          <w:rStyle w:val="FootnoteReference"/>
        </w:rPr>
        <w:footnoteRef/>
      </w:r>
      <w:r>
        <w:t xml:space="preserve"> Vidjeti i 11. načelo u nastavku.</w:t>
      </w:r>
    </w:p>
  </w:footnote>
  <w:footnote w:id="60">
    <w:p w14:paraId="34B8199E" w14:textId="02C5F564" w:rsidR="009C7120" w:rsidRPr="00756F36" w:rsidRDefault="009C7120" w:rsidP="00B07CAA">
      <w:pPr>
        <w:pStyle w:val="FootnoteText"/>
        <w:jc w:val="left"/>
      </w:pPr>
      <w:r>
        <w:rPr>
          <w:rStyle w:val="FootnoteReference"/>
        </w:rPr>
        <w:footnoteRef/>
      </w:r>
      <w:r>
        <w:t xml:space="preserve"> Pakt skupine G-7 za pripravnost na pandemije: </w:t>
      </w:r>
      <w:hyperlink r:id="rId44" w:history="1">
        <w:r>
          <w:rPr>
            <w:rStyle w:val="Hyperlink"/>
          </w:rPr>
          <w:t>https://www.g7germany.de/resource/blob/974430/2042052/2d5b55bcdfc0f1aa46b979566288e9a5/2022-05-20-pact-for-pandemic-readniness-data.pdf?download=1</w:t>
        </w:r>
      </w:hyperlink>
      <w:r>
        <w:t xml:space="preserve"> </w:t>
      </w:r>
    </w:p>
  </w:footnote>
  <w:footnote w:id="61">
    <w:p w14:paraId="25AB9084" w14:textId="77777777" w:rsidR="009C7120" w:rsidRPr="004E53AF" w:rsidRDefault="009C7120" w:rsidP="00F84419">
      <w:pPr>
        <w:pStyle w:val="FootnoteText"/>
      </w:pPr>
      <w:r>
        <w:rPr>
          <w:rStyle w:val="FootnoteReference"/>
        </w:rPr>
        <w:footnoteRef/>
      </w:r>
      <w:r>
        <w:t xml:space="preserve"> </w:t>
      </w:r>
      <w:hyperlink r:id="rId45" w:history="1">
        <w:r>
          <w:rPr>
            <w:rStyle w:val="Hyperlink"/>
          </w:rPr>
          <w:t>https://www.who.int/news-room/fact-sheets/detail/antimicrobial-resistance</w:t>
        </w:r>
      </w:hyperlink>
      <w:r>
        <w:t xml:space="preserve"> </w:t>
      </w:r>
    </w:p>
  </w:footnote>
  <w:footnote w:id="62">
    <w:p w14:paraId="41D3D326" w14:textId="2404EE25" w:rsidR="009C7120" w:rsidRPr="003206D6" w:rsidRDefault="009C7120" w:rsidP="00F84419">
      <w:pPr>
        <w:pStyle w:val="FootnoteText"/>
      </w:pPr>
      <w:r>
        <w:rPr>
          <w:rStyle w:val="FootnoteReference"/>
        </w:rPr>
        <w:footnoteRef/>
      </w:r>
      <w:r>
        <w:t xml:space="preserve"> Vidjeti Strategiju za bioraznolikost (COM(2020) 380), Strategiju „od polja do stola” (COM(2020) 381) i Akcijski plan za postizanje nulte stope onečišćenja (COM(2021) 400).</w:t>
      </w:r>
    </w:p>
  </w:footnote>
  <w:footnote w:id="63">
    <w:p w14:paraId="34355BBD" w14:textId="2FB85A94" w:rsidR="009C7120" w:rsidRPr="004E53AF" w:rsidRDefault="009C7120">
      <w:pPr>
        <w:pStyle w:val="FootnoteText"/>
      </w:pPr>
      <w:r>
        <w:rPr>
          <w:rStyle w:val="FootnoteReference"/>
        </w:rPr>
        <w:footnoteRef/>
      </w:r>
      <w:r>
        <w:t xml:space="preserve"> </w:t>
      </w:r>
      <w:hyperlink r:id="rId46" w:history="1">
        <w:r>
          <w:rPr>
            <w:rStyle w:val="Hyperlink"/>
          </w:rPr>
          <w:t>https://www.thelancet.com/journals/lancet/article/PIIS0140-6736(21)00948-X/fulltext</w:t>
        </w:r>
      </w:hyperlink>
      <w:r>
        <w:t xml:space="preserve"> </w:t>
      </w:r>
    </w:p>
  </w:footnote>
  <w:footnote w:id="64">
    <w:p w14:paraId="79442C98" w14:textId="3805FEAD" w:rsidR="009C7120" w:rsidRPr="004E53AF" w:rsidRDefault="009C7120" w:rsidP="00A109E1">
      <w:pPr>
        <w:pStyle w:val="FootnoteText"/>
      </w:pPr>
      <w:r>
        <w:rPr>
          <w:rStyle w:val="FootnoteReference"/>
        </w:rPr>
        <w:footnoteRef/>
      </w:r>
      <w:r>
        <w:t xml:space="preserve"> Uključujući Okvirnu konvenciju Ujedinjenih naroda o promjeni klime, Konvenciju o biološkoj raznolikosti i njezin Protokol iz Nagoye o pristupu genetskim resursima te poštenoj i pravičnoj podjeli dobiti koja proizlazi iz njihova korištenja, Konvenciju Ujedinjenih naroda o suzbijanju dezertifikacije u zemljama pogođenima jakim sušama i/ili dezertifikacijom, posebno u Africi, Protokol o vodi i zdravlju uz Konvenciju o zaštiti i uporabi prekograničnih vodotoka i međunarodnih jezera te Konvenciju o međunarodnoj trgovini ugroženim vrstama divljih životinja i biljaka. </w:t>
      </w:r>
    </w:p>
  </w:footnote>
  <w:footnote w:id="65">
    <w:p w14:paraId="034E80E3" w14:textId="425874EA" w:rsidR="009C7120" w:rsidRPr="003C7608" w:rsidRDefault="009C7120">
      <w:pPr>
        <w:pStyle w:val="FootnoteText"/>
      </w:pPr>
      <w:r>
        <w:rPr>
          <w:rStyle w:val="FootnoteReference"/>
        </w:rPr>
        <w:footnoteRef/>
      </w:r>
      <w:r>
        <w:t xml:space="preserve"> </w:t>
      </w:r>
      <w:r>
        <w:rPr>
          <w:rStyle w:val="eop"/>
        </w:rPr>
        <w:t xml:space="preserve">Vidjeti i 7. i 9. načelo. </w:t>
      </w:r>
    </w:p>
  </w:footnote>
  <w:footnote w:id="66">
    <w:p w14:paraId="04573E54" w14:textId="77777777" w:rsidR="009C7120" w:rsidRPr="00267D9A" w:rsidRDefault="009C7120" w:rsidP="003C31B3">
      <w:pPr>
        <w:pStyle w:val="FootnoteText"/>
      </w:pPr>
      <w:r>
        <w:rPr>
          <w:rStyle w:val="FootnoteReference"/>
        </w:rPr>
        <w:footnoteRef/>
      </w:r>
      <w:hyperlink r:id="rId47" w:history="1">
        <w:r>
          <w:rPr>
            <w:rStyle w:val="Hyperlink"/>
          </w:rPr>
          <w:t>https://eur-lex.europa.eu/resource.html?uri=cellar:5391557a-aaa2-11ec-83e1-01aa75ed71a1.0018.02/DOC_1&amp;format=PDF</w:t>
        </w:r>
      </w:hyperlink>
    </w:p>
  </w:footnote>
  <w:footnote w:id="67">
    <w:p w14:paraId="5739856F" w14:textId="77777777" w:rsidR="009C7120" w:rsidRPr="00267D9A" w:rsidRDefault="009C7120" w:rsidP="003C31B3">
      <w:pPr>
        <w:pStyle w:val="FootnoteText"/>
      </w:pPr>
      <w:r>
        <w:rPr>
          <w:rStyle w:val="FootnoteReference"/>
        </w:rPr>
        <w:footnoteRef/>
      </w:r>
      <w:r>
        <w:t xml:space="preserve"> Direktiva 2014/95/EU Europskog parlamenta i Vijeća od 22. listopada 2014. o izmjeni Direktive 2013/34/EU u pogledu objavljivanja nefinancijskih informacija i informacija o raznolikosti određenih velikih poduzeća i grupa (</w:t>
      </w:r>
      <w:hyperlink r:id="rId48" w:history="1">
        <w:r>
          <w:rPr>
            <w:rStyle w:val="Hyperlink"/>
          </w:rPr>
          <w:t>https://eur-lex.europa.eu/legal-content/HR/TXT/PDF/?uri=CELEX:32014L0095&amp;from=HR</w:t>
        </w:r>
      </w:hyperlink>
      <w:r>
        <w:t>).</w:t>
      </w:r>
    </w:p>
  </w:footnote>
  <w:footnote w:id="68">
    <w:p w14:paraId="54C0DB19" w14:textId="77777777" w:rsidR="009C7120" w:rsidRPr="00E9467E" w:rsidRDefault="009C7120" w:rsidP="003C31B3">
      <w:pPr>
        <w:pStyle w:val="FootnoteText"/>
      </w:pPr>
      <w:r>
        <w:rPr>
          <w:rStyle w:val="FootnoteReference"/>
        </w:rPr>
        <w:footnoteRef/>
      </w:r>
      <w:r>
        <w:t xml:space="preserve"> </w:t>
      </w:r>
      <w:hyperlink r:id="rId49" w:anchor="rezultati" w:history="1">
        <w:r>
          <w:rPr>
            <w:rFonts w:asciiTheme="minorHAnsi" w:hAnsiTheme="minorHAnsi"/>
            <w:color w:val="0000FF"/>
            <w:u w:val="single"/>
          </w:rPr>
          <w:t>WTO |</w:t>
        </w:r>
      </w:hyperlink>
      <w:hyperlink r:id="rId50" w:anchor="rezultati" w:history="1">
        <w:r>
          <w:rPr>
            <w:rFonts w:asciiTheme="minorHAnsi" w:hAnsiTheme="minorHAnsi"/>
            <w:color w:val="0000FF"/>
            <w:u w:val="single"/>
          </w:rPr>
          <w:t xml:space="preserve"> Ministarske konferencije – Dvanaesta ministarska konferencija WTO-a – Ženeva, Švicarska</w:t>
        </w:r>
      </w:hyperlink>
    </w:p>
  </w:footnote>
  <w:footnote w:id="69">
    <w:p w14:paraId="05A23DE1" w14:textId="77777777" w:rsidR="009C7120" w:rsidRPr="002B50FE" w:rsidRDefault="009C7120" w:rsidP="003C31B3">
      <w:pPr>
        <w:pStyle w:val="FootnoteText"/>
      </w:pPr>
      <w:r>
        <w:rPr>
          <w:rStyle w:val="FootnoteReference"/>
        </w:rPr>
        <w:footnoteRef/>
      </w:r>
      <w:r>
        <w:t xml:space="preserve"> </w:t>
      </w:r>
      <w:hyperlink r:id="rId51" w:history="1">
        <w:r>
          <w:rPr>
            <w:rStyle w:val="Hyperlink"/>
          </w:rPr>
          <w:t>https://www.wto.org/english/tratop_e/trips_e/trips_e.htm</w:t>
        </w:r>
      </w:hyperlink>
      <w:r>
        <w:t xml:space="preserve"> </w:t>
      </w:r>
    </w:p>
  </w:footnote>
  <w:footnote w:id="70">
    <w:p w14:paraId="237F9A41" w14:textId="27F6740A" w:rsidR="009C7120" w:rsidRPr="009125DB" w:rsidRDefault="009C7120">
      <w:pPr>
        <w:pStyle w:val="FootnoteText"/>
      </w:pPr>
      <w:r>
        <w:rPr>
          <w:rStyle w:val="FootnoteReference"/>
        </w:rPr>
        <w:footnoteRef/>
      </w:r>
      <w:r>
        <w:t xml:space="preserve"> Uz potporu iz 1. projekta u okviru programa „EU za zdravlje” iz Priloga 1.</w:t>
      </w:r>
    </w:p>
  </w:footnote>
  <w:footnote w:id="71">
    <w:p w14:paraId="029675CD" w14:textId="77777777" w:rsidR="009C7120" w:rsidRPr="0092427C" w:rsidRDefault="009C7120" w:rsidP="00CE030E">
      <w:pPr>
        <w:pStyle w:val="FootnoteText"/>
      </w:pPr>
      <w:r>
        <w:rPr>
          <w:rStyle w:val="FootnoteReference"/>
        </w:rPr>
        <w:footnoteRef/>
      </w:r>
      <w:r>
        <w:t xml:space="preserve"> WHA75(8): </w:t>
      </w:r>
      <w:hyperlink r:id="rId52" w:history="1">
        <w:r>
          <w:rPr>
            <w:rStyle w:val="Hyperlink"/>
          </w:rPr>
          <w:t>https://apps.who.int/gb/ebwha/pdf_files/WHA75/A75(8)-en.pdf</w:t>
        </w:r>
      </w:hyperlink>
      <w:r>
        <w:t xml:space="preserve"> </w:t>
      </w:r>
    </w:p>
  </w:footnote>
  <w:footnote w:id="72">
    <w:p w14:paraId="753A380A" w14:textId="346F99C0" w:rsidR="009C7120" w:rsidRPr="0092427C" w:rsidRDefault="009C7120">
      <w:pPr>
        <w:pStyle w:val="FootnoteText"/>
      </w:pPr>
      <w:r>
        <w:rPr>
          <w:rStyle w:val="FootnoteReference"/>
        </w:rPr>
        <w:footnoteRef/>
      </w:r>
      <w:r>
        <w:t xml:space="preserve"> Izvor:  </w:t>
      </w:r>
      <w:hyperlink r:id="rId53" w:history="1">
        <w:r>
          <w:rPr>
            <w:rFonts w:asciiTheme="minorHAnsi" w:hAnsiTheme="minorHAnsi"/>
            <w:color w:val="0000FF"/>
            <w:u w:val="single"/>
          </w:rPr>
          <w:t>WHO |</w:t>
        </w:r>
      </w:hyperlink>
      <w:hyperlink r:id="rId54" w:history="1">
        <w:r>
          <w:rPr>
            <w:rFonts w:asciiTheme="minorHAnsi" w:hAnsiTheme="minorHAnsi"/>
            <w:color w:val="0000FF"/>
            <w:u w:val="single"/>
          </w:rPr>
          <w:t xml:space="preserve"> Programme Budget Web Portal</w:t>
        </w:r>
      </w:hyperlink>
      <w:r>
        <w:rPr>
          <w:rFonts w:asciiTheme="minorHAnsi" w:hAnsiTheme="minorHAnsi"/>
        </w:rPr>
        <w:t xml:space="preserve">. Pregledano 3. studenoga 2022. </w:t>
      </w:r>
    </w:p>
  </w:footnote>
  <w:footnote w:id="73">
    <w:p w14:paraId="1514CC2E" w14:textId="13867056" w:rsidR="009C7120" w:rsidRPr="0092427C" w:rsidRDefault="009C7120">
      <w:pPr>
        <w:pStyle w:val="FootnoteText"/>
      </w:pPr>
      <w:r>
        <w:rPr>
          <w:rStyle w:val="FootnoteReference"/>
        </w:rPr>
        <w:footnoteRef/>
      </w:r>
      <w:hyperlink r:id="rId55" w:history="1">
        <w:r>
          <w:rPr>
            <w:rStyle w:val="Hyperlink"/>
          </w:rPr>
          <w:t>https://www.g7germany.de/resource/blob/974430/2042058/5651daa321517b089cdccfaffd1e37a1/2022-05-20-g7-health-ministers-communique-data.pdf</w:t>
        </w:r>
      </w:hyperlink>
    </w:p>
  </w:footnote>
  <w:footnote w:id="74">
    <w:p w14:paraId="5CD57786" w14:textId="5FF21EC1" w:rsidR="009C7120" w:rsidRPr="00315176" w:rsidRDefault="009C7120">
      <w:pPr>
        <w:pStyle w:val="FootnoteText"/>
      </w:pPr>
      <w:r>
        <w:rPr>
          <w:rStyle w:val="FootnoteReference"/>
        </w:rPr>
        <w:footnoteRef/>
      </w:r>
      <w:r>
        <w:t xml:space="preserve"> Vidjeti 10. projekt u Prilogu 1.</w:t>
      </w:r>
    </w:p>
  </w:footnote>
  <w:footnote w:id="75">
    <w:p w14:paraId="28282C3B" w14:textId="77777777" w:rsidR="009C7120" w:rsidRPr="00AB1347" w:rsidRDefault="009C7120" w:rsidP="00295136">
      <w:pPr>
        <w:pStyle w:val="FootnoteText"/>
      </w:pPr>
      <w:r>
        <w:rPr>
          <w:rStyle w:val="FootnoteReference"/>
        </w:rPr>
        <w:footnoteRef/>
      </w:r>
      <w:r>
        <w:t xml:space="preserve"> Kako je predložila Komisija Lancet, vidjeti </w:t>
      </w:r>
      <w:hyperlink r:id="rId56" w:history="1">
        <w:r>
          <w:rPr>
            <w:rStyle w:val="Hyperlink"/>
          </w:rPr>
          <w:t>https://www.thelancet.com/journals/lancet/article/PIIS0140-6736(22)01585-9/fulltext</w:t>
        </w:r>
      </w:hyperlink>
      <w:r>
        <w:t>.</w:t>
      </w:r>
    </w:p>
  </w:footnote>
  <w:footnote w:id="76">
    <w:p w14:paraId="522B9B74" w14:textId="15B0B093" w:rsidR="009C7120" w:rsidRPr="009125DB" w:rsidRDefault="009C7120">
      <w:pPr>
        <w:pStyle w:val="FootnoteText"/>
      </w:pPr>
      <w:r>
        <w:rPr>
          <w:rStyle w:val="FootnoteReference"/>
        </w:rPr>
        <w:footnoteRef/>
      </w:r>
      <w:r>
        <w:t xml:space="preserve"> Za tri područja financiranja: proizvodi za kontrolu bolesti, pripravnost i odgovor na pandemije te jačanje primarnih zdravstvenih sustava u gospodarstvima s niskim i srednjim dohotkom.</w:t>
      </w:r>
    </w:p>
  </w:footnote>
  <w:footnote w:id="77">
    <w:p w14:paraId="61C96462" w14:textId="43709B9F" w:rsidR="009C7120" w:rsidRDefault="009C7120">
      <w:pPr>
        <w:pStyle w:val="FootnoteText"/>
      </w:pPr>
      <w:r>
        <w:rPr>
          <w:rStyle w:val="FootnoteReference"/>
        </w:rPr>
        <w:footnoteRef/>
      </w:r>
      <w:r>
        <w:t xml:space="preserve"> </w:t>
      </w:r>
      <w:hyperlink r:id="rId57" w:history="1">
        <w:r>
          <w:rPr>
            <w:rStyle w:val="Hyperlink"/>
          </w:rPr>
          <w:t>https://au.int/sites/default/files/pages/32894-file-2001-abuja-declaration.pdf</w:t>
        </w:r>
      </w:hyperlink>
    </w:p>
  </w:footnote>
  <w:footnote w:id="78">
    <w:p w14:paraId="619B35B6" w14:textId="0E10786C" w:rsidR="009C7120" w:rsidRPr="00D041FC" w:rsidRDefault="009C7120">
      <w:pPr>
        <w:pStyle w:val="FootnoteText"/>
      </w:pPr>
      <w:r>
        <w:rPr>
          <w:rStyle w:val="FootnoteReference"/>
        </w:rPr>
        <w:footnoteRef/>
      </w:r>
      <w:r>
        <w:t xml:space="preserve"> Vidjeti 13., 14., 15., 16. i 17. projekt u Prilogu 1.</w:t>
      </w:r>
    </w:p>
  </w:footnote>
  <w:footnote w:id="79">
    <w:p w14:paraId="008C439A" w14:textId="04218B77" w:rsidR="009C7120" w:rsidRPr="005039AF" w:rsidRDefault="009C7120">
      <w:pPr>
        <w:pStyle w:val="FootnoteText"/>
      </w:pPr>
      <w:r>
        <w:rPr>
          <w:rStyle w:val="FootnoteReference"/>
        </w:rPr>
        <w:footnoteRef/>
      </w:r>
      <w:r>
        <w:t xml:space="preserve"> Vidjeti 19. projekt u Prilogu 1., </w:t>
      </w:r>
      <w:hyperlink r:id="rId58" w:history="1">
        <w:r>
          <w:rPr>
            <w:rStyle w:val="Hyperlink"/>
          </w:rPr>
          <w:t>https://ec.europa.eu/commission/presscorner/detail/hr/ip_22_3890</w:t>
        </w:r>
      </w:hyperlink>
    </w:p>
  </w:footnote>
  <w:footnote w:id="80">
    <w:p w14:paraId="4B1921B2" w14:textId="77777777" w:rsidR="009C7120" w:rsidRPr="00655C69" w:rsidRDefault="009C7120" w:rsidP="009E17CA">
      <w:pPr>
        <w:pStyle w:val="FootnoteText"/>
      </w:pPr>
      <w:r>
        <w:rPr>
          <w:rStyle w:val="FootnoteReference"/>
        </w:rPr>
        <w:footnoteRef/>
      </w:r>
      <w:r>
        <w:t xml:space="preserve"> </w:t>
      </w:r>
      <w:hyperlink r:id="rId59" w:history="1">
        <w:r>
          <w:rPr>
            <w:rStyle w:val="Hyperlink"/>
          </w:rPr>
          <w:t>https://ec.europa.eu/commission/presscorner/detail/en/statement_21_4846</w:t>
        </w:r>
      </w:hyperlink>
      <w:r>
        <w:t xml:space="preserve"> </w:t>
      </w:r>
    </w:p>
  </w:footnote>
  <w:footnote w:id="81">
    <w:p w14:paraId="1E2E8A66" w14:textId="77777777" w:rsidR="009C7120" w:rsidRPr="00655C69" w:rsidRDefault="009C7120" w:rsidP="009E17CA">
      <w:pPr>
        <w:pStyle w:val="FootnoteText"/>
      </w:pPr>
      <w:r>
        <w:rPr>
          <w:rStyle w:val="FootnoteReference"/>
        </w:rPr>
        <w:footnoteRef/>
      </w:r>
      <w:r>
        <w:t xml:space="preserve"> https://ec.europa.eu/commission/presscorner/detail/en/STATEMENT_21_4846</w:t>
      </w:r>
    </w:p>
  </w:footnote>
  <w:footnote w:id="82">
    <w:p w14:paraId="7A8031A2" w14:textId="77777777" w:rsidR="009C7120" w:rsidRPr="007F698E" w:rsidRDefault="009C7120" w:rsidP="009E17CA">
      <w:pPr>
        <w:pStyle w:val="FootnoteText"/>
      </w:pPr>
      <w:r>
        <w:rPr>
          <w:rStyle w:val="FootnoteReference"/>
        </w:rPr>
        <w:footnoteRef/>
      </w:r>
      <w:r>
        <w:t xml:space="preserve"> Ta je inicijativa u međuvremenu prerasla u plurilateralnu, odnosno uključuje i druge partnere (Kanada, Norveška i Ujedinjena Kraljevina).</w:t>
      </w:r>
    </w:p>
  </w:footnote>
  <w:footnote w:id="83">
    <w:p w14:paraId="22FD181A" w14:textId="77777777" w:rsidR="009C7120" w:rsidRDefault="009C7120" w:rsidP="009E17CA">
      <w:pPr>
        <w:pStyle w:val="FootnoteText"/>
      </w:pPr>
      <w:r>
        <w:rPr>
          <w:rStyle w:val="FootnoteReference"/>
        </w:rPr>
        <w:footnoteRef/>
      </w:r>
      <w:r>
        <w:t xml:space="preserve"> </w:t>
      </w:r>
      <w:hyperlink r:id="rId60" w:history="1">
        <w:r>
          <w:rPr>
            <w:rFonts w:asciiTheme="minorHAnsi" w:hAnsiTheme="minorHAnsi"/>
            <w:color w:val="0000FF"/>
            <w:u w:val="single"/>
          </w:rPr>
          <w:t>CIPR – Zajednička izjava SAD-a i EU-a o Radnoj skupini za proizvodnju i lanac opskrbe u kontekstu pandemije bolesti COVID-19 (europa.eu)</w:t>
        </w:r>
      </w:hyperlink>
    </w:p>
  </w:footnote>
  <w:footnote w:id="84">
    <w:p w14:paraId="209A4CBB" w14:textId="60118AF0" w:rsidR="009C7120" w:rsidRPr="00655C69" w:rsidRDefault="009C7120">
      <w:pPr>
        <w:pStyle w:val="FootnoteText"/>
      </w:pPr>
      <w:r>
        <w:rPr>
          <w:rStyle w:val="FootnoteReference"/>
        </w:rPr>
        <w:footnoteRef/>
      </w:r>
      <w:r>
        <w:t xml:space="preserve"> </w:t>
      </w:r>
      <w:hyperlink r:id="rId61" w:history="1">
        <w:r>
          <w:rPr>
            <w:rStyle w:val="Hyperlink"/>
          </w:rPr>
          <w:t>https://www.who.int/initiatives/sdg3-global-action-plan</w:t>
        </w:r>
      </w:hyperlink>
      <w:r>
        <w:t xml:space="preserve"> </w:t>
      </w:r>
    </w:p>
  </w:footnote>
  <w:footnote w:id="85">
    <w:p w14:paraId="384FF925" w14:textId="77777777" w:rsidR="009C7120" w:rsidRPr="006825FD" w:rsidRDefault="009C7120" w:rsidP="00E12A0E">
      <w:pPr>
        <w:spacing w:after="0" w:line="240" w:lineRule="auto"/>
      </w:pPr>
      <w:r>
        <w:rPr>
          <w:rStyle w:val="FootnoteReference"/>
        </w:rPr>
        <w:footnoteRef/>
      </w:r>
      <w:r>
        <w:rPr>
          <w:sz w:val="20"/>
        </w:rPr>
        <w:t xml:space="preserve"> </w:t>
      </w:r>
      <w:hyperlink r:id="rId62">
        <w:r>
          <w:rPr>
            <w:rStyle w:val="Hyperlink"/>
            <w:sz w:val="20"/>
          </w:rPr>
          <w:t>european-consensus-on-development-final-20170626_en (5).pdf</w:t>
        </w:r>
      </w:hyperlink>
    </w:p>
  </w:footnote>
  <w:footnote w:id="86">
    <w:p w14:paraId="30789AF7" w14:textId="77777777" w:rsidR="009C7120" w:rsidRPr="00267D9A" w:rsidRDefault="009C7120" w:rsidP="00E12A0E">
      <w:pPr>
        <w:pStyle w:val="FootnoteText"/>
      </w:pPr>
      <w:r>
        <w:rPr>
          <w:rStyle w:val="FootnoteReference"/>
        </w:rPr>
        <w:footnoteRef/>
      </w:r>
      <w:r>
        <w:t xml:space="preserve"> Ovisno o raspoloživosti sredstava u godišnjim proračunskim postupcima.</w:t>
      </w:r>
    </w:p>
  </w:footnote>
  <w:footnote w:id="87">
    <w:p w14:paraId="24FD6493" w14:textId="5EA5E80F" w:rsidR="009C7120" w:rsidRPr="009125DB" w:rsidRDefault="009C7120">
      <w:pPr>
        <w:pStyle w:val="FootnoteText"/>
      </w:pPr>
      <w:r>
        <w:rPr>
          <w:rStyle w:val="FootnoteReference"/>
        </w:rPr>
        <w:footnoteRef/>
      </w:r>
      <w:r>
        <w:t xml:space="preserve"> Vidjeti 5. projekt u Prilogu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8709" w14:textId="77777777" w:rsidR="00A32E73" w:rsidRPr="00A32E73" w:rsidRDefault="00A32E73" w:rsidP="00A32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19F1" w14:textId="77777777" w:rsidR="00A32E73" w:rsidRPr="00A32E73" w:rsidRDefault="00A32E73" w:rsidP="00A32E7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2A6A" w14:textId="77777777" w:rsidR="00A32E73" w:rsidRPr="00A32E73" w:rsidRDefault="00A32E73" w:rsidP="00A32E7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EB490" w14:textId="77777777" w:rsidR="009C7120" w:rsidRDefault="009C71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2E5A" w14:textId="77777777" w:rsidR="009C7120" w:rsidRDefault="009C71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01E4" w14:textId="77777777" w:rsidR="009C7120" w:rsidRDefault="009C7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73A"/>
    <w:multiLevelType w:val="hybridMultilevel"/>
    <w:tmpl w:val="FCE43D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E667B6"/>
    <w:multiLevelType w:val="hybridMultilevel"/>
    <w:tmpl w:val="17D0E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10F2C"/>
    <w:multiLevelType w:val="hybridMultilevel"/>
    <w:tmpl w:val="4BAA21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C82FEA"/>
    <w:multiLevelType w:val="multilevel"/>
    <w:tmpl w:val="404CEE1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896584"/>
    <w:multiLevelType w:val="hybridMultilevel"/>
    <w:tmpl w:val="9956F02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060DFE"/>
    <w:multiLevelType w:val="hybridMultilevel"/>
    <w:tmpl w:val="02D2A1C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EFF"/>
    <w:multiLevelType w:val="hybridMultilevel"/>
    <w:tmpl w:val="FFFFFFFF"/>
    <w:lvl w:ilvl="0" w:tplc="18D0559A">
      <w:start w:val="1"/>
      <w:numFmt w:val="bullet"/>
      <w:lvlText w:val="Ø"/>
      <w:lvlJc w:val="left"/>
      <w:pPr>
        <w:ind w:left="360" w:hanging="360"/>
      </w:pPr>
      <w:rPr>
        <w:rFonts w:ascii="Wingdings" w:hAnsi="Wingdings" w:hint="default"/>
      </w:rPr>
    </w:lvl>
    <w:lvl w:ilvl="1" w:tplc="8B1053D2">
      <w:start w:val="1"/>
      <w:numFmt w:val="bullet"/>
      <w:lvlText w:val="o"/>
      <w:lvlJc w:val="left"/>
      <w:pPr>
        <w:ind w:left="1080" w:hanging="360"/>
      </w:pPr>
      <w:rPr>
        <w:rFonts w:ascii="Courier New" w:hAnsi="Courier New" w:hint="default"/>
      </w:rPr>
    </w:lvl>
    <w:lvl w:ilvl="2" w:tplc="29CCCEE6">
      <w:start w:val="1"/>
      <w:numFmt w:val="bullet"/>
      <w:lvlText w:val=""/>
      <w:lvlJc w:val="left"/>
      <w:pPr>
        <w:ind w:left="1800" w:hanging="360"/>
      </w:pPr>
      <w:rPr>
        <w:rFonts w:ascii="Wingdings" w:hAnsi="Wingdings" w:hint="default"/>
      </w:rPr>
    </w:lvl>
    <w:lvl w:ilvl="3" w:tplc="DFD47E6C">
      <w:start w:val="1"/>
      <w:numFmt w:val="bullet"/>
      <w:lvlText w:val=""/>
      <w:lvlJc w:val="left"/>
      <w:pPr>
        <w:ind w:left="2520" w:hanging="360"/>
      </w:pPr>
      <w:rPr>
        <w:rFonts w:ascii="Symbol" w:hAnsi="Symbol" w:hint="default"/>
      </w:rPr>
    </w:lvl>
    <w:lvl w:ilvl="4" w:tplc="8626DCC6">
      <w:start w:val="1"/>
      <w:numFmt w:val="bullet"/>
      <w:lvlText w:val="o"/>
      <w:lvlJc w:val="left"/>
      <w:pPr>
        <w:ind w:left="3240" w:hanging="360"/>
      </w:pPr>
      <w:rPr>
        <w:rFonts w:ascii="Courier New" w:hAnsi="Courier New" w:hint="default"/>
      </w:rPr>
    </w:lvl>
    <w:lvl w:ilvl="5" w:tplc="44DE59CA">
      <w:start w:val="1"/>
      <w:numFmt w:val="bullet"/>
      <w:lvlText w:val=""/>
      <w:lvlJc w:val="left"/>
      <w:pPr>
        <w:ind w:left="3960" w:hanging="360"/>
      </w:pPr>
      <w:rPr>
        <w:rFonts w:ascii="Wingdings" w:hAnsi="Wingdings" w:hint="default"/>
      </w:rPr>
    </w:lvl>
    <w:lvl w:ilvl="6" w:tplc="0C569C54">
      <w:start w:val="1"/>
      <w:numFmt w:val="bullet"/>
      <w:lvlText w:val=""/>
      <w:lvlJc w:val="left"/>
      <w:pPr>
        <w:ind w:left="4680" w:hanging="360"/>
      </w:pPr>
      <w:rPr>
        <w:rFonts w:ascii="Symbol" w:hAnsi="Symbol" w:hint="default"/>
      </w:rPr>
    </w:lvl>
    <w:lvl w:ilvl="7" w:tplc="D954FF40">
      <w:start w:val="1"/>
      <w:numFmt w:val="bullet"/>
      <w:lvlText w:val="o"/>
      <w:lvlJc w:val="left"/>
      <w:pPr>
        <w:ind w:left="5400" w:hanging="360"/>
      </w:pPr>
      <w:rPr>
        <w:rFonts w:ascii="Courier New" w:hAnsi="Courier New" w:hint="default"/>
      </w:rPr>
    </w:lvl>
    <w:lvl w:ilvl="8" w:tplc="E6248222">
      <w:start w:val="1"/>
      <w:numFmt w:val="bullet"/>
      <w:lvlText w:val=""/>
      <w:lvlJc w:val="left"/>
      <w:pPr>
        <w:ind w:left="6120" w:hanging="360"/>
      </w:pPr>
      <w:rPr>
        <w:rFonts w:ascii="Wingdings" w:hAnsi="Wingdings" w:hint="default"/>
      </w:rPr>
    </w:lvl>
  </w:abstractNum>
  <w:abstractNum w:abstractNumId="8" w15:restartNumberingAfterBreak="0">
    <w:nsid w:val="0D2F0138"/>
    <w:multiLevelType w:val="hybridMultilevel"/>
    <w:tmpl w:val="D9287E6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A05433"/>
    <w:multiLevelType w:val="hybridMultilevel"/>
    <w:tmpl w:val="FD2C0BD6"/>
    <w:lvl w:ilvl="0" w:tplc="873EC22E">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811E1"/>
    <w:multiLevelType w:val="hybridMultilevel"/>
    <w:tmpl w:val="3692D828"/>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0BD572E"/>
    <w:multiLevelType w:val="hybridMultilevel"/>
    <w:tmpl w:val="52329CB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D41866"/>
    <w:multiLevelType w:val="hybridMultilevel"/>
    <w:tmpl w:val="6E6E09BA"/>
    <w:lvl w:ilvl="0" w:tplc="18D0559A">
      <w:start w:val="1"/>
      <w:numFmt w:val="bullet"/>
      <w:lvlText w:val="Ø"/>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261508"/>
    <w:multiLevelType w:val="hybridMultilevel"/>
    <w:tmpl w:val="578E5A7E"/>
    <w:lvl w:ilvl="0" w:tplc="0409000B">
      <w:start w:val="1"/>
      <w:numFmt w:val="bullet"/>
      <w:lvlText w:val=""/>
      <w:lvlJc w:val="left"/>
      <w:pPr>
        <w:ind w:left="360" w:hanging="360"/>
      </w:pPr>
      <w:rPr>
        <w:rFonts w:ascii="Wingdings" w:hAnsi="Wingdings" w:hint="default"/>
      </w:rPr>
    </w:lvl>
    <w:lvl w:ilvl="1" w:tplc="0F4E9264">
      <w:numFmt w:val="bullet"/>
      <w:lvlText w:val="-"/>
      <w:lvlJc w:val="left"/>
      <w:pPr>
        <w:ind w:left="1080" w:hanging="360"/>
      </w:pPr>
      <w:rPr>
        <w:rFonts w:ascii="Calibri" w:eastAsia="Calibr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802A02"/>
    <w:multiLevelType w:val="hybridMultilevel"/>
    <w:tmpl w:val="494E8A98"/>
    <w:lvl w:ilvl="0" w:tplc="6F20A834">
      <w:start w:val="3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A07FC1"/>
    <w:multiLevelType w:val="hybridMultilevel"/>
    <w:tmpl w:val="75A8495C"/>
    <w:lvl w:ilvl="0" w:tplc="09AEB18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DE03F9B"/>
    <w:multiLevelType w:val="hybridMultilevel"/>
    <w:tmpl w:val="D3C0EB0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EA14683"/>
    <w:multiLevelType w:val="hybridMultilevel"/>
    <w:tmpl w:val="A2BC7C2E"/>
    <w:lvl w:ilvl="0" w:tplc="09544DC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D333C5"/>
    <w:multiLevelType w:val="hybridMultilevel"/>
    <w:tmpl w:val="9970F41C"/>
    <w:lvl w:ilvl="0" w:tplc="18D0559A">
      <w:start w:val="1"/>
      <w:numFmt w:val="bullet"/>
      <w:lvlText w:val="Ø"/>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F2930CE"/>
    <w:multiLevelType w:val="hybridMultilevel"/>
    <w:tmpl w:val="18FE412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04C2E9E"/>
    <w:multiLevelType w:val="hybridMultilevel"/>
    <w:tmpl w:val="05FE3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05F0C1D"/>
    <w:multiLevelType w:val="hybridMultilevel"/>
    <w:tmpl w:val="97E84236"/>
    <w:lvl w:ilvl="0" w:tplc="1809000F">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22" w15:restartNumberingAfterBreak="0">
    <w:nsid w:val="213E0372"/>
    <w:multiLevelType w:val="multilevel"/>
    <w:tmpl w:val="9F782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412D02"/>
    <w:multiLevelType w:val="hybridMultilevel"/>
    <w:tmpl w:val="FFFFFFFF"/>
    <w:lvl w:ilvl="0" w:tplc="9F02BE00">
      <w:start w:val="1"/>
      <w:numFmt w:val="bullet"/>
      <w:lvlText w:val="-"/>
      <w:lvlJc w:val="left"/>
      <w:pPr>
        <w:ind w:left="720" w:hanging="360"/>
      </w:pPr>
      <w:rPr>
        <w:rFonts w:ascii="Symbol" w:hAnsi="Symbol" w:hint="default"/>
      </w:rPr>
    </w:lvl>
    <w:lvl w:ilvl="1" w:tplc="94BC71E2">
      <w:start w:val="1"/>
      <w:numFmt w:val="bullet"/>
      <w:lvlText w:val="o"/>
      <w:lvlJc w:val="left"/>
      <w:pPr>
        <w:ind w:left="1440" w:hanging="360"/>
      </w:pPr>
      <w:rPr>
        <w:rFonts w:ascii="Courier New" w:hAnsi="Courier New" w:hint="default"/>
      </w:rPr>
    </w:lvl>
    <w:lvl w:ilvl="2" w:tplc="80EEC1CE">
      <w:start w:val="1"/>
      <w:numFmt w:val="bullet"/>
      <w:lvlText w:val=""/>
      <w:lvlJc w:val="left"/>
      <w:pPr>
        <w:ind w:left="2160" w:hanging="360"/>
      </w:pPr>
      <w:rPr>
        <w:rFonts w:ascii="Wingdings" w:hAnsi="Wingdings" w:hint="default"/>
      </w:rPr>
    </w:lvl>
    <w:lvl w:ilvl="3" w:tplc="9606E8BA">
      <w:start w:val="1"/>
      <w:numFmt w:val="bullet"/>
      <w:lvlText w:val=""/>
      <w:lvlJc w:val="left"/>
      <w:pPr>
        <w:ind w:left="2880" w:hanging="360"/>
      </w:pPr>
      <w:rPr>
        <w:rFonts w:ascii="Symbol" w:hAnsi="Symbol" w:hint="default"/>
      </w:rPr>
    </w:lvl>
    <w:lvl w:ilvl="4" w:tplc="C6EE3A0A">
      <w:start w:val="1"/>
      <w:numFmt w:val="bullet"/>
      <w:lvlText w:val="o"/>
      <w:lvlJc w:val="left"/>
      <w:pPr>
        <w:ind w:left="3600" w:hanging="360"/>
      </w:pPr>
      <w:rPr>
        <w:rFonts w:ascii="Courier New" w:hAnsi="Courier New" w:hint="default"/>
      </w:rPr>
    </w:lvl>
    <w:lvl w:ilvl="5" w:tplc="09C0494E">
      <w:start w:val="1"/>
      <w:numFmt w:val="bullet"/>
      <w:lvlText w:val=""/>
      <w:lvlJc w:val="left"/>
      <w:pPr>
        <w:ind w:left="4320" w:hanging="360"/>
      </w:pPr>
      <w:rPr>
        <w:rFonts w:ascii="Wingdings" w:hAnsi="Wingdings" w:hint="default"/>
      </w:rPr>
    </w:lvl>
    <w:lvl w:ilvl="6" w:tplc="AF803558">
      <w:start w:val="1"/>
      <w:numFmt w:val="bullet"/>
      <w:lvlText w:val=""/>
      <w:lvlJc w:val="left"/>
      <w:pPr>
        <w:ind w:left="5040" w:hanging="360"/>
      </w:pPr>
      <w:rPr>
        <w:rFonts w:ascii="Symbol" w:hAnsi="Symbol" w:hint="default"/>
      </w:rPr>
    </w:lvl>
    <w:lvl w:ilvl="7" w:tplc="B888F04E">
      <w:start w:val="1"/>
      <w:numFmt w:val="bullet"/>
      <w:lvlText w:val="o"/>
      <w:lvlJc w:val="left"/>
      <w:pPr>
        <w:ind w:left="5760" w:hanging="360"/>
      </w:pPr>
      <w:rPr>
        <w:rFonts w:ascii="Courier New" w:hAnsi="Courier New" w:hint="default"/>
      </w:rPr>
    </w:lvl>
    <w:lvl w:ilvl="8" w:tplc="9BFCC360">
      <w:start w:val="1"/>
      <w:numFmt w:val="bullet"/>
      <w:lvlText w:val=""/>
      <w:lvlJc w:val="left"/>
      <w:pPr>
        <w:ind w:left="6480" w:hanging="360"/>
      </w:pPr>
      <w:rPr>
        <w:rFonts w:ascii="Wingdings" w:hAnsi="Wingdings" w:hint="default"/>
      </w:rPr>
    </w:lvl>
  </w:abstractNum>
  <w:abstractNum w:abstractNumId="24" w15:restartNumberingAfterBreak="0">
    <w:nsid w:val="2B075766"/>
    <w:multiLevelType w:val="hybridMultilevel"/>
    <w:tmpl w:val="72CC92B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C57493F"/>
    <w:multiLevelType w:val="hybridMultilevel"/>
    <w:tmpl w:val="971A4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2C6549DD"/>
    <w:multiLevelType w:val="hybridMultilevel"/>
    <w:tmpl w:val="44A6FF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D694FC1"/>
    <w:multiLevelType w:val="hybridMultilevel"/>
    <w:tmpl w:val="C41E598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E036D31"/>
    <w:multiLevelType w:val="hybridMultilevel"/>
    <w:tmpl w:val="CAF6DEE8"/>
    <w:lvl w:ilvl="0" w:tplc="B3AEC9F8">
      <w:start w:val="4"/>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704869"/>
    <w:multiLevelType w:val="multilevel"/>
    <w:tmpl w:val="404CEE1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2F6B4A71"/>
    <w:multiLevelType w:val="hybridMultilevel"/>
    <w:tmpl w:val="55B09262"/>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1205AB2"/>
    <w:multiLevelType w:val="hybridMultilevel"/>
    <w:tmpl w:val="41862B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200655C"/>
    <w:multiLevelType w:val="hybridMultilevel"/>
    <w:tmpl w:val="B58E8D98"/>
    <w:lvl w:ilvl="0" w:tplc="1809000F">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7487C92"/>
    <w:multiLevelType w:val="hybridMultilevel"/>
    <w:tmpl w:val="6D3AAB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7B017AD"/>
    <w:multiLevelType w:val="hybridMultilevel"/>
    <w:tmpl w:val="F252F9E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9482E19"/>
    <w:multiLevelType w:val="hybridMultilevel"/>
    <w:tmpl w:val="EB2224AE"/>
    <w:lvl w:ilvl="0" w:tplc="5F48D30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020135"/>
    <w:multiLevelType w:val="hybridMultilevel"/>
    <w:tmpl w:val="5FDA82A0"/>
    <w:lvl w:ilvl="0" w:tplc="35C2D5F2">
      <w:numFmt w:val="bullet"/>
      <w:lvlText w:val="-"/>
      <w:lvlJc w:val="left"/>
      <w:pPr>
        <w:ind w:left="720" w:hanging="360"/>
      </w:pPr>
      <w:rPr>
        <w:rFonts w:ascii="Calibri" w:eastAsiaTheme="minorHAnsi" w:hAnsi="Calibri" w:cstheme="minorBid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A305A9"/>
    <w:multiLevelType w:val="multilevel"/>
    <w:tmpl w:val="14EE464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CAA0D78"/>
    <w:multiLevelType w:val="hybridMultilevel"/>
    <w:tmpl w:val="B31CB170"/>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9" w15:restartNumberingAfterBreak="0">
    <w:nsid w:val="3E1D0E5D"/>
    <w:multiLevelType w:val="hybridMultilevel"/>
    <w:tmpl w:val="8B26DB3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E5461C1"/>
    <w:multiLevelType w:val="hybridMultilevel"/>
    <w:tmpl w:val="CEF2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6F2C74"/>
    <w:multiLevelType w:val="hybridMultilevel"/>
    <w:tmpl w:val="BB8CA12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408439B3"/>
    <w:multiLevelType w:val="hybridMultilevel"/>
    <w:tmpl w:val="9A5A096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86F1C21"/>
    <w:multiLevelType w:val="hybridMultilevel"/>
    <w:tmpl w:val="B478CCC6"/>
    <w:lvl w:ilvl="0" w:tplc="18D0559A">
      <w:start w:val="1"/>
      <w:numFmt w:val="bullet"/>
      <w:lvlText w:val="Ø"/>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4BC0532C"/>
    <w:multiLevelType w:val="multilevel"/>
    <w:tmpl w:val="404CEE1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4BDD2B61"/>
    <w:multiLevelType w:val="hybridMultilevel"/>
    <w:tmpl w:val="9672263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E316546"/>
    <w:multiLevelType w:val="hybridMultilevel"/>
    <w:tmpl w:val="EED29B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E49046E"/>
    <w:multiLevelType w:val="hybridMultilevel"/>
    <w:tmpl w:val="301E54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06879AE"/>
    <w:multiLevelType w:val="hybridMultilevel"/>
    <w:tmpl w:val="9476E83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0837C5B"/>
    <w:multiLevelType w:val="hybridMultilevel"/>
    <w:tmpl w:val="165C42C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2234123"/>
    <w:multiLevelType w:val="hybridMultilevel"/>
    <w:tmpl w:val="253CD30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27B7BAD"/>
    <w:multiLevelType w:val="hybridMultilevel"/>
    <w:tmpl w:val="4404D462"/>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56676D64"/>
    <w:multiLevelType w:val="hybridMultilevel"/>
    <w:tmpl w:val="B8B209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7511B1"/>
    <w:multiLevelType w:val="hybridMultilevel"/>
    <w:tmpl w:val="EC787DC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56DC0FFF"/>
    <w:multiLevelType w:val="hybridMultilevel"/>
    <w:tmpl w:val="D616CAF8"/>
    <w:lvl w:ilvl="0" w:tplc="45C4C1F8">
      <w:start w:val="1"/>
      <w:numFmt w:val="decimal"/>
      <w:lvlText w:val="%1."/>
      <w:lvlJc w:val="left"/>
      <w:pPr>
        <w:ind w:left="720" w:hanging="360"/>
      </w:pPr>
      <w:rPr>
        <w:rFonts w:hint="default"/>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57580C38"/>
    <w:multiLevelType w:val="hybridMultilevel"/>
    <w:tmpl w:val="C67AAFA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5A1D58A3"/>
    <w:multiLevelType w:val="hybridMultilevel"/>
    <w:tmpl w:val="828EF38C"/>
    <w:lvl w:ilvl="0" w:tplc="05062786">
      <w:start w:val="4"/>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3E50C5"/>
    <w:multiLevelType w:val="hybridMultilevel"/>
    <w:tmpl w:val="8E0025CE"/>
    <w:lvl w:ilvl="0" w:tplc="5EBA6F20">
      <w:start w:val="20"/>
      <w:numFmt w:val="decimal"/>
      <w:lvlText w:val="%1."/>
      <w:lvlJc w:val="left"/>
      <w:pPr>
        <w:ind w:left="1080" w:hanging="360"/>
      </w:pPr>
      <w:rPr>
        <w:rFonts w:hint="default"/>
        <w:color w:val="40404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8" w15:restartNumberingAfterBreak="0">
    <w:nsid w:val="5F3124A7"/>
    <w:multiLevelType w:val="hybridMultilevel"/>
    <w:tmpl w:val="BE28A25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5F3E0CE3"/>
    <w:multiLevelType w:val="hybridMultilevel"/>
    <w:tmpl w:val="9E98B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1F01239"/>
    <w:multiLevelType w:val="hybridMultilevel"/>
    <w:tmpl w:val="88A6BD4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62D2514C"/>
    <w:multiLevelType w:val="hybridMultilevel"/>
    <w:tmpl w:val="09903B32"/>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2" w15:restartNumberingAfterBreak="0">
    <w:nsid w:val="640E2C2A"/>
    <w:multiLevelType w:val="multilevel"/>
    <w:tmpl w:val="404CEE1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64933998"/>
    <w:multiLevelType w:val="hybridMultilevel"/>
    <w:tmpl w:val="B81ECF8C"/>
    <w:lvl w:ilvl="0" w:tplc="ADA879A6">
      <w:start w:val="1"/>
      <w:numFmt w:val="decimal"/>
      <w:lvlText w:val="%1)"/>
      <w:lvlJc w:val="left"/>
      <w:pPr>
        <w:ind w:left="720" w:hanging="360"/>
      </w:pPr>
      <w:rPr>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4" w15:restartNumberingAfterBreak="0">
    <w:nsid w:val="66923089"/>
    <w:multiLevelType w:val="hybridMultilevel"/>
    <w:tmpl w:val="EFCC2EEC"/>
    <w:lvl w:ilvl="0" w:tplc="1BB68CBE">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5" w15:restartNumberingAfterBreak="0">
    <w:nsid w:val="669F3281"/>
    <w:multiLevelType w:val="hybridMultilevel"/>
    <w:tmpl w:val="667626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969249A"/>
    <w:multiLevelType w:val="hybridMultilevel"/>
    <w:tmpl w:val="4D3C84FA"/>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6A1F7494"/>
    <w:multiLevelType w:val="hybridMultilevel"/>
    <w:tmpl w:val="7D104E16"/>
    <w:lvl w:ilvl="0" w:tplc="210C3336">
      <w:start w:val="1"/>
      <w:numFmt w:val="decimal"/>
      <w:lvlText w:val="%1."/>
      <w:lvlJc w:val="left"/>
      <w:pPr>
        <w:ind w:left="360" w:hanging="360"/>
      </w:pPr>
      <w:rPr>
        <w:rFonts w:asciiTheme="majorHAnsi" w:eastAsiaTheme="maj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1A2012"/>
    <w:multiLevelType w:val="hybridMultilevel"/>
    <w:tmpl w:val="CCE04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404094"/>
    <w:multiLevelType w:val="hybridMultilevel"/>
    <w:tmpl w:val="7DCED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6EAC1AC1"/>
    <w:multiLevelType w:val="hybridMultilevel"/>
    <w:tmpl w:val="1FA42CA0"/>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6FBA0399"/>
    <w:multiLevelType w:val="hybridMultilevel"/>
    <w:tmpl w:val="8ABCECE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70250F36"/>
    <w:multiLevelType w:val="hybridMultilevel"/>
    <w:tmpl w:val="B1D4B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68633AC"/>
    <w:multiLevelType w:val="hybridMultilevel"/>
    <w:tmpl w:val="B476BEA2"/>
    <w:lvl w:ilvl="0" w:tplc="18D0559A">
      <w:start w:val="1"/>
      <w:numFmt w:val="bullet"/>
      <w:lvlText w:val="Ø"/>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955815"/>
    <w:multiLevelType w:val="hybridMultilevel"/>
    <w:tmpl w:val="E69EF288"/>
    <w:lvl w:ilvl="0" w:tplc="B1B050B6">
      <w:start w:val="1"/>
      <w:numFmt w:val="decimal"/>
      <w:lvlText w:val="%1."/>
      <w:lvlJc w:val="left"/>
      <w:pPr>
        <w:ind w:left="720" w:hanging="360"/>
      </w:pPr>
      <w:rPr>
        <w:rFonts w:asciiTheme="minorHAnsi" w:eastAsiaTheme="minorHAnsi" w:hAnsi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5" w15:restartNumberingAfterBreak="0">
    <w:nsid w:val="78B74629"/>
    <w:multiLevelType w:val="hybridMultilevel"/>
    <w:tmpl w:val="E4C02C2E"/>
    <w:lvl w:ilvl="0" w:tplc="0409000B">
      <w:start w:val="1"/>
      <w:numFmt w:val="bullet"/>
      <w:lvlText w:val=""/>
      <w:lvlJc w:val="left"/>
      <w:pPr>
        <w:ind w:left="720" w:hanging="360"/>
      </w:pPr>
      <w:rPr>
        <w:rFonts w:ascii="Wingdings" w:hAnsi="Wingdings" w:hint="default"/>
      </w:rPr>
    </w:lvl>
    <w:lvl w:ilvl="1" w:tplc="DF881D6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046DDD"/>
    <w:multiLevelType w:val="hybridMultilevel"/>
    <w:tmpl w:val="1C7870E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A1965F1"/>
    <w:multiLevelType w:val="multilevel"/>
    <w:tmpl w:val="11CAD4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7B082D94"/>
    <w:multiLevelType w:val="hybridMultilevel"/>
    <w:tmpl w:val="6E6E031A"/>
    <w:lvl w:ilvl="0" w:tplc="18D0559A">
      <w:start w:val="1"/>
      <w:numFmt w:val="bullet"/>
      <w:lvlText w:val="Ø"/>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DDE6E7D"/>
    <w:multiLevelType w:val="hybridMultilevel"/>
    <w:tmpl w:val="0636BE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4"/>
  </w:num>
  <w:num w:numId="3">
    <w:abstractNumId w:val="29"/>
  </w:num>
  <w:num w:numId="4">
    <w:abstractNumId w:val="7"/>
  </w:num>
  <w:num w:numId="5">
    <w:abstractNumId w:val="59"/>
  </w:num>
  <w:num w:numId="6">
    <w:abstractNumId w:val="28"/>
  </w:num>
  <w:num w:numId="7">
    <w:abstractNumId w:val="56"/>
  </w:num>
  <w:num w:numId="8">
    <w:abstractNumId w:val="44"/>
  </w:num>
  <w:num w:numId="9">
    <w:abstractNumId w:val="9"/>
  </w:num>
  <w:num w:numId="10">
    <w:abstractNumId w:val="23"/>
  </w:num>
  <w:num w:numId="11">
    <w:abstractNumId w:val="20"/>
  </w:num>
  <w:num w:numId="12">
    <w:abstractNumId w:val="1"/>
  </w:num>
  <w:num w:numId="13">
    <w:abstractNumId w:val="51"/>
  </w:num>
  <w:num w:numId="14">
    <w:abstractNumId w:val="37"/>
  </w:num>
  <w:num w:numId="15">
    <w:abstractNumId w:val="77"/>
  </w:num>
  <w:num w:numId="16">
    <w:abstractNumId w:val="22"/>
  </w:num>
  <w:num w:numId="17">
    <w:abstractNumId w:val="13"/>
  </w:num>
  <w:num w:numId="18">
    <w:abstractNumId w:val="79"/>
  </w:num>
  <w:num w:numId="19">
    <w:abstractNumId w:val="36"/>
  </w:num>
  <w:num w:numId="20">
    <w:abstractNumId w:val="75"/>
  </w:num>
  <w:num w:numId="21">
    <w:abstractNumId w:val="46"/>
  </w:num>
  <w:num w:numId="22">
    <w:abstractNumId w:val="65"/>
  </w:num>
  <w:num w:numId="23">
    <w:abstractNumId w:val="31"/>
  </w:num>
  <w:num w:numId="24">
    <w:abstractNumId w:val="47"/>
  </w:num>
  <w:num w:numId="25">
    <w:abstractNumId w:val="52"/>
  </w:num>
  <w:num w:numId="26">
    <w:abstractNumId w:val="17"/>
  </w:num>
  <w:num w:numId="27">
    <w:abstractNumId w:val="14"/>
  </w:num>
  <w:num w:numId="28">
    <w:abstractNumId w:val="67"/>
  </w:num>
  <w:num w:numId="29">
    <w:abstractNumId w:val="73"/>
  </w:num>
  <w:num w:numId="30">
    <w:abstractNumId w:val="12"/>
  </w:num>
  <w:num w:numId="31">
    <w:abstractNumId w:val="25"/>
  </w:num>
  <w:num w:numId="32">
    <w:abstractNumId w:val="38"/>
  </w:num>
  <w:num w:numId="33">
    <w:abstractNumId w:val="69"/>
  </w:num>
  <w:num w:numId="34">
    <w:abstractNumId w:val="30"/>
  </w:num>
  <w:num w:numId="35">
    <w:abstractNumId w:val="35"/>
  </w:num>
  <w:num w:numId="36">
    <w:abstractNumId w:val="79"/>
  </w:num>
  <w:num w:numId="37">
    <w:abstractNumId w:val="54"/>
  </w:num>
  <w:num w:numId="38">
    <w:abstractNumId w:val="5"/>
  </w:num>
  <w:num w:numId="39">
    <w:abstractNumId w:val="2"/>
  </w:num>
  <w:num w:numId="40">
    <w:abstractNumId w:val="33"/>
  </w:num>
  <w:num w:numId="41">
    <w:abstractNumId w:val="40"/>
  </w:num>
  <w:num w:numId="42">
    <w:abstractNumId w:val="59"/>
  </w:num>
  <w:num w:numId="43">
    <w:abstractNumId w:val="74"/>
  </w:num>
  <w:num w:numId="44">
    <w:abstractNumId w:val="48"/>
  </w:num>
  <w:num w:numId="45">
    <w:abstractNumId w:val="78"/>
  </w:num>
  <w:num w:numId="46">
    <w:abstractNumId w:val="43"/>
  </w:num>
  <w:num w:numId="47">
    <w:abstractNumId w:val="32"/>
  </w:num>
  <w:num w:numId="48">
    <w:abstractNumId w:val="18"/>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58"/>
  </w:num>
  <w:num w:numId="52">
    <w:abstractNumId w:val="68"/>
  </w:num>
  <w:num w:numId="53">
    <w:abstractNumId w:val="76"/>
  </w:num>
  <w:num w:numId="54">
    <w:abstractNumId w:val="41"/>
  </w:num>
  <w:num w:numId="55">
    <w:abstractNumId w:val="34"/>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 w:numId="58">
    <w:abstractNumId w:val="72"/>
  </w:num>
  <w:num w:numId="59">
    <w:abstractNumId w:val="39"/>
  </w:num>
  <w:num w:numId="60">
    <w:abstractNumId w:val="27"/>
  </w:num>
  <w:num w:numId="61">
    <w:abstractNumId w:val="61"/>
  </w:num>
  <w:num w:numId="62">
    <w:abstractNumId w:val="55"/>
  </w:num>
  <w:num w:numId="63">
    <w:abstractNumId w:val="6"/>
  </w:num>
  <w:num w:numId="64">
    <w:abstractNumId w:val="49"/>
  </w:num>
  <w:num w:numId="65">
    <w:abstractNumId w:val="10"/>
  </w:num>
  <w:num w:numId="66">
    <w:abstractNumId w:val="45"/>
  </w:num>
  <w:num w:numId="67">
    <w:abstractNumId w:val="19"/>
  </w:num>
  <w:num w:numId="68">
    <w:abstractNumId w:val="42"/>
  </w:num>
  <w:num w:numId="69">
    <w:abstractNumId w:val="60"/>
  </w:num>
  <w:num w:numId="70">
    <w:abstractNumId w:val="50"/>
  </w:num>
  <w:num w:numId="71">
    <w:abstractNumId w:val="8"/>
  </w:num>
  <w:num w:numId="72">
    <w:abstractNumId w:val="16"/>
  </w:num>
  <w:num w:numId="73">
    <w:abstractNumId w:val="53"/>
  </w:num>
  <w:num w:numId="74">
    <w:abstractNumId w:val="71"/>
  </w:num>
  <w:num w:numId="75">
    <w:abstractNumId w:val="70"/>
  </w:num>
  <w:num w:numId="76">
    <w:abstractNumId w:val="24"/>
  </w:num>
  <w:num w:numId="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num>
  <w:num w:numId="79">
    <w:abstractNumId w:val="3"/>
  </w:num>
  <w:num w:numId="80">
    <w:abstractNumId w:val="66"/>
  </w:num>
  <w:num w:numId="81">
    <w:abstractNumId w:val="21"/>
  </w:num>
  <w:num w:numId="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s-419" w:vendorID="64" w:dllVersion="6" w:nlCheck="1" w:checkStyle="0"/>
  <w:activeWritingStyle w:appName="MSWord" w:lang="es-419" w:vendorID="64" w:dllVersion="0" w:nlCheck="1" w:checkStyle="0"/>
  <w:activeWritingStyle w:appName="MSWord" w:lang="es-ES" w:vendorID="64" w:dllVersion="6" w:nlCheck="1" w:checkStyle="0"/>
  <w:activeWritingStyle w:appName="MSWord" w:lang="es-ES" w:vendorID="64" w:dllVersion="0" w:nlCheck="1" w:checkStyle="0"/>
  <w:activeWritingStyle w:appName="MSWord" w:lang="da-DK" w:vendorID="64" w:dllVersion="6" w:nlCheck="1" w:checkStyle="0"/>
  <w:activeWritingStyle w:appName="MSWord" w:lang="da-DK" w:vendorID="64" w:dllVersion="0" w:nlCheck="1" w:checkStyle="0"/>
  <w:activeWritingStyle w:appName="MSWord" w:lang="de-AT" w:vendorID="64" w:dllVersion="0" w:nlCheck="1" w:checkStyle="0"/>
  <w:activeWritingStyle w:appName="MSWord" w:lang="de-AT"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da-DK" w:vendorID="64" w:dllVersion="131078" w:nlCheck="1" w:checkStyle="0"/>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0ECCB56-5DA0-4DEB-857F-9DD9CEF86BDB"/>
    <w:docVar w:name="LW_COVERPAGE_TYPE" w:val="1"/>
    <w:docVar w:name="LW_CROSSREFERENCE" w:val="&lt;UNUSED&gt;"/>
    <w:docVar w:name="LW_DocType" w:val="NORMAL"/>
    <w:docVar w:name="LW_EMISSION" w:val="30.11.2022."/>
    <w:docVar w:name="LW_EMISSION_ISODATE" w:val="2022-11-30"/>
    <w:docVar w:name="LW_EMISSION_LOCATION" w:val="BRX"/>
    <w:docVar w:name="LW_EMISSION_PREFIX" w:val="Bruxelles,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2) 6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rategija EU-a za globalno zdravlje_x000b__x000d__x000d__x000d__x000d__x000b__x000d__x000d__x000d__x000d__x000b_Bolje zdravlje za sve u svijetu koji se mijenja_x000b__x000b_"/>
    <w:docVar w:name="LW_TYPE.DOC.CP" w:val="KOMUNIKACIJA KOMISIJE EUROPSKOM PARLAMENTU, VIJEĆU, EUROPSKOM GOSPODARSKOM I SOCIJALNOM ODBORU I ODBORU REGIJA"/>
    <w:docVar w:name="LW_TYPE.DOC.CP.USERTEXT" w:val="&lt;EMPTY&gt;"/>
    <w:docVar w:name="LwApiVersions" w:val="LW4CoDe 1.23.2.0; LW 8.0, Build 20211117"/>
  </w:docVars>
  <w:rsids>
    <w:rsidRoot w:val="003C4251"/>
    <w:rsid w:val="00000637"/>
    <w:rsid w:val="000012D5"/>
    <w:rsid w:val="00002E8A"/>
    <w:rsid w:val="00004ED2"/>
    <w:rsid w:val="000076B9"/>
    <w:rsid w:val="000113A2"/>
    <w:rsid w:val="00011C29"/>
    <w:rsid w:val="000122F0"/>
    <w:rsid w:val="0002286A"/>
    <w:rsid w:val="00023DD6"/>
    <w:rsid w:val="00023E63"/>
    <w:rsid w:val="00025C41"/>
    <w:rsid w:val="00025D11"/>
    <w:rsid w:val="00026249"/>
    <w:rsid w:val="000262B7"/>
    <w:rsid w:val="00027077"/>
    <w:rsid w:val="0002759B"/>
    <w:rsid w:val="000314FA"/>
    <w:rsid w:val="000316FD"/>
    <w:rsid w:val="0003251A"/>
    <w:rsid w:val="0003264D"/>
    <w:rsid w:val="00033E7E"/>
    <w:rsid w:val="00035F1F"/>
    <w:rsid w:val="000400A4"/>
    <w:rsid w:val="000415B3"/>
    <w:rsid w:val="0004180D"/>
    <w:rsid w:val="00041FDD"/>
    <w:rsid w:val="000430FE"/>
    <w:rsid w:val="0004455E"/>
    <w:rsid w:val="00044AEB"/>
    <w:rsid w:val="00045BCC"/>
    <w:rsid w:val="000465D7"/>
    <w:rsid w:val="00047F29"/>
    <w:rsid w:val="00054D7E"/>
    <w:rsid w:val="0005539C"/>
    <w:rsid w:val="00057263"/>
    <w:rsid w:val="00057AB7"/>
    <w:rsid w:val="00060DFB"/>
    <w:rsid w:val="00061707"/>
    <w:rsid w:val="00062FAC"/>
    <w:rsid w:val="0006300C"/>
    <w:rsid w:val="00064635"/>
    <w:rsid w:val="00070A86"/>
    <w:rsid w:val="00071F6C"/>
    <w:rsid w:val="000722F4"/>
    <w:rsid w:val="000724E4"/>
    <w:rsid w:val="00072EDE"/>
    <w:rsid w:val="0007380F"/>
    <w:rsid w:val="00074D3D"/>
    <w:rsid w:val="00076008"/>
    <w:rsid w:val="00080BCC"/>
    <w:rsid w:val="00081121"/>
    <w:rsid w:val="00082258"/>
    <w:rsid w:val="00083190"/>
    <w:rsid w:val="00090BD7"/>
    <w:rsid w:val="00092947"/>
    <w:rsid w:val="00092C4B"/>
    <w:rsid w:val="00093383"/>
    <w:rsid w:val="00093F6D"/>
    <w:rsid w:val="00094351"/>
    <w:rsid w:val="00095C42"/>
    <w:rsid w:val="000965E2"/>
    <w:rsid w:val="000A16FB"/>
    <w:rsid w:val="000A2591"/>
    <w:rsid w:val="000A36B6"/>
    <w:rsid w:val="000A6EFB"/>
    <w:rsid w:val="000A7516"/>
    <w:rsid w:val="000B057B"/>
    <w:rsid w:val="000B2497"/>
    <w:rsid w:val="000B270D"/>
    <w:rsid w:val="000B329E"/>
    <w:rsid w:val="000B3712"/>
    <w:rsid w:val="000B4BD6"/>
    <w:rsid w:val="000B73CF"/>
    <w:rsid w:val="000B7841"/>
    <w:rsid w:val="000C09A8"/>
    <w:rsid w:val="000C1FB1"/>
    <w:rsid w:val="000C2C08"/>
    <w:rsid w:val="000C5F8E"/>
    <w:rsid w:val="000C6DDB"/>
    <w:rsid w:val="000D141A"/>
    <w:rsid w:val="000D6024"/>
    <w:rsid w:val="000D6A6B"/>
    <w:rsid w:val="000D7E3F"/>
    <w:rsid w:val="000E23AB"/>
    <w:rsid w:val="000E2E4C"/>
    <w:rsid w:val="000E42C1"/>
    <w:rsid w:val="000E5756"/>
    <w:rsid w:val="000E6F2E"/>
    <w:rsid w:val="000E7E64"/>
    <w:rsid w:val="000F22E0"/>
    <w:rsid w:val="000F379A"/>
    <w:rsid w:val="000F3E0B"/>
    <w:rsid w:val="000F48F7"/>
    <w:rsid w:val="000F4D88"/>
    <w:rsid w:val="000F5020"/>
    <w:rsid w:val="000F5318"/>
    <w:rsid w:val="000F7940"/>
    <w:rsid w:val="0010149C"/>
    <w:rsid w:val="00104414"/>
    <w:rsid w:val="00105F5A"/>
    <w:rsid w:val="00106051"/>
    <w:rsid w:val="00106657"/>
    <w:rsid w:val="001066BF"/>
    <w:rsid w:val="00111C11"/>
    <w:rsid w:val="001135CE"/>
    <w:rsid w:val="00114021"/>
    <w:rsid w:val="00117FF0"/>
    <w:rsid w:val="001200C1"/>
    <w:rsid w:val="00120722"/>
    <w:rsid w:val="001218B1"/>
    <w:rsid w:val="00121C74"/>
    <w:rsid w:val="00124B8B"/>
    <w:rsid w:val="0012569A"/>
    <w:rsid w:val="001260AB"/>
    <w:rsid w:val="00127409"/>
    <w:rsid w:val="00127580"/>
    <w:rsid w:val="00130970"/>
    <w:rsid w:val="00131CF0"/>
    <w:rsid w:val="001345FE"/>
    <w:rsid w:val="001354ED"/>
    <w:rsid w:val="001364AF"/>
    <w:rsid w:val="00141D94"/>
    <w:rsid w:val="00141E80"/>
    <w:rsid w:val="0014355A"/>
    <w:rsid w:val="00144259"/>
    <w:rsid w:val="00145BC8"/>
    <w:rsid w:val="00147BCF"/>
    <w:rsid w:val="001503E5"/>
    <w:rsid w:val="00151009"/>
    <w:rsid w:val="00151C30"/>
    <w:rsid w:val="00152A84"/>
    <w:rsid w:val="00154633"/>
    <w:rsid w:val="001558B5"/>
    <w:rsid w:val="00155D99"/>
    <w:rsid w:val="00156321"/>
    <w:rsid w:val="001565BF"/>
    <w:rsid w:val="00157432"/>
    <w:rsid w:val="00160B34"/>
    <w:rsid w:val="0016100F"/>
    <w:rsid w:val="0016112C"/>
    <w:rsid w:val="00161AEA"/>
    <w:rsid w:val="00162BBC"/>
    <w:rsid w:val="00165DEC"/>
    <w:rsid w:val="00171618"/>
    <w:rsid w:val="0017184D"/>
    <w:rsid w:val="00171FFE"/>
    <w:rsid w:val="0017280B"/>
    <w:rsid w:val="001730B9"/>
    <w:rsid w:val="00174885"/>
    <w:rsid w:val="001752B6"/>
    <w:rsid w:val="001753F3"/>
    <w:rsid w:val="00175ACD"/>
    <w:rsid w:val="00175F9D"/>
    <w:rsid w:val="00177097"/>
    <w:rsid w:val="00177D82"/>
    <w:rsid w:val="00180253"/>
    <w:rsid w:val="00183D0A"/>
    <w:rsid w:val="0018590F"/>
    <w:rsid w:val="00190E81"/>
    <w:rsid w:val="00192ECF"/>
    <w:rsid w:val="001944D0"/>
    <w:rsid w:val="0019462D"/>
    <w:rsid w:val="00195AA8"/>
    <w:rsid w:val="00195BF6"/>
    <w:rsid w:val="0019700A"/>
    <w:rsid w:val="00197215"/>
    <w:rsid w:val="001A14DE"/>
    <w:rsid w:val="001A193D"/>
    <w:rsid w:val="001A2D76"/>
    <w:rsid w:val="001A3E47"/>
    <w:rsid w:val="001A3ECB"/>
    <w:rsid w:val="001A42E5"/>
    <w:rsid w:val="001A6D55"/>
    <w:rsid w:val="001A7D4B"/>
    <w:rsid w:val="001B097D"/>
    <w:rsid w:val="001B3D3D"/>
    <w:rsid w:val="001B3E73"/>
    <w:rsid w:val="001B453A"/>
    <w:rsid w:val="001C11FE"/>
    <w:rsid w:val="001C1C58"/>
    <w:rsid w:val="001C3013"/>
    <w:rsid w:val="001C328B"/>
    <w:rsid w:val="001C3C04"/>
    <w:rsid w:val="001C6773"/>
    <w:rsid w:val="001C7E81"/>
    <w:rsid w:val="001D019A"/>
    <w:rsid w:val="001D0788"/>
    <w:rsid w:val="001D07E3"/>
    <w:rsid w:val="001D18C9"/>
    <w:rsid w:val="001D2564"/>
    <w:rsid w:val="001D447C"/>
    <w:rsid w:val="001D7655"/>
    <w:rsid w:val="001E1D2D"/>
    <w:rsid w:val="001E2C78"/>
    <w:rsid w:val="001E4157"/>
    <w:rsid w:val="001E4921"/>
    <w:rsid w:val="001F0211"/>
    <w:rsid w:val="001F0E20"/>
    <w:rsid w:val="001F1653"/>
    <w:rsid w:val="001F42DC"/>
    <w:rsid w:val="001F4FCE"/>
    <w:rsid w:val="001F5965"/>
    <w:rsid w:val="001F5E43"/>
    <w:rsid w:val="001F64DF"/>
    <w:rsid w:val="001F7C5A"/>
    <w:rsid w:val="00200BE9"/>
    <w:rsid w:val="00200CD3"/>
    <w:rsid w:val="00201844"/>
    <w:rsid w:val="00202340"/>
    <w:rsid w:val="00204E56"/>
    <w:rsid w:val="00206185"/>
    <w:rsid w:val="00210091"/>
    <w:rsid w:val="00216210"/>
    <w:rsid w:val="002165C0"/>
    <w:rsid w:val="00217060"/>
    <w:rsid w:val="002212AB"/>
    <w:rsid w:val="002213D1"/>
    <w:rsid w:val="00222500"/>
    <w:rsid w:val="00222D3E"/>
    <w:rsid w:val="00223B8A"/>
    <w:rsid w:val="00225C80"/>
    <w:rsid w:val="00226F60"/>
    <w:rsid w:val="00227B1D"/>
    <w:rsid w:val="00230799"/>
    <w:rsid w:val="00230967"/>
    <w:rsid w:val="0023471A"/>
    <w:rsid w:val="00236452"/>
    <w:rsid w:val="00236F07"/>
    <w:rsid w:val="0023783F"/>
    <w:rsid w:val="00241661"/>
    <w:rsid w:val="00241A5F"/>
    <w:rsid w:val="0024354C"/>
    <w:rsid w:val="00243899"/>
    <w:rsid w:val="0024399C"/>
    <w:rsid w:val="002455A1"/>
    <w:rsid w:val="00246B2F"/>
    <w:rsid w:val="00247812"/>
    <w:rsid w:val="002505B3"/>
    <w:rsid w:val="002511BD"/>
    <w:rsid w:val="00252E47"/>
    <w:rsid w:val="00254101"/>
    <w:rsid w:val="002545FF"/>
    <w:rsid w:val="002635E6"/>
    <w:rsid w:val="00263A21"/>
    <w:rsid w:val="002640BA"/>
    <w:rsid w:val="0026461B"/>
    <w:rsid w:val="00264EE5"/>
    <w:rsid w:val="00265A39"/>
    <w:rsid w:val="0026668D"/>
    <w:rsid w:val="002679D3"/>
    <w:rsid w:val="00267D9A"/>
    <w:rsid w:val="002704FC"/>
    <w:rsid w:val="00271937"/>
    <w:rsid w:val="002733FA"/>
    <w:rsid w:val="00273864"/>
    <w:rsid w:val="00276C18"/>
    <w:rsid w:val="00277921"/>
    <w:rsid w:val="0028490B"/>
    <w:rsid w:val="00287E29"/>
    <w:rsid w:val="00290084"/>
    <w:rsid w:val="00293229"/>
    <w:rsid w:val="00294FEB"/>
    <w:rsid w:val="00295136"/>
    <w:rsid w:val="0029643E"/>
    <w:rsid w:val="002A0A63"/>
    <w:rsid w:val="002A109D"/>
    <w:rsid w:val="002A2411"/>
    <w:rsid w:val="002A3B38"/>
    <w:rsid w:val="002A5A48"/>
    <w:rsid w:val="002A60DF"/>
    <w:rsid w:val="002B50FE"/>
    <w:rsid w:val="002B5467"/>
    <w:rsid w:val="002B552A"/>
    <w:rsid w:val="002B723D"/>
    <w:rsid w:val="002C2199"/>
    <w:rsid w:val="002C5B2A"/>
    <w:rsid w:val="002C61A5"/>
    <w:rsid w:val="002C6BD5"/>
    <w:rsid w:val="002D1EA7"/>
    <w:rsid w:val="002D2BA5"/>
    <w:rsid w:val="002D39E5"/>
    <w:rsid w:val="002D41E2"/>
    <w:rsid w:val="002D4229"/>
    <w:rsid w:val="002D61B1"/>
    <w:rsid w:val="002D7555"/>
    <w:rsid w:val="002E2837"/>
    <w:rsid w:val="002E2934"/>
    <w:rsid w:val="002E5AFC"/>
    <w:rsid w:val="002E6D71"/>
    <w:rsid w:val="002F280A"/>
    <w:rsid w:val="002F35BE"/>
    <w:rsid w:val="002F5B91"/>
    <w:rsid w:val="003009DC"/>
    <w:rsid w:val="00300C94"/>
    <w:rsid w:val="00301108"/>
    <w:rsid w:val="003033DE"/>
    <w:rsid w:val="00304968"/>
    <w:rsid w:val="00306E07"/>
    <w:rsid w:val="003101C0"/>
    <w:rsid w:val="00314DC8"/>
    <w:rsid w:val="00314E8E"/>
    <w:rsid w:val="00315176"/>
    <w:rsid w:val="003151D2"/>
    <w:rsid w:val="003156FC"/>
    <w:rsid w:val="0031570A"/>
    <w:rsid w:val="00315EE7"/>
    <w:rsid w:val="003170F5"/>
    <w:rsid w:val="003175CB"/>
    <w:rsid w:val="00317D69"/>
    <w:rsid w:val="003212CF"/>
    <w:rsid w:val="003213BA"/>
    <w:rsid w:val="00321F3F"/>
    <w:rsid w:val="00322D0A"/>
    <w:rsid w:val="00322D1F"/>
    <w:rsid w:val="0032322F"/>
    <w:rsid w:val="00323D15"/>
    <w:rsid w:val="00326066"/>
    <w:rsid w:val="0032721C"/>
    <w:rsid w:val="00330A4D"/>
    <w:rsid w:val="0033366A"/>
    <w:rsid w:val="00334723"/>
    <w:rsid w:val="00335342"/>
    <w:rsid w:val="003365B1"/>
    <w:rsid w:val="0034162B"/>
    <w:rsid w:val="0034222E"/>
    <w:rsid w:val="00343467"/>
    <w:rsid w:val="00345265"/>
    <w:rsid w:val="003479CE"/>
    <w:rsid w:val="00347F69"/>
    <w:rsid w:val="003505DB"/>
    <w:rsid w:val="00352D41"/>
    <w:rsid w:val="00352EAD"/>
    <w:rsid w:val="00360F1D"/>
    <w:rsid w:val="00361344"/>
    <w:rsid w:val="00367813"/>
    <w:rsid w:val="0037002F"/>
    <w:rsid w:val="00370600"/>
    <w:rsid w:val="00370D66"/>
    <w:rsid w:val="00372566"/>
    <w:rsid w:val="003731C1"/>
    <w:rsid w:val="003735F3"/>
    <w:rsid w:val="00375261"/>
    <w:rsid w:val="003772D6"/>
    <w:rsid w:val="003806AF"/>
    <w:rsid w:val="00381978"/>
    <w:rsid w:val="003822B5"/>
    <w:rsid w:val="00384B3F"/>
    <w:rsid w:val="00385319"/>
    <w:rsid w:val="00387174"/>
    <w:rsid w:val="00391DE1"/>
    <w:rsid w:val="003924A1"/>
    <w:rsid w:val="00392C86"/>
    <w:rsid w:val="00392FFC"/>
    <w:rsid w:val="00393726"/>
    <w:rsid w:val="00394524"/>
    <w:rsid w:val="00396031"/>
    <w:rsid w:val="003974EA"/>
    <w:rsid w:val="00397682"/>
    <w:rsid w:val="003A18F9"/>
    <w:rsid w:val="003A1A8B"/>
    <w:rsid w:val="003A7DFC"/>
    <w:rsid w:val="003B00B5"/>
    <w:rsid w:val="003B086E"/>
    <w:rsid w:val="003B2FC7"/>
    <w:rsid w:val="003B3364"/>
    <w:rsid w:val="003B476C"/>
    <w:rsid w:val="003B77D1"/>
    <w:rsid w:val="003B77DB"/>
    <w:rsid w:val="003C0F42"/>
    <w:rsid w:val="003C3062"/>
    <w:rsid w:val="003C31B3"/>
    <w:rsid w:val="003C3701"/>
    <w:rsid w:val="003C3AD6"/>
    <w:rsid w:val="003C4251"/>
    <w:rsid w:val="003C4F54"/>
    <w:rsid w:val="003C557E"/>
    <w:rsid w:val="003C62EC"/>
    <w:rsid w:val="003C722F"/>
    <w:rsid w:val="003C7608"/>
    <w:rsid w:val="003C7F95"/>
    <w:rsid w:val="003C7FA4"/>
    <w:rsid w:val="003D11B9"/>
    <w:rsid w:val="003D29A9"/>
    <w:rsid w:val="003D2B58"/>
    <w:rsid w:val="003D4F06"/>
    <w:rsid w:val="003E262F"/>
    <w:rsid w:val="003E60A6"/>
    <w:rsid w:val="003F00E3"/>
    <w:rsid w:val="003F1946"/>
    <w:rsid w:val="003F1BE2"/>
    <w:rsid w:val="003F316B"/>
    <w:rsid w:val="003F48B9"/>
    <w:rsid w:val="0040215B"/>
    <w:rsid w:val="00402380"/>
    <w:rsid w:val="004037E4"/>
    <w:rsid w:val="00403C9C"/>
    <w:rsid w:val="00404B3D"/>
    <w:rsid w:val="00404D68"/>
    <w:rsid w:val="00404D8E"/>
    <w:rsid w:val="00407DCE"/>
    <w:rsid w:val="004104E7"/>
    <w:rsid w:val="00412A5B"/>
    <w:rsid w:val="0041308B"/>
    <w:rsid w:val="00413994"/>
    <w:rsid w:val="00414D1A"/>
    <w:rsid w:val="00414E58"/>
    <w:rsid w:val="004168EB"/>
    <w:rsid w:val="0041741C"/>
    <w:rsid w:val="0041788E"/>
    <w:rsid w:val="00420913"/>
    <w:rsid w:val="004217E8"/>
    <w:rsid w:val="00421B25"/>
    <w:rsid w:val="004244AC"/>
    <w:rsid w:val="00430672"/>
    <w:rsid w:val="00431BF4"/>
    <w:rsid w:val="0043240A"/>
    <w:rsid w:val="00432DE4"/>
    <w:rsid w:val="00434C8A"/>
    <w:rsid w:val="00434CBA"/>
    <w:rsid w:val="00436BAF"/>
    <w:rsid w:val="00437536"/>
    <w:rsid w:val="00437B0B"/>
    <w:rsid w:val="004432A1"/>
    <w:rsid w:val="00443873"/>
    <w:rsid w:val="00445866"/>
    <w:rsid w:val="00445BB5"/>
    <w:rsid w:val="00447EB8"/>
    <w:rsid w:val="00450F1C"/>
    <w:rsid w:val="0045665B"/>
    <w:rsid w:val="00456C7C"/>
    <w:rsid w:val="00466412"/>
    <w:rsid w:val="004677F2"/>
    <w:rsid w:val="004702BB"/>
    <w:rsid w:val="00470730"/>
    <w:rsid w:val="00470DFB"/>
    <w:rsid w:val="004731EA"/>
    <w:rsid w:val="0047483D"/>
    <w:rsid w:val="004757B4"/>
    <w:rsid w:val="0047610F"/>
    <w:rsid w:val="00476B77"/>
    <w:rsid w:val="00477B68"/>
    <w:rsid w:val="004832E5"/>
    <w:rsid w:val="00484177"/>
    <w:rsid w:val="00485598"/>
    <w:rsid w:val="004865BB"/>
    <w:rsid w:val="00486856"/>
    <w:rsid w:val="0049176A"/>
    <w:rsid w:val="00497017"/>
    <w:rsid w:val="00497AAB"/>
    <w:rsid w:val="004A1ED7"/>
    <w:rsid w:val="004A6455"/>
    <w:rsid w:val="004A7214"/>
    <w:rsid w:val="004A7C11"/>
    <w:rsid w:val="004B082F"/>
    <w:rsid w:val="004B0D23"/>
    <w:rsid w:val="004B1460"/>
    <w:rsid w:val="004B1ABF"/>
    <w:rsid w:val="004B3269"/>
    <w:rsid w:val="004B41F9"/>
    <w:rsid w:val="004B79D0"/>
    <w:rsid w:val="004C1612"/>
    <w:rsid w:val="004C3553"/>
    <w:rsid w:val="004C3FEC"/>
    <w:rsid w:val="004C6205"/>
    <w:rsid w:val="004C6383"/>
    <w:rsid w:val="004C7311"/>
    <w:rsid w:val="004D1AA6"/>
    <w:rsid w:val="004D3846"/>
    <w:rsid w:val="004D5C65"/>
    <w:rsid w:val="004D76E3"/>
    <w:rsid w:val="004E0AE8"/>
    <w:rsid w:val="004E0D21"/>
    <w:rsid w:val="004E31A3"/>
    <w:rsid w:val="004E3357"/>
    <w:rsid w:val="004E53AF"/>
    <w:rsid w:val="004E5C90"/>
    <w:rsid w:val="004F06E7"/>
    <w:rsid w:val="004F0F40"/>
    <w:rsid w:val="004F5A16"/>
    <w:rsid w:val="004F5DD4"/>
    <w:rsid w:val="005024CE"/>
    <w:rsid w:val="0050310F"/>
    <w:rsid w:val="005039AF"/>
    <w:rsid w:val="00503B0A"/>
    <w:rsid w:val="00504A7E"/>
    <w:rsid w:val="00506A1E"/>
    <w:rsid w:val="00507B78"/>
    <w:rsid w:val="005107A5"/>
    <w:rsid w:val="00510B84"/>
    <w:rsid w:val="0051146A"/>
    <w:rsid w:val="00513482"/>
    <w:rsid w:val="00513C3F"/>
    <w:rsid w:val="00513CBA"/>
    <w:rsid w:val="00514650"/>
    <w:rsid w:val="00515BAD"/>
    <w:rsid w:val="00523038"/>
    <w:rsid w:val="00523F89"/>
    <w:rsid w:val="00524893"/>
    <w:rsid w:val="005249F4"/>
    <w:rsid w:val="00524AA2"/>
    <w:rsid w:val="00525632"/>
    <w:rsid w:val="00525B8E"/>
    <w:rsid w:val="005307AF"/>
    <w:rsid w:val="00533864"/>
    <w:rsid w:val="00540BB0"/>
    <w:rsid w:val="00540D0B"/>
    <w:rsid w:val="00541BE7"/>
    <w:rsid w:val="00542F61"/>
    <w:rsid w:val="00543228"/>
    <w:rsid w:val="0054340C"/>
    <w:rsid w:val="00545934"/>
    <w:rsid w:val="005465BE"/>
    <w:rsid w:val="005504A6"/>
    <w:rsid w:val="00551016"/>
    <w:rsid w:val="00551327"/>
    <w:rsid w:val="00551B9A"/>
    <w:rsid w:val="00552247"/>
    <w:rsid w:val="005523DA"/>
    <w:rsid w:val="0055395B"/>
    <w:rsid w:val="00555F32"/>
    <w:rsid w:val="005579D6"/>
    <w:rsid w:val="00557D1D"/>
    <w:rsid w:val="005607DE"/>
    <w:rsid w:val="00561058"/>
    <w:rsid w:val="005616D0"/>
    <w:rsid w:val="0056325B"/>
    <w:rsid w:val="00564393"/>
    <w:rsid w:val="00564AF5"/>
    <w:rsid w:val="00564CF0"/>
    <w:rsid w:val="00571C85"/>
    <w:rsid w:val="005733A7"/>
    <w:rsid w:val="005735CF"/>
    <w:rsid w:val="00573E4C"/>
    <w:rsid w:val="005741A4"/>
    <w:rsid w:val="005741A6"/>
    <w:rsid w:val="00576A89"/>
    <w:rsid w:val="00577224"/>
    <w:rsid w:val="00581973"/>
    <w:rsid w:val="00582369"/>
    <w:rsid w:val="00582B3C"/>
    <w:rsid w:val="00584589"/>
    <w:rsid w:val="0058553D"/>
    <w:rsid w:val="00585599"/>
    <w:rsid w:val="005869CF"/>
    <w:rsid w:val="00587E5B"/>
    <w:rsid w:val="00592FC0"/>
    <w:rsid w:val="00594369"/>
    <w:rsid w:val="00594459"/>
    <w:rsid w:val="0059534F"/>
    <w:rsid w:val="00595513"/>
    <w:rsid w:val="005959EB"/>
    <w:rsid w:val="005A212A"/>
    <w:rsid w:val="005A2EE9"/>
    <w:rsid w:val="005A36E8"/>
    <w:rsid w:val="005A45B9"/>
    <w:rsid w:val="005A4FF3"/>
    <w:rsid w:val="005A599D"/>
    <w:rsid w:val="005A7D2F"/>
    <w:rsid w:val="005A7D68"/>
    <w:rsid w:val="005B165C"/>
    <w:rsid w:val="005B233C"/>
    <w:rsid w:val="005B396B"/>
    <w:rsid w:val="005B47CB"/>
    <w:rsid w:val="005B5225"/>
    <w:rsid w:val="005B5539"/>
    <w:rsid w:val="005B5C10"/>
    <w:rsid w:val="005B6911"/>
    <w:rsid w:val="005C5823"/>
    <w:rsid w:val="005C59EB"/>
    <w:rsid w:val="005C679B"/>
    <w:rsid w:val="005D465E"/>
    <w:rsid w:val="005E08BB"/>
    <w:rsid w:val="005E1D79"/>
    <w:rsid w:val="005E21B2"/>
    <w:rsid w:val="005E2788"/>
    <w:rsid w:val="005E27C5"/>
    <w:rsid w:val="005E2ADE"/>
    <w:rsid w:val="005E2DD4"/>
    <w:rsid w:val="005E4B61"/>
    <w:rsid w:val="005F155D"/>
    <w:rsid w:val="005F1B32"/>
    <w:rsid w:val="005F3DAB"/>
    <w:rsid w:val="005F5D84"/>
    <w:rsid w:val="005F61E0"/>
    <w:rsid w:val="005F64AB"/>
    <w:rsid w:val="005F7AF7"/>
    <w:rsid w:val="005F7BFA"/>
    <w:rsid w:val="0060114B"/>
    <w:rsid w:val="0060388F"/>
    <w:rsid w:val="0060486B"/>
    <w:rsid w:val="006065E9"/>
    <w:rsid w:val="00606771"/>
    <w:rsid w:val="00610322"/>
    <w:rsid w:val="00611502"/>
    <w:rsid w:val="0061350B"/>
    <w:rsid w:val="0061628B"/>
    <w:rsid w:val="00621E54"/>
    <w:rsid w:val="00622D7E"/>
    <w:rsid w:val="0062331A"/>
    <w:rsid w:val="00625173"/>
    <w:rsid w:val="00626B28"/>
    <w:rsid w:val="0063259D"/>
    <w:rsid w:val="00635A11"/>
    <w:rsid w:val="00636720"/>
    <w:rsid w:val="006416CD"/>
    <w:rsid w:val="00642A30"/>
    <w:rsid w:val="00642B9F"/>
    <w:rsid w:val="00645734"/>
    <w:rsid w:val="0064735E"/>
    <w:rsid w:val="00647F14"/>
    <w:rsid w:val="0065169B"/>
    <w:rsid w:val="00651B2A"/>
    <w:rsid w:val="00653985"/>
    <w:rsid w:val="0065584C"/>
    <w:rsid w:val="00655B05"/>
    <w:rsid w:val="00655C69"/>
    <w:rsid w:val="0065667D"/>
    <w:rsid w:val="0065794C"/>
    <w:rsid w:val="00660A36"/>
    <w:rsid w:val="00661615"/>
    <w:rsid w:val="006619C5"/>
    <w:rsid w:val="00661FD0"/>
    <w:rsid w:val="006635A6"/>
    <w:rsid w:val="006667C3"/>
    <w:rsid w:val="00667A5A"/>
    <w:rsid w:val="00670A53"/>
    <w:rsid w:val="006825FD"/>
    <w:rsid w:val="00682F7E"/>
    <w:rsid w:val="006836D3"/>
    <w:rsid w:val="0068378A"/>
    <w:rsid w:val="00686A42"/>
    <w:rsid w:val="006905EA"/>
    <w:rsid w:val="00693B84"/>
    <w:rsid w:val="00693C9F"/>
    <w:rsid w:val="00694D68"/>
    <w:rsid w:val="006966E9"/>
    <w:rsid w:val="0069684E"/>
    <w:rsid w:val="00696F7A"/>
    <w:rsid w:val="00697411"/>
    <w:rsid w:val="006A5B6E"/>
    <w:rsid w:val="006A5C97"/>
    <w:rsid w:val="006A6DF6"/>
    <w:rsid w:val="006A7C84"/>
    <w:rsid w:val="006B3EA4"/>
    <w:rsid w:val="006B447B"/>
    <w:rsid w:val="006B62E7"/>
    <w:rsid w:val="006B7893"/>
    <w:rsid w:val="006C14D3"/>
    <w:rsid w:val="006C1EE0"/>
    <w:rsid w:val="006C293B"/>
    <w:rsid w:val="006C349C"/>
    <w:rsid w:val="006C542E"/>
    <w:rsid w:val="006C663B"/>
    <w:rsid w:val="006C7F4B"/>
    <w:rsid w:val="006D1372"/>
    <w:rsid w:val="006D680C"/>
    <w:rsid w:val="006E0B15"/>
    <w:rsid w:val="006E0F17"/>
    <w:rsid w:val="006E21EC"/>
    <w:rsid w:val="006E25E5"/>
    <w:rsid w:val="006E4844"/>
    <w:rsid w:val="006E4AE5"/>
    <w:rsid w:val="006E501F"/>
    <w:rsid w:val="006E5D1E"/>
    <w:rsid w:val="006E7412"/>
    <w:rsid w:val="006E752B"/>
    <w:rsid w:val="006E79BC"/>
    <w:rsid w:val="006E7FA5"/>
    <w:rsid w:val="006F0155"/>
    <w:rsid w:val="006F1F3F"/>
    <w:rsid w:val="006F3E20"/>
    <w:rsid w:val="006F40EB"/>
    <w:rsid w:val="006F4541"/>
    <w:rsid w:val="006F4B95"/>
    <w:rsid w:val="006F6679"/>
    <w:rsid w:val="006F7249"/>
    <w:rsid w:val="006F74C7"/>
    <w:rsid w:val="006F7A81"/>
    <w:rsid w:val="00700C8E"/>
    <w:rsid w:val="0070152A"/>
    <w:rsid w:val="00703FF9"/>
    <w:rsid w:val="007061E2"/>
    <w:rsid w:val="007071C5"/>
    <w:rsid w:val="007103C2"/>
    <w:rsid w:val="00711DA4"/>
    <w:rsid w:val="0071261B"/>
    <w:rsid w:val="00715FEB"/>
    <w:rsid w:val="00717969"/>
    <w:rsid w:val="00717D25"/>
    <w:rsid w:val="00722DE6"/>
    <w:rsid w:val="0072311E"/>
    <w:rsid w:val="00725954"/>
    <w:rsid w:val="00725CFE"/>
    <w:rsid w:val="00726309"/>
    <w:rsid w:val="00730024"/>
    <w:rsid w:val="007308C3"/>
    <w:rsid w:val="00733150"/>
    <w:rsid w:val="0073411F"/>
    <w:rsid w:val="00734AB2"/>
    <w:rsid w:val="00734ABE"/>
    <w:rsid w:val="00741231"/>
    <w:rsid w:val="00744AA1"/>
    <w:rsid w:val="0074535F"/>
    <w:rsid w:val="00745572"/>
    <w:rsid w:val="00747FDD"/>
    <w:rsid w:val="00753CF5"/>
    <w:rsid w:val="0075444C"/>
    <w:rsid w:val="007564D7"/>
    <w:rsid w:val="00756F36"/>
    <w:rsid w:val="00760505"/>
    <w:rsid w:val="0076130B"/>
    <w:rsid w:val="00761496"/>
    <w:rsid w:val="00761E64"/>
    <w:rsid w:val="00762B8D"/>
    <w:rsid w:val="007706C3"/>
    <w:rsid w:val="007729A3"/>
    <w:rsid w:val="00773905"/>
    <w:rsid w:val="0077698E"/>
    <w:rsid w:val="00780B15"/>
    <w:rsid w:val="00780CC3"/>
    <w:rsid w:val="00780EB0"/>
    <w:rsid w:val="007818EE"/>
    <w:rsid w:val="00781D6D"/>
    <w:rsid w:val="007840E6"/>
    <w:rsid w:val="007853F3"/>
    <w:rsid w:val="00786412"/>
    <w:rsid w:val="007868BC"/>
    <w:rsid w:val="00786E10"/>
    <w:rsid w:val="00790588"/>
    <w:rsid w:val="00790B9B"/>
    <w:rsid w:val="007923FD"/>
    <w:rsid w:val="00792BBE"/>
    <w:rsid w:val="0079351A"/>
    <w:rsid w:val="007941FB"/>
    <w:rsid w:val="00796397"/>
    <w:rsid w:val="0079652F"/>
    <w:rsid w:val="00797A73"/>
    <w:rsid w:val="007A20D1"/>
    <w:rsid w:val="007A219E"/>
    <w:rsid w:val="007A26F1"/>
    <w:rsid w:val="007A2CA6"/>
    <w:rsid w:val="007A3026"/>
    <w:rsid w:val="007A67FE"/>
    <w:rsid w:val="007A7BA5"/>
    <w:rsid w:val="007A7C3E"/>
    <w:rsid w:val="007B0083"/>
    <w:rsid w:val="007B0698"/>
    <w:rsid w:val="007B4E90"/>
    <w:rsid w:val="007B5945"/>
    <w:rsid w:val="007B63F0"/>
    <w:rsid w:val="007B65F6"/>
    <w:rsid w:val="007B6BD5"/>
    <w:rsid w:val="007C6A49"/>
    <w:rsid w:val="007C7225"/>
    <w:rsid w:val="007C781A"/>
    <w:rsid w:val="007D0B69"/>
    <w:rsid w:val="007D2915"/>
    <w:rsid w:val="007D3CA9"/>
    <w:rsid w:val="007D42A1"/>
    <w:rsid w:val="007D486E"/>
    <w:rsid w:val="007D50AA"/>
    <w:rsid w:val="007D6B73"/>
    <w:rsid w:val="007E0C2E"/>
    <w:rsid w:val="007E1A3A"/>
    <w:rsid w:val="007E4383"/>
    <w:rsid w:val="007E503C"/>
    <w:rsid w:val="007F123C"/>
    <w:rsid w:val="007F5C4F"/>
    <w:rsid w:val="007F615D"/>
    <w:rsid w:val="007F698E"/>
    <w:rsid w:val="007F6F3A"/>
    <w:rsid w:val="008002F3"/>
    <w:rsid w:val="0080340A"/>
    <w:rsid w:val="008036D2"/>
    <w:rsid w:val="0080505B"/>
    <w:rsid w:val="008101D7"/>
    <w:rsid w:val="00811A9D"/>
    <w:rsid w:val="00812827"/>
    <w:rsid w:val="00814629"/>
    <w:rsid w:val="00824718"/>
    <w:rsid w:val="008262A2"/>
    <w:rsid w:val="00826A89"/>
    <w:rsid w:val="00830041"/>
    <w:rsid w:val="008304CB"/>
    <w:rsid w:val="008332AE"/>
    <w:rsid w:val="00833672"/>
    <w:rsid w:val="00835755"/>
    <w:rsid w:val="00835D7E"/>
    <w:rsid w:val="00836874"/>
    <w:rsid w:val="00837683"/>
    <w:rsid w:val="00841CE0"/>
    <w:rsid w:val="008425C3"/>
    <w:rsid w:val="00842BCC"/>
    <w:rsid w:val="0084515A"/>
    <w:rsid w:val="0085329C"/>
    <w:rsid w:val="00854A3C"/>
    <w:rsid w:val="00860AD8"/>
    <w:rsid w:val="00862FE4"/>
    <w:rsid w:val="0086328D"/>
    <w:rsid w:val="008646B1"/>
    <w:rsid w:val="00864A24"/>
    <w:rsid w:val="0086536E"/>
    <w:rsid w:val="00870C47"/>
    <w:rsid w:val="00870CCB"/>
    <w:rsid w:val="00872279"/>
    <w:rsid w:val="00872BC5"/>
    <w:rsid w:val="00873F7E"/>
    <w:rsid w:val="00874590"/>
    <w:rsid w:val="0087495A"/>
    <w:rsid w:val="00876AD2"/>
    <w:rsid w:val="00876D3A"/>
    <w:rsid w:val="00884DF8"/>
    <w:rsid w:val="008854DC"/>
    <w:rsid w:val="00885B8A"/>
    <w:rsid w:val="008875D7"/>
    <w:rsid w:val="00890748"/>
    <w:rsid w:val="00890CE2"/>
    <w:rsid w:val="00891637"/>
    <w:rsid w:val="008931D7"/>
    <w:rsid w:val="0089528A"/>
    <w:rsid w:val="008A1B5B"/>
    <w:rsid w:val="008A20B1"/>
    <w:rsid w:val="008A2BD2"/>
    <w:rsid w:val="008A4AB5"/>
    <w:rsid w:val="008B2074"/>
    <w:rsid w:val="008B2225"/>
    <w:rsid w:val="008B3426"/>
    <w:rsid w:val="008B3581"/>
    <w:rsid w:val="008B5999"/>
    <w:rsid w:val="008C01C9"/>
    <w:rsid w:val="008C03A7"/>
    <w:rsid w:val="008C334A"/>
    <w:rsid w:val="008C5F13"/>
    <w:rsid w:val="008C79C8"/>
    <w:rsid w:val="008D2D29"/>
    <w:rsid w:val="008D2E89"/>
    <w:rsid w:val="008D70F8"/>
    <w:rsid w:val="008E153D"/>
    <w:rsid w:val="008E2FA9"/>
    <w:rsid w:val="008E3D1B"/>
    <w:rsid w:val="008E5E4D"/>
    <w:rsid w:val="008F0355"/>
    <w:rsid w:val="008F3E85"/>
    <w:rsid w:val="008F49B1"/>
    <w:rsid w:val="008F4C61"/>
    <w:rsid w:val="008F4D08"/>
    <w:rsid w:val="008F4EE5"/>
    <w:rsid w:val="008F4F5E"/>
    <w:rsid w:val="00901D4C"/>
    <w:rsid w:val="00902FE4"/>
    <w:rsid w:val="0090469E"/>
    <w:rsid w:val="0090590C"/>
    <w:rsid w:val="009061F5"/>
    <w:rsid w:val="009062CE"/>
    <w:rsid w:val="00906300"/>
    <w:rsid w:val="00907ADD"/>
    <w:rsid w:val="009110BD"/>
    <w:rsid w:val="009125DB"/>
    <w:rsid w:val="009204B5"/>
    <w:rsid w:val="00921473"/>
    <w:rsid w:val="00922201"/>
    <w:rsid w:val="00922F1D"/>
    <w:rsid w:val="0092383E"/>
    <w:rsid w:val="00923F19"/>
    <w:rsid w:val="0092427C"/>
    <w:rsid w:val="00924650"/>
    <w:rsid w:val="009246CD"/>
    <w:rsid w:val="0092691A"/>
    <w:rsid w:val="009303BE"/>
    <w:rsid w:val="009306AA"/>
    <w:rsid w:val="0093162B"/>
    <w:rsid w:val="00935F57"/>
    <w:rsid w:val="00937BAD"/>
    <w:rsid w:val="00943D0E"/>
    <w:rsid w:val="00943E31"/>
    <w:rsid w:val="00944A57"/>
    <w:rsid w:val="00946267"/>
    <w:rsid w:val="009467E7"/>
    <w:rsid w:val="00947422"/>
    <w:rsid w:val="00951DF8"/>
    <w:rsid w:val="0095524E"/>
    <w:rsid w:val="00955BFD"/>
    <w:rsid w:val="0095748A"/>
    <w:rsid w:val="00957F24"/>
    <w:rsid w:val="00961257"/>
    <w:rsid w:val="00961C1E"/>
    <w:rsid w:val="009625AD"/>
    <w:rsid w:val="009645ED"/>
    <w:rsid w:val="00965579"/>
    <w:rsid w:val="00965B0B"/>
    <w:rsid w:val="009665E6"/>
    <w:rsid w:val="00966C5B"/>
    <w:rsid w:val="009703CC"/>
    <w:rsid w:val="00970571"/>
    <w:rsid w:val="0097166D"/>
    <w:rsid w:val="00971857"/>
    <w:rsid w:val="009729B3"/>
    <w:rsid w:val="00972C74"/>
    <w:rsid w:val="00973FDB"/>
    <w:rsid w:val="009747E5"/>
    <w:rsid w:val="00976006"/>
    <w:rsid w:val="00976CF9"/>
    <w:rsid w:val="009802EB"/>
    <w:rsid w:val="00980883"/>
    <w:rsid w:val="009822FB"/>
    <w:rsid w:val="0098297A"/>
    <w:rsid w:val="00983590"/>
    <w:rsid w:val="00985689"/>
    <w:rsid w:val="009877DF"/>
    <w:rsid w:val="00987B9B"/>
    <w:rsid w:val="00991916"/>
    <w:rsid w:val="0099506F"/>
    <w:rsid w:val="00995DB7"/>
    <w:rsid w:val="00996974"/>
    <w:rsid w:val="009970CC"/>
    <w:rsid w:val="009A3709"/>
    <w:rsid w:val="009A7C30"/>
    <w:rsid w:val="009B17F7"/>
    <w:rsid w:val="009B36FC"/>
    <w:rsid w:val="009B3AAD"/>
    <w:rsid w:val="009B4E2D"/>
    <w:rsid w:val="009B50FC"/>
    <w:rsid w:val="009B5408"/>
    <w:rsid w:val="009B56A6"/>
    <w:rsid w:val="009B5F5E"/>
    <w:rsid w:val="009C12D5"/>
    <w:rsid w:val="009C56FE"/>
    <w:rsid w:val="009C7120"/>
    <w:rsid w:val="009C7B84"/>
    <w:rsid w:val="009D2801"/>
    <w:rsid w:val="009D32B2"/>
    <w:rsid w:val="009D4CCD"/>
    <w:rsid w:val="009D6110"/>
    <w:rsid w:val="009D6761"/>
    <w:rsid w:val="009D6A6E"/>
    <w:rsid w:val="009D6FD3"/>
    <w:rsid w:val="009E0626"/>
    <w:rsid w:val="009E17CA"/>
    <w:rsid w:val="009E4B12"/>
    <w:rsid w:val="009E58C8"/>
    <w:rsid w:val="009E7168"/>
    <w:rsid w:val="009E76EE"/>
    <w:rsid w:val="009E7E37"/>
    <w:rsid w:val="009F0F6B"/>
    <w:rsid w:val="009F346B"/>
    <w:rsid w:val="009F3B55"/>
    <w:rsid w:val="009F45AA"/>
    <w:rsid w:val="009F4A14"/>
    <w:rsid w:val="009F52F5"/>
    <w:rsid w:val="009F5D73"/>
    <w:rsid w:val="009F6D26"/>
    <w:rsid w:val="00A01624"/>
    <w:rsid w:val="00A01C2D"/>
    <w:rsid w:val="00A026BA"/>
    <w:rsid w:val="00A04144"/>
    <w:rsid w:val="00A045A0"/>
    <w:rsid w:val="00A050FC"/>
    <w:rsid w:val="00A05148"/>
    <w:rsid w:val="00A0657A"/>
    <w:rsid w:val="00A076DC"/>
    <w:rsid w:val="00A07760"/>
    <w:rsid w:val="00A078F2"/>
    <w:rsid w:val="00A07EE4"/>
    <w:rsid w:val="00A07F33"/>
    <w:rsid w:val="00A102DC"/>
    <w:rsid w:val="00A109E1"/>
    <w:rsid w:val="00A128BD"/>
    <w:rsid w:val="00A12B3D"/>
    <w:rsid w:val="00A13276"/>
    <w:rsid w:val="00A133F0"/>
    <w:rsid w:val="00A13400"/>
    <w:rsid w:val="00A157A4"/>
    <w:rsid w:val="00A159A3"/>
    <w:rsid w:val="00A16CAD"/>
    <w:rsid w:val="00A17D6B"/>
    <w:rsid w:val="00A235E2"/>
    <w:rsid w:val="00A23A6A"/>
    <w:rsid w:val="00A2545B"/>
    <w:rsid w:val="00A25CA7"/>
    <w:rsid w:val="00A322F0"/>
    <w:rsid w:val="00A3248B"/>
    <w:rsid w:val="00A32E73"/>
    <w:rsid w:val="00A36C4A"/>
    <w:rsid w:val="00A42934"/>
    <w:rsid w:val="00A43AE6"/>
    <w:rsid w:val="00A46D84"/>
    <w:rsid w:val="00A46E3A"/>
    <w:rsid w:val="00A471AA"/>
    <w:rsid w:val="00A5046C"/>
    <w:rsid w:val="00A505CC"/>
    <w:rsid w:val="00A50B4C"/>
    <w:rsid w:val="00A50C51"/>
    <w:rsid w:val="00A51373"/>
    <w:rsid w:val="00A5165C"/>
    <w:rsid w:val="00A525F2"/>
    <w:rsid w:val="00A52F25"/>
    <w:rsid w:val="00A53968"/>
    <w:rsid w:val="00A570D6"/>
    <w:rsid w:val="00A60ADD"/>
    <w:rsid w:val="00A62EA6"/>
    <w:rsid w:val="00A66213"/>
    <w:rsid w:val="00A72092"/>
    <w:rsid w:val="00A74E32"/>
    <w:rsid w:val="00A7505A"/>
    <w:rsid w:val="00A75086"/>
    <w:rsid w:val="00A75676"/>
    <w:rsid w:val="00A76E97"/>
    <w:rsid w:val="00A77A27"/>
    <w:rsid w:val="00A8053A"/>
    <w:rsid w:val="00A810F3"/>
    <w:rsid w:val="00A8391D"/>
    <w:rsid w:val="00A91A18"/>
    <w:rsid w:val="00A92E2C"/>
    <w:rsid w:val="00A94B4A"/>
    <w:rsid w:val="00A961A8"/>
    <w:rsid w:val="00A965B6"/>
    <w:rsid w:val="00A9782B"/>
    <w:rsid w:val="00AA0F15"/>
    <w:rsid w:val="00AA46BF"/>
    <w:rsid w:val="00AA59A1"/>
    <w:rsid w:val="00AA5C5B"/>
    <w:rsid w:val="00AA6E96"/>
    <w:rsid w:val="00AA76D3"/>
    <w:rsid w:val="00AB1112"/>
    <w:rsid w:val="00AB11A5"/>
    <w:rsid w:val="00AB1347"/>
    <w:rsid w:val="00AB1727"/>
    <w:rsid w:val="00AB30CF"/>
    <w:rsid w:val="00AB33F4"/>
    <w:rsid w:val="00AB3906"/>
    <w:rsid w:val="00AB437B"/>
    <w:rsid w:val="00AB6CC6"/>
    <w:rsid w:val="00AB7577"/>
    <w:rsid w:val="00AB7C36"/>
    <w:rsid w:val="00AC0B52"/>
    <w:rsid w:val="00AC0B9D"/>
    <w:rsid w:val="00AC1BD1"/>
    <w:rsid w:val="00AC4DE0"/>
    <w:rsid w:val="00AC5539"/>
    <w:rsid w:val="00AC5861"/>
    <w:rsid w:val="00AC5E57"/>
    <w:rsid w:val="00AC697C"/>
    <w:rsid w:val="00AD3ADE"/>
    <w:rsid w:val="00AD3FAC"/>
    <w:rsid w:val="00AD48E5"/>
    <w:rsid w:val="00AD5422"/>
    <w:rsid w:val="00AD7CA6"/>
    <w:rsid w:val="00AE1E74"/>
    <w:rsid w:val="00AE542A"/>
    <w:rsid w:val="00AE5495"/>
    <w:rsid w:val="00AE79C3"/>
    <w:rsid w:val="00AF5CCA"/>
    <w:rsid w:val="00AF646C"/>
    <w:rsid w:val="00AF6E1E"/>
    <w:rsid w:val="00AF7420"/>
    <w:rsid w:val="00AF749B"/>
    <w:rsid w:val="00AF7DB0"/>
    <w:rsid w:val="00AF7F63"/>
    <w:rsid w:val="00B00FBC"/>
    <w:rsid w:val="00B0231E"/>
    <w:rsid w:val="00B0410A"/>
    <w:rsid w:val="00B041DA"/>
    <w:rsid w:val="00B04733"/>
    <w:rsid w:val="00B0554F"/>
    <w:rsid w:val="00B06529"/>
    <w:rsid w:val="00B065A5"/>
    <w:rsid w:val="00B07CAA"/>
    <w:rsid w:val="00B1072B"/>
    <w:rsid w:val="00B1459C"/>
    <w:rsid w:val="00B148C0"/>
    <w:rsid w:val="00B1584C"/>
    <w:rsid w:val="00B20860"/>
    <w:rsid w:val="00B216AD"/>
    <w:rsid w:val="00B21BE4"/>
    <w:rsid w:val="00B245DE"/>
    <w:rsid w:val="00B24AC3"/>
    <w:rsid w:val="00B24C6C"/>
    <w:rsid w:val="00B2614B"/>
    <w:rsid w:val="00B26407"/>
    <w:rsid w:val="00B26BF4"/>
    <w:rsid w:val="00B26F19"/>
    <w:rsid w:val="00B30DBE"/>
    <w:rsid w:val="00B31B19"/>
    <w:rsid w:val="00B32AB2"/>
    <w:rsid w:val="00B358C2"/>
    <w:rsid w:val="00B367AC"/>
    <w:rsid w:val="00B37C5F"/>
    <w:rsid w:val="00B40029"/>
    <w:rsid w:val="00B40534"/>
    <w:rsid w:val="00B42028"/>
    <w:rsid w:val="00B424ED"/>
    <w:rsid w:val="00B42523"/>
    <w:rsid w:val="00B43205"/>
    <w:rsid w:val="00B441F2"/>
    <w:rsid w:val="00B45DEE"/>
    <w:rsid w:val="00B46E7B"/>
    <w:rsid w:val="00B46EAA"/>
    <w:rsid w:val="00B47195"/>
    <w:rsid w:val="00B5232F"/>
    <w:rsid w:val="00B53867"/>
    <w:rsid w:val="00B54DEF"/>
    <w:rsid w:val="00B55630"/>
    <w:rsid w:val="00B55A2A"/>
    <w:rsid w:val="00B565CD"/>
    <w:rsid w:val="00B63DED"/>
    <w:rsid w:val="00B641AB"/>
    <w:rsid w:val="00B67283"/>
    <w:rsid w:val="00B74ACB"/>
    <w:rsid w:val="00B74C7B"/>
    <w:rsid w:val="00B779D1"/>
    <w:rsid w:val="00B800DB"/>
    <w:rsid w:val="00B815CA"/>
    <w:rsid w:val="00B81ABA"/>
    <w:rsid w:val="00B87678"/>
    <w:rsid w:val="00B9220C"/>
    <w:rsid w:val="00B926DE"/>
    <w:rsid w:val="00B927A6"/>
    <w:rsid w:val="00B92A83"/>
    <w:rsid w:val="00B947D1"/>
    <w:rsid w:val="00B948D7"/>
    <w:rsid w:val="00B94C65"/>
    <w:rsid w:val="00B9634A"/>
    <w:rsid w:val="00B96EB9"/>
    <w:rsid w:val="00BA0138"/>
    <w:rsid w:val="00BA26BC"/>
    <w:rsid w:val="00BA3805"/>
    <w:rsid w:val="00BA40EE"/>
    <w:rsid w:val="00BB088C"/>
    <w:rsid w:val="00BB1148"/>
    <w:rsid w:val="00BB1DD5"/>
    <w:rsid w:val="00BB2F7C"/>
    <w:rsid w:val="00BB6B6C"/>
    <w:rsid w:val="00BB7540"/>
    <w:rsid w:val="00BC0114"/>
    <w:rsid w:val="00BC1C01"/>
    <w:rsid w:val="00BC4DF0"/>
    <w:rsid w:val="00BC5414"/>
    <w:rsid w:val="00BD00D7"/>
    <w:rsid w:val="00BD1486"/>
    <w:rsid w:val="00BD40EE"/>
    <w:rsid w:val="00BD46F6"/>
    <w:rsid w:val="00BD4725"/>
    <w:rsid w:val="00BD5CA9"/>
    <w:rsid w:val="00BD7930"/>
    <w:rsid w:val="00BE0657"/>
    <w:rsid w:val="00BE120D"/>
    <w:rsid w:val="00BE447A"/>
    <w:rsid w:val="00BE454C"/>
    <w:rsid w:val="00BE63D9"/>
    <w:rsid w:val="00BE6BDE"/>
    <w:rsid w:val="00BF0237"/>
    <w:rsid w:val="00BF1026"/>
    <w:rsid w:val="00BF1DE4"/>
    <w:rsid w:val="00BF2E3C"/>
    <w:rsid w:val="00BF3D4D"/>
    <w:rsid w:val="00BF42D6"/>
    <w:rsid w:val="00BF550D"/>
    <w:rsid w:val="00BF6B20"/>
    <w:rsid w:val="00C0035B"/>
    <w:rsid w:val="00C0330D"/>
    <w:rsid w:val="00C0387E"/>
    <w:rsid w:val="00C03F04"/>
    <w:rsid w:val="00C04B94"/>
    <w:rsid w:val="00C04CED"/>
    <w:rsid w:val="00C05F67"/>
    <w:rsid w:val="00C07855"/>
    <w:rsid w:val="00C10DDE"/>
    <w:rsid w:val="00C112E2"/>
    <w:rsid w:val="00C12312"/>
    <w:rsid w:val="00C14094"/>
    <w:rsid w:val="00C14E00"/>
    <w:rsid w:val="00C1664F"/>
    <w:rsid w:val="00C1777B"/>
    <w:rsid w:val="00C17B38"/>
    <w:rsid w:val="00C203A5"/>
    <w:rsid w:val="00C2086B"/>
    <w:rsid w:val="00C20B7C"/>
    <w:rsid w:val="00C22AB5"/>
    <w:rsid w:val="00C22ED0"/>
    <w:rsid w:val="00C2350B"/>
    <w:rsid w:val="00C23EC4"/>
    <w:rsid w:val="00C25205"/>
    <w:rsid w:val="00C27CE6"/>
    <w:rsid w:val="00C33B48"/>
    <w:rsid w:val="00C34DBE"/>
    <w:rsid w:val="00C3680F"/>
    <w:rsid w:val="00C37503"/>
    <w:rsid w:val="00C402DA"/>
    <w:rsid w:val="00C438D3"/>
    <w:rsid w:val="00C44334"/>
    <w:rsid w:val="00C4701E"/>
    <w:rsid w:val="00C471B2"/>
    <w:rsid w:val="00C47AAF"/>
    <w:rsid w:val="00C47F0E"/>
    <w:rsid w:val="00C5078A"/>
    <w:rsid w:val="00C50B91"/>
    <w:rsid w:val="00C50F4E"/>
    <w:rsid w:val="00C525DE"/>
    <w:rsid w:val="00C53DEF"/>
    <w:rsid w:val="00C5521F"/>
    <w:rsid w:val="00C557EA"/>
    <w:rsid w:val="00C57287"/>
    <w:rsid w:val="00C6082A"/>
    <w:rsid w:val="00C643BD"/>
    <w:rsid w:val="00C6578B"/>
    <w:rsid w:val="00C66CDB"/>
    <w:rsid w:val="00C718DB"/>
    <w:rsid w:val="00C71F09"/>
    <w:rsid w:val="00C72E82"/>
    <w:rsid w:val="00C73D69"/>
    <w:rsid w:val="00C74098"/>
    <w:rsid w:val="00C7482E"/>
    <w:rsid w:val="00C74EB2"/>
    <w:rsid w:val="00C7795B"/>
    <w:rsid w:val="00C8123C"/>
    <w:rsid w:val="00C821DD"/>
    <w:rsid w:val="00C82F28"/>
    <w:rsid w:val="00C83328"/>
    <w:rsid w:val="00C84ED3"/>
    <w:rsid w:val="00C90593"/>
    <w:rsid w:val="00C90A1A"/>
    <w:rsid w:val="00C92B7E"/>
    <w:rsid w:val="00C93E5E"/>
    <w:rsid w:val="00C945A4"/>
    <w:rsid w:val="00CA047A"/>
    <w:rsid w:val="00CA173E"/>
    <w:rsid w:val="00CA1A1B"/>
    <w:rsid w:val="00CA2344"/>
    <w:rsid w:val="00CA28E0"/>
    <w:rsid w:val="00CA4A51"/>
    <w:rsid w:val="00CA4F31"/>
    <w:rsid w:val="00CB0239"/>
    <w:rsid w:val="00CB1426"/>
    <w:rsid w:val="00CB441D"/>
    <w:rsid w:val="00CB4CF6"/>
    <w:rsid w:val="00CB75A5"/>
    <w:rsid w:val="00CB7604"/>
    <w:rsid w:val="00CB7A49"/>
    <w:rsid w:val="00CC2359"/>
    <w:rsid w:val="00CC3008"/>
    <w:rsid w:val="00CC39A0"/>
    <w:rsid w:val="00CC6689"/>
    <w:rsid w:val="00CC684D"/>
    <w:rsid w:val="00CD0348"/>
    <w:rsid w:val="00CD0B7E"/>
    <w:rsid w:val="00CD1FDD"/>
    <w:rsid w:val="00CD37BF"/>
    <w:rsid w:val="00CD562F"/>
    <w:rsid w:val="00CD6356"/>
    <w:rsid w:val="00CD6879"/>
    <w:rsid w:val="00CD6F17"/>
    <w:rsid w:val="00CD754E"/>
    <w:rsid w:val="00CD7935"/>
    <w:rsid w:val="00CD7C66"/>
    <w:rsid w:val="00CE030E"/>
    <w:rsid w:val="00CE0483"/>
    <w:rsid w:val="00CE073E"/>
    <w:rsid w:val="00CE33F4"/>
    <w:rsid w:val="00CE50C1"/>
    <w:rsid w:val="00CE5339"/>
    <w:rsid w:val="00CE59A5"/>
    <w:rsid w:val="00CE5B44"/>
    <w:rsid w:val="00CF0D93"/>
    <w:rsid w:val="00CF2B57"/>
    <w:rsid w:val="00CF2D99"/>
    <w:rsid w:val="00CF3194"/>
    <w:rsid w:val="00CF4564"/>
    <w:rsid w:val="00D0016E"/>
    <w:rsid w:val="00D041FC"/>
    <w:rsid w:val="00D100A7"/>
    <w:rsid w:val="00D1079C"/>
    <w:rsid w:val="00D122E6"/>
    <w:rsid w:val="00D1258E"/>
    <w:rsid w:val="00D13A81"/>
    <w:rsid w:val="00D13A83"/>
    <w:rsid w:val="00D13C24"/>
    <w:rsid w:val="00D14E70"/>
    <w:rsid w:val="00D15A61"/>
    <w:rsid w:val="00D1687F"/>
    <w:rsid w:val="00D1751A"/>
    <w:rsid w:val="00D17D0A"/>
    <w:rsid w:val="00D20F39"/>
    <w:rsid w:val="00D21023"/>
    <w:rsid w:val="00D21B83"/>
    <w:rsid w:val="00D239C6"/>
    <w:rsid w:val="00D24F89"/>
    <w:rsid w:val="00D266B0"/>
    <w:rsid w:val="00D30176"/>
    <w:rsid w:val="00D30FD1"/>
    <w:rsid w:val="00D335FB"/>
    <w:rsid w:val="00D3492C"/>
    <w:rsid w:val="00D34E94"/>
    <w:rsid w:val="00D35337"/>
    <w:rsid w:val="00D35B6B"/>
    <w:rsid w:val="00D35C50"/>
    <w:rsid w:val="00D36328"/>
    <w:rsid w:val="00D368B9"/>
    <w:rsid w:val="00D40F84"/>
    <w:rsid w:val="00D411F4"/>
    <w:rsid w:val="00D4235C"/>
    <w:rsid w:val="00D42670"/>
    <w:rsid w:val="00D434D4"/>
    <w:rsid w:val="00D4365C"/>
    <w:rsid w:val="00D43E95"/>
    <w:rsid w:val="00D45AEC"/>
    <w:rsid w:val="00D520FA"/>
    <w:rsid w:val="00D5476B"/>
    <w:rsid w:val="00D57B4C"/>
    <w:rsid w:val="00D60253"/>
    <w:rsid w:val="00D61D39"/>
    <w:rsid w:val="00D622FB"/>
    <w:rsid w:val="00D62357"/>
    <w:rsid w:val="00D6340F"/>
    <w:rsid w:val="00D6640D"/>
    <w:rsid w:val="00D66D66"/>
    <w:rsid w:val="00D708D0"/>
    <w:rsid w:val="00D70C45"/>
    <w:rsid w:val="00D715A6"/>
    <w:rsid w:val="00D72D92"/>
    <w:rsid w:val="00D73AE1"/>
    <w:rsid w:val="00D751D7"/>
    <w:rsid w:val="00D7674B"/>
    <w:rsid w:val="00D7795F"/>
    <w:rsid w:val="00D77B3A"/>
    <w:rsid w:val="00D8431A"/>
    <w:rsid w:val="00D844B2"/>
    <w:rsid w:val="00D85889"/>
    <w:rsid w:val="00D85BF3"/>
    <w:rsid w:val="00D8775F"/>
    <w:rsid w:val="00D8795C"/>
    <w:rsid w:val="00D87B40"/>
    <w:rsid w:val="00D90CA5"/>
    <w:rsid w:val="00D9119D"/>
    <w:rsid w:val="00D92CDF"/>
    <w:rsid w:val="00D93127"/>
    <w:rsid w:val="00D93CE1"/>
    <w:rsid w:val="00D94DD6"/>
    <w:rsid w:val="00D95868"/>
    <w:rsid w:val="00D96372"/>
    <w:rsid w:val="00D96BF3"/>
    <w:rsid w:val="00DA2485"/>
    <w:rsid w:val="00DA3AF5"/>
    <w:rsid w:val="00DA6196"/>
    <w:rsid w:val="00DA6A9A"/>
    <w:rsid w:val="00DA6DE4"/>
    <w:rsid w:val="00DB0FBE"/>
    <w:rsid w:val="00DB1F3A"/>
    <w:rsid w:val="00DB2301"/>
    <w:rsid w:val="00DB28A9"/>
    <w:rsid w:val="00DB4714"/>
    <w:rsid w:val="00DB4E94"/>
    <w:rsid w:val="00DB5B18"/>
    <w:rsid w:val="00DC07EC"/>
    <w:rsid w:val="00DC330A"/>
    <w:rsid w:val="00DC4CAE"/>
    <w:rsid w:val="00DC5A7F"/>
    <w:rsid w:val="00DC6626"/>
    <w:rsid w:val="00DD219F"/>
    <w:rsid w:val="00DD268E"/>
    <w:rsid w:val="00DD3C21"/>
    <w:rsid w:val="00DD40F9"/>
    <w:rsid w:val="00DD5361"/>
    <w:rsid w:val="00DD5C14"/>
    <w:rsid w:val="00DD6353"/>
    <w:rsid w:val="00DE0315"/>
    <w:rsid w:val="00DE04F9"/>
    <w:rsid w:val="00DE07A0"/>
    <w:rsid w:val="00DE1923"/>
    <w:rsid w:val="00DE3B36"/>
    <w:rsid w:val="00DE400E"/>
    <w:rsid w:val="00DE487B"/>
    <w:rsid w:val="00DE4C86"/>
    <w:rsid w:val="00DE4D60"/>
    <w:rsid w:val="00DF0DDC"/>
    <w:rsid w:val="00DF39FA"/>
    <w:rsid w:val="00DF4060"/>
    <w:rsid w:val="00DF49B6"/>
    <w:rsid w:val="00DF53F1"/>
    <w:rsid w:val="00DF588B"/>
    <w:rsid w:val="00DF5E4D"/>
    <w:rsid w:val="00E04641"/>
    <w:rsid w:val="00E06AF9"/>
    <w:rsid w:val="00E075C7"/>
    <w:rsid w:val="00E079A4"/>
    <w:rsid w:val="00E10BB6"/>
    <w:rsid w:val="00E12A0E"/>
    <w:rsid w:val="00E13CC6"/>
    <w:rsid w:val="00E13EFC"/>
    <w:rsid w:val="00E20E32"/>
    <w:rsid w:val="00E21BA5"/>
    <w:rsid w:val="00E27A44"/>
    <w:rsid w:val="00E316C3"/>
    <w:rsid w:val="00E3183E"/>
    <w:rsid w:val="00E31B52"/>
    <w:rsid w:val="00E3328C"/>
    <w:rsid w:val="00E3366C"/>
    <w:rsid w:val="00E34279"/>
    <w:rsid w:val="00E359B0"/>
    <w:rsid w:val="00E374BE"/>
    <w:rsid w:val="00E37655"/>
    <w:rsid w:val="00E37812"/>
    <w:rsid w:val="00E44291"/>
    <w:rsid w:val="00E46E5A"/>
    <w:rsid w:val="00E530FB"/>
    <w:rsid w:val="00E5549D"/>
    <w:rsid w:val="00E55D6B"/>
    <w:rsid w:val="00E578B9"/>
    <w:rsid w:val="00E57B67"/>
    <w:rsid w:val="00E601F5"/>
    <w:rsid w:val="00E602BF"/>
    <w:rsid w:val="00E60DFA"/>
    <w:rsid w:val="00E615BE"/>
    <w:rsid w:val="00E64F8D"/>
    <w:rsid w:val="00E67AEA"/>
    <w:rsid w:val="00E7079E"/>
    <w:rsid w:val="00E708FF"/>
    <w:rsid w:val="00E71F1D"/>
    <w:rsid w:val="00E72119"/>
    <w:rsid w:val="00E7219C"/>
    <w:rsid w:val="00E7346E"/>
    <w:rsid w:val="00E752EB"/>
    <w:rsid w:val="00E769C4"/>
    <w:rsid w:val="00E778B8"/>
    <w:rsid w:val="00E80B5C"/>
    <w:rsid w:val="00E83361"/>
    <w:rsid w:val="00E8349F"/>
    <w:rsid w:val="00E837BC"/>
    <w:rsid w:val="00E845DF"/>
    <w:rsid w:val="00E8570D"/>
    <w:rsid w:val="00E9175E"/>
    <w:rsid w:val="00E94459"/>
    <w:rsid w:val="00E9467E"/>
    <w:rsid w:val="00E94FB9"/>
    <w:rsid w:val="00E95662"/>
    <w:rsid w:val="00E961CE"/>
    <w:rsid w:val="00E96736"/>
    <w:rsid w:val="00E97155"/>
    <w:rsid w:val="00E973F2"/>
    <w:rsid w:val="00E9749A"/>
    <w:rsid w:val="00EA0B4F"/>
    <w:rsid w:val="00EA1F5F"/>
    <w:rsid w:val="00EA47AF"/>
    <w:rsid w:val="00EA653E"/>
    <w:rsid w:val="00EA7CD7"/>
    <w:rsid w:val="00EB4017"/>
    <w:rsid w:val="00EB5564"/>
    <w:rsid w:val="00EB667F"/>
    <w:rsid w:val="00EB6E91"/>
    <w:rsid w:val="00EC1D2F"/>
    <w:rsid w:val="00EC2108"/>
    <w:rsid w:val="00EC2F74"/>
    <w:rsid w:val="00EC303E"/>
    <w:rsid w:val="00EC5D52"/>
    <w:rsid w:val="00EC6DB0"/>
    <w:rsid w:val="00EC6E40"/>
    <w:rsid w:val="00ED15EC"/>
    <w:rsid w:val="00ED3532"/>
    <w:rsid w:val="00ED3922"/>
    <w:rsid w:val="00ED3975"/>
    <w:rsid w:val="00ED39F5"/>
    <w:rsid w:val="00ED5734"/>
    <w:rsid w:val="00ED6898"/>
    <w:rsid w:val="00EE0D6B"/>
    <w:rsid w:val="00EE2C6E"/>
    <w:rsid w:val="00EE42C2"/>
    <w:rsid w:val="00EE5B57"/>
    <w:rsid w:val="00EF209F"/>
    <w:rsid w:val="00EF4635"/>
    <w:rsid w:val="00EF5813"/>
    <w:rsid w:val="00EF673C"/>
    <w:rsid w:val="00F015F2"/>
    <w:rsid w:val="00F018B9"/>
    <w:rsid w:val="00F04CDF"/>
    <w:rsid w:val="00F05A5D"/>
    <w:rsid w:val="00F07D21"/>
    <w:rsid w:val="00F07F24"/>
    <w:rsid w:val="00F119F4"/>
    <w:rsid w:val="00F133D5"/>
    <w:rsid w:val="00F133F5"/>
    <w:rsid w:val="00F15EFD"/>
    <w:rsid w:val="00F1713F"/>
    <w:rsid w:val="00F17AED"/>
    <w:rsid w:val="00F17B9A"/>
    <w:rsid w:val="00F21502"/>
    <w:rsid w:val="00F22048"/>
    <w:rsid w:val="00F238FF"/>
    <w:rsid w:val="00F26F90"/>
    <w:rsid w:val="00F27D52"/>
    <w:rsid w:val="00F30041"/>
    <w:rsid w:val="00F3210A"/>
    <w:rsid w:val="00F3214C"/>
    <w:rsid w:val="00F3294E"/>
    <w:rsid w:val="00F37B17"/>
    <w:rsid w:val="00F4214B"/>
    <w:rsid w:val="00F449A8"/>
    <w:rsid w:val="00F44B74"/>
    <w:rsid w:val="00F455E5"/>
    <w:rsid w:val="00F455F1"/>
    <w:rsid w:val="00F4661D"/>
    <w:rsid w:val="00F50C12"/>
    <w:rsid w:val="00F51C67"/>
    <w:rsid w:val="00F53EC8"/>
    <w:rsid w:val="00F5407A"/>
    <w:rsid w:val="00F5410A"/>
    <w:rsid w:val="00F56A2C"/>
    <w:rsid w:val="00F56C01"/>
    <w:rsid w:val="00F63C99"/>
    <w:rsid w:val="00F647FF"/>
    <w:rsid w:val="00F71423"/>
    <w:rsid w:val="00F71912"/>
    <w:rsid w:val="00F756B9"/>
    <w:rsid w:val="00F76926"/>
    <w:rsid w:val="00F7699D"/>
    <w:rsid w:val="00F82E26"/>
    <w:rsid w:val="00F8303F"/>
    <w:rsid w:val="00F8327D"/>
    <w:rsid w:val="00F8344C"/>
    <w:rsid w:val="00F83568"/>
    <w:rsid w:val="00F84419"/>
    <w:rsid w:val="00F85220"/>
    <w:rsid w:val="00F873BA"/>
    <w:rsid w:val="00F87951"/>
    <w:rsid w:val="00F919BE"/>
    <w:rsid w:val="00F91C09"/>
    <w:rsid w:val="00F93F3A"/>
    <w:rsid w:val="00F954EE"/>
    <w:rsid w:val="00F9718C"/>
    <w:rsid w:val="00F972DC"/>
    <w:rsid w:val="00F97472"/>
    <w:rsid w:val="00FA0EA1"/>
    <w:rsid w:val="00FA1607"/>
    <w:rsid w:val="00FA4E5A"/>
    <w:rsid w:val="00FA576C"/>
    <w:rsid w:val="00FB2AC9"/>
    <w:rsid w:val="00FB3B7A"/>
    <w:rsid w:val="00FB58EE"/>
    <w:rsid w:val="00FB5D3A"/>
    <w:rsid w:val="00FB78E3"/>
    <w:rsid w:val="00FC166C"/>
    <w:rsid w:val="00FC1F5E"/>
    <w:rsid w:val="00FC7145"/>
    <w:rsid w:val="00FD03EE"/>
    <w:rsid w:val="00FD16B9"/>
    <w:rsid w:val="00FD19FC"/>
    <w:rsid w:val="00FD1AAE"/>
    <w:rsid w:val="00FD1CA2"/>
    <w:rsid w:val="00FE177E"/>
    <w:rsid w:val="00FE388F"/>
    <w:rsid w:val="00FE3BBE"/>
    <w:rsid w:val="00FE4BC3"/>
    <w:rsid w:val="00FE4F67"/>
    <w:rsid w:val="00FE5B6B"/>
    <w:rsid w:val="00FE6984"/>
    <w:rsid w:val="00FE6D0E"/>
    <w:rsid w:val="00FE7E01"/>
    <w:rsid w:val="00FF2605"/>
    <w:rsid w:val="00FF3E91"/>
    <w:rsid w:val="00FF448E"/>
    <w:rsid w:val="00FF5F50"/>
    <w:rsid w:val="00FF6CF7"/>
    <w:rsid w:val="00FF6D5B"/>
    <w:rsid w:val="00FF71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6C3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05"/>
  </w:style>
  <w:style w:type="paragraph" w:styleId="Heading1">
    <w:name w:val="heading 1"/>
    <w:basedOn w:val="Normal"/>
    <w:next w:val="Normal"/>
    <w:link w:val="Heading1Char"/>
    <w:uiPriority w:val="9"/>
    <w:qFormat/>
    <w:rsid w:val="00393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7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2C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4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251"/>
  </w:style>
  <w:style w:type="table" w:styleId="TableGrid">
    <w:name w:val="Table Grid"/>
    <w:basedOn w:val="TableNormal"/>
    <w:uiPriority w:val="59"/>
    <w:rsid w:val="003C42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C4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51"/>
    <w:rPr>
      <w:rFonts w:ascii="Segoe UI" w:hAnsi="Segoe UI" w:cs="Segoe UI"/>
      <w:sz w:val="18"/>
      <w:szCs w:val="18"/>
    </w:rPr>
  </w:style>
  <w:style w:type="table" w:customStyle="1" w:styleId="TableGrid1">
    <w:name w:val="Table Grid1"/>
    <w:basedOn w:val="TableNormal"/>
    <w:next w:val="TableGrid"/>
    <w:uiPriority w:val="59"/>
    <w:rsid w:val="003C42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3C4251"/>
    <w:pPr>
      <w:spacing w:after="0" w:line="240" w:lineRule="auto"/>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3C4251"/>
    <w:rPr>
      <w:rFonts w:ascii="Calibri" w:eastAsia="Calibri" w:hAnsi="Calibri" w:cs="Calibri"/>
      <w:sz w:val="20"/>
      <w:szCs w:val="20"/>
    </w:rPr>
  </w:style>
  <w:style w:type="character" w:styleId="FootnoteReference">
    <w:name w:val="footnote reference"/>
    <w:basedOn w:val="DefaultParagraphFont"/>
    <w:uiPriority w:val="99"/>
    <w:semiHidden/>
    <w:unhideWhenUsed/>
    <w:rsid w:val="003C4251"/>
    <w:rPr>
      <w:vertAlign w:val="superscript"/>
    </w:rPr>
  </w:style>
  <w:style w:type="character" w:styleId="Hyperlink">
    <w:name w:val="Hyperlink"/>
    <w:basedOn w:val="DefaultParagraphFont"/>
    <w:uiPriority w:val="99"/>
    <w:unhideWhenUsed/>
    <w:rsid w:val="003C4251"/>
    <w:rPr>
      <w:color w:val="0563C1" w:themeColor="hyperlink"/>
      <w:u w:val="single"/>
    </w:rPr>
  </w:style>
  <w:style w:type="paragraph" w:styleId="CommentText">
    <w:name w:val="annotation text"/>
    <w:basedOn w:val="Normal"/>
    <w:link w:val="CommentTextChar"/>
    <w:uiPriority w:val="99"/>
    <w:unhideWhenUsed/>
    <w:rsid w:val="003C4251"/>
    <w:pPr>
      <w:spacing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C4251"/>
    <w:rPr>
      <w:rFonts w:ascii="Calibri" w:eastAsia="Calibri" w:hAnsi="Calibri" w:cs="Calibri"/>
      <w:sz w:val="20"/>
      <w:szCs w:val="20"/>
    </w:rPr>
  </w:style>
  <w:style w:type="character" w:styleId="CommentReference">
    <w:name w:val="annotation reference"/>
    <w:basedOn w:val="DefaultParagraphFont"/>
    <w:uiPriority w:val="99"/>
    <w:semiHidden/>
    <w:unhideWhenUsed/>
    <w:rsid w:val="003C4251"/>
    <w:rPr>
      <w:sz w:val="16"/>
      <w:szCs w:val="16"/>
    </w:rPr>
  </w:style>
  <w:style w:type="paragraph" w:styleId="CommentSubject">
    <w:name w:val="annotation subject"/>
    <w:basedOn w:val="CommentText"/>
    <w:next w:val="CommentText"/>
    <w:link w:val="CommentSubjectChar"/>
    <w:uiPriority w:val="99"/>
    <w:semiHidden/>
    <w:unhideWhenUsed/>
    <w:rsid w:val="003C4251"/>
    <w:pPr>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C4251"/>
    <w:rPr>
      <w:rFonts w:ascii="Calibri" w:eastAsia="Calibri" w:hAnsi="Calibri" w:cs="Calibri"/>
      <w:b/>
      <w:bCs/>
      <w:sz w:val="20"/>
      <w:szCs w:val="20"/>
    </w:rPr>
  </w:style>
  <w:style w:type="paragraph" w:styleId="ListParagraph">
    <w:name w:val="List Paragraph"/>
    <w:aliases w:val="Paragraph,List Paragraph1,Heading 2_sj,Bullet List,FooterText,Colorful List Accent 1,Colorful List - Accent 11,List with no spacing,HEAD 3,Table bullet,Bullets,bullets,Citation List,List Paragraph (numbered (a)),Bullit,Recommendation,L"/>
    <w:basedOn w:val="Normal"/>
    <w:link w:val="ListParagraphChar"/>
    <w:uiPriority w:val="34"/>
    <w:qFormat/>
    <w:rsid w:val="003C4251"/>
    <w:pPr>
      <w:ind w:left="720"/>
      <w:contextualSpacing/>
    </w:pPr>
  </w:style>
  <w:style w:type="table" w:customStyle="1" w:styleId="TableGrid2">
    <w:name w:val="Table Grid2"/>
    <w:basedOn w:val="TableNormal"/>
    <w:next w:val="TableGrid"/>
    <w:uiPriority w:val="59"/>
    <w:rsid w:val="003C42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109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09E1"/>
  </w:style>
  <w:style w:type="character" w:customStyle="1" w:styleId="eop">
    <w:name w:val="eop"/>
    <w:basedOn w:val="DefaultParagraphFont"/>
    <w:rsid w:val="00A109E1"/>
  </w:style>
  <w:style w:type="paragraph" w:styleId="Header">
    <w:name w:val="header"/>
    <w:basedOn w:val="Normal"/>
    <w:link w:val="HeaderChar"/>
    <w:uiPriority w:val="99"/>
    <w:unhideWhenUsed/>
    <w:rsid w:val="00C17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38"/>
  </w:style>
  <w:style w:type="character" w:customStyle="1" w:styleId="ListParagraphChar">
    <w:name w:val="List Paragraph Char"/>
    <w:aliases w:val="Paragraph Char,List Paragraph1 Char,Heading 2_sj Char,Bullet List Char,FooterText Char,Colorful List Accent 1 Char,Colorful List - Accent 11 Char,List with no spacing Char,HEAD 3 Char,Table bullet Char,Bullets Char,bullets Char"/>
    <w:link w:val="ListParagraph"/>
    <w:uiPriority w:val="34"/>
    <w:qFormat/>
    <w:locked/>
    <w:rsid w:val="00D6640D"/>
  </w:style>
  <w:style w:type="character" w:customStyle="1" w:styleId="Heading2Char">
    <w:name w:val="Heading 2 Char"/>
    <w:basedOn w:val="DefaultParagraphFont"/>
    <w:link w:val="Heading2"/>
    <w:uiPriority w:val="9"/>
    <w:rsid w:val="0039372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9372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101C0"/>
    <w:pPr>
      <w:spacing w:after="0" w:line="240" w:lineRule="auto"/>
    </w:pPr>
  </w:style>
  <w:style w:type="character" w:customStyle="1" w:styleId="Marker">
    <w:name w:val="Marker"/>
    <w:basedOn w:val="DefaultParagraphFont"/>
    <w:rsid w:val="00A76E97"/>
    <w:rPr>
      <w:color w:val="0000FF"/>
      <w:shd w:val="clear" w:color="auto" w:fill="auto"/>
    </w:rPr>
  </w:style>
  <w:style w:type="paragraph" w:customStyle="1" w:styleId="Pagedecouverture">
    <w:name w:val="Page de couverture"/>
    <w:basedOn w:val="Normal"/>
    <w:next w:val="Normal"/>
    <w:rsid w:val="00A76E97"/>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A76E9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76E97"/>
    <w:rPr>
      <w:rFonts w:ascii="Times New Roman" w:hAnsi="Times New Roman" w:cs="Times New Roman"/>
      <w:sz w:val="24"/>
    </w:rPr>
  </w:style>
  <w:style w:type="paragraph" w:customStyle="1" w:styleId="FooterSensitivity">
    <w:name w:val="Footer Sensitivity"/>
    <w:basedOn w:val="Normal"/>
    <w:link w:val="FooterSensitivityChar"/>
    <w:rsid w:val="00A76E9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76E97"/>
    <w:rPr>
      <w:rFonts w:ascii="Times New Roman" w:hAnsi="Times New Roman" w:cs="Times New Roman"/>
      <w:b/>
      <w:sz w:val="32"/>
    </w:rPr>
  </w:style>
  <w:style w:type="paragraph" w:customStyle="1" w:styleId="HeaderCoverPage">
    <w:name w:val="Header Cover Page"/>
    <w:basedOn w:val="Normal"/>
    <w:link w:val="HeaderCoverPageChar"/>
    <w:rsid w:val="00A76E9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76E97"/>
    <w:rPr>
      <w:rFonts w:ascii="Times New Roman" w:hAnsi="Times New Roman" w:cs="Times New Roman"/>
      <w:sz w:val="24"/>
    </w:rPr>
  </w:style>
  <w:style w:type="paragraph" w:customStyle="1" w:styleId="HeaderSensitivity">
    <w:name w:val="Header Sensitivity"/>
    <w:basedOn w:val="Normal"/>
    <w:link w:val="HeaderSensitivityChar"/>
    <w:rsid w:val="00A76E9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76E97"/>
    <w:rPr>
      <w:rFonts w:ascii="Times New Roman" w:hAnsi="Times New Roman" w:cs="Times New Roman"/>
      <w:b/>
      <w:sz w:val="32"/>
    </w:rPr>
  </w:style>
  <w:style w:type="paragraph" w:customStyle="1" w:styleId="HeaderSensitivityRight">
    <w:name w:val="Header Sensitivity Right"/>
    <w:basedOn w:val="Normal"/>
    <w:link w:val="HeaderSensitivityRightChar"/>
    <w:rsid w:val="00044AE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76E97"/>
    <w:rPr>
      <w:rFonts w:ascii="Times New Roman" w:hAnsi="Times New Roman" w:cs="Times New Roman"/>
      <w:sz w:val="28"/>
    </w:rPr>
  </w:style>
  <w:style w:type="character" w:customStyle="1" w:styleId="UnresolvedMention1">
    <w:name w:val="Unresolved Mention1"/>
    <w:basedOn w:val="DefaultParagraphFont"/>
    <w:uiPriority w:val="99"/>
    <w:semiHidden/>
    <w:unhideWhenUsed/>
    <w:rsid w:val="00EE0D6B"/>
    <w:rPr>
      <w:color w:val="605E5C"/>
      <w:shd w:val="clear" w:color="auto" w:fill="E1DFDD"/>
    </w:rPr>
  </w:style>
  <w:style w:type="character" w:styleId="FollowedHyperlink">
    <w:name w:val="FollowedHyperlink"/>
    <w:basedOn w:val="DefaultParagraphFont"/>
    <w:uiPriority w:val="99"/>
    <w:semiHidden/>
    <w:unhideWhenUsed/>
    <w:rsid w:val="00B04733"/>
    <w:rPr>
      <w:color w:val="954F72" w:themeColor="followedHyperlink"/>
      <w:u w:val="single"/>
    </w:rPr>
  </w:style>
  <w:style w:type="character" w:customStyle="1" w:styleId="Heading3Char">
    <w:name w:val="Heading 3 Char"/>
    <w:basedOn w:val="DefaultParagraphFont"/>
    <w:link w:val="Heading3"/>
    <w:uiPriority w:val="9"/>
    <w:semiHidden/>
    <w:rsid w:val="00D92CDF"/>
    <w:rPr>
      <w:rFonts w:asciiTheme="majorHAnsi" w:eastAsiaTheme="majorEastAsia" w:hAnsiTheme="majorHAnsi" w:cstheme="majorBidi"/>
      <w:color w:val="1F3763" w:themeColor="accent1" w:themeShade="7F"/>
      <w:sz w:val="24"/>
      <w:szCs w:val="24"/>
    </w:rPr>
  </w:style>
  <w:style w:type="paragraph" w:customStyle="1" w:styleId="Cred">
    <w:name w:val="Cred"/>
    <w:basedOn w:val="Normal"/>
    <w:rsid w:val="00F3210A"/>
    <w:pPr>
      <w:spacing w:line="240" w:lineRule="auto"/>
      <w:jc w:val="both"/>
    </w:pPr>
    <w:rPr>
      <w:rFonts w:ascii="Calibri" w:hAnsi="Calibri" w:cs="Calibri"/>
    </w:rPr>
  </w:style>
  <w:style w:type="character" w:customStyle="1" w:styleId="UnresolvedMention2">
    <w:name w:val="Unresolved Mention2"/>
    <w:basedOn w:val="DefaultParagraphFont"/>
    <w:uiPriority w:val="99"/>
    <w:semiHidden/>
    <w:unhideWhenUsed/>
    <w:rsid w:val="00D93CE1"/>
    <w:rPr>
      <w:color w:val="605E5C"/>
      <w:shd w:val="clear" w:color="auto" w:fill="E1DFDD"/>
    </w:rPr>
  </w:style>
  <w:style w:type="character" w:customStyle="1" w:styleId="UnresolvedMention3">
    <w:name w:val="Unresolved Mention3"/>
    <w:basedOn w:val="DefaultParagraphFont"/>
    <w:uiPriority w:val="99"/>
    <w:semiHidden/>
    <w:unhideWhenUsed/>
    <w:rsid w:val="00095C42"/>
    <w:rPr>
      <w:color w:val="605E5C"/>
      <w:shd w:val="clear" w:color="auto" w:fill="E1DFDD"/>
    </w:rPr>
  </w:style>
  <w:style w:type="character" w:customStyle="1" w:styleId="UnresolvedMention4">
    <w:name w:val="Unresolved Mention4"/>
    <w:basedOn w:val="DefaultParagraphFont"/>
    <w:uiPriority w:val="99"/>
    <w:semiHidden/>
    <w:unhideWhenUsed/>
    <w:rsid w:val="0087495A"/>
    <w:rPr>
      <w:color w:val="605E5C"/>
      <w:shd w:val="clear" w:color="auto" w:fill="E1DFDD"/>
    </w:rPr>
  </w:style>
  <w:style w:type="character" w:customStyle="1" w:styleId="UnresolvedMention5">
    <w:name w:val="Unresolved Mention5"/>
    <w:basedOn w:val="DefaultParagraphFont"/>
    <w:uiPriority w:val="99"/>
    <w:semiHidden/>
    <w:unhideWhenUsed/>
    <w:rsid w:val="00295136"/>
    <w:rPr>
      <w:color w:val="605E5C"/>
      <w:shd w:val="clear" w:color="auto" w:fill="E1DFDD"/>
    </w:rPr>
  </w:style>
  <w:style w:type="character" w:customStyle="1" w:styleId="UnresolvedMention6">
    <w:name w:val="Unresolved Mention6"/>
    <w:basedOn w:val="DefaultParagraphFont"/>
    <w:uiPriority w:val="99"/>
    <w:semiHidden/>
    <w:unhideWhenUsed/>
    <w:rsid w:val="002C5B2A"/>
    <w:rPr>
      <w:color w:val="605E5C"/>
      <w:shd w:val="clear" w:color="auto" w:fill="E1DFDD"/>
    </w:rPr>
  </w:style>
  <w:style w:type="paragraph" w:customStyle="1" w:styleId="Disclaimer">
    <w:name w:val="Disclaimer"/>
    <w:basedOn w:val="Normal"/>
    <w:rsid w:val="00044AE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044AEB"/>
    <w:pPr>
      <w:spacing w:after="0" w:line="276" w:lineRule="auto"/>
      <w:ind w:left="5103"/>
    </w:pPr>
    <w:rPr>
      <w:rFonts w:ascii="Times New Roman" w:hAnsi="Times New Roman" w:cs="Times New Roman"/>
      <w:sz w:val="28"/>
    </w:rPr>
  </w:style>
  <w:style w:type="paragraph" w:customStyle="1" w:styleId="DateMarking">
    <w:name w:val="DateMarking"/>
    <w:basedOn w:val="Normal"/>
    <w:rsid w:val="00044AEB"/>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044AEB"/>
    <w:pPr>
      <w:spacing w:after="0" w:line="276" w:lineRule="auto"/>
      <w:ind w:left="5103"/>
    </w:pPr>
    <w:rPr>
      <w:rFonts w:ascii="Times New Roman" w:hAnsi="Times New Roman" w:cs="Times New Roman"/>
      <w:i/>
      <w:sz w:val="28"/>
    </w:rPr>
  </w:style>
  <w:style w:type="paragraph" w:customStyle="1" w:styleId="Personnequisigne">
    <w:name w:val="Personne qui signe"/>
    <w:basedOn w:val="Normal"/>
    <w:next w:val="Normal"/>
    <w:rsid w:val="009C7120"/>
    <w:pPr>
      <w:tabs>
        <w:tab w:val="left" w:pos="4252"/>
      </w:tabs>
      <w:spacing w:after="0" w:line="240" w:lineRule="auto"/>
    </w:pPr>
    <w:rPr>
      <w:rFonts w:ascii="Times New Roman" w:hAnsi="Times New Roman" w:cs="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1516">
      <w:bodyDiv w:val="1"/>
      <w:marLeft w:val="0"/>
      <w:marRight w:val="0"/>
      <w:marTop w:val="0"/>
      <w:marBottom w:val="0"/>
      <w:divBdr>
        <w:top w:val="none" w:sz="0" w:space="0" w:color="auto"/>
        <w:left w:val="none" w:sz="0" w:space="0" w:color="auto"/>
        <w:bottom w:val="none" w:sz="0" w:space="0" w:color="auto"/>
        <w:right w:val="none" w:sz="0" w:space="0" w:color="auto"/>
      </w:divBdr>
    </w:div>
    <w:div w:id="134030593">
      <w:bodyDiv w:val="1"/>
      <w:marLeft w:val="0"/>
      <w:marRight w:val="0"/>
      <w:marTop w:val="0"/>
      <w:marBottom w:val="0"/>
      <w:divBdr>
        <w:top w:val="none" w:sz="0" w:space="0" w:color="auto"/>
        <w:left w:val="none" w:sz="0" w:space="0" w:color="auto"/>
        <w:bottom w:val="none" w:sz="0" w:space="0" w:color="auto"/>
        <w:right w:val="none" w:sz="0" w:space="0" w:color="auto"/>
      </w:divBdr>
    </w:div>
    <w:div w:id="140075035">
      <w:bodyDiv w:val="1"/>
      <w:marLeft w:val="0"/>
      <w:marRight w:val="0"/>
      <w:marTop w:val="0"/>
      <w:marBottom w:val="0"/>
      <w:divBdr>
        <w:top w:val="none" w:sz="0" w:space="0" w:color="auto"/>
        <w:left w:val="none" w:sz="0" w:space="0" w:color="auto"/>
        <w:bottom w:val="none" w:sz="0" w:space="0" w:color="auto"/>
        <w:right w:val="none" w:sz="0" w:space="0" w:color="auto"/>
      </w:divBdr>
    </w:div>
    <w:div w:id="149567769">
      <w:bodyDiv w:val="1"/>
      <w:marLeft w:val="0"/>
      <w:marRight w:val="0"/>
      <w:marTop w:val="0"/>
      <w:marBottom w:val="0"/>
      <w:divBdr>
        <w:top w:val="none" w:sz="0" w:space="0" w:color="auto"/>
        <w:left w:val="none" w:sz="0" w:space="0" w:color="auto"/>
        <w:bottom w:val="none" w:sz="0" w:space="0" w:color="auto"/>
        <w:right w:val="none" w:sz="0" w:space="0" w:color="auto"/>
      </w:divBdr>
      <w:divsChild>
        <w:div w:id="66806394">
          <w:marLeft w:val="0"/>
          <w:marRight w:val="0"/>
          <w:marTop w:val="0"/>
          <w:marBottom w:val="0"/>
          <w:divBdr>
            <w:top w:val="none" w:sz="0" w:space="0" w:color="auto"/>
            <w:left w:val="none" w:sz="0" w:space="0" w:color="auto"/>
            <w:bottom w:val="none" w:sz="0" w:space="0" w:color="auto"/>
            <w:right w:val="none" w:sz="0" w:space="0" w:color="auto"/>
          </w:divBdr>
          <w:divsChild>
            <w:div w:id="20065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63115">
      <w:bodyDiv w:val="1"/>
      <w:marLeft w:val="0"/>
      <w:marRight w:val="0"/>
      <w:marTop w:val="0"/>
      <w:marBottom w:val="0"/>
      <w:divBdr>
        <w:top w:val="none" w:sz="0" w:space="0" w:color="auto"/>
        <w:left w:val="none" w:sz="0" w:space="0" w:color="auto"/>
        <w:bottom w:val="none" w:sz="0" w:space="0" w:color="auto"/>
        <w:right w:val="none" w:sz="0" w:space="0" w:color="auto"/>
      </w:divBdr>
    </w:div>
    <w:div w:id="268972524">
      <w:bodyDiv w:val="1"/>
      <w:marLeft w:val="0"/>
      <w:marRight w:val="0"/>
      <w:marTop w:val="0"/>
      <w:marBottom w:val="0"/>
      <w:divBdr>
        <w:top w:val="none" w:sz="0" w:space="0" w:color="auto"/>
        <w:left w:val="none" w:sz="0" w:space="0" w:color="auto"/>
        <w:bottom w:val="none" w:sz="0" w:space="0" w:color="auto"/>
        <w:right w:val="none" w:sz="0" w:space="0" w:color="auto"/>
      </w:divBdr>
    </w:div>
    <w:div w:id="270674644">
      <w:bodyDiv w:val="1"/>
      <w:marLeft w:val="0"/>
      <w:marRight w:val="0"/>
      <w:marTop w:val="0"/>
      <w:marBottom w:val="0"/>
      <w:divBdr>
        <w:top w:val="none" w:sz="0" w:space="0" w:color="auto"/>
        <w:left w:val="none" w:sz="0" w:space="0" w:color="auto"/>
        <w:bottom w:val="none" w:sz="0" w:space="0" w:color="auto"/>
        <w:right w:val="none" w:sz="0" w:space="0" w:color="auto"/>
      </w:divBdr>
    </w:div>
    <w:div w:id="270819744">
      <w:bodyDiv w:val="1"/>
      <w:marLeft w:val="0"/>
      <w:marRight w:val="0"/>
      <w:marTop w:val="0"/>
      <w:marBottom w:val="0"/>
      <w:divBdr>
        <w:top w:val="none" w:sz="0" w:space="0" w:color="auto"/>
        <w:left w:val="none" w:sz="0" w:space="0" w:color="auto"/>
        <w:bottom w:val="none" w:sz="0" w:space="0" w:color="auto"/>
        <w:right w:val="none" w:sz="0" w:space="0" w:color="auto"/>
      </w:divBdr>
    </w:div>
    <w:div w:id="281571813">
      <w:bodyDiv w:val="1"/>
      <w:marLeft w:val="0"/>
      <w:marRight w:val="0"/>
      <w:marTop w:val="0"/>
      <w:marBottom w:val="0"/>
      <w:divBdr>
        <w:top w:val="none" w:sz="0" w:space="0" w:color="auto"/>
        <w:left w:val="none" w:sz="0" w:space="0" w:color="auto"/>
        <w:bottom w:val="none" w:sz="0" w:space="0" w:color="auto"/>
        <w:right w:val="none" w:sz="0" w:space="0" w:color="auto"/>
      </w:divBdr>
    </w:div>
    <w:div w:id="321857802">
      <w:bodyDiv w:val="1"/>
      <w:marLeft w:val="0"/>
      <w:marRight w:val="0"/>
      <w:marTop w:val="0"/>
      <w:marBottom w:val="0"/>
      <w:divBdr>
        <w:top w:val="none" w:sz="0" w:space="0" w:color="auto"/>
        <w:left w:val="none" w:sz="0" w:space="0" w:color="auto"/>
        <w:bottom w:val="none" w:sz="0" w:space="0" w:color="auto"/>
        <w:right w:val="none" w:sz="0" w:space="0" w:color="auto"/>
      </w:divBdr>
    </w:div>
    <w:div w:id="331102507">
      <w:bodyDiv w:val="1"/>
      <w:marLeft w:val="0"/>
      <w:marRight w:val="0"/>
      <w:marTop w:val="0"/>
      <w:marBottom w:val="0"/>
      <w:divBdr>
        <w:top w:val="none" w:sz="0" w:space="0" w:color="auto"/>
        <w:left w:val="none" w:sz="0" w:space="0" w:color="auto"/>
        <w:bottom w:val="none" w:sz="0" w:space="0" w:color="auto"/>
        <w:right w:val="none" w:sz="0" w:space="0" w:color="auto"/>
      </w:divBdr>
    </w:div>
    <w:div w:id="333846934">
      <w:bodyDiv w:val="1"/>
      <w:marLeft w:val="0"/>
      <w:marRight w:val="0"/>
      <w:marTop w:val="0"/>
      <w:marBottom w:val="0"/>
      <w:divBdr>
        <w:top w:val="none" w:sz="0" w:space="0" w:color="auto"/>
        <w:left w:val="none" w:sz="0" w:space="0" w:color="auto"/>
        <w:bottom w:val="none" w:sz="0" w:space="0" w:color="auto"/>
        <w:right w:val="none" w:sz="0" w:space="0" w:color="auto"/>
      </w:divBdr>
    </w:div>
    <w:div w:id="377361179">
      <w:bodyDiv w:val="1"/>
      <w:marLeft w:val="0"/>
      <w:marRight w:val="0"/>
      <w:marTop w:val="0"/>
      <w:marBottom w:val="0"/>
      <w:divBdr>
        <w:top w:val="none" w:sz="0" w:space="0" w:color="auto"/>
        <w:left w:val="none" w:sz="0" w:space="0" w:color="auto"/>
        <w:bottom w:val="none" w:sz="0" w:space="0" w:color="auto"/>
        <w:right w:val="none" w:sz="0" w:space="0" w:color="auto"/>
      </w:divBdr>
    </w:div>
    <w:div w:id="388262804">
      <w:bodyDiv w:val="1"/>
      <w:marLeft w:val="0"/>
      <w:marRight w:val="0"/>
      <w:marTop w:val="0"/>
      <w:marBottom w:val="0"/>
      <w:divBdr>
        <w:top w:val="none" w:sz="0" w:space="0" w:color="auto"/>
        <w:left w:val="none" w:sz="0" w:space="0" w:color="auto"/>
        <w:bottom w:val="none" w:sz="0" w:space="0" w:color="auto"/>
        <w:right w:val="none" w:sz="0" w:space="0" w:color="auto"/>
      </w:divBdr>
    </w:div>
    <w:div w:id="465896713">
      <w:bodyDiv w:val="1"/>
      <w:marLeft w:val="0"/>
      <w:marRight w:val="0"/>
      <w:marTop w:val="0"/>
      <w:marBottom w:val="0"/>
      <w:divBdr>
        <w:top w:val="none" w:sz="0" w:space="0" w:color="auto"/>
        <w:left w:val="none" w:sz="0" w:space="0" w:color="auto"/>
        <w:bottom w:val="none" w:sz="0" w:space="0" w:color="auto"/>
        <w:right w:val="none" w:sz="0" w:space="0" w:color="auto"/>
      </w:divBdr>
    </w:div>
    <w:div w:id="472214350">
      <w:bodyDiv w:val="1"/>
      <w:marLeft w:val="0"/>
      <w:marRight w:val="0"/>
      <w:marTop w:val="0"/>
      <w:marBottom w:val="0"/>
      <w:divBdr>
        <w:top w:val="none" w:sz="0" w:space="0" w:color="auto"/>
        <w:left w:val="none" w:sz="0" w:space="0" w:color="auto"/>
        <w:bottom w:val="none" w:sz="0" w:space="0" w:color="auto"/>
        <w:right w:val="none" w:sz="0" w:space="0" w:color="auto"/>
      </w:divBdr>
    </w:div>
    <w:div w:id="535393570">
      <w:bodyDiv w:val="1"/>
      <w:marLeft w:val="0"/>
      <w:marRight w:val="0"/>
      <w:marTop w:val="0"/>
      <w:marBottom w:val="0"/>
      <w:divBdr>
        <w:top w:val="none" w:sz="0" w:space="0" w:color="auto"/>
        <w:left w:val="none" w:sz="0" w:space="0" w:color="auto"/>
        <w:bottom w:val="none" w:sz="0" w:space="0" w:color="auto"/>
        <w:right w:val="none" w:sz="0" w:space="0" w:color="auto"/>
      </w:divBdr>
    </w:div>
    <w:div w:id="552690812">
      <w:bodyDiv w:val="1"/>
      <w:marLeft w:val="0"/>
      <w:marRight w:val="0"/>
      <w:marTop w:val="0"/>
      <w:marBottom w:val="0"/>
      <w:divBdr>
        <w:top w:val="none" w:sz="0" w:space="0" w:color="auto"/>
        <w:left w:val="none" w:sz="0" w:space="0" w:color="auto"/>
        <w:bottom w:val="none" w:sz="0" w:space="0" w:color="auto"/>
        <w:right w:val="none" w:sz="0" w:space="0" w:color="auto"/>
      </w:divBdr>
    </w:div>
    <w:div w:id="565993377">
      <w:bodyDiv w:val="1"/>
      <w:marLeft w:val="0"/>
      <w:marRight w:val="0"/>
      <w:marTop w:val="0"/>
      <w:marBottom w:val="0"/>
      <w:divBdr>
        <w:top w:val="none" w:sz="0" w:space="0" w:color="auto"/>
        <w:left w:val="none" w:sz="0" w:space="0" w:color="auto"/>
        <w:bottom w:val="none" w:sz="0" w:space="0" w:color="auto"/>
        <w:right w:val="none" w:sz="0" w:space="0" w:color="auto"/>
      </w:divBdr>
    </w:div>
    <w:div w:id="574821271">
      <w:bodyDiv w:val="1"/>
      <w:marLeft w:val="0"/>
      <w:marRight w:val="0"/>
      <w:marTop w:val="0"/>
      <w:marBottom w:val="0"/>
      <w:divBdr>
        <w:top w:val="none" w:sz="0" w:space="0" w:color="auto"/>
        <w:left w:val="none" w:sz="0" w:space="0" w:color="auto"/>
        <w:bottom w:val="none" w:sz="0" w:space="0" w:color="auto"/>
        <w:right w:val="none" w:sz="0" w:space="0" w:color="auto"/>
      </w:divBdr>
    </w:div>
    <w:div w:id="632952150">
      <w:bodyDiv w:val="1"/>
      <w:marLeft w:val="0"/>
      <w:marRight w:val="0"/>
      <w:marTop w:val="0"/>
      <w:marBottom w:val="0"/>
      <w:divBdr>
        <w:top w:val="none" w:sz="0" w:space="0" w:color="auto"/>
        <w:left w:val="none" w:sz="0" w:space="0" w:color="auto"/>
        <w:bottom w:val="none" w:sz="0" w:space="0" w:color="auto"/>
        <w:right w:val="none" w:sz="0" w:space="0" w:color="auto"/>
      </w:divBdr>
    </w:div>
    <w:div w:id="669872774">
      <w:bodyDiv w:val="1"/>
      <w:marLeft w:val="0"/>
      <w:marRight w:val="0"/>
      <w:marTop w:val="0"/>
      <w:marBottom w:val="0"/>
      <w:divBdr>
        <w:top w:val="none" w:sz="0" w:space="0" w:color="auto"/>
        <w:left w:val="none" w:sz="0" w:space="0" w:color="auto"/>
        <w:bottom w:val="none" w:sz="0" w:space="0" w:color="auto"/>
        <w:right w:val="none" w:sz="0" w:space="0" w:color="auto"/>
      </w:divBdr>
    </w:div>
    <w:div w:id="682433772">
      <w:bodyDiv w:val="1"/>
      <w:marLeft w:val="0"/>
      <w:marRight w:val="0"/>
      <w:marTop w:val="0"/>
      <w:marBottom w:val="0"/>
      <w:divBdr>
        <w:top w:val="none" w:sz="0" w:space="0" w:color="auto"/>
        <w:left w:val="none" w:sz="0" w:space="0" w:color="auto"/>
        <w:bottom w:val="none" w:sz="0" w:space="0" w:color="auto"/>
        <w:right w:val="none" w:sz="0" w:space="0" w:color="auto"/>
      </w:divBdr>
    </w:div>
    <w:div w:id="771707877">
      <w:bodyDiv w:val="1"/>
      <w:marLeft w:val="0"/>
      <w:marRight w:val="0"/>
      <w:marTop w:val="0"/>
      <w:marBottom w:val="0"/>
      <w:divBdr>
        <w:top w:val="none" w:sz="0" w:space="0" w:color="auto"/>
        <w:left w:val="none" w:sz="0" w:space="0" w:color="auto"/>
        <w:bottom w:val="none" w:sz="0" w:space="0" w:color="auto"/>
        <w:right w:val="none" w:sz="0" w:space="0" w:color="auto"/>
      </w:divBdr>
    </w:div>
    <w:div w:id="780957361">
      <w:bodyDiv w:val="1"/>
      <w:marLeft w:val="0"/>
      <w:marRight w:val="0"/>
      <w:marTop w:val="0"/>
      <w:marBottom w:val="0"/>
      <w:divBdr>
        <w:top w:val="none" w:sz="0" w:space="0" w:color="auto"/>
        <w:left w:val="none" w:sz="0" w:space="0" w:color="auto"/>
        <w:bottom w:val="none" w:sz="0" w:space="0" w:color="auto"/>
        <w:right w:val="none" w:sz="0" w:space="0" w:color="auto"/>
      </w:divBdr>
    </w:div>
    <w:div w:id="812865065">
      <w:bodyDiv w:val="1"/>
      <w:marLeft w:val="0"/>
      <w:marRight w:val="0"/>
      <w:marTop w:val="0"/>
      <w:marBottom w:val="0"/>
      <w:divBdr>
        <w:top w:val="none" w:sz="0" w:space="0" w:color="auto"/>
        <w:left w:val="none" w:sz="0" w:space="0" w:color="auto"/>
        <w:bottom w:val="none" w:sz="0" w:space="0" w:color="auto"/>
        <w:right w:val="none" w:sz="0" w:space="0" w:color="auto"/>
      </w:divBdr>
    </w:div>
    <w:div w:id="988948714">
      <w:bodyDiv w:val="1"/>
      <w:marLeft w:val="0"/>
      <w:marRight w:val="0"/>
      <w:marTop w:val="0"/>
      <w:marBottom w:val="0"/>
      <w:divBdr>
        <w:top w:val="none" w:sz="0" w:space="0" w:color="auto"/>
        <w:left w:val="none" w:sz="0" w:space="0" w:color="auto"/>
        <w:bottom w:val="none" w:sz="0" w:space="0" w:color="auto"/>
        <w:right w:val="none" w:sz="0" w:space="0" w:color="auto"/>
      </w:divBdr>
    </w:div>
    <w:div w:id="1035042649">
      <w:bodyDiv w:val="1"/>
      <w:marLeft w:val="0"/>
      <w:marRight w:val="0"/>
      <w:marTop w:val="0"/>
      <w:marBottom w:val="0"/>
      <w:divBdr>
        <w:top w:val="none" w:sz="0" w:space="0" w:color="auto"/>
        <w:left w:val="none" w:sz="0" w:space="0" w:color="auto"/>
        <w:bottom w:val="none" w:sz="0" w:space="0" w:color="auto"/>
        <w:right w:val="none" w:sz="0" w:space="0" w:color="auto"/>
      </w:divBdr>
    </w:div>
    <w:div w:id="1063332298">
      <w:bodyDiv w:val="1"/>
      <w:marLeft w:val="0"/>
      <w:marRight w:val="0"/>
      <w:marTop w:val="0"/>
      <w:marBottom w:val="0"/>
      <w:divBdr>
        <w:top w:val="none" w:sz="0" w:space="0" w:color="auto"/>
        <w:left w:val="none" w:sz="0" w:space="0" w:color="auto"/>
        <w:bottom w:val="none" w:sz="0" w:space="0" w:color="auto"/>
        <w:right w:val="none" w:sz="0" w:space="0" w:color="auto"/>
      </w:divBdr>
    </w:div>
    <w:div w:id="1073890085">
      <w:bodyDiv w:val="1"/>
      <w:marLeft w:val="0"/>
      <w:marRight w:val="0"/>
      <w:marTop w:val="0"/>
      <w:marBottom w:val="0"/>
      <w:divBdr>
        <w:top w:val="none" w:sz="0" w:space="0" w:color="auto"/>
        <w:left w:val="none" w:sz="0" w:space="0" w:color="auto"/>
        <w:bottom w:val="none" w:sz="0" w:space="0" w:color="auto"/>
        <w:right w:val="none" w:sz="0" w:space="0" w:color="auto"/>
      </w:divBdr>
    </w:div>
    <w:div w:id="1198814137">
      <w:bodyDiv w:val="1"/>
      <w:marLeft w:val="0"/>
      <w:marRight w:val="0"/>
      <w:marTop w:val="0"/>
      <w:marBottom w:val="0"/>
      <w:divBdr>
        <w:top w:val="none" w:sz="0" w:space="0" w:color="auto"/>
        <w:left w:val="none" w:sz="0" w:space="0" w:color="auto"/>
        <w:bottom w:val="none" w:sz="0" w:space="0" w:color="auto"/>
        <w:right w:val="none" w:sz="0" w:space="0" w:color="auto"/>
      </w:divBdr>
    </w:div>
    <w:div w:id="1254625573">
      <w:bodyDiv w:val="1"/>
      <w:marLeft w:val="0"/>
      <w:marRight w:val="0"/>
      <w:marTop w:val="0"/>
      <w:marBottom w:val="0"/>
      <w:divBdr>
        <w:top w:val="none" w:sz="0" w:space="0" w:color="auto"/>
        <w:left w:val="none" w:sz="0" w:space="0" w:color="auto"/>
        <w:bottom w:val="none" w:sz="0" w:space="0" w:color="auto"/>
        <w:right w:val="none" w:sz="0" w:space="0" w:color="auto"/>
      </w:divBdr>
    </w:div>
    <w:div w:id="1297878264">
      <w:bodyDiv w:val="1"/>
      <w:marLeft w:val="0"/>
      <w:marRight w:val="0"/>
      <w:marTop w:val="0"/>
      <w:marBottom w:val="0"/>
      <w:divBdr>
        <w:top w:val="none" w:sz="0" w:space="0" w:color="auto"/>
        <w:left w:val="none" w:sz="0" w:space="0" w:color="auto"/>
        <w:bottom w:val="none" w:sz="0" w:space="0" w:color="auto"/>
        <w:right w:val="none" w:sz="0" w:space="0" w:color="auto"/>
      </w:divBdr>
    </w:div>
    <w:div w:id="1378354193">
      <w:bodyDiv w:val="1"/>
      <w:marLeft w:val="0"/>
      <w:marRight w:val="0"/>
      <w:marTop w:val="0"/>
      <w:marBottom w:val="0"/>
      <w:divBdr>
        <w:top w:val="none" w:sz="0" w:space="0" w:color="auto"/>
        <w:left w:val="none" w:sz="0" w:space="0" w:color="auto"/>
        <w:bottom w:val="none" w:sz="0" w:space="0" w:color="auto"/>
        <w:right w:val="none" w:sz="0" w:space="0" w:color="auto"/>
      </w:divBdr>
    </w:div>
    <w:div w:id="1441029748">
      <w:bodyDiv w:val="1"/>
      <w:marLeft w:val="0"/>
      <w:marRight w:val="0"/>
      <w:marTop w:val="0"/>
      <w:marBottom w:val="0"/>
      <w:divBdr>
        <w:top w:val="none" w:sz="0" w:space="0" w:color="auto"/>
        <w:left w:val="none" w:sz="0" w:space="0" w:color="auto"/>
        <w:bottom w:val="none" w:sz="0" w:space="0" w:color="auto"/>
        <w:right w:val="none" w:sz="0" w:space="0" w:color="auto"/>
      </w:divBdr>
    </w:div>
    <w:div w:id="1491093779">
      <w:bodyDiv w:val="1"/>
      <w:marLeft w:val="0"/>
      <w:marRight w:val="0"/>
      <w:marTop w:val="0"/>
      <w:marBottom w:val="0"/>
      <w:divBdr>
        <w:top w:val="none" w:sz="0" w:space="0" w:color="auto"/>
        <w:left w:val="none" w:sz="0" w:space="0" w:color="auto"/>
        <w:bottom w:val="none" w:sz="0" w:space="0" w:color="auto"/>
        <w:right w:val="none" w:sz="0" w:space="0" w:color="auto"/>
      </w:divBdr>
    </w:div>
    <w:div w:id="1498499624">
      <w:bodyDiv w:val="1"/>
      <w:marLeft w:val="0"/>
      <w:marRight w:val="0"/>
      <w:marTop w:val="0"/>
      <w:marBottom w:val="0"/>
      <w:divBdr>
        <w:top w:val="none" w:sz="0" w:space="0" w:color="auto"/>
        <w:left w:val="none" w:sz="0" w:space="0" w:color="auto"/>
        <w:bottom w:val="none" w:sz="0" w:space="0" w:color="auto"/>
        <w:right w:val="none" w:sz="0" w:space="0" w:color="auto"/>
      </w:divBdr>
    </w:div>
    <w:div w:id="1513455165">
      <w:bodyDiv w:val="1"/>
      <w:marLeft w:val="0"/>
      <w:marRight w:val="0"/>
      <w:marTop w:val="0"/>
      <w:marBottom w:val="0"/>
      <w:divBdr>
        <w:top w:val="none" w:sz="0" w:space="0" w:color="auto"/>
        <w:left w:val="none" w:sz="0" w:space="0" w:color="auto"/>
        <w:bottom w:val="none" w:sz="0" w:space="0" w:color="auto"/>
        <w:right w:val="none" w:sz="0" w:space="0" w:color="auto"/>
      </w:divBdr>
    </w:div>
    <w:div w:id="1686664018">
      <w:bodyDiv w:val="1"/>
      <w:marLeft w:val="0"/>
      <w:marRight w:val="0"/>
      <w:marTop w:val="0"/>
      <w:marBottom w:val="0"/>
      <w:divBdr>
        <w:top w:val="none" w:sz="0" w:space="0" w:color="auto"/>
        <w:left w:val="none" w:sz="0" w:space="0" w:color="auto"/>
        <w:bottom w:val="none" w:sz="0" w:space="0" w:color="auto"/>
        <w:right w:val="none" w:sz="0" w:space="0" w:color="auto"/>
      </w:divBdr>
    </w:div>
    <w:div w:id="1707679228">
      <w:bodyDiv w:val="1"/>
      <w:marLeft w:val="0"/>
      <w:marRight w:val="0"/>
      <w:marTop w:val="0"/>
      <w:marBottom w:val="0"/>
      <w:divBdr>
        <w:top w:val="none" w:sz="0" w:space="0" w:color="auto"/>
        <w:left w:val="none" w:sz="0" w:space="0" w:color="auto"/>
        <w:bottom w:val="none" w:sz="0" w:space="0" w:color="auto"/>
        <w:right w:val="none" w:sz="0" w:space="0" w:color="auto"/>
      </w:divBdr>
    </w:div>
    <w:div w:id="1751198027">
      <w:bodyDiv w:val="1"/>
      <w:marLeft w:val="0"/>
      <w:marRight w:val="0"/>
      <w:marTop w:val="0"/>
      <w:marBottom w:val="0"/>
      <w:divBdr>
        <w:top w:val="none" w:sz="0" w:space="0" w:color="auto"/>
        <w:left w:val="none" w:sz="0" w:space="0" w:color="auto"/>
        <w:bottom w:val="none" w:sz="0" w:space="0" w:color="auto"/>
        <w:right w:val="none" w:sz="0" w:space="0" w:color="auto"/>
      </w:divBdr>
    </w:div>
    <w:div w:id="1872062718">
      <w:bodyDiv w:val="1"/>
      <w:marLeft w:val="0"/>
      <w:marRight w:val="0"/>
      <w:marTop w:val="0"/>
      <w:marBottom w:val="0"/>
      <w:divBdr>
        <w:top w:val="none" w:sz="0" w:space="0" w:color="auto"/>
        <w:left w:val="none" w:sz="0" w:space="0" w:color="auto"/>
        <w:bottom w:val="none" w:sz="0" w:space="0" w:color="auto"/>
        <w:right w:val="none" w:sz="0" w:space="0" w:color="auto"/>
      </w:divBdr>
    </w:div>
    <w:div w:id="1933196159">
      <w:bodyDiv w:val="1"/>
      <w:marLeft w:val="0"/>
      <w:marRight w:val="0"/>
      <w:marTop w:val="0"/>
      <w:marBottom w:val="0"/>
      <w:divBdr>
        <w:top w:val="none" w:sz="0" w:space="0" w:color="auto"/>
        <w:left w:val="none" w:sz="0" w:space="0" w:color="auto"/>
        <w:bottom w:val="none" w:sz="0" w:space="0" w:color="auto"/>
        <w:right w:val="none" w:sz="0" w:space="0" w:color="auto"/>
      </w:divBdr>
    </w:div>
    <w:div w:id="2039428711">
      <w:bodyDiv w:val="1"/>
      <w:marLeft w:val="0"/>
      <w:marRight w:val="0"/>
      <w:marTop w:val="0"/>
      <w:marBottom w:val="0"/>
      <w:divBdr>
        <w:top w:val="none" w:sz="0" w:space="0" w:color="auto"/>
        <w:left w:val="none" w:sz="0" w:space="0" w:color="auto"/>
        <w:bottom w:val="none" w:sz="0" w:space="0" w:color="auto"/>
        <w:right w:val="none" w:sz="0" w:space="0" w:color="auto"/>
      </w:divBdr>
    </w:div>
    <w:div w:id="2047945665">
      <w:bodyDiv w:val="1"/>
      <w:marLeft w:val="0"/>
      <w:marRight w:val="0"/>
      <w:marTop w:val="0"/>
      <w:marBottom w:val="0"/>
      <w:divBdr>
        <w:top w:val="none" w:sz="0" w:space="0" w:color="auto"/>
        <w:left w:val="none" w:sz="0" w:space="0" w:color="auto"/>
        <w:bottom w:val="none" w:sz="0" w:space="0" w:color="auto"/>
        <w:right w:val="none" w:sz="0" w:space="0" w:color="auto"/>
      </w:divBdr>
    </w:div>
    <w:div w:id="2054697459">
      <w:bodyDiv w:val="1"/>
      <w:marLeft w:val="0"/>
      <w:marRight w:val="0"/>
      <w:marTop w:val="0"/>
      <w:marBottom w:val="0"/>
      <w:divBdr>
        <w:top w:val="none" w:sz="0" w:space="0" w:color="auto"/>
        <w:left w:val="none" w:sz="0" w:space="0" w:color="auto"/>
        <w:bottom w:val="none" w:sz="0" w:space="0" w:color="auto"/>
        <w:right w:val="none" w:sz="0" w:space="0" w:color="auto"/>
      </w:divBdr>
    </w:div>
    <w:div w:id="2073189091">
      <w:bodyDiv w:val="1"/>
      <w:marLeft w:val="0"/>
      <w:marRight w:val="0"/>
      <w:marTop w:val="0"/>
      <w:marBottom w:val="0"/>
      <w:divBdr>
        <w:top w:val="none" w:sz="0" w:space="0" w:color="auto"/>
        <w:left w:val="none" w:sz="0" w:space="0" w:color="auto"/>
        <w:bottom w:val="none" w:sz="0" w:space="0" w:color="auto"/>
        <w:right w:val="none" w:sz="0" w:space="0" w:color="auto"/>
      </w:divBdr>
    </w:div>
    <w:div w:id="20869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HR/TXT/PDF/?uri=CELEX:52020DC0761&amp;from=HR" TargetMode="External"/><Relationship Id="rId18" Type="http://schemas.openxmlformats.org/officeDocument/2006/relationships/hyperlink" Target="https://environment.ec.europa.eu/strategy/zero-pollution-action-plan_hr" TargetMode="External"/><Relationship Id="rId26" Type="http://schemas.openxmlformats.org/officeDocument/2006/relationships/hyperlink" Target="https://ec.europa.eu/info/policies/justice-and-fundamental-rights/combatting-discrimination/lesbian-gay-bi-trans-and-intersex-equality/lgbtiq-equality-strategy-2020-2025_en" TargetMode="External"/><Relationship Id="rId39" Type="http://schemas.openxmlformats.org/officeDocument/2006/relationships/hyperlink" Target="https://europa.eu/capacity4dev/tei-jp-tracker/tei/manufacturing-and-access-vaccines-medicines-and-health-technology-products-africa" TargetMode="External"/><Relationship Id="rId21" Type="http://schemas.openxmlformats.org/officeDocument/2006/relationships/hyperlink" Target="file:///C:\Users\savigre\Downloads\european-consensus-on-development-final-20170626_en.pdf" TargetMode="External"/><Relationship Id="rId34" Type="http://schemas.openxmlformats.org/officeDocument/2006/relationships/hyperlink" Target="https://urldefense.com/v3/__https://globalchallenges.org/wp-content/uploads/2021/12/A-new-understanding-of-global-heath-security-UPDATED.pdf__;!!DOxrgLBm!FfwKtCBNDEEFdv0Lhhm84mxHTFJ8hsQ0BQMCPJAfrez0deRI_jLni1swaTgq5XZ7EBHjoJF3f4CdHtU7soD0FII0igpx4g7IYurdHQ$" TargetMode="External"/><Relationship Id="rId42" Type="http://schemas.openxmlformats.org/officeDocument/2006/relationships/hyperlink" Target="https://cbrn-risk-mitigation.network.europa.eu/index_en" TargetMode="External"/><Relationship Id="rId47" Type="http://schemas.openxmlformats.org/officeDocument/2006/relationships/hyperlink" Target="https://eur-lex.europa.eu/resource.html?uri=cellar:5391557a-aaa2-11ec-83e1-01aa75ed71a1.0018.02/DOC_1&amp;format=PDF" TargetMode="External"/><Relationship Id="rId50" Type="http://schemas.openxmlformats.org/officeDocument/2006/relationships/hyperlink" Target="https://www.wto.org/english/thewto_e/minist_e/mc12_e/mc12_e.htm" TargetMode="External"/><Relationship Id="rId55" Type="http://schemas.openxmlformats.org/officeDocument/2006/relationships/hyperlink" Target="https://www.g7germany.de/resource/blob/974430/2042058/5651daa321517b089cdccfaffd1e37a1/2022-05-20-g7-health-ministers-communique-data.pdf" TargetMode="External"/><Relationship Id="rId7" Type="http://schemas.openxmlformats.org/officeDocument/2006/relationships/hyperlink" Target="https://www.oecd.org/dac/development-assistance-committee/" TargetMode="External"/><Relationship Id="rId2" Type="http://schemas.openxmlformats.org/officeDocument/2006/relationships/hyperlink" Target="https://www.un.org/sustainabledevelopment/development-agenda/" TargetMode="External"/><Relationship Id="rId16" Type="http://schemas.openxmlformats.org/officeDocument/2006/relationships/hyperlink" Target="https://ec.europa.eu/info/strategy/priorities-2019-2024/european-green-deal_hr" TargetMode="External"/><Relationship Id="rId20" Type="http://schemas.openxmlformats.org/officeDocument/2006/relationships/hyperlink" Target="https://health.ec.europa.eu/health-emergency-preparedness-and-response-hera/key-documents_en" TargetMode="External"/><Relationship Id="rId29" Type="http://schemas.openxmlformats.org/officeDocument/2006/relationships/hyperlink" Target="https://extranet.who.int/uhcpartnership/" TargetMode="External"/><Relationship Id="rId41" Type="http://schemas.openxmlformats.org/officeDocument/2006/relationships/hyperlink" Target="https://environment.ec.europa.eu/topics/waste-and-recycling/waste-shipments_en" TargetMode="External"/><Relationship Id="rId54" Type="http://schemas.openxmlformats.org/officeDocument/2006/relationships/hyperlink" Target="https://open.who.int/2020-21/contributors/contributor" TargetMode="External"/><Relationship Id="rId62" Type="http://schemas.openxmlformats.org/officeDocument/2006/relationships/hyperlink" Target="file:///C:/Users/KIVIMAR/Downloads/european-consensus-on-development-final-20170626_en%20(5).pdf" TargetMode="External"/><Relationship Id="rId1" Type="http://schemas.openxmlformats.org/officeDocument/2006/relationships/hyperlink" Target="https://ec.europa.eu/info/strategy/priorities-2019-2024/stronger-europe-world/global-gateway_hr" TargetMode="External"/><Relationship Id="rId6" Type="http://schemas.openxmlformats.org/officeDocument/2006/relationships/hyperlink" Target="https://www.who.int/news/item/01-12-2021-tripartite-and-unep-support-ohhlep-s-definition-of-one-health" TargetMode="External"/><Relationship Id="rId11" Type="http://schemas.openxmlformats.org/officeDocument/2006/relationships/hyperlink" Target="https://research-and-innovation.ec.europa.eu/funding/funding-opportunities/funding-programmes-and-open-calls/horizon-europe/eu-missions-horizon-europe/eu-mission-cancer_en" TargetMode="External"/><Relationship Id="rId24" Type="http://schemas.openxmlformats.org/officeDocument/2006/relationships/hyperlink" Target="https://international-partnerships.ec.europa.eu/document/fe1bcd30-58da-4a37-ab2a-61848789da60_en" TargetMode="External"/><Relationship Id="rId32" Type="http://schemas.openxmlformats.org/officeDocument/2006/relationships/hyperlink" Target="https://ec.europa.eu/echo/files/policies/sectoral/health2014_general_health_guidelines_en.pdf" TargetMode="External"/><Relationship Id="rId37" Type="http://schemas.openxmlformats.org/officeDocument/2006/relationships/hyperlink" Target="https://theindependentpanel.org/" TargetMode="External"/><Relationship Id="rId40" Type="http://schemas.openxmlformats.org/officeDocument/2006/relationships/hyperlink" Target="https://ec.europa.eu/commission/presscorner/detail/hr/ip_22_3890" TargetMode="External"/><Relationship Id="rId45" Type="http://schemas.openxmlformats.org/officeDocument/2006/relationships/hyperlink" Target="https://www.who.int/news-room/fact-sheets/detail/antimicrobial-resistance" TargetMode="External"/><Relationship Id="rId53" Type="http://schemas.openxmlformats.org/officeDocument/2006/relationships/hyperlink" Target="https://open.who.int/2020-21/contributors/contributor" TargetMode="External"/><Relationship Id="rId58" Type="http://schemas.openxmlformats.org/officeDocument/2006/relationships/hyperlink" Target="https://ec.europa.eu/commission/presscorner/detail/hr/ip_22_3890" TargetMode="External"/><Relationship Id="rId5" Type="http://schemas.openxmlformats.org/officeDocument/2006/relationships/hyperlink" Target="https://civil-protection-humanitarian-aid.ec.europa.eu/news-stories/news/eu-develops-strategic-reserves-chemical-biological-and-radio-nuclear-emergencies-2022-04-06_en" TargetMode="External"/><Relationship Id="rId15" Type="http://schemas.openxmlformats.org/officeDocument/2006/relationships/hyperlink" Target="https://www.consilium.europa.eu/hr/press/press-releases/2022/06/23/provisional-agreement-on-new-eu-law-on-serious-cross-border-threats-to-health/" TargetMode="External"/><Relationship Id="rId23" Type="http://schemas.openxmlformats.org/officeDocument/2006/relationships/hyperlink" Target="https://eur-lex.europa.eu/legal-content/HR/TXT/?uri=CELEX:52020JC0017" TargetMode="External"/><Relationship Id="rId28" Type="http://schemas.openxmlformats.org/officeDocument/2006/relationships/hyperlink" Target="https://www.theglobalfund.org/en/" TargetMode="External"/><Relationship Id="rId36" Type="http://schemas.openxmlformats.org/officeDocument/2006/relationships/hyperlink" Target="https://ec.europa.eu/research-and-innovation/en/horizon-magazine/how-we-prepare-age-pandemics" TargetMode="External"/><Relationship Id="rId49" Type="http://schemas.openxmlformats.org/officeDocument/2006/relationships/hyperlink" Target="https://www.wto.org/english/thewto_e/minist_e/mc12_e/mc12_e.htm" TargetMode="External"/><Relationship Id="rId57" Type="http://schemas.openxmlformats.org/officeDocument/2006/relationships/hyperlink" Target="https://au.int/sites/default/files/pages/32894-file-2001-abuja-declaration.pdf" TargetMode="External"/><Relationship Id="rId61" Type="http://schemas.openxmlformats.org/officeDocument/2006/relationships/hyperlink" Target="https://www.who.int/initiatives/sdg3-global-action-plan" TargetMode="External"/><Relationship Id="rId10" Type="http://schemas.openxmlformats.org/officeDocument/2006/relationships/hyperlink" Target="https://research-and-innovation.ec.europa.eu/funding/funding-opportunities/funding-programmes-and-open-calls/horizon-europe/eu-missions-horizon-europe/eu-mission-cancer_en" TargetMode="External"/><Relationship Id="rId19" Type="http://schemas.openxmlformats.org/officeDocument/2006/relationships/hyperlink" Target="https://www.ghadvocates.eu/wp-content/uploads/Global-Health-Strategy.pdf" TargetMode="External"/><Relationship Id="rId31" Type="http://schemas.openxmlformats.org/officeDocument/2006/relationships/hyperlink" Target="https://ec.europa.eu/echo/files/policies/sectoral/health2014_general_health_guidelines_en.pdf" TargetMode="External"/><Relationship Id="rId44" Type="http://schemas.openxmlformats.org/officeDocument/2006/relationships/hyperlink" Target="https://www.g7germany.de/resource/blob/974430/2042052/2d5b55bcdfc0f1aa46b979566288e9a5/2022-05-20-pact-for-pandemic-readniness-data.pdf?download=1" TargetMode="External"/><Relationship Id="rId52" Type="http://schemas.openxmlformats.org/officeDocument/2006/relationships/hyperlink" Target="https://apps.who.int/gb/ebwha/pdf_files/WHA75/A75(8)-en.pdf" TargetMode="External"/><Relationship Id="rId60" Type="http://schemas.openxmlformats.org/officeDocument/2006/relationships/hyperlink" Target="https://ec.europa.eu/newsroom/cipr/items/722282/" TargetMode="External"/><Relationship Id="rId4" Type="http://schemas.openxmlformats.org/officeDocument/2006/relationships/hyperlink" Target="https://civil-protection-humanitarian-aid.ec.europa.eu/what/civil-protection/eu-civil-protection-mechanism_en" TargetMode="External"/><Relationship Id="rId9" Type="http://schemas.openxmlformats.org/officeDocument/2006/relationships/hyperlink" Target="https://ec.europa.eu/info/strategy/priorities-2019-2024/promoting-our-european-way-life/european-health-union/cancer-plan-europe_hr" TargetMode="External"/><Relationship Id="rId14" Type="http://schemas.openxmlformats.org/officeDocument/2006/relationships/hyperlink" Target="https://health.ec.europa.eu/ehealth-digital-health-and-care/european-health-data-space_hr" TargetMode="External"/><Relationship Id="rId22" Type="http://schemas.openxmlformats.org/officeDocument/2006/relationships/hyperlink" Target="https://www.who.int/about/what-we-do/thirteenth-general-programme-of-work-2019---2023" TargetMode="External"/><Relationship Id="rId27" Type="http://schemas.openxmlformats.org/officeDocument/2006/relationships/hyperlink" Target="https://ec.europa.eu/info/policies/justice-and-fundamental-rights/combatting-discrimination/lesbian-gay-bi-trans-and-intersex-equality/lgbtiq-equality-strategy-2020-2025_en" TargetMode="External"/><Relationship Id="rId30" Type="http://schemas.openxmlformats.org/officeDocument/2006/relationships/hyperlink" Target="https://eur-lex.europa.eu/legal-content/HR/TXT/?uri=celex%3A42017Y0630%2801%29" TargetMode="External"/><Relationship Id="rId35" Type="http://schemas.openxmlformats.org/officeDocument/2006/relationships/hyperlink" Target="https://europa.eu/capacity4dev/tei-jp-tracker/" TargetMode="External"/><Relationship Id="rId43" Type="http://schemas.openxmlformats.org/officeDocument/2006/relationships/hyperlink" Target="https://www.consilium.europa.eu/hr/press/press-releases/2022/03/03/council-gives-green-light-to-start-negotiations-on-international-pandemic-treaty/" TargetMode="External"/><Relationship Id="rId48" Type="http://schemas.openxmlformats.org/officeDocument/2006/relationships/hyperlink" Target="https://eur-lex.europa.eu/legal-content/HR/TXT/PDF/?uri=CELEX:32014L0095&amp;from=HR" TargetMode="External"/><Relationship Id="rId56" Type="http://schemas.openxmlformats.org/officeDocument/2006/relationships/hyperlink" Target="https://www.thelancet.com/journals/lancet/article/PIIS0140-6736(22)01585-9/fulltext" TargetMode="External"/><Relationship Id="rId8" Type="http://schemas.openxmlformats.org/officeDocument/2006/relationships/hyperlink" Target="https://ec.europa.eu/info/strategy/priorities-2019-2024/promoting-our-european-way-life/european-health-union/cancer-plan-europe_hr" TargetMode="External"/><Relationship Id="rId51" Type="http://schemas.openxmlformats.org/officeDocument/2006/relationships/hyperlink" Target="https://www.wto.org/english/tratop_e/trips_e/trips_e.htm" TargetMode="External"/><Relationship Id="rId3" Type="http://schemas.openxmlformats.org/officeDocument/2006/relationships/hyperlink" Target="https://global-health-summit.europa.eu/rome-declaration_en" TargetMode="External"/><Relationship Id="rId12" Type="http://schemas.openxmlformats.org/officeDocument/2006/relationships/hyperlink" Target="https://research-and-innovation.ec.europa.eu/funding/funding-opportunities/funding-programmes-and-open-calls/horizon-europe/eu-missions-horizon-europe/eu-mission-cancer_en" TargetMode="External"/><Relationship Id="rId17" Type="http://schemas.openxmlformats.org/officeDocument/2006/relationships/hyperlink" Target="https://ec.europa.eu/info/strategy/priorities-2019-2024/european-green-deal_hr" TargetMode="External"/><Relationship Id="rId25" Type="http://schemas.openxmlformats.org/officeDocument/2006/relationships/hyperlink" Target="https://ec.europa.eu/social/main.jsp?catId=738&amp;langId=hr&amp;pubId=8376&amp;furtherPubs=yes" TargetMode="External"/><Relationship Id="rId33" Type="http://schemas.openxmlformats.org/officeDocument/2006/relationships/hyperlink" Target="https://www.who.int/publications/i/item/9789241580496" TargetMode="External"/><Relationship Id="rId38" Type="http://schemas.openxmlformats.org/officeDocument/2006/relationships/hyperlink" Target="https://www.worldbank.org/en/programs/financial-intermediary-fund-for-pandemic-prevention-preparedness-and-response-ppr-fif" TargetMode="External"/><Relationship Id="rId46" Type="http://schemas.openxmlformats.org/officeDocument/2006/relationships/hyperlink" Target="https://www.thelancet.com/journals/lancet/article/PIIS0140-6736(21)00948-X/fulltext" TargetMode="External"/><Relationship Id="rId59" Type="http://schemas.openxmlformats.org/officeDocument/2006/relationships/hyperlink" Target="https://ec.europa.eu/commission/presscorner/detail/en/statement_21_4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78AB-059E-4E6E-946D-121C409F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11422</Words>
  <Characters>71621</Characters>
  <Application>Microsoft Office Word</Application>
  <DocSecurity>0</DocSecurity>
  <Lines>1037</Lines>
  <Paragraphs>304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2022-11-29T14:28:00Z</dcterms:created>
  <dcterms:modified xsi:type="dcterms:W3CDTF">2022-12-19T15:54:00Z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2022-11-16T08:25:21Z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1e848d83-efce-406c-b0a9-3de38f001359</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CP-014</vt:lpwstr>
  </property>
</Properties>
</file>