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104CC" w14:textId="7D625359" w:rsidR="0041255F" w:rsidRPr="008A6F57" w:rsidRDefault="00C024B3" w:rsidP="00C024B3">
      <w:pPr>
        <w:pStyle w:val="Pagedecouverture"/>
        <w:rPr>
          <w:noProof/>
        </w:rPr>
      </w:pPr>
      <w:r>
        <w:rPr>
          <w:noProof/>
        </w:rPr>
        <w:pict w14:anchorId="4DF43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35BB87F-1293-4BF5-A379-2E9B37A4242E" style="width:455.25pt;height:383.25pt">
            <v:imagedata r:id="rId8" o:title=""/>
          </v:shape>
        </w:pict>
      </w:r>
    </w:p>
    <w:p w14:paraId="27F1B58A" w14:textId="77777777" w:rsidR="0041255F" w:rsidRPr="008A6F57" w:rsidRDefault="0041255F" w:rsidP="0041255F">
      <w:pPr>
        <w:rPr>
          <w:noProof/>
        </w:rPr>
        <w:sectPr w:rsidR="0041255F" w:rsidRPr="008A6F57" w:rsidSect="00C024B3">
          <w:footerReference w:type="default" r:id="rId9"/>
          <w:pgSz w:w="11907" w:h="16839"/>
          <w:pgMar w:top="1134" w:right="1417" w:bottom="1134" w:left="1417" w:header="709" w:footer="709" w:gutter="0"/>
          <w:pgNumType w:start="0"/>
          <w:cols w:space="720"/>
          <w:docGrid w:linePitch="360"/>
        </w:sectPr>
      </w:pPr>
    </w:p>
    <w:p w14:paraId="368C0D82" w14:textId="77777777" w:rsidR="0021287D" w:rsidRPr="008A6F57" w:rsidRDefault="0021287D" w:rsidP="0021287D">
      <w:pPr>
        <w:pStyle w:val="Exposdesmotifstitre"/>
        <w:rPr>
          <w:noProof/>
        </w:rPr>
      </w:pPr>
      <w:bookmarkStart w:id="0" w:name="_GoBack"/>
      <w:bookmarkEnd w:id="0"/>
      <w:r w:rsidRPr="008A6F57">
        <w:rPr>
          <w:noProof/>
        </w:rPr>
        <w:lastRenderedPageBreak/>
        <w:t>DŮVODOVÁ ZPRÁVA</w:t>
      </w:r>
    </w:p>
    <w:p w14:paraId="35EF06F3" w14:textId="019351A7" w:rsidR="0021287D" w:rsidRPr="008A6F57" w:rsidRDefault="005779E2" w:rsidP="005779E2">
      <w:pPr>
        <w:pStyle w:val="ManualHeading1"/>
        <w:rPr>
          <w:rFonts w:eastAsia="Arial Unicode MS"/>
          <w:noProof/>
        </w:rPr>
      </w:pPr>
      <w:r w:rsidRPr="005779E2">
        <w:t>1.</w:t>
      </w:r>
      <w:r w:rsidRPr="005779E2">
        <w:tab/>
      </w:r>
      <w:r w:rsidR="0021287D" w:rsidRPr="008A6F57">
        <w:rPr>
          <w:noProof/>
        </w:rPr>
        <w:t>Předmět návrhu</w:t>
      </w:r>
    </w:p>
    <w:p w14:paraId="2DEA6023" w14:textId="77777777" w:rsidR="0021287D" w:rsidRPr="008A6F57" w:rsidRDefault="0021287D" w:rsidP="0021287D">
      <w:pPr>
        <w:rPr>
          <w:rFonts w:eastAsia="Arial Unicode MS"/>
          <w:noProof/>
        </w:rPr>
      </w:pPr>
      <w:r w:rsidRPr="008A6F57">
        <w:rPr>
          <w:noProof/>
        </w:rPr>
        <w:t>Tento návrh se týká rozhodnutí o postoji, který má být jménem Unie zaujat na 66. zasedání Komise pro narkotika, pokud jde o zařazení látek na seznamy k Jednotné úmluvě OSN o omamných látkách z roku 1961 ve znění protokolu z roku 1972 a k Úmluvě OSN o psychotropních látkách z roku 1971. 66. zasedání Komise pro narkotika se bude konat ve dnech 13. až 17. března 2023.</w:t>
      </w:r>
    </w:p>
    <w:p w14:paraId="1376D99D" w14:textId="5BCA7910" w:rsidR="0021287D" w:rsidRPr="008A6F57" w:rsidRDefault="005779E2" w:rsidP="005779E2">
      <w:pPr>
        <w:pStyle w:val="ManualHeading1"/>
        <w:rPr>
          <w:noProof/>
        </w:rPr>
      </w:pPr>
      <w:r w:rsidRPr="005779E2">
        <w:t>2.</w:t>
      </w:r>
      <w:r w:rsidRPr="005779E2">
        <w:tab/>
      </w:r>
      <w:r w:rsidR="0021287D" w:rsidRPr="008A6F57">
        <w:rPr>
          <w:noProof/>
        </w:rPr>
        <w:t>SOUVISLOSTI NÁVRHU</w:t>
      </w:r>
    </w:p>
    <w:p w14:paraId="518706AB" w14:textId="35496593" w:rsidR="0021287D" w:rsidRPr="008A6F57" w:rsidRDefault="005779E2" w:rsidP="005779E2">
      <w:pPr>
        <w:pStyle w:val="ManualHeading2"/>
        <w:rPr>
          <w:noProof/>
          <w:bdr w:val="none" w:sz="0" w:space="0" w:color="auto" w:frame="1"/>
        </w:rPr>
      </w:pPr>
      <w:r w:rsidRPr="005779E2">
        <w:t>2.1.</w:t>
      </w:r>
      <w:r w:rsidRPr="005779E2">
        <w:tab/>
      </w:r>
      <w:r w:rsidR="0021287D" w:rsidRPr="008A6F57">
        <w:rPr>
          <w:noProof/>
          <w:bdr w:val="none" w:sz="0" w:space="0" w:color="auto" w:frame="1"/>
        </w:rPr>
        <w:t>Jednotná úmluva OSN o omamných látkách z roku 1961 ve znění protokolu z roku 1972 a Úmluva OSN o psychotropních látkách z roku 1971</w:t>
      </w:r>
    </w:p>
    <w:p w14:paraId="4417B586" w14:textId="77777777" w:rsidR="0021287D" w:rsidRPr="008A6F57" w:rsidRDefault="0021287D" w:rsidP="0021287D">
      <w:pPr>
        <w:autoSpaceDE w:val="0"/>
        <w:autoSpaceDN w:val="0"/>
        <w:adjustRightInd w:val="0"/>
        <w:spacing w:after="240"/>
        <w:rPr>
          <w:noProof/>
          <w:szCs w:val="24"/>
        </w:rPr>
      </w:pPr>
      <w:r w:rsidRPr="008A6F57">
        <w:rPr>
          <w:noProof/>
        </w:rPr>
        <w:t>Jednotná úmluva Organizace spojených národů (OSN) o omamných látkách z roku 1961 ve znění protokolu z roku 1972 (dále jen „Úmluva o omamných látkách“)</w:t>
      </w:r>
      <w:r w:rsidRPr="008A6F57">
        <w:rPr>
          <w:rStyle w:val="FootnoteReference0"/>
          <w:noProof/>
          <w:szCs w:val="24"/>
        </w:rPr>
        <w:footnoteReference w:id="1"/>
      </w:r>
      <w:r w:rsidRPr="008A6F57">
        <w:rPr>
          <w:noProof/>
        </w:rPr>
        <w:t xml:space="preserve"> má za cíl potírat zneužívání drog prostřednictvím koordinované činnosti na mezinárodní úrovni. Existují dvě formy intervence a kontroly, které působí v součinnosti. Za prvé, jde o snahu omezit držení, užívání, šíření, dovoz, vývoz, výrobu a produkci drog a obchod s nimi výhradně na lékařské a vědecké účely. Za druhé, proti obchodu s drogami se bojuje prostřednictvím mezinárodní spolupráce s cílem odradit obchodníky s drogami.</w:t>
      </w:r>
    </w:p>
    <w:p w14:paraId="5C9BA2A1" w14:textId="77777777" w:rsidR="0021287D" w:rsidRPr="008A6F57" w:rsidRDefault="0021287D" w:rsidP="0021287D">
      <w:pPr>
        <w:autoSpaceDE w:val="0"/>
        <w:autoSpaceDN w:val="0"/>
        <w:adjustRightInd w:val="0"/>
        <w:spacing w:after="240"/>
        <w:rPr>
          <w:noProof/>
          <w:szCs w:val="24"/>
        </w:rPr>
      </w:pPr>
      <w:r w:rsidRPr="008A6F57">
        <w:rPr>
          <w:noProof/>
        </w:rPr>
        <w:t>Úmluva OSN o psychotropních látkách z roku 1971 (dále jen „Úmluva o psychotropních látkách“)</w:t>
      </w:r>
      <w:r w:rsidRPr="008A6F57">
        <w:rPr>
          <w:rStyle w:val="FootnoteReference0"/>
          <w:noProof/>
          <w:szCs w:val="24"/>
        </w:rPr>
        <w:footnoteReference w:id="2"/>
      </w:r>
      <w:r w:rsidRPr="008A6F57">
        <w:rPr>
          <w:noProof/>
        </w:rPr>
        <w:t xml:space="preserve"> stanoví systém mezinárodní kontroly psychotropních látek. Tato úmluva byla reakcí na diverzifikaci a rozšiřování škály zneužívaných drog a u řady syntetických drog zavedla kontroly jednak podle jejich potenciálu zneužívání a jednak podle jejich terapeutické hodnoty.</w:t>
      </w:r>
    </w:p>
    <w:p w14:paraId="59BAE93B" w14:textId="77777777" w:rsidR="0021287D" w:rsidRPr="008A6F57" w:rsidRDefault="0021287D" w:rsidP="0021287D">
      <w:pPr>
        <w:autoSpaceDE w:val="0"/>
        <w:autoSpaceDN w:val="0"/>
        <w:adjustRightInd w:val="0"/>
        <w:spacing w:after="240"/>
        <w:rPr>
          <w:noProof/>
          <w:szCs w:val="24"/>
        </w:rPr>
      </w:pPr>
      <w:r w:rsidRPr="008A6F57">
        <w:rPr>
          <w:noProof/>
        </w:rPr>
        <w:t xml:space="preserve">Stranami těchto úmluv jsou všechny členské státy EU, nikoli však Unie. </w:t>
      </w:r>
    </w:p>
    <w:p w14:paraId="7292681A" w14:textId="769E6303" w:rsidR="0021287D" w:rsidRPr="008A6F57" w:rsidRDefault="005779E2" w:rsidP="005779E2">
      <w:pPr>
        <w:pStyle w:val="ManualHeading2"/>
        <w:rPr>
          <w:noProof/>
        </w:rPr>
      </w:pPr>
      <w:r w:rsidRPr="005779E2">
        <w:t>2.2.</w:t>
      </w:r>
      <w:r w:rsidRPr="005779E2">
        <w:tab/>
      </w:r>
      <w:r w:rsidR="0021287D" w:rsidRPr="008A6F57">
        <w:rPr>
          <w:noProof/>
        </w:rPr>
        <w:t xml:space="preserve">Komise pro narkotika </w:t>
      </w:r>
    </w:p>
    <w:p w14:paraId="75B0AE52" w14:textId="77777777" w:rsidR="0021287D" w:rsidRPr="008A6F57" w:rsidRDefault="0021287D" w:rsidP="0021287D">
      <w:pPr>
        <w:autoSpaceDE w:val="0"/>
        <w:autoSpaceDN w:val="0"/>
        <w:adjustRightInd w:val="0"/>
        <w:spacing w:after="240"/>
        <w:rPr>
          <w:noProof/>
          <w:szCs w:val="24"/>
        </w:rPr>
      </w:pPr>
      <w:r w:rsidRPr="008A6F57">
        <w:rPr>
          <w:noProof/>
        </w:rPr>
        <w:t>Komise pro narkotika je komisí Ekonomické a sociální rady (ECOSOC) OSN a její funkce a pravomoci jsou stanoveny mimo jiné v uvedených dvou úmluvách. Skládá se ze zástupců 53 členských států OSN zvolených radou ECOSOC. V březnu roku 2023 bude členy Komise pro narkotika s hlasovacím právem dvanáct členských států</w:t>
      </w:r>
      <w:r w:rsidRPr="008A6F57">
        <w:rPr>
          <w:rStyle w:val="FootnoteReference0"/>
          <w:noProof/>
          <w:szCs w:val="24"/>
        </w:rPr>
        <w:footnoteReference w:id="3"/>
      </w:r>
      <w:r w:rsidRPr="008A6F57">
        <w:rPr>
          <w:noProof/>
        </w:rPr>
        <w:t xml:space="preserve">. Unie má v Komisi pro narkotika status pozorovatele. </w:t>
      </w:r>
    </w:p>
    <w:p w14:paraId="161C69D1" w14:textId="3ECA6C02" w:rsidR="0021287D" w:rsidRPr="008A6F57" w:rsidRDefault="005779E2" w:rsidP="005779E2">
      <w:pPr>
        <w:pStyle w:val="ManualHeading2"/>
        <w:rPr>
          <w:noProof/>
        </w:rPr>
      </w:pPr>
      <w:r w:rsidRPr="005779E2">
        <w:t>2.3.</w:t>
      </w:r>
      <w:r w:rsidRPr="005779E2">
        <w:tab/>
      </w:r>
      <w:r w:rsidR="0021287D" w:rsidRPr="008A6F57">
        <w:rPr>
          <w:noProof/>
        </w:rPr>
        <w:t>Zamýšlený akt Komise pro narkotika</w:t>
      </w:r>
    </w:p>
    <w:p w14:paraId="5B142B4D" w14:textId="77777777" w:rsidR="0021287D" w:rsidRPr="008A6F57" w:rsidRDefault="0021287D" w:rsidP="0021287D">
      <w:pPr>
        <w:autoSpaceDE w:val="0"/>
        <w:autoSpaceDN w:val="0"/>
        <w:adjustRightInd w:val="0"/>
        <w:spacing w:after="240"/>
        <w:rPr>
          <w:noProof/>
          <w:szCs w:val="24"/>
        </w:rPr>
      </w:pPr>
      <w:r w:rsidRPr="008A6F57">
        <w:rPr>
          <w:noProof/>
        </w:rPr>
        <w:t xml:space="preserve">Komise pro narkotika na základě doporučení Světové zdravotnické organizace (WHO), které radí její Výbor odborníků pro drogové závislosti, pravidelně mění seznamy látek připojené k úmluvám. </w:t>
      </w:r>
    </w:p>
    <w:p w14:paraId="2FCE018A" w14:textId="0989A11F" w:rsidR="0021287D" w:rsidRPr="008A6F57" w:rsidRDefault="0021287D" w:rsidP="0021287D">
      <w:pPr>
        <w:autoSpaceDE w:val="0"/>
        <w:autoSpaceDN w:val="0"/>
        <w:adjustRightInd w:val="0"/>
        <w:spacing w:after="240"/>
        <w:rPr>
          <w:noProof/>
          <w:szCs w:val="24"/>
        </w:rPr>
      </w:pPr>
      <w:r w:rsidRPr="008A6F57">
        <w:rPr>
          <w:noProof/>
        </w:rPr>
        <w:t>Dne 2. prosince 2022 doporučila organizace WHO generálnímu tajemníkovi OSN</w:t>
      </w:r>
      <w:r w:rsidRPr="008A6F57">
        <w:rPr>
          <w:rStyle w:val="FootnoteReference0"/>
          <w:noProof/>
        </w:rPr>
        <w:footnoteReference w:id="4"/>
      </w:r>
      <w:r w:rsidRPr="008A6F57">
        <w:rPr>
          <w:noProof/>
        </w:rPr>
        <w:t xml:space="preserve"> doplnit na seznamy k úmluvám sedm látek, které kriticky přezkoumal Výbor odborníků WHO pro drogové závislosti. </w:t>
      </w:r>
    </w:p>
    <w:p w14:paraId="0D1DD970" w14:textId="77777777" w:rsidR="0021287D" w:rsidRPr="008A6F57" w:rsidRDefault="0021287D" w:rsidP="0021287D">
      <w:pPr>
        <w:autoSpaceDE w:val="0"/>
        <w:autoSpaceDN w:val="0"/>
        <w:adjustRightInd w:val="0"/>
        <w:spacing w:after="240"/>
        <w:rPr>
          <w:rFonts w:eastAsia="Arial Unicode MS"/>
          <w:noProof/>
        </w:rPr>
      </w:pPr>
      <w:r w:rsidRPr="008A6F57">
        <w:rPr>
          <w:noProof/>
        </w:rPr>
        <w:t xml:space="preserve">Na svém 66. zasedání, jež se bude konat ve Vídni od 13. do 17. března 2023, bude Komise pro narkotika vyzvána k přijetí rozhodnutí o zařazení těchto látek na seznamy k úmluvám. </w:t>
      </w:r>
    </w:p>
    <w:p w14:paraId="4D2B4A0B" w14:textId="103E3D82" w:rsidR="0021287D" w:rsidRPr="008A6F57" w:rsidRDefault="005779E2" w:rsidP="005779E2">
      <w:pPr>
        <w:pStyle w:val="ManualHeading1"/>
        <w:rPr>
          <w:noProof/>
        </w:rPr>
      </w:pPr>
      <w:r w:rsidRPr="005779E2">
        <w:t>3.</w:t>
      </w:r>
      <w:r w:rsidRPr="005779E2">
        <w:tab/>
      </w:r>
      <w:r w:rsidR="0021287D" w:rsidRPr="008A6F57">
        <w:rPr>
          <w:noProof/>
        </w:rPr>
        <w:t>Postoj, který má být zaujat jménem Unie</w:t>
      </w:r>
    </w:p>
    <w:p w14:paraId="10C47638" w14:textId="77777777" w:rsidR="0021287D" w:rsidRPr="008A6F57" w:rsidRDefault="0021287D" w:rsidP="0021287D">
      <w:pPr>
        <w:autoSpaceDE w:val="0"/>
        <w:autoSpaceDN w:val="0"/>
        <w:adjustRightInd w:val="0"/>
        <w:spacing w:after="240"/>
        <w:rPr>
          <w:noProof/>
          <w:szCs w:val="24"/>
        </w:rPr>
      </w:pPr>
      <w:r w:rsidRPr="008A6F57">
        <w:rPr>
          <w:noProof/>
        </w:rPr>
        <w:t>Změny seznamů k úmluvám mají přímé důsledky pro působnost práva Unie v oblasti boje proti drogám pro všechny členské státy. V čl. 1 odst. 1 rámcového rozhodnutí Rady 2004/757/SVV ze dne 25. října 2004, kterým se stanoví minimální ustanovení týkající se znaků skutkových podstat trestných činů a sankcí v oblasti nedovoleného obchodu s drogami</w:t>
      </w:r>
      <w:r w:rsidRPr="008A6F57">
        <w:rPr>
          <w:rStyle w:val="FootnoteReference0"/>
          <w:noProof/>
          <w:szCs w:val="24"/>
        </w:rPr>
        <w:footnoteReference w:id="5"/>
      </w:r>
      <w:r w:rsidRPr="008A6F57">
        <w:rPr>
          <w:noProof/>
        </w:rPr>
        <w:t xml:space="preserve"> (dále jen „rámcové rozhodnutí“), se uvádí, že pro účely rámcového rozhodnutí se „drogou“ rozumí látka uvedená v Úmluvě o omamných látkách nebo v Úmluvě o psychotropních látkách a kterákoli z látek uvedených v příloze rámcového rozhodnutí. Rámcové rozhodnutí se proto vztahuje na látky uvedené na seznamech k Úmluvě o omamných látkách a Úmluvě o psychotropních látkách. Jakákoli změna seznamů připojených k těmto úmluvám tak přímo ovlivňuje společná pravidla EU a mění jejich působnost v souladu s čl. 3 odst. 2 Smlouvy o fungování Evropské unie (SFEU). Nezáleží přitom na tom, zda dotyčná látka podléhá v Unii kontrole</w:t>
      </w:r>
      <w:r w:rsidRPr="008A6F57">
        <w:rPr>
          <w:rStyle w:val="FootnoteReference0"/>
          <w:noProof/>
          <w:szCs w:val="24"/>
        </w:rPr>
        <w:footnoteReference w:id="6"/>
      </w:r>
      <w:r w:rsidRPr="008A6F57">
        <w:rPr>
          <w:noProof/>
        </w:rPr>
        <w:t>.</w:t>
      </w:r>
    </w:p>
    <w:p w14:paraId="5BF7FD3C" w14:textId="3BD84002" w:rsidR="0021287D" w:rsidRPr="008A6F57" w:rsidRDefault="0021287D" w:rsidP="0021287D">
      <w:pPr>
        <w:autoSpaceDE w:val="0"/>
        <w:autoSpaceDN w:val="0"/>
        <w:adjustRightInd w:val="0"/>
        <w:rPr>
          <w:noProof/>
          <w:szCs w:val="24"/>
        </w:rPr>
      </w:pPr>
      <w:r w:rsidRPr="008A6F57">
        <w:rPr>
          <w:noProof/>
        </w:rPr>
        <w:t>Výbor odborníků WHO pro drogové závislosti posuzoval na svém 45. zasedání devět látek a rozhodl se doporučit, aby sedm z nich bylo zařazeno na seznam a dvě zbývající byly nadále sledovány. Jedna látka navržená k zařazení na seznam již kontrolním opatřením v celé Unii podléhá: látka 3-MMC byla na seznam drog uvedený v rámcovém rozhodnutí doplněna v roce 2022. Čtyři látky (ADB-BUTINACA, protonitazen, etazen, etonitazepyn) Evropské monitorovací centrum pro drogy a drogovou závislost monitoruje intenzivně</w:t>
      </w:r>
      <w:r w:rsidRPr="008A6F57">
        <w:rPr>
          <w:rStyle w:val="FootnoteReference0"/>
          <w:noProof/>
          <w:szCs w:val="24"/>
        </w:rPr>
        <w:footnoteReference w:id="7"/>
      </w:r>
      <w:r w:rsidRPr="008A6F57">
        <w:rPr>
          <w:noProof/>
        </w:rPr>
        <w:t xml:space="preserve"> a zbývající dvě látky (2-methyl-AP-237 a α-PiHP) monitoruje. Monitoruje rovněž dvě nadále sledované látky adinazolam a bromazolam.</w:t>
      </w:r>
    </w:p>
    <w:p w14:paraId="53BADE28" w14:textId="54FB30ED" w:rsidR="0021287D" w:rsidRPr="008A6F57" w:rsidRDefault="0021287D" w:rsidP="0021287D">
      <w:pPr>
        <w:autoSpaceDE w:val="0"/>
        <w:autoSpaceDN w:val="0"/>
        <w:adjustRightInd w:val="0"/>
        <w:spacing w:after="240"/>
        <w:rPr>
          <w:noProof/>
          <w:szCs w:val="24"/>
        </w:rPr>
      </w:pPr>
      <w:r w:rsidRPr="008A6F57">
        <w:rPr>
          <w:noProof/>
        </w:rPr>
        <w:t>Podle návrhu Komise k postoji Unie mají být doporučení WHO (tj. kontrola výše uvedených sedmi látek) podpořena, neboť jsou v souladu se současným stavem vědeckých poznatků. Pokud jde o nové psychoaktivní látky, je jejich doplnění na seznamy k úmluvám podpořeno rovněž informacemi, jež jsou dostupné v Evropské databázi nových drog, kterou provozuje Evropské monitorovací centrum pro drogy a drogovou závislost.</w:t>
      </w:r>
    </w:p>
    <w:p w14:paraId="42E98BEF" w14:textId="77777777" w:rsidR="0021287D" w:rsidRPr="008A6F57" w:rsidRDefault="0021287D" w:rsidP="0021287D">
      <w:pPr>
        <w:autoSpaceDE w:val="0"/>
        <w:autoSpaceDN w:val="0"/>
        <w:adjustRightInd w:val="0"/>
        <w:spacing w:after="240"/>
        <w:rPr>
          <w:noProof/>
          <w:szCs w:val="24"/>
        </w:rPr>
      </w:pPr>
      <w:r w:rsidRPr="008A6F57">
        <w:rPr>
          <w:noProof/>
        </w:rPr>
        <w:t>Je nezbytné, aby Rada stanovila postoj Unie pro zasedání Komise pro narkotika, až bude vyzvána k rozhodnutí o zařazení látek na seznamy. Takový postoj by vzhledem k omezením daným povahou statusu Unie coby pozorovatele měl být vyjádřen členskými státy, které budou členy Komise pro narkotika v březnu 2023, jednajíce v Komisi pro narkotika společně v zájmu Unie. Unie není stranou uvedených úmluv, ale má v této oblasti výlučnou pravomoc.</w:t>
      </w:r>
    </w:p>
    <w:p w14:paraId="14AA1CC7" w14:textId="77777777" w:rsidR="0021287D" w:rsidRPr="008A6F57" w:rsidRDefault="0021287D" w:rsidP="0021287D">
      <w:pPr>
        <w:autoSpaceDE w:val="0"/>
        <w:autoSpaceDN w:val="0"/>
        <w:adjustRightInd w:val="0"/>
        <w:spacing w:after="240"/>
        <w:rPr>
          <w:noProof/>
          <w:szCs w:val="24"/>
        </w:rPr>
      </w:pPr>
      <w:r w:rsidRPr="008A6F57">
        <w:rPr>
          <w:noProof/>
        </w:rPr>
        <w:t>Komise proto navrhuje společný postoj Unie ohledně zařazení látek na seznamy k Úmluvě o omamných látkách a k Úmluvě o psychotropních látkách, který mají na 66. zasedání Komise pro narkotika vyjádřit jménem Evropské unie členské státy, které budou členy Komise pro narkotika v březnu 2023. V minulosti takové postoje Unie přijímala Rada, takže EU mohla na předchozích zasedáních Komise pro narkotika vystupovat v otázce zařazování látek na mezinárodní seznamy jednotně, protože členské státy účastnící se zasedání Komise pro narkotika hlasovaly pro zařazení látek na seznamy v souladu s přijatým postojem Unie</w:t>
      </w:r>
      <w:r w:rsidRPr="008A6F57">
        <w:rPr>
          <w:rStyle w:val="FootnoteReference0"/>
          <w:noProof/>
          <w:szCs w:val="24"/>
        </w:rPr>
        <w:footnoteReference w:id="8"/>
      </w:r>
      <w:r w:rsidRPr="008A6F57">
        <w:rPr>
          <w:noProof/>
        </w:rPr>
        <w:t>.</w:t>
      </w:r>
    </w:p>
    <w:p w14:paraId="5D1EC6AC" w14:textId="33F9C66E" w:rsidR="0021287D" w:rsidRPr="008A6F57" w:rsidRDefault="005779E2" w:rsidP="005779E2">
      <w:pPr>
        <w:pStyle w:val="ManualHeading1"/>
        <w:rPr>
          <w:noProof/>
        </w:rPr>
      </w:pPr>
      <w:r w:rsidRPr="005779E2">
        <w:t>4.</w:t>
      </w:r>
      <w:r w:rsidRPr="005779E2">
        <w:tab/>
      </w:r>
      <w:r w:rsidR="0021287D" w:rsidRPr="008A6F57">
        <w:rPr>
          <w:noProof/>
        </w:rPr>
        <w:t>PRÁVNÍ ZÁKLAD</w:t>
      </w:r>
    </w:p>
    <w:p w14:paraId="00B8A029" w14:textId="71786CFB" w:rsidR="0021287D" w:rsidRPr="008A6F57" w:rsidRDefault="005779E2" w:rsidP="005779E2">
      <w:pPr>
        <w:pStyle w:val="ManualHeading2"/>
        <w:rPr>
          <w:noProof/>
        </w:rPr>
      </w:pPr>
      <w:r w:rsidRPr="005779E2">
        <w:t>4.1.</w:t>
      </w:r>
      <w:r w:rsidRPr="005779E2">
        <w:tab/>
      </w:r>
      <w:r w:rsidR="0021287D" w:rsidRPr="008A6F57">
        <w:rPr>
          <w:noProof/>
        </w:rPr>
        <w:tab/>
        <w:t>Procesněprávní základ</w:t>
      </w:r>
    </w:p>
    <w:p w14:paraId="45E4F90B" w14:textId="77777777" w:rsidR="0021287D" w:rsidRPr="008A6F57" w:rsidRDefault="0021287D" w:rsidP="0021287D">
      <w:pPr>
        <w:rPr>
          <w:noProof/>
        </w:rPr>
      </w:pPr>
      <w:r w:rsidRPr="008A6F57">
        <w:rPr>
          <w:noProof/>
        </w:rPr>
        <w:t>Ustanovení čl. 218 odst. 9 Smlouvy o fungování Evropské unie (SFEU) zavádí rozhodnutí, kterými se stanoví „</w:t>
      </w:r>
      <w:r w:rsidRPr="008A6F57">
        <w:rPr>
          <w:i/>
          <w:noProof/>
        </w:rPr>
        <w:t>postoje, které mají být jménem Unie zaujaty v orgánu zřízeném dohodou, má-li tento orgán přijímat akty s právními účinky, s výjimkou aktů, které doplňují nebo pozměňují institucionální rámec dohody</w:t>
      </w:r>
      <w:r w:rsidRPr="008A6F57">
        <w:rPr>
          <w:noProof/>
        </w:rPr>
        <w:t>“.</w:t>
      </w:r>
    </w:p>
    <w:p w14:paraId="7C330504" w14:textId="77777777" w:rsidR="0021287D" w:rsidRPr="008A6F57" w:rsidRDefault="0021287D" w:rsidP="0021287D">
      <w:pPr>
        <w:rPr>
          <w:noProof/>
        </w:rPr>
      </w:pPr>
      <w:r w:rsidRPr="008A6F57">
        <w:rPr>
          <w:noProof/>
        </w:rPr>
        <w:t>Ustanovení čl. 218 odst. 9 SFEU se použije bez ohledu na to, zda je Unie členem dotyčného orgánu nebo stranou dotyčné dohody</w:t>
      </w:r>
      <w:r w:rsidRPr="008A6F57">
        <w:rPr>
          <w:rStyle w:val="FootnoteReference0"/>
          <w:noProof/>
        </w:rPr>
        <w:footnoteReference w:id="9"/>
      </w:r>
      <w:r w:rsidRPr="008A6F57">
        <w:rPr>
          <w:noProof/>
        </w:rPr>
        <w:t>. Pojem „</w:t>
      </w:r>
      <w:r w:rsidRPr="008A6F57">
        <w:rPr>
          <w:i/>
          <w:noProof/>
        </w:rPr>
        <w:t>akty s právními účinky</w:t>
      </w:r>
      <w:r w:rsidRPr="008A6F57">
        <w:rPr>
          <w:noProof/>
        </w:rPr>
        <w:t>“ zahrnuje akty, které mají právní účinky na základě pravidel mezinárodního práva, kterým se řídí dotyčný orgán. Zahrnuje rovněž nástroje, které podle mezinárodního práva nemají závazný účinek, ale mohou „</w:t>
      </w:r>
      <w:r w:rsidRPr="008A6F57">
        <w:rPr>
          <w:i/>
          <w:noProof/>
        </w:rPr>
        <w:t>rozhodujícím způsobem ovlivnit obsah právní úpravy přijaté zákonodárcem Unie</w:t>
      </w:r>
      <w:r w:rsidRPr="008A6F57">
        <w:rPr>
          <w:noProof/>
        </w:rPr>
        <w:t>“</w:t>
      </w:r>
      <w:r w:rsidRPr="008A6F57">
        <w:rPr>
          <w:rStyle w:val="FootnoteReference0"/>
          <w:noProof/>
        </w:rPr>
        <w:footnoteReference w:id="10"/>
      </w:r>
      <w:r w:rsidRPr="008A6F57">
        <w:rPr>
          <w:noProof/>
        </w:rPr>
        <w:t>.</w:t>
      </w:r>
    </w:p>
    <w:p w14:paraId="4C5476F1" w14:textId="77777777" w:rsidR="0021287D" w:rsidRPr="008A6F57" w:rsidRDefault="0021287D" w:rsidP="0021287D">
      <w:pPr>
        <w:rPr>
          <w:noProof/>
        </w:rPr>
      </w:pPr>
      <w:r w:rsidRPr="008A6F57">
        <w:rPr>
          <w:noProof/>
        </w:rPr>
        <w:t>Komise pro narkotika je „orgán zřízený dohodou“ ve smyslu uvedeného článku, neboť se jedná o orgán, který byl zřízen radou ECOSOC – orgánem Organizace spojených národů – a který byl pověřen konkrétními úkoly podle Úmluvy o omamných látkách a Úmluvy o psychotropních látkách.</w:t>
      </w:r>
    </w:p>
    <w:p w14:paraId="5F63EB91" w14:textId="77777777" w:rsidR="0021287D" w:rsidRPr="008A6F57" w:rsidRDefault="0021287D" w:rsidP="0021287D">
      <w:pPr>
        <w:rPr>
          <w:noProof/>
        </w:rPr>
      </w:pPr>
      <w:r w:rsidRPr="008A6F57">
        <w:rPr>
          <w:noProof/>
        </w:rPr>
        <w:t>Rozhodnutí Komise pro narkotika o zařazení látek na seznamy jsou „akty s právními účinky“ ve smyslu čl. 218 odst. 9 SFEU. Podle Úmluvy o omamných látkách a Úmluvy o psychotropních látkách se rozhodnutí Komise pro narkotika stávají automaticky závaznými, pokud jedna ze stran nepředloží rozhodnutí během stanovené lhůty radě ECOSOC k přezkoumání</w:t>
      </w:r>
      <w:r w:rsidRPr="008A6F57">
        <w:rPr>
          <w:rStyle w:val="FootnoteReference0"/>
          <w:noProof/>
          <w:szCs w:val="24"/>
        </w:rPr>
        <w:footnoteReference w:id="11"/>
      </w:r>
      <w:r w:rsidRPr="008A6F57">
        <w:rPr>
          <w:noProof/>
        </w:rPr>
        <w:t>. Rozhodnutí rady ECOSOC v dané věci jsou konečná. Rozhodnutí Komise pro narkotika o zařazení látek na seznamy mají na základě práva Unie právní účinky rovněž v právním řádu EU, a to vzhledem ke skutečnosti, že mohou rozhodujícím způsobem ovlivnit obsah právních předpisů EU, konkrétně rámcového rozhodnutí Rady 2004/757/SVV. Změny seznamů k úmluvám mají přímé důsledky pro oblast působnosti tohoto právního nástroje EU.</w:t>
      </w:r>
    </w:p>
    <w:p w14:paraId="175108B9" w14:textId="77777777" w:rsidR="0021287D" w:rsidRPr="008A6F57" w:rsidRDefault="0021287D" w:rsidP="0021287D">
      <w:pPr>
        <w:rPr>
          <w:noProof/>
        </w:rPr>
      </w:pPr>
      <w:r w:rsidRPr="008A6F57">
        <w:rPr>
          <w:noProof/>
        </w:rPr>
        <w:t>Zamýšlený akt nedoplňuje ani nepozměňuje institucionální rámec dotyčné dohody.</w:t>
      </w:r>
    </w:p>
    <w:p w14:paraId="1AC85C07" w14:textId="77777777" w:rsidR="0021287D" w:rsidRPr="008A6F57" w:rsidRDefault="0021287D" w:rsidP="0021287D">
      <w:pPr>
        <w:rPr>
          <w:noProof/>
        </w:rPr>
      </w:pPr>
      <w:r w:rsidRPr="008A6F57">
        <w:rPr>
          <w:noProof/>
        </w:rPr>
        <w:t>Procesněprávním základem navrhovaného rozhodnutí je tudíž čl. 218 odst. 9 SFEU.</w:t>
      </w:r>
    </w:p>
    <w:p w14:paraId="137F4293" w14:textId="1DE83CFD" w:rsidR="0021287D" w:rsidRPr="008A6F57" w:rsidRDefault="005779E2" w:rsidP="005779E2">
      <w:pPr>
        <w:pStyle w:val="ManualHeading2"/>
        <w:rPr>
          <w:noProof/>
        </w:rPr>
      </w:pPr>
      <w:r w:rsidRPr="005779E2">
        <w:t>4.2.</w:t>
      </w:r>
      <w:r w:rsidRPr="005779E2">
        <w:tab/>
      </w:r>
      <w:r w:rsidR="0021287D" w:rsidRPr="008A6F57">
        <w:rPr>
          <w:noProof/>
        </w:rPr>
        <w:t>Hmotněprávní základ</w:t>
      </w:r>
    </w:p>
    <w:p w14:paraId="1429C690" w14:textId="77777777" w:rsidR="0021287D" w:rsidRPr="008A6F57" w:rsidRDefault="0021287D" w:rsidP="0021287D">
      <w:pPr>
        <w:rPr>
          <w:noProof/>
        </w:rPr>
      </w:pPr>
      <w:r w:rsidRPr="008A6F57">
        <w:rPr>
          <w:noProof/>
        </w:rPr>
        <w:t xml:space="preserve">Hmotněprávní základ rozhodnutí podle čl. 218 odst. 9 SFEU závisí v první řadě na cíli a obsahu zamýšleného aktu, k němuž se zaujímá postoj jménem Unie. </w:t>
      </w:r>
    </w:p>
    <w:p w14:paraId="21B34EE4" w14:textId="77777777" w:rsidR="0021287D" w:rsidRPr="008A6F57" w:rsidRDefault="0021287D" w:rsidP="0021287D">
      <w:pPr>
        <w:autoSpaceDE w:val="0"/>
        <w:autoSpaceDN w:val="0"/>
        <w:adjustRightInd w:val="0"/>
        <w:spacing w:after="240"/>
        <w:rPr>
          <w:noProof/>
          <w:szCs w:val="24"/>
        </w:rPr>
      </w:pPr>
      <w:r w:rsidRPr="008A6F57">
        <w:rPr>
          <w:noProof/>
        </w:rPr>
        <w:t>Hlavní cíl a obsah zamýšleného aktu se týkají nedovoleného obchodu s drogami.</w:t>
      </w:r>
    </w:p>
    <w:p w14:paraId="76E64CBA" w14:textId="77777777" w:rsidR="0021287D" w:rsidRPr="008A6F57" w:rsidRDefault="0021287D" w:rsidP="0021287D">
      <w:pPr>
        <w:autoSpaceDE w:val="0"/>
        <w:autoSpaceDN w:val="0"/>
        <w:adjustRightInd w:val="0"/>
        <w:spacing w:after="240"/>
        <w:rPr>
          <w:noProof/>
          <w:szCs w:val="24"/>
        </w:rPr>
      </w:pPr>
      <w:r w:rsidRPr="008A6F57">
        <w:rPr>
          <w:noProof/>
        </w:rPr>
        <w:t xml:space="preserve">Hmotněprávním základem navrhovaného rozhodnutí je tudíž čl. 83 odst. 1 SFEU, který označuje nedovolený obchod s drogami za jednu z oblastí trestné činnosti se zvláštním přeshraničním rozměrem a zmocňuje Evropský parlament a Radu, aby stanovily minimální pravidla pro definici trestných činů a sankcí v oblasti nedovoleného obchodu s drogami. </w:t>
      </w:r>
    </w:p>
    <w:p w14:paraId="7C1A7BD8" w14:textId="53CA95F8" w:rsidR="0021287D" w:rsidRPr="008A6F57" w:rsidRDefault="005779E2" w:rsidP="005779E2">
      <w:pPr>
        <w:pStyle w:val="ManualHeading2"/>
        <w:rPr>
          <w:noProof/>
        </w:rPr>
      </w:pPr>
      <w:r w:rsidRPr="005779E2">
        <w:t>4.3.</w:t>
      </w:r>
      <w:r w:rsidRPr="005779E2">
        <w:tab/>
      </w:r>
      <w:r w:rsidR="0021287D" w:rsidRPr="008A6F57">
        <w:rPr>
          <w:noProof/>
        </w:rPr>
        <w:t>Proměnlivá geometrie</w:t>
      </w:r>
    </w:p>
    <w:p w14:paraId="1F0E0C79" w14:textId="77777777" w:rsidR="0021287D" w:rsidRPr="008A6F57" w:rsidRDefault="0021287D" w:rsidP="0021287D">
      <w:pPr>
        <w:autoSpaceDE w:val="0"/>
        <w:autoSpaceDN w:val="0"/>
        <w:adjustRightInd w:val="0"/>
        <w:spacing w:after="240"/>
        <w:rPr>
          <w:noProof/>
          <w:szCs w:val="24"/>
        </w:rPr>
      </w:pPr>
      <w:r w:rsidRPr="008A6F57">
        <w:rPr>
          <w:noProof/>
        </w:rPr>
        <w:t xml:space="preserve">Dánsko je vázáno rámcovým rozhodnutím Rady 2004/757/SVV ve znění použitelném do 21. listopadu 2018, které v článku 1 stanoví, že „drogami“ se rozumí kterákoli z látek, na něž se vztahuje Úmluva o omamných látkách nebo Úmluva o psychotropních látkách. </w:t>
      </w:r>
    </w:p>
    <w:p w14:paraId="7901534C" w14:textId="77777777" w:rsidR="0021287D" w:rsidRPr="008A6F57" w:rsidRDefault="0021287D" w:rsidP="0021287D">
      <w:pPr>
        <w:autoSpaceDE w:val="0"/>
        <w:autoSpaceDN w:val="0"/>
        <w:adjustRightInd w:val="0"/>
        <w:spacing w:after="240"/>
        <w:rPr>
          <w:noProof/>
          <w:szCs w:val="24"/>
        </w:rPr>
      </w:pPr>
      <w:r w:rsidRPr="008A6F57">
        <w:rPr>
          <w:noProof/>
        </w:rPr>
        <w:t>Jelikož rozhodnutí Komise pro narkotika o zařazení látek na seznamy mají vliv na společná pravidla v oblasti nedovoleného obchodu s drogami, jimiž je Dánsko vázáno, účastní se Dánsko přijímání rozhodnutí Rady ohledně postoje, který má být zaujat jménem Unie, když jsou taková rozhodnutí o zařazení látek na seznamy přijímána.</w:t>
      </w:r>
    </w:p>
    <w:p w14:paraId="42E5868A" w14:textId="77777777" w:rsidR="0021287D" w:rsidRPr="008A6F57" w:rsidRDefault="0021287D" w:rsidP="0021287D">
      <w:pPr>
        <w:autoSpaceDE w:val="0"/>
        <w:autoSpaceDN w:val="0"/>
        <w:adjustRightInd w:val="0"/>
        <w:spacing w:after="240"/>
        <w:rPr>
          <w:noProof/>
          <w:szCs w:val="24"/>
        </w:rPr>
      </w:pPr>
      <w:r w:rsidRPr="008A6F57">
        <w:rPr>
          <w:noProof/>
        </w:rPr>
        <w:t>Rámcovým rozhodnutím je vázáno i Irsko, a to se tak účastní přijímání rozhodnutí Rady ohledně postoje, který má být zaujat jménem Unie, když jsou taková rozhodnutí o zařazení látek na seznamy přijímána.</w:t>
      </w:r>
    </w:p>
    <w:p w14:paraId="7A6746C1" w14:textId="357139FE" w:rsidR="0021287D" w:rsidRPr="008A6F57" w:rsidRDefault="005779E2" w:rsidP="005779E2">
      <w:pPr>
        <w:pStyle w:val="ManualHeading2"/>
        <w:rPr>
          <w:noProof/>
        </w:rPr>
      </w:pPr>
      <w:r w:rsidRPr="005779E2">
        <w:t>4.4.</w:t>
      </w:r>
      <w:r w:rsidRPr="005779E2">
        <w:tab/>
      </w:r>
      <w:r w:rsidR="0021287D" w:rsidRPr="008A6F57">
        <w:rPr>
          <w:noProof/>
        </w:rPr>
        <w:t>Závěr</w:t>
      </w:r>
    </w:p>
    <w:p w14:paraId="67124628" w14:textId="77777777" w:rsidR="0021287D" w:rsidRPr="008A6F57" w:rsidRDefault="0021287D" w:rsidP="0021287D">
      <w:pPr>
        <w:autoSpaceDE w:val="0"/>
        <w:autoSpaceDN w:val="0"/>
        <w:adjustRightInd w:val="0"/>
        <w:spacing w:after="240"/>
        <w:rPr>
          <w:noProof/>
          <w:szCs w:val="24"/>
        </w:rPr>
      </w:pPr>
      <w:r w:rsidRPr="008A6F57">
        <w:rPr>
          <w:noProof/>
        </w:rPr>
        <w:t>Právním základem tohoto návrhu je čl. 83 odst. 1 SFEU ve spojení s čl. 218 odst. 9 SFEU.</w:t>
      </w:r>
    </w:p>
    <w:p w14:paraId="431A6A09" w14:textId="47377430" w:rsidR="0021287D" w:rsidRPr="008A6F57" w:rsidRDefault="005779E2" w:rsidP="005779E2">
      <w:pPr>
        <w:pStyle w:val="ManualHeading1"/>
        <w:rPr>
          <w:noProof/>
        </w:rPr>
      </w:pPr>
      <w:r w:rsidRPr="005779E2">
        <w:t>5.</w:t>
      </w:r>
      <w:r w:rsidRPr="005779E2">
        <w:tab/>
      </w:r>
      <w:r w:rsidR="0021287D" w:rsidRPr="008A6F57">
        <w:rPr>
          <w:noProof/>
        </w:rPr>
        <w:t>ROZPOČTOVÉ DŮSLEDKY</w:t>
      </w:r>
    </w:p>
    <w:p w14:paraId="6762BE9F" w14:textId="77777777" w:rsidR="0021287D" w:rsidRPr="008A6F57" w:rsidRDefault="0021287D" w:rsidP="0021287D">
      <w:pPr>
        <w:autoSpaceDE w:val="0"/>
        <w:autoSpaceDN w:val="0"/>
        <w:adjustRightInd w:val="0"/>
        <w:spacing w:after="240"/>
        <w:rPr>
          <w:noProof/>
          <w:szCs w:val="24"/>
        </w:rPr>
      </w:pPr>
      <w:r w:rsidRPr="008A6F57">
        <w:rPr>
          <w:noProof/>
        </w:rPr>
        <w:t>Návrh nemá žádné rozpočtové důsledky.</w:t>
      </w:r>
    </w:p>
    <w:p w14:paraId="5237D46B" w14:textId="77777777" w:rsidR="0021287D" w:rsidRPr="008A6F57" w:rsidRDefault="0021287D" w:rsidP="0021287D">
      <w:pPr>
        <w:spacing w:before="0" w:after="0"/>
        <w:jc w:val="left"/>
        <w:rPr>
          <w:noProof/>
        </w:rPr>
        <w:sectPr w:rsidR="0021287D" w:rsidRPr="008A6F57" w:rsidSect="00C024B3">
          <w:footerReference w:type="default" r:id="rId10"/>
          <w:footerReference w:type="first" r:id="rId11"/>
          <w:pgSz w:w="11907" w:h="16839"/>
          <w:pgMar w:top="1134" w:right="1417" w:bottom="1134" w:left="1417" w:header="709" w:footer="709" w:gutter="0"/>
          <w:cols w:space="720"/>
          <w:docGrid w:linePitch="326"/>
        </w:sectPr>
      </w:pPr>
    </w:p>
    <w:p w14:paraId="6F849D84" w14:textId="71B7D32C" w:rsidR="00503953" w:rsidRDefault="00503953" w:rsidP="00503953">
      <w:pPr>
        <w:pStyle w:val="Rfrenceinterinstitutionnelle"/>
        <w:rPr>
          <w:noProof/>
        </w:rPr>
      </w:pPr>
      <w:r w:rsidRPr="00503953">
        <w:t>2023/0001 (NLE)</w:t>
      </w:r>
    </w:p>
    <w:p w14:paraId="42DCF3F9" w14:textId="1DC37C4F" w:rsidR="0021287D" w:rsidRPr="008A6F57" w:rsidRDefault="008A6F57" w:rsidP="008A6F57">
      <w:pPr>
        <w:pStyle w:val="Statut"/>
        <w:rPr>
          <w:noProof/>
        </w:rPr>
      </w:pPr>
      <w:r w:rsidRPr="008A6F57">
        <w:rPr>
          <w:noProof/>
        </w:rPr>
        <w:t>Návrh</w:t>
      </w:r>
    </w:p>
    <w:p w14:paraId="31886EE6" w14:textId="6CDF1D41" w:rsidR="0021287D" w:rsidRPr="008A6F57" w:rsidRDefault="008A6F57" w:rsidP="008A6F57">
      <w:pPr>
        <w:pStyle w:val="Typedudocument"/>
        <w:rPr>
          <w:noProof/>
        </w:rPr>
      </w:pPr>
      <w:r w:rsidRPr="008A6F57">
        <w:rPr>
          <w:noProof/>
        </w:rPr>
        <w:t>ROZHODNUTÍ RADY</w:t>
      </w:r>
    </w:p>
    <w:p w14:paraId="5A13466B" w14:textId="26814F5D" w:rsidR="0021287D" w:rsidRPr="008A6F57" w:rsidRDefault="008A6F57" w:rsidP="008A6F57">
      <w:pPr>
        <w:pStyle w:val="Titreobjet"/>
        <w:rPr>
          <w:noProof/>
        </w:rPr>
      </w:pPr>
      <w:r w:rsidRPr="008A6F57">
        <w:rPr>
          <w:noProof/>
        </w:rPr>
        <w:t>o postoji, který má být zaujat jménem Evropské unie na 66. zasedání Komise pro narkotika, pokud jde o zařazení látek na seznamy k Jednotné úmluvě o omamných látkách z roku 1961 ve znění protokolu z roku 1972 a k Úmluvě o psychotropních látkách z roku 1971</w:t>
      </w:r>
    </w:p>
    <w:p w14:paraId="3081610C" w14:textId="77777777" w:rsidR="0021287D" w:rsidRPr="008A6F57" w:rsidRDefault="0021287D" w:rsidP="0021287D">
      <w:pPr>
        <w:pStyle w:val="Institutionquiagit"/>
        <w:rPr>
          <w:b/>
          <w:noProof/>
        </w:rPr>
      </w:pPr>
      <w:r w:rsidRPr="008A6F57">
        <w:rPr>
          <w:b/>
          <w:noProof/>
        </w:rPr>
        <w:t>RADA EVROPSKÉ UNIE,</w:t>
      </w:r>
    </w:p>
    <w:p w14:paraId="6E74CB98" w14:textId="77777777" w:rsidR="0021287D" w:rsidRPr="008A6F57" w:rsidRDefault="0021287D" w:rsidP="0021287D">
      <w:pPr>
        <w:rPr>
          <w:noProof/>
        </w:rPr>
      </w:pPr>
      <w:r w:rsidRPr="008A6F57">
        <w:rPr>
          <w:noProof/>
        </w:rPr>
        <w:t>s ohledem na Smlouvu o fungování Evropské unie, a zejména na čl. 83 odst. 1 ve spojení s čl. 218 odst. 9 této smlouvy,</w:t>
      </w:r>
    </w:p>
    <w:p w14:paraId="11B375F1" w14:textId="77777777" w:rsidR="0021287D" w:rsidRPr="008A6F57" w:rsidRDefault="0021287D" w:rsidP="0021287D">
      <w:pPr>
        <w:rPr>
          <w:noProof/>
        </w:rPr>
      </w:pPr>
      <w:r w:rsidRPr="008A6F57">
        <w:rPr>
          <w:noProof/>
        </w:rPr>
        <w:t>s ohledem na návrh Evropské komise,</w:t>
      </w:r>
    </w:p>
    <w:p w14:paraId="2CC04B6F" w14:textId="77777777" w:rsidR="0021287D" w:rsidRPr="008A6F57" w:rsidRDefault="0021287D" w:rsidP="0021287D">
      <w:pPr>
        <w:rPr>
          <w:noProof/>
        </w:rPr>
      </w:pPr>
      <w:r w:rsidRPr="008A6F57">
        <w:rPr>
          <w:noProof/>
        </w:rPr>
        <w:t>vzhledem k těmto důvodům:</w:t>
      </w:r>
    </w:p>
    <w:p w14:paraId="681AB398" w14:textId="2C86B76C" w:rsidR="0021287D" w:rsidRPr="008A6F57" w:rsidRDefault="005779E2" w:rsidP="005779E2">
      <w:pPr>
        <w:pStyle w:val="ManualConsidrant"/>
        <w:rPr>
          <w:noProof/>
        </w:rPr>
      </w:pPr>
      <w:r w:rsidRPr="005779E2">
        <w:t>(1)</w:t>
      </w:r>
      <w:r w:rsidRPr="005779E2">
        <w:tab/>
      </w:r>
      <w:r w:rsidR="0021287D" w:rsidRPr="008A6F57">
        <w:rPr>
          <w:noProof/>
        </w:rPr>
        <w:t>Jednotná úmluva Organizace spojených národů (OSN) o omamných látkách z roku 1961 ve znění protokolu z roku 1972</w:t>
      </w:r>
      <w:r w:rsidR="0021287D" w:rsidRPr="008A6F57">
        <w:rPr>
          <w:rStyle w:val="FootnoteReference0"/>
          <w:noProof/>
        </w:rPr>
        <w:footnoteReference w:id="12"/>
      </w:r>
      <w:r w:rsidR="0021287D" w:rsidRPr="008A6F57">
        <w:rPr>
          <w:noProof/>
        </w:rPr>
        <w:t xml:space="preserve"> (dále jen „Úmluva o omamných látkách“) vstoupila v platnost dne 8. srpna 1975. </w:t>
      </w:r>
    </w:p>
    <w:p w14:paraId="6368B8FD" w14:textId="56FFC072" w:rsidR="0021287D" w:rsidRPr="008A6F57" w:rsidRDefault="005779E2" w:rsidP="005779E2">
      <w:pPr>
        <w:pStyle w:val="ManualConsidrant"/>
        <w:rPr>
          <w:noProof/>
        </w:rPr>
      </w:pPr>
      <w:r w:rsidRPr="005779E2">
        <w:t>(2)</w:t>
      </w:r>
      <w:r w:rsidRPr="005779E2">
        <w:tab/>
      </w:r>
      <w:r w:rsidR="0021287D" w:rsidRPr="008A6F57">
        <w:rPr>
          <w:noProof/>
        </w:rPr>
        <w:t>Podle článku 3 Úmluvy o omamných látkách se Komise pro narkotika může rozhodnout doplnit látky na seznamy k uvedené úmluvě. Změny v seznamech může provádět pouze v souladu s doporučeními Světové zdravotnické organizace (WHO), ale může se také rozhodnout změny doporučené organizací WHO neprovést.</w:t>
      </w:r>
    </w:p>
    <w:p w14:paraId="438DBBE5" w14:textId="4630BE42" w:rsidR="0021287D" w:rsidRPr="008A6F57" w:rsidRDefault="005779E2" w:rsidP="005779E2">
      <w:pPr>
        <w:pStyle w:val="ManualConsidrant"/>
        <w:rPr>
          <w:noProof/>
        </w:rPr>
      </w:pPr>
      <w:r w:rsidRPr="005779E2">
        <w:t>(3)</w:t>
      </w:r>
      <w:r w:rsidRPr="005779E2">
        <w:tab/>
      </w:r>
      <w:r w:rsidR="0021287D" w:rsidRPr="008A6F57">
        <w:rPr>
          <w:noProof/>
        </w:rPr>
        <w:t>Úmluva OSN o psychotropních látkách z roku 1971</w:t>
      </w:r>
      <w:r w:rsidR="0021287D" w:rsidRPr="008A6F57">
        <w:rPr>
          <w:rStyle w:val="FootnoteReference0"/>
          <w:noProof/>
        </w:rPr>
        <w:footnoteReference w:id="13"/>
      </w:r>
      <w:r w:rsidR="0021287D" w:rsidRPr="008A6F57">
        <w:rPr>
          <w:noProof/>
        </w:rPr>
        <w:t xml:space="preserve"> (dále jen „Úmluva o psychotropních látkách“) vstoupila v platnost dne 16. srpna 1976.</w:t>
      </w:r>
    </w:p>
    <w:p w14:paraId="2F6E0EF1" w14:textId="03113527" w:rsidR="0021287D" w:rsidRPr="008A6F57" w:rsidRDefault="005779E2" w:rsidP="005779E2">
      <w:pPr>
        <w:pStyle w:val="ManualConsidrant"/>
        <w:rPr>
          <w:noProof/>
        </w:rPr>
      </w:pPr>
      <w:r w:rsidRPr="005779E2">
        <w:t>(4)</w:t>
      </w:r>
      <w:r w:rsidRPr="005779E2">
        <w:tab/>
      </w:r>
      <w:r w:rsidR="0021287D" w:rsidRPr="008A6F57">
        <w:rPr>
          <w:noProof/>
        </w:rPr>
        <w:t xml:space="preserve">Podle článku 2 Úmluvy o psychotropních látkách se Komise pro narkotika může na základě doporučení WHO rozhodnout doplnit látky na seznamy obsažené v této úmluvě nebo je ze seznamů odstranit. Má široké diskreční pravomoci vzít v úvahu hospodářské, sociální, právní, správní a jiné faktory, ale nesmí jednat svévolně. </w:t>
      </w:r>
    </w:p>
    <w:p w14:paraId="2C4009B8" w14:textId="45D47820" w:rsidR="0021287D" w:rsidRPr="008A6F57" w:rsidRDefault="005779E2" w:rsidP="005779E2">
      <w:pPr>
        <w:pStyle w:val="ManualConsidrant"/>
        <w:rPr>
          <w:noProof/>
        </w:rPr>
      </w:pPr>
      <w:r w:rsidRPr="005779E2">
        <w:t>(5)</w:t>
      </w:r>
      <w:r w:rsidRPr="005779E2">
        <w:tab/>
      </w:r>
      <w:r w:rsidR="0021287D" w:rsidRPr="008A6F57">
        <w:rPr>
          <w:noProof/>
        </w:rPr>
        <w:t>Změny seznamů připojených k oběma úmluvám mají přímé důsledky pro působnost práva Unie v oblasti boje proti drogám. Rámcové rozhodnutí Rady 2004/757/SVV</w:t>
      </w:r>
      <w:r w:rsidR="0021287D" w:rsidRPr="008A6F57">
        <w:rPr>
          <w:rStyle w:val="FootnoteReference0"/>
          <w:noProof/>
        </w:rPr>
        <w:footnoteReference w:id="14"/>
      </w:r>
      <w:r w:rsidR="0021287D" w:rsidRPr="008A6F57">
        <w:rPr>
          <w:noProof/>
        </w:rPr>
        <w:t xml:space="preserve"> se vztahuje na látky uvedené na seznamech k těmto úmluvám. Jakákoli změna seznamů připojených k těmto úmluvám tak přímo ovlivňuje společná pravidla Unie a mění jejich působnost v souladu s čl. 3 odst. 2 Smlouvy o fungování Evropské unie.</w:t>
      </w:r>
    </w:p>
    <w:p w14:paraId="2FC1AD57" w14:textId="47849EFF" w:rsidR="0021287D" w:rsidRPr="008A6F57" w:rsidRDefault="005779E2" w:rsidP="005779E2">
      <w:pPr>
        <w:pStyle w:val="ManualConsidrant"/>
        <w:rPr>
          <w:noProof/>
        </w:rPr>
      </w:pPr>
      <w:r w:rsidRPr="005779E2">
        <w:t>(6)</w:t>
      </w:r>
      <w:r w:rsidRPr="005779E2">
        <w:tab/>
      </w:r>
      <w:r w:rsidR="0021287D" w:rsidRPr="008A6F57">
        <w:rPr>
          <w:noProof/>
        </w:rPr>
        <w:t xml:space="preserve">Komise pro narkotika má na svém 66. zasedání, které je naplánováno na 13. až 17. března 2023 ve Vídni, přijmout rozhodnutí o doplnění sedmi nových látek na seznamy k uvedeným úmluvám OSN. </w:t>
      </w:r>
    </w:p>
    <w:p w14:paraId="34239FBF" w14:textId="32718192" w:rsidR="0021287D" w:rsidRPr="008A6F57" w:rsidRDefault="005779E2" w:rsidP="005779E2">
      <w:pPr>
        <w:pStyle w:val="ManualConsidrant"/>
        <w:rPr>
          <w:noProof/>
        </w:rPr>
      </w:pPr>
      <w:r w:rsidRPr="005779E2">
        <w:t>(7)</w:t>
      </w:r>
      <w:r w:rsidRPr="005779E2">
        <w:tab/>
      </w:r>
      <w:r w:rsidR="0021287D" w:rsidRPr="008A6F57">
        <w:rPr>
          <w:noProof/>
        </w:rPr>
        <w:t>Unie není stranou Úmluvy o omamných látkách ani Úmluvy o psychotropních látkách. Má status pozorovatele bez hlasovacího práva v Komisi pro narkotika, kde bude dvanáct členských států členy s hlasovacím právem na zasedání v březnu 2023</w:t>
      </w:r>
      <w:r w:rsidR="0021287D" w:rsidRPr="008A6F57">
        <w:rPr>
          <w:rStyle w:val="FootnoteReference0"/>
          <w:noProof/>
        </w:rPr>
        <w:footnoteReference w:id="15"/>
      </w:r>
      <w:r w:rsidR="0021287D" w:rsidRPr="008A6F57">
        <w:rPr>
          <w:noProof/>
        </w:rPr>
        <w:t xml:space="preserve">. Je proto nezbytné, aby Rada zmocnila členské státy k vyjádření postoje Unie ohledně zařazení látek na seznamy k Úmluvě o omamných látkách a Úmluvě o psychotropních látkách, neboť rozhodnutí o doplnění nových látek na seznamy připojené k úmluvám spadají do výlučné pravomoci Unie. </w:t>
      </w:r>
    </w:p>
    <w:p w14:paraId="55B4449E" w14:textId="59E7F366" w:rsidR="0021287D" w:rsidRPr="008A6F57" w:rsidRDefault="005779E2" w:rsidP="005779E2">
      <w:pPr>
        <w:pStyle w:val="ManualConsidrant"/>
        <w:rPr>
          <w:noProof/>
        </w:rPr>
      </w:pPr>
      <w:r w:rsidRPr="005779E2">
        <w:t>(8)</w:t>
      </w:r>
      <w:r w:rsidRPr="005779E2">
        <w:tab/>
      </w:r>
      <w:r w:rsidR="0021287D" w:rsidRPr="008A6F57">
        <w:rPr>
          <w:noProof/>
        </w:rPr>
        <w:t>WHO doporučila doplnit čtyři nové látky na seznam I Úmluvy o omamných látkách a tři nové látky na seznam II Úmluvy o psychotropních látkách</w:t>
      </w:r>
      <w:r w:rsidR="0021287D" w:rsidRPr="008A6F57">
        <w:rPr>
          <w:rStyle w:val="FootnoteReference0"/>
          <w:noProof/>
        </w:rPr>
        <w:footnoteReference w:id="16"/>
      </w:r>
      <w:r w:rsidR="0021287D" w:rsidRPr="008A6F57">
        <w:rPr>
          <w:noProof/>
        </w:rPr>
        <w:t>.</w:t>
      </w:r>
    </w:p>
    <w:p w14:paraId="7FB94041" w14:textId="55C3F702" w:rsidR="0021287D" w:rsidRPr="008A6F57" w:rsidRDefault="005779E2" w:rsidP="005779E2">
      <w:pPr>
        <w:pStyle w:val="ManualConsidrant"/>
        <w:rPr>
          <w:noProof/>
        </w:rPr>
      </w:pPr>
      <w:r w:rsidRPr="005779E2">
        <w:t>(9)</w:t>
      </w:r>
      <w:r w:rsidRPr="005779E2">
        <w:tab/>
      </w:r>
      <w:r w:rsidR="0021287D" w:rsidRPr="008A6F57">
        <w:rPr>
          <w:noProof/>
        </w:rPr>
        <w:t>Všechny látky přezkoumané Výborem odborníků WHO pro drogové závislosti (dále jen „výbor odborníků“) a doporučené WHO k zařazení na seznamy, jsou sledovány Evropským monitorovacím centrem pro drogy a drogovou závislost (EMCDDA) jako nové psychoaktivní látky za podmínek stanovených nařízením Evropského parlamentu a Rady (ES) č. 1920/2006</w:t>
      </w:r>
      <w:r w:rsidR="0021287D" w:rsidRPr="008A6F57">
        <w:rPr>
          <w:rStyle w:val="FootnoteReference0"/>
          <w:noProof/>
        </w:rPr>
        <w:footnoteReference w:id="17"/>
      </w:r>
      <w:r w:rsidR="0021287D" w:rsidRPr="008A6F57">
        <w:rPr>
          <w:noProof/>
        </w:rPr>
        <w:t xml:space="preserve">. </w:t>
      </w:r>
    </w:p>
    <w:p w14:paraId="00E2FC2C" w14:textId="03119D16" w:rsidR="0021287D" w:rsidRPr="008A6F57" w:rsidRDefault="005779E2" w:rsidP="005779E2">
      <w:pPr>
        <w:pStyle w:val="ManualConsidrant"/>
        <w:rPr>
          <w:noProof/>
        </w:rPr>
      </w:pPr>
      <w:r w:rsidRPr="005779E2">
        <w:t>(10)</w:t>
      </w:r>
      <w:r w:rsidRPr="005779E2">
        <w:tab/>
      </w:r>
      <w:r w:rsidR="0021287D" w:rsidRPr="008A6F57">
        <w:rPr>
          <w:noProof/>
        </w:rPr>
        <w:t xml:space="preserve">Podle hodnocení Výboru odborníků pro drogové závislosti je látka ADB-BUTINACA (název podle IUPAC: </w:t>
      </w:r>
      <w:r w:rsidR="0021287D" w:rsidRPr="008A6F57">
        <w:rPr>
          <w:i/>
          <w:noProof/>
        </w:rPr>
        <w:t>N</w:t>
      </w:r>
      <w:r w:rsidR="0021287D" w:rsidRPr="008A6F57">
        <w:rPr>
          <w:noProof/>
        </w:rPr>
        <w:t>-[1-(aminokarbonyl)-2,2-dimethylpropyl]-1-butyl-1</w:t>
      </w:r>
      <w:r w:rsidR="0021287D" w:rsidRPr="008A6F57">
        <w:rPr>
          <w:i/>
          <w:noProof/>
        </w:rPr>
        <w:t>H</w:t>
      </w:r>
      <w:r w:rsidR="0021287D" w:rsidRPr="008A6F57">
        <w:rPr>
          <w:noProof/>
        </w:rPr>
        <w:t xml:space="preserve">-indazol-3-karboxamid) je syntetický kanabinoid derivovaný z indazolu, kde aktivní sloučeninou je </w:t>
      </w:r>
      <w:r w:rsidR="0021287D" w:rsidRPr="008A6F57">
        <w:rPr>
          <w:i/>
          <w:noProof/>
        </w:rPr>
        <w:t>S</w:t>
      </w:r>
      <w:r w:rsidR="0021287D" w:rsidRPr="008A6F57">
        <w:rPr>
          <w:noProof/>
        </w:rPr>
        <w:t xml:space="preserve">-enantiomer (č. CAS: 2682867-55-4). Látka ADB- BUTINACA nemá terapeutické využití, ani jí nebylo uděleno rozhodnutí o registraci jakožto léčivého přípravku. Existují dostatečné důkazy, že látka ADB- BUTINACA je nebo může být zneužívána a může představovat problém pro veřejné zdraví a společenský problém, což odůvodňuje zařazení této látky pod mezinárodní kontrolu. WHO proto doporučuje, aby byla látka ADB- BUTINACA doplněna na seznam II </w:t>
      </w:r>
      <w:bookmarkStart w:id="1" w:name="_Hlk85011219"/>
      <w:r w:rsidR="0021287D" w:rsidRPr="008A6F57">
        <w:rPr>
          <w:noProof/>
        </w:rPr>
        <w:t>Úmluvy o psychotropních látkách</w:t>
      </w:r>
      <w:bookmarkEnd w:id="1"/>
      <w:r w:rsidR="0021287D" w:rsidRPr="008A6F57">
        <w:rPr>
          <w:noProof/>
        </w:rPr>
        <w:t>.</w:t>
      </w:r>
    </w:p>
    <w:p w14:paraId="37FF2165" w14:textId="5448AC94" w:rsidR="00C624F5" w:rsidRPr="008A6F57" w:rsidRDefault="005779E2" w:rsidP="005779E2">
      <w:pPr>
        <w:pStyle w:val="ManualConsidrant"/>
        <w:rPr>
          <w:noProof/>
        </w:rPr>
      </w:pPr>
      <w:r w:rsidRPr="005779E2">
        <w:t>(11)</w:t>
      </w:r>
      <w:r w:rsidRPr="005779E2">
        <w:tab/>
      </w:r>
      <w:r w:rsidR="00C624F5" w:rsidRPr="008A6F57">
        <w:rPr>
          <w:noProof/>
        </w:rPr>
        <w:t>Látka ADB-FUBINACA byla zjištěna ve 26 členských státech a je kontrolována v nejméně pěti. Látku ADB-BUTINACA intenzivně monitoruje Evropské monitorovací centrum pro drogy a drogovou závislost. Byla předmětem varování týkajícího se veřejného zdraví vydaného systémem včasného varování Evropské unie. Látka ADB-BUTINACA je rovněž zmíněna ve dvou dalších varováních týkajících se veřejného zdraví. Je spojována se závažnými nežádoucími příhodami, mj. 14 úmrtími hlášenými dvěma členskými státy.</w:t>
      </w:r>
    </w:p>
    <w:p w14:paraId="1755E940" w14:textId="16DA6B07" w:rsidR="0021287D" w:rsidRPr="008A6F57" w:rsidRDefault="005779E2" w:rsidP="005779E2">
      <w:pPr>
        <w:pStyle w:val="ManualConsidrant"/>
        <w:rPr>
          <w:noProof/>
        </w:rPr>
      </w:pPr>
      <w:r w:rsidRPr="005779E2">
        <w:t>(12)</w:t>
      </w:r>
      <w:r w:rsidRPr="005779E2">
        <w:tab/>
      </w:r>
      <w:r w:rsidR="0021287D" w:rsidRPr="008A6F57">
        <w:rPr>
          <w:noProof/>
        </w:rPr>
        <w:t>Členské státy by proto měly zaujmout postoj na podporu doplnění látky ADB-BUTINACA na seznam II Úmluvy o psychotropních látkách.</w:t>
      </w:r>
    </w:p>
    <w:p w14:paraId="7E7D7B16" w14:textId="1EE373B3" w:rsidR="0021287D" w:rsidRPr="008A6F57" w:rsidRDefault="005779E2" w:rsidP="005779E2">
      <w:pPr>
        <w:pStyle w:val="ManualConsidrant"/>
        <w:rPr>
          <w:noProof/>
        </w:rPr>
      </w:pPr>
      <w:r w:rsidRPr="005779E2">
        <w:t>(13)</w:t>
      </w:r>
      <w:r w:rsidRPr="005779E2">
        <w:tab/>
      </w:r>
      <w:r w:rsidR="0021287D" w:rsidRPr="008A6F57">
        <w:rPr>
          <w:noProof/>
        </w:rPr>
        <w:t xml:space="preserve">Podle hodnocení výboru odborníků je látka protonitazen (název podle IUPAC: </w:t>
      </w:r>
      <w:r w:rsidR="0021287D" w:rsidRPr="008A6F57">
        <w:rPr>
          <w:i/>
          <w:noProof/>
        </w:rPr>
        <w:t>N,N</w:t>
      </w:r>
      <w:r w:rsidR="0021287D" w:rsidRPr="008A6F57">
        <w:rPr>
          <w:noProof/>
        </w:rPr>
        <w:t>-diethyl-5-nitro-2-[(4-propoxyfenyl)methyl]-1-</w:t>
      </w:r>
      <w:r w:rsidR="0021287D" w:rsidRPr="008A6F57">
        <w:rPr>
          <w:i/>
          <w:noProof/>
        </w:rPr>
        <w:t>H</w:t>
      </w:r>
      <w:r w:rsidR="0021287D" w:rsidRPr="008A6F57">
        <w:rPr>
          <w:noProof/>
        </w:rPr>
        <w:t>-benzimidazol-1-ethanamin) benzimidazolový opioid. Látka protonitazen byla poprvé syntetizována jako alternativa morfinu, neexistuje však žádné schválené terapeutické využití protonitazenu. Existují dostatečné důkazy, že protonitazen je nebo by pravděpodobně mohl být zneužíván a že by mohl představovat problém pro veřejné zdraví a sociální problém, což odůvodňuje zařazení této látky pod mezinárodní kontrolu. WHO proto doporučuje, aby byla látka protonitazen doplněna na seznam I Úmluvy o omamných látkách.</w:t>
      </w:r>
    </w:p>
    <w:p w14:paraId="1DAA4B51" w14:textId="15CAC490" w:rsidR="00C624F5" w:rsidRPr="008A6F57" w:rsidRDefault="005779E2" w:rsidP="005779E2">
      <w:pPr>
        <w:pStyle w:val="ManualConsidrant"/>
        <w:rPr>
          <w:noProof/>
        </w:rPr>
      </w:pPr>
      <w:r w:rsidRPr="005779E2">
        <w:t>(14)</w:t>
      </w:r>
      <w:r w:rsidRPr="005779E2">
        <w:tab/>
      </w:r>
      <w:r w:rsidR="00C624F5" w:rsidRPr="008A6F57">
        <w:rPr>
          <w:noProof/>
        </w:rPr>
        <w:t>Protonitazen byl zjištěn ve dvou členských státech a podléhá kontrole v nejméně jednom členském státě. Látku protonitazen intenzivně monitoruje Evropské monitorovací centrum pro drogy a drogovou závislost. To neobdrželo žádné informace o závažných nežádoucích příhodách spojených s adinazolamem.</w:t>
      </w:r>
    </w:p>
    <w:p w14:paraId="14E73B8D" w14:textId="02446B08" w:rsidR="0021287D" w:rsidRPr="008A6F57" w:rsidRDefault="005779E2" w:rsidP="005779E2">
      <w:pPr>
        <w:pStyle w:val="ManualConsidrant"/>
        <w:rPr>
          <w:noProof/>
          <w:szCs w:val="24"/>
        </w:rPr>
      </w:pPr>
      <w:r w:rsidRPr="005779E2">
        <w:t>(15)</w:t>
      </w:r>
      <w:r w:rsidRPr="005779E2">
        <w:tab/>
      </w:r>
      <w:r w:rsidR="0021287D" w:rsidRPr="008A6F57">
        <w:rPr>
          <w:noProof/>
        </w:rPr>
        <w:t>Členské státy by proto měly zaujmout postoj na podporu doplnění látky protonitazen na seznam I Úmluvy o omamných látkách.</w:t>
      </w:r>
    </w:p>
    <w:p w14:paraId="05E4522A" w14:textId="61C29E6B" w:rsidR="0021287D" w:rsidRPr="008A6F57" w:rsidRDefault="005779E2" w:rsidP="005779E2">
      <w:pPr>
        <w:pStyle w:val="ManualConsidrant"/>
        <w:rPr>
          <w:noProof/>
        </w:rPr>
      </w:pPr>
      <w:r w:rsidRPr="005779E2">
        <w:t>(16)</w:t>
      </w:r>
      <w:r w:rsidRPr="005779E2">
        <w:tab/>
      </w:r>
      <w:r w:rsidR="0021287D" w:rsidRPr="008A6F57">
        <w:rPr>
          <w:noProof/>
        </w:rPr>
        <w:t>Podle hodnocení výboru odborníků je látka etazen (název podle IUPAC: 2-[(4-ethoxyfenyl)methyl]-</w:t>
      </w:r>
      <w:r w:rsidR="0021287D" w:rsidRPr="008A6F57">
        <w:rPr>
          <w:i/>
          <w:noProof/>
        </w:rPr>
        <w:t>N,N</w:t>
      </w:r>
      <w:r w:rsidR="0021287D" w:rsidRPr="008A6F57">
        <w:rPr>
          <w:noProof/>
        </w:rPr>
        <w:t>-diethyl-1</w:t>
      </w:r>
      <w:r w:rsidR="0021287D" w:rsidRPr="008A6F57">
        <w:rPr>
          <w:i/>
          <w:noProof/>
        </w:rPr>
        <w:t>H</w:t>
      </w:r>
      <w:r w:rsidR="0021287D" w:rsidRPr="008A6F57">
        <w:rPr>
          <w:noProof/>
        </w:rPr>
        <w:t>-benzimidazol-1-ethanamin) syntetický opioid derivovaný z benzimidazolu s chemickou strukturou a farmakologickými vlastnostmi podobnými látkám na seznamu I (úmluvy OSN z roku 1961), jako je klonitazen, etonitazen a isotonitazen. Etazen byl zkoumán pro své analgetické vlastnosti, není ale známo žádné lékařské využití etazenu. Existují dostatečné důkazy, že etazen je nebo by pravděpodobně mohl být zneužíván a že by mohl představovat problém pro veřejné zdraví a sociální problém, což odůvodňuje zařazení této látky pod mezinárodní kontrolu. WHO proto doporučuje, aby byla látka etazen doplněna na seznam I Úmluvy o omamných látkách.</w:t>
      </w:r>
    </w:p>
    <w:p w14:paraId="2E9E7AA9" w14:textId="3AA186F1" w:rsidR="00C624F5" w:rsidRPr="008A6F57" w:rsidRDefault="005779E2" w:rsidP="005779E2">
      <w:pPr>
        <w:pStyle w:val="ManualConsidrant"/>
        <w:rPr>
          <w:noProof/>
        </w:rPr>
      </w:pPr>
      <w:r w:rsidRPr="005779E2">
        <w:t>(17)</w:t>
      </w:r>
      <w:r w:rsidRPr="005779E2">
        <w:tab/>
      </w:r>
      <w:r w:rsidR="00C624F5" w:rsidRPr="008A6F57">
        <w:rPr>
          <w:noProof/>
        </w:rPr>
        <w:t xml:space="preserve">Etazen byl zjištěn v osmi členských státech a podléhá kontrole v nejméně pěti členských státech. Látku etazen intenzivně monitoruje Evropské monitorovací centrum pro drogy a drogovou závislost. Je spojována se závažnými nežádoucími příhodami, mj. třemi úmrtími hlášenými dvěma členskými státy. </w:t>
      </w:r>
    </w:p>
    <w:p w14:paraId="20ABB051" w14:textId="57322AD1" w:rsidR="0021287D" w:rsidRPr="008A6F57" w:rsidRDefault="005779E2" w:rsidP="005779E2">
      <w:pPr>
        <w:pStyle w:val="ManualConsidrant"/>
        <w:rPr>
          <w:noProof/>
        </w:rPr>
      </w:pPr>
      <w:r w:rsidRPr="005779E2">
        <w:t>(18)</w:t>
      </w:r>
      <w:r w:rsidRPr="005779E2">
        <w:tab/>
      </w:r>
      <w:r w:rsidR="0021287D" w:rsidRPr="008A6F57">
        <w:rPr>
          <w:noProof/>
        </w:rPr>
        <w:t>Členské státy by proto měly zaujmout postoj na podporu doplnění látky etazen na seznam I Úmluvy o omamných látkách.</w:t>
      </w:r>
    </w:p>
    <w:p w14:paraId="7597DD3A" w14:textId="204020AC" w:rsidR="0021287D" w:rsidRPr="008A6F57" w:rsidRDefault="005779E2" w:rsidP="005779E2">
      <w:pPr>
        <w:pStyle w:val="ManualConsidrant"/>
        <w:rPr>
          <w:noProof/>
          <w:szCs w:val="24"/>
        </w:rPr>
      </w:pPr>
      <w:r w:rsidRPr="005779E2">
        <w:t>(19)</w:t>
      </w:r>
      <w:r w:rsidRPr="005779E2">
        <w:tab/>
      </w:r>
      <w:r w:rsidR="0021287D" w:rsidRPr="008A6F57">
        <w:rPr>
          <w:noProof/>
        </w:rPr>
        <w:t>Podle hodnocení výboru odborníků je látka etonitazepyn (název podle IUPAC: 2-[(4-ethoxyfenyl)methyl]-5-nitro-1-(2-pyrrolidin-1-ylethyl)-1</w:t>
      </w:r>
      <w:r w:rsidR="0021287D" w:rsidRPr="008A6F57">
        <w:rPr>
          <w:i/>
          <w:noProof/>
        </w:rPr>
        <w:t>H</w:t>
      </w:r>
      <w:r w:rsidR="0021287D" w:rsidRPr="008A6F57">
        <w:rPr>
          <w:noProof/>
        </w:rPr>
        <w:t>-benzoimidazol) syntetický opioid derivovaný z benzimidazolu s chemickou strukturou a farmakologickými vlastnostmi podobnými látkám na seznamu I (úmluvy OSN z roku 1961), jako je etonitazen. Etonitazepyn byl zkoumán pro své analgetické vlastnosti, není ale známo žádné lékařské využití etonitazepynu. Existují dostatečné důkazy, že etonitazepyn je nebo by pravděpodobně mohl být zneužíván a že by mohl představovat problém pro veřejné zdraví a sociální problém, což odůvodňuje zařazení této látky pod mezinárodní kontrolu. WHO proto doporučuje, aby byla látka etonitazepyn doplněna na seznam I Úmluvy o omamných látkách.</w:t>
      </w:r>
    </w:p>
    <w:p w14:paraId="3B8A1F7C" w14:textId="1B4424AF" w:rsidR="00C624F5" w:rsidRPr="008A6F57" w:rsidRDefault="005779E2" w:rsidP="005779E2">
      <w:pPr>
        <w:pStyle w:val="ManualConsidrant"/>
        <w:rPr>
          <w:noProof/>
        </w:rPr>
      </w:pPr>
      <w:r w:rsidRPr="005779E2">
        <w:t>(20)</w:t>
      </w:r>
      <w:r w:rsidRPr="005779E2">
        <w:tab/>
      </w:r>
      <w:r w:rsidR="00C624F5" w:rsidRPr="008A6F57">
        <w:rPr>
          <w:noProof/>
        </w:rPr>
        <w:t xml:space="preserve">Etonitazepyn byl zjištěn v šesti členských státech a podléhá kontrole v nejméně dvou členských státech. Podobně jako je tomu u jiných nových opioidů, může být etonitazepyn prodáván jako náhrada kontrolovaných opioidů a byl předmětem varování týkajícího se veřejného zdraví vydaného systémem včasného varování Evropské unie. Látku etonitazepyn intenzivně monitoruje Evropské monitorovací centrum pro drogy a drogovou závislost. Úmrtí s potvrzenou expozicí etonitazepynu nahlásila jedna země. </w:t>
      </w:r>
    </w:p>
    <w:p w14:paraId="7F2886A9" w14:textId="5C7BFA74" w:rsidR="0021287D" w:rsidRPr="008A6F57" w:rsidRDefault="005779E2" w:rsidP="005779E2">
      <w:pPr>
        <w:pStyle w:val="ManualConsidrant"/>
        <w:rPr>
          <w:noProof/>
          <w:szCs w:val="24"/>
        </w:rPr>
      </w:pPr>
      <w:r w:rsidRPr="005779E2">
        <w:t>(21)</w:t>
      </w:r>
      <w:r w:rsidRPr="005779E2">
        <w:tab/>
      </w:r>
      <w:r w:rsidR="0021287D" w:rsidRPr="008A6F57">
        <w:rPr>
          <w:noProof/>
        </w:rPr>
        <w:t>Členské státy by proto měly zaujmout postoj na podporu doplnění látky etonitazepyn na seznam I Úmluvy o omamných látkách.</w:t>
      </w:r>
    </w:p>
    <w:p w14:paraId="50C2F289" w14:textId="36FE7FDC" w:rsidR="0021287D" w:rsidRPr="008A6F57" w:rsidRDefault="005779E2" w:rsidP="005779E2">
      <w:pPr>
        <w:pStyle w:val="ManualConsidrant"/>
        <w:rPr>
          <w:noProof/>
          <w:szCs w:val="24"/>
        </w:rPr>
      </w:pPr>
      <w:r w:rsidRPr="005779E2">
        <w:t>(22)</w:t>
      </w:r>
      <w:r w:rsidRPr="005779E2">
        <w:tab/>
      </w:r>
      <w:r w:rsidR="0021287D" w:rsidRPr="008A6F57">
        <w:rPr>
          <w:noProof/>
        </w:rPr>
        <w:t>Podle hodnocení výboru odborníků je látka 2-methyl-AP-237 (název podle IUPAC: 1-{2-methyl-4-[(2E)-3-fenylprop-2-en-1-yl]piperazin-1-yl}butan-1-on) syntetický opioid typicky klasifikovaný jako 1-cinnamylpiperazin. Látka 2-methyl-AP-237 nemá žádné známé terapeutické využití a není ani registrována jako léčivý přípravek. Existují dostatečné důkazy, že látka 2-methyl-AP-237 je nebo by pravděpodobně mohla být zneužívána a že by mohla představovat problém pro veřejné zdraví a sociální problém, což odůvodňuje zařazení této látky pod mezinárodní kontrolu. WHO proto doporučuje, aby byla látka 2-methyl-AP-237 doplněna na seznam I Úmluvy o omamných látkách.</w:t>
      </w:r>
    </w:p>
    <w:p w14:paraId="44408A06" w14:textId="4D4A507C" w:rsidR="00C624F5" w:rsidRPr="008A6F57" w:rsidRDefault="005779E2" w:rsidP="005779E2">
      <w:pPr>
        <w:pStyle w:val="ManualConsidrant"/>
        <w:rPr>
          <w:noProof/>
        </w:rPr>
      </w:pPr>
      <w:r w:rsidRPr="005779E2">
        <w:t>(23)</w:t>
      </w:r>
      <w:r w:rsidRPr="005779E2">
        <w:tab/>
      </w:r>
      <w:r w:rsidR="0023627D" w:rsidRPr="008A6F57">
        <w:rPr>
          <w:noProof/>
        </w:rPr>
        <w:t>Látka 2-methyl-AP-237 byla zjištěna v šesti členských státech a podléhá kontrole v nejméně čtyřech členských státech. Je spojována se závažnými nepříznivými příhodami včetně úmrtí.</w:t>
      </w:r>
    </w:p>
    <w:p w14:paraId="50025EB8" w14:textId="2C40CECD" w:rsidR="0021287D" w:rsidRPr="008A6F57" w:rsidRDefault="005779E2" w:rsidP="005779E2">
      <w:pPr>
        <w:pStyle w:val="ManualConsidrant"/>
        <w:rPr>
          <w:noProof/>
        </w:rPr>
      </w:pPr>
      <w:r w:rsidRPr="005779E2">
        <w:t>(24)</w:t>
      </w:r>
      <w:r w:rsidRPr="005779E2">
        <w:tab/>
      </w:r>
      <w:r w:rsidR="0021287D" w:rsidRPr="008A6F57">
        <w:rPr>
          <w:noProof/>
        </w:rPr>
        <w:t>Členské státy by proto měly zaujmout postoj na podporu doplnění látky 2-methyl-AP-237 na seznam I Úmluvy o omamných látkách.</w:t>
      </w:r>
    </w:p>
    <w:p w14:paraId="05F8A69E" w14:textId="2A2A1A54" w:rsidR="0021287D" w:rsidRPr="008A6F57" w:rsidRDefault="005779E2" w:rsidP="005779E2">
      <w:pPr>
        <w:pStyle w:val="ManualConsidrant"/>
        <w:rPr>
          <w:noProof/>
          <w:szCs w:val="24"/>
        </w:rPr>
      </w:pPr>
      <w:r w:rsidRPr="005779E2">
        <w:t>(25)</w:t>
      </w:r>
      <w:r w:rsidRPr="005779E2">
        <w:tab/>
      </w:r>
      <w:r w:rsidR="0021287D" w:rsidRPr="008A6F57">
        <w:rPr>
          <w:noProof/>
        </w:rPr>
        <w:t>Podle hodnocení výboru odborníků je látka alpha-PiHP (α-PiHP, název podle IUPAC: 4-methyl-1-phenyl-2-(pyrrolidin-1-yl)pentan-1-one) syntetický kathinon. Látka alpha-PiHP nemá žádné známé terapeutické využití a není ani registrována jako léčivý přípravek. Existují dostatečné důkazy, že látka alpha-PiHP je nebo může být zneužívána a může představovat problém pro veřejné zdraví a společenský problém, což odůvodňuje zařazení této látky pod mezinárodní kontrolu. WHO proto doporučuje, aby byla látka alpha-PiHP doplněna na seznam II Úmluvy o psychotropních látkách.</w:t>
      </w:r>
    </w:p>
    <w:p w14:paraId="4207311D" w14:textId="0BA092BD" w:rsidR="00C624F5" w:rsidRPr="008A6F57" w:rsidRDefault="005779E2" w:rsidP="005779E2">
      <w:pPr>
        <w:pStyle w:val="ManualConsidrant"/>
        <w:rPr>
          <w:noProof/>
        </w:rPr>
      </w:pPr>
      <w:r w:rsidRPr="005779E2">
        <w:t>(26)</w:t>
      </w:r>
      <w:r w:rsidRPr="005779E2">
        <w:tab/>
      </w:r>
      <w:r w:rsidR="00C624F5" w:rsidRPr="008A6F57">
        <w:rPr>
          <w:noProof/>
        </w:rPr>
        <w:t xml:space="preserve">Látka alpha-PiHP byla zjištěna v 18 členských státech a podléhá kontrole v nejméně sedmi členských státech. Byla předmětem varování týkajícího se veřejného zdraví vydaného systémem včasného varování Evropské unie. Je spojována se závažnými nepříznivými příhodami, včetně čtyř úmrtí, hlášenými jedním členským státem a byla zjištěna v biologických vzorcích v souvislosti se závažnými nepříznivými příhodami hlášenými čtyřmi členskými státy. </w:t>
      </w:r>
    </w:p>
    <w:p w14:paraId="7B05F230" w14:textId="2B6638DF" w:rsidR="0021287D" w:rsidRPr="008A6F57" w:rsidRDefault="005779E2" w:rsidP="005779E2">
      <w:pPr>
        <w:pStyle w:val="ManualConsidrant"/>
        <w:rPr>
          <w:noProof/>
        </w:rPr>
      </w:pPr>
      <w:r w:rsidRPr="005779E2">
        <w:t>(27)</w:t>
      </w:r>
      <w:r w:rsidRPr="005779E2">
        <w:tab/>
      </w:r>
      <w:r w:rsidR="0021287D" w:rsidRPr="008A6F57">
        <w:rPr>
          <w:noProof/>
        </w:rPr>
        <w:t>Členské státy by proto měly zaujmout postoj na podporu doplnění látky alpha-PiHP na seznam II Úmluvy o psychotropních látkách.</w:t>
      </w:r>
    </w:p>
    <w:p w14:paraId="2E2926F5" w14:textId="58576262" w:rsidR="0021287D" w:rsidRPr="008A6F57" w:rsidRDefault="005779E2" w:rsidP="005779E2">
      <w:pPr>
        <w:pStyle w:val="ManualConsidrant"/>
        <w:rPr>
          <w:noProof/>
          <w:szCs w:val="24"/>
        </w:rPr>
      </w:pPr>
      <w:r w:rsidRPr="005779E2">
        <w:t>(28)</w:t>
      </w:r>
      <w:r w:rsidRPr="005779E2">
        <w:tab/>
      </w:r>
      <w:r w:rsidR="0021287D" w:rsidRPr="008A6F57">
        <w:rPr>
          <w:noProof/>
        </w:rPr>
        <w:t>Podle hodnocení výboru odborníků je látka 3-methylmethcathinon (3-MMC, název podle IUPAC: 2-(methylamino)-1-(3-methylphenyl)propan-1-on) je syntetický kathinon a polohový izomer 4-methylmethkathinonu, který podléhá mezinárodní kontrole (4-MMC, mefedron, na seznamu II Úmluvy o psychotropních látkách). Látka 3-MMC byla kriticky přezkoumána v roce 2016, bylo ale rozhodnuto požádat o další kritický přezkum, který má být posouzen na nadcházející schůzi, až bude k dispozici více informací. Bylo nalezeno několik patentových přihlášek zahrnujících využití látky 3-MMC, nebyla však nalezena žádná klinická hodnocení o terapeutickém využití látky 3-MMC. Látka 3-MMC nemá navíc v Unii žádné uznané humánní nebo veterinární léčivé využití.</w:t>
      </w:r>
    </w:p>
    <w:p w14:paraId="18C71ADE" w14:textId="55166CC3" w:rsidR="00434B58" w:rsidRPr="008A6F57" w:rsidRDefault="005779E2" w:rsidP="005779E2">
      <w:pPr>
        <w:pStyle w:val="ManualConsidrant"/>
        <w:rPr>
          <w:noProof/>
        </w:rPr>
      </w:pPr>
      <w:r w:rsidRPr="005779E2">
        <w:t>(29)</w:t>
      </w:r>
      <w:r w:rsidRPr="005779E2">
        <w:tab/>
      </w:r>
      <w:r w:rsidR="00434B58" w:rsidRPr="008A6F57">
        <w:rPr>
          <w:noProof/>
        </w:rPr>
        <w:t>Rizika látky 3-MMC posuzoval vědecký výbor Evropského monitorovacího centra pro drogy a drogovou závislost a směrnicí Komise v přenesené pravomoci (EU) 2022/1326 již byla tato látka zahrnuta do definice „drogy“ podle rámcového rozhodnutí 2004/757/SVV</w:t>
      </w:r>
      <w:r w:rsidR="00434B58" w:rsidRPr="008A6F57">
        <w:rPr>
          <w:rStyle w:val="FootnoteReference0"/>
          <w:noProof/>
          <w:szCs w:val="24"/>
        </w:rPr>
        <w:footnoteReference w:id="18"/>
      </w:r>
      <w:r w:rsidR="00434B58" w:rsidRPr="008A6F57">
        <w:rPr>
          <w:noProof/>
        </w:rPr>
        <w:t>. Látku 3-MMC intenzivně monitoruje Evropské monitorovací centrum pro drogy a drogovou závislost. V době posouzení rizik, v listopadu 2021, byla látka 3-MMC zjištěna ve 23 členských státech. Pět členských států oznámilo celkem 27 úmrtí s potvrzenou expozicí látce 3-MMC a čtyři členské státy oznámily 14 akutních nefatálních otrav s potvrzenou expozicí látce 3-MMC.</w:t>
      </w:r>
    </w:p>
    <w:p w14:paraId="4C6D89DF" w14:textId="0D5D7321" w:rsidR="0021287D" w:rsidRPr="008A6F57" w:rsidRDefault="005779E2" w:rsidP="005779E2">
      <w:pPr>
        <w:pStyle w:val="ManualConsidrant"/>
        <w:rPr>
          <w:noProof/>
        </w:rPr>
      </w:pPr>
      <w:r w:rsidRPr="005779E2">
        <w:t>(30)</w:t>
      </w:r>
      <w:r w:rsidRPr="005779E2">
        <w:tab/>
      </w:r>
      <w:r w:rsidR="0021287D" w:rsidRPr="008A6F57">
        <w:rPr>
          <w:noProof/>
        </w:rPr>
        <w:t>Členské státy by proto měly zaujmout postoj na podporu doplnění látky 3-MMC na seznam II Úmluvy o psychotropních látkách.</w:t>
      </w:r>
    </w:p>
    <w:p w14:paraId="214F085B" w14:textId="65231159" w:rsidR="0021287D" w:rsidRPr="008A6F57" w:rsidRDefault="005779E2" w:rsidP="005779E2">
      <w:pPr>
        <w:pStyle w:val="ManualConsidrant"/>
        <w:rPr>
          <w:noProof/>
        </w:rPr>
      </w:pPr>
      <w:r w:rsidRPr="005779E2">
        <w:t>(31)</w:t>
      </w:r>
      <w:r w:rsidRPr="005779E2">
        <w:tab/>
      </w:r>
      <w:r w:rsidR="0021287D" w:rsidRPr="008A6F57">
        <w:rPr>
          <w:noProof/>
        </w:rPr>
        <w:t>Je vhodné stanovit postoj, který má být zaujat jménem Unie v Komisi pro narkotika, protože rozhodnutí o zařazení devíti látek na různé seznamy mohou rozhodujícím způsobem ovlivnit obsah práva Unie, zejména rámcového rozhodnutí 2004/757/SVV.</w:t>
      </w:r>
    </w:p>
    <w:p w14:paraId="70004473" w14:textId="3C4CB0B0" w:rsidR="0021287D" w:rsidRPr="008A6F57" w:rsidRDefault="005779E2" w:rsidP="005779E2">
      <w:pPr>
        <w:pStyle w:val="ManualConsidrant"/>
        <w:rPr>
          <w:noProof/>
        </w:rPr>
      </w:pPr>
      <w:r w:rsidRPr="005779E2">
        <w:t>(32)</w:t>
      </w:r>
      <w:r w:rsidRPr="005779E2">
        <w:tab/>
      </w:r>
      <w:r w:rsidR="0021287D" w:rsidRPr="008A6F57">
        <w:rPr>
          <w:noProof/>
        </w:rPr>
        <w:t>Postoj Unie mají vyjádřit členské státy, které jsou členy Komise pro narkotika, jednajíce společně.</w:t>
      </w:r>
    </w:p>
    <w:p w14:paraId="554EF539" w14:textId="4FBDB81B" w:rsidR="0021287D" w:rsidRPr="008A6F57" w:rsidRDefault="005779E2" w:rsidP="005779E2">
      <w:pPr>
        <w:pStyle w:val="ManualConsidrant"/>
        <w:rPr>
          <w:noProof/>
        </w:rPr>
      </w:pPr>
      <w:r w:rsidRPr="005779E2">
        <w:t>(33)</w:t>
      </w:r>
      <w:r w:rsidRPr="005779E2">
        <w:tab/>
      </w:r>
      <w:r w:rsidR="0021287D" w:rsidRPr="008A6F57">
        <w:rPr>
          <w:noProof/>
        </w:rPr>
        <w:t>Dánsko je vázáno rámcovým rozhodnutím 2004/757/SVV, a tudíž se účastní přijímání a používání tohoto rozhodnutí.</w:t>
      </w:r>
    </w:p>
    <w:p w14:paraId="512278E0" w14:textId="386D2F56" w:rsidR="0021287D" w:rsidRPr="008A6F57" w:rsidRDefault="005779E2" w:rsidP="005779E2">
      <w:pPr>
        <w:pStyle w:val="ManualConsidrant"/>
        <w:rPr>
          <w:noProof/>
        </w:rPr>
      </w:pPr>
      <w:r w:rsidRPr="005779E2">
        <w:t>(34)</w:t>
      </w:r>
      <w:r w:rsidRPr="005779E2">
        <w:tab/>
      </w:r>
      <w:r w:rsidR="0021287D" w:rsidRPr="008A6F57">
        <w:rPr>
          <w:noProof/>
        </w:rPr>
        <w:t>Irsko je vázáno rámcovým rozhodnutím 2004/757/SVV, a tudíž se účastní přijímání a používání tohoto rozhodnutí,</w:t>
      </w:r>
    </w:p>
    <w:p w14:paraId="32841C2B" w14:textId="77777777" w:rsidR="0021287D" w:rsidRPr="008A6F57" w:rsidRDefault="0021287D" w:rsidP="0021287D">
      <w:pPr>
        <w:pStyle w:val="Formuledadoption"/>
        <w:rPr>
          <w:noProof/>
        </w:rPr>
      </w:pPr>
      <w:r w:rsidRPr="008A6F57">
        <w:rPr>
          <w:noProof/>
        </w:rPr>
        <w:t xml:space="preserve">PŘIJALA TOTO ROZHODNUTÍ: </w:t>
      </w:r>
    </w:p>
    <w:p w14:paraId="11395B97" w14:textId="77777777" w:rsidR="0021287D" w:rsidRPr="008A6F57" w:rsidRDefault="0021287D" w:rsidP="0021287D">
      <w:pPr>
        <w:pStyle w:val="Titrearticle"/>
        <w:rPr>
          <w:noProof/>
        </w:rPr>
      </w:pPr>
      <w:r w:rsidRPr="008A6F57">
        <w:rPr>
          <w:noProof/>
        </w:rPr>
        <w:t>Článek 1</w:t>
      </w:r>
    </w:p>
    <w:p w14:paraId="607B6BA6" w14:textId="77777777" w:rsidR="0021287D" w:rsidRPr="008A6F57" w:rsidRDefault="0021287D" w:rsidP="0021287D">
      <w:pPr>
        <w:rPr>
          <w:bCs/>
          <w:noProof/>
          <w:szCs w:val="24"/>
        </w:rPr>
      </w:pPr>
      <w:r w:rsidRPr="008A6F57">
        <w:rPr>
          <w:noProof/>
        </w:rPr>
        <w:t>Postoj, který má být zaujat jménem Unie na 66. zasedání Komise pro narkotika konaném ve dnech 13. až 17. března 2023, kdy bude tento orgán vyzván k přijetí rozhodnutí o doplnění látek na seznamy připojené k Jednotné úmluvě Organizace spojených národů o omamných látkách z roku 1961 ve znění protokolu z roku 1972 a k Úmluvě Organizace spojených národů o psychotropních látkách z roku 1971, je stanoven v příloze tohoto rozhodnutí.</w:t>
      </w:r>
    </w:p>
    <w:p w14:paraId="79DD9731" w14:textId="77777777" w:rsidR="0021287D" w:rsidRPr="008A6F57" w:rsidRDefault="0021287D" w:rsidP="0021287D">
      <w:pPr>
        <w:pStyle w:val="Titrearticle"/>
        <w:rPr>
          <w:noProof/>
        </w:rPr>
      </w:pPr>
      <w:r w:rsidRPr="008A6F57">
        <w:rPr>
          <w:noProof/>
        </w:rPr>
        <w:t>Článek 2</w:t>
      </w:r>
    </w:p>
    <w:p w14:paraId="44FE357A" w14:textId="77777777" w:rsidR="0021287D" w:rsidRPr="008A6F57" w:rsidRDefault="0021287D" w:rsidP="0021287D">
      <w:pPr>
        <w:rPr>
          <w:bCs/>
          <w:noProof/>
          <w:szCs w:val="24"/>
        </w:rPr>
      </w:pPr>
      <w:r w:rsidRPr="008A6F57">
        <w:rPr>
          <w:noProof/>
        </w:rPr>
        <w:t>Postoj uvedený v článku 1 vyjádří členské státy, které jsou členy Komise pro narkotika, jednajíce společně.</w:t>
      </w:r>
    </w:p>
    <w:p w14:paraId="67565AC4" w14:textId="77777777" w:rsidR="0021287D" w:rsidRPr="008A6F57" w:rsidRDefault="0021287D" w:rsidP="003937BA">
      <w:pPr>
        <w:pStyle w:val="Titrearticle"/>
        <w:rPr>
          <w:noProof/>
        </w:rPr>
      </w:pPr>
      <w:r w:rsidRPr="008A6F57">
        <w:rPr>
          <w:noProof/>
        </w:rPr>
        <w:t xml:space="preserve">Článek 3 </w:t>
      </w:r>
    </w:p>
    <w:p w14:paraId="76E4FC0C" w14:textId="77777777" w:rsidR="0021287D" w:rsidRPr="008A6F57" w:rsidRDefault="0021287D" w:rsidP="0021287D">
      <w:pPr>
        <w:rPr>
          <w:noProof/>
        </w:rPr>
      </w:pPr>
      <w:r w:rsidRPr="008A6F57">
        <w:rPr>
          <w:noProof/>
        </w:rPr>
        <w:t>Toto rozhodnutí je určeno členským státům v souladu se Smlouvami.</w:t>
      </w:r>
    </w:p>
    <w:p w14:paraId="49A65950" w14:textId="5CCD6E0F" w:rsidR="0021287D" w:rsidRPr="008A6F57" w:rsidRDefault="00546C11" w:rsidP="003937BA">
      <w:pPr>
        <w:pStyle w:val="Fait"/>
        <w:rPr>
          <w:noProof/>
        </w:rPr>
      </w:pPr>
      <w:r w:rsidRPr="00546C11">
        <w:t>V Bruselu dne</w:t>
      </w:r>
    </w:p>
    <w:p w14:paraId="0DBD1CC5" w14:textId="58FF7A16" w:rsidR="0021287D" w:rsidRPr="008A6F57" w:rsidRDefault="007A3482" w:rsidP="003937BA">
      <w:pPr>
        <w:pStyle w:val="Institutionquisigne"/>
        <w:rPr>
          <w:noProof/>
        </w:rPr>
      </w:pPr>
      <w:r w:rsidRPr="008A6F57">
        <w:rPr>
          <w:noProof/>
        </w:rPr>
        <w:tab/>
        <w:t>Za Radu</w:t>
      </w:r>
    </w:p>
    <w:p w14:paraId="08093DB5" w14:textId="69192F72" w:rsidR="0041255F" w:rsidRPr="008A6F57" w:rsidRDefault="002F34E8" w:rsidP="002F34E8">
      <w:pPr>
        <w:pStyle w:val="Personnequisigne"/>
        <w:rPr>
          <w:noProof/>
        </w:rPr>
      </w:pPr>
      <w:r w:rsidRPr="008A6F57">
        <w:rPr>
          <w:noProof/>
        </w:rPr>
        <w:tab/>
        <w:t>předseda/předsedkyně</w:t>
      </w:r>
    </w:p>
    <w:sectPr w:rsidR="0041255F" w:rsidRPr="008A6F57" w:rsidSect="00C024B3">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E3E5" w14:textId="77777777" w:rsidR="002D3023" w:rsidRDefault="002D3023" w:rsidP="0041255F">
      <w:pPr>
        <w:spacing w:before="0" w:after="0"/>
      </w:pPr>
      <w:r>
        <w:separator/>
      </w:r>
    </w:p>
  </w:endnote>
  <w:endnote w:type="continuationSeparator" w:id="0">
    <w:p w14:paraId="0542250C" w14:textId="77777777" w:rsidR="002D3023" w:rsidRDefault="002D3023" w:rsidP="004125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02C6" w14:textId="363C5433" w:rsidR="008A6F57" w:rsidRPr="00C024B3" w:rsidRDefault="00C024B3" w:rsidP="00C024B3">
    <w:pPr>
      <w:pStyle w:val="Footer"/>
      <w:rPr>
        <w:rFonts w:ascii="Arial" w:hAnsi="Arial" w:cs="Arial"/>
        <w:b/>
        <w:sz w:val="48"/>
      </w:rPr>
    </w:pPr>
    <w:r w:rsidRPr="00C024B3">
      <w:rPr>
        <w:rFonts w:ascii="Arial" w:hAnsi="Arial" w:cs="Arial"/>
        <w:b/>
        <w:sz w:val="48"/>
      </w:rPr>
      <w:t>CS</w:t>
    </w:r>
    <w:r w:rsidRPr="00C024B3">
      <w:rPr>
        <w:rFonts w:ascii="Arial" w:hAnsi="Arial" w:cs="Arial"/>
        <w:b/>
        <w:sz w:val="48"/>
      </w:rPr>
      <w:tab/>
    </w:r>
    <w:r w:rsidRPr="00C024B3">
      <w:rPr>
        <w:rFonts w:ascii="Arial" w:hAnsi="Arial" w:cs="Arial"/>
        <w:b/>
        <w:sz w:val="48"/>
      </w:rPr>
      <w:tab/>
    </w:r>
    <w:r w:rsidRPr="00C024B3">
      <w:tab/>
    </w:r>
    <w:r w:rsidRPr="00C024B3">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48FA" w14:textId="2AF78321" w:rsidR="00C024B3" w:rsidRPr="00C024B3" w:rsidRDefault="00C024B3" w:rsidP="00C024B3">
    <w:pPr>
      <w:pStyle w:val="Footer"/>
      <w:rPr>
        <w:rFonts w:ascii="Arial" w:hAnsi="Arial" w:cs="Arial"/>
        <w:b/>
        <w:sz w:val="48"/>
      </w:rPr>
    </w:pPr>
    <w:r w:rsidRPr="00C024B3">
      <w:rPr>
        <w:rFonts w:ascii="Arial" w:hAnsi="Arial" w:cs="Arial"/>
        <w:b/>
        <w:sz w:val="48"/>
      </w:rPr>
      <w:t>CS</w:t>
    </w:r>
    <w:r w:rsidRPr="00C024B3">
      <w:rPr>
        <w:rFonts w:ascii="Arial" w:hAnsi="Arial" w:cs="Arial"/>
        <w:b/>
        <w:sz w:val="48"/>
      </w:rPr>
      <w:tab/>
    </w:r>
    <w:r>
      <w:fldChar w:fldCharType="begin"/>
    </w:r>
    <w:r>
      <w:instrText xml:space="preserve"> PAGE  \* MERGEFORMAT </w:instrText>
    </w:r>
    <w:r>
      <w:fldChar w:fldCharType="separate"/>
    </w:r>
    <w:r w:rsidR="003937BA">
      <w:rPr>
        <w:noProof/>
      </w:rPr>
      <w:t>9</w:t>
    </w:r>
    <w:r>
      <w:fldChar w:fldCharType="end"/>
    </w:r>
    <w:r>
      <w:tab/>
    </w:r>
    <w:r w:rsidRPr="00C024B3">
      <w:tab/>
    </w:r>
    <w:r w:rsidRPr="00C024B3">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06E27" w14:textId="77777777" w:rsidR="00C024B3" w:rsidRPr="00C024B3" w:rsidRDefault="00C024B3" w:rsidP="00C0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DC07A" w14:textId="77777777" w:rsidR="002D3023" w:rsidRDefault="002D3023" w:rsidP="0041255F">
      <w:pPr>
        <w:spacing w:before="0" w:after="0"/>
      </w:pPr>
      <w:r>
        <w:separator/>
      </w:r>
    </w:p>
  </w:footnote>
  <w:footnote w:type="continuationSeparator" w:id="0">
    <w:p w14:paraId="529AC2DB" w14:textId="77777777" w:rsidR="002D3023" w:rsidRDefault="002D3023" w:rsidP="0041255F">
      <w:pPr>
        <w:spacing w:before="0" w:after="0"/>
      </w:pPr>
      <w:r>
        <w:continuationSeparator/>
      </w:r>
    </w:p>
  </w:footnote>
  <w:footnote w:id="1">
    <w:p w14:paraId="3A387F93" w14:textId="77777777" w:rsidR="0021287D" w:rsidRDefault="0021287D" w:rsidP="0021287D">
      <w:pPr>
        <w:pStyle w:val="FootnoteText"/>
      </w:pPr>
      <w:r>
        <w:rPr>
          <w:rStyle w:val="FootnoteReference0"/>
        </w:rPr>
        <w:footnoteRef/>
      </w:r>
      <w:r>
        <w:tab/>
        <w:t>Sbírka úmluv Organizace spojených národů, svazek 978, č. 14152.</w:t>
      </w:r>
    </w:p>
  </w:footnote>
  <w:footnote w:id="2">
    <w:p w14:paraId="248309F0" w14:textId="77777777" w:rsidR="0021287D" w:rsidRDefault="0021287D" w:rsidP="0021287D">
      <w:pPr>
        <w:pStyle w:val="FootnoteText"/>
      </w:pPr>
      <w:r>
        <w:rPr>
          <w:rStyle w:val="FootnoteReference0"/>
        </w:rPr>
        <w:footnoteRef/>
      </w:r>
      <w:r>
        <w:tab/>
        <w:t>Sbírka úmluv Organizace spojených národů, svazek 1019, č. 14956.</w:t>
      </w:r>
    </w:p>
  </w:footnote>
  <w:footnote w:id="3">
    <w:p w14:paraId="5221065E" w14:textId="7CF929F9" w:rsidR="0021287D" w:rsidRDefault="0021287D" w:rsidP="0021287D">
      <w:pPr>
        <w:pStyle w:val="FootnoteText"/>
      </w:pPr>
      <w:r>
        <w:rPr>
          <w:rStyle w:val="FootnoteReference0"/>
        </w:rPr>
        <w:footnoteRef/>
      </w:r>
      <w:r>
        <w:tab/>
        <w:t>Belgie, Francie, Itálie, Litva, Maďarsko, Německo, Nizozemsko, Polsko, Rakousko, Slovinsko, Španělsko a Švédsko.</w:t>
      </w:r>
    </w:p>
  </w:footnote>
  <w:footnote w:id="4">
    <w:p w14:paraId="57FE173E" w14:textId="1D907566" w:rsidR="0021287D" w:rsidRDefault="0021287D" w:rsidP="0021287D">
      <w:pPr>
        <w:pStyle w:val="FootnoteText"/>
      </w:pPr>
      <w:r>
        <w:rPr>
          <w:rStyle w:val="FootnoteReference0"/>
        </w:rPr>
        <w:footnoteRef/>
      </w:r>
      <w:r>
        <w:tab/>
      </w:r>
      <w:hyperlink r:id="rId1" w:history="1">
        <w:r>
          <w:rPr>
            <w:rStyle w:val="Hyperlink"/>
          </w:rPr>
          <w:t>https://cdn.who.int/media/docs/default-source/controlled-substances/45th-ecdd/45th-ecdd-unsg-letter.pdf?sfvrsn=27124af4_3</w:t>
        </w:r>
      </w:hyperlink>
    </w:p>
  </w:footnote>
  <w:footnote w:id="5">
    <w:p w14:paraId="49CE9039" w14:textId="401739F0" w:rsidR="0021287D" w:rsidRDefault="0021287D" w:rsidP="0021287D">
      <w:pPr>
        <w:pStyle w:val="FootnoteText"/>
      </w:pPr>
      <w:r>
        <w:rPr>
          <w:rStyle w:val="FootnoteReference0"/>
        </w:rPr>
        <w:footnoteRef/>
      </w:r>
      <w:r>
        <w:tab/>
        <w:t xml:space="preserve">Směrnice Evropského parlamentu a Rady (EU) 2017/2103 ze dne 15. listopadu 2017, kterou se mění rámcové rozhodnutí Rady 2004/757/SVV s cílem zahrnout do definice drogy nové psychoaktivní látky a zrušuje rozhodnutí Rady 2005/387/SVV (Úř. věst. L 305, 21.11.2017, s. 12). </w:t>
      </w:r>
    </w:p>
  </w:footnote>
  <w:footnote w:id="6">
    <w:p w14:paraId="147FA75D" w14:textId="2F4C3E3E" w:rsidR="0021287D" w:rsidRDefault="0021287D" w:rsidP="0021287D">
      <w:pPr>
        <w:pStyle w:val="FootnoteText"/>
      </w:pPr>
      <w:r>
        <w:rPr>
          <w:rStyle w:val="FootnoteReference0"/>
        </w:rPr>
        <w:footnoteRef/>
      </w:r>
      <w:r>
        <w:tab/>
        <w:t>Viz příloha rámcového rozhodnutí.</w:t>
      </w:r>
    </w:p>
  </w:footnote>
  <w:footnote w:id="7">
    <w:p w14:paraId="0044474C" w14:textId="77777777" w:rsidR="0021287D" w:rsidRDefault="0021287D" w:rsidP="0021287D">
      <w:pPr>
        <w:pStyle w:val="FootnoteText"/>
      </w:pPr>
      <w:r>
        <w:rPr>
          <w:rStyle w:val="FootnoteReference0"/>
        </w:rPr>
        <w:footnoteRef/>
      </w:r>
      <w:r>
        <w:tab/>
        <w:t xml:space="preserve">Více o dopadech intenzivního monitorování viz </w:t>
      </w:r>
      <w:hyperlink r:id="rId2" w:history="1">
        <w:r>
          <w:rPr>
            <w:rStyle w:val="Hyperlink"/>
          </w:rPr>
          <w:t>https://www.emcdda.europa.eu/system/files/publications/12213/downloads/Guidance%20Note%206-%20Intensive%20monitoring.pdf</w:t>
        </w:r>
      </w:hyperlink>
      <w:r>
        <w:t xml:space="preserve">. </w:t>
      </w:r>
    </w:p>
  </w:footnote>
  <w:footnote w:id="8">
    <w:p w14:paraId="566FDE0A" w14:textId="77777777" w:rsidR="0021287D" w:rsidRDefault="0021287D" w:rsidP="0021287D">
      <w:pPr>
        <w:pStyle w:val="FootnoteText"/>
      </w:pPr>
      <w:r>
        <w:rPr>
          <w:rStyle w:val="FootnoteReference0"/>
        </w:rPr>
        <w:footnoteRef/>
      </w:r>
      <w:r>
        <w:tab/>
        <w:t>S jednou jedinou výjimkou, která je předmětem probíhajícího řízení o nesplnění povinnosti.</w:t>
      </w:r>
    </w:p>
  </w:footnote>
  <w:footnote w:id="9">
    <w:p w14:paraId="1CA5FEA7" w14:textId="77777777" w:rsidR="0021287D" w:rsidRDefault="0021287D" w:rsidP="0021287D">
      <w:pPr>
        <w:pStyle w:val="FootnoteText"/>
      </w:pPr>
      <w:r>
        <w:rPr>
          <w:rStyle w:val="FootnoteReference0"/>
        </w:rPr>
        <w:footnoteRef/>
      </w:r>
      <w:r>
        <w:tab/>
        <w:t xml:space="preserve">Rozsudek Soudního dvora ze dne 7. října 2014, Německo v. Rada, C-399/12, ECLI:EU:C:2014:2258, bod 64. </w:t>
      </w:r>
    </w:p>
  </w:footnote>
  <w:footnote w:id="10">
    <w:p w14:paraId="27270671" w14:textId="77777777" w:rsidR="0021287D" w:rsidRDefault="0021287D" w:rsidP="0021287D">
      <w:pPr>
        <w:pStyle w:val="FootnoteText"/>
      </w:pPr>
      <w:r>
        <w:rPr>
          <w:rStyle w:val="FootnoteReference0"/>
        </w:rPr>
        <w:footnoteRef/>
      </w:r>
      <w:r>
        <w:tab/>
        <w:t xml:space="preserve">Rozsudek Soudního dvora ze dne 7. října 2014, Německo v. Rada, C-399/12, ECLI:EU:C:2014:2258, body 61 až 64. </w:t>
      </w:r>
    </w:p>
  </w:footnote>
  <w:footnote w:id="11">
    <w:p w14:paraId="1F2ED241" w14:textId="77777777" w:rsidR="0021287D" w:rsidRDefault="0021287D" w:rsidP="0021287D">
      <w:pPr>
        <w:pStyle w:val="FootnoteText"/>
      </w:pPr>
      <w:r>
        <w:rPr>
          <w:rStyle w:val="FootnoteReference0"/>
        </w:rPr>
        <w:footnoteRef/>
      </w:r>
      <w:r>
        <w:tab/>
        <w:t>Ustanovení čl. 3 odst. 7 Úmluvy o omamných látkách, ustanovení čl. 2 odst. 7 Úmluvy o psychotropních látkách.</w:t>
      </w:r>
    </w:p>
  </w:footnote>
  <w:footnote w:id="12">
    <w:p w14:paraId="6244B9BD" w14:textId="77777777" w:rsidR="0021287D" w:rsidRDefault="0021287D" w:rsidP="0021287D">
      <w:pPr>
        <w:pStyle w:val="FootnoteText"/>
      </w:pPr>
      <w:r>
        <w:rPr>
          <w:rStyle w:val="FootnoteReference0"/>
        </w:rPr>
        <w:footnoteRef/>
      </w:r>
      <w:r>
        <w:tab/>
        <w:t>Sbírka úmluv Organizace spojených národů, svazek 978, č. 14152.</w:t>
      </w:r>
    </w:p>
  </w:footnote>
  <w:footnote w:id="13">
    <w:p w14:paraId="0196755C" w14:textId="77777777" w:rsidR="0021287D" w:rsidRDefault="0021287D" w:rsidP="0021287D">
      <w:pPr>
        <w:pStyle w:val="FootnoteText"/>
      </w:pPr>
      <w:r>
        <w:rPr>
          <w:rStyle w:val="FootnoteReference0"/>
        </w:rPr>
        <w:footnoteRef/>
      </w:r>
      <w:r>
        <w:tab/>
        <w:t>Sbírka úmluv Organizace spojených národů, svazek 1019, č. 14956.</w:t>
      </w:r>
    </w:p>
  </w:footnote>
  <w:footnote w:id="14">
    <w:p w14:paraId="0420FAE8" w14:textId="77777777" w:rsidR="0021287D" w:rsidRDefault="0021287D" w:rsidP="0021287D">
      <w:pPr>
        <w:pStyle w:val="FootnoteText"/>
      </w:pPr>
      <w:r>
        <w:rPr>
          <w:rStyle w:val="FootnoteReference0"/>
        </w:rPr>
        <w:footnoteRef/>
      </w:r>
      <w:r>
        <w:tab/>
        <w:t>Rámcové rozhodnutí Rady 2004/757/SVV ze dne 25. října 2004, kterým se stanoví minimální ustanovení týkající se znaků skutkových podstat trestných činů a sankcí v oblasti nedovoleného obchodu s drogami (Úř. věst. L 335, 11.11.2004, s. 8).</w:t>
      </w:r>
    </w:p>
  </w:footnote>
  <w:footnote w:id="15">
    <w:p w14:paraId="00463768" w14:textId="777E6F64" w:rsidR="0021287D" w:rsidRDefault="0021287D" w:rsidP="0021287D">
      <w:pPr>
        <w:pStyle w:val="FootnoteText"/>
      </w:pPr>
      <w:r>
        <w:rPr>
          <w:rStyle w:val="FootnoteReference0"/>
        </w:rPr>
        <w:footnoteRef/>
      </w:r>
      <w:r>
        <w:tab/>
        <w:t>Belgie, Francie, Itálie, Litva, Maďarsko, Německo, Nizozemsko, Polsko, Rakousko, Slovinsko, Španělsko a Švédsko.</w:t>
      </w:r>
    </w:p>
  </w:footnote>
  <w:footnote w:id="16">
    <w:p w14:paraId="20C83455" w14:textId="28B396FF" w:rsidR="0021287D" w:rsidRDefault="0021287D" w:rsidP="0021287D">
      <w:pPr>
        <w:pStyle w:val="FootnoteText"/>
      </w:pPr>
      <w:r>
        <w:rPr>
          <w:rStyle w:val="FootnoteReference0"/>
        </w:rPr>
        <w:footnoteRef/>
      </w:r>
      <w:r>
        <w:tab/>
      </w:r>
      <w:hyperlink r:id="rId3" w:history="1">
        <w:r>
          <w:rPr>
            <w:rStyle w:val="Hyperlink"/>
          </w:rPr>
          <w:t>https://cdn.who.int/media/docs/default-source/controlled-substances/45th-ecdd/45th-ecdd-unsg-letter.pdf?sfvrsn=27124af4_3</w:t>
        </w:r>
      </w:hyperlink>
    </w:p>
  </w:footnote>
  <w:footnote w:id="17">
    <w:p w14:paraId="3B8C6724" w14:textId="77777777" w:rsidR="0021287D" w:rsidRDefault="0021287D" w:rsidP="0021287D">
      <w:pPr>
        <w:pStyle w:val="FootnoteText"/>
      </w:pPr>
      <w:r>
        <w:rPr>
          <w:rStyle w:val="FootnoteReference0"/>
        </w:rPr>
        <w:footnoteRef/>
      </w:r>
      <w:r>
        <w:tab/>
        <w:t>Nařízení Evropského parlamentu a Rady (ES) č. 1920/2006 ze dne 12. prosince 2006 o Evropském monitorovacím centru pro drogy a drogovou závislost (Úř. věst. L 376, 27.12.2006, s. 1).</w:t>
      </w:r>
    </w:p>
  </w:footnote>
  <w:footnote w:id="18">
    <w:p w14:paraId="295E7C69" w14:textId="2CD7FB56" w:rsidR="00434B58" w:rsidRDefault="00434B58" w:rsidP="00434B58">
      <w:pPr>
        <w:pStyle w:val="FootnoteText"/>
      </w:pPr>
      <w:r>
        <w:rPr>
          <w:rStyle w:val="FootnoteReference0"/>
        </w:rPr>
        <w:footnoteRef/>
      </w:r>
      <w:r>
        <w:tab/>
        <w:t>Směrnice Komise v přenesené pravomoci (EU) 2022/1326 ze dne 18. března 2022, kterou se mění příloha rámcového rozhodnutí Rady 2004/757/SVV, pokud jde o zahrnutí nových psychoaktivních látek do definice drogy (Úř. věst. L 200, 29.7.2022, s. 148).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692742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972BD5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C5C0FF82"/>
    <w:lvl w:ilvl="0">
      <w:start w:val="1"/>
      <w:numFmt w:val="decimal"/>
      <w:pStyle w:val="ListNumber2"/>
      <w:lvlText w:val="%1."/>
      <w:lvlJc w:val="left"/>
      <w:pPr>
        <w:tabs>
          <w:tab w:val="num" w:pos="720"/>
        </w:tabs>
        <w:ind w:left="720" w:hanging="360"/>
      </w:pPr>
    </w:lvl>
  </w:abstractNum>
  <w:abstractNum w:abstractNumId="3" w15:restartNumberingAfterBreak="0">
    <w:nsid w:val="FFFFFF81"/>
    <w:multiLevelType w:val="singleLevel"/>
    <w:tmpl w:val="A78E9F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6A7A2EC8"/>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0578304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2EAAC1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B1C0D2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cs-CZ" w:vendorID="64" w:dllVersion="0" w:nlCheck="1" w:checkStyle="0"/>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12-19 16:02: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35BB87F-1293-4BF5-A379-2E9B37A4242E"/>
    <w:docVar w:name="LW_COVERPAGE_TYPE" w:val="1"/>
    <w:docVar w:name="LW_CROSSREFERENCE" w:val="&lt;UNUSED&gt;"/>
    <w:docVar w:name="LW_DocType" w:val="COM"/>
    <w:docVar w:name="LW_EMISSION" w:val="3.1.2023"/>
    <w:docVar w:name="LW_EMISSION_ISODATE" w:val="2023-01-03"/>
    <w:docVar w:name="LW_EMISSION_LOCATION" w:val="BRX"/>
    <w:docVar w:name="LW_EMISSION_PREFIX" w:val="V Bruselu dn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NLE"/>
    <w:docVar w:name="LW_REF.II.NEW.CP_NUMBER" w:val="0001"/>
    <w:docVar w:name="LW_REF.II.NEW.CP_YEAR" w:val="2023"/>
    <w:docVar w:name="LW_REF.INST.NEW" w:val="COM"/>
    <w:docVar w:name="LW_REF.INST.NEW_ADOPTED" w:val="final"/>
    <w:docVar w:name="LW_REF.INST.NEW_TEXT" w:val="(2023) 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postoji, který má být zaujat jménem Evropské unie na 66. zasedání Komise pro narkotika, pokud jde o zařazení látek na seznamy k Jednotné úmluvě o omamných látkách z roku 1961 ve znění protokolu z roku 1972 a k Úmluvě o psychotropních látkách z roku 1971"/>
    <w:docVar w:name="LW_TYPE.DOC.CP" w:val="ROZHODNUTÍ RADY"/>
    <w:docVar w:name="LwApiVersions" w:val="LW4CoDe 1.23.2.0; LW 8.0, Build 20211117"/>
  </w:docVars>
  <w:rsids>
    <w:rsidRoot w:val="0041255F"/>
    <w:rsid w:val="000035F4"/>
    <w:rsid w:val="00013007"/>
    <w:rsid w:val="0002461E"/>
    <w:rsid w:val="00037193"/>
    <w:rsid w:val="000509BD"/>
    <w:rsid w:val="00057CE8"/>
    <w:rsid w:val="00066B9A"/>
    <w:rsid w:val="00071449"/>
    <w:rsid w:val="00075815"/>
    <w:rsid w:val="00082504"/>
    <w:rsid w:val="00086378"/>
    <w:rsid w:val="000935BD"/>
    <w:rsid w:val="0009537F"/>
    <w:rsid w:val="000A203F"/>
    <w:rsid w:val="000A2BE6"/>
    <w:rsid w:val="000A7517"/>
    <w:rsid w:val="000B1E9C"/>
    <w:rsid w:val="000E198E"/>
    <w:rsid w:val="000F44B3"/>
    <w:rsid w:val="00102CDA"/>
    <w:rsid w:val="001030B1"/>
    <w:rsid w:val="00103A21"/>
    <w:rsid w:val="00105A27"/>
    <w:rsid w:val="00107434"/>
    <w:rsid w:val="0014235E"/>
    <w:rsid w:val="0014627F"/>
    <w:rsid w:val="00163EC7"/>
    <w:rsid w:val="001713C6"/>
    <w:rsid w:val="00171B14"/>
    <w:rsid w:val="00180C66"/>
    <w:rsid w:val="00182BB5"/>
    <w:rsid w:val="00190CB9"/>
    <w:rsid w:val="00191831"/>
    <w:rsid w:val="001B7B9B"/>
    <w:rsid w:val="001C2816"/>
    <w:rsid w:val="001D0377"/>
    <w:rsid w:val="001D1AFE"/>
    <w:rsid w:val="001D62C1"/>
    <w:rsid w:val="001D633F"/>
    <w:rsid w:val="0020236B"/>
    <w:rsid w:val="0020507C"/>
    <w:rsid w:val="0021287D"/>
    <w:rsid w:val="00217D80"/>
    <w:rsid w:val="00226A02"/>
    <w:rsid w:val="00232E98"/>
    <w:rsid w:val="0023627D"/>
    <w:rsid w:val="002414A5"/>
    <w:rsid w:val="00260D08"/>
    <w:rsid w:val="002626A7"/>
    <w:rsid w:val="002671FB"/>
    <w:rsid w:val="00273131"/>
    <w:rsid w:val="002D3023"/>
    <w:rsid w:val="002D5B19"/>
    <w:rsid w:val="002F0D28"/>
    <w:rsid w:val="002F224A"/>
    <w:rsid w:val="002F34E8"/>
    <w:rsid w:val="00306C8B"/>
    <w:rsid w:val="00310049"/>
    <w:rsid w:val="0032062D"/>
    <w:rsid w:val="00331294"/>
    <w:rsid w:val="00332ECC"/>
    <w:rsid w:val="0035110C"/>
    <w:rsid w:val="00365807"/>
    <w:rsid w:val="00371424"/>
    <w:rsid w:val="0039215B"/>
    <w:rsid w:val="003937BA"/>
    <w:rsid w:val="00396170"/>
    <w:rsid w:val="003A314E"/>
    <w:rsid w:val="003D0215"/>
    <w:rsid w:val="003E489F"/>
    <w:rsid w:val="003E7ADE"/>
    <w:rsid w:val="003F1D26"/>
    <w:rsid w:val="00411396"/>
    <w:rsid w:val="0041255F"/>
    <w:rsid w:val="00412DB8"/>
    <w:rsid w:val="00431892"/>
    <w:rsid w:val="00434B58"/>
    <w:rsid w:val="00441DB3"/>
    <w:rsid w:val="004423D1"/>
    <w:rsid w:val="00443A7D"/>
    <w:rsid w:val="00462AE9"/>
    <w:rsid w:val="0046482E"/>
    <w:rsid w:val="0047084F"/>
    <w:rsid w:val="00487493"/>
    <w:rsid w:val="00495BCC"/>
    <w:rsid w:val="00497D27"/>
    <w:rsid w:val="004B0738"/>
    <w:rsid w:val="004B2B3E"/>
    <w:rsid w:val="004B4525"/>
    <w:rsid w:val="004C263F"/>
    <w:rsid w:val="004C743D"/>
    <w:rsid w:val="004F684A"/>
    <w:rsid w:val="004F7231"/>
    <w:rsid w:val="00503953"/>
    <w:rsid w:val="0050583A"/>
    <w:rsid w:val="005065F3"/>
    <w:rsid w:val="00513F67"/>
    <w:rsid w:val="00542FCC"/>
    <w:rsid w:val="00546C11"/>
    <w:rsid w:val="00547342"/>
    <w:rsid w:val="005779E2"/>
    <w:rsid w:val="00593E29"/>
    <w:rsid w:val="0059464A"/>
    <w:rsid w:val="005B0FD6"/>
    <w:rsid w:val="005C34A2"/>
    <w:rsid w:val="005D0C7C"/>
    <w:rsid w:val="005D3156"/>
    <w:rsid w:val="005E7325"/>
    <w:rsid w:val="00612238"/>
    <w:rsid w:val="00616D05"/>
    <w:rsid w:val="00626AC1"/>
    <w:rsid w:val="0063341D"/>
    <w:rsid w:val="006527BB"/>
    <w:rsid w:val="00661425"/>
    <w:rsid w:val="00674CD2"/>
    <w:rsid w:val="00685289"/>
    <w:rsid w:val="00696078"/>
    <w:rsid w:val="006E6171"/>
    <w:rsid w:val="006F605D"/>
    <w:rsid w:val="006F6709"/>
    <w:rsid w:val="0070128F"/>
    <w:rsid w:val="0070171E"/>
    <w:rsid w:val="00706FA3"/>
    <w:rsid w:val="00707CA3"/>
    <w:rsid w:val="00714D44"/>
    <w:rsid w:val="007247BE"/>
    <w:rsid w:val="00735535"/>
    <w:rsid w:val="007367E5"/>
    <w:rsid w:val="00746231"/>
    <w:rsid w:val="00747CA2"/>
    <w:rsid w:val="00752EED"/>
    <w:rsid w:val="00755B1E"/>
    <w:rsid w:val="00756D30"/>
    <w:rsid w:val="00761023"/>
    <w:rsid w:val="00765B4F"/>
    <w:rsid w:val="00773E02"/>
    <w:rsid w:val="007A0DDA"/>
    <w:rsid w:val="007A29D6"/>
    <w:rsid w:val="007A3482"/>
    <w:rsid w:val="007A5014"/>
    <w:rsid w:val="007A5835"/>
    <w:rsid w:val="007B18CC"/>
    <w:rsid w:val="007C06F6"/>
    <w:rsid w:val="007C6B61"/>
    <w:rsid w:val="007D5BCD"/>
    <w:rsid w:val="007E31D3"/>
    <w:rsid w:val="007E5306"/>
    <w:rsid w:val="007F1108"/>
    <w:rsid w:val="007F7D50"/>
    <w:rsid w:val="00805172"/>
    <w:rsid w:val="0081399E"/>
    <w:rsid w:val="008241C2"/>
    <w:rsid w:val="00824F98"/>
    <w:rsid w:val="00831CCF"/>
    <w:rsid w:val="00852A03"/>
    <w:rsid w:val="00852C13"/>
    <w:rsid w:val="008567F9"/>
    <w:rsid w:val="00861E97"/>
    <w:rsid w:val="0086293E"/>
    <w:rsid w:val="0086756A"/>
    <w:rsid w:val="00884133"/>
    <w:rsid w:val="00887259"/>
    <w:rsid w:val="008A6F57"/>
    <w:rsid w:val="008B33F7"/>
    <w:rsid w:val="008B6621"/>
    <w:rsid w:val="008B7E5F"/>
    <w:rsid w:val="008E647F"/>
    <w:rsid w:val="008F04F0"/>
    <w:rsid w:val="009019CE"/>
    <w:rsid w:val="009046F4"/>
    <w:rsid w:val="009204BB"/>
    <w:rsid w:val="00952D93"/>
    <w:rsid w:val="009651BB"/>
    <w:rsid w:val="00986756"/>
    <w:rsid w:val="00986B33"/>
    <w:rsid w:val="00987AD5"/>
    <w:rsid w:val="00991F78"/>
    <w:rsid w:val="00995A9E"/>
    <w:rsid w:val="00996C2F"/>
    <w:rsid w:val="009A0662"/>
    <w:rsid w:val="009A18EA"/>
    <w:rsid w:val="009B053F"/>
    <w:rsid w:val="009B0777"/>
    <w:rsid w:val="009B7138"/>
    <w:rsid w:val="009C17B1"/>
    <w:rsid w:val="009C5F25"/>
    <w:rsid w:val="009C747D"/>
    <w:rsid w:val="009D02A5"/>
    <w:rsid w:val="009F2985"/>
    <w:rsid w:val="00A01EF6"/>
    <w:rsid w:val="00A0205F"/>
    <w:rsid w:val="00A040E0"/>
    <w:rsid w:val="00A074A1"/>
    <w:rsid w:val="00A22395"/>
    <w:rsid w:val="00A30D69"/>
    <w:rsid w:val="00A4026F"/>
    <w:rsid w:val="00A44D6A"/>
    <w:rsid w:val="00A537A0"/>
    <w:rsid w:val="00A555CB"/>
    <w:rsid w:val="00A7676F"/>
    <w:rsid w:val="00A82875"/>
    <w:rsid w:val="00A832B7"/>
    <w:rsid w:val="00A842AD"/>
    <w:rsid w:val="00AA40D4"/>
    <w:rsid w:val="00AA52DB"/>
    <w:rsid w:val="00AB4B13"/>
    <w:rsid w:val="00AB4DD1"/>
    <w:rsid w:val="00AB7419"/>
    <w:rsid w:val="00AC0BC6"/>
    <w:rsid w:val="00AC0E61"/>
    <w:rsid w:val="00AC12A8"/>
    <w:rsid w:val="00AC64BB"/>
    <w:rsid w:val="00AC79AC"/>
    <w:rsid w:val="00AE7B7B"/>
    <w:rsid w:val="00B049B7"/>
    <w:rsid w:val="00B07D93"/>
    <w:rsid w:val="00B254ED"/>
    <w:rsid w:val="00B33052"/>
    <w:rsid w:val="00B35FC9"/>
    <w:rsid w:val="00B4021D"/>
    <w:rsid w:val="00B42058"/>
    <w:rsid w:val="00B47C68"/>
    <w:rsid w:val="00B506C0"/>
    <w:rsid w:val="00B5129E"/>
    <w:rsid w:val="00B53DF2"/>
    <w:rsid w:val="00B60E1A"/>
    <w:rsid w:val="00B636AD"/>
    <w:rsid w:val="00B978CE"/>
    <w:rsid w:val="00BA0323"/>
    <w:rsid w:val="00BC66E9"/>
    <w:rsid w:val="00BD0128"/>
    <w:rsid w:val="00BE246D"/>
    <w:rsid w:val="00BF12BC"/>
    <w:rsid w:val="00BF17AA"/>
    <w:rsid w:val="00BF76D3"/>
    <w:rsid w:val="00C024B3"/>
    <w:rsid w:val="00C0561A"/>
    <w:rsid w:val="00C05681"/>
    <w:rsid w:val="00C06477"/>
    <w:rsid w:val="00C10831"/>
    <w:rsid w:val="00C10F1A"/>
    <w:rsid w:val="00C14579"/>
    <w:rsid w:val="00C14B57"/>
    <w:rsid w:val="00C20AB9"/>
    <w:rsid w:val="00C24556"/>
    <w:rsid w:val="00C53338"/>
    <w:rsid w:val="00C53877"/>
    <w:rsid w:val="00C60D59"/>
    <w:rsid w:val="00C624F5"/>
    <w:rsid w:val="00C848A6"/>
    <w:rsid w:val="00C90254"/>
    <w:rsid w:val="00C91406"/>
    <w:rsid w:val="00C91411"/>
    <w:rsid w:val="00CA00CD"/>
    <w:rsid w:val="00CA26EF"/>
    <w:rsid w:val="00CA760F"/>
    <w:rsid w:val="00CD2144"/>
    <w:rsid w:val="00CF5309"/>
    <w:rsid w:val="00CF5A1B"/>
    <w:rsid w:val="00D05F41"/>
    <w:rsid w:val="00D144FD"/>
    <w:rsid w:val="00D2144D"/>
    <w:rsid w:val="00D3246F"/>
    <w:rsid w:val="00D43DD3"/>
    <w:rsid w:val="00D831F1"/>
    <w:rsid w:val="00D91E49"/>
    <w:rsid w:val="00D96AD1"/>
    <w:rsid w:val="00DC4089"/>
    <w:rsid w:val="00DD2772"/>
    <w:rsid w:val="00DE20C8"/>
    <w:rsid w:val="00DF0646"/>
    <w:rsid w:val="00E259F0"/>
    <w:rsid w:val="00E3468F"/>
    <w:rsid w:val="00E41E83"/>
    <w:rsid w:val="00E41F1B"/>
    <w:rsid w:val="00E46CEF"/>
    <w:rsid w:val="00E5228C"/>
    <w:rsid w:val="00E578DF"/>
    <w:rsid w:val="00E816F3"/>
    <w:rsid w:val="00E87BE7"/>
    <w:rsid w:val="00E902BB"/>
    <w:rsid w:val="00E96750"/>
    <w:rsid w:val="00EA508B"/>
    <w:rsid w:val="00EC5146"/>
    <w:rsid w:val="00ED0997"/>
    <w:rsid w:val="00ED1F89"/>
    <w:rsid w:val="00EE105C"/>
    <w:rsid w:val="00EE68A7"/>
    <w:rsid w:val="00EF37A6"/>
    <w:rsid w:val="00EF56AA"/>
    <w:rsid w:val="00F20062"/>
    <w:rsid w:val="00F26EFD"/>
    <w:rsid w:val="00F4639D"/>
    <w:rsid w:val="00F51B96"/>
    <w:rsid w:val="00F55471"/>
    <w:rsid w:val="00F56576"/>
    <w:rsid w:val="00F6058C"/>
    <w:rsid w:val="00F644F1"/>
    <w:rsid w:val="00F72771"/>
    <w:rsid w:val="00F80266"/>
    <w:rsid w:val="00F832C3"/>
    <w:rsid w:val="00F84296"/>
    <w:rsid w:val="00F8518F"/>
    <w:rsid w:val="00F86132"/>
    <w:rsid w:val="00F86789"/>
    <w:rsid w:val="00F91878"/>
    <w:rsid w:val="00F944BC"/>
    <w:rsid w:val="00F954D7"/>
    <w:rsid w:val="00F97BC0"/>
    <w:rsid w:val="00FC0179"/>
    <w:rsid w:val="00FD6A7D"/>
    <w:rsid w:val="00FE09BC"/>
    <w:rsid w:val="00FE2A2B"/>
    <w:rsid w:val="00FE5074"/>
    <w:rsid w:val="00FF2F8D"/>
    <w:rsid w:val="00FF58B0"/>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8E953C"/>
  <w15:docId w15:val="{818A21C4-DD54-40A8-98CB-FA295E96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55F"/>
    <w:rPr>
      <w:color w:val="0000FF" w:themeColor="hyperlink"/>
      <w:u w:val="single"/>
    </w:rPr>
  </w:style>
  <w:style w:type="paragraph" w:styleId="Caption">
    <w:name w:val="caption"/>
    <w:basedOn w:val="Normal"/>
    <w:next w:val="Normal"/>
    <w:uiPriority w:val="35"/>
    <w:semiHidden/>
    <w:unhideWhenUsed/>
    <w:qFormat/>
    <w:rsid w:val="00102CD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02CDA"/>
    <w:pPr>
      <w:spacing w:after="0"/>
    </w:pPr>
  </w:style>
  <w:style w:type="paragraph" w:styleId="ListBullet">
    <w:name w:val="List Bullet"/>
    <w:basedOn w:val="Normal"/>
    <w:uiPriority w:val="99"/>
    <w:semiHidden/>
    <w:unhideWhenUsed/>
    <w:rsid w:val="00102CDA"/>
    <w:pPr>
      <w:numPr>
        <w:numId w:val="3"/>
      </w:numPr>
      <w:contextualSpacing/>
    </w:pPr>
  </w:style>
  <w:style w:type="paragraph" w:styleId="ListBullet2">
    <w:name w:val="List Bullet 2"/>
    <w:basedOn w:val="Normal"/>
    <w:uiPriority w:val="99"/>
    <w:semiHidden/>
    <w:unhideWhenUsed/>
    <w:rsid w:val="00102CDA"/>
    <w:pPr>
      <w:numPr>
        <w:numId w:val="4"/>
      </w:numPr>
      <w:contextualSpacing/>
    </w:pPr>
  </w:style>
  <w:style w:type="paragraph" w:styleId="ListBullet3">
    <w:name w:val="List Bullet 3"/>
    <w:basedOn w:val="Normal"/>
    <w:uiPriority w:val="99"/>
    <w:semiHidden/>
    <w:unhideWhenUsed/>
    <w:rsid w:val="00102CDA"/>
    <w:pPr>
      <w:numPr>
        <w:numId w:val="5"/>
      </w:numPr>
      <w:contextualSpacing/>
    </w:pPr>
  </w:style>
  <w:style w:type="paragraph" w:styleId="ListBullet4">
    <w:name w:val="List Bullet 4"/>
    <w:basedOn w:val="Normal"/>
    <w:uiPriority w:val="99"/>
    <w:semiHidden/>
    <w:unhideWhenUsed/>
    <w:rsid w:val="00102CDA"/>
    <w:pPr>
      <w:numPr>
        <w:numId w:val="6"/>
      </w:numPr>
      <w:contextualSpacing/>
    </w:pPr>
  </w:style>
  <w:style w:type="paragraph" w:styleId="ListNumber">
    <w:name w:val="List Number"/>
    <w:basedOn w:val="Normal"/>
    <w:uiPriority w:val="99"/>
    <w:semiHidden/>
    <w:unhideWhenUsed/>
    <w:rsid w:val="00102CDA"/>
    <w:pPr>
      <w:numPr>
        <w:numId w:val="7"/>
      </w:numPr>
      <w:contextualSpacing/>
    </w:pPr>
  </w:style>
  <w:style w:type="paragraph" w:styleId="ListNumber2">
    <w:name w:val="List Number 2"/>
    <w:basedOn w:val="Normal"/>
    <w:uiPriority w:val="99"/>
    <w:semiHidden/>
    <w:unhideWhenUsed/>
    <w:rsid w:val="00102CDA"/>
    <w:pPr>
      <w:numPr>
        <w:numId w:val="8"/>
      </w:numPr>
      <w:contextualSpacing/>
    </w:pPr>
  </w:style>
  <w:style w:type="paragraph" w:styleId="ListNumber3">
    <w:name w:val="List Number 3"/>
    <w:basedOn w:val="Normal"/>
    <w:uiPriority w:val="99"/>
    <w:semiHidden/>
    <w:unhideWhenUsed/>
    <w:rsid w:val="00102CDA"/>
    <w:pPr>
      <w:numPr>
        <w:numId w:val="9"/>
      </w:numPr>
      <w:contextualSpacing/>
    </w:pPr>
  </w:style>
  <w:style w:type="paragraph" w:styleId="ListNumber4">
    <w:name w:val="List Number 4"/>
    <w:basedOn w:val="Normal"/>
    <w:uiPriority w:val="99"/>
    <w:semiHidden/>
    <w:unhideWhenUsed/>
    <w:rsid w:val="00102CDA"/>
    <w:pPr>
      <w:numPr>
        <w:numId w:val="10"/>
      </w:numPr>
      <w:contextualSpacing/>
    </w:pPr>
  </w:style>
  <w:style w:type="character" w:styleId="CommentReference">
    <w:name w:val="annotation reference"/>
    <w:basedOn w:val="DefaultParagraphFont"/>
    <w:semiHidden/>
    <w:unhideWhenUsed/>
    <w:rsid w:val="0081399E"/>
    <w:rPr>
      <w:sz w:val="16"/>
      <w:szCs w:val="16"/>
    </w:rPr>
  </w:style>
  <w:style w:type="paragraph" w:styleId="CommentText">
    <w:name w:val="annotation text"/>
    <w:basedOn w:val="Normal"/>
    <w:link w:val="CommentTextChar"/>
    <w:unhideWhenUsed/>
    <w:rsid w:val="0081399E"/>
    <w:rPr>
      <w:sz w:val="20"/>
      <w:szCs w:val="20"/>
    </w:rPr>
  </w:style>
  <w:style w:type="character" w:customStyle="1" w:styleId="CommentTextChar">
    <w:name w:val="Comment Text Char"/>
    <w:basedOn w:val="DefaultParagraphFont"/>
    <w:link w:val="CommentText"/>
    <w:rsid w:val="0081399E"/>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81399E"/>
    <w:rPr>
      <w:b/>
      <w:bCs/>
    </w:rPr>
  </w:style>
  <w:style w:type="character" w:customStyle="1" w:styleId="CommentSubjectChar">
    <w:name w:val="Comment Subject Char"/>
    <w:basedOn w:val="CommentTextChar"/>
    <w:link w:val="CommentSubject"/>
    <w:uiPriority w:val="99"/>
    <w:semiHidden/>
    <w:rsid w:val="0081399E"/>
    <w:rPr>
      <w:rFonts w:ascii="Times New Roman" w:hAnsi="Times New Roman" w:cs="Times New Roman"/>
      <w:b/>
      <w:bCs/>
      <w:sz w:val="20"/>
      <w:szCs w:val="20"/>
      <w:lang w:val="cs-CZ"/>
    </w:rPr>
  </w:style>
  <w:style w:type="paragraph" w:styleId="BalloonText">
    <w:name w:val="Balloon Text"/>
    <w:basedOn w:val="Normal"/>
    <w:link w:val="BalloonTextChar"/>
    <w:uiPriority w:val="99"/>
    <w:semiHidden/>
    <w:unhideWhenUsed/>
    <w:rsid w:val="0081399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9E"/>
    <w:rPr>
      <w:rFonts w:ascii="Segoe UI" w:hAnsi="Segoe UI" w:cs="Segoe UI"/>
      <w:sz w:val="18"/>
      <w:szCs w:val="18"/>
      <w:lang w:val="cs-CZ"/>
    </w:rPr>
  </w:style>
  <w:style w:type="paragraph" w:customStyle="1" w:styleId="Default">
    <w:name w:val="Default"/>
    <w:rsid w:val="009204B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91411"/>
    <w:rPr>
      <w:color w:val="800080" w:themeColor="followedHyperlink"/>
      <w:u w:val="single"/>
    </w:rPr>
  </w:style>
  <w:style w:type="paragraph" w:customStyle="1" w:styleId="li">
    <w:name w:val="li"/>
    <w:basedOn w:val="Normal"/>
    <w:rsid w:val="0021287D"/>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rsid w:val="0021287D"/>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rsid w:val="00C024B3"/>
    <w:pPr>
      <w:tabs>
        <w:tab w:val="center" w:pos="4535"/>
        <w:tab w:val="right" w:pos="9071"/>
      </w:tabs>
      <w:spacing w:before="0"/>
    </w:pPr>
  </w:style>
  <w:style w:type="character" w:customStyle="1" w:styleId="HeaderChar">
    <w:name w:val="Header Char"/>
    <w:basedOn w:val="DefaultParagraphFont"/>
    <w:link w:val="Header"/>
    <w:uiPriority w:val="99"/>
    <w:rsid w:val="00C024B3"/>
    <w:rPr>
      <w:rFonts w:ascii="Times New Roman" w:hAnsi="Times New Roman" w:cs="Times New Roman"/>
      <w:sz w:val="24"/>
      <w:lang w:val="cs-CZ"/>
    </w:rPr>
  </w:style>
  <w:style w:type="paragraph" w:styleId="Footer">
    <w:name w:val="footer"/>
    <w:basedOn w:val="Normal"/>
    <w:link w:val="FooterChar"/>
    <w:uiPriority w:val="99"/>
    <w:unhideWhenUsed/>
    <w:rsid w:val="00C024B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024B3"/>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024B3"/>
    <w:pPr>
      <w:tabs>
        <w:tab w:val="center" w:pos="7285"/>
        <w:tab w:val="right" w:pos="14003"/>
      </w:tabs>
      <w:spacing w:before="0"/>
    </w:pPr>
  </w:style>
  <w:style w:type="paragraph" w:customStyle="1" w:styleId="FooterLandscape">
    <w:name w:val="FooterLandscape"/>
    <w:basedOn w:val="Normal"/>
    <w:rsid w:val="00C024B3"/>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C024B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024B3"/>
    <w:pPr>
      <w:spacing w:before="0"/>
      <w:jc w:val="right"/>
    </w:pPr>
    <w:rPr>
      <w:sz w:val="28"/>
    </w:rPr>
  </w:style>
  <w:style w:type="paragraph" w:customStyle="1" w:styleId="FooterSensitivity">
    <w:name w:val="Footer Sensitivity"/>
    <w:basedOn w:val="Normal"/>
    <w:rsid w:val="00C024B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7365">
      <w:bodyDiv w:val="1"/>
      <w:marLeft w:val="0"/>
      <w:marRight w:val="0"/>
      <w:marTop w:val="0"/>
      <w:marBottom w:val="0"/>
      <w:divBdr>
        <w:top w:val="none" w:sz="0" w:space="0" w:color="auto"/>
        <w:left w:val="none" w:sz="0" w:space="0" w:color="auto"/>
        <w:bottom w:val="none" w:sz="0" w:space="0" w:color="auto"/>
        <w:right w:val="none" w:sz="0" w:space="0" w:color="auto"/>
      </w:divBdr>
    </w:div>
    <w:div w:id="224798860">
      <w:bodyDiv w:val="1"/>
      <w:marLeft w:val="0"/>
      <w:marRight w:val="0"/>
      <w:marTop w:val="0"/>
      <w:marBottom w:val="0"/>
      <w:divBdr>
        <w:top w:val="none" w:sz="0" w:space="0" w:color="auto"/>
        <w:left w:val="none" w:sz="0" w:space="0" w:color="auto"/>
        <w:bottom w:val="none" w:sz="0" w:space="0" w:color="auto"/>
        <w:right w:val="none" w:sz="0" w:space="0" w:color="auto"/>
      </w:divBdr>
    </w:div>
    <w:div w:id="636566156">
      <w:bodyDiv w:val="1"/>
      <w:marLeft w:val="0"/>
      <w:marRight w:val="0"/>
      <w:marTop w:val="0"/>
      <w:marBottom w:val="0"/>
      <w:divBdr>
        <w:top w:val="none" w:sz="0" w:space="0" w:color="auto"/>
        <w:left w:val="none" w:sz="0" w:space="0" w:color="auto"/>
        <w:bottom w:val="none" w:sz="0" w:space="0" w:color="auto"/>
        <w:right w:val="none" w:sz="0" w:space="0" w:color="auto"/>
      </w:divBdr>
    </w:div>
    <w:div w:id="926810668">
      <w:bodyDiv w:val="1"/>
      <w:marLeft w:val="0"/>
      <w:marRight w:val="0"/>
      <w:marTop w:val="0"/>
      <w:marBottom w:val="0"/>
      <w:divBdr>
        <w:top w:val="none" w:sz="0" w:space="0" w:color="auto"/>
        <w:left w:val="none" w:sz="0" w:space="0" w:color="auto"/>
        <w:bottom w:val="none" w:sz="0" w:space="0" w:color="auto"/>
        <w:right w:val="none" w:sz="0" w:space="0" w:color="auto"/>
      </w:divBdr>
    </w:div>
    <w:div w:id="1066956279">
      <w:bodyDiv w:val="1"/>
      <w:marLeft w:val="0"/>
      <w:marRight w:val="0"/>
      <w:marTop w:val="0"/>
      <w:marBottom w:val="0"/>
      <w:divBdr>
        <w:top w:val="none" w:sz="0" w:space="0" w:color="auto"/>
        <w:left w:val="none" w:sz="0" w:space="0" w:color="auto"/>
        <w:bottom w:val="none" w:sz="0" w:space="0" w:color="auto"/>
        <w:right w:val="none" w:sz="0" w:space="0" w:color="auto"/>
      </w:divBdr>
    </w:div>
    <w:div w:id="1071974507">
      <w:bodyDiv w:val="1"/>
      <w:marLeft w:val="0"/>
      <w:marRight w:val="0"/>
      <w:marTop w:val="0"/>
      <w:marBottom w:val="0"/>
      <w:divBdr>
        <w:top w:val="none" w:sz="0" w:space="0" w:color="auto"/>
        <w:left w:val="none" w:sz="0" w:space="0" w:color="auto"/>
        <w:bottom w:val="none" w:sz="0" w:space="0" w:color="auto"/>
        <w:right w:val="none" w:sz="0" w:space="0" w:color="auto"/>
      </w:divBdr>
    </w:div>
    <w:div w:id="1110976811">
      <w:bodyDiv w:val="1"/>
      <w:marLeft w:val="0"/>
      <w:marRight w:val="0"/>
      <w:marTop w:val="0"/>
      <w:marBottom w:val="0"/>
      <w:divBdr>
        <w:top w:val="none" w:sz="0" w:space="0" w:color="auto"/>
        <w:left w:val="none" w:sz="0" w:space="0" w:color="auto"/>
        <w:bottom w:val="none" w:sz="0" w:space="0" w:color="auto"/>
        <w:right w:val="none" w:sz="0" w:space="0" w:color="auto"/>
      </w:divBdr>
    </w:div>
    <w:div w:id="14798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dn.who.int/media/docs/default-source/controlled-substances/45th-ecdd/45th-ecdd-unsg-letter.pdf?sfvrsn=27124af4_3" TargetMode="External"/><Relationship Id="rId2" Type="http://schemas.openxmlformats.org/officeDocument/2006/relationships/hyperlink" Target="https://www.emcdda.europa.eu/system/files/publications/12213/downloads/Guidance%20Note%206-%20Intensive%20monitoring.pdf" TargetMode="External"/><Relationship Id="rId1" Type="http://schemas.openxmlformats.org/officeDocument/2006/relationships/hyperlink" Target="https://cdn.who.int/media/docs/default-source/controlled-substances/45th-ecdd/45th-ecdd-unsg-letter.pdf?sfvrsn=27124af4_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1B999-914A-4F2D-A793-7561C7B7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27</TotalTime>
  <Pages>10</Pages>
  <Words>3228</Words>
  <Characters>18950</Characters>
  <Application>Microsoft Office Word</Application>
  <DocSecurity>0</DocSecurity>
  <Lines>321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61</cp:revision>
  <dcterms:created xsi:type="dcterms:W3CDTF">2022-12-05T10:35:00Z</dcterms:created>
  <dcterms:modified xsi:type="dcterms:W3CDTF">2022-12-19T15:02:00Z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8.1, Build 20220902</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2022-10-17T13:53:18Z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21670b03-5f54-4685-83f1-6223ff9cef81</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