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730F28" w14:textId="134EF137" w:rsidR="00112030" w:rsidRPr="00C3440C" w:rsidRDefault="00401340" w:rsidP="00401340">
      <w:pPr>
        <w:pStyle w:val="Pagedecouverture"/>
        <w:rPr>
          <w:noProof/>
        </w:rPr>
      </w:pPr>
      <w:r>
        <w:rPr>
          <w:noProof/>
        </w:rPr>
        <w:pict w14:anchorId="49B982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FCC6C75E-4E05-47CC-821C-0FB4CA7242EB" style="width:455.25pt;height:483pt">
            <v:imagedata r:id="rId7" o:title=""/>
          </v:shape>
        </w:pict>
      </w:r>
    </w:p>
    <w:p w14:paraId="57193C75" w14:textId="77777777" w:rsidR="00112030" w:rsidRPr="00C3440C" w:rsidRDefault="00112030" w:rsidP="00112030">
      <w:pPr>
        <w:rPr>
          <w:noProof/>
        </w:rPr>
        <w:sectPr w:rsidR="00112030" w:rsidRPr="00C3440C" w:rsidSect="00401340">
          <w:headerReference w:type="even" r:id="rId8"/>
          <w:headerReference w:type="default" r:id="rId9"/>
          <w:footerReference w:type="even" r:id="rId10"/>
          <w:footerReference w:type="default" r:id="rId11"/>
          <w:headerReference w:type="first" r:id="rId12"/>
          <w:footerReference w:type="first" r:id="rId13"/>
          <w:pgSz w:w="11907" w:h="16839"/>
          <w:pgMar w:top="1134" w:right="1417" w:bottom="1134" w:left="1417" w:header="709" w:footer="709" w:gutter="0"/>
          <w:pgNumType w:start="0"/>
          <w:cols w:space="720"/>
          <w:docGrid w:linePitch="360"/>
        </w:sectPr>
      </w:pPr>
    </w:p>
    <w:p w14:paraId="7E3146EA" w14:textId="77777777" w:rsidR="00112030" w:rsidRPr="00C3440C" w:rsidRDefault="00112030" w:rsidP="00BB6B30">
      <w:pPr>
        <w:pStyle w:val="Exposdesmotifstitre"/>
        <w:rPr>
          <w:noProof/>
        </w:rPr>
      </w:pPr>
      <w:bookmarkStart w:id="0" w:name="_GoBack"/>
      <w:bookmarkEnd w:id="0"/>
      <w:r w:rsidRPr="00C3440C">
        <w:rPr>
          <w:noProof/>
        </w:rPr>
        <w:lastRenderedPageBreak/>
        <w:t>EXPOSICIÓN DE MOTIVOS</w:t>
      </w:r>
    </w:p>
    <w:p w14:paraId="437A8D39" w14:textId="77777777" w:rsidR="00112030" w:rsidRPr="00C3440C" w:rsidRDefault="00112030" w:rsidP="00BB7C00">
      <w:pPr>
        <w:pStyle w:val="Heading"/>
        <w:numPr>
          <w:ilvl w:val="0"/>
          <w:numId w:val="1"/>
        </w:numPr>
        <w:rPr>
          <w:noProof/>
          <w:lang w:val="es-ES_tradnl"/>
        </w:rPr>
      </w:pPr>
      <w:r w:rsidRPr="00C3440C">
        <w:rPr>
          <w:noProof/>
          <w:lang w:val="es-ES_tradnl"/>
        </w:rPr>
        <w:t>Objeto de la propuesta</w:t>
      </w:r>
    </w:p>
    <w:p w14:paraId="4F889441" w14:textId="56B91333" w:rsidR="00112030" w:rsidRPr="00C3440C" w:rsidRDefault="00112030" w:rsidP="00112030">
      <w:pPr>
        <w:pStyle w:val="Body"/>
        <w:rPr>
          <w:noProof/>
          <w:lang w:val="es-ES_tradnl"/>
        </w:rPr>
      </w:pPr>
      <w:r w:rsidRPr="00C3440C">
        <w:rPr>
          <w:noProof/>
          <w:lang w:val="es-ES_tradnl"/>
        </w:rPr>
        <w:t>El objeto de la presente propuesta es la Decisión por la que se establece la posición que debe adoptarse</w:t>
      </w:r>
      <w:r w:rsidR="00364DCE" w:rsidRPr="00C3440C">
        <w:rPr>
          <w:noProof/>
          <w:lang w:val="es-ES_tradnl"/>
        </w:rPr>
        <w:t>,</w:t>
      </w:r>
      <w:r w:rsidRPr="00C3440C">
        <w:rPr>
          <w:noProof/>
          <w:lang w:val="es-ES_tradnl"/>
        </w:rPr>
        <w:t xml:space="preserve"> en nombre de la Unión</w:t>
      </w:r>
      <w:r w:rsidR="00364DCE" w:rsidRPr="00C3440C">
        <w:rPr>
          <w:noProof/>
          <w:lang w:val="es-ES_tradnl"/>
        </w:rPr>
        <w:t>,</w:t>
      </w:r>
      <w:r w:rsidRPr="00C3440C">
        <w:rPr>
          <w:noProof/>
          <w:lang w:val="es-ES_tradnl"/>
        </w:rPr>
        <w:t xml:space="preserve"> en el Comité Mixto del EEE en relación con la adopción prevista de la Decisión del Comité Mixto relativa a una modificación del anexo XI (Comunicación electrónica, servicios audiovisuales y sociedad de la información) y del Protocolo 37 (que contiene la lista prevista en el artículo 101) del Acuerdo EEE</w:t>
      </w:r>
    </w:p>
    <w:p w14:paraId="45AC6591" w14:textId="77777777" w:rsidR="00112030" w:rsidRPr="00C3440C" w:rsidRDefault="00112030" w:rsidP="00BB7C00">
      <w:pPr>
        <w:pStyle w:val="Heading"/>
        <w:numPr>
          <w:ilvl w:val="0"/>
          <w:numId w:val="1"/>
        </w:numPr>
        <w:rPr>
          <w:noProof/>
          <w:lang w:val="es-ES_tradnl"/>
        </w:rPr>
      </w:pPr>
      <w:r w:rsidRPr="00C3440C">
        <w:rPr>
          <w:noProof/>
          <w:lang w:val="es-ES_tradnl"/>
        </w:rPr>
        <w:t>Contexto de la propuesta</w:t>
      </w:r>
    </w:p>
    <w:p w14:paraId="01C1515C" w14:textId="5D0735D4" w:rsidR="00112030" w:rsidRPr="00C3440C" w:rsidRDefault="000E5AD0" w:rsidP="000E5AD0">
      <w:pPr>
        <w:pStyle w:val="ManualHeading2"/>
        <w:rPr>
          <w:noProof/>
        </w:rPr>
      </w:pPr>
      <w:r w:rsidRPr="000E5AD0">
        <w:t>2.1.</w:t>
      </w:r>
      <w:r w:rsidRPr="000E5AD0">
        <w:tab/>
      </w:r>
      <w:r w:rsidR="00112030" w:rsidRPr="00C3440C">
        <w:rPr>
          <w:noProof/>
        </w:rPr>
        <w:t>Acuerdo EEE</w:t>
      </w:r>
    </w:p>
    <w:p w14:paraId="705AD630" w14:textId="57D5BD27" w:rsidR="00112030" w:rsidRPr="00C3440C" w:rsidRDefault="00112030" w:rsidP="00112030">
      <w:pPr>
        <w:pStyle w:val="Body"/>
        <w:rPr>
          <w:noProof/>
          <w:lang w:val="es-ES_tradnl"/>
        </w:rPr>
      </w:pPr>
      <w:r w:rsidRPr="00C3440C">
        <w:rPr>
          <w:noProof/>
          <w:lang w:val="es-ES_tradnl"/>
        </w:rPr>
        <w:t>El Acuerdo sobre el Espacio Económico Europeo (en lo sucesivo, «Acuerdo EEE») garantiza la igualdad de derechos y obligaciones en el mercado interior a los ciudadanos y operadores económicos del EEE. Prevé la aplicación de la legislación de la UE relativa a las cuatro libertades en los 30 Estados del EEE, es decir, los Estados miembros de la UE, Noruega, Islandia y Liechtenstein. Además, el Acuerdo EEE abarca la cooperación en otros ámbitos importantes, tales como investigación y desarrollo, educación, política social, medio ambiente, protección de los consumidores, turismo y cultura, conocidos en conjunto como políticas «horizontales y complementarias». El Acuerdo EEE entró en vigor el 1 de enero de 1994. La Unión, junto con sus Estados miembros, es Parte en el Acuerdo EEE.</w:t>
      </w:r>
    </w:p>
    <w:p w14:paraId="67D7F03D" w14:textId="7E820503" w:rsidR="00112030" w:rsidRPr="00C3440C" w:rsidRDefault="000E5AD0" w:rsidP="000E5AD0">
      <w:pPr>
        <w:pStyle w:val="ManualHeading2"/>
        <w:rPr>
          <w:noProof/>
        </w:rPr>
      </w:pPr>
      <w:r w:rsidRPr="000E5AD0">
        <w:t>2.2.</w:t>
      </w:r>
      <w:r w:rsidRPr="000E5AD0">
        <w:tab/>
      </w:r>
      <w:r w:rsidR="00112030" w:rsidRPr="00C3440C">
        <w:rPr>
          <w:noProof/>
        </w:rPr>
        <w:t>Comité Mixto del EEE</w:t>
      </w:r>
    </w:p>
    <w:p w14:paraId="62284E37" w14:textId="77777777" w:rsidR="00112030" w:rsidRPr="00C3440C" w:rsidRDefault="00112030" w:rsidP="00112030">
      <w:pPr>
        <w:pStyle w:val="Body"/>
        <w:rPr>
          <w:noProof/>
          <w:lang w:val="es-ES_tradnl"/>
        </w:rPr>
      </w:pPr>
      <w:r w:rsidRPr="00C3440C">
        <w:rPr>
          <w:noProof/>
          <w:lang w:val="es-ES_tradnl"/>
        </w:rPr>
        <w:t>El Comité Mixto del EEE es responsable de la gestión del Acuerdo EEE. Es un foro de intercambio de puntos de vista relacionados con el funcionamiento del Acuerdo EEE. Sus decisiones se adoptan por consenso y son vinculantes para las Partes. La responsabilidad de coordinar los asuntos del EEE por parte de la UE recae en la Secretaría General de la Comisión Europea. </w:t>
      </w:r>
    </w:p>
    <w:p w14:paraId="3F4D9010" w14:textId="55321CA7" w:rsidR="00112030" w:rsidRPr="00C3440C" w:rsidRDefault="000E5AD0" w:rsidP="000E5AD0">
      <w:pPr>
        <w:pStyle w:val="ManualHeading2"/>
        <w:rPr>
          <w:noProof/>
        </w:rPr>
      </w:pPr>
      <w:r w:rsidRPr="000E5AD0">
        <w:t>2.3.</w:t>
      </w:r>
      <w:r w:rsidRPr="000E5AD0">
        <w:tab/>
      </w:r>
      <w:r w:rsidR="00112030" w:rsidRPr="00C3440C">
        <w:rPr>
          <w:noProof/>
        </w:rPr>
        <w:t>Acto previsto del Comité Mixto del EEE</w:t>
      </w:r>
    </w:p>
    <w:p w14:paraId="1D9C87DD" w14:textId="12638D87" w:rsidR="00112030" w:rsidRPr="00C3440C" w:rsidRDefault="00112030" w:rsidP="00112030">
      <w:pPr>
        <w:pStyle w:val="Body"/>
        <w:rPr>
          <w:noProof/>
          <w:lang w:val="es-ES_tradnl"/>
        </w:rPr>
      </w:pPr>
      <w:r w:rsidRPr="00C3440C">
        <w:rPr>
          <w:noProof/>
          <w:lang w:val="es-ES_tradnl"/>
        </w:rPr>
        <w:t>Se espera que el Comité Mixto del EEE adopte la Decisión del Comité Mixto del EEE («el acto previsto») relativa a la modificación del anexo XI (Comunicación electrónica, servicios audiovisuales y sociedad de la información) y del Protocolo 37 (que contiene la lista prevista en el artículo 101) del Acuerdo EEE.</w:t>
      </w:r>
    </w:p>
    <w:p w14:paraId="1914D8CB" w14:textId="197E244E" w:rsidR="00112030" w:rsidRPr="00C3440C" w:rsidRDefault="00112030" w:rsidP="00112030">
      <w:pPr>
        <w:pStyle w:val="Body"/>
        <w:rPr>
          <w:noProof/>
          <w:lang w:val="es-ES_tradnl"/>
        </w:rPr>
      </w:pPr>
      <w:r w:rsidRPr="00C3440C">
        <w:rPr>
          <w:noProof/>
          <w:lang w:val="es-ES_tradnl"/>
        </w:rPr>
        <w:t xml:space="preserve">La finalidad del acto previsto es incorporar </w:t>
      </w:r>
      <w:r w:rsidR="00023284" w:rsidRPr="00C3440C">
        <w:rPr>
          <w:noProof/>
          <w:lang w:val="es-ES_tradnl"/>
        </w:rPr>
        <w:t xml:space="preserve">en el Acuerdo EEE </w:t>
      </w:r>
      <w:r w:rsidRPr="00C3440C">
        <w:rPr>
          <w:noProof/>
          <w:lang w:val="es-ES_tradnl"/>
        </w:rPr>
        <w:t xml:space="preserve">el </w:t>
      </w:r>
      <w:bookmarkStart w:id="1" w:name="_Hlk66716304"/>
      <w:bookmarkStart w:id="2" w:name="_Hlk54792298"/>
      <w:bookmarkStart w:id="3" w:name="_Hlk54792625"/>
      <w:r w:rsidRPr="00C3440C">
        <w:rPr>
          <w:noProof/>
          <w:lang w:val="es-ES_tradnl"/>
        </w:rPr>
        <w:t>Reglamento (UE) 2019/881 del Parlamento Europeo y del Consejo, de 17 de abril de 2019, relativo a ENISA (Agencia de la Unión Europea para la Ciberseguridad) y a la certificación de la ciberseguridad de las tecnologías de la información y la comunicación y por el que se deroga el Reglamento (UE) n.º 526/2013 («Reglamento sobre la Ciberseguridad»)</w:t>
      </w:r>
      <w:r w:rsidRPr="007E3AE4">
        <w:rPr>
          <w:rStyle w:val="FootnoteReference"/>
          <w:b/>
          <w:noProof/>
          <w:lang w:val="es-ES_tradnl"/>
        </w:rPr>
        <w:footnoteReference w:id="1"/>
      </w:r>
      <w:bookmarkEnd w:id="1"/>
      <w:bookmarkEnd w:id="2"/>
      <w:bookmarkEnd w:id="3"/>
      <w:r w:rsidRPr="00C3440C">
        <w:rPr>
          <w:noProof/>
          <w:lang w:val="es-ES_tradnl"/>
        </w:rPr>
        <w:t xml:space="preserve">. </w:t>
      </w:r>
    </w:p>
    <w:p w14:paraId="4FCD9D5E" w14:textId="299CB917" w:rsidR="00112030" w:rsidRPr="00C3440C" w:rsidRDefault="00112030" w:rsidP="00112030">
      <w:pPr>
        <w:pStyle w:val="Body"/>
        <w:rPr>
          <w:noProof/>
          <w:lang w:val="es-ES_tradnl"/>
        </w:rPr>
      </w:pPr>
      <w:r w:rsidRPr="00C3440C">
        <w:rPr>
          <w:noProof/>
          <w:lang w:val="es-ES_tradnl"/>
        </w:rPr>
        <w:t xml:space="preserve">El acto previsto tendrá carácter vinculante para las </w:t>
      </w:r>
      <w:r w:rsidR="00023284" w:rsidRPr="00C3440C">
        <w:rPr>
          <w:noProof/>
          <w:lang w:val="es-ES_tradnl"/>
        </w:rPr>
        <w:t>P</w:t>
      </w:r>
      <w:r w:rsidRPr="00C3440C">
        <w:rPr>
          <w:noProof/>
          <w:lang w:val="es-ES_tradnl"/>
        </w:rPr>
        <w:t xml:space="preserve">artes en virtud de los artículos 103 y 104 del Acuerdo EEE. </w:t>
      </w:r>
    </w:p>
    <w:p w14:paraId="1E1AECC7" w14:textId="77777777" w:rsidR="00112030" w:rsidRPr="00C3440C" w:rsidRDefault="00112030" w:rsidP="00BB7C00">
      <w:pPr>
        <w:pStyle w:val="Heading"/>
        <w:numPr>
          <w:ilvl w:val="0"/>
          <w:numId w:val="1"/>
        </w:numPr>
        <w:rPr>
          <w:noProof/>
          <w:lang w:val="es-ES_tradnl"/>
        </w:rPr>
      </w:pPr>
      <w:r w:rsidRPr="00C3440C">
        <w:rPr>
          <w:noProof/>
          <w:lang w:val="es-ES_tradnl"/>
        </w:rPr>
        <w:t>Posición que debe adoptarse en nombre de la Unión</w:t>
      </w:r>
    </w:p>
    <w:p w14:paraId="09FA48AA" w14:textId="77777777" w:rsidR="00112030" w:rsidRPr="00C3440C" w:rsidRDefault="00112030" w:rsidP="00112030">
      <w:pPr>
        <w:pStyle w:val="Body"/>
        <w:rPr>
          <w:noProof/>
          <w:lang w:val="es-ES_tradnl"/>
        </w:rPr>
      </w:pPr>
      <w:r w:rsidRPr="00C3440C">
        <w:rPr>
          <w:noProof/>
          <w:lang w:val="es-ES_tradnl"/>
        </w:rPr>
        <w:t>La Comisión presenta el proyecto de Decisión del Comité Mixto del EEE que se adjunta para su adopción por parte del Consejo como posición de la Unión. La posición, una vez adoptada, debe presentarse al Comité Mixto del EEE lo antes posible.</w:t>
      </w:r>
    </w:p>
    <w:p w14:paraId="61C26857" w14:textId="44A23A2C" w:rsidR="00112030" w:rsidRPr="00C3440C" w:rsidRDefault="00112030" w:rsidP="00112030">
      <w:pPr>
        <w:pStyle w:val="Body"/>
        <w:rPr>
          <w:noProof/>
          <w:lang w:val="es-ES_tradnl"/>
        </w:rPr>
      </w:pPr>
      <w:r w:rsidRPr="00C3440C">
        <w:rPr>
          <w:noProof/>
          <w:lang w:val="es-ES_tradnl"/>
        </w:rPr>
        <w:t xml:space="preserve">La Decisión del Comité Mixto del EEE adjunta introduce derechos de participación de los Estados AELC del EEE en los trabajos de </w:t>
      </w:r>
      <w:r w:rsidR="00023284" w:rsidRPr="00C3440C">
        <w:rPr>
          <w:noProof/>
          <w:lang w:val="es-ES_tradnl"/>
        </w:rPr>
        <w:t>ENISA</w:t>
      </w:r>
      <w:r w:rsidRPr="00C3440C">
        <w:rPr>
          <w:noProof/>
          <w:lang w:val="es-ES_tradnl"/>
        </w:rPr>
        <w:t>, algo que va más allá de lo que puede considerarse una mera adaptación técnica en el sentido del Reglamento n.º 2894/94 del Consejo. Por consiguiente, el Consejo establecerá la posición de la Unión.</w:t>
      </w:r>
    </w:p>
    <w:p w14:paraId="7A29AF7D" w14:textId="77777777" w:rsidR="00112030" w:rsidRPr="00C3440C" w:rsidRDefault="00112030" w:rsidP="00BB7C00">
      <w:pPr>
        <w:pStyle w:val="Heading"/>
        <w:numPr>
          <w:ilvl w:val="0"/>
          <w:numId w:val="1"/>
        </w:numPr>
        <w:rPr>
          <w:noProof/>
          <w:lang w:val="es-ES_tradnl"/>
        </w:rPr>
      </w:pPr>
      <w:r w:rsidRPr="00C3440C">
        <w:rPr>
          <w:noProof/>
          <w:lang w:val="es-ES_tradnl"/>
        </w:rPr>
        <w:t>Base jurídica</w:t>
      </w:r>
    </w:p>
    <w:p w14:paraId="2C3E3F1B" w14:textId="6F4C1798" w:rsidR="00112030" w:rsidRPr="00C3440C" w:rsidRDefault="000E5AD0" w:rsidP="000E5AD0">
      <w:pPr>
        <w:pStyle w:val="ManualHeading2"/>
        <w:rPr>
          <w:noProof/>
        </w:rPr>
      </w:pPr>
      <w:r w:rsidRPr="000E5AD0">
        <w:t>4.1.</w:t>
      </w:r>
      <w:r w:rsidRPr="000E5AD0">
        <w:tab/>
      </w:r>
      <w:r w:rsidR="00112030" w:rsidRPr="00C3440C">
        <w:rPr>
          <w:noProof/>
        </w:rPr>
        <w:t>Base jurídica procedimental</w:t>
      </w:r>
    </w:p>
    <w:p w14:paraId="6B07A97A" w14:textId="4B96B289" w:rsidR="00112030" w:rsidRPr="00C3440C" w:rsidRDefault="000E5AD0" w:rsidP="000E5AD0">
      <w:pPr>
        <w:pStyle w:val="ManualHeading3"/>
        <w:rPr>
          <w:noProof/>
        </w:rPr>
      </w:pPr>
      <w:r w:rsidRPr="000E5AD0">
        <w:t>4.1.1.</w:t>
      </w:r>
      <w:r w:rsidRPr="000E5AD0">
        <w:tab/>
      </w:r>
      <w:r w:rsidR="00112030" w:rsidRPr="00C3440C">
        <w:rPr>
          <w:noProof/>
        </w:rPr>
        <w:t>Principios</w:t>
      </w:r>
    </w:p>
    <w:p w14:paraId="1FFD8FC7" w14:textId="77777777" w:rsidR="00112030" w:rsidRPr="00C3440C" w:rsidRDefault="00112030" w:rsidP="00112030">
      <w:pPr>
        <w:pStyle w:val="Body"/>
        <w:rPr>
          <w:noProof/>
          <w:lang w:val="es-ES_tradnl"/>
        </w:rPr>
      </w:pPr>
      <w:r w:rsidRPr="00C3440C">
        <w:rPr>
          <w:noProof/>
          <w:lang w:val="es-ES_tradnl"/>
        </w:rPr>
        <w:t>El artículo 218, apartado 9, del Tratado de Funcionamiento de la Unión Europea (TFUE) dispone la adopción de decisiones por las que se establezcan «las posiciones que deban adoptarse en nombre de la Unión en un organismo creado por un acuerdo, cuando dicho organismo deba adoptar actos que surtan efectos jurídicos, con excepción de los actos que completen o modifiquen el marco institucional del acuerdo».</w:t>
      </w:r>
    </w:p>
    <w:p w14:paraId="5D8192D8" w14:textId="77777777" w:rsidR="00112030" w:rsidRPr="00C3440C" w:rsidRDefault="00112030" w:rsidP="00112030">
      <w:pPr>
        <w:pStyle w:val="Body"/>
        <w:rPr>
          <w:noProof/>
          <w:lang w:val="es-ES_tradnl"/>
        </w:rPr>
      </w:pPr>
      <w:r w:rsidRPr="00C3440C">
        <w:rPr>
          <w:noProof/>
          <w:lang w:val="es-ES_tradnl"/>
        </w:rPr>
        <w:t>El concepto de «actos que surtan efectos jurídicos» incluye los actos que surten efectos jurídicos en virtud de las normas de Derecho internacional que regulan el organismo en cuestión. Incluye asimismo aquellos instrumentos que no tengan fuerza vinculante con arreglo al Derecho internacional, pero que puedan influir de «manera determinante [en] el contenido de la normativa adoptada por el legislador de la Unión»</w:t>
      </w:r>
      <w:r w:rsidRPr="00C3440C">
        <w:rPr>
          <w:rStyle w:val="FootnoteReference"/>
          <w:noProof/>
          <w:lang w:val="es-ES_tradnl"/>
        </w:rPr>
        <w:footnoteReference w:id="2"/>
      </w:r>
      <w:r w:rsidRPr="00C3440C">
        <w:rPr>
          <w:noProof/>
          <w:lang w:val="es-ES_tradnl"/>
        </w:rPr>
        <w:t>.</w:t>
      </w:r>
    </w:p>
    <w:p w14:paraId="4EEB423B" w14:textId="6E584688" w:rsidR="00112030" w:rsidRPr="00C3440C" w:rsidRDefault="000E5AD0" w:rsidP="000E5AD0">
      <w:pPr>
        <w:pStyle w:val="ManualHeading3"/>
        <w:rPr>
          <w:noProof/>
        </w:rPr>
      </w:pPr>
      <w:r w:rsidRPr="000E5AD0">
        <w:t>4.1.2.</w:t>
      </w:r>
      <w:r w:rsidRPr="000E5AD0">
        <w:tab/>
      </w:r>
      <w:r w:rsidR="00112030" w:rsidRPr="00C3440C">
        <w:rPr>
          <w:noProof/>
        </w:rPr>
        <w:t>Aplicación al presente asunto</w:t>
      </w:r>
    </w:p>
    <w:p w14:paraId="3258C280" w14:textId="77777777" w:rsidR="00112030" w:rsidRPr="001914D8" w:rsidRDefault="00112030" w:rsidP="00112030">
      <w:pPr>
        <w:pStyle w:val="Body"/>
      </w:pPr>
      <w:r w:rsidRPr="00C3440C">
        <w:rPr>
          <w:noProof/>
          <w:lang w:val="es-ES_tradnl"/>
        </w:rPr>
        <w:t xml:space="preserve">El Comité Mixto del EEE es un organismo creado por un acuerdo, a saber, el Acuerdo EEE. El acto que debe adoptar el Comité Mixto del EEE tiene efectos jurídicos. El acto previsto será vinculante con arreglo al Derecho internacional de conformidad con los artículos 103 y 104 del Acuerdo EEE. </w:t>
      </w:r>
    </w:p>
    <w:p w14:paraId="122A8603" w14:textId="454B4C5E" w:rsidR="00112030" w:rsidRPr="00C3440C" w:rsidRDefault="00112030" w:rsidP="00112030">
      <w:pPr>
        <w:pStyle w:val="Body"/>
        <w:rPr>
          <w:noProof/>
          <w:lang w:val="es-ES_tradnl"/>
        </w:rPr>
      </w:pPr>
      <w:r w:rsidRPr="00C3440C">
        <w:rPr>
          <w:noProof/>
          <w:lang w:val="es-ES_tradnl"/>
        </w:rPr>
        <w:t>El acto previsto no completa ni modifica el marco institucional del Acuerdo. Por consiguiente, la base jurídica procedimental de la Decisión propuesta es el artículo 218, apartado 9, del TFUE, en relación con el artículo 1, apartado 3, del Reglamento n.º 2894/94 del Consejo relativo a determinadas normas de desarrollo del Acuerdo EEE.</w:t>
      </w:r>
    </w:p>
    <w:p w14:paraId="0463EEF2" w14:textId="3FC11BE7" w:rsidR="00112030" w:rsidRPr="00C3440C" w:rsidRDefault="000E5AD0" w:rsidP="000E5AD0">
      <w:pPr>
        <w:pStyle w:val="ManualHeading2"/>
        <w:rPr>
          <w:noProof/>
        </w:rPr>
      </w:pPr>
      <w:r w:rsidRPr="000E5AD0">
        <w:t>4.2.</w:t>
      </w:r>
      <w:r w:rsidRPr="000E5AD0">
        <w:tab/>
      </w:r>
      <w:r w:rsidR="00112030" w:rsidRPr="00C3440C">
        <w:rPr>
          <w:noProof/>
        </w:rPr>
        <w:t>Base jurídica sustantiva</w:t>
      </w:r>
    </w:p>
    <w:p w14:paraId="08D262D4" w14:textId="0CF8CC45" w:rsidR="00112030" w:rsidRPr="00C3440C" w:rsidRDefault="000E5AD0" w:rsidP="000E5AD0">
      <w:pPr>
        <w:pStyle w:val="ManualHeading3"/>
        <w:rPr>
          <w:noProof/>
        </w:rPr>
      </w:pPr>
      <w:r w:rsidRPr="000E5AD0">
        <w:t>4.2.1.</w:t>
      </w:r>
      <w:r w:rsidRPr="000E5AD0">
        <w:tab/>
      </w:r>
      <w:r w:rsidR="00112030" w:rsidRPr="00C3440C">
        <w:rPr>
          <w:noProof/>
        </w:rPr>
        <w:t>Principios</w:t>
      </w:r>
    </w:p>
    <w:p w14:paraId="0A26193D" w14:textId="77777777" w:rsidR="00112030" w:rsidRPr="00C3440C" w:rsidRDefault="00112030" w:rsidP="00112030">
      <w:pPr>
        <w:pStyle w:val="Body"/>
        <w:rPr>
          <w:noProof/>
          <w:lang w:val="es-ES_tradnl"/>
        </w:rPr>
      </w:pPr>
      <w:r w:rsidRPr="00C3440C">
        <w:rPr>
          <w:noProof/>
          <w:lang w:val="es-ES_tradnl"/>
        </w:rPr>
        <w:t xml:space="preserve">La base jurídica sustantiva de las decisiones adoptadas con arreglo al artículo 218, apartado 9, del TFUE, en relación con el artículo 1, apartado 3, del Reglamento n.º 2894/94 del Consejo, depende principalmente de la base jurídica sustantiva del acto jurídico de la UE que debe incorporarse al Acuerdo EEE. </w:t>
      </w:r>
    </w:p>
    <w:p w14:paraId="72A2F1CE" w14:textId="77777777" w:rsidR="00112030" w:rsidRPr="00C3440C" w:rsidRDefault="00112030" w:rsidP="00112030">
      <w:pPr>
        <w:pStyle w:val="Body"/>
        <w:rPr>
          <w:noProof/>
          <w:lang w:val="es-ES_tradnl"/>
        </w:rPr>
      </w:pPr>
      <w:r w:rsidRPr="00C3440C">
        <w:rPr>
          <w:noProof/>
          <w:lang w:val="es-ES_tradnl"/>
        </w:rPr>
        <w:t>Si el acto previsto persigue un doble objetivo o tiene un componente doble, y si uno de dichos objetivos o componentes puede calificarse de principal, mientras que el otro solamente es accesorio, la Decisión adoptada con arreglo al artículo 218, apartado 9, del TFUE debe fundarse en una única base jurídica sustantiva, a saber, la que exija el objetivo o componente principal o preponderante.</w:t>
      </w:r>
    </w:p>
    <w:p w14:paraId="702351F6" w14:textId="177C0C83" w:rsidR="00112030" w:rsidRPr="00C3440C" w:rsidRDefault="000E5AD0" w:rsidP="000E5AD0">
      <w:pPr>
        <w:pStyle w:val="ManualHeading3"/>
        <w:rPr>
          <w:noProof/>
        </w:rPr>
      </w:pPr>
      <w:r w:rsidRPr="000E5AD0">
        <w:t>4.2.2.</w:t>
      </w:r>
      <w:r w:rsidRPr="000E5AD0">
        <w:tab/>
      </w:r>
      <w:r w:rsidR="00112030" w:rsidRPr="00C3440C">
        <w:rPr>
          <w:noProof/>
        </w:rPr>
        <w:t>Aplicación al presente asunto</w:t>
      </w:r>
    </w:p>
    <w:p w14:paraId="160C3A63" w14:textId="159BFDD0" w:rsidR="00112030" w:rsidRPr="00C3440C" w:rsidRDefault="00112030" w:rsidP="00112030">
      <w:pPr>
        <w:pStyle w:val="Body"/>
        <w:rPr>
          <w:noProof/>
          <w:lang w:val="es-ES_tradnl"/>
        </w:rPr>
      </w:pPr>
      <w:r w:rsidRPr="00C3440C">
        <w:rPr>
          <w:noProof/>
          <w:lang w:val="es-ES_tradnl"/>
        </w:rPr>
        <w:t>Dado que la Decisión del Comité Mixto incorpora al Acuerdo EEE el Reglamento (UE) 2019/881, procede basar esta Decisión del Consejo en la misma base jurídica sustantiva que el acto incorporado. Por lo tanto, la base jurídica sustantiva de la Decisión propuesta es el artículo 114 del TFUE.</w:t>
      </w:r>
    </w:p>
    <w:p w14:paraId="6E28B0B8" w14:textId="63C85544" w:rsidR="00112030" w:rsidRPr="00C3440C" w:rsidRDefault="000E5AD0" w:rsidP="000E5AD0">
      <w:pPr>
        <w:pStyle w:val="ManualHeading2"/>
        <w:rPr>
          <w:noProof/>
        </w:rPr>
      </w:pPr>
      <w:r w:rsidRPr="000E5AD0">
        <w:t>4.3.</w:t>
      </w:r>
      <w:r w:rsidRPr="000E5AD0">
        <w:tab/>
      </w:r>
      <w:r w:rsidR="00112030" w:rsidRPr="00C3440C">
        <w:rPr>
          <w:noProof/>
        </w:rPr>
        <w:t>Conclusión</w:t>
      </w:r>
    </w:p>
    <w:p w14:paraId="2A106AFF" w14:textId="41299D60" w:rsidR="00112030" w:rsidRPr="00C3440C" w:rsidRDefault="00112030" w:rsidP="00112030">
      <w:pPr>
        <w:pStyle w:val="Body"/>
        <w:rPr>
          <w:noProof/>
          <w:lang w:val="es-ES_tradnl"/>
        </w:rPr>
      </w:pPr>
      <w:r w:rsidRPr="00C3440C">
        <w:rPr>
          <w:noProof/>
          <w:lang w:val="es-ES_tradnl"/>
        </w:rPr>
        <w:t>La base jurídica de la Decisión propuesta debe ser el artículo 114 del TFUE, en relación con el artículo 218, apartado 9, del TFUE y el artículo 1, apartado 3, del Reglamento (CE) n.º</w:t>
      </w:r>
      <w:r w:rsidR="006A51E5" w:rsidRPr="00C3440C">
        <w:rPr>
          <w:noProof/>
          <w:lang w:val="es-ES_tradnl"/>
        </w:rPr>
        <w:t> </w:t>
      </w:r>
      <w:r w:rsidRPr="00C3440C">
        <w:rPr>
          <w:noProof/>
          <w:lang w:val="es-ES_tradnl"/>
        </w:rPr>
        <w:t>2894/94 del Consejo, relativo a determinadas normas de desarrollo del Acuerdo EEE.</w:t>
      </w:r>
    </w:p>
    <w:p w14:paraId="52E57EB2" w14:textId="77777777" w:rsidR="00112030" w:rsidRPr="00C3440C" w:rsidRDefault="00112030" w:rsidP="00BB7C00">
      <w:pPr>
        <w:pStyle w:val="Heading"/>
        <w:numPr>
          <w:ilvl w:val="0"/>
          <w:numId w:val="1"/>
        </w:numPr>
        <w:rPr>
          <w:noProof/>
          <w:lang w:val="es-ES_tradnl"/>
        </w:rPr>
      </w:pPr>
      <w:r w:rsidRPr="00C3440C">
        <w:rPr>
          <w:noProof/>
          <w:lang w:val="es-ES_tradnl"/>
        </w:rPr>
        <w:t>Publicación del acto previsto</w:t>
      </w:r>
    </w:p>
    <w:p w14:paraId="493A4622" w14:textId="02E55809" w:rsidR="00112030" w:rsidRPr="00C3440C" w:rsidRDefault="00112030" w:rsidP="00112030">
      <w:pPr>
        <w:pStyle w:val="Body"/>
        <w:rPr>
          <w:noProof/>
          <w:lang w:val="es-ES_tradnl"/>
        </w:rPr>
      </w:pPr>
      <w:r w:rsidRPr="00C3440C">
        <w:rPr>
          <w:noProof/>
          <w:lang w:val="es-ES_tradnl"/>
        </w:rPr>
        <w:t xml:space="preserve">Dado que el acto del Comité Mixto del EEE modificará el anexo XI (Comunicación electrónica, servicios audiovisuales y sociedad de la información) y el Protocolo 37 (que contiene la lista prevista en el artículo 101) del Acuerdo </w:t>
      </w:r>
      <w:r w:rsidR="003F0CD7" w:rsidRPr="00C3440C">
        <w:rPr>
          <w:noProof/>
          <w:lang w:val="es-ES_tradnl"/>
        </w:rPr>
        <w:t xml:space="preserve">EEE, </w:t>
      </w:r>
      <w:r w:rsidR="003F0CD7">
        <w:rPr>
          <w:noProof/>
          <w:lang w:val="es-ES_tradnl"/>
        </w:rPr>
        <w:t>procede</w:t>
      </w:r>
      <w:r w:rsidRPr="00C3440C">
        <w:rPr>
          <w:noProof/>
          <w:lang w:val="es-ES_tradnl"/>
        </w:rPr>
        <w:t xml:space="preserve"> publicarlo en el </w:t>
      </w:r>
      <w:r w:rsidRPr="00C3440C">
        <w:rPr>
          <w:i/>
          <w:iCs/>
          <w:noProof/>
          <w:lang w:val="es-ES_tradnl"/>
        </w:rPr>
        <w:t>Diario Oficial de la Unión Europea</w:t>
      </w:r>
      <w:r w:rsidRPr="00C3440C">
        <w:rPr>
          <w:noProof/>
          <w:lang w:val="es-ES_tradnl"/>
        </w:rPr>
        <w:t xml:space="preserve"> tras su adopción.</w:t>
      </w:r>
    </w:p>
    <w:p w14:paraId="5BA16D87" w14:textId="77777777" w:rsidR="00112030" w:rsidRPr="00C3440C" w:rsidRDefault="00112030" w:rsidP="00112030">
      <w:pPr>
        <w:pStyle w:val="ManualHeading1"/>
        <w:rPr>
          <w:i/>
          <w:iCs/>
          <w:noProof/>
        </w:rPr>
      </w:pPr>
    </w:p>
    <w:p w14:paraId="5AF3B274" w14:textId="77777777" w:rsidR="00112030" w:rsidRPr="00C3440C" w:rsidRDefault="00112030" w:rsidP="00112030">
      <w:pPr>
        <w:pStyle w:val="BodyText2"/>
        <w:jc w:val="both"/>
        <w:rPr>
          <w:i w:val="0"/>
          <w:iCs w:val="0"/>
          <w:noProof/>
          <w:lang w:val="es-ES_tradnl"/>
        </w:rPr>
      </w:pPr>
    </w:p>
    <w:p w14:paraId="5211E0E2" w14:textId="77777777" w:rsidR="00112030" w:rsidRPr="00C3440C" w:rsidRDefault="00112030" w:rsidP="00112030">
      <w:pPr>
        <w:pStyle w:val="Body"/>
        <w:rPr>
          <w:noProof/>
          <w:lang w:val="es-ES_tradnl"/>
        </w:rPr>
        <w:sectPr w:rsidR="00112030" w:rsidRPr="00C3440C" w:rsidSect="00401340">
          <w:footerReference w:type="default" r:id="rId14"/>
          <w:footerReference w:type="first" r:id="rId15"/>
          <w:pgSz w:w="11900" w:h="16840"/>
          <w:pgMar w:top="1134" w:right="1417" w:bottom="1134" w:left="1417" w:header="709" w:footer="709" w:gutter="0"/>
          <w:pgNumType w:start="1"/>
          <w:cols w:space="720"/>
          <w:docGrid w:linePitch="326"/>
        </w:sectPr>
      </w:pPr>
    </w:p>
    <w:p w14:paraId="372C9851" w14:textId="2A54F4BF" w:rsidR="00842667" w:rsidRDefault="00842667" w:rsidP="00842667">
      <w:pPr>
        <w:pStyle w:val="Rfrenceinterinstitutionnelle"/>
        <w:rPr>
          <w:noProof/>
        </w:rPr>
      </w:pPr>
      <w:r w:rsidRPr="00842667">
        <w:t>2022/0429 (NLE)</w:t>
      </w:r>
    </w:p>
    <w:p w14:paraId="12ED28A7" w14:textId="14F9332A" w:rsidR="00112030" w:rsidRPr="00C3440C" w:rsidRDefault="00C3440C" w:rsidP="00C3440C">
      <w:pPr>
        <w:pStyle w:val="Statut"/>
        <w:rPr>
          <w:noProof/>
        </w:rPr>
      </w:pPr>
      <w:r w:rsidRPr="00C3440C">
        <w:rPr>
          <w:noProof/>
        </w:rPr>
        <w:t>Propuesta de</w:t>
      </w:r>
    </w:p>
    <w:p w14:paraId="2F3D4D62" w14:textId="3FB6B630" w:rsidR="00112030" w:rsidRPr="00C3440C" w:rsidRDefault="00C3440C" w:rsidP="00C3440C">
      <w:pPr>
        <w:pStyle w:val="Typedudocument"/>
        <w:rPr>
          <w:noProof/>
        </w:rPr>
      </w:pPr>
      <w:r w:rsidRPr="00C3440C">
        <w:rPr>
          <w:noProof/>
        </w:rPr>
        <w:t>DECISIÓN DEL CONSEJO</w:t>
      </w:r>
    </w:p>
    <w:p w14:paraId="5DCE83B6" w14:textId="7E075688" w:rsidR="00112030" w:rsidRPr="00C3440C" w:rsidRDefault="00C3440C" w:rsidP="00C3440C">
      <w:pPr>
        <w:pStyle w:val="Titreobjet"/>
        <w:rPr>
          <w:noProof/>
        </w:rPr>
      </w:pPr>
      <w:r w:rsidRPr="00C3440C">
        <w:rPr>
          <w:noProof/>
        </w:rPr>
        <w:t xml:space="preserve">relativa a la posición que debe adoptarse, en nombre de la Unión Europea, en el Comité Mixto del EEE en lo que respecta a la modificación del anexo XI (Comunicación electrónica, servicios audiovisuales y sociedad de la información) y del Protocolo 37 (que contiene la lista prevista en el artículo 101) del Acuerdo EEE </w:t>
      </w:r>
      <w:r w:rsidRPr="00C3440C">
        <w:rPr>
          <w:noProof/>
        </w:rPr>
        <w:br/>
        <w:t xml:space="preserve"> </w:t>
      </w:r>
      <w:r w:rsidRPr="00C3440C">
        <w:rPr>
          <w:noProof/>
        </w:rPr>
        <w:br/>
        <w:t xml:space="preserve">(Reglamento sobre la Ciberseguridad) </w:t>
      </w:r>
      <w:r w:rsidRPr="00C3440C">
        <w:rPr>
          <w:noProof/>
        </w:rPr>
        <w:br/>
        <w:t xml:space="preserve"> </w:t>
      </w:r>
      <w:r w:rsidRPr="00C3440C">
        <w:rPr>
          <w:noProof/>
        </w:rPr>
        <w:br/>
      </w:r>
    </w:p>
    <w:p w14:paraId="569FD886" w14:textId="449AE344" w:rsidR="00112030" w:rsidRPr="00C3440C" w:rsidRDefault="00C3440C" w:rsidP="00C3440C">
      <w:pPr>
        <w:pStyle w:val="IntrtEEE"/>
        <w:rPr>
          <w:noProof/>
        </w:rPr>
      </w:pPr>
      <w:r w:rsidRPr="00C3440C">
        <w:rPr>
          <w:noProof/>
        </w:rPr>
        <w:t>(Texto pertinente a efectos del EEE)</w:t>
      </w:r>
    </w:p>
    <w:p w14:paraId="4D426CBD" w14:textId="77777777" w:rsidR="00112030" w:rsidRPr="00C3440C" w:rsidRDefault="00112030" w:rsidP="00112030">
      <w:pPr>
        <w:pStyle w:val="Institutionquiagit"/>
        <w:rPr>
          <w:noProof/>
        </w:rPr>
      </w:pPr>
      <w:r w:rsidRPr="00C3440C">
        <w:rPr>
          <w:noProof/>
        </w:rPr>
        <w:t>EL CONSEJO DE LA UNIÓN EUROPEA,</w:t>
      </w:r>
    </w:p>
    <w:p w14:paraId="08526342" w14:textId="77777777" w:rsidR="00112030" w:rsidRPr="00C3440C" w:rsidRDefault="00112030" w:rsidP="00112030">
      <w:pPr>
        <w:rPr>
          <w:noProof/>
        </w:rPr>
      </w:pPr>
      <w:r w:rsidRPr="00C3440C">
        <w:rPr>
          <w:noProof/>
        </w:rPr>
        <w:t>Visto el Tratado de Funcionamiento de la Unión Europea, y en particular su artículo 114, leído en relación con su artículo 218, apartado 9,</w:t>
      </w:r>
    </w:p>
    <w:p w14:paraId="5BB69139" w14:textId="77777777" w:rsidR="00112030" w:rsidRPr="00C3440C" w:rsidRDefault="00112030" w:rsidP="00112030">
      <w:pPr>
        <w:rPr>
          <w:noProof/>
        </w:rPr>
      </w:pPr>
      <w:r w:rsidRPr="00C3440C">
        <w:rPr>
          <w:noProof/>
        </w:rPr>
        <w:t>Visto el Reglamento (CE) n.º 2894/94 del Consejo, de 28 de noviembre de 1994, relativo a determinadas normas de desarrollo del Acuerdo sobre el Espacio Económico Europeo</w:t>
      </w:r>
      <w:r w:rsidRPr="00C3440C">
        <w:rPr>
          <w:rStyle w:val="FootnoteReference"/>
          <w:noProof/>
        </w:rPr>
        <w:footnoteReference w:id="3"/>
      </w:r>
      <w:r w:rsidRPr="00C3440C">
        <w:rPr>
          <w:noProof/>
        </w:rPr>
        <w:t>, y en particular su artículo 1, apartado 3,</w:t>
      </w:r>
    </w:p>
    <w:p w14:paraId="05EE2508" w14:textId="77777777" w:rsidR="00112030" w:rsidRPr="00C3440C" w:rsidRDefault="00112030" w:rsidP="00112030">
      <w:pPr>
        <w:rPr>
          <w:noProof/>
        </w:rPr>
      </w:pPr>
      <w:r w:rsidRPr="00C3440C">
        <w:rPr>
          <w:noProof/>
        </w:rPr>
        <w:t>Vista la propuesta de la Comisión Europea,</w:t>
      </w:r>
    </w:p>
    <w:p w14:paraId="1C0F57E9" w14:textId="77777777" w:rsidR="00112030" w:rsidRPr="00C3440C" w:rsidRDefault="00112030" w:rsidP="00112030">
      <w:pPr>
        <w:rPr>
          <w:noProof/>
        </w:rPr>
      </w:pPr>
      <w:r w:rsidRPr="00C3440C">
        <w:rPr>
          <w:noProof/>
        </w:rPr>
        <w:t>Considerando que:</w:t>
      </w:r>
    </w:p>
    <w:p w14:paraId="13AC3B5F" w14:textId="2FB8E8D1" w:rsidR="00112030" w:rsidRPr="00C3440C" w:rsidRDefault="000E5AD0" w:rsidP="000E5AD0">
      <w:pPr>
        <w:pStyle w:val="ManualConsidrant"/>
        <w:rPr>
          <w:noProof/>
        </w:rPr>
      </w:pPr>
      <w:r w:rsidRPr="000E5AD0">
        <w:t>(1)</w:t>
      </w:r>
      <w:r w:rsidRPr="000E5AD0">
        <w:tab/>
      </w:r>
      <w:r w:rsidR="00112030" w:rsidRPr="00C3440C">
        <w:rPr>
          <w:noProof/>
        </w:rPr>
        <w:t>El Acuerdo sobre el Espacio Económico Europeo</w:t>
      </w:r>
      <w:r w:rsidR="00112030" w:rsidRPr="00C3440C">
        <w:rPr>
          <w:rStyle w:val="FootnoteReference"/>
          <w:rFonts w:eastAsia="Times New Roman"/>
          <w:noProof/>
        </w:rPr>
        <w:footnoteReference w:id="4"/>
      </w:r>
      <w:r w:rsidR="00112030" w:rsidRPr="00C3440C">
        <w:rPr>
          <w:noProof/>
        </w:rPr>
        <w:t xml:space="preserve"> («el Acuerdo EEE») entró en vigor el 1 de enero de 1994.</w:t>
      </w:r>
    </w:p>
    <w:p w14:paraId="516E680E" w14:textId="1A7FB113" w:rsidR="00112030" w:rsidRPr="00C3440C" w:rsidRDefault="000E5AD0" w:rsidP="000E5AD0">
      <w:pPr>
        <w:pStyle w:val="ManualConsidrant"/>
        <w:rPr>
          <w:noProof/>
        </w:rPr>
      </w:pPr>
      <w:r w:rsidRPr="000E5AD0">
        <w:t>(2)</w:t>
      </w:r>
      <w:r w:rsidRPr="000E5AD0">
        <w:tab/>
      </w:r>
      <w:r w:rsidR="00112030" w:rsidRPr="00C3440C">
        <w:rPr>
          <w:noProof/>
        </w:rPr>
        <w:t>En virtud del artículo 98 del Acuerdo EEE, el Comité Mixto del EEE puede decidir modificar, entre otros, el anexo XI (</w:t>
      </w:r>
      <w:r w:rsidR="006A51E5" w:rsidRPr="00C3440C">
        <w:rPr>
          <w:noProof/>
        </w:rPr>
        <w:t>C</w:t>
      </w:r>
      <w:r w:rsidR="00112030" w:rsidRPr="00C3440C">
        <w:rPr>
          <w:noProof/>
        </w:rPr>
        <w:t>omunicación electrónica, servicios audiovisuales y sociedad de la información) y el Protocolo 37 (que contiene la lista prevista en el artículo 101) del Acuerdo EEE.</w:t>
      </w:r>
    </w:p>
    <w:p w14:paraId="139AB1F0" w14:textId="2D2C6086" w:rsidR="00112030" w:rsidRPr="00C3440C" w:rsidRDefault="000E5AD0" w:rsidP="000E5AD0">
      <w:pPr>
        <w:pStyle w:val="ManualConsidrant"/>
        <w:rPr>
          <w:noProof/>
        </w:rPr>
      </w:pPr>
      <w:r w:rsidRPr="000E5AD0">
        <w:t>(3)</w:t>
      </w:r>
      <w:r w:rsidRPr="000E5AD0">
        <w:tab/>
      </w:r>
      <w:r w:rsidR="0029463A" w:rsidRPr="00C3440C">
        <w:rPr>
          <w:noProof/>
        </w:rPr>
        <w:t>El Reglamento (UE) 2019/881 del Parlamento Europeo y del Consejo</w:t>
      </w:r>
      <w:r w:rsidR="0029463A" w:rsidRPr="00C3440C">
        <w:rPr>
          <w:rStyle w:val="FootnoteReference"/>
          <w:noProof/>
          <w:szCs w:val="24"/>
        </w:rPr>
        <w:footnoteReference w:id="5"/>
      </w:r>
      <w:r w:rsidR="0029463A" w:rsidRPr="00C3440C">
        <w:rPr>
          <w:noProof/>
        </w:rPr>
        <w:t xml:space="preserve"> debe incorporarse al Acuerdo EEE.</w:t>
      </w:r>
    </w:p>
    <w:p w14:paraId="30A8F74A" w14:textId="29B8AF5E" w:rsidR="00112030" w:rsidRPr="00C3440C" w:rsidRDefault="000E5AD0" w:rsidP="000E5AD0">
      <w:pPr>
        <w:pStyle w:val="ManualConsidrant"/>
        <w:rPr>
          <w:noProof/>
        </w:rPr>
      </w:pPr>
      <w:r w:rsidRPr="000E5AD0">
        <w:t>(4)</w:t>
      </w:r>
      <w:r w:rsidRPr="000E5AD0">
        <w:tab/>
      </w:r>
      <w:r w:rsidR="002E18C0" w:rsidRPr="00C3440C">
        <w:rPr>
          <w:noProof/>
        </w:rPr>
        <w:t>Por lo tanto, procede modificar el anexo XI y el Protocolo 37 del Acuerdo EEE en consecuencia.</w:t>
      </w:r>
    </w:p>
    <w:p w14:paraId="5D23A713" w14:textId="1BEE8D8A" w:rsidR="00112030" w:rsidRPr="00C3440C" w:rsidRDefault="000E5AD0" w:rsidP="000E5AD0">
      <w:pPr>
        <w:pStyle w:val="ManualConsidrant"/>
        <w:rPr>
          <w:noProof/>
        </w:rPr>
      </w:pPr>
      <w:r w:rsidRPr="000E5AD0">
        <w:t>(5)</w:t>
      </w:r>
      <w:r w:rsidRPr="000E5AD0">
        <w:tab/>
      </w:r>
      <w:r w:rsidR="00112030" w:rsidRPr="00C3440C">
        <w:rPr>
          <w:noProof/>
        </w:rPr>
        <w:t>Por consiguiente, la posición de la Unión en el Comité Mixto del EEE debe basarse en la propuesta de Decisión adjunta.</w:t>
      </w:r>
    </w:p>
    <w:p w14:paraId="3BCD71E6" w14:textId="77777777" w:rsidR="00112030" w:rsidRPr="00C3440C" w:rsidRDefault="00112030" w:rsidP="00112030">
      <w:pPr>
        <w:pStyle w:val="Formuledadoption"/>
        <w:rPr>
          <w:noProof/>
        </w:rPr>
      </w:pPr>
      <w:r w:rsidRPr="00C3440C">
        <w:rPr>
          <w:noProof/>
        </w:rPr>
        <w:t xml:space="preserve">HA ADOPTADO LA PRESENTE DECISIÓN: </w:t>
      </w:r>
    </w:p>
    <w:p w14:paraId="539750E8" w14:textId="77777777" w:rsidR="00112030" w:rsidRPr="00C3440C" w:rsidRDefault="00112030" w:rsidP="00112030">
      <w:pPr>
        <w:pStyle w:val="Titrearticle"/>
        <w:rPr>
          <w:noProof/>
        </w:rPr>
      </w:pPr>
      <w:r w:rsidRPr="00C3440C">
        <w:rPr>
          <w:noProof/>
        </w:rPr>
        <w:t>Artículo 1</w:t>
      </w:r>
    </w:p>
    <w:p w14:paraId="6F07B1A4" w14:textId="78A86F94" w:rsidR="00112030" w:rsidRPr="00C3440C" w:rsidRDefault="00112030" w:rsidP="00112030">
      <w:pPr>
        <w:pStyle w:val="Body"/>
        <w:rPr>
          <w:noProof/>
          <w:lang w:val="es-ES_tradnl"/>
        </w:rPr>
      </w:pPr>
      <w:r w:rsidRPr="00C3440C">
        <w:rPr>
          <w:noProof/>
          <w:lang w:val="es-ES_tradnl"/>
        </w:rPr>
        <w:t>La posición que debe adoptarse, en nombre de la Unión, en el Comité Mixto del EEE en lo que respecta a la propuesta de modificación del anexo XI (</w:t>
      </w:r>
      <w:r w:rsidR="006A51E5" w:rsidRPr="00C3440C">
        <w:rPr>
          <w:noProof/>
          <w:lang w:val="es-ES_tradnl"/>
        </w:rPr>
        <w:t>C</w:t>
      </w:r>
      <w:r w:rsidRPr="00C3440C">
        <w:rPr>
          <w:noProof/>
          <w:lang w:val="es-ES_tradnl"/>
        </w:rPr>
        <w:t xml:space="preserve">omunicación electrónica, servicios audiovisuales y sociedad de la información) y del Protocolo 37, que contiene la lista correspondiente al artículo 101, del Acuerdo EEE se basará en el proyecto de </w:t>
      </w:r>
      <w:r w:rsidR="006A51E5" w:rsidRPr="00C3440C">
        <w:rPr>
          <w:noProof/>
          <w:lang w:val="es-ES_tradnl"/>
        </w:rPr>
        <w:t>D</w:t>
      </w:r>
      <w:r w:rsidRPr="00C3440C">
        <w:rPr>
          <w:noProof/>
          <w:lang w:val="es-ES_tradnl"/>
        </w:rPr>
        <w:t>ecisión del Comité Mixto del EEE adjunto a la presente Decisión.</w:t>
      </w:r>
    </w:p>
    <w:p w14:paraId="1536C6DC" w14:textId="77777777" w:rsidR="00112030" w:rsidRPr="00C3440C" w:rsidRDefault="00112030" w:rsidP="00917FE0">
      <w:pPr>
        <w:pStyle w:val="Titrearticle"/>
        <w:rPr>
          <w:noProof/>
        </w:rPr>
      </w:pPr>
      <w:r w:rsidRPr="00C3440C">
        <w:rPr>
          <w:noProof/>
        </w:rPr>
        <w:t>Artículo 2</w:t>
      </w:r>
    </w:p>
    <w:p w14:paraId="71779726" w14:textId="77777777" w:rsidR="00112030" w:rsidRPr="00C3440C" w:rsidRDefault="00112030" w:rsidP="00112030">
      <w:pPr>
        <w:pStyle w:val="Body"/>
        <w:keepLines/>
        <w:rPr>
          <w:noProof/>
          <w:lang w:val="es-ES_tradnl"/>
        </w:rPr>
      </w:pPr>
      <w:r w:rsidRPr="00C3440C">
        <w:rPr>
          <w:noProof/>
          <w:lang w:val="es-ES_tradnl"/>
        </w:rPr>
        <w:t>La presente Decisión entrará en vigor el día de su adopción.</w:t>
      </w:r>
    </w:p>
    <w:p w14:paraId="13EE739C" w14:textId="60557497" w:rsidR="00112030" w:rsidRPr="00C3440C" w:rsidRDefault="004D7A08" w:rsidP="00917FE0">
      <w:pPr>
        <w:pStyle w:val="Fait"/>
        <w:rPr>
          <w:noProof/>
        </w:rPr>
      </w:pPr>
      <w:r w:rsidRPr="004D7A08">
        <w:t>Hecho en Bruselas, el</w:t>
      </w:r>
    </w:p>
    <w:p w14:paraId="3DD5E33E" w14:textId="77777777" w:rsidR="00112030" w:rsidRPr="00C3440C" w:rsidRDefault="00112030" w:rsidP="00917FE0">
      <w:pPr>
        <w:pStyle w:val="Institutionquisigne"/>
        <w:rPr>
          <w:noProof/>
        </w:rPr>
      </w:pPr>
      <w:r w:rsidRPr="00C3440C">
        <w:rPr>
          <w:noProof/>
        </w:rPr>
        <w:tab/>
        <w:t>Por el Consejo</w:t>
      </w:r>
    </w:p>
    <w:p w14:paraId="517B8482" w14:textId="77777777" w:rsidR="00112030" w:rsidRPr="00C3440C" w:rsidRDefault="00112030" w:rsidP="00112030">
      <w:pPr>
        <w:pStyle w:val="Personnequisigne"/>
        <w:rPr>
          <w:noProof/>
        </w:rPr>
      </w:pPr>
      <w:r w:rsidRPr="00C3440C">
        <w:rPr>
          <w:noProof/>
        </w:rPr>
        <w:tab/>
        <w:t>El Presidente</w:t>
      </w:r>
    </w:p>
    <w:sectPr w:rsidR="00112030" w:rsidRPr="00C3440C" w:rsidSect="00401340">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08D5A" w14:textId="77777777" w:rsidR="00112030" w:rsidRDefault="00112030" w:rsidP="00112030">
      <w:pPr>
        <w:spacing w:before="0" w:after="0"/>
      </w:pPr>
      <w:r>
        <w:separator/>
      </w:r>
    </w:p>
  </w:endnote>
  <w:endnote w:type="continuationSeparator" w:id="0">
    <w:p w14:paraId="34BC8C97" w14:textId="77777777" w:rsidR="00112030" w:rsidRDefault="00112030" w:rsidP="0011203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35E1A" w14:textId="77777777" w:rsidR="00401340" w:rsidRPr="00401340" w:rsidRDefault="00401340" w:rsidP="004013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806BD" w14:textId="71199565" w:rsidR="00C3440C" w:rsidRPr="00401340" w:rsidRDefault="00401340" w:rsidP="00401340">
    <w:pPr>
      <w:pStyle w:val="Footer"/>
      <w:rPr>
        <w:rFonts w:ascii="Arial" w:hAnsi="Arial" w:cs="Arial"/>
        <w:b/>
        <w:sz w:val="48"/>
      </w:rPr>
    </w:pPr>
    <w:r w:rsidRPr="00401340">
      <w:rPr>
        <w:rFonts w:ascii="Arial" w:hAnsi="Arial" w:cs="Arial"/>
        <w:b/>
        <w:sz w:val="48"/>
      </w:rPr>
      <w:t>ES</w:t>
    </w:r>
    <w:r w:rsidRPr="00401340">
      <w:rPr>
        <w:rFonts w:ascii="Arial" w:hAnsi="Arial" w:cs="Arial"/>
        <w:b/>
        <w:sz w:val="48"/>
      </w:rPr>
      <w:tab/>
    </w:r>
    <w:r w:rsidRPr="00401340">
      <w:rPr>
        <w:rFonts w:ascii="Arial" w:hAnsi="Arial" w:cs="Arial"/>
        <w:b/>
        <w:sz w:val="48"/>
      </w:rPr>
      <w:tab/>
    </w:r>
    <w:r w:rsidRPr="00401340">
      <w:tab/>
    </w:r>
    <w:r w:rsidRPr="00401340">
      <w:rPr>
        <w:rFonts w:ascii="Arial" w:hAnsi="Arial" w:cs="Arial"/>
        <w:b/>
        <w:sz w:val="48"/>
      </w:rPr>
      <w:t>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3895E" w14:textId="77777777" w:rsidR="00401340" w:rsidRPr="00401340" w:rsidRDefault="00401340" w:rsidP="0040134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919AF" w14:textId="70672C95" w:rsidR="00401340" w:rsidRPr="00401340" w:rsidRDefault="00401340" w:rsidP="00401340">
    <w:pPr>
      <w:pStyle w:val="Footer"/>
      <w:rPr>
        <w:rFonts w:ascii="Arial" w:hAnsi="Arial" w:cs="Arial"/>
        <w:b/>
        <w:sz w:val="48"/>
      </w:rPr>
    </w:pPr>
    <w:r w:rsidRPr="00401340">
      <w:rPr>
        <w:rFonts w:ascii="Arial" w:hAnsi="Arial" w:cs="Arial"/>
        <w:b/>
        <w:sz w:val="48"/>
      </w:rPr>
      <w:t>ES</w:t>
    </w:r>
    <w:r w:rsidRPr="00401340">
      <w:rPr>
        <w:rFonts w:ascii="Arial" w:hAnsi="Arial" w:cs="Arial"/>
        <w:b/>
        <w:sz w:val="48"/>
      </w:rPr>
      <w:tab/>
    </w:r>
    <w:r>
      <w:fldChar w:fldCharType="begin"/>
    </w:r>
    <w:r>
      <w:instrText xml:space="preserve"> PAGE  \* MERGEFORMAT </w:instrText>
    </w:r>
    <w:r>
      <w:fldChar w:fldCharType="separate"/>
    </w:r>
    <w:r w:rsidR="00917FE0">
      <w:rPr>
        <w:noProof/>
      </w:rPr>
      <w:t>5</w:t>
    </w:r>
    <w:r>
      <w:fldChar w:fldCharType="end"/>
    </w:r>
    <w:r>
      <w:tab/>
    </w:r>
    <w:r w:rsidRPr="00401340">
      <w:tab/>
    </w:r>
    <w:r w:rsidRPr="00401340">
      <w:rPr>
        <w:rFonts w:ascii="Arial" w:hAnsi="Arial" w:cs="Arial"/>
        <w:b/>
        <w:sz w:val="48"/>
      </w:rPr>
      <w:t>ES</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B743C" w14:textId="77777777" w:rsidR="00401340" w:rsidRPr="00401340" w:rsidRDefault="00401340" w:rsidP="004013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25126" w14:textId="77777777" w:rsidR="00112030" w:rsidRDefault="00112030" w:rsidP="00112030">
      <w:pPr>
        <w:spacing w:before="0" w:after="0"/>
      </w:pPr>
      <w:r>
        <w:separator/>
      </w:r>
    </w:p>
  </w:footnote>
  <w:footnote w:type="continuationSeparator" w:id="0">
    <w:p w14:paraId="6655432B" w14:textId="77777777" w:rsidR="00112030" w:rsidRDefault="00112030" w:rsidP="00112030">
      <w:pPr>
        <w:spacing w:before="0" w:after="0"/>
      </w:pPr>
      <w:r>
        <w:continuationSeparator/>
      </w:r>
    </w:p>
  </w:footnote>
  <w:footnote w:id="1">
    <w:p w14:paraId="51805097" w14:textId="67229C14" w:rsidR="0029463A" w:rsidRPr="00364DCE" w:rsidRDefault="0029463A" w:rsidP="0029463A">
      <w:pPr>
        <w:pStyle w:val="FootnoteText"/>
        <w:rPr>
          <w:lang w:val="es-ES"/>
        </w:rPr>
      </w:pPr>
      <w:r>
        <w:rPr>
          <w:rStyle w:val="FootnoteReference"/>
        </w:rPr>
        <w:footnoteRef/>
      </w:r>
      <w:r w:rsidRPr="00364DCE">
        <w:rPr>
          <w:lang w:val="es-ES"/>
        </w:rPr>
        <w:tab/>
      </w:r>
      <w:bookmarkStart w:id="4" w:name="_Hlk66716382"/>
      <w:r w:rsidRPr="00364DCE">
        <w:rPr>
          <w:lang w:val="es-ES"/>
        </w:rPr>
        <w:t>DO L 151 de 7.6.2019, p. 15.</w:t>
      </w:r>
      <w:bookmarkEnd w:id="4"/>
    </w:p>
  </w:footnote>
  <w:footnote w:id="2">
    <w:p w14:paraId="42A08F7D" w14:textId="77777777" w:rsidR="00112030" w:rsidRPr="00364DCE" w:rsidRDefault="00112030" w:rsidP="00112030">
      <w:pPr>
        <w:pStyle w:val="FootnoteText"/>
        <w:rPr>
          <w:lang w:val="es-ES"/>
        </w:rPr>
      </w:pPr>
      <w:r>
        <w:rPr>
          <w:rStyle w:val="FootnoteReference"/>
        </w:rPr>
        <w:footnoteRef/>
      </w:r>
      <w:r w:rsidRPr="00364DCE">
        <w:rPr>
          <w:lang w:val="es-ES"/>
        </w:rPr>
        <w:tab/>
        <w:t xml:space="preserve">Sentencia del Tribunal de Justicia de 7 de octubre de 2014, C-399/12, Alemania/Consejo, ECLI:EU:C:2014:2258, apartados 61-64. </w:t>
      </w:r>
    </w:p>
  </w:footnote>
  <w:footnote w:id="3">
    <w:p w14:paraId="24AD9810" w14:textId="77777777" w:rsidR="00112030" w:rsidRPr="00364DCE" w:rsidRDefault="00112030" w:rsidP="00112030">
      <w:pPr>
        <w:pStyle w:val="FootnoteText"/>
        <w:rPr>
          <w:lang w:val="es-ES"/>
        </w:rPr>
      </w:pPr>
      <w:r>
        <w:rPr>
          <w:rStyle w:val="FootnoteReference"/>
        </w:rPr>
        <w:footnoteRef/>
      </w:r>
      <w:r w:rsidRPr="00364DCE">
        <w:rPr>
          <w:lang w:val="es-ES"/>
        </w:rPr>
        <w:tab/>
        <w:t>DO L 305 de 30.11.1994, p. 6.</w:t>
      </w:r>
    </w:p>
  </w:footnote>
  <w:footnote w:id="4">
    <w:p w14:paraId="32AF55A3" w14:textId="77777777" w:rsidR="00112030" w:rsidRPr="00364DCE" w:rsidRDefault="00112030" w:rsidP="00112030">
      <w:pPr>
        <w:pStyle w:val="FootnoteText"/>
        <w:rPr>
          <w:lang w:val="es-ES"/>
        </w:rPr>
      </w:pPr>
      <w:r>
        <w:rPr>
          <w:rStyle w:val="FootnoteReference"/>
        </w:rPr>
        <w:footnoteRef/>
      </w:r>
      <w:r w:rsidRPr="00364DCE">
        <w:rPr>
          <w:lang w:val="es-ES"/>
        </w:rPr>
        <w:tab/>
        <w:t>DO L 1 de 3.1.1994, p. 3.</w:t>
      </w:r>
    </w:p>
  </w:footnote>
  <w:footnote w:id="5">
    <w:p w14:paraId="0B750E0F" w14:textId="6A38BA40" w:rsidR="0029463A" w:rsidRPr="00364DCE" w:rsidRDefault="0029463A" w:rsidP="0029463A">
      <w:pPr>
        <w:pStyle w:val="FootnoteText"/>
        <w:rPr>
          <w:lang w:val="es-ES"/>
        </w:rPr>
      </w:pPr>
      <w:r>
        <w:rPr>
          <w:rStyle w:val="FootnoteReference"/>
        </w:rPr>
        <w:footnoteRef/>
      </w:r>
      <w:r w:rsidRPr="00364DCE">
        <w:rPr>
          <w:lang w:val="es-ES"/>
        </w:rPr>
        <w:tab/>
        <w:t>Reglamento (UE) 2019/881 del Parlamento Europeo y del Consejo, de 17 de abril de 2019, relativo a ENISA (Agencia de la Unión Europea para la Ciberseguridad) y a la certificación de la ciberseguridad de las tecnologías de la información y la comunicación y por el que se deroga el Reglamento (UE) n.º 526/2013 («Reglamento sobre la Ciberseguridad») (DO L 151 de 7.6.2019, p. 15).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89667" w14:textId="77777777" w:rsidR="00401340" w:rsidRPr="00401340" w:rsidRDefault="00401340" w:rsidP="004013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B4D62" w14:textId="77777777" w:rsidR="00401340" w:rsidRPr="00401340" w:rsidRDefault="00401340" w:rsidP="004013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FD62B" w14:textId="77777777" w:rsidR="00401340" w:rsidRPr="00401340" w:rsidRDefault="00401340" w:rsidP="004013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BD48F544"/>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F0BC1CCA"/>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2B6C3D8C"/>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C8528C7C"/>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FCF8663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49277DC"/>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96C22A8A"/>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EB2A37CE"/>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9"/>
  </w:num>
  <w:num w:numId="12">
    <w:abstractNumId w:val="12"/>
  </w:num>
  <w:num w:numId="13">
    <w:abstractNumId w:val="21"/>
  </w:num>
  <w:num w:numId="14">
    <w:abstractNumId w:val="11"/>
  </w:num>
  <w:num w:numId="15">
    <w:abstractNumId w:val="13"/>
  </w:num>
  <w:num w:numId="16">
    <w:abstractNumId w:val="14"/>
  </w:num>
  <w:num w:numId="17">
    <w:abstractNumId w:val="9"/>
  </w:num>
  <w:num w:numId="18">
    <w:abstractNumId w:val="20"/>
  </w:num>
  <w:num w:numId="19">
    <w:abstractNumId w:val="8"/>
  </w:num>
  <w:num w:numId="20">
    <w:abstractNumId w:val="15"/>
  </w:num>
  <w:num w:numId="21">
    <w:abstractNumId w:val="17"/>
  </w:num>
  <w:num w:numId="22">
    <w:abstractNumId w:val="18"/>
  </w:num>
  <w:num w:numId="23">
    <w:abstractNumId w:val="10"/>
  </w:num>
  <w:num w:numId="24">
    <w:abstractNumId w:val="16"/>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it-IT"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s-ES_tradnl" w:vendorID="64" w:dllVersion="131078" w:nlCheck="1" w:checkStyle="0"/>
  <w:activeWritingStyle w:appName="MSWord" w:lang="es-ES" w:vendorID="64" w:dllVersion="131078" w:nlCheck="1" w:checkStyle="0"/>
  <w:attachedTemplate r:id="rId1"/>
  <w:revisionView w:markup="0"/>
  <w:defaultTabStop w:val="720"/>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3-01-05 17:20:53"/>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FCC6C75E-4E05-47CC-821C-0FB4CA7242EB"/>
    <w:docVar w:name="LW_COVERPAGE_TYPE" w:val="1"/>
    <w:docVar w:name="LW_CROSSREFERENCE" w:val="&lt;UNUSED&gt;"/>
    <w:docVar w:name="LW_DocType" w:val="COM"/>
    <w:docVar w:name="LW_EMISSION" w:val="15.12.2022"/>
    <w:docVar w:name="LW_EMISSION_ISODATE" w:val="2022-12-15"/>
    <w:docVar w:name="LW_EMISSION_LOCATION" w:val="BRX"/>
    <w:docVar w:name="LW_EMISSION_PREFIX" w:val="Brusela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Texto pertinente a efectos del EEE)"/>
    <w:docVar w:name="LW_LANGUE" w:val="ES"/>
    <w:docVar w:name="LW_LEVEL_OF_SENSITIVITY" w:val="Standard treatment"/>
    <w:docVar w:name="LW_NOM.INST" w:val="COMISIÓN EUROPEA"/>
    <w:docVar w:name="LW_NOM.INST_JOINTDOC" w:val="&lt;EMPTY&gt;"/>
    <w:docVar w:name="LW_PART_NBR" w:val="1"/>
    <w:docVar w:name="LW_PART_NBR_TOTAL" w:val="1"/>
    <w:docVar w:name="LW_REF.II.NEW.CP" w:val="NLE"/>
    <w:docVar w:name="LW_REF.II.NEW.CP_NUMBER" w:val="0429"/>
    <w:docVar w:name="LW_REF.II.NEW.CP_YEAR" w:val="2022"/>
    <w:docVar w:name="LW_REF.INST.NEW" w:val="COM"/>
    <w:docVar w:name="LW_REF.INST.NEW_ADOPTED" w:val="final"/>
    <w:docVar w:name="LW_REF.INST.NEW_TEXT" w:val="(2022) 7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uesta de"/>
    <w:docVar w:name="LW_SUPERTITRE" w:val="&lt;UNUSED&gt;"/>
    <w:docVar w:name="LW_TITRE.OBJ.CP" w:val="relativa a la posición que debe adoptarse, en nombre de la Unión Europea, en el Comité Mixto del EEE en lo que respecta a la modificación del anexo XI (Comunicación electrónica, servicios audiovisuales y sociedad de la información) y del Protocolo 37 (que contiene la lista prevista en el artículo 101) del Acuerdo EEE _x000b_ _x000b_(Reglamento sobre la Ciberseguridad) _x000b_ _x000b_"/>
    <w:docVar w:name="LW_TYPE.DOC.CP" w:val="DECISIÓN DEL CONSEJO"/>
    <w:docVar w:name="LwApiVersions" w:val="LW4CoDe 1.23.2.0; LW 8.0, Build 20211117"/>
  </w:docVars>
  <w:rsids>
    <w:rsidRoot w:val="00112030"/>
    <w:rsid w:val="00013712"/>
    <w:rsid w:val="00020460"/>
    <w:rsid w:val="00023284"/>
    <w:rsid w:val="00090B2C"/>
    <w:rsid w:val="00095382"/>
    <w:rsid w:val="000B57C3"/>
    <w:rsid w:val="000B7A7D"/>
    <w:rsid w:val="000C5848"/>
    <w:rsid w:val="000E5AD0"/>
    <w:rsid w:val="00112030"/>
    <w:rsid w:val="0011264E"/>
    <w:rsid w:val="00152894"/>
    <w:rsid w:val="00160597"/>
    <w:rsid w:val="00171428"/>
    <w:rsid w:val="001914D8"/>
    <w:rsid w:val="001E28CC"/>
    <w:rsid w:val="001F6598"/>
    <w:rsid w:val="0029463A"/>
    <w:rsid w:val="002A3F52"/>
    <w:rsid w:val="002B488B"/>
    <w:rsid w:val="002D4825"/>
    <w:rsid w:val="002E18C0"/>
    <w:rsid w:val="00346511"/>
    <w:rsid w:val="00364DCE"/>
    <w:rsid w:val="00367C4B"/>
    <w:rsid w:val="00396ACD"/>
    <w:rsid w:val="003C1FA8"/>
    <w:rsid w:val="003F0CD7"/>
    <w:rsid w:val="00401340"/>
    <w:rsid w:val="00437AA5"/>
    <w:rsid w:val="00441395"/>
    <w:rsid w:val="00492396"/>
    <w:rsid w:val="004B131E"/>
    <w:rsid w:val="004D7A08"/>
    <w:rsid w:val="004E19F9"/>
    <w:rsid w:val="00513350"/>
    <w:rsid w:val="00517205"/>
    <w:rsid w:val="00542487"/>
    <w:rsid w:val="00566766"/>
    <w:rsid w:val="0056699B"/>
    <w:rsid w:val="00582810"/>
    <w:rsid w:val="00595540"/>
    <w:rsid w:val="005B5FA6"/>
    <w:rsid w:val="006654AB"/>
    <w:rsid w:val="006A1E94"/>
    <w:rsid w:val="006A51E5"/>
    <w:rsid w:val="006B6BF8"/>
    <w:rsid w:val="006F01B4"/>
    <w:rsid w:val="006F7EFE"/>
    <w:rsid w:val="0070711A"/>
    <w:rsid w:val="0079095A"/>
    <w:rsid w:val="007D0861"/>
    <w:rsid w:val="007E010B"/>
    <w:rsid w:val="007E3AE4"/>
    <w:rsid w:val="007F4297"/>
    <w:rsid w:val="00802FC2"/>
    <w:rsid w:val="00827669"/>
    <w:rsid w:val="00842667"/>
    <w:rsid w:val="008E2694"/>
    <w:rsid w:val="00906DC3"/>
    <w:rsid w:val="00917FE0"/>
    <w:rsid w:val="00940731"/>
    <w:rsid w:val="009957C5"/>
    <w:rsid w:val="009A7DCC"/>
    <w:rsid w:val="00A32D68"/>
    <w:rsid w:val="00A565C7"/>
    <w:rsid w:val="00AA2A6A"/>
    <w:rsid w:val="00B03265"/>
    <w:rsid w:val="00B24622"/>
    <w:rsid w:val="00B5205D"/>
    <w:rsid w:val="00B7794E"/>
    <w:rsid w:val="00BB7C00"/>
    <w:rsid w:val="00BF1D0D"/>
    <w:rsid w:val="00C23CF4"/>
    <w:rsid w:val="00C339DB"/>
    <w:rsid w:val="00C3440C"/>
    <w:rsid w:val="00C3731F"/>
    <w:rsid w:val="00C51F04"/>
    <w:rsid w:val="00C84053"/>
    <w:rsid w:val="00C925B0"/>
    <w:rsid w:val="00CB680B"/>
    <w:rsid w:val="00CD4932"/>
    <w:rsid w:val="00CD7037"/>
    <w:rsid w:val="00D80499"/>
    <w:rsid w:val="00D83F23"/>
    <w:rsid w:val="00DA4F00"/>
    <w:rsid w:val="00DB4B20"/>
    <w:rsid w:val="00DB6D8B"/>
    <w:rsid w:val="00DC6F92"/>
    <w:rsid w:val="00E07235"/>
    <w:rsid w:val="00E33C9F"/>
    <w:rsid w:val="00E51D95"/>
    <w:rsid w:val="00E944A8"/>
    <w:rsid w:val="00E979AB"/>
    <w:rsid w:val="00EB1A04"/>
    <w:rsid w:val="00EC39BC"/>
    <w:rsid w:val="00EC75E0"/>
    <w:rsid w:val="00EE140B"/>
    <w:rsid w:val="00EE3671"/>
    <w:rsid w:val="00F044F0"/>
    <w:rsid w:val="00F7391F"/>
    <w:rsid w:val="00FB393A"/>
    <w:rsid w:val="00FC2396"/>
    <w:rsid w:val="00FF2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9DB3D83"/>
  <w15:docId w15:val="{C3EBD551-65C4-406D-A249-2F37AC1A6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rsid w:val="00517205"/>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17205"/>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17205"/>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rsid w:val="00517205"/>
    <w:pPr>
      <w:keepNext/>
      <w:numPr>
        <w:ilvl w:val="3"/>
        <w:numId w:val="18"/>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17205"/>
    <w:pPr>
      <w:keepNext/>
      <w:numPr>
        <w:ilvl w:val="4"/>
        <w:numId w:val="18"/>
      </w:numPr>
      <w:outlineLvl w:val="4"/>
    </w:pPr>
    <w:rPr>
      <w:rFonts w:eastAsiaTheme="majorEastAsia"/>
    </w:rPr>
  </w:style>
  <w:style w:type="paragraph" w:styleId="Heading6">
    <w:name w:val="heading 6"/>
    <w:basedOn w:val="Normal"/>
    <w:next w:val="Text2"/>
    <w:link w:val="Heading6Char"/>
    <w:uiPriority w:val="9"/>
    <w:semiHidden/>
    <w:unhideWhenUsed/>
    <w:qFormat/>
    <w:rsid w:val="00517205"/>
    <w:pPr>
      <w:keepNext/>
      <w:numPr>
        <w:ilvl w:val="5"/>
        <w:numId w:val="18"/>
      </w:numPr>
      <w:outlineLvl w:val="5"/>
    </w:pPr>
    <w:rPr>
      <w:rFonts w:eastAsiaTheme="majorEastAsia"/>
      <w:iCs/>
    </w:rPr>
  </w:style>
  <w:style w:type="paragraph" w:styleId="Heading7">
    <w:name w:val="heading 7"/>
    <w:basedOn w:val="Normal"/>
    <w:next w:val="Text2"/>
    <w:link w:val="Heading7Char"/>
    <w:uiPriority w:val="9"/>
    <w:semiHidden/>
    <w:unhideWhenUsed/>
    <w:qFormat/>
    <w:rsid w:val="00517205"/>
    <w:pPr>
      <w:keepNext/>
      <w:numPr>
        <w:ilvl w:val="6"/>
        <w:numId w:val="18"/>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112030"/>
    <w:pPr>
      <w:autoSpaceDE w:val="0"/>
      <w:autoSpaceDN w:val="0"/>
      <w:adjustRightInd w:val="0"/>
      <w:spacing w:before="0" w:after="0"/>
      <w:jc w:val="center"/>
    </w:pPr>
    <w:rPr>
      <w:rFonts w:eastAsia="Times New Roman"/>
      <w:i/>
      <w:iCs/>
      <w:szCs w:val="19"/>
      <w:lang w:val="es-ES"/>
    </w:rPr>
  </w:style>
  <w:style w:type="character" w:customStyle="1" w:styleId="BodyText2Char">
    <w:name w:val="Body Text 2 Char"/>
    <w:basedOn w:val="DefaultParagraphFont"/>
    <w:link w:val="BodyText2"/>
    <w:rsid w:val="00112030"/>
    <w:rPr>
      <w:rFonts w:ascii="Times New Roman" w:eastAsia="Times New Roman" w:hAnsi="Times New Roman" w:cs="Times New Roman"/>
      <w:i/>
      <w:iCs/>
      <w:sz w:val="24"/>
      <w:szCs w:val="19"/>
    </w:rPr>
  </w:style>
  <w:style w:type="paragraph" w:customStyle="1" w:styleId="Body">
    <w:name w:val="Body"/>
    <w:rsid w:val="00112030"/>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rPr>
  </w:style>
  <w:style w:type="paragraph" w:customStyle="1" w:styleId="Heading">
    <w:name w:val="Heading"/>
    <w:rsid w:val="00112030"/>
    <w:pPr>
      <w:keepNext/>
      <w:pBdr>
        <w:top w:val="nil"/>
        <w:left w:val="nil"/>
        <w:bottom w:val="nil"/>
        <w:right w:val="nil"/>
        <w:between w:val="nil"/>
        <w:bar w:val="nil"/>
      </w:pBdr>
      <w:tabs>
        <w:tab w:val="left" w:pos="850"/>
      </w:tabs>
      <w:spacing w:before="360" w:after="120" w:line="240" w:lineRule="auto"/>
      <w:jc w:val="both"/>
      <w:outlineLvl w:val="0"/>
    </w:pPr>
    <w:rPr>
      <w:rFonts w:ascii="Times New Roman" w:eastAsia="Arial Unicode MS" w:hAnsi="Times New Roman" w:cs="Arial Unicode MS"/>
      <w:b/>
      <w:bCs/>
      <w:smallCaps/>
      <w:color w:val="000000"/>
      <w:sz w:val="24"/>
      <w:szCs w:val="24"/>
      <w:u w:color="000000"/>
      <w:bdr w:val="nil"/>
    </w:rPr>
  </w:style>
  <w:style w:type="paragraph" w:styleId="Caption">
    <w:name w:val="caption"/>
    <w:basedOn w:val="Normal"/>
    <w:next w:val="Normal"/>
    <w:uiPriority w:val="35"/>
    <w:semiHidden/>
    <w:unhideWhenUsed/>
    <w:qFormat/>
    <w:rsid w:val="0070711A"/>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70711A"/>
    <w:pPr>
      <w:spacing w:after="0"/>
    </w:pPr>
  </w:style>
  <w:style w:type="paragraph" w:styleId="ListBullet">
    <w:name w:val="List Bullet"/>
    <w:basedOn w:val="Normal"/>
    <w:uiPriority w:val="99"/>
    <w:semiHidden/>
    <w:unhideWhenUsed/>
    <w:rsid w:val="0070711A"/>
    <w:pPr>
      <w:numPr>
        <w:numId w:val="3"/>
      </w:numPr>
      <w:contextualSpacing/>
    </w:pPr>
  </w:style>
  <w:style w:type="paragraph" w:styleId="ListBullet2">
    <w:name w:val="List Bullet 2"/>
    <w:basedOn w:val="Normal"/>
    <w:uiPriority w:val="99"/>
    <w:semiHidden/>
    <w:unhideWhenUsed/>
    <w:rsid w:val="0070711A"/>
    <w:pPr>
      <w:numPr>
        <w:numId w:val="4"/>
      </w:numPr>
      <w:contextualSpacing/>
    </w:pPr>
  </w:style>
  <w:style w:type="paragraph" w:styleId="ListBullet3">
    <w:name w:val="List Bullet 3"/>
    <w:basedOn w:val="Normal"/>
    <w:uiPriority w:val="99"/>
    <w:semiHidden/>
    <w:unhideWhenUsed/>
    <w:rsid w:val="0070711A"/>
    <w:pPr>
      <w:numPr>
        <w:numId w:val="5"/>
      </w:numPr>
      <w:contextualSpacing/>
    </w:pPr>
  </w:style>
  <w:style w:type="paragraph" w:styleId="ListBullet4">
    <w:name w:val="List Bullet 4"/>
    <w:basedOn w:val="Normal"/>
    <w:uiPriority w:val="99"/>
    <w:semiHidden/>
    <w:unhideWhenUsed/>
    <w:rsid w:val="0070711A"/>
    <w:pPr>
      <w:numPr>
        <w:numId w:val="6"/>
      </w:numPr>
      <w:contextualSpacing/>
    </w:pPr>
  </w:style>
  <w:style w:type="paragraph" w:styleId="ListNumber">
    <w:name w:val="List Number"/>
    <w:basedOn w:val="Normal"/>
    <w:uiPriority w:val="99"/>
    <w:semiHidden/>
    <w:unhideWhenUsed/>
    <w:rsid w:val="0070711A"/>
    <w:pPr>
      <w:numPr>
        <w:numId w:val="7"/>
      </w:numPr>
      <w:contextualSpacing/>
    </w:pPr>
  </w:style>
  <w:style w:type="paragraph" w:styleId="ListNumber2">
    <w:name w:val="List Number 2"/>
    <w:basedOn w:val="Normal"/>
    <w:uiPriority w:val="99"/>
    <w:semiHidden/>
    <w:unhideWhenUsed/>
    <w:rsid w:val="0070711A"/>
    <w:pPr>
      <w:numPr>
        <w:numId w:val="8"/>
      </w:numPr>
      <w:contextualSpacing/>
    </w:pPr>
  </w:style>
  <w:style w:type="paragraph" w:styleId="ListNumber3">
    <w:name w:val="List Number 3"/>
    <w:basedOn w:val="Normal"/>
    <w:uiPriority w:val="99"/>
    <w:semiHidden/>
    <w:unhideWhenUsed/>
    <w:rsid w:val="0070711A"/>
    <w:pPr>
      <w:numPr>
        <w:numId w:val="9"/>
      </w:numPr>
      <w:contextualSpacing/>
    </w:pPr>
  </w:style>
  <w:style w:type="paragraph" w:styleId="ListNumber4">
    <w:name w:val="List Number 4"/>
    <w:basedOn w:val="Normal"/>
    <w:uiPriority w:val="99"/>
    <w:semiHidden/>
    <w:unhideWhenUsed/>
    <w:rsid w:val="0070711A"/>
    <w:pPr>
      <w:numPr>
        <w:numId w:val="10"/>
      </w:numPr>
      <w:contextualSpacing/>
    </w:pPr>
  </w:style>
  <w:style w:type="character" w:styleId="CommentReference">
    <w:name w:val="annotation reference"/>
    <w:basedOn w:val="DefaultParagraphFont"/>
    <w:uiPriority w:val="99"/>
    <w:semiHidden/>
    <w:unhideWhenUsed/>
    <w:rsid w:val="0011264E"/>
    <w:rPr>
      <w:sz w:val="16"/>
      <w:szCs w:val="16"/>
    </w:rPr>
  </w:style>
  <w:style w:type="paragraph" w:styleId="CommentText">
    <w:name w:val="annotation text"/>
    <w:basedOn w:val="Normal"/>
    <w:link w:val="CommentTextChar"/>
    <w:uiPriority w:val="99"/>
    <w:semiHidden/>
    <w:unhideWhenUsed/>
    <w:rsid w:val="0011264E"/>
    <w:rPr>
      <w:sz w:val="20"/>
      <w:szCs w:val="20"/>
    </w:rPr>
  </w:style>
  <w:style w:type="character" w:customStyle="1" w:styleId="CommentTextChar">
    <w:name w:val="Comment Text Char"/>
    <w:basedOn w:val="DefaultParagraphFont"/>
    <w:link w:val="CommentText"/>
    <w:uiPriority w:val="99"/>
    <w:semiHidden/>
    <w:rsid w:val="0011264E"/>
    <w:rPr>
      <w:rFonts w:ascii="Times New Roman" w:hAnsi="Times New Roman" w:cs="Times New Roman"/>
      <w:sz w:val="20"/>
      <w:szCs w:val="20"/>
      <w:lang w:val="es-ES"/>
    </w:rPr>
  </w:style>
  <w:style w:type="paragraph" w:styleId="CommentSubject">
    <w:name w:val="annotation subject"/>
    <w:basedOn w:val="CommentText"/>
    <w:next w:val="CommentText"/>
    <w:link w:val="CommentSubjectChar"/>
    <w:uiPriority w:val="99"/>
    <w:semiHidden/>
    <w:unhideWhenUsed/>
    <w:rsid w:val="0011264E"/>
    <w:rPr>
      <w:b/>
      <w:bCs/>
    </w:rPr>
  </w:style>
  <w:style w:type="character" w:customStyle="1" w:styleId="CommentSubjectChar">
    <w:name w:val="Comment Subject Char"/>
    <w:basedOn w:val="CommentTextChar"/>
    <w:link w:val="CommentSubject"/>
    <w:uiPriority w:val="99"/>
    <w:semiHidden/>
    <w:rsid w:val="0011264E"/>
    <w:rPr>
      <w:rFonts w:ascii="Times New Roman" w:hAnsi="Times New Roman" w:cs="Times New Roman"/>
      <w:b/>
      <w:bCs/>
      <w:sz w:val="20"/>
      <w:szCs w:val="20"/>
      <w:lang w:val="es-ES"/>
    </w:rPr>
  </w:style>
  <w:style w:type="paragraph" w:styleId="BalloonText">
    <w:name w:val="Balloon Text"/>
    <w:basedOn w:val="Normal"/>
    <w:link w:val="BalloonTextChar"/>
    <w:uiPriority w:val="99"/>
    <w:semiHidden/>
    <w:unhideWhenUsed/>
    <w:rsid w:val="0011264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64E"/>
    <w:rPr>
      <w:rFonts w:ascii="Segoe UI" w:hAnsi="Segoe UI" w:cs="Segoe UI"/>
      <w:sz w:val="18"/>
      <w:szCs w:val="18"/>
      <w:lang w:val="es-ES"/>
    </w:rPr>
  </w:style>
  <w:style w:type="character" w:styleId="Hyperlink">
    <w:name w:val="Hyperlink"/>
    <w:basedOn w:val="DefaultParagraphFont"/>
    <w:uiPriority w:val="99"/>
    <w:unhideWhenUsed/>
    <w:rsid w:val="00D80499"/>
    <w:rPr>
      <w:color w:val="0000FF" w:themeColor="hyperlink"/>
      <w:u w:val="single"/>
    </w:rPr>
  </w:style>
  <w:style w:type="paragraph" w:styleId="Header">
    <w:name w:val="header"/>
    <w:basedOn w:val="Normal"/>
    <w:link w:val="HeaderChar"/>
    <w:uiPriority w:val="99"/>
    <w:unhideWhenUsed/>
    <w:rsid w:val="00401340"/>
    <w:pPr>
      <w:tabs>
        <w:tab w:val="center" w:pos="4535"/>
        <w:tab w:val="right" w:pos="9071"/>
      </w:tabs>
      <w:spacing w:before="0"/>
    </w:pPr>
  </w:style>
  <w:style w:type="character" w:customStyle="1" w:styleId="HeaderChar">
    <w:name w:val="Header Char"/>
    <w:basedOn w:val="DefaultParagraphFont"/>
    <w:link w:val="Header"/>
    <w:uiPriority w:val="99"/>
    <w:rsid w:val="00401340"/>
    <w:rPr>
      <w:rFonts w:ascii="Times New Roman" w:hAnsi="Times New Roman" w:cs="Times New Roman"/>
      <w:sz w:val="24"/>
      <w:lang w:val="es-ES_tradnl"/>
    </w:rPr>
  </w:style>
  <w:style w:type="paragraph" w:styleId="Footer">
    <w:name w:val="footer"/>
    <w:basedOn w:val="Normal"/>
    <w:link w:val="FooterChar"/>
    <w:uiPriority w:val="99"/>
    <w:unhideWhenUsed/>
    <w:rsid w:val="00401340"/>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401340"/>
    <w:rPr>
      <w:rFonts w:ascii="Times New Roman" w:hAnsi="Times New Roman" w:cs="Times New Roman"/>
      <w:sz w:val="24"/>
      <w:lang w:val="es-ES_tradnl"/>
    </w:rPr>
  </w:style>
  <w:style w:type="paragraph" w:styleId="FootnoteText">
    <w:name w:val="footnote text"/>
    <w:basedOn w:val="Normal"/>
    <w:link w:val="FootnoteTextChar"/>
    <w:uiPriority w:val="99"/>
    <w:semiHidden/>
    <w:unhideWhenUsed/>
    <w:rsid w:val="0051720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1720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17205"/>
    <w:rPr>
      <w:rFonts w:ascii="Times New Roman" w:eastAsiaTheme="majorEastAsia" w:hAnsi="Times New Roman" w:cs="Times New Roman"/>
      <w:b/>
      <w:bCs/>
      <w:smallCaps/>
      <w:sz w:val="24"/>
      <w:szCs w:val="28"/>
      <w:lang w:val="es-ES_tradnl"/>
    </w:rPr>
  </w:style>
  <w:style w:type="character" w:customStyle="1" w:styleId="Heading2Char">
    <w:name w:val="Heading 2 Char"/>
    <w:basedOn w:val="DefaultParagraphFont"/>
    <w:link w:val="Heading2"/>
    <w:uiPriority w:val="9"/>
    <w:semiHidden/>
    <w:rsid w:val="00517205"/>
    <w:rPr>
      <w:rFonts w:ascii="Times New Roman" w:eastAsiaTheme="majorEastAsia" w:hAnsi="Times New Roman" w:cs="Times New Roman"/>
      <w:b/>
      <w:bCs/>
      <w:sz w:val="24"/>
      <w:szCs w:val="26"/>
      <w:lang w:val="es-ES_tradnl"/>
    </w:rPr>
  </w:style>
  <w:style w:type="character" w:customStyle="1" w:styleId="Heading3Char">
    <w:name w:val="Heading 3 Char"/>
    <w:basedOn w:val="DefaultParagraphFont"/>
    <w:link w:val="Heading3"/>
    <w:uiPriority w:val="9"/>
    <w:semiHidden/>
    <w:rsid w:val="00517205"/>
    <w:rPr>
      <w:rFonts w:ascii="Times New Roman" w:eastAsiaTheme="majorEastAsia" w:hAnsi="Times New Roman" w:cs="Times New Roman"/>
      <w:bCs/>
      <w:i/>
      <w:sz w:val="24"/>
      <w:lang w:val="es-ES_tradnl"/>
    </w:rPr>
  </w:style>
  <w:style w:type="character" w:customStyle="1" w:styleId="Heading4Char">
    <w:name w:val="Heading 4 Char"/>
    <w:basedOn w:val="DefaultParagraphFont"/>
    <w:link w:val="Heading4"/>
    <w:uiPriority w:val="9"/>
    <w:semiHidden/>
    <w:rsid w:val="00517205"/>
    <w:rPr>
      <w:rFonts w:ascii="Times New Roman" w:eastAsiaTheme="majorEastAsia" w:hAnsi="Times New Roman" w:cs="Times New Roman"/>
      <w:bCs/>
      <w:iCs/>
      <w:sz w:val="24"/>
      <w:lang w:val="es-ES_tradnl"/>
    </w:rPr>
  </w:style>
  <w:style w:type="character" w:customStyle="1" w:styleId="Heading5Char">
    <w:name w:val="Heading 5 Char"/>
    <w:basedOn w:val="DefaultParagraphFont"/>
    <w:link w:val="Heading5"/>
    <w:uiPriority w:val="9"/>
    <w:semiHidden/>
    <w:rsid w:val="00517205"/>
    <w:rPr>
      <w:rFonts w:ascii="Times New Roman" w:eastAsiaTheme="majorEastAsia" w:hAnsi="Times New Roman" w:cs="Times New Roman"/>
      <w:sz w:val="24"/>
      <w:lang w:val="es-ES_tradnl"/>
    </w:rPr>
  </w:style>
  <w:style w:type="character" w:customStyle="1" w:styleId="Heading6Char">
    <w:name w:val="Heading 6 Char"/>
    <w:basedOn w:val="DefaultParagraphFont"/>
    <w:link w:val="Heading6"/>
    <w:uiPriority w:val="9"/>
    <w:semiHidden/>
    <w:rsid w:val="00517205"/>
    <w:rPr>
      <w:rFonts w:ascii="Times New Roman" w:eastAsiaTheme="majorEastAsia" w:hAnsi="Times New Roman" w:cs="Times New Roman"/>
      <w:iCs/>
      <w:sz w:val="24"/>
      <w:lang w:val="es-ES_tradnl"/>
    </w:rPr>
  </w:style>
  <w:style w:type="character" w:customStyle="1" w:styleId="Heading7Char">
    <w:name w:val="Heading 7 Char"/>
    <w:basedOn w:val="DefaultParagraphFont"/>
    <w:link w:val="Heading7"/>
    <w:uiPriority w:val="9"/>
    <w:semiHidden/>
    <w:rsid w:val="00517205"/>
    <w:rPr>
      <w:rFonts w:ascii="Times New Roman" w:eastAsiaTheme="majorEastAsia" w:hAnsi="Times New Roman" w:cs="Times New Roman"/>
      <w:iCs/>
      <w:sz w:val="24"/>
      <w:lang w:val="es-ES_tradnl"/>
    </w:rPr>
  </w:style>
  <w:style w:type="paragraph" w:styleId="TOCHeading">
    <w:name w:val="TOC Heading"/>
    <w:basedOn w:val="Normal"/>
    <w:next w:val="Normal"/>
    <w:uiPriority w:val="39"/>
    <w:semiHidden/>
    <w:unhideWhenUsed/>
    <w:qFormat/>
    <w:rsid w:val="00517205"/>
    <w:pPr>
      <w:spacing w:after="240"/>
      <w:jc w:val="center"/>
    </w:pPr>
    <w:rPr>
      <w:b/>
      <w:sz w:val="28"/>
    </w:rPr>
  </w:style>
  <w:style w:type="paragraph" w:styleId="TOC1">
    <w:name w:val="toc 1"/>
    <w:basedOn w:val="Normal"/>
    <w:next w:val="Normal"/>
    <w:uiPriority w:val="39"/>
    <w:semiHidden/>
    <w:unhideWhenUsed/>
    <w:rsid w:val="00517205"/>
    <w:pPr>
      <w:tabs>
        <w:tab w:val="right" w:leader="dot" w:pos="9071"/>
      </w:tabs>
      <w:spacing w:before="60"/>
      <w:ind w:left="850" w:hanging="850"/>
      <w:jc w:val="left"/>
    </w:pPr>
  </w:style>
  <w:style w:type="paragraph" w:styleId="TOC2">
    <w:name w:val="toc 2"/>
    <w:basedOn w:val="Normal"/>
    <w:next w:val="Normal"/>
    <w:uiPriority w:val="39"/>
    <w:semiHidden/>
    <w:unhideWhenUsed/>
    <w:rsid w:val="00517205"/>
    <w:pPr>
      <w:tabs>
        <w:tab w:val="right" w:leader="dot" w:pos="9071"/>
      </w:tabs>
      <w:spacing w:before="60"/>
      <w:ind w:left="850" w:hanging="850"/>
      <w:jc w:val="left"/>
    </w:pPr>
  </w:style>
  <w:style w:type="paragraph" w:styleId="TOC3">
    <w:name w:val="toc 3"/>
    <w:basedOn w:val="Normal"/>
    <w:next w:val="Normal"/>
    <w:uiPriority w:val="39"/>
    <w:semiHidden/>
    <w:unhideWhenUsed/>
    <w:rsid w:val="00517205"/>
    <w:pPr>
      <w:tabs>
        <w:tab w:val="right" w:leader="dot" w:pos="9071"/>
      </w:tabs>
      <w:spacing w:before="60"/>
      <w:ind w:left="850" w:hanging="850"/>
      <w:jc w:val="left"/>
    </w:pPr>
  </w:style>
  <w:style w:type="paragraph" w:styleId="TOC4">
    <w:name w:val="toc 4"/>
    <w:basedOn w:val="Normal"/>
    <w:next w:val="Normal"/>
    <w:uiPriority w:val="39"/>
    <w:semiHidden/>
    <w:unhideWhenUsed/>
    <w:rsid w:val="00517205"/>
    <w:pPr>
      <w:tabs>
        <w:tab w:val="right" w:leader="dot" w:pos="9071"/>
      </w:tabs>
      <w:spacing w:before="60"/>
      <w:ind w:left="850" w:hanging="850"/>
      <w:jc w:val="left"/>
    </w:pPr>
  </w:style>
  <w:style w:type="paragraph" w:styleId="TOC5">
    <w:name w:val="toc 5"/>
    <w:basedOn w:val="Normal"/>
    <w:next w:val="Normal"/>
    <w:uiPriority w:val="39"/>
    <w:semiHidden/>
    <w:unhideWhenUsed/>
    <w:rsid w:val="00517205"/>
    <w:pPr>
      <w:tabs>
        <w:tab w:val="right" w:leader="dot" w:pos="9071"/>
      </w:tabs>
      <w:spacing w:before="300"/>
      <w:jc w:val="left"/>
    </w:pPr>
  </w:style>
  <w:style w:type="paragraph" w:styleId="TOC6">
    <w:name w:val="toc 6"/>
    <w:basedOn w:val="Normal"/>
    <w:next w:val="Normal"/>
    <w:uiPriority w:val="39"/>
    <w:semiHidden/>
    <w:unhideWhenUsed/>
    <w:rsid w:val="00517205"/>
    <w:pPr>
      <w:tabs>
        <w:tab w:val="right" w:leader="dot" w:pos="9071"/>
      </w:tabs>
      <w:spacing w:before="240"/>
      <w:jc w:val="left"/>
    </w:pPr>
  </w:style>
  <w:style w:type="paragraph" w:styleId="TOC7">
    <w:name w:val="toc 7"/>
    <w:basedOn w:val="Normal"/>
    <w:next w:val="Normal"/>
    <w:uiPriority w:val="39"/>
    <w:semiHidden/>
    <w:unhideWhenUsed/>
    <w:rsid w:val="00517205"/>
    <w:pPr>
      <w:tabs>
        <w:tab w:val="right" w:leader="dot" w:pos="9071"/>
      </w:tabs>
      <w:spacing w:before="180"/>
      <w:jc w:val="left"/>
    </w:pPr>
  </w:style>
  <w:style w:type="paragraph" w:styleId="TOC8">
    <w:name w:val="toc 8"/>
    <w:basedOn w:val="Normal"/>
    <w:next w:val="Normal"/>
    <w:uiPriority w:val="39"/>
    <w:semiHidden/>
    <w:unhideWhenUsed/>
    <w:rsid w:val="00517205"/>
    <w:pPr>
      <w:tabs>
        <w:tab w:val="right" w:leader="dot" w:pos="9071"/>
      </w:tabs>
      <w:jc w:val="left"/>
    </w:pPr>
  </w:style>
  <w:style w:type="paragraph" w:styleId="TOC9">
    <w:name w:val="toc 9"/>
    <w:basedOn w:val="Normal"/>
    <w:next w:val="Normal"/>
    <w:uiPriority w:val="39"/>
    <w:semiHidden/>
    <w:unhideWhenUsed/>
    <w:rsid w:val="00517205"/>
    <w:pPr>
      <w:tabs>
        <w:tab w:val="right" w:leader="dot" w:pos="9071"/>
      </w:tabs>
      <w:ind w:left="1417" w:hanging="1417"/>
      <w:jc w:val="left"/>
    </w:pPr>
  </w:style>
  <w:style w:type="paragraph" w:customStyle="1" w:styleId="HeaderLandscape">
    <w:name w:val="HeaderLandscape"/>
    <w:basedOn w:val="Normal"/>
    <w:rsid w:val="00401340"/>
    <w:pPr>
      <w:tabs>
        <w:tab w:val="center" w:pos="7285"/>
        <w:tab w:val="right" w:pos="14003"/>
      </w:tabs>
      <w:spacing w:before="0"/>
    </w:pPr>
  </w:style>
  <w:style w:type="paragraph" w:customStyle="1" w:styleId="FooterLandscape">
    <w:name w:val="FooterLandscape"/>
    <w:basedOn w:val="Normal"/>
    <w:rsid w:val="00401340"/>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17205"/>
    <w:rPr>
      <w:shd w:val="clear" w:color="auto" w:fill="auto"/>
      <w:vertAlign w:val="superscript"/>
    </w:rPr>
  </w:style>
  <w:style w:type="paragraph" w:customStyle="1" w:styleId="HeaderSensitivity">
    <w:name w:val="Header Sensitivity"/>
    <w:basedOn w:val="Normal"/>
    <w:rsid w:val="00401340"/>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401340"/>
    <w:pPr>
      <w:spacing w:before="0"/>
      <w:jc w:val="right"/>
    </w:pPr>
    <w:rPr>
      <w:sz w:val="28"/>
    </w:rPr>
  </w:style>
  <w:style w:type="paragraph" w:customStyle="1" w:styleId="FooterSensitivity">
    <w:name w:val="Footer Sensitivity"/>
    <w:basedOn w:val="Normal"/>
    <w:rsid w:val="00401340"/>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17205"/>
    <w:pPr>
      <w:ind w:left="850"/>
    </w:pPr>
  </w:style>
  <w:style w:type="paragraph" w:customStyle="1" w:styleId="Text2">
    <w:name w:val="Text 2"/>
    <w:basedOn w:val="Normal"/>
    <w:rsid w:val="00517205"/>
    <w:pPr>
      <w:ind w:left="1417"/>
    </w:pPr>
  </w:style>
  <w:style w:type="paragraph" w:customStyle="1" w:styleId="Text3">
    <w:name w:val="Text 3"/>
    <w:basedOn w:val="Normal"/>
    <w:rsid w:val="00517205"/>
    <w:pPr>
      <w:ind w:left="1984"/>
    </w:pPr>
  </w:style>
  <w:style w:type="paragraph" w:customStyle="1" w:styleId="Text4">
    <w:name w:val="Text 4"/>
    <w:basedOn w:val="Normal"/>
    <w:rsid w:val="00517205"/>
    <w:pPr>
      <w:ind w:left="2551"/>
    </w:pPr>
  </w:style>
  <w:style w:type="paragraph" w:customStyle="1" w:styleId="Text5">
    <w:name w:val="Text 5"/>
    <w:basedOn w:val="Normal"/>
    <w:rsid w:val="00517205"/>
    <w:pPr>
      <w:ind w:left="3118"/>
    </w:pPr>
  </w:style>
  <w:style w:type="paragraph" w:customStyle="1" w:styleId="Text6">
    <w:name w:val="Text 6"/>
    <w:basedOn w:val="Normal"/>
    <w:rsid w:val="00517205"/>
    <w:pPr>
      <w:ind w:left="3685"/>
    </w:pPr>
  </w:style>
  <w:style w:type="paragraph" w:customStyle="1" w:styleId="NormalCentered">
    <w:name w:val="Normal Centered"/>
    <w:basedOn w:val="Normal"/>
    <w:rsid w:val="00517205"/>
    <w:pPr>
      <w:jc w:val="center"/>
    </w:pPr>
  </w:style>
  <w:style w:type="paragraph" w:customStyle="1" w:styleId="NormalLeft">
    <w:name w:val="Normal Left"/>
    <w:basedOn w:val="Normal"/>
    <w:rsid w:val="00517205"/>
    <w:pPr>
      <w:jc w:val="left"/>
    </w:pPr>
  </w:style>
  <w:style w:type="paragraph" w:customStyle="1" w:styleId="NormalRight">
    <w:name w:val="Normal Right"/>
    <w:basedOn w:val="Normal"/>
    <w:rsid w:val="00517205"/>
    <w:pPr>
      <w:jc w:val="right"/>
    </w:pPr>
  </w:style>
  <w:style w:type="paragraph" w:customStyle="1" w:styleId="QuotedText">
    <w:name w:val="Quoted Text"/>
    <w:basedOn w:val="Normal"/>
    <w:rsid w:val="00517205"/>
    <w:pPr>
      <w:ind w:left="1417"/>
    </w:pPr>
  </w:style>
  <w:style w:type="paragraph" w:customStyle="1" w:styleId="Point0">
    <w:name w:val="Point 0"/>
    <w:basedOn w:val="Normal"/>
    <w:rsid w:val="00517205"/>
    <w:pPr>
      <w:ind w:left="850" w:hanging="850"/>
    </w:pPr>
  </w:style>
  <w:style w:type="paragraph" w:customStyle="1" w:styleId="Point1">
    <w:name w:val="Point 1"/>
    <w:basedOn w:val="Normal"/>
    <w:rsid w:val="00517205"/>
    <w:pPr>
      <w:ind w:left="1417" w:hanging="567"/>
    </w:pPr>
  </w:style>
  <w:style w:type="paragraph" w:customStyle="1" w:styleId="Point2">
    <w:name w:val="Point 2"/>
    <w:basedOn w:val="Normal"/>
    <w:rsid w:val="00517205"/>
    <w:pPr>
      <w:ind w:left="1984" w:hanging="567"/>
    </w:pPr>
  </w:style>
  <w:style w:type="paragraph" w:customStyle="1" w:styleId="Point3">
    <w:name w:val="Point 3"/>
    <w:basedOn w:val="Normal"/>
    <w:rsid w:val="00517205"/>
    <w:pPr>
      <w:ind w:left="2551" w:hanging="567"/>
    </w:pPr>
  </w:style>
  <w:style w:type="paragraph" w:customStyle="1" w:styleId="Point4">
    <w:name w:val="Point 4"/>
    <w:basedOn w:val="Normal"/>
    <w:rsid w:val="00517205"/>
    <w:pPr>
      <w:ind w:left="3118" w:hanging="567"/>
    </w:pPr>
  </w:style>
  <w:style w:type="paragraph" w:customStyle="1" w:styleId="Point5">
    <w:name w:val="Point 5"/>
    <w:basedOn w:val="Normal"/>
    <w:rsid w:val="00517205"/>
    <w:pPr>
      <w:ind w:left="3685" w:hanging="567"/>
    </w:pPr>
  </w:style>
  <w:style w:type="paragraph" w:customStyle="1" w:styleId="Tiret0">
    <w:name w:val="Tiret 0"/>
    <w:basedOn w:val="Point0"/>
    <w:rsid w:val="00517205"/>
    <w:pPr>
      <w:numPr>
        <w:numId w:val="11"/>
      </w:numPr>
    </w:pPr>
  </w:style>
  <w:style w:type="paragraph" w:customStyle="1" w:styleId="Tiret1">
    <w:name w:val="Tiret 1"/>
    <w:basedOn w:val="Point1"/>
    <w:rsid w:val="00517205"/>
    <w:pPr>
      <w:numPr>
        <w:numId w:val="12"/>
      </w:numPr>
    </w:pPr>
  </w:style>
  <w:style w:type="paragraph" w:customStyle="1" w:styleId="Tiret2">
    <w:name w:val="Tiret 2"/>
    <w:basedOn w:val="Point2"/>
    <w:rsid w:val="00517205"/>
    <w:pPr>
      <w:numPr>
        <w:numId w:val="13"/>
      </w:numPr>
    </w:pPr>
  </w:style>
  <w:style w:type="paragraph" w:customStyle="1" w:styleId="Tiret3">
    <w:name w:val="Tiret 3"/>
    <w:basedOn w:val="Point3"/>
    <w:rsid w:val="00517205"/>
    <w:pPr>
      <w:numPr>
        <w:numId w:val="14"/>
      </w:numPr>
    </w:pPr>
  </w:style>
  <w:style w:type="paragraph" w:customStyle="1" w:styleId="Tiret4">
    <w:name w:val="Tiret 4"/>
    <w:basedOn w:val="Point4"/>
    <w:rsid w:val="00517205"/>
    <w:pPr>
      <w:numPr>
        <w:numId w:val="15"/>
      </w:numPr>
    </w:pPr>
  </w:style>
  <w:style w:type="paragraph" w:customStyle="1" w:styleId="Tiret5">
    <w:name w:val="Tiret 5"/>
    <w:basedOn w:val="Point5"/>
    <w:rsid w:val="00517205"/>
    <w:pPr>
      <w:numPr>
        <w:numId w:val="16"/>
      </w:numPr>
    </w:pPr>
  </w:style>
  <w:style w:type="paragraph" w:customStyle="1" w:styleId="PointDouble0">
    <w:name w:val="PointDouble 0"/>
    <w:basedOn w:val="Normal"/>
    <w:rsid w:val="00517205"/>
    <w:pPr>
      <w:tabs>
        <w:tab w:val="left" w:pos="850"/>
      </w:tabs>
      <w:ind w:left="1417" w:hanging="1417"/>
    </w:pPr>
  </w:style>
  <w:style w:type="paragraph" w:customStyle="1" w:styleId="PointDouble1">
    <w:name w:val="PointDouble 1"/>
    <w:basedOn w:val="Normal"/>
    <w:rsid w:val="00517205"/>
    <w:pPr>
      <w:tabs>
        <w:tab w:val="left" w:pos="1417"/>
      </w:tabs>
      <w:ind w:left="1984" w:hanging="1134"/>
    </w:pPr>
  </w:style>
  <w:style w:type="paragraph" w:customStyle="1" w:styleId="PointDouble2">
    <w:name w:val="PointDouble 2"/>
    <w:basedOn w:val="Normal"/>
    <w:rsid w:val="00517205"/>
    <w:pPr>
      <w:tabs>
        <w:tab w:val="left" w:pos="1984"/>
      </w:tabs>
      <w:ind w:left="2551" w:hanging="1134"/>
    </w:pPr>
  </w:style>
  <w:style w:type="paragraph" w:customStyle="1" w:styleId="PointDouble3">
    <w:name w:val="PointDouble 3"/>
    <w:basedOn w:val="Normal"/>
    <w:rsid w:val="00517205"/>
    <w:pPr>
      <w:tabs>
        <w:tab w:val="left" w:pos="2551"/>
      </w:tabs>
      <w:ind w:left="3118" w:hanging="1134"/>
    </w:pPr>
  </w:style>
  <w:style w:type="paragraph" w:customStyle="1" w:styleId="PointDouble4">
    <w:name w:val="PointDouble 4"/>
    <w:basedOn w:val="Normal"/>
    <w:rsid w:val="00517205"/>
    <w:pPr>
      <w:tabs>
        <w:tab w:val="left" w:pos="3118"/>
      </w:tabs>
      <w:ind w:left="3685" w:hanging="1134"/>
    </w:pPr>
  </w:style>
  <w:style w:type="paragraph" w:customStyle="1" w:styleId="PointTriple0">
    <w:name w:val="PointTriple 0"/>
    <w:basedOn w:val="Normal"/>
    <w:rsid w:val="00517205"/>
    <w:pPr>
      <w:tabs>
        <w:tab w:val="left" w:pos="850"/>
        <w:tab w:val="left" w:pos="1417"/>
      </w:tabs>
      <w:ind w:left="1984" w:hanging="1984"/>
    </w:pPr>
  </w:style>
  <w:style w:type="paragraph" w:customStyle="1" w:styleId="PointTriple1">
    <w:name w:val="PointTriple 1"/>
    <w:basedOn w:val="Normal"/>
    <w:rsid w:val="00517205"/>
    <w:pPr>
      <w:tabs>
        <w:tab w:val="left" w:pos="1417"/>
        <w:tab w:val="left" w:pos="1984"/>
      </w:tabs>
      <w:ind w:left="2551" w:hanging="1701"/>
    </w:pPr>
  </w:style>
  <w:style w:type="paragraph" w:customStyle="1" w:styleId="PointTriple2">
    <w:name w:val="PointTriple 2"/>
    <w:basedOn w:val="Normal"/>
    <w:rsid w:val="00517205"/>
    <w:pPr>
      <w:tabs>
        <w:tab w:val="left" w:pos="1984"/>
        <w:tab w:val="left" w:pos="2551"/>
      </w:tabs>
      <w:ind w:left="3118" w:hanging="1701"/>
    </w:pPr>
  </w:style>
  <w:style w:type="paragraph" w:customStyle="1" w:styleId="PointTriple3">
    <w:name w:val="PointTriple 3"/>
    <w:basedOn w:val="Normal"/>
    <w:rsid w:val="00517205"/>
    <w:pPr>
      <w:tabs>
        <w:tab w:val="left" w:pos="2551"/>
        <w:tab w:val="left" w:pos="3118"/>
      </w:tabs>
      <w:ind w:left="3685" w:hanging="1701"/>
    </w:pPr>
  </w:style>
  <w:style w:type="paragraph" w:customStyle="1" w:styleId="PointTriple4">
    <w:name w:val="PointTriple 4"/>
    <w:basedOn w:val="Normal"/>
    <w:rsid w:val="00517205"/>
    <w:pPr>
      <w:tabs>
        <w:tab w:val="left" w:pos="3118"/>
        <w:tab w:val="left" w:pos="3685"/>
      </w:tabs>
      <w:ind w:left="4252" w:hanging="1701"/>
    </w:pPr>
  </w:style>
  <w:style w:type="paragraph" w:customStyle="1" w:styleId="NumPar1">
    <w:name w:val="NumPar 1"/>
    <w:basedOn w:val="Normal"/>
    <w:next w:val="Text1"/>
    <w:rsid w:val="00517205"/>
    <w:pPr>
      <w:numPr>
        <w:numId w:val="17"/>
      </w:numPr>
    </w:pPr>
  </w:style>
  <w:style w:type="paragraph" w:customStyle="1" w:styleId="NumPar2">
    <w:name w:val="NumPar 2"/>
    <w:basedOn w:val="Normal"/>
    <w:next w:val="Text1"/>
    <w:rsid w:val="00517205"/>
    <w:pPr>
      <w:numPr>
        <w:ilvl w:val="1"/>
        <w:numId w:val="17"/>
      </w:numPr>
    </w:pPr>
  </w:style>
  <w:style w:type="paragraph" w:customStyle="1" w:styleId="NumPar3">
    <w:name w:val="NumPar 3"/>
    <w:basedOn w:val="Normal"/>
    <w:next w:val="Text1"/>
    <w:rsid w:val="00517205"/>
    <w:pPr>
      <w:numPr>
        <w:ilvl w:val="2"/>
        <w:numId w:val="17"/>
      </w:numPr>
    </w:pPr>
  </w:style>
  <w:style w:type="paragraph" w:customStyle="1" w:styleId="NumPar4">
    <w:name w:val="NumPar 4"/>
    <w:basedOn w:val="Normal"/>
    <w:next w:val="Text1"/>
    <w:rsid w:val="00517205"/>
    <w:pPr>
      <w:numPr>
        <w:ilvl w:val="3"/>
        <w:numId w:val="17"/>
      </w:numPr>
    </w:pPr>
  </w:style>
  <w:style w:type="paragraph" w:customStyle="1" w:styleId="NumPar5">
    <w:name w:val="NumPar 5"/>
    <w:basedOn w:val="Normal"/>
    <w:next w:val="Text2"/>
    <w:rsid w:val="00517205"/>
    <w:pPr>
      <w:numPr>
        <w:ilvl w:val="4"/>
        <w:numId w:val="17"/>
      </w:numPr>
    </w:pPr>
  </w:style>
  <w:style w:type="paragraph" w:customStyle="1" w:styleId="NumPar6">
    <w:name w:val="NumPar 6"/>
    <w:basedOn w:val="Normal"/>
    <w:next w:val="Text2"/>
    <w:rsid w:val="00517205"/>
    <w:pPr>
      <w:numPr>
        <w:ilvl w:val="5"/>
        <w:numId w:val="17"/>
      </w:numPr>
    </w:pPr>
  </w:style>
  <w:style w:type="paragraph" w:customStyle="1" w:styleId="NumPar7">
    <w:name w:val="NumPar 7"/>
    <w:basedOn w:val="Normal"/>
    <w:next w:val="Text2"/>
    <w:rsid w:val="00517205"/>
    <w:pPr>
      <w:numPr>
        <w:ilvl w:val="6"/>
        <w:numId w:val="17"/>
      </w:numPr>
    </w:pPr>
  </w:style>
  <w:style w:type="paragraph" w:customStyle="1" w:styleId="ManualNumPar1">
    <w:name w:val="Manual NumPar 1"/>
    <w:basedOn w:val="Normal"/>
    <w:next w:val="Text1"/>
    <w:rsid w:val="00517205"/>
    <w:pPr>
      <w:ind w:left="850" w:hanging="850"/>
    </w:pPr>
  </w:style>
  <w:style w:type="paragraph" w:customStyle="1" w:styleId="ManualNumPar2">
    <w:name w:val="Manual NumPar 2"/>
    <w:basedOn w:val="Normal"/>
    <w:next w:val="Text1"/>
    <w:rsid w:val="00517205"/>
    <w:pPr>
      <w:ind w:left="850" w:hanging="850"/>
    </w:pPr>
  </w:style>
  <w:style w:type="paragraph" w:customStyle="1" w:styleId="ManualNumPar3">
    <w:name w:val="Manual NumPar 3"/>
    <w:basedOn w:val="Normal"/>
    <w:next w:val="Text1"/>
    <w:rsid w:val="00517205"/>
    <w:pPr>
      <w:ind w:left="850" w:hanging="850"/>
    </w:pPr>
  </w:style>
  <w:style w:type="paragraph" w:customStyle="1" w:styleId="ManualNumPar4">
    <w:name w:val="Manual NumPar 4"/>
    <w:basedOn w:val="Normal"/>
    <w:next w:val="Text1"/>
    <w:rsid w:val="00517205"/>
    <w:pPr>
      <w:ind w:left="850" w:hanging="850"/>
    </w:pPr>
  </w:style>
  <w:style w:type="paragraph" w:customStyle="1" w:styleId="ManualNumPar5">
    <w:name w:val="Manual NumPar 5"/>
    <w:basedOn w:val="Normal"/>
    <w:next w:val="Text2"/>
    <w:rsid w:val="00517205"/>
    <w:pPr>
      <w:ind w:left="1417" w:hanging="1417"/>
    </w:pPr>
  </w:style>
  <w:style w:type="paragraph" w:customStyle="1" w:styleId="ManualNumPar6">
    <w:name w:val="Manual NumPar 6"/>
    <w:basedOn w:val="Normal"/>
    <w:next w:val="Text2"/>
    <w:rsid w:val="00517205"/>
    <w:pPr>
      <w:ind w:left="1417" w:hanging="1417"/>
    </w:pPr>
  </w:style>
  <w:style w:type="paragraph" w:customStyle="1" w:styleId="ManualNumPar7">
    <w:name w:val="Manual NumPar 7"/>
    <w:basedOn w:val="Normal"/>
    <w:next w:val="Text2"/>
    <w:rsid w:val="00517205"/>
    <w:pPr>
      <w:ind w:left="1417" w:hanging="1417"/>
    </w:pPr>
  </w:style>
  <w:style w:type="paragraph" w:customStyle="1" w:styleId="QuotedNumPar">
    <w:name w:val="Quoted NumPar"/>
    <w:basedOn w:val="Normal"/>
    <w:rsid w:val="00517205"/>
    <w:pPr>
      <w:ind w:left="1417" w:hanging="567"/>
    </w:pPr>
  </w:style>
  <w:style w:type="paragraph" w:customStyle="1" w:styleId="ManualHeading1">
    <w:name w:val="Manual Heading 1"/>
    <w:basedOn w:val="Normal"/>
    <w:next w:val="Text1"/>
    <w:rsid w:val="0051720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17205"/>
    <w:pPr>
      <w:keepNext/>
      <w:tabs>
        <w:tab w:val="left" w:pos="850"/>
      </w:tabs>
      <w:ind w:left="850" w:hanging="850"/>
      <w:outlineLvl w:val="1"/>
    </w:pPr>
    <w:rPr>
      <w:b/>
    </w:rPr>
  </w:style>
  <w:style w:type="paragraph" w:customStyle="1" w:styleId="ManualHeading3">
    <w:name w:val="Manual Heading 3"/>
    <w:basedOn w:val="Normal"/>
    <w:next w:val="Text1"/>
    <w:rsid w:val="00517205"/>
    <w:pPr>
      <w:keepNext/>
      <w:tabs>
        <w:tab w:val="left" w:pos="850"/>
      </w:tabs>
      <w:ind w:left="850" w:hanging="850"/>
      <w:outlineLvl w:val="2"/>
    </w:pPr>
    <w:rPr>
      <w:i/>
    </w:rPr>
  </w:style>
  <w:style w:type="paragraph" w:customStyle="1" w:styleId="ManualHeading4">
    <w:name w:val="Manual Heading 4"/>
    <w:basedOn w:val="Normal"/>
    <w:next w:val="Text1"/>
    <w:rsid w:val="00517205"/>
    <w:pPr>
      <w:keepNext/>
      <w:tabs>
        <w:tab w:val="left" w:pos="850"/>
      </w:tabs>
      <w:ind w:left="850" w:hanging="850"/>
      <w:outlineLvl w:val="3"/>
    </w:pPr>
  </w:style>
  <w:style w:type="paragraph" w:customStyle="1" w:styleId="ManualHeading5">
    <w:name w:val="Manual Heading 5"/>
    <w:basedOn w:val="Normal"/>
    <w:next w:val="Text2"/>
    <w:rsid w:val="00517205"/>
    <w:pPr>
      <w:keepNext/>
      <w:tabs>
        <w:tab w:val="left" w:pos="1417"/>
      </w:tabs>
      <w:ind w:left="1417" w:hanging="1417"/>
      <w:outlineLvl w:val="4"/>
    </w:pPr>
  </w:style>
  <w:style w:type="paragraph" w:customStyle="1" w:styleId="ManualHeading6">
    <w:name w:val="Manual Heading 6"/>
    <w:basedOn w:val="Normal"/>
    <w:next w:val="Text2"/>
    <w:rsid w:val="00517205"/>
    <w:pPr>
      <w:keepNext/>
      <w:tabs>
        <w:tab w:val="left" w:pos="1417"/>
      </w:tabs>
      <w:ind w:left="1417" w:hanging="1417"/>
      <w:outlineLvl w:val="5"/>
    </w:pPr>
  </w:style>
  <w:style w:type="paragraph" w:customStyle="1" w:styleId="ManualHeading7">
    <w:name w:val="Manual Heading 7"/>
    <w:basedOn w:val="Normal"/>
    <w:next w:val="Text2"/>
    <w:rsid w:val="00517205"/>
    <w:pPr>
      <w:keepNext/>
      <w:tabs>
        <w:tab w:val="left" w:pos="1417"/>
      </w:tabs>
      <w:ind w:left="1417" w:hanging="1417"/>
      <w:outlineLvl w:val="6"/>
    </w:pPr>
  </w:style>
  <w:style w:type="paragraph" w:customStyle="1" w:styleId="ChapterTitle">
    <w:name w:val="ChapterTitle"/>
    <w:basedOn w:val="Normal"/>
    <w:next w:val="Normal"/>
    <w:rsid w:val="00517205"/>
    <w:pPr>
      <w:keepNext/>
      <w:spacing w:after="360"/>
      <w:jc w:val="center"/>
    </w:pPr>
    <w:rPr>
      <w:b/>
      <w:sz w:val="32"/>
    </w:rPr>
  </w:style>
  <w:style w:type="paragraph" w:customStyle="1" w:styleId="PartTitle">
    <w:name w:val="PartTitle"/>
    <w:basedOn w:val="Normal"/>
    <w:next w:val="ChapterTitle"/>
    <w:rsid w:val="00517205"/>
    <w:pPr>
      <w:keepNext/>
      <w:pageBreakBefore/>
      <w:spacing w:after="360"/>
      <w:jc w:val="center"/>
    </w:pPr>
    <w:rPr>
      <w:b/>
      <w:sz w:val="36"/>
    </w:rPr>
  </w:style>
  <w:style w:type="paragraph" w:customStyle="1" w:styleId="SectionTitle">
    <w:name w:val="SectionTitle"/>
    <w:basedOn w:val="Normal"/>
    <w:next w:val="Heading1"/>
    <w:rsid w:val="00517205"/>
    <w:pPr>
      <w:keepNext/>
      <w:spacing w:after="360"/>
      <w:jc w:val="center"/>
    </w:pPr>
    <w:rPr>
      <w:b/>
      <w:smallCaps/>
      <w:sz w:val="28"/>
    </w:rPr>
  </w:style>
  <w:style w:type="paragraph" w:customStyle="1" w:styleId="TableTitle">
    <w:name w:val="Table Title"/>
    <w:basedOn w:val="Normal"/>
    <w:next w:val="Normal"/>
    <w:rsid w:val="00517205"/>
    <w:pPr>
      <w:jc w:val="center"/>
    </w:pPr>
    <w:rPr>
      <w:b/>
    </w:rPr>
  </w:style>
  <w:style w:type="character" w:customStyle="1" w:styleId="Marker">
    <w:name w:val="Marker"/>
    <w:basedOn w:val="DefaultParagraphFont"/>
    <w:rsid w:val="001914D8"/>
    <w:rPr>
      <w:color w:val="0000FF"/>
      <w:shd w:val="clear" w:color="auto" w:fill="auto"/>
    </w:rPr>
  </w:style>
  <w:style w:type="character" w:customStyle="1" w:styleId="Marker1">
    <w:name w:val="Marker1"/>
    <w:basedOn w:val="DefaultParagraphFont"/>
    <w:rsid w:val="00517205"/>
    <w:rPr>
      <w:color w:val="008000"/>
      <w:shd w:val="clear" w:color="auto" w:fill="auto"/>
    </w:rPr>
  </w:style>
  <w:style w:type="character" w:customStyle="1" w:styleId="Marker2">
    <w:name w:val="Marker2"/>
    <w:basedOn w:val="DefaultParagraphFont"/>
    <w:rsid w:val="00517205"/>
    <w:rPr>
      <w:color w:val="FF0000"/>
      <w:shd w:val="clear" w:color="auto" w:fill="auto"/>
    </w:rPr>
  </w:style>
  <w:style w:type="paragraph" w:customStyle="1" w:styleId="Point0number">
    <w:name w:val="Point 0 (number)"/>
    <w:basedOn w:val="Normal"/>
    <w:rsid w:val="00517205"/>
    <w:pPr>
      <w:numPr>
        <w:numId w:val="19"/>
      </w:numPr>
    </w:pPr>
  </w:style>
  <w:style w:type="paragraph" w:customStyle="1" w:styleId="Point1number">
    <w:name w:val="Point 1 (number)"/>
    <w:basedOn w:val="Normal"/>
    <w:rsid w:val="00517205"/>
    <w:pPr>
      <w:numPr>
        <w:ilvl w:val="2"/>
        <w:numId w:val="19"/>
      </w:numPr>
    </w:pPr>
  </w:style>
  <w:style w:type="paragraph" w:customStyle="1" w:styleId="Point2number">
    <w:name w:val="Point 2 (number)"/>
    <w:basedOn w:val="Normal"/>
    <w:rsid w:val="00517205"/>
    <w:pPr>
      <w:numPr>
        <w:ilvl w:val="4"/>
        <w:numId w:val="19"/>
      </w:numPr>
    </w:pPr>
  </w:style>
  <w:style w:type="paragraph" w:customStyle="1" w:styleId="Point3number">
    <w:name w:val="Point 3 (number)"/>
    <w:basedOn w:val="Normal"/>
    <w:rsid w:val="00517205"/>
    <w:pPr>
      <w:numPr>
        <w:ilvl w:val="6"/>
        <w:numId w:val="19"/>
      </w:numPr>
    </w:pPr>
  </w:style>
  <w:style w:type="paragraph" w:customStyle="1" w:styleId="Point0letter">
    <w:name w:val="Point 0 (letter)"/>
    <w:basedOn w:val="Normal"/>
    <w:rsid w:val="00517205"/>
    <w:pPr>
      <w:numPr>
        <w:ilvl w:val="1"/>
        <w:numId w:val="19"/>
      </w:numPr>
    </w:pPr>
  </w:style>
  <w:style w:type="paragraph" w:customStyle="1" w:styleId="Point1letter">
    <w:name w:val="Point 1 (letter)"/>
    <w:basedOn w:val="Normal"/>
    <w:rsid w:val="00517205"/>
    <w:pPr>
      <w:numPr>
        <w:ilvl w:val="3"/>
        <w:numId w:val="19"/>
      </w:numPr>
    </w:pPr>
  </w:style>
  <w:style w:type="paragraph" w:customStyle="1" w:styleId="Point2letter">
    <w:name w:val="Point 2 (letter)"/>
    <w:basedOn w:val="Normal"/>
    <w:rsid w:val="00517205"/>
    <w:pPr>
      <w:numPr>
        <w:ilvl w:val="5"/>
        <w:numId w:val="19"/>
      </w:numPr>
    </w:pPr>
  </w:style>
  <w:style w:type="paragraph" w:customStyle="1" w:styleId="Point3letter">
    <w:name w:val="Point 3 (letter)"/>
    <w:basedOn w:val="Normal"/>
    <w:rsid w:val="00517205"/>
    <w:pPr>
      <w:numPr>
        <w:ilvl w:val="7"/>
        <w:numId w:val="19"/>
      </w:numPr>
    </w:pPr>
  </w:style>
  <w:style w:type="paragraph" w:customStyle="1" w:styleId="Point4letter">
    <w:name w:val="Point 4 (letter)"/>
    <w:basedOn w:val="Normal"/>
    <w:rsid w:val="00517205"/>
    <w:pPr>
      <w:numPr>
        <w:ilvl w:val="8"/>
        <w:numId w:val="19"/>
      </w:numPr>
    </w:pPr>
  </w:style>
  <w:style w:type="paragraph" w:customStyle="1" w:styleId="Bullet0">
    <w:name w:val="Bullet 0"/>
    <w:basedOn w:val="Normal"/>
    <w:rsid w:val="00517205"/>
    <w:pPr>
      <w:numPr>
        <w:numId w:val="20"/>
      </w:numPr>
    </w:pPr>
  </w:style>
  <w:style w:type="paragraph" w:customStyle="1" w:styleId="Bullet1">
    <w:name w:val="Bullet 1"/>
    <w:basedOn w:val="Normal"/>
    <w:rsid w:val="00517205"/>
    <w:pPr>
      <w:numPr>
        <w:numId w:val="21"/>
      </w:numPr>
    </w:pPr>
  </w:style>
  <w:style w:type="paragraph" w:customStyle="1" w:styleId="Bullet2">
    <w:name w:val="Bullet 2"/>
    <w:basedOn w:val="Normal"/>
    <w:rsid w:val="00517205"/>
    <w:pPr>
      <w:numPr>
        <w:numId w:val="22"/>
      </w:numPr>
    </w:pPr>
  </w:style>
  <w:style w:type="paragraph" w:customStyle="1" w:styleId="Bullet3">
    <w:name w:val="Bullet 3"/>
    <w:basedOn w:val="Normal"/>
    <w:rsid w:val="00517205"/>
    <w:pPr>
      <w:numPr>
        <w:numId w:val="23"/>
      </w:numPr>
    </w:pPr>
  </w:style>
  <w:style w:type="paragraph" w:customStyle="1" w:styleId="Bullet4">
    <w:name w:val="Bullet 4"/>
    <w:basedOn w:val="Normal"/>
    <w:rsid w:val="00517205"/>
    <w:pPr>
      <w:numPr>
        <w:numId w:val="24"/>
      </w:numPr>
    </w:pPr>
  </w:style>
  <w:style w:type="paragraph" w:customStyle="1" w:styleId="Langue">
    <w:name w:val="Langue"/>
    <w:basedOn w:val="Normal"/>
    <w:next w:val="Rfrenceinterne"/>
    <w:rsid w:val="0051720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17205"/>
    <w:pPr>
      <w:spacing w:before="0" w:after="0"/>
      <w:jc w:val="left"/>
    </w:pPr>
    <w:rPr>
      <w:rFonts w:ascii="Arial" w:hAnsi="Arial" w:cs="Arial"/>
    </w:rPr>
  </w:style>
  <w:style w:type="paragraph" w:customStyle="1" w:styleId="Emission">
    <w:name w:val="Emission"/>
    <w:basedOn w:val="Normal"/>
    <w:next w:val="Rfrenceinstitutionnelle"/>
    <w:rsid w:val="00517205"/>
    <w:pPr>
      <w:spacing w:before="0" w:after="0"/>
      <w:ind w:left="5103"/>
      <w:jc w:val="left"/>
    </w:pPr>
  </w:style>
  <w:style w:type="paragraph" w:customStyle="1" w:styleId="Rfrenceinstitutionnelle">
    <w:name w:val="Référence institutionnelle"/>
    <w:basedOn w:val="Normal"/>
    <w:next w:val="Confidentialit"/>
    <w:rsid w:val="00517205"/>
    <w:pPr>
      <w:spacing w:before="0" w:after="240"/>
      <w:ind w:left="5103"/>
      <w:jc w:val="left"/>
    </w:pPr>
  </w:style>
  <w:style w:type="paragraph" w:customStyle="1" w:styleId="Pagedecouverture">
    <w:name w:val="Page de couverture"/>
    <w:basedOn w:val="Normal"/>
    <w:next w:val="Normal"/>
    <w:rsid w:val="00517205"/>
    <w:pPr>
      <w:spacing w:before="0" w:after="0"/>
    </w:pPr>
  </w:style>
  <w:style w:type="paragraph" w:customStyle="1" w:styleId="Declassification">
    <w:name w:val="Declassification"/>
    <w:basedOn w:val="Normal"/>
    <w:next w:val="Normal"/>
    <w:rsid w:val="00517205"/>
    <w:pPr>
      <w:spacing w:before="0" w:after="0"/>
    </w:pPr>
  </w:style>
  <w:style w:type="paragraph" w:customStyle="1" w:styleId="Disclaimer">
    <w:name w:val="Disclaimer"/>
    <w:basedOn w:val="Normal"/>
    <w:rsid w:val="0051720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17205"/>
    <w:pPr>
      <w:spacing w:before="0" w:after="0" w:line="276" w:lineRule="auto"/>
      <w:ind w:left="5103"/>
      <w:jc w:val="left"/>
    </w:pPr>
    <w:rPr>
      <w:sz w:val="28"/>
    </w:rPr>
  </w:style>
  <w:style w:type="paragraph" w:customStyle="1" w:styleId="DateMarking">
    <w:name w:val="DateMarking"/>
    <w:basedOn w:val="Normal"/>
    <w:rsid w:val="00517205"/>
    <w:pPr>
      <w:spacing w:before="0" w:after="0" w:line="276" w:lineRule="auto"/>
      <w:ind w:left="5103"/>
      <w:jc w:val="left"/>
    </w:pPr>
    <w:rPr>
      <w:i/>
      <w:sz w:val="28"/>
    </w:rPr>
  </w:style>
  <w:style w:type="paragraph" w:customStyle="1" w:styleId="ReleasableTo">
    <w:name w:val="ReleasableTo"/>
    <w:basedOn w:val="Normal"/>
    <w:rsid w:val="00517205"/>
    <w:pPr>
      <w:spacing w:before="0" w:after="0" w:line="276" w:lineRule="auto"/>
      <w:ind w:left="5103"/>
      <w:jc w:val="left"/>
    </w:pPr>
    <w:rPr>
      <w:i/>
      <w:sz w:val="28"/>
    </w:rPr>
  </w:style>
  <w:style w:type="paragraph" w:customStyle="1" w:styleId="Annexetitreexpos">
    <w:name w:val="Annexe titre (exposé)"/>
    <w:basedOn w:val="Normal"/>
    <w:next w:val="Normal"/>
    <w:rsid w:val="00517205"/>
    <w:pPr>
      <w:jc w:val="center"/>
    </w:pPr>
    <w:rPr>
      <w:b/>
      <w:u w:val="single"/>
    </w:rPr>
  </w:style>
  <w:style w:type="paragraph" w:customStyle="1" w:styleId="Annexetitre">
    <w:name w:val="Annexe titre"/>
    <w:basedOn w:val="Normal"/>
    <w:next w:val="Normal"/>
    <w:rsid w:val="00517205"/>
    <w:pPr>
      <w:jc w:val="center"/>
    </w:pPr>
    <w:rPr>
      <w:b/>
      <w:u w:val="single"/>
    </w:rPr>
  </w:style>
  <w:style w:type="paragraph" w:customStyle="1" w:styleId="Annexetitrefichefinancire">
    <w:name w:val="Annexe titre (fiche financière)"/>
    <w:basedOn w:val="Normal"/>
    <w:next w:val="Normal"/>
    <w:rsid w:val="00517205"/>
    <w:pPr>
      <w:jc w:val="center"/>
    </w:pPr>
    <w:rPr>
      <w:b/>
      <w:u w:val="single"/>
    </w:rPr>
  </w:style>
  <w:style w:type="paragraph" w:customStyle="1" w:styleId="Applicationdirecte">
    <w:name w:val="Application directe"/>
    <w:basedOn w:val="Normal"/>
    <w:next w:val="Fait"/>
    <w:rsid w:val="00517205"/>
    <w:pPr>
      <w:spacing w:before="480"/>
    </w:pPr>
  </w:style>
  <w:style w:type="paragraph" w:customStyle="1" w:styleId="Avertissementtitre">
    <w:name w:val="Avertissement titre"/>
    <w:basedOn w:val="Normal"/>
    <w:next w:val="Normal"/>
    <w:rsid w:val="00517205"/>
    <w:pPr>
      <w:keepNext/>
      <w:spacing w:before="480"/>
    </w:pPr>
    <w:rPr>
      <w:u w:val="single"/>
    </w:rPr>
  </w:style>
  <w:style w:type="paragraph" w:customStyle="1" w:styleId="Confidence">
    <w:name w:val="Confidence"/>
    <w:basedOn w:val="Normal"/>
    <w:next w:val="Normal"/>
    <w:rsid w:val="00517205"/>
    <w:pPr>
      <w:spacing w:before="360"/>
      <w:jc w:val="center"/>
    </w:pPr>
  </w:style>
  <w:style w:type="paragraph" w:customStyle="1" w:styleId="Confidentialit">
    <w:name w:val="Confidentialité"/>
    <w:basedOn w:val="Normal"/>
    <w:next w:val="TypedudocumentPagedecouverture"/>
    <w:rsid w:val="00517205"/>
    <w:pPr>
      <w:spacing w:before="240" w:after="240"/>
      <w:ind w:left="5103"/>
      <w:jc w:val="left"/>
    </w:pPr>
    <w:rPr>
      <w:i/>
      <w:sz w:val="32"/>
    </w:rPr>
  </w:style>
  <w:style w:type="paragraph" w:customStyle="1" w:styleId="Considrant">
    <w:name w:val="Considérant"/>
    <w:basedOn w:val="Normal"/>
    <w:rsid w:val="00517205"/>
    <w:pPr>
      <w:numPr>
        <w:numId w:val="25"/>
      </w:numPr>
    </w:pPr>
  </w:style>
  <w:style w:type="paragraph" w:customStyle="1" w:styleId="Corrigendum">
    <w:name w:val="Corrigendum"/>
    <w:basedOn w:val="Normal"/>
    <w:next w:val="Normal"/>
    <w:rsid w:val="00517205"/>
    <w:pPr>
      <w:spacing w:before="0" w:after="240"/>
      <w:jc w:val="left"/>
    </w:pPr>
  </w:style>
  <w:style w:type="paragraph" w:customStyle="1" w:styleId="Datedadoption">
    <w:name w:val="Date d'adoption"/>
    <w:basedOn w:val="Normal"/>
    <w:next w:val="Titreobjet"/>
    <w:rsid w:val="00517205"/>
    <w:pPr>
      <w:spacing w:before="360" w:after="0"/>
      <w:jc w:val="center"/>
    </w:pPr>
    <w:rPr>
      <w:b/>
    </w:rPr>
  </w:style>
  <w:style w:type="paragraph" w:customStyle="1" w:styleId="Exposdesmotifstitre">
    <w:name w:val="Exposé des motifs titre"/>
    <w:basedOn w:val="Normal"/>
    <w:next w:val="Normal"/>
    <w:rsid w:val="00517205"/>
    <w:pPr>
      <w:jc w:val="center"/>
    </w:pPr>
    <w:rPr>
      <w:b/>
      <w:u w:val="single"/>
    </w:rPr>
  </w:style>
  <w:style w:type="paragraph" w:customStyle="1" w:styleId="Fait">
    <w:name w:val="Fait à"/>
    <w:basedOn w:val="Normal"/>
    <w:next w:val="Institutionquisigne"/>
    <w:rsid w:val="00517205"/>
    <w:pPr>
      <w:keepNext/>
      <w:spacing w:after="0"/>
    </w:pPr>
  </w:style>
  <w:style w:type="paragraph" w:customStyle="1" w:styleId="Formuledadoption">
    <w:name w:val="Formule d'adoption"/>
    <w:basedOn w:val="Normal"/>
    <w:next w:val="Titrearticle"/>
    <w:rsid w:val="00517205"/>
    <w:pPr>
      <w:keepNext/>
    </w:pPr>
  </w:style>
  <w:style w:type="paragraph" w:customStyle="1" w:styleId="Institutionquiagit">
    <w:name w:val="Institution qui agit"/>
    <w:basedOn w:val="Normal"/>
    <w:next w:val="Normal"/>
    <w:rsid w:val="00517205"/>
    <w:pPr>
      <w:keepNext/>
      <w:spacing w:before="600"/>
    </w:pPr>
  </w:style>
  <w:style w:type="paragraph" w:customStyle="1" w:styleId="Institutionquisigne">
    <w:name w:val="Institution qui signe"/>
    <w:basedOn w:val="Normal"/>
    <w:next w:val="Personnequisigne"/>
    <w:rsid w:val="00517205"/>
    <w:pPr>
      <w:keepNext/>
      <w:tabs>
        <w:tab w:val="left" w:pos="4252"/>
      </w:tabs>
      <w:spacing w:before="720" w:after="0"/>
    </w:pPr>
    <w:rPr>
      <w:i/>
    </w:rPr>
  </w:style>
  <w:style w:type="paragraph" w:customStyle="1" w:styleId="ManualConsidrant">
    <w:name w:val="Manual Considérant"/>
    <w:basedOn w:val="Normal"/>
    <w:rsid w:val="00517205"/>
    <w:pPr>
      <w:ind w:left="709" w:hanging="709"/>
    </w:pPr>
  </w:style>
  <w:style w:type="paragraph" w:customStyle="1" w:styleId="Personnequisigne">
    <w:name w:val="Personne qui signe"/>
    <w:basedOn w:val="Normal"/>
    <w:next w:val="Institutionquisigne"/>
    <w:rsid w:val="00517205"/>
    <w:pPr>
      <w:tabs>
        <w:tab w:val="left" w:pos="4252"/>
      </w:tabs>
      <w:spacing w:before="0" w:after="0"/>
      <w:jc w:val="left"/>
    </w:pPr>
    <w:rPr>
      <w:i/>
    </w:rPr>
  </w:style>
  <w:style w:type="paragraph" w:customStyle="1" w:styleId="Rfrenceinterinstitutionnelle">
    <w:name w:val="Référence interinstitutionnelle"/>
    <w:basedOn w:val="Normal"/>
    <w:next w:val="Statut"/>
    <w:rsid w:val="00517205"/>
    <w:pPr>
      <w:spacing w:before="0" w:after="0"/>
      <w:ind w:left="5103"/>
      <w:jc w:val="left"/>
    </w:pPr>
  </w:style>
  <w:style w:type="paragraph" w:customStyle="1" w:styleId="Rfrenceinterne">
    <w:name w:val="Référence interne"/>
    <w:basedOn w:val="Normal"/>
    <w:next w:val="Rfrenceinterinstitutionnelle"/>
    <w:rsid w:val="00517205"/>
    <w:pPr>
      <w:spacing w:before="0" w:after="0"/>
      <w:ind w:left="5103"/>
      <w:jc w:val="left"/>
    </w:pPr>
  </w:style>
  <w:style w:type="paragraph" w:customStyle="1" w:styleId="Statut">
    <w:name w:val="Statut"/>
    <w:basedOn w:val="Normal"/>
    <w:next w:val="Typedudocument"/>
    <w:rsid w:val="00517205"/>
    <w:pPr>
      <w:spacing w:before="360" w:after="0"/>
      <w:jc w:val="center"/>
    </w:pPr>
  </w:style>
  <w:style w:type="paragraph" w:customStyle="1" w:styleId="Titrearticle">
    <w:name w:val="Titre article"/>
    <w:basedOn w:val="Normal"/>
    <w:next w:val="Normal"/>
    <w:rsid w:val="00517205"/>
    <w:pPr>
      <w:keepNext/>
      <w:spacing w:before="360"/>
      <w:jc w:val="center"/>
    </w:pPr>
    <w:rPr>
      <w:i/>
    </w:rPr>
  </w:style>
  <w:style w:type="paragraph" w:customStyle="1" w:styleId="Titreobjet">
    <w:name w:val="Titre objet"/>
    <w:basedOn w:val="Normal"/>
    <w:next w:val="IntrtEEE"/>
    <w:rsid w:val="00517205"/>
    <w:pPr>
      <w:spacing w:before="360" w:after="360"/>
      <w:jc w:val="center"/>
    </w:pPr>
    <w:rPr>
      <w:b/>
    </w:rPr>
  </w:style>
  <w:style w:type="paragraph" w:customStyle="1" w:styleId="Typedudocument">
    <w:name w:val="Type du document"/>
    <w:basedOn w:val="Normal"/>
    <w:next w:val="Titreobjet"/>
    <w:rsid w:val="00517205"/>
    <w:pPr>
      <w:spacing w:before="360" w:after="0"/>
      <w:jc w:val="center"/>
    </w:pPr>
    <w:rPr>
      <w:b/>
    </w:rPr>
  </w:style>
  <w:style w:type="character" w:customStyle="1" w:styleId="Added">
    <w:name w:val="Added"/>
    <w:basedOn w:val="DefaultParagraphFont"/>
    <w:rsid w:val="00517205"/>
    <w:rPr>
      <w:b/>
      <w:u w:val="single"/>
      <w:shd w:val="clear" w:color="auto" w:fill="auto"/>
    </w:rPr>
  </w:style>
  <w:style w:type="character" w:customStyle="1" w:styleId="Deleted">
    <w:name w:val="Deleted"/>
    <w:basedOn w:val="DefaultParagraphFont"/>
    <w:rsid w:val="00517205"/>
    <w:rPr>
      <w:strike/>
      <w:dstrike w:val="0"/>
      <w:shd w:val="clear" w:color="auto" w:fill="auto"/>
    </w:rPr>
  </w:style>
  <w:style w:type="paragraph" w:customStyle="1" w:styleId="Address">
    <w:name w:val="Address"/>
    <w:basedOn w:val="Normal"/>
    <w:next w:val="Normal"/>
    <w:rsid w:val="00517205"/>
    <w:pPr>
      <w:keepLines/>
      <w:spacing w:line="360" w:lineRule="auto"/>
      <w:ind w:left="3402"/>
      <w:jc w:val="left"/>
    </w:pPr>
  </w:style>
  <w:style w:type="paragraph" w:customStyle="1" w:styleId="Objetexterne">
    <w:name w:val="Objet externe"/>
    <w:basedOn w:val="Normal"/>
    <w:next w:val="Normal"/>
    <w:rsid w:val="00517205"/>
    <w:rPr>
      <w:i/>
      <w:caps/>
    </w:rPr>
  </w:style>
  <w:style w:type="paragraph" w:customStyle="1" w:styleId="Supertitre">
    <w:name w:val="Supertitre"/>
    <w:basedOn w:val="Normal"/>
    <w:next w:val="Normal"/>
    <w:rsid w:val="00517205"/>
    <w:pPr>
      <w:spacing w:before="0" w:after="600"/>
      <w:jc w:val="center"/>
    </w:pPr>
    <w:rPr>
      <w:b/>
    </w:rPr>
  </w:style>
  <w:style w:type="paragraph" w:customStyle="1" w:styleId="Languesfaisantfoi">
    <w:name w:val="Langues faisant foi"/>
    <w:basedOn w:val="Normal"/>
    <w:next w:val="Normal"/>
    <w:rsid w:val="00517205"/>
    <w:pPr>
      <w:spacing w:before="360" w:after="0"/>
      <w:jc w:val="center"/>
    </w:pPr>
  </w:style>
  <w:style w:type="paragraph" w:customStyle="1" w:styleId="Rfrencecroise">
    <w:name w:val="Référence croisée"/>
    <w:basedOn w:val="Normal"/>
    <w:rsid w:val="00517205"/>
    <w:pPr>
      <w:spacing w:before="0" w:after="0"/>
      <w:jc w:val="center"/>
    </w:pPr>
  </w:style>
  <w:style w:type="paragraph" w:customStyle="1" w:styleId="Fichefinanciretitre">
    <w:name w:val="Fiche financière titre"/>
    <w:basedOn w:val="Normal"/>
    <w:next w:val="Normal"/>
    <w:rsid w:val="00517205"/>
    <w:pPr>
      <w:jc w:val="center"/>
    </w:pPr>
    <w:rPr>
      <w:b/>
      <w:u w:val="single"/>
    </w:rPr>
  </w:style>
  <w:style w:type="paragraph" w:customStyle="1" w:styleId="DatedadoptionPagedecouverture">
    <w:name w:val="Date d'adoption (Page de couverture)"/>
    <w:basedOn w:val="Datedadoption"/>
    <w:next w:val="TitreobjetPagedecouverture"/>
    <w:rsid w:val="00517205"/>
  </w:style>
  <w:style w:type="paragraph" w:customStyle="1" w:styleId="RfrenceinterinstitutionnellePagedecouverture">
    <w:name w:val="Référence interinstitutionnelle (Page de couverture)"/>
    <w:basedOn w:val="Rfrenceinterinstitutionnelle"/>
    <w:next w:val="Confidentialit"/>
    <w:rsid w:val="00517205"/>
  </w:style>
  <w:style w:type="paragraph" w:customStyle="1" w:styleId="StatutPagedecouverture">
    <w:name w:val="Statut (Page de couverture)"/>
    <w:basedOn w:val="Statut"/>
    <w:next w:val="TypedudocumentPagedecouverture"/>
    <w:rsid w:val="00517205"/>
  </w:style>
  <w:style w:type="paragraph" w:customStyle="1" w:styleId="TitreobjetPagedecouverture">
    <w:name w:val="Titre objet (Page de couverture)"/>
    <w:basedOn w:val="Titreobjet"/>
    <w:next w:val="IntrtEEEPagedecouverture"/>
    <w:rsid w:val="00517205"/>
  </w:style>
  <w:style w:type="paragraph" w:customStyle="1" w:styleId="TypedudocumentPagedecouverture">
    <w:name w:val="Type du document (Page de couverture)"/>
    <w:basedOn w:val="Typedudocument"/>
    <w:next w:val="TitreobjetPagedecouverture"/>
    <w:rsid w:val="00517205"/>
  </w:style>
  <w:style w:type="paragraph" w:customStyle="1" w:styleId="Volume">
    <w:name w:val="Volume"/>
    <w:basedOn w:val="Normal"/>
    <w:next w:val="Confidentialit"/>
    <w:rsid w:val="00517205"/>
    <w:pPr>
      <w:spacing w:before="0" w:after="240"/>
      <w:ind w:left="5103"/>
      <w:jc w:val="left"/>
    </w:pPr>
  </w:style>
  <w:style w:type="paragraph" w:customStyle="1" w:styleId="IntrtEEE">
    <w:name w:val="Intérêt EEE"/>
    <w:basedOn w:val="Languesfaisantfoi"/>
    <w:next w:val="Normal"/>
    <w:rsid w:val="00517205"/>
    <w:pPr>
      <w:spacing w:after="240"/>
    </w:pPr>
  </w:style>
  <w:style w:type="paragraph" w:customStyle="1" w:styleId="Accompagnant">
    <w:name w:val="Accompagnant"/>
    <w:basedOn w:val="Normal"/>
    <w:next w:val="Typeacteprincipal"/>
    <w:rsid w:val="00517205"/>
    <w:pPr>
      <w:spacing w:before="0" w:after="240"/>
      <w:jc w:val="center"/>
    </w:pPr>
    <w:rPr>
      <w:b/>
      <w:i/>
    </w:rPr>
  </w:style>
  <w:style w:type="paragraph" w:customStyle="1" w:styleId="Typeacteprincipal">
    <w:name w:val="Type acte principal"/>
    <w:basedOn w:val="Normal"/>
    <w:next w:val="Objetacteprincipal"/>
    <w:rsid w:val="00517205"/>
    <w:pPr>
      <w:spacing w:before="0" w:after="240"/>
      <w:jc w:val="center"/>
    </w:pPr>
    <w:rPr>
      <w:b/>
    </w:rPr>
  </w:style>
  <w:style w:type="paragraph" w:customStyle="1" w:styleId="Objetacteprincipal">
    <w:name w:val="Objet acte principal"/>
    <w:basedOn w:val="Normal"/>
    <w:next w:val="Titrearticle"/>
    <w:rsid w:val="00517205"/>
    <w:pPr>
      <w:spacing w:before="0" w:after="360"/>
      <w:jc w:val="center"/>
    </w:pPr>
    <w:rPr>
      <w:b/>
    </w:rPr>
  </w:style>
  <w:style w:type="paragraph" w:customStyle="1" w:styleId="IntrtEEEPagedecouverture">
    <w:name w:val="Intérêt EEE (Page de couverture)"/>
    <w:basedOn w:val="IntrtEEE"/>
    <w:next w:val="Rfrencecroise"/>
    <w:rsid w:val="00517205"/>
  </w:style>
  <w:style w:type="paragraph" w:customStyle="1" w:styleId="AccompagnantPagedecouverture">
    <w:name w:val="Accompagnant (Page de couverture)"/>
    <w:basedOn w:val="Accompagnant"/>
    <w:next w:val="TypeacteprincipalPagedecouverture"/>
    <w:rsid w:val="00517205"/>
  </w:style>
  <w:style w:type="paragraph" w:customStyle="1" w:styleId="TypeacteprincipalPagedecouverture">
    <w:name w:val="Type acte principal (Page de couverture)"/>
    <w:basedOn w:val="Typeacteprincipal"/>
    <w:next w:val="ObjetacteprincipalPagedecouverture"/>
    <w:rsid w:val="00517205"/>
  </w:style>
  <w:style w:type="paragraph" w:customStyle="1" w:styleId="ObjetacteprincipalPagedecouverture">
    <w:name w:val="Objet acte principal (Page de couverture)"/>
    <w:basedOn w:val="Objetacteprincipal"/>
    <w:next w:val="Rfrencecroise"/>
    <w:rsid w:val="00517205"/>
  </w:style>
  <w:style w:type="paragraph" w:customStyle="1" w:styleId="LanguesfaisantfoiPagedecouverture">
    <w:name w:val="Langues faisant foi (Page de couverture)"/>
    <w:basedOn w:val="Normal"/>
    <w:next w:val="Normal"/>
    <w:rsid w:val="00517205"/>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92</TotalTime>
  <Pages>6</Pages>
  <Words>1430</Words>
  <Characters>7253</Characters>
  <Application>Microsoft Office Word</Application>
  <DocSecurity>0</DocSecurity>
  <Lines>142</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46</cp:revision>
  <dcterms:created xsi:type="dcterms:W3CDTF">2022-12-29T07:46:00Z</dcterms:created>
  <dcterms:modified xsi:type="dcterms:W3CDTF">2023-01-05T16:20:00Z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8.0, Build 20220128</vt:lpwstr>
  </property>
  <property fmtid="{D5CDD505-2E9C-101B-9397-08002B2CF9AE}" pid="5" name="Created using">
    <vt:lpwstr>LW 8.0.1, Build 20220429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