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3AA27" w14:textId="415FD84E" w:rsidR="00C77BCE" w:rsidRPr="00114E09" w:rsidRDefault="00BF1BBA" w:rsidP="00BF1BBA">
      <w:pPr>
        <w:pStyle w:val="Pagedecouverture"/>
        <w:rPr>
          <w:noProof/>
        </w:rPr>
      </w:pPr>
      <w:bookmarkStart w:id="0" w:name="LW_BM_COVERPAGE"/>
      <w:r>
        <w:rPr>
          <w:noProof/>
        </w:rPr>
        <w:pict w14:anchorId="10775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0FD22C48-EC92-4025-B564-57BD5CDE96A9" style="width:455pt;height:474pt">
            <v:imagedata r:id="rId8" o:title=""/>
          </v:shape>
        </w:pict>
      </w:r>
    </w:p>
    <w:bookmarkEnd w:id="0"/>
    <w:p w14:paraId="52837F52" w14:textId="77777777" w:rsidR="00C77BCE" w:rsidRPr="00114E09" w:rsidRDefault="00C77BCE" w:rsidP="005758AA">
      <w:pPr>
        <w:spacing w:line="240" w:lineRule="auto"/>
        <w:rPr>
          <w:rFonts w:ascii="Times New Roman" w:hAnsi="Times New Roman" w:cs="Times New Roman"/>
          <w:noProof/>
          <w:sz w:val="24"/>
          <w:szCs w:val="24"/>
        </w:rPr>
        <w:sectPr w:rsidR="00C77BCE" w:rsidRPr="00114E09" w:rsidSect="00BF1BBA">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19B84EDF" w14:textId="77777777" w:rsidR="00DC53E2" w:rsidRPr="00114E09" w:rsidRDefault="00DC53E2" w:rsidP="005758AA">
      <w:pPr>
        <w:pStyle w:val="Briefingheading1"/>
        <w:numPr>
          <w:ilvl w:val="0"/>
          <w:numId w:val="9"/>
        </w:numPr>
        <w:spacing w:before="360" w:after="200"/>
        <w:rPr>
          <w:rFonts w:ascii="Times New Roman" w:eastAsiaTheme="minorHAnsi" w:hAnsi="Times New Roman"/>
          <w:noProof/>
          <w:u w:val="none"/>
        </w:rPr>
      </w:pPr>
      <w:bookmarkStart w:id="1" w:name="_Toc108117270"/>
      <w:r>
        <w:rPr>
          <w:rFonts w:ascii="Times New Roman" w:hAnsi="Times New Roman"/>
          <w:noProof/>
          <w:u w:val="none"/>
        </w:rPr>
        <w:lastRenderedPageBreak/>
        <w:t>IEVADS</w:t>
      </w:r>
      <w:bookmarkEnd w:id="1"/>
    </w:p>
    <w:p w14:paraId="375FE73F" w14:textId="780B6C20" w:rsidR="00DF1453" w:rsidRPr="00114E09" w:rsidRDefault="00DC53E2" w:rsidP="005758AA">
      <w:pPr>
        <w:pStyle w:val="Default"/>
        <w:spacing w:after="120"/>
        <w:jc w:val="both"/>
        <w:rPr>
          <w:noProof/>
        </w:rPr>
      </w:pPr>
      <w:r>
        <w:rPr>
          <w:noProof/>
        </w:rPr>
        <w:t>Pēdējā gada laikā ES ir saskārusies ar virkni notikumu, kas būtiski ietekmējuši migrācijas, patvēruma un robežu pārvaldības procesus. Krievijas uzsāktais neprovocētais agresijas karš pret Ukrainu izraisīja lielāko iedzīvotāju piespiedu pārvietošanu Eiropā kopš Otrā pasaules kara, un paredzams, ka nesenā kara eskalācija palielinās Krievijas pilsoņu ieceļošanas gadījumu skaitu uz Savienības ārējām robežām. Pastāvīgais spiediens uz migrācijas ceļiem Vidusjūras reģionā un Rietumbalkānos vēl vairāk palielināja migrācijas plūsmu pieauguma radītās problēmas. Baltkrievijas režīma īstenotā migrantu instrumentalizācija politiskos nolūkos radīja vēl nebijušas juridiskas un operatīvas problēmas. Vienlaikus dalībvalstis saskārās ar nepieciešamību uzlabot robežu un vīzu pārvaldību, jo tika atcelti Covid-19 dēļ noteiktie ceļošanas ierobežojumi un atsākās tūrisma un darījumdarbības aktivitātes.</w:t>
      </w:r>
    </w:p>
    <w:p w14:paraId="4D095E42" w14:textId="77777777" w:rsidR="00DC53E2" w:rsidRPr="00114E09" w:rsidRDefault="00DC53E2" w:rsidP="005758AA">
      <w:pPr>
        <w:pStyle w:val="Default"/>
        <w:spacing w:after="120"/>
        <w:jc w:val="both"/>
        <w:rPr>
          <w:iCs/>
          <w:noProof/>
        </w:rPr>
      </w:pPr>
      <w:r>
        <w:rPr>
          <w:noProof/>
        </w:rPr>
        <w:t xml:space="preserve">ES ir pierādījusi, ka spēj reaģēt ātri, ar reālu solidaritāti un rezultatīvu koordināciju. Bezprecedenta Pagaidu aizsardzības direktīvas aktivizēšana un tik daudzu eiropiešu individuāli sniegtais atbalsts cilvēkiem, kas bēg no Ukrainas, ir spilgts Eiropas vērtību apliecinājums. Praktiska un tieša rīcība ir parādījusi, kā ES palīdz gan cilvēkiem, kam vajadzīga aizsardzība, gan dalībvalstīm, kuras ir pakļautas spiedienam. </w:t>
      </w:r>
    </w:p>
    <w:p w14:paraId="7B71DB0C" w14:textId="2B2ED2F6" w:rsidR="00DC53E2" w:rsidRPr="00114E09" w:rsidRDefault="001F0F16" w:rsidP="005758AA">
      <w:pPr>
        <w:pStyle w:val="ListParagraph"/>
        <w:spacing w:before="0" w:after="120"/>
        <w:ind w:left="0"/>
        <w:contextualSpacing w:val="0"/>
        <w:jc w:val="both"/>
        <w:rPr>
          <w:rFonts w:ascii="Times New Roman" w:hAnsi="Times New Roman" w:cs="Times New Roman"/>
          <w:noProof/>
          <w:sz w:val="24"/>
          <w:szCs w:val="24"/>
        </w:rPr>
      </w:pPr>
      <w:r>
        <w:rPr>
          <w:rFonts w:ascii="Times New Roman" w:hAnsi="Times New Roman"/>
          <w:noProof/>
          <w:sz w:val="24"/>
        </w:rPr>
        <w:t xml:space="preserve">Reakcija uz kara sekām atspoguļo arvien lielāko ES kopīgas reaģēšanas spēju. Migrācijas sagatavotības un krīzes plāna tīkls nodrošināja jaunu veidu, kā stiprināt saziņu un savstarpējo informētību kā pamatu saskaņotai ES reakcijai. Solidaritātes platforma ir nodrošinājusi centru, kas koordinē no Ukrainas bēgošo cilvēku uzņemšanu. Jaunā ES Patvēruma aģentūra, </w:t>
      </w:r>
      <w:r>
        <w:rPr>
          <w:rFonts w:ascii="Times New Roman" w:hAnsi="Times New Roman"/>
          <w:i/>
          <w:noProof/>
          <w:sz w:val="24"/>
        </w:rPr>
        <w:t>Frontex</w:t>
      </w:r>
      <w:r>
        <w:rPr>
          <w:rFonts w:ascii="Times New Roman" w:hAnsi="Times New Roman"/>
          <w:noProof/>
          <w:sz w:val="24"/>
        </w:rPr>
        <w:t xml:space="preserve"> un Eiropols palielināja savu palīdzības apjomu, lai atbalstītu dalībvalstis, kas saskaras ar jaunajām problēmām. </w:t>
      </w:r>
    </w:p>
    <w:p w14:paraId="7F3253D6" w14:textId="64986133" w:rsidR="00DC53E2" w:rsidRPr="00114E09" w:rsidRDefault="001F0F16" w:rsidP="005758AA">
      <w:pPr>
        <w:pStyle w:val="ListParagraph"/>
        <w:spacing w:before="0" w:after="120"/>
        <w:ind w:left="0"/>
        <w:contextualSpacing w:val="0"/>
        <w:jc w:val="both"/>
        <w:rPr>
          <w:rFonts w:ascii="Times New Roman" w:hAnsi="Times New Roman" w:cs="Times New Roman"/>
          <w:noProof/>
          <w:sz w:val="24"/>
          <w:szCs w:val="24"/>
        </w:rPr>
      </w:pPr>
      <w:r>
        <w:rPr>
          <w:rFonts w:ascii="Times New Roman" w:hAnsi="Times New Roman"/>
          <w:noProof/>
          <w:sz w:val="24"/>
        </w:rPr>
        <w:t>Savienības straujā reaģētspēja un elastība palīdz mums pārvarēt problēmas. Tomēr gads kopš pēdējā ziņojuma par migrāciju</w:t>
      </w:r>
      <w:r>
        <w:rPr>
          <w:rStyle w:val="FootnoteReference"/>
          <w:rFonts w:ascii="Times New Roman" w:eastAsiaTheme="minorEastAsia" w:hAnsi="Times New Roman" w:cs="Times New Roman"/>
          <w:noProof/>
          <w:sz w:val="24"/>
          <w:szCs w:val="24"/>
        </w:rPr>
        <w:footnoteReference w:id="1"/>
      </w:r>
      <w:r>
        <w:rPr>
          <w:rFonts w:ascii="Times New Roman" w:hAnsi="Times New Roman"/>
          <w:noProof/>
          <w:sz w:val="24"/>
        </w:rPr>
        <w:t xml:space="preserve"> ir apstiprinājis, ka ES patvēruma un migrācijas sistēmā ir nepieciešamas strukturālas reformas, lai ES spētu risināt gan krīzes situācijas, gan ilgtermiņa tendences. Francijas prezidentūras laikā paveiktais darbs ir radījis pozitīvu dinamiku, kas saistībā ar Migrācijas un patvēruma paktu</w:t>
      </w:r>
      <w:r>
        <w:rPr>
          <w:rStyle w:val="FootnoteReference"/>
          <w:rFonts w:ascii="Times New Roman" w:hAnsi="Times New Roman" w:cs="Times New Roman"/>
          <w:noProof/>
          <w:sz w:val="24"/>
          <w:szCs w:val="24"/>
          <w:lang w:eastAsia="en-GB"/>
        </w:rPr>
        <w:footnoteReference w:id="2"/>
      </w:r>
      <w:r>
        <w:rPr>
          <w:rFonts w:ascii="Times New Roman" w:hAnsi="Times New Roman"/>
          <w:noProof/>
          <w:sz w:val="24"/>
        </w:rPr>
        <w:t xml:space="preserve"> ļāva panākt ievērojamu progresu gan iekšējā, gan ārējā dimensijā. Dalībvalstu sadarbības atsākšanai ar Komisijas atbalstu par pamatu tika izmantota jauna Solidaritātes deklarācija. Padziļinājās mūsu partnerība ar galvenajām izcelsmes un tranzīta valstīm visos migrācijas un piespiedu pārvietošanas aspektos. Rezultātus deva arī diplomātiskais darbs — gan saistībā ar plašāku sadarbību migrācijas jomā, gan tādos svarīgos gadījumos kā Baltkrievijas režīma īstenotā migrantu instrumentalizācija. </w:t>
      </w:r>
    </w:p>
    <w:p w14:paraId="48C72ED4" w14:textId="3F419E4C" w:rsidR="00DC53E2" w:rsidRPr="00114E09" w:rsidRDefault="00DC53E2" w:rsidP="005758AA">
      <w:pPr>
        <w:pStyle w:val="ListParagraph"/>
        <w:spacing w:before="0" w:after="120"/>
        <w:ind w:left="0"/>
        <w:contextualSpacing w:val="0"/>
        <w:jc w:val="both"/>
        <w:rPr>
          <w:rFonts w:ascii="Times New Roman" w:hAnsi="Times New Roman" w:cs="Times New Roman"/>
          <w:noProof/>
          <w:sz w:val="24"/>
          <w:szCs w:val="24"/>
        </w:rPr>
      </w:pPr>
      <w:r>
        <w:rPr>
          <w:rFonts w:ascii="Times New Roman" w:hAnsi="Times New Roman"/>
          <w:noProof/>
          <w:sz w:val="24"/>
        </w:rPr>
        <w:t xml:space="preserve">Darbaspēka trūkums daudzās nozarēs un visās dalībvalstīs norāda uz nepieciešamību piesaistīt dinamisku darbaspēku, kā arī izveidot drošus ceļus, kas mazinātu stimulus neatbilstīgai migrācijai. Jaunais Prasmju un talantu tiesību aktu priekšlikumu kopums atspoguļo pakta visaptverošo partnerību pieeju starptautiskā līmenī. </w:t>
      </w:r>
    </w:p>
    <w:p w14:paraId="0DAF820B" w14:textId="3D50E441" w:rsidR="006F3AB3" w:rsidRDefault="006F3AB3" w:rsidP="005758AA">
      <w:pPr>
        <w:spacing w:after="120" w:line="240" w:lineRule="auto"/>
        <w:jc w:val="both"/>
        <w:rPr>
          <w:rFonts w:ascii="Times New Roman" w:hAnsi="Times New Roman" w:cs="Times New Roman"/>
          <w:noProof/>
          <w:sz w:val="24"/>
          <w:szCs w:val="24"/>
        </w:rPr>
      </w:pPr>
      <w:r>
        <w:rPr>
          <w:rFonts w:ascii="Times New Roman" w:hAnsi="Times New Roman"/>
          <w:noProof/>
          <w:sz w:val="24"/>
        </w:rPr>
        <w:t>Komisija atzinīgi vērtē kopīgo ceļvedi, par kuru vienojušies Eiropas Parlaments un Padomes rotējošās prezidentvalstis un kurā apstiprināta apņemšanās darīt visu iespējamo, lai līdz 2019.–2024. gada sasaukuma beigām pieņemtu tiesību aktu priekšlikumus, kas saistīti ar paktā izklāstīto patvēruma un migrācijas pārvaldību.</w:t>
      </w:r>
    </w:p>
    <w:p w14:paraId="1C5C5F0C" w14:textId="1D562AAA" w:rsidR="00DC53E2" w:rsidRPr="00114E09" w:rsidRDefault="00DC53E2" w:rsidP="005758AA">
      <w:pPr>
        <w:spacing w:after="120" w:line="240" w:lineRule="auto"/>
        <w:jc w:val="both"/>
        <w:rPr>
          <w:rFonts w:ascii="Times New Roman" w:hAnsi="Times New Roman" w:cs="Times New Roman"/>
          <w:bCs/>
          <w:noProof/>
          <w:sz w:val="24"/>
          <w:szCs w:val="24"/>
        </w:rPr>
      </w:pPr>
      <w:r>
        <w:rPr>
          <w:rFonts w:ascii="Times New Roman" w:hAnsi="Times New Roman"/>
          <w:noProof/>
          <w:sz w:val="24"/>
        </w:rPr>
        <w:t>Šajā ziņojumā ir sniegts panāktā progresa kopsavilkums un aprakstīti galvenie notikumi migrācijas un patvēruma jomā pēdējā gada laikā. Tajā ir norādītas galvenās problēmas, kas jārisina nākotnē, un atgādināts, kādi pasākumi ir nepieciešami, lai izveidotu stabilāku un taisnīgāku migrācijas un patvēruma politiku.</w:t>
      </w:r>
    </w:p>
    <w:p w14:paraId="1EB715A5" w14:textId="77777777" w:rsidR="00DC53E2" w:rsidRPr="00114E09" w:rsidRDefault="00DC53E2" w:rsidP="005758AA">
      <w:pPr>
        <w:pStyle w:val="Briefingheading1"/>
        <w:numPr>
          <w:ilvl w:val="0"/>
          <w:numId w:val="9"/>
        </w:numPr>
        <w:spacing w:before="360" w:after="200"/>
        <w:rPr>
          <w:rFonts w:ascii="Times New Roman" w:hAnsi="Times New Roman"/>
          <w:noProof/>
          <w:u w:val="none"/>
        </w:rPr>
      </w:pPr>
      <w:bookmarkStart w:id="2" w:name="_Toc108117271"/>
      <w:r>
        <w:rPr>
          <w:rFonts w:ascii="Times New Roman" w:hAnsi="Times New Roman"/>
          <w:noProof/>
          <w:u w:val="none"/>
        </w:rPr>
        <w:lastRenderedPageBreak/>
        <w:t>ES REAKCIJA UZ KRIEVIJAS IEBRUKUMU UKRAINĀ</w:t>
      </w:r>
      <w:bookmarkEnd w:id="2"/>
      <w:r>
        <w:rPr>
          <w:rFonts w:ascii="Times New Roman" w:hAnsi="Times New Roman"/>
          <w:noProof/>
          <w:u w:val="none"/>
        </w:rPr>
        <w:t xml:space="preserve"> </w:t>
      </w:r>
    </w:p>
    <w:p w14:paraId="70C61CF3" w14:textId="77777777" w:rsidR="00DC53E2" w:rsidRPr="00114E09" w:rsidRDefault="00DC53E2" w:rsidP="005758AA">
      <w:pPr>
        <w:pStyle w:val="p3"/>
        <w:spacing w:before="0" w:beforeAutospacing="0" w:after="120" w:afterAutospacing="0"/>
        <w:jc w:val="both"/>
        <w:rPr>
          <w:rFonts w:eastAsia="Calibri"/>
          <w:iCs/>
          <w:noProof/>
        </w:rPr>
      </w:pPr>
      <w:r>
        <w:rPr>
          <w:noProof/>
        </w:rPr>
        <w:t>Eiropa ir bezprecedenta kārtā uzņēmusi miljoniem cilvēku, kas bēg no Krievijas agresijas kara pret Ukrainu. Komisija ātri reaģēja uz šā izaicinājuma mērogu</w:t>
      </w:r>
      <w:r>
        <w:rPr>
          <w:rStyle w:val="FootnoteReference"/>
          <w:noProof/>
          <w:lang w:eastAsia="de-DE"/>
        </w:rPr>
        <w:footnoteReference w:id="3"/>
      </w:r>
      <w:r>
        <w:rPr>
          <w:noProof/>
        </w:rPr>
        <w:t xml:space="preserve">, liekot lietā visus ES līmenī pieejamos instrumentus, lai atbalstītu dalībvalstis, kā arī izmantojot pašu eiropiešu ārkārtīgo dāsnumu. Šis darbs, lai sniegtu palīdzību ES iekšienē, tiek veikts ciešā saistībā ar darbu, lai palīdzētu nodrošināt humānās palīdzības vajadzības un sākt atjaunošanas darbus pašā Ukrainā (sk. 7. iedaļu).  </w:t>
      </w:r>
    </w:p>
    <w:p w14:paraId="7B519773" w14:textId="77777777" w:rsidR="00DC53E2" w:rsidRPr="00114E09" w:rsidRDefault="00DC53E2" w:rsidP="005758AA">
      <w:pPr>
        <w:pStyle w:val="p3"/>
        <w:spacing w:before="0" w:beforeAutospacing="0" w:after="120" w:afterAutospacing="0"/>
        <w:jc w:val="both"/>
        <w:rPr>
          <w:bCs/>
          <w:iCs/>
          <w:noProof/>
        </w:rPr>
      </w:pPr>
      <w:r>
        <w:rPr>
          <w:noProof/>
        </w:rPr>
        <w:t>ES uzņemšanas pasākumu kodols bija 2022. gada 4. martā</w:t>
      </w:r>
      <w:r>
        <w:rPr>
          <w:rStyle w:val="FootnoteReference"/>
          <w:bCs/>
          <w:iCs/>
          <w:noProof/>
        </w:rPr>
        <w:footnoteReference w:id="4"/>
      </w:r>
      <w:r>
        <w:rPr>
          <w:noProof/>
        </w:rPr>
        <w:t xml:space="preserve"> pirmo reizi aktivizētā </w:t>
      </w:r>
      <w:r>
        <w:rPr>
          <w:b/>
          <w:noProof/>
        </w:rPr>
        <w:t>Pagaidu aizsardzības direktīva</w:t>
      </w:r>
      <w:r>
        <w:rPr>
          <w:rStyle w:val="FootnoteReference"/>
          <w:noProof/>
        </w:rPr>
        <w:footnoteReference w:id="5"/>
      </w:r>
      <w:r>
        <w:rPr>
          <w:noProof/>
        </w:rPr>
        <w:t xml:space="preserve">, kas personām, kura bēga no kara, nodrošināja skaidru juridisko statusu un bezprecedenta aizsardzību visā ES ar tiesībām uz izmitināšanu, izglītību un veselības aprūpi, kā arī piekļuvi darbam. </w:t>
      </w:r>
      <w:bookmarkStart w:id="3" w:name="_Hlk115020503"/>
      <w:r>
        <w:rPr>
          <w:noProof/>
        </w:rPr>
        <w:t xml:space="preserve">Ir </w:t>
      </w:r>
      <w:r>
        <w:rPr>
          <w:b/>
          <w:noProof/>
        </w:rPr>
        <w:t xml:space="preserve">reģistrēti </w:t>
      </w:r>
      <w:r>
        <w:rPr>
          <w:noProof/>
        </w:rPr>
        <w:t xml:space="preserve">vairāk nekā </w:t>
      </w:r>
      <w:r>
        <w:rPr>
          <w:b/>
          <w:noProof/>
        </w:rPr>
        <w:t>4 miljoni</w:t>
      </w:r>
      <w:bookmarkEnd w:id="3"/>
      <w:r>
        <w:rPr>
          <w:noProof/>
        </w:rPr>
        <w:t xml:space="preserve"> pieteikumu par pagaidu aizsardzību vai pienācīgu aizsardzību saskaņā ar dalībvalstu tiesību aktiem.</w:t>
      </w:r>
    </w:p>
    <w:p w14:paraId="042C1CAE" w14:textId="2789D84A" w:rsidR="00DC53E2" w:rsidRDefault="00DC53E2" w:rsidP="005758AA">
      <w:pPr>
        <w:pStyle w:val="p3"/>
        <w:spacing w:before="0" w:beforeAutospacing="0" w:after="120" w:afterAutospacing="0"/>
        <w:jc w:val="both"/>
        <w:rPr>
          <w:noProof/>
        </w:rPr>
      </w:pPr>
      <w:r>
        <w:rPr>
          <w:noProof/>
        </w:rPr>
        <w:t>Komisija, ES aģentūras un dalībvalstis sadarbojās, lai šīs tiesības īstenotu praksē. Komisija ātri izdeva operatīvās vadlīnijas par pārbaudēm pie ES robežām ar Ukrainu</w:t>
      </w:r>
      <w:r>
        <w:rPr>
          <w:rStyle w:val="FootnoteReference"/>
          <w:noProof/>
          <w:lang w:eastAsia="en-US"/>
        </w:rPr>
        <w:footnoteReference w:id="6"/>
      </w:r>
      <w:r>
        <w:rPr>
          <w:noProof/>
        </w:rPr>
        <w:t>, kurās precizēts Šengenas Robežu kodeksa piedāvātais elastīgums situācijas pārvaldībai. Turpmākās vadlīnijas par pagaidu aizsardzību</w:t>
      </w:r>
      <w:r>
        <w:rPr>
          <w:rStyle w:val="FootnoteReference"/>
          <w:bCs/>
          <w:iCs/>
          <w:noProof/>
          <w:lang w:eastAsia="en-US"/>
        </w:rPr>
        <w:footnoteReference w:id="7"/>
      </w:r>
      <w:r>
        <w:rPr>
          <w:noProof/>
        </w:rPr>
        <w:t xml:space="preserve"> ir regulāri atjauninātas</w:t>
      </w:r>
      <w:r>
        <w:rPr>
          <w:rStyle w:val="FootnoteReference"/>
          <w:noProof/>
        </w:rPr>
        <w:footnoteReference w:id="8"/>
      </w:r>
      <w:r>
        <w:rPr>
          <w:noProof/>
        </w:rPr>
        <w:t xml:space="preserve">, lai palīdzētu nodrošināt saņēmējiem konsekventas tiesības visās dalībvalstīs. </w:t>
      </w:r>
    </w:p>
    <w:p w14:paraId="6E3B4428" w14:textId="47D84CBC" w:rsidR="008C5CB5" w:rsidRPr="00781D9E" w:rsidRDefault="008C5CB5" w:rsidP="00916475">
      <w:pPr>
        <w:pStyle w:val="Default"/>
        <w:spacing w:after="240"/>
        <w:jc w:val="both"/>
        <w:rPr>
          <w:noProof/>
        </w:rPr>
      </w:pPr>
      <w:r>
        <w:rPr>
          <w:noProof/>
        </w:rPr>
        <w:t xml:space="preserve">Kopš 2022. gada 24. februāra </w:t>
      </w:r>
      <w:r>
        <w:rPr>
          <w:b/>
          <w:noProof/>
        </w:rPr>
        <w:t>ES migrācijas sagatavotības un krīzes pārvaldības mehānisma tīkls</w:t>
      </w:r>
      <w:r>
        <w:rPr>
          <w:noProof/>
        </w:rPr>
        <w:t xml:space="preserve"> — viens no Migrācijas un patvēruma pakta elementiem, kas jau ir izveidots un darbojas — ir nodrošinājis, ka visi dalībnieki ir informēti par situāciju, lai ES varētu reaģēt rezultatīvi un saskaņoti, cieši koordinējot savu darbību ar citiem forumiem, jo īpaši ar ES integrētajiem krīzes situāciju politiskās reaģēšanas mehānismiem un Solidaritātes platformu.  </w:t>
      </w:r>
    </w:p>
    <w:tbl>
      <w:tblPr>
        <w:tblStyle w:val="TableGrid"/>
        <w:tblW w:w="0" w:type="auto"/>
        <w:tblInd w:w="108" w:type="dxa"/>
        <w:tblLook w:val="04A0" w:firstRow="1" w:lastRow="0" w:firstColumn="1" w:lastColumn="0" w:noHBand="0" w:noVBand="1"/>
      </w:tblPr>
      <w:tblGrid>
        <w:gridCol w:w="9058"/>
      </w:tblGrid>
      <w:tr w:rsidR="00DC53E2" w:rsidRPr="00114E09" w14:paraId="7ACCFFCD" w14:textId="77777777" w:rsidTr="00CC1551">
        <w:tc>
          <w:tcPr>
            <w:tcW w:w="9058" w:type="dxa"/>
          </w:tcPr>
          <w:p w14:paraId="2B54E31A" w14:textId="77777777" w:rsidR="00DC53E2" w:rsidRPr="00114E09" w:rsidRDefault="00DC53E2" w:rsidP="005758AA">
            <w:pPr>
              <w:spacing w:after="120"/>
              <w:rPr>
                <w:rFonts w:ascii="Times New Roman" w:hAnsi="Times New Roman" w:cs="Times New Roman"/>
                <w:b/>
                <w:i/>
                <w:noProof/>
                <w:sz w:val="24"/>
                <w:szCs w:val="24"/>
              </w:rPr>
            </w:pPr>
            <w:r>
              <w:rPr>
                <w:rFonts w:ascii="Times New Roman" w:hAnsi="Times New Roman"/>
                <w:b/>
                <w:i/>
                <w:noProof/>
                <w:sz w:val="24"/>
              </w:rPr>
              <w:t>Solidaritātes platforma</w:t>
            </w:r>
          </w:p>
          <w:p w14:paraId="72993682" w14:textId="6330B61B" w:rsidR="00DC53E2" w:rsidRPr="00114E09" w:rsidRDefault="00DC53E2" w:rsidP="005758AA">
            <w:pPr>
              <w:spacing w:after="120"/>
              <w:rPr>
                <w:rFonts w:ascii="Times New Roman" w:hAnsi="Times New Roman" w:cs="Times New Roman"/>
                <w:noProof/>
                <w:sz w:val="24"/>
                <w:szCs w:val="24"/>
              </w:rPr>
            </w:pPr>
            <w:r>
              <w:rPr>
                <w:rFonts w:ascii="Times New Roman" w:hAnsi="Times New Roman"/>
                <w:noProof/>
                <w:sz w:val="24"/>
              </w:rPr>
              <w:t xml:space="preserve">Komisija izveidoja Solidaritātes platformu, lai papildinātu Pagaidu aizsardzības direktīvas aktivizēšanu. Tā ir kļuvusi par centru saskaņotai Eiropas reakcijai. Tajā piedalās dalībvalstis, Šengenas asociētās valstis, Eiropas Ārējās darbības dienests, ES Patvēruma aģentūra, </w:t>
            </w:r>
            <w:r>
              <w:rPr>
                <w:rFonts w:ascii="Times New Roman" w:hAnsi="Times New Roman"/>
                <w:i/>
                <w:noProof/>
                <w:sz w:val="24"/>
              </w:rPr>
              <w:t>Frontex</w:t>
            </w:r>
            <w:r>
              <w:rPr>
                <w:rFonts w:ascii="Times New Roman" w:hAnsi="Times New Roman"/>
                <w:noProof/>
                <w:sz w:val="24"/>
              </w:rPr>
              <w:t xml:space="preserve"> un Eiropols, Starptautiskā Migrācijas organizācija un ANO bēgļu aģentūra </w:t>
            </w:r>
            <w:r>
              <w:rPr>
                <w:rFonts w:ascii="Times New Roman" w:hAnsi="Times New Roman"/>
                <w:i/>
                <w:noProof/>
                <w:sz w:val="24"/>
              </w:rPr>
              <w:t>UNHCR</w:t>
            </w:r>
            <w:r>
              <w:rPr>
                <w:rFonts w:ascii="Times New Roman" w:hAnsi="Times New Roman"/>
                <w:noProof/>
                <w:sz w:val="24"/>
              </w:rPr>
              <w:t xml:space="preserve">, kā arī Ukraina un Moldova, un to vada Komisija. Tā arī nodrošina iespēju apspriesties ar starptautiskajiem partneriem, jo īpaši ar Amerikas Savienotajām Valstīm, Kanādu un Apvienoto Karalisti. Solidaritātes platforma uzrauga jaunās vajadzības ES un koordinē operatīvo rīcību. Tā ir </w:t>
            </w:r>
            <w:bookmarkStart w:id="4" w:name="_Toc107672234"/>
            <w:r>
              <w:rPr>
                <w:rFonts w:ascii="Times New Roman" w:hAnsi="Times New Roman"/>
                <w:noProof/>
                <w:sz w:val="24"/>
              </w:rPr>
              <w:t xml:space="preserve">apzinājusi uzņemšanas spējas dalībvalstīs, </w:t>
            </w:r>
            <w:r>
              <w:rPr>
                <w:rFonts w:ascii="Times New Roman" w:hAnsi="Times New Roman"/>
                <w:noProof/>
                <w:sz w:val="24"/>
              </w:rPr>
              <w:lastRenderedPageBreak/>
              <w:t xml:space="preserve">palīdzējusi nodrošināt, lai pārvietotie cilvēki zinātu savas iespējas, un atbalstījusi viņu drošību, izmantojot ES Kopējo cilvēku tirdzniecības apkarošanas plānu, kas izstrādāts ES cilvēku tirdzniecības apkarošanas koordinatora vadībā. Platforma ir veicinājusi centienus nodrošināt izglītību, nodarbinātību un ilgtspējīgu izmitināšanu, palīdzēt izceļot no Moldovas un atbalstīt tos, kas izvēlas atgriezties Ukrainā. Pastāvīgi galvenā uzmanība ir pievērsta neaizsargātāko personu, jo īpaši bērnu, aizsardzībai. </w:t>
            </w:r>
            <w:bookmarkEnd w:id="4"/>
          </w:p>
        </w:tc>
      </w:tr>
    </w:tbl>
    <w:p w14:paraId="16F76AF6" w14:textId="771FBF06" w:rsidR="006F3AB3" w:rsidRPr="00EB5DB5" w:rsidRDefault="006F3AB3" w:rsidP="005758AA">
      <w:pPr>
        <w:pStyle w:val="p3"/>
        <w:spacing w:before="120" w:beforeAutospacing="0" w:after="120" w:afterAutospacing="0"/>
        <w:jc w:val="both"/>
        <w:rPr>
          <w:b/>
          <w:i/>
          <w:noProof/>
        </w:rPr>
      </w:pPr>
      <w:r>
        <w:rPr>
          <w:b/>
          <w:i/>
          <w:noProof/>
        </w:rPr>
        <w:lastRenderedPageBreak/>
        <w:t>10 punktu plāna īstenošana</w:t>
      </w:r>
    </w:p>
    <w:p w14:paraId="257E4EF0" w14:textId="5D90F2C9" w:rsidR="00DC53E2" w:rsidRPr="00114E09" w:rsidRDefault="00DC53E2" w:rsidP="005758AA">
      <w:pPr>
        <w:pStyle w:val="p3"/>
        <w:spacing w:before="120" w:beforeAutospacing="0" w:after="120" w:afterAutospacing="0"/>
        <w:jc w:val="both"/>
        <w:rPr>
          <w:noProof/>
        </w:rPr>
      </w:pPr>
      <w:r>
        <w:rPr>
          <w:noProof/>
        </w:rPr>
        <w:t xml:space="preserve">ES reakcija ir izklāstīta </w:t>
      </w:r>
      <w:r>
        <w:rPr>
          <w:b/>
          <w:noProof/>
        </w:rPr>
        <w:t>10 punktu plānā</w:t>
      </w:r>
      <w:r>
        <w:rPr>
          <w:noProof/>
        </w:rPr>
        <w:t>, ko Komisija izstrādāja martā</w:t>
      </w:r>
      <w:r>
        <w:rPr>
          <w:rStyle w:val="FootnoteReference"/>
          <w:iCs/>
          <w:noProof/>
        </w:rPr>
        <w:footnoteReference w:id="9"/>
      </w:r>
      <w:r>
        <w:rPr>
          <w:noProof/>
        </w:rPr>
        <w:t>.</w:t>
      </w:r>
      <w:r>
        <w:rPr>
          <w:b/>
          <w:noProof/>
        </w:rPr>
        <w:t xml:space="preserve"> </w:t>
      </w:r>
      <w:r>
        <w:rPr>
          <w:noProof/>
        </w:rPr>
        <w:t xml:space="preserve">Šā plāna svarīga daļa — </w:t>
      </w:r>
      <w:r>
        <w:rPr>
          <w:b/>
          <w:noProof/>
        </w:rPr>
        <w:t>pagaidu aizsardzības platforma</w:t>
      </w:r>
      <w:r>
        <w:rPr>
          <w:noProof/>
        </w:rPr>
        <w:t> — ļauj dalībvalstīm reāllaikā apmainīties ar informāciju par pagaidu aizsardzības un pienācīgas aizsardzības reģistrāciju saskaņā ar valsts tiesību aktiem, vienlaikus novēršot iespējamu ļaunprātīgu izmantošanu. Platformu jau izmanto 24 dalībvalstis</w:t>
      </w:r>
      <w:r>
        <w:rPr>
          <w:rStyle w:val="FootnoteReference"/>
          <w:iCs/>
          <w:noProof/>
        </w:rPr>
        <w:footnoteReference w:id="10"/>
      </w:r>
      <w:r>
        <w:rPr>
          <w:noProof/>
        </w:rPr>
        <w:t xml:space="preserve">, un ir iecerēts to paplašināt, lai iekļautu Dāniju un Šengenas asociētās valstis. </w:t>
      </w:r>
    </w:p>
    <w:p w14:paraId="79A72394" w14:textId="77777777" w:rsidR="00DC53E2" w:rsidRPr="00114E09" w:rsidRDefault="00DC53E2" w:rsidP="005758AA">
      <w:pPr>
        <w:pStyle w:val="p3"/>
        <w:spacing w:before="120" w:beforeAutospacing="0" w:after="120" w:afterAutospacing="0"/>
        <w:jc w:val="both"/>
        <w:rPr>
          <w:noProof/>
        </w:rPr>
      </w:pPr>
      <w:r>
        <w:rPr>
          <w:b/>
          <w:noProof/>
        </w:rPr>
        <w:t>Transporta un informācijas centru</w:t>
      </w:r>
      <w:r>
        <w:rPr>
          <w:rStyle w:val="FootnoteReference"/>
          <w:noProof/>
        </w:rPr>
        <w:footnoteReference w:id="11"/>
      </w:r>
      <w:r>
        <w:rPr>
          <w:noProof/>
        </w:rPr>
        <w:t xml:space="preserve"> karte atvieglo tālāku pārvietošanos nolūkā nodrošināt transportu, kas nepieciešams, lai varētu pilnā mērā izmantot dalībvalstu uzņemšanas spējas.</w:t>
      </w:r>
    </w:p>
    <w:p w14:paraId="1C0CCF2B" w14:textId="77777777" w:rsidR="00DC53E2" w:rsidRPr="00114E09" w:rsidRDefault="00DC53E2" w:rsidP="005758AA">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Viena no prioritātēm ir bijusi </w:t>
      </w:r>
      <w:r>
        <w:rPr>
          <w:rFonts w:ascii="Times New Roman" w:hAnsi="Times New Roman"/>
          <w:b/>
          <w:noProof/>
          <w:sz w:val="24"/>
        </w:rPr>
        <w:t>uzņemšanas sistēmu</w:t>
      </w:r>
      <w:r>
        <w:rPr>
          <w:rFonts w:ascii="Times New Roman" w:hAnsi="Times New Roman"/>
          <w:noProof/>
          <w:sz w:val="24"/>
        </w:rPr>
        <w:t xml:space="preserve"> </w:t>
      </w:r>
      <w:r>
        <w:rPr>
          <w:rFonts w:ascii="Times New Roman" w:hAnsi="Times New Roman"/>
          <w:b/>
          <w:noProof/>
          <w:sz w:val="24"/>
        </w:rPr>
        <w:t>uzlabošana, integrācijas nodrošināšana vietējās kopienās un drošu un piemērotu izmitināšanas vietu atrašana</w:t>
      </w:r>
      <w:r>
        <w:rPr>
          <w:rFonts w:ascii="Times New Roman" w:hAnsi="Times New Roman"/>
          <w:noProof/>
          <w:sz w:val="24"/>
        </w:rPr>
        <w:t>. ES Patvēruma aģentūra sniedza praktiskus ieteikumus par ārkārtas izmitināšanu privātos mājokļos</w:t>
      </w:r>
      <w:r>
        <w:rPr>
          <w:rStyle w:val="FootnoteReference"/>
          <w:rFonts w:ascii="Times New Roman" w:hAnsi="Times New Roman" w:cs="Times New Roman"/>
          <w:noProof/>
          <w:sz w:val="24"/>
          <w:szCs w:val="24"/>
        </w:rPr>
        <w:footnoteReference w:id="12"/>
      </w:r>
      <w:r>
        <w:rPr>
          <w:rFonts w:ascii="Times New Roman" w:hAnsi="Times New Roman"/>
          <w:noProof/>
          <w:sz w:val="24"/>
        </w:rPr>
        <w:t>. Ar iniciatīvu “Drošas mājas”</w:t>
      </w:r>
      <w:r>
        <w:rPr>
          <w:rStyle w:val="FootnoteReference"/>
          <w:rFonts w:ascii="Times New Roman" w:hAnsi="Times New Roman" w:cs="Times New Roman"/>
          <w:noProof/>
          <w:sz w:val="24"/>
          <w:szCs w:val="24"/>
        </w:rPr>
        <w:footnoteReference w:id="13"/>
      </w:r>
      <w:r>
        <w:rPr>
          <w:rFonts w:ascii="Times New Roman" w:hAnsi="Times New Roman"/>
          <w:noProof/>
          <w:sz w:val="24"/>
        </w:rPr>
        <w:t xml:space="preserve"> tika atbalstītas daudzas organizācijas, kas nodrošina iespēju privātu mājokļu īpašniekiem uzņemt ukraiņus, piemēram, sniedzot norādījumus par to, kā privātus mājokļus padarīt piemērotus un drošus. </w:t>
      </w:r>
    </w:p>
    <w:p w14:paraId="32745567" w14:textId="77777777" w:rsidR="00DC53E2" w:rsidRPr="00114E09" w:rsidRDefault="00FD6ECA" w:rsidP="005758AA">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Sagatavotība turpmākiem notikumiem tagad ietver </w:t>
      </w:r>
      <w:r>
        <w:rPr>
          <w:rFonts w:ascii="Times New Roman" w:hAnsi="Times New Roman"/>
          <w:b/>
          <w:noProof/>
          <w:sz w:val="24"/>
        </w:rPr>
        <w:t>kopēju Eiropas ārkārtas situāciju un reaģēšanas plānu</w:t>
      </w:r>
      <w:r>
        <w:rPr>
          <w:rFonts w:ascii="Times New Roman" w:hAnsi="Times New Roman"/>
          <w:noProof/>
          <w:sz w:val="24"/>
        </w:rPr>
        <w:t xml:space="preserve">. Pašlaik norit darbs pie valstu ārkārtas rīcības plānu izstrādes, un īpaša uzmanība ir pievērsta sagatavošanās darbiem ziemas periodam. </w:t>
      </w:r>
    </w:p>
    <w:p w14:paraId="33FD0D69" w14:textId="77777777" w:rsidR="00DC53E2" w:rsidRPr="00114E09" w:rsidRDefault="00DC53E2" w:rsidP="005758AA">
      <w:pPr>
        <w:spacing w:after="120" w:line="240" w:lineRule="auto"/>
        <w:jc w:val="both"/>
        <w:rPr>
          <w:rFonts w:ascii="Times New Roman" w:hAnsi="Times New Roman" w:cs="Times New Roman"/>
          <w:noProof/>
          <w:sz w:val="24"/>
          <w:szCs w:val="24"/>
        </w:rPr>
      </w:pPr>
      <w:r>
        <w:rPr>
          <w:rFonts w:ascii="Times New Roman" w:hAnsi="Times New Roman"/>
          <w:noProof/>
          <w:sz w:val="24"/>
        </w:rPr>
        <w:t>Aptuveni puse no personām, kas ierodas no Ukrainas, ir bērni — gan ar pavadoni, gan vieni paši.</w:t>
      </w:r>
      <w:r>
        <w:rPr>
          <w:rFonts w:ascii="Times New Roman" w:hAnsi="Times New Roman"/>
          <w:b/>
          <w:noProof/>
          <w:sz w:val="24"/>
        </w:rPr>
        <w:t xml:space="preserve"> </w:t>
      </w:r>
      <w:r>
        <w:rPr>
          <w:rFonts w:ascii="Times New Roman" w:hAnsi="Times New Roman"/>
          <w:noProof/>
          <w:sz w:val="24"/>
        </w:rPr>
        <w:t>Papildus mērķtiecīgiem norādījumiem</w:t>
      </w:r>
      <w:r>
        <w:rPr>
          <w:rStyle w:val="FootnoteReference"/>
          <w:rFonts w:ascii="Times New Roman" w:hAnsi="Times New Roman" w:cs="Times New Roman"/>
          <w:noProof/>
          <w:sz w:val="24"/>
          <w:szCs w:val="24"/>
        </w:rPr>
        <w:footnoteReference w:id="14"/>
      </w:r>
      <w:r>
        <w:rPr>
          <w:rFonts w:ascii="Times New Roman" w:hAnsi="Times New Roman"/>
          <w:noProof/>
          <w:sz w:val="24"/>
        </w:rPr>
        <w:t xml:space="preserve"> par </w:t>
      </w:r>
      <w:r>
        <w:rPr>
          <w:rFonts w:ascii="Times New Roman" w:hAnsi="Times New Roman"/>
          <w:b/>
          <w:noProof/>
          <w:sz w:val="24"/>
        </w:rPr>
        <w:t>bērnu aizsardzību</w:t>
      </w:r>
      <w:r>
        <w:rPr>
          <w:rFonts w:ascii="Times New Roman" w:hAnsi="Times New Roman"/>
          <w:noProof/>
          <w:sz w:val="24"/>
        </w:rPr>
        <w:t xml:space="preserve"> visos posmos viņu ceļā uz drošu mājvietu īpaša uzmanība tika pievērsta nepavadītu bērnu pārsūtīšanai no Moldovas un pienācīgai to bērnu aprūpei, kas iepriekš atradušies Ukrainas iestādēs. </w:t>
      </w:r>
    </w:p>
    <w:p w14:paraId="0DF84971" w14:textId="1E3B51CD" w:rsidR="00DC53E2" w:rsidRDefault="00DC53E2" w:rsidP="005758AA">
      <w:pPr>
        <w:spacing w:after="120" w:line="240" w:lineRule="auto"/>
        <w:jc w:val="both"/>
        <w:rPr>
          <w:rFonts w:ascii="Times New Roman" w:hAnsi="Times New Roman" w:cs="Times New Roman"/>
          <w:noProof/>
          <w:sz w:val="24"/>
          <w:szCs w:val="24"/>
        </w:rPr>
      </w:pPr>
      <w:r>
        <w:rPr>
          <w:rFonts w:ascii="Times New Roman" w:hAnsi="Times New Roman"/>
          <w:b/>
          <w:noProof/>
          <w:sz w:val="24"/>
        </w:rPr>
        <w:t>ES Kopējā cilvēku tirdzniecības apkarošanas plāna</w:t>
      </w:r>
      <w:r>
        <w:rPr>
          <w:rStyle w:val="FootnoteReference"/>
          <w:rFonts w:ascii="Times New Roman" w:hAnsi="Times New Roman" w:cs="Times New Roman"/>
          <w:bCs/>
          <w:noProof/>
          <w:sz w:val="24"/>
          <w:szCs w:val="24"/>
        </w:rPr>
        <w:footnoteReference w:id="15"/>
      </w:r>
      <w:r>
        <w:rPr>
          <w:rFonts w:ascii="Times New Roman" w:hAnsi="Times New Roman"/>
          <w:b/>
          <w:noProof/>
          <w:sz w:val="24"/>
        </w:rPr>
        <w:t xml:space="preserve"> </w:t>
      </w:r>
      <w:r>
        <w:rPr>
          <w:rFonts w:ascii="Times New Roman" w:hAnsi="Times New Roman"/>
          <w:noProof/>
          <w:sz w:val="24"/>
        </w:rPr>
        <w:t xml:space="preserve"> mērķis ir mazināt risku, ka noziedzīgi grupējumi apdraud personas, kas ir ceļā vai meklē darbu, jo īpaši sievietes un bērnus. Pasākumi ES līmenī, kā arī ieteikumi dalībvalstīm attiecas uz izpratnes veicināšanu, noziedzības novēršanu, pastiprinātu tiesībaizsardzības un tiesu iestāžu sadarbību, cietušo identificēšanu un aizsardzību, kā arī sadarbību ar trešām valstīm, jo īpaši Ukrainu un Moldovu. Pašlaik apstiprināto cilvēku tirdzniecības gadījumu skaits ir neliels, taču risks ir acīmredzams. Par visiem gadījumiem un izmeklēšanām būtu jāturpina ziņot Eiropolam. Turklāt līdz gada beigām Komisija ierosinās pārskatīt tiesību aktus par cilvēku tirdzniecības apkarošanu un cietušo aizsardzību. </w:t>
      </w:r>
    </w:p>
    <w:p w14:paraId="0F0C73DE" w14:textId="7012660C" w:rsidR="00175D9B" w:rsidRPr="00114E09" w:rsidRDefault="00175D9B" w:rsidP="00175D9B">
      <w:pPr>
        <w:pStyle w:val="ListParagraph"/>
        <w:spacing w:before="0" w:after="120"/>
        <w:ind w:left="0"/>
        <w:contextualSpacing w:val="0"/>
        <w:jc w:val="both"/>
        <w:rPr>
          <w:rFonts w:ascii="Times New Roman" w:hAnsi="Times New Roman" w:cs="Times New Roman"/>
          <w:noProof/>
          <w:sz w:val="24"/>
          <w:szCs w:val="24"/>
        </w:rPr>
      </w:pPr>
      <w:r>
        <w:rPr>
          <w:rFonts w:ascii="Times New Roman" w:hAnsi="Times New Roman"/>
          <w:noProof/>
          <w:sz w:val="24"/>
        </w:rPr>
        <w:lastRenderedPageBreak/>
        <w:t xml:space="preserve">Ukrainas iestādēm robežu pārvaldībā palīdz ES misijas, kuras darbojas uz vietas, tai skaitā ES padomdevēja misija </w:t>
      </w:r>
      <w:r>
        <w:rPr>
          <w:rFonts w:ascii="Times New Roman" w:hAnsi="Times New Roman"/>
          <w:i/>
          <w:noProof/>
          <w:sz w:val="24"/>
        </w:rPr>
        <w:t>EUAM Ukraine</w:t>
      </w:r>
      <w:r>
        <w:rPr>
          <w:rFonts w:ascii="Times New Roman" w:hAnsi="Times New Roman"/>
          <w:noProof/>
          <w:sz w:val="24"/>
        </w:rPr>
        <w:t>. ES paplašināja ES robežu palīdzības misijas (</w:t>
      </w:r>
      <w:r>
        <w:rPr>
          <w:rFonts w:ascii="Times New Roman" w:hAnsi="Times New Roman"/>
          <w:i/>
          <w:noProof/>
          <w:sz w:val="24"/>
        </w:rPr>
        <w:t>EUBAM</w:t>
      </w:r>
      <w:r>
        <w:rPr>
          <w:rFonts w:ascii="Times New Roman" w:hAnsi="Times New Roman"/>
          <w:noProof/>
          <w:sz w:val="24"/>
        </w:rPr>
        <w:t>) Moldovā un Ukrainā pilnvaras, lai tās darbinieki varētu atbalstīt arī Moldovas robežsardzi.</w:t>
      </w:r>
    </w:p>
    <w:p w14:paraId="6FEF5F8F" w14:textId="75A0E8CF" w:rsidR="00175D9B" w:rsidRDefault="00DC53E2" w:rsidP="005758AA">
      <w:pPr>
        <w:pStyle w:val="ListParagraph"/>
        <w:spacing w:before="0" w:after="120"/>
        <w:ind w:left="0"/>
        <w:contextualSpacing w:val="0"/>
        <w:jc w:val="both"/>
        <w:rPr>
          <w:rFonts w:ascii="Times New Roman" w:hAnsi="Times New Roman" w:cs="Times New Roman"/>
          <w:noProof/>
          <w:sz w:val="24"/>
          <w:szCs w:val="24"/>
        </w:rPr>
      </w:pPr>
      <w:r>
        <w:rPr>
          <w:rFonts w:ascii="Times New Roman" w:hAnsi="Times New Roman"/>
          <w:b/>
          <w:noProof/>
          <w:sz w:val="24"/>
        </w:rPr>
        <w:t>Moldovai</w:t>
      </w:r>
      <w:r>
        <w:rPr>
          <w:rFonts w:ascii="Times New Roman" w:hAnsi="Times New Roman"/>
          <w:noProof/>
          <w:sz w:val="24"/>
        </w:rPr>
        <w:t xml:space="preserve"> ir vajadzīga ES solidaritāte, un tā ir saņēmusi īpašu palīdzību. Dalībvalstis ir apsolījušas uzņemt aptuveni 20 000 personu, kas patvērušās Moldovā, kaut gan līdz šim daudzi ukraiņi ir izvēlējušies palikt savas piederības valsts tuvumā. Pateicoties ātri noslēgtajam statusa nolīgumam ar Moldovu</w:t>
      </w:r>
      <w:r>
        <w:rPr>
          <w:rStyle w:val="FootnoteReference"/>
          <w:rFonts w:ascii="Times New Roman" w:hAnsi="Times New Roman" w:cs="Times New Roman"/>
          <w:noProof/>
          <w:sz w:val="24"/>
          <w:szCs w:val="24"/>
        </w:rPr>
        <w:footnoteReference w:id="16"/>
      </w:r>
      <w:r>
        <w:rPr>
          <w:rFonts w:ascii="Times New Roman" w:hAnsi="Times New Roman"/>
          <w:noProof/>
          <w:sz w:val="24"/>
        </w:rPr>
        <w:t xml:space="preserve">, robežu pārvaldību tagad atbalsta </w:t>
      </w:r>
      <w:r>
        <w:rPr>
          <w:rFonts w:ascii="Times New Roman" w:hAnsi="Times New Roman"/>
          <w:i/>
          <w:noProof/>
          <w:sz w:val="24"/>
        </w:rPr>
        <w:t>Frontex</w:t>
      </w:r>
      <w:r>
        <w:rPr>
          <w:rFonts w:ascii="Times New Roman" w:hAnsi="Times New Roman"/>
          <w:noProof/>
          <w:sz w:val="24"/>
        </w:rPr>
        <w:t xml:space="preserve">. Moldovai drošības problēmas risināt palīdz arī jaunais </w:t>
      </w:r>
      <w:r>
        <w:rPr>
          <w:rFonts w:ascii="Times New Roman" w:hAnsi="Times New Roman"/>
          <w:b/>
          <w:noProof/>
          <w:sz w:val="24"/>
        </w:rPr>
        <w:t>ES Iekšējās drošības un robežu pārvaldības atbalsta centrs</w:t>
      </w:r>
      <w:r>
        <w:rPr>
          <w:rStyle w:val="FootnoteReference"/>
          <w:rFonts w:ascii="Times New Roman" w:hAnsi="Times New Roman" w:cs="Times New Roman"/>
          <w:noProof/>
          <w:sz w:val="24"/>
          <w:szCs w:val="24"/>
        </w:rPr>
        <w:footnoteReference w:id="17"/>
      </w:r>
      <w:r>
        <w:rPr>
          <w:rFonts w:ascii="Times New Roman" w:hAnsi="Times New Roman"/>
          <w:noProof/>
          <w:sz w:val="24"/>
        </w:rPr>
        <w:t xml:space="preserve">, arī saistībā ar šaujamieroču nelikumīgu tirdzniecību, narkotiku tirdzniecību un cilvēku tirdzniecību. </w:t>
      </w:r>
    </w:p>
    <w:p w14:paraId="19C400D4" w14:textId="77777777" w:rsidR="00DC53E2" w:rsidRPr="00114E09" w:rsidRDefault="00DC53E2" w:rsidP="005758AA">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Komisija sadarbojas ar </w:t>
      </w:r>
      <w:r>
        <w:rPr>
          <w:rFonts w:ascii="Times New Roman" w:hAnsi="Times New Roman"/>
          <w:b/>
          <w:noProof/>
          <w:sz w:val="24"/>
        </w:rPr>
        <w:t>starptautiskajiem partneriem</w:t>
      </w:r>
      <w:r>
        <w:rPr>
          <w:rFonts w:ascii="Times New Roman" w:hAnsi="Times New Roman"/>
          <w:noProof/>
          <w:sz w:val="24"/>
        </w:rPr>
        <w:t>, lai piedāvātu drošus galamērķus tiem, kas bēg no kara. Trešo valstu valstspiederīgajiem ir sniegta palīdzība droši atgriezties mājās, un līdz šim Amerikas Savienotajās Valstīs, Kanādā un Apvienotajā Karalistē ir uzņemti gandrīz 250 000 personu</w:t>
      </w:r>
      <w:r>
        <w:rPr>
          <w:rStyle w:val="FootnoteReference"/>
          <w:rFonts w:ascii="Times New Roman" w:hAnsi="Times New Roman" w:cs="Times New Roman"/>
          <w:noProof/>
          <w:sz w:val="24"/>
          <w:szCs w:val="24"/>
        </w:rPr>
        <w:footnoteReference w:id="18"/>
      </w:r>
      <w:r>
        <w:rPr>
          <w:rFonts w:ascii="Times New Roman" w:hAnsi="Times New Roman"/>
          <w:noProof/>
          <w:sz w:val="24"/>
        </w:rPr>
        <w:t xml:space="preserve">. Komisija un Eiropas Ārējās darbības dienests ir cieši sadarbojušies ar dalībvalstīm un starptautiskajiem partneriem, lai atbalstītu to Ukrainas valstspiederīgo repatriāciju, kuri pēc Krievijas iebrukuma Ukrainā bija spiestā kārtā palikuši ārvalstīs. </w:t>
      </w:r>
    </w:p>
    <w:p w14:paraId="0F607785" w14:textId="25A5FF7A" w:rsidR="00DC53E2" w:rsidRDefault="00DC53E2" w:rsidP="005758AA">
      <w:pPr>
        <w:pStyle w:val="ListParagraph"/>
        <w:spacing w:before="0" w:after="120"/>
        <w:ind w:left="0"/>
        <w:contextualSpacing w:val="0"/>
        <w:jc w:val="both"/>
        <w:rPr>
          <w:rFonts w:ascii="Times New Roman" w:hAnsi="Times New Roman" w:cs="Times New Roman"/>
          <w:noProof/>
          <w:sz w:val="24"/>
          <w:szCs w:val="24"/>
        </w:rPr>
      </w:pPr>
      <w:r>
        <w:rPr>
          <w:rFonts w:ascii="Times New Roman" w:hAnsi="Times New Roman"/>
          <w:noProof/>
          <w:sz w:val="24"/>
        </w:rPr>
        <w:t xml:space="preserve">Desmit punktu plānā bija atspoguļota arī </w:t>
      </w:r>
      <w:r>
        <w:rPr>
          <w:rFonts w:ascii="Times New Roman" w:hAnsi="Times New Roman"/>
          <w:b/>
          <w:noProof/>
          <w:sz w:val="24"/>
        </w:rPr>
        <w:t>ietekme uz iekšējo drošību</w:t>
      </w:r>
      <w:r>
        <w:rPr>
          <w:rFonts w:ascii="Times New Roman" w:hAnsi="Times New Roman"/>
          <w:noProof/>
          <w:sz w:val="24"/>
        </w:rPr>
        <w:t>. Ceturtajā progresa ziņojumā par ES Drošības savienības stratēģijas īstenošanu</w:t>
      </w:r>
      <w:r>
        <w:rPr>
          <w:rStyle w:val="FootnoteReference"/>
          <w:rFonts w:ascii="Times New Roman" w:hAnsi="Times New Roman" w:cs="Times New Roman"/>
          <w:noProof/>
          <w:sz w:val="24"/>
          <w:szCs w:val="24"/>
        </w:rPr>
        <w:footnoteReference w:id="19"/>
      </w:r>
      <w:r>
        <w:rPr>
          <w:rFonts w:ascii="Times New Roman" w:hAnsi="Times New Roman"/>
          <w:noProof/>
          <w:sz w:val="24"/>
        </w:rPr>
        <w:t xml:space="preserve"> ir izklāstītas Eiropola aktivitātes un tas, kā valstu iestādes, izmantojot darba grupu “Freeze and Seize”, koordinē ES pret Krieviju noteikto sankciju pilnīgu īstenošanu. </w:t>
      </w:r>
    </w:p>
    <w:p w14:paraId="6AC971C3" w14:textId="45657F62" w:rsidR="00E268C1" w:rsidRPr="00EB5DB5" w:rsidRDefault="00E268C1" w:rsidP="005758AA">
      <w:pPr>
        <w:pStyle w:val="ListParagraph"/>
        <w:spacing w:before="0" w:after="120"/>
        <w:ind w:left="0"/>
        <w:contextualSpacing w:val="0"/>
        <w:jc w:val="both"/>
        <w:rPr>
          <w:rFonts w:ascii="Times New Roman" w:hAnsi="Times New Roman" w:cs="Times New Roman"/>
          <w:b/>
          <w:bCs/>
          <w:i/>
          <w:iCs/>
          <w:noProof/>
          <w:sz w:val="24"/>
          <w:szCs w:val="24"/>
        </w:rPr>
      </w:pPr>
      <w:r>
        <w:rPr>
          <w:rFonts w:ascii="Times New Roman" w:hAnsi="Times New Roman"/>
          <w:b/>
          <w:i/>
          <w:noProof/>
          <w:sz w:val="24"/>
        </w:rPr>
        <w:t>Pagaidu aizsardzības direktīvā paredzēto tiesību garantēšana</w:t>
      </w:r>
    </w:p>
    <w:p w14:paraId="02D5ED21" w14:textId="77777777" w:rsidR="00DC53E2" w:rsidRPr="00114E09" w:rsidRDefault="00DC53E2" w:rsidP="005758AA">
      <w:pPr>
        <w:pStyle w:val="ListParagraph"/>
        <w:spacing w:before="0" w:after="120"/>
        <w:ind w:left="0"/>
        <w:contextualSpacing w:val="0"/>
        <w:jc w:val="both"/>
        <w:rPr>
          <w:rFonts w:ascii="Times New Roman" w:eastAsia="Times New Roman" w:hAnsi="Times New Roman" w:cs="Times New Roman"/>
          <w:noProof/>
          <w:sz w:val="24"/>
          <w:szCs w:val="24"/>
        </w:rPr>
      </w:pPr>
      <w:r>
        <w:rPr>
          <w:rFonts w:ascii="Times New Roman" w:hAnsi="Times New Roman"/>
          <w:noProof/>
          <w:sz w:val="24"/>
        </w:rPr>
        <w:t>ES ir arī ieviesusi virkni mērķtiecīgu nozaru iniciatīvu, lai varētu īstenot dažādās tiesības, kas piešķirtas saskaņā ar Pagaidu aizsardzības direktīvu.</w:t>
      </w:r>
    </w:p>
    <w:p w14:paraId="63F6CD39" w14:textId="43C19770" w:rsidR="00DC53E2" w:rsidRPr="00114E09" w:rsidRDefault="00DC53E2" w:rsidP="005758AA">
      <w:pPr>
        <w:pStyle w:val="ListParagraph"/>
        <w:spacing w:before="0" w:after="120"/>
        <w:ind w:left="0"/>
        <w:contextualSpacing w:val="0"/>
        <w:jc w:val="both"/>
        <w:rPr>
          <w:rFonts w:ascii="Times New Roman" w:hAnsi="Times New Roman" w:cs="Times New Roman"/>
          <w:noProof/>
          <w:sz w:val="24"/>
          <w:szCs w:val="24"/>
        </w:rPr>
      </w:pPr>
      <w:r>
        <w:rPr>
          <w:rFonts w:ascii="Times New Roman" w:hAnsi="Times New Roman"/>
          <w:noProof/>
          <w:sz w:val="24"/>
        </w:rPr>
        <w:t xml:space="preserve">Darbs saistībā ar </w:t>
      </w:r>
      <w:r>
        <w:rPr>
          <w:rFonts w:ascii="Times New Roman" w:hAnsi="Times New Roman"/>
          <w:b/>
          <w:noProof/>
          <w:sz w:val="24"/>
        </w:rPr>
        <w:t>izglītības</w:t>
      </w:r>
      <w:r>
        <w:rPr>
          <w:rFonts w:ascii="Times New Roman" w:hAnsi="Times New Roman"/>
          <w:noProof/>
          <w:sz w:val="24"/>
        </w:rPr>
        <w:t xml:space="preserve"> nodrošināšanu personām, kuras bēg no Ukrainas, ir īpaši vērsts uz sagatavošanos 2022.–2023. mācību gadam</w:t>
      </w:r>
      <w:r>
        <w:rPr>
          <w:rStyle w:val="FootnoteReference"/>
          <w:rFonts w:ascii="Times New Roman" w:hAnsi="Times New Roman" w:cs="Times New Roman"/>
          <w:noProof/>
          <w:sz w:val="24"/>
          <w:szCs w:val="24"/>
        </w:rPr>
        <w:footnoteReference w:id="20"/>
      </w:r>
      <w:r>
        <w:rPr>
          <w:rFonts w:ascii="Times New Roman" w:hAnsi="Times New Roman"/>
          <w:noProof/>
          <w:sz w:val="24"/>
        </w:rPr>
        <w:t xml:space="preserve">. Visiem bērniem vajadzētu būt iespējai apmeklēt vietējo skolu ES, bet pasākumiem būtu arī jāļauj bērniem saglabāt ciešu saikni ar Ukrainu. Komisija ir sniegusi atbalstu un norādījumus, izmantojot Eiropas platformas, tai skaitā </w:t>
      </w:r>
      <w:r>
        <w:rPr>
          <w:rFonts w:ascii="Times New Roman" w:hAnsi="Times New Roman"/>
          <w:i/>
          <w:noProof/>
          <w:sz w:val="24"/>
        </w:rPr>
        <w:t>School Education Gateway</w:t>
      </w:r>
      <w:r>
        <w:rPr>
          <w:rStyle w:val="FootnoteReference"/>
          <w:rFonts w:ascii="Times New Roman" w:hAnsi="Times New Roman" w:cs="Times New Roman"/>
          <w:noProof/>
          <w:sz w:val="24"/>
          <w:szCs w:val="24"/>
        </w:rPr>
        <w:footnoteReference w:id="21"/>
      </w:r>
      <w:r>
        <w:rPr>
          <w:rFonts w:ascii="Times New Roman" w:hAnsi="Times New Roman"/>
          <w:noProof/>
          <w:sz w:val="24"/>
        </w:rPr>
        <w:t xml:space="preserve">, </w:t>
      </w:r>
      <w:r>
        <w:rPr>
          <w:rFonts w:ascii="Times New Roman" w:hAnsi="Times New Roman"/>
          <w:i/>
          <w:noProof/>
          <w:sz w:val="24"/>
        </w:rPr>
        <w:t>eTwinning</w:t>
      </w:r>
      <w:r>
        <w:rPr>
          <w:rStyle w:val="FootnoteReference"/>
          <w:rFonts w:ascii="Times New Roman" w:hAnsi="Times New Roman" w:cs="Times New Roman"/>
          <w:noProof/>
          <w:sz w:val="24"/>
          <w:szCs w:val="24"/>
        </w:rPr>
        <w:footnoteReference w:id="22"/>
      </w:r>
      <w:r>
        <w:rPr>
          <w:rFonts w:ascii="Times New Roman" w:hAnsi="Times New Roman"/>
          <w:noProof/>
          <w:sz w:val="24"/>
        </w:rPr>
        <w:t xml:space="preserve"> un Jauno ukraiņu skolu centru</w:t>
      </w:r>
      <w:r>
        <w:rPr>
          <w:rStyle w:val="FootnoteReference"/>
          <w:rFonts w:ascii="Times New Roman" w:hAnsi="Times New Roman" w:cs="Times New Roman"/>
          <w:noProof/>
          <w:sz w:val="24"/>
          <w:szCs w:val="24"/>
        </w:rPr>
        <w:footnoteReference w:id="23"/>
      </w:r>
      <w:r>
        <w:rPr>
          <w:rFonts w:ascii="Times New Roman" w:hAnsi="Times New Roman"/>
          <w:noProof/>
          <w:sz w:val="24"/>
        </w:rPr>
        <w:t>. ES Izglītības solidaritātes grupa Ukrainai palīdz apkopot vajadzīgās zināšanas visā ES</w:t>
      </w:r>
      <w:r>
        <w:rPr>
          <w:rFonts w:ascii="Times New Roman" w:hAnsi="Times New Roman" w:cs="Times New Roman"/>
          <w:noProof/>
          <w:sz w:val="24"/>
          <w:szCs w:val="24"/>
          <w:vertAlign w:val="superscript"/>
        </w:rPr>
        <w:footnoteReference w:id="24"/>
      </w:r>
      <w:r>
        <w:rPr>
          <w:rFonts w:ascii="Times New Roman" w:hAnsi="Times New Roman"/>
          <w:noProof/>
          <w:sz w:val="24"/>
        </w:rPr>
        <w:t xml:space="preserve">. Mērķtiecīgs atbalsts studentiem, neseniem augstskolu absolventiem, skolotājiem un pasniedzējiem tiek </w:t>
      </w:r>
      <w:r>
        <w:rPr>
          <w:rFonts w:ascii="Times New Roman" w:hAnsi="Times New Roman"/>
          <w:noProof/>
          <w:sz w:val="24"/>
        </w:rPr>
        <w:lastRenderedPageBreak/>
        <w:t>sniegts arī ar programmu “Erasmus+”</w:t>
      </w:r>
      <w:r>
        <w:rPr>
          <w:rStyle w:val="FootnoteReference"/>
          <w:rFonts w:ascii="Times New Roman" w:hAnsi="Times New Roman" w:cs="Times New Roman"/>
          <w:noProof/>
          <w:sz w:val="24"/>
          <w:szCs w:val="24"/>
        </w:rPr>
        <w:footnoteReference w:id="25"/>
      </w:r>
      <w:r>
        <w:rPr>
          <w:rFonts w:ascii="Times New Roman" w:hAnsi="Times New Roman"/>
          <w:noProof/>
          <w:sz w:val="24"/>
        </w:rPr>
        <w:t>, un ar īpašu Marijas Sklodovskas-Kirī vārdā nosaukto darbību</w:t>
      </w:r>
      <w:r>
        <w:rPr>
          <w:rStyle w:val="FootnoteReference"/>
          <w:rFonts w:ascii="Times New Roman" w:hAnsi="Times New Roman" w:cs="Times New Roman"/>
          <w:noProof/>
          <w:sz w:val="24"/>
          <w:szCs w:val="24"/>
        </w:rPr>
        <w:footnoteReference w:id="26"/>
      </w:r>
      <w:r>
        <w:rPr>
          <w:rFonts w:ascii="Times New Roman" w:hAnsi="Times New Roman"/>
          <w:noProof/>
          <w:sz w:val="24"/>
        </w:rPr>
        <w:t xml:space="preserve"> tiks nodrošinātas stipendijas pārvietotiem pētniekiem no Ukrainas. Šie centieni tiek īstenoti līdztekus ES atbalstam, lai palīdzētu atjaunot skolu darbību pašā Ukrainā (sk. 7. iedaļu). </w:t>
      </w:r>
    </w:p>
    <w:p w14:paraId="0E2BF36E" w14:textId="2AB46D6C" w:rsidR="00DC53E2" w:rsidRPr="00114E09" w:rsidRDefault="00DC53E2" w:rsidP="005758AA">
      <w:pPr>
        <w:pStyle w:val="ListParagraph"/>
        <w:spacing w:before="0" w:after="120"/>
        <w:ind w:left="0"/>
        <w:contextualSpacing w:val="0"/>
        <w:jc w:val="both"/>
        <w:rPr>
          <w:rFonts w:ascii="Times New Roman" w:hAnsi="Times New Roman" w:cs="Times New Roman"/>
          <w:noProof/>
          <w:sz w:val="24"/>
          <w:szCs w:val="24"/>
        </w:rPr>
      </w:pPr>
      <w:r>
        <w:rPr>
          <w:rFonts w:ascii="Times New Roman" w:hAnsi="Times New Roman"/>
          <w:noProof/>
          <w:sz w:val="24"/>
        </w:rPr>
        <w:t xml:space="preserve">Pagaidu aizsardzības saņēmējiem ir arī tiesības </w:t>
      </w:r>
      <w:r>
        <w:rPr>
          <w:rFonts w:ascii="Times New Roman" w:hAnsi="Times New Roman"/>
          <w:b/>
          <w:noProof/>
          <w:sz w:val="24"/>
        </w:rPr>
        <w:t>piekļūt darba tirgum</w:t>
      </w:r>
      <w:r>
        <w:rPr>
          <w:rFonts w:ascii="Times New Roman" w:hAnsi="Times New Roman"/>
          <w:noProof/>
          <w:sz w:val="24"/>
        </w:rPr>
        <w:t>. Lai nodrošinātu, ka cilvēki var strādāt atbilstoši savai kvalifikācijai, Komisija izdeva ieteikumu par profesionālo un akadēmisko kvalifikāciju atzīšanu</w:t>
      </w:r>
      <w:r>
        <w:rPr>
          <w:rStyle w:val="FootnoteReference"/>
          <w:rFonts w:ascii="Times New Roman" w:hAnsi="Times New Roman" w:cs="Times New Roman"/>
          <w:noProof/>
          <w:sz w:val="24"/>
          <w:szCs w:val="24"/>
        </w:rPr>
        <w:footnoteReference w:id="27"/>
      </w:r>
      <w:r>
        <w:rPr>
          <w:rFonts w:ascii="Times New Roman" w:hAnsi="Times New Roman"/>
          <w:noProof/>
          <w:sz w:val="24"/>
        </w:rPr>
        <w:t xml:space="preserve"> un nāca klajā ar norādījumiem par piekļuvi darba tirgum, profesionālajai izglītībai un apmācībai, kā arī pieaugušo izglītībai</w:t>
      </w:r>
      <w:r>
        <w:rPr>
          <w:rStyle w:val="FootnoteReference"/>
          <w:rFonts w:ascii="Times New Roman" w:hAnsi="Times New Roman" w:cs="Times New Roman"/>
          <w:noProof/>
          <w:sz w:val="24"/>
          <w:szCs w:val="24"/>
        </w:rPr>
        <w:footnoteReference w:id="28"/>
      </w:r>
      <w:r>
        <w:rPr>
          <w:rFonts w:ascii="Times New Roman" w:hAnsi="Times New Roman"/>
          <w:noProof/>
          <w:sz w:val="24"/>
        </w:rPr>
        <w:t>. Trešo valstu valstspiederīgo prasmju profila noteikšanas rīks</w:t>
      </w:r>
      <w:r>
        <w:rPr>
          <w:rStyle w:val="FootnoteReference"/>
          <w:rFonts w:ascii="Times New Roman" w:hAnsi="Times New Roman" w:cs="Times New Roman"/>
          <w:noProof/>
          <w:sz w:val="24"/>
          <w:szCs w:val="24"/>
        </w:rPr>
        <w:footnoteReference w:id="29"/>
      </w:r>
      <w:r>
        <w:rPr>
          <w:rFonts w:ascii="Times New Roman" w:hAnsi="Times New Roman"/>
          <w:noProof/>
          <w:sz w:val="24"/>
        </w:rPr>
        <w:t xml:space="preserve">, portāls </w:t>
      </w:r>
      <w:r>
        <w:rPr>
          <w:rFonts w:ascii="Times New Roman" w:hAnsi="Times New Roman"/>
          <w:i/>
          <w:noProof/>
          <w:sz w:val="24"/>
        </w:rPr>
        <w:t>Europass</w:t>
      </w:r>
      <w:r>
        <w:rPr>
          <w:rStyle w:val="FootnoteReference"/>
          <w:rFonts w:ascii="Times New Roman" w:hAnsi="Times New Roman" w:cs="Times New Roman"/>
          <w:noProof/>
          <w:sz w:val="24"/>
          <w:szCs w:val="24"/>
        </w:rPr>
        <w:footnoteReference w:id="30"/>
      </w:r>
      <w:r>
        <w:rPr>
          <w:rFonts w:ascii="Times New Roman" w:hAnsi="Times New Roman"/>
          <w:noProof/>
          <w:sz w:val="24"/>
        </w:rPr>
        <w:t xml:space="preserve"> un prasmju un profesiju klasifikators</w:t>
      </w:r>
      <w:r>
        <w:rPr>
          <w:rStyle w:val="FootnoteReference"/>
          <w:rFonts w:ascii="Times New Roman" w:hAnsi="Times New Roman" w:cs="Times New Roman"/>
          <w:noProof/>
          <w:sz w:val="24"/>
          <w:szCs w:val="24"/>
        </w:rPr>
        <w:footnoteReference w:id="31"/>
      </w:r>
      <w:r>
        <w:rPr>
          <w:rFonts w:ascii="Times New Roman" w:hAnsi="Times New Roman"/>
          <w:noProof/>
          <w:sz w:val="24"/>
        </w:rPr>
        <w:t xml:space="preserve"> tika papildināti ar ukraiņu valodas versijām. Kopā ar Eiropas Darba iestādi sagatavotais </w:t>
      </w:r>
      <w:r>
        <w:rPr>
          <w:rFonts w:ascii="Times New Roman" w:hAnsi="Times New Roman"/>
          <w:i/>
          <w:noProof/>
          <w:sz w:val="24"/>
        </w:rPr>
        <w:t>EURES</w:t>
      </w:r>
      <w:r>
        <w:rPr>
          <w:rFonts w:ascii="Times New Roman" w:hAnsi="Times New Roman"/>
          <w:noProof/>
          <w:sz w:val="24"/>
        </w:rPr>
        <w:t xml:space="preserve"> platformas izmēģinājuma projekts “Talantu fonds” atvieglo pagaidu aizsardzības saņēmēju piekļuvi ES darba tirgum. Tas dod iespēju darba meklētājiem reģistrēt savus CV un skatīt publicētās vakances, savukārt potenciālajiem darba devējiem — atrast darba meklētājus. Sadarbībā ar Eiropas Izglītības fondu Komisija noslēdz darbu pie projekta par Ukrainas un ES kvalifikāciju sistēmu salīdzināmību. No Ukrainas pārvietotajām personām atbalstu sniedz arī saskaņā ar ES Prasmju paktu</w:t>
      </w:r>
      <w:r>
        <w:rPr>
          <w:rStyle w:val="FootnoteReference"/>
          <w:rFonts w:ascii="Times New Roman" w:hAnsi="Times New Roman" w:cs="Times New Roman"/>
          <w:noProof/>
          <w:sz w:val="24"/>
          <w:szCs w:val="24"/>
        </w:rPr>
        <w:footnoteReference w:id="32"/>
      </w:r>
      <w:r>
        <w:rPr>
          <w:rFonts w:ascii="Times New Roman" w:hAnsi="Times New Roman"/>
          <w:noProof/>
          <w:sz w:val="24"/>
        </w:rPr>
        <w:t>, programmu “</w:t>
      </w:r>
      <w:r>
        <w:rPr>
          <w:rFonts w:ascii="Times New Roman" w:hAnsi="Times New Roman"/>
          <w:i/>
          <w:noProof/>
          <w:sz w:val="24"/>
        </w:rPr>
        <w:t>Erasmus</w:t>
      </w:r>
      <w:r>
        <w:rPr>
          <w:rFonts w:ascii="Times New Roman" w:hAnsi="Times New Roman"/>
          <w:noProof/>
          <w:sz w:val="24"/>
        </w:rPr>
        <w:t xml:space="preserve"> jaunajiem uzņēmējiem”</w:t>
      </w:r>
      <w:r>
        <w:rPr>
          <w:rStyle w:val="FootnoteReference"/>
          <w:rFonts w:ascii="Times New Roman" w:hAnsi="Times New Roman" w:cs="Times New Roman"/>
          <w:noProof/>
          <w:sz w:val="24"/>
          <w:szCs w:val="24"/>
        </w:rPr>
        <w:footnoteReference w:id="33"/>
      </w:r>
      <w:r>
        <w:rPr>
          <w:rFonts w:ascii="Times New Roman" w:hAnsi="Times New Roman"/>
          <w:noProof/>
          <w:sz w:val="24"/>
        </w:rPr>
        <w:t xml:space="preserve"> un iniciatīvu sievietēm uzņēmējām</w:t>
      </w:r>
      <w:r>
        <w:rPr>
          <w:rStyle w:val="FootnoteReference"/>
          <w:rFonts w:ascii="Times New Roman" w:hAnsi="Times New Roman" w:cs="Times New Roman"/>
          <w:noProof/>
          <w:sz w:val="24"/>
          <w:szCs w:val="24"/>
        </w:rPr>
        <w:footnoteReference w:id="34"/>
      </w:r>
      <w:r>
        <w:rPr>
          <w:rFonts w:ascii="Times New Roman" w:hAnsi="Times New Roman"/>
          <w:noProof/>
          <w:sz w:val="24"/>
        </w:rPr>
        <w:t>. Eiropas Garantija bērniem veicina bērnu integrāciju un sekmē viņu vecāku piekļuvi darba tirgum.</w:t>
      </w:r>
    </w:p>
    <w:p w14:paraId="472686C5" w14:textId="0BA42662" w:rsidR="00DC53E2" w:rsidRDefault="00DC53E2" w:rsidP="005758AA">
      <w:pPr>
        <w:pStyle w:val="ListParagraph"/>
        <w:spacing w:before="0" w:after="120"/>
        <w:ind w:left="0"/>
        <w:contextualSpacing w:val="0"/>
        <w:jc w:val="both"/>
        <w:rPr>
          <w:rFonts w:ascii="Times New Roman" w:hAnsi="Times New Roman" w:cs="Times New Roman"/>
          <w:noProof/>
          <w:sz w:val="24"/>
          <w:szCs w:val="24"/>
        </w:rPr>
      </w:pPr>
      <w:r>
        <w:rPr>
          <w:rFonts w:ascii="Times New Roman" w:hAnsi="Times New Roman"/>
          <w:noProof/>
          <w:sz w:val="24"/>
        </w:rPr>
        <w:t xml:space="preserve">Pagaidu aizsardzība nodrošina arī tiesības uz </w:t>
      </w:r>
      <w:r>
        <w:rPr>
          <w:rFonts w:ascii="Times New Roman" w:hAnsi="Times New Roman"/>
          <w:b/>
          <w:noProof/>
          <w:sz w:val="24"/>
        </w:rPr>
        <w:t>medicīnisko aprūpi</w:t>
      </w:r>
      <w:r>
        <w:rPr>
          <w:rFonts w:ascii="Times New Roman" w:hAnsi="Times New Roman"/>
          <w:noProof/>
          <w:sz w:val="24"/>
        </w:rPr>
        <w:t>, kas ietver vismaz neatliekamo aprūpi un slimību primāro ārstēšanu. Praksē daudzas dalībvalstis ir pārsniegušas formālās direktīvas prasības un nodrošina plašāku piekļuvi</w:t>
      </w:r>
      <w:r>
        <w:rPr>
          <w:rStyle w:val="FootnoteReference"/>
          <w:rFonts w:ascii="Times New Roman" w:hAnsi="Times New Roman" w:cs="Times New Roman"/>
          <w:noProof/>
          <w:sz w:val="24"/>
          <w:szCs w:val="24"/>
        </w:rPr>
        <w:footnoteReference w:id="35"/>
      </w:r>
      <w:r>
        <w:rPr>
          <w:rFonts w:ascii="Times New Roman" w:hAnsi="Times New Roman"/>
          <w:noProof/>
          <w:sz w:val="24"/>
        </w:rPr>
        <w:t>. Īpašs ieinteresēto personu tīkls</w:t>
      </w:r>
      <w:r>
        <w:rPr>
          <w:rStyle w:val="FootnoteReference"/>
          <w:rFonts w:ascii="Times New Roman" w:hAnsi="Times New Roman" w:cs="Times New Roman"/>
          <w:noProof/>
          <w:sz w:val="24"/>
          <w:szCs w:val="24"/>
        </w:rPr>
        <w:footnoteReference w:id="36"/>
      </w:r>
      <w:r>
        <w:rPr>
          <w:rFonts w:ascii="Times New Roman" w:hAnsi="Times New Roman"/>
          <w:noProof/>
          <w:sz w:val="24"/>
        </w:rPr>
        <w:t xml:space="preserve"> atbalsta pārvietotos pacientus un veselības aprūpes speciālistus, kā arī pilsoniskās sabiedrības organizācijas. Tajā pašā laikā Komisija, izmantojot medicīniskās evakuācijas programmu, strādā pie tā, lai palīdzētu atgriezties mājās tiem, kas to vēlas darīt pēc ārstēšanās ES. ES palīdz risināt arī </w:t>
      </w:r>
      <w:r>
        <w:rPr>
          <w:rFonts w:ascii="Times New Roman" w:hAnsi="Times New Roman"/>
          <w:b/>
          <w:noProof/>
          <w:sz w:val="24"/>
        </w:rPr>
        <w:t>garīgās veselības</w:t>
      </w:r>
      <w:r>
        <w:rPr>
          <w:rFonts w:ascii="Times New Roman" w:hAnsi="Times New Roman"/>
          <w:noProof/>
          <w:sz w:val="24"/>
        </w:rPr>
        <w:t xml:space="preserve"> problēmas, sniedzot psihosociālu atbalstu saskaņā ar programmu </w:t>
      </w:r>
      <w:r>
        <w:rPr>
          <w:rFonts w:ascii="Times New Roman" w:hAnsi="Times New Roman"/>
          <w:i/>
          <w:noProof/>
          <w:sz w:val="24"/>
        </w:rPr>
        <w:t>EU4Health</w:t>
      </w:r>
      <w:r>
        <w:rPr>
          <w:rFonts w:ascii="Times New Roman" w:hAnsi="Times New Roman"/>
          <w:noProof/>
          <w:sz w:val="24"/>
        </w:rPr>
        <w:t xml:space="preserve">, kuru tagad Ukraina var izmantot ar tādiem pašiem nosacījumiem kā ES un asociētās valstis. Jo īpaši ar Starptautiskās Sarkanā Krusta federācijas starpniecību īstenotā garīgās veselības atbalsta programma, kas sākotnēji tika izveidota, lai atbalstītu personas, kuras ierodas dalībvalstīs, kas robežojas ar Ukrainu, tagad tiks paplašināta, lai aptvertu visas dalībvalstis, un finansējums tiks divkāršots. </w:t>
      </w:r>
    </w:p>
    <w:p w14:paraId="5BAC981B" w14:textId="7ADB9420" w:rsidR="008C5CB5" w:rsidRPr="00FD3A72" w:rsidRDefault="008C5CB5" w:rsidP="005758AA">
      <w:pPr>
        <w:pStyle w:val="ListParagraph"/>
        <w:spacing w:before="0" w:after="120"/>
        <w:ind w:left="0"/>
        <w:contextualSpacing w:val="0"/>
        <w:jc w:val="both"/>
        <w:rPr>
          <w:rFonts w:ascii="Times New Roman" w:hAnsi="Times New Roman" w:cs="Times New Roman"/>
          <w:noProof/>
          <w:sz w:val="24"/>
          <w:szCs w:val="24"/>
        </w:rPr>
      </w:pPr>
      <w:r>
        <w:rPr>
          <w:rFonts w:ascii="Times New Roman" w:hAnsi="Times New Roman"/>
          <w:noProof/>
          <w:sz w:val="24"/>
        </w:rPr>
        <w:t xml:space="preserve">Skaidra un savlaicīga </w:t>
      </w:r>
      <w:r>
        <w:rPr>
          <w:rFonts w:ascii="Times New Roman" w:hAnsi="Times New Roman"/>
          <w:b/>
          <w:noProof/>
          <w:sz w:val="24"/>
        </w:rPr>
        <w:t>informācija</w:t>
      </w:r>
      <w:r>
        <w:rPr>
          <w:rFonts w:ascii="Times New Roman" w:hAnsi="Times New Roman"/>
          <w:noProof/>
          <w:sz w:val="24"/>
        </w:rPr>
        <w:t xml:space="preserve"> ES Solidaritātes ar Ukrainu tīmekļa vietnē</w:t>
      </w:r>
      <w:r>
        <w:rPr>
          <w:rStyle w:val="FootnoteReference"/>
          <w:rFonts w:ascii="Times New Roman" w:hAnsi="Times New Roman" w:cs="Times New Roman"/>
          <w:noProof/>
          <w:sz w:val="24"/>
          <w:szCs w:val="24"/>
        </w:rPr>
        <w:footnoteReference w:id="37"/>
      </w:r>
      <w:r>
        <w:rPr>
          <w:rFonts w:ascii="Times New Roman" w:hAnsi="Times New Roman"/>
          <w:noProof/>
          <w:sz w:val="24"/>
        </w:rPr>
        <w:t xml:space="preserve"> un palīdzības tālruņa numurs ukraiņu un krievu valodā ir daļa no plašas komunikācijas stratēģijas, lai </w:t>
      </w:r>
      <w:r>
        <w:rPr>
          <w:rFonts w:ascii="Times New Roman" w:hAnsi="Times New Roman"/>
          <w:noProof/>
          <w:sz w:val="24"/>
        </w:rPr>
        <w:lastRenderedPageBreak/>
        <w:t>palīdzētu nodrošināt, ka palīdzības saņēmēji zina savas tiesības un izmitināšanas, darba, izglītības un veselības aprūpes iespējas. Tas ir palīdzējis vairot uzticību saistībā ar pārvietošanos ES.</w:t>
      </w:r>
    </w:p>
    <w:p w14:paraId="6F0F46A3" w14:textId="77777777" w:rsidR="009E2BD9" w:rsidRDefault="009E2BD9" w:rsidP="005758AA">
      <w:pPr>
        <w:pStyle w:val="ListParagraph"/>
        <w:spacing w:before="0" w:after="120"/>
        <w:ind w:left="0"/>
        <w:contextualSpacing w:val="0"/>
        <w:jc w:val="both"/>
        <w:rPr>
          <w:rFonts w:ascii="Times New Roman" w:hAnsi="Times New Roman" w:cs="Times New Roman"/>
          <w:b/>
          <w:bCs/>
          <w:i/>
          <w:iCs/>
          <w:noProof/>
          <w:sz w:val="24"/>
          <w:szCs w:val="24"/>
        </w:rPr>
      </w:pPr>
    </w:p>
    <w:p w14:paraId="38DA51B1" w14:textId="77777777" w:rsidR="009E2BD9" w:rsidRDefault="009E2BD9" w:rsidP="005758AA">
      <w:pPr>
        <w:pStyle w:val="ListParagraph"/>
        <w:spacing w:before="0" w:after="120"/>
        <w:ind w:left="0"/>
        <w:contextualSpacing w:val="0"/>
        <w:jc w:val="both"/>
        <w:rPr>
          <w:rFonts w:ascii="Times New Roman" w:hAnsi="Times New Roman" w:cs="Times New Roman"/>
          <w:b/>
          <w:bCs/>
          <w:i/>
          <w:iCs/>
          <w:noProof/>
          <w:sz w:val="24"/>
          <w:szCs w:val="24"/>
        </w:rPr>
      </w:pPr>
    </w:p>
    <w:p w14:paraId="601C788E" w14:textId="3815D6B3" w:rsidR="00E268C1" w:rsidRPr="00634701" w:rsidRDefault="00E268C1" w:rsidP="005758AA">
      <w:pPr>
        <w:pStyle w:val="ListParagraph"/>
        <w:spacing w:before="0" w:after="120"/>
        <w:ind w:left="0"/>
        <w:contextualSpacing w:val="0"/>
        <w:jc w:val="both"/>
        <w:rPr>
          <w:rFonts w:ascii="Times New Roman" w:hAnsi="Times New Roman" w:cs="Times New Roman"/>
          <w:b/>
          <w:bCs/>
          <w:i/>
          <w:iCs/>
          <w:noProof/>
          <w:sz w:val="24"/>
          <w:szCs w:val="24"/>
        </w:rPr>
      </w:pPr>
      <w:r>
        <w:rPr>
          <w:rFonts w:ascii="Times New Roman" w:hAnsi="Times New Roman"/>
          <w:b/>
          <w:i/>
          <w:noProof/>
          <w:sz w:val="24"/>
        </w:rPr>
        <w:t>Operatīvais un finansiālais atbalsts</w:t>
      </w:r>
    </w:p>
    <w:p w14:paraId="0DFE66FB" w14:textId="77777777" w:rsidR="00DC53E2" w:rsidRPr="00114E09" w:rsidRDefault="00DC53E2" w:rsidP="005758AA">
      <w:pPr>
        <w:pStyle w:val="Default"/>
        <w:spacing w:after="120"/>
        <w:jc w:val="both"/>
        <w:rPr>
          <w:bCs/>
          <w:noProof/>
          <w:color w:val="auto"/>
        </w:rPr>
      </w:pPr>
      <w:r>
        <w:rPr>
          <w:noProof/>
          <w:color w:val="auto"/>
        </w:rPr>
        <w:t xml:space="preserve">Papildus atbalstam, kas dalībvalstīm tiek sniegts ar koordinācijas un kopīgu vadlīniju palīdzību, ES aģentūru darbs un ES finansējuma straujā pārorientēšana ir bijuši galvenie faktori pagaidu aizsardzības īstenošanā visā Savienībā. </w:t>
      </w:r>
    </w:p>
    <w:p w14:paraId="1226D460" w14:textId="7EFE0655" w:rsidR="00DC53E2" w:rsidRPr="00114E09" w:rsidRDefault="00DC53E2" w:rsidP="00916475">
      <w:pPr>
        <w:pStyle w:val="Default"/>
        <w:spacing w:after="240"/>
        <w:jc w:val="both"/>
        <w:rPr>
          <w:rFonts w:eastAsia="Times New Roman"/>
          <w:noProof/>
        </w:rPr>
      </w:pPr>
      <w:r>
        <w:rPr>
          <w:noProof/>
          <w:color w:val="auto"/>
        </w:rPr>
        <w:t xml:space="preserve">ES aģentūras ātri sniedza atbalstu uz vietas dalībvalstīm, kas robežojas ar Ukrainu, kā arī Moldovai. </w:t>
      </w:r>
      <w:r>
        <w:rPr>
          <w:b/>
          <w:noProof/>
          <w:color w:val="auto"/>
        </w:rPr>
        <w:t>Eiropas Robežu un krasta apsardzes aģentūra (</w:t>
      </w:r>
      <w:r>
        <w:rPr>
          <w:b/>
          <w:i/>
          <w:noProof/>
          <w:color w:val="auto"/>
        </w:rPr>
        <w:t>Frontex</w:t>
      </w:r>
      <w:r>
        <w:rPr>
          <w:b/>
          <w:noProof/>
          <w:color w:val="auto"/>
        </w:rPr>
        <w:t>)</w:t>
      </w:r>
      <w:r>
        <w:rPr>
          <w:noProof/>
          <w:color w:val="auto"/>
        </w:rPr>
        <w:t xml:space="preserve"> ir izvietojusi gandrīz 260 pastāvīgā korpusa darbinieku, kā arī tehnisko aprīkojumu Rumānijā, Slovākijā, Polijā un Moldovā, un atkarībā no vajadzībām ir gatava nosūtīt uz šo reģionu jaunus spēkus. </w:t>
      </w:r>
      <w:r>
        <w:rPr>
          <w:b/>
          <w:noProof/>
          <w:color w:val="auto"/>
        </w:rPr>
        <w:t>ES</w:t>
      </w:r>
      <w:r>
        <w:rPr>
          <w:noProof/>
          <w:color w:val="auto"/>
        </w:rPr>
        <w:t xml:space="preserve"> </w:t>
      </w:r>
      <w:r>
        <w:rPr>
          <w:b/>
          <w:noProof/>
          <w:color w:val="auto"/>
        </w:rPr>
        <w:t xml:space="preserve">Patvēruma </w:t>
      </w:r>
      <w:r>
        <w:rPr>
          <w:noProof/>
          <w:color w:val="auto"/>
        </w:rPr>
        <w:t xml:space="preserve"> </w:t>
      </w:r>
      <w:r>
        <w:rPr>
          <w:b/>
          <w:noProof/>
          <w:color w:val="auto"/>
        </w:rPr>
        <w:t>aģentūra</w:t>
      </w:r>
      <w:r>
        <w:rPr>
          <w:noProof/>
          <w:color w:val="auto"/>
        </w:rPr>
        <w:t xml:space="preserve"> ir ievērojami paplašinājusi savu darbību, noslēdzot jaunus darbības plānus ar Bulgāriju, Čehiju un Rumāniju un grozot citus, lai sniegtu papildu atbalstu pagaidu aizsardzības pasākumu īstenošanai. Pašlaik dalībvalstīs un Moldovā ir izvietoti vairāk nekā 60 eksperti un tulki. </w:t>
      </w:r>
      <w:r>
        <w:rPr>
          <w:b/>
          <w:noProof/>
          <w:color w:val="auto"/>
        </w:rPr>
        <w:t>Eiropols</w:t>
      </w:r>
      <w:r>
        <w:rPr>
          <w:noProof/>
          <w:color w:val="auto"/>
        </w:rPr>
        <w:t xml:space="preserve"> izvieto operatīvās grupas Ungārijā, Polijā, Rumānijā, Slovākijā un Moldovā, lai atbalstītu valstu iestādes ar karu saistītu noziedzīgu darbību — tai skaitā migrantu kontrabandas un cilvēku tirdzniecības — savlaicīgā atklāšanā. </w:t>
      </w:r>
    </w:p>
    <w:tbl>
      <w:tblPr>
        <w:tblStyle w:val="TableGrid"/>
        <w:tblW w:w="0" w:type="auto"/>
        <w:tblInd w:w="108" w:type="dxa"/>
        <w:tblLook w:val="04A0" w:firstRow="1" w:lastRow="0" w:firstColumn="1" w:lastColumn="0" w:noHBand="0" w:noVBand="1"/>
      </w:tblPr>
      <w:tblGrid>
        <w:gridCol w:w="9058"/>
      </w:tblGrid>
      <w:tr w:rsidR="00DC53E2" w:rsidRPr="00114E09" w14:paraId="270EC050" w14:textId="77777777" w:rsidTr="00CC1551">
        <w:tc>
          <w:tcPr>
            <w:tcW w:w="9058" w:type="dxa"/>
          </w:tcPr>
          <w:p w14:paraId="76AE1AB9" w14:textId="77777777" w:rsidR="00DC53E2" w:rsidRPr="00114E09" w:rsidRDefault="00DC53E2" w:rsidP="005758AA">
            <w:pPr>
              <w:spacing w:after="120"/>
              <w:rPr>
                <w:rFonts w:ascii="Times New Roman" w:hAnsi="Times New Roman" w:cs="Times New Roman"/>
                <w:b/>
                <w:i/>
                <w:noProof/>
                <w:sz w:val="24"/>
                <w:szCs w:val="24"/>
              </w:rPr>
            </w:pPr>
            <w:r>
              <w:rPr>
                <w:rFonts w:ascii="Times New Roman" w:hAnsi="Times New Roman"/>
                <w:b/>
                <w:i/>
                <w:noProof/>
                <w:sz w:val="24"/>
              </w:rPr>
              <w:t>Finansēšanas vajadzību risināšana</w:t>
            </w:r>
          </w:p>
          <w:p w14:paraId="10441FB9" w14:textId="77777777" w:rsidR="00DC53E2" w:rsidRPr="00114E09" w:rsidRDefault="00DC53E2" w:rsidP="005758AA">
            <w:pPr>
              <w:pStyle w:val="ListParagraph"/>
              <w:spacing w:after="120"/>
              <w:ind w:left="0"/>
              <w:contextualSpacing w:val="0"/>
              <w:rPr>
                <w:rFonts w:ascii="Times New Roman" w:eastAsia="Times New Roman" w:hAnsi="Times New Roman" w:cs="Times New Roman"/>
                <w:noProof/>
                <w:sz w:val="24"/>
                <w:szCs w:val="24"/>
              </w:rPr>
            </w:pPr>
            <w:r>
              <w:rPr>
                <w:rFonts w:ascii="Times New Roman" w:hAnsi="Times New Roman"/>
                <w:noProof/>
                <w:sz w:val="24"/>
              </w:rPr>
              <w:t xml:space="preserve">Komisija ir nodrošinājusi vēl nebijušu </w:t>
            </w:r>
            <w:r>
              <w:rPr>
                <w:rFonts w:ascii="Times New Roman" w:hAnsi="Times New Roman"/>
                <w:b/>
                <w:noProof/>
                <w:sz w:val="24"/>
              </w:rPr>
              <w:t>ES finansējuma</w:t>
            </w:r>
            <w:r>
              <w:rPr>
                <w:rFonts w:ascii="Times New Roman" w:hAnsi="Times New Roman"/>
                <w:noProof/>
                <w:sz w:val="24"/>
              </w:rPr>
              <w:t xml:space="preserve"> izmantošanas elastību, lai atbalstītu dalībvalstu, galveno organizāciju un pilsoniskās sabiedrības centienus atbalstīt tos, kam tas nepieciešams. </w:t>
            </w:r>
          </w:p>
          <w:p w14:paraId="2081C112" w14:textId="64A35250" w:rsidR="00DC53E2" w:rsidRPr="00F36A78" w:rsidRDefault="00DC53E2" w:rsidP="00EF085E">
            <w:pPr>
              <w:spacing w:after="120"/>
              <w:rPr>
                <w:rFonts w:ascii="Times New Roman" w:hAnsi="Times New Roman" w:cs="Times New Roman"/>
                <w:noProof/>
                <w:sz w:val="24"/>
                <w:szCs w:val="24"/>
              </w:rPr>
            </w:pPr>
            <w:bookmarkStart w:id="5" w:name="_Hlk115171897"/>
            <w:r>
              <w:rPr>
                <w:rFonts w:ascii="Times New Roman" w:hAnsi="Times New Roman"/>
                <w:noProof/>
                <w:sz w:val="24"/>
              </w:rPr>
              <w:t xml:space="preserve">Komisija ir ātri rīkojusies, lai mobilizētu pieejamos resursus no </w:t>
            </w:r>
            <w:r>
              <w:rPr>
                <w:rFonts w:ascii="Times New Roman" w:hAnsi="Times New Roman"/>
                <w:b/>
                <w:noProof/>
                <w:sz w:val="24"/>
              </w:rPr>
              <w:t>kohēzijas politikas fondiem</w:t>
            </w:r>
            <w:r>
              <w:rPr>
                <w:rFonts w:ascii="Times New Roman" w:hAnsi="Times New Roman"/>
                <w:noProof/>
                <w:sz w:val="24"/>
              </w:rPr>
              <w:t>. Tūlīt pēc iebrukuma tika iesniegti priekšlikumi par kohēzijas rīcību bēgļu atbalstam Eiropā (</w:t>
            </w:r>
            <w:r>
              <w:rPr>
                <w:rFonts w:ascii="Times New Roman" w:hAnsi="Times New Roman"/>
                <w:i/>
                <w:noProof/>
                <w:sz w:val="24"/>
              </w:rPr>
              <w:t>CARE</w:t>
            </w:r>
            <w:r>
              <w:rPr>
                <w:rFonts w:ascii="Times New Roman" w:hAnsi="Times New Roman"/>
                <w:noProof/>
                <w:sz w:val="24"/>
              </w:rPr>
              <w:t>)</w:t>
            </w:r>
            <w:r>
              <w:rPr>
                <w:rStyle w:val="FootnoteReference"/>
                <w:rFonts w:ascii="Times New Roman" w:eastAsia="Times New Roman" w:hAnsi="Times New Roman" w:cs="Times New Roman"/>
                <w:noProof/>
                <w:sz w:val="24"/>
                <w:szCs w:val="24"/>
                <w:lang w:eastAsia="de-DE"/>
              </w:rPr>
              <w:footnoteReference w:id="38"/>
            </w:r>
            <w:r>
              <w:rPr>
                <w:rFonts w:ascii="Times New Roman" w:hAnsi="Times New Roman"/>
                <w:noProof/>
                <w:sz w:val="24"/>
              </w:rPr>
              <w:t xml:space="preserve">, kas ļāva dalībvalstīm elastīgi izmantot līdzekļus, kuri vēl bija pieejami no kohēzijas politikai 2014.–2020. gadam paredzētā finansējuma, tai skaitā </w:t>
            </w:r>
            <w:r>
              <w:rPr>
                <w:rFonts w:ascii="Times New Roman" w:hAnsi="Times New Roman"/>
                <w:i/>
                <w:noProof/>
                <w:sz w:val="24"/>
              </w:rPr>
              <w:t>REACT-EU</w:t>
            </w:r>
            <w:r>
              <w:rPr>
                <w:rStyle w:val="FootnoteReference"/>
                <w:rFonts w:ascii="Times New Roman" w:eastAsia="Times New Roman" w:hAnsi="Times New Roman" w:cs="Times New Roman"/>
                <w:noProof/>
                <w:sz w:val="24"/>
                <w:szCs w:val="24"/>
                <w:lang w:eastAsia="de-DE"/>
              </w:rPr>
              <w:footnoteReference w:id="39"/>
            </w:r>
            <w:r>
              <w:rPr>
                <w:rFonts w:ascii="Times New Roman" w:hAnsi="Times New Roman"/>
                <w:noProof/>
                <w:sz w:val="24"/>
              </w:rPr>
              <w:t xml:space="preserve">, pasākumiem no Ukrainas bēgošo cilvēku atbalstam. Tiem sekoja </w:t>
            </w:r>
            <w:r>
              <w:rPr>
                <w:rFonts w:ascii="Times New Roman" w:hAnsi="Times New Roman"/>
                <w:i/>
                <w:noProof/>
                <w:sz w:val="24"/>
              </w:rPr>
              <w:t>FAST-CARE</w:t>
            </w:r>
            <w:r>
              <w:rPr>
                <w:rStyle w:val="FootnoteReference"/>
                <w:rFonts w:ascii="Times New Roman" w:hAnsi="Times New Roman" w:cs="Times New Roman"/>
                <w:noProof/>
                <w:sz w:val="24"/>
                <w:szCs w:val="24"/>
                <w:lang w:eastAsia="de-DE"/>
              </w:rPr>
              <w:footnoteReference w:id="40"/>
            </w:r>
            <w:r>
              <w:rPr>
                <w:rFonts w:ascii="Times New Roman" w:hAnsi="Times New Roman"/>
                <w:noProof/>
                <w:sz w:val="24"/>
              </w:rPr>
              <w:t>, kas aptver 2021.–2027. gada laikposmu. Abas šīs iniciatīvas palīdz dalībvalstīm maksimāli ātri piekļūt finansējumam, izmantojot lielāku priekšfinansējumu, 100 % ES līdzfinansējumu</w:t>
            </w:r>
            <w:bookmarkEnd w:id="5"/>
            <w:r>
              <w:rPr>
                <w:rFonts w:ascii="Times New Roman" w:hAnsi="Times New Roman"/>
                <w:noProof/>
                <w:sz w:val="24"/>
              </w:rPr>
              <w:t xml:space="preserve"> un vienkāršotas procedūras. </w:t>
            </w:r>
          </w:p>
          <w:p w14:paraId="2CD8803E" w14:textId="3377198B" w:rsidR="00B845BF" w:rsidRPr="00114E09" w:rsidRDefault="00F36A78" w:rsidP="009E62C4">
            <w:pPr>
              <w:spacing w:before="120" w:after="120"/>
              <w:rPr>
                <w:rFonts w:ascii="Times New Roman" w:eastAsia="Times New Roman" w:hAnsi="Times New Roman" w:cs="Times New Roman"/>
                <w:noProof/>
                <w:sz w:val="24"/>
                <w:szCs w:val="24"/>
              </w:rPr>
            </w:pPr>
            <w:bookmarkStart w:id="6" w:name="_Hlk115171980"/>
            <w:r>
              <w:rPr>
                <w:rFonts w:ascii="Times New Roman" w:hAnsi="Times New Roman"/>
                <w:b/>
                <w:noProof/>
                <w:sz w:val="24"/>
              </w:rPr>
              <w:t>Eiropas Sociālā fonda (ESF)/ESF+</w:t>
            </w:r>
            <w:r>
              <w:rPr>
                <w:rFonts w:ascii="Times New Roman" w:hAnsi="Times New Roman"/>
                <w:noProof/>
                <w:sz w:val="24"/>
              </w:rPr>
              <w:t xml:space="preserve"> ietvaros pieņemtajās programmās jau ir sakopoti ievērojami centieni kara seku novēršanai. Ar jaunajām elastīgajām iespējām varēs atbalstīt izglītību, nodarbinātību un sociālo iekļaušanu, kā arī nodrošināt pārtiku un pamata materiālo palīdzību tiem, kas bēg no iebrukuma. Nozīmīgu ieguldījumu investīciju veidā sniedz arī </w:t>
            </w:r>
            <w:r>
              <w:rPr>
                <w:rFonts w:ascii="Times New Roman" w:hAnsi="Times New Roman"/>
                <w:b/>
                <w:noProof/>
                <w:sz w:val="24"/>
              </w:rPr>
              <w:t>Eiropas Reģionālās attīstības fonda (ERAF)</w:t>
            </w:r>
            <w:r>
              <w:rPr>
                <w:rFonts w:ascii="Times New Roman" w:hAnsi="Times New Roman"/>
                <w:noProof/>
                <w:sz w:val="24"/>
              </w:rPr>
              <w:t xml:space="preserve"> programmas, lai risinātu ar </w:t>
            </w:r>
            <w:r>
              <w:rPr>
                <w:rFonts w:ascii="Times New Roman" w:hAnsi="Times New Roman"/>
                <w:noProof/>
                <w:sz w:val="24"/>
              </w:rPr>
              <w:lastRenderedPageBreak/>
              <w:t>migrācijas vajadzībām saistītās problēmas.</w:t>
            </w:r>
          </w:p>
          <w:bookmarkEnd w:id="6"/>
          <w:p w14:paraId="08BCA6EA" w14:textId="295AA606" w:rsidR="00DC53E2" w:rsidRDefault="00DC53E2" w:rsidP="005758AA">
            <w:pPr>
              <w:spacing w:before="120" w:after="120"/>
              <w:rPr>
                <w:rFonts w:ascii="Times New Roman" w:hAnsi="Times New Roman" w:cs="Times New Roman"/>
                <w:noProof/>
                <w:sz w:val="24"/>
                <w:szCs w:val="24"/>
              </w:rPr>
            </w:pPr>
            <w:r>
              <w:rPr>
                <w:rFonts w:ascii="Times New Roman" w:hAnsi="Times New Roman"/>
                <w:noProof/>
                <w:sz w:val="24"/>
              </w:rPr>
              <w:t>Turklāt ar elastīgumu</w:t>
            </w:r>
            <w:r>
              <w:rPr>
                <w:rStyle w:val="FootnoteReference"/>
                <w:rFonts w:ascii="Times New Roman" w:hAnsi="Times New Roman" w:cs="Times New Roman"/>
                <w:noProof/>
                <w:sz w:val="24"/>
                <w:szCs w:val="24"/>
                <w:lang w:eastAsia="de-DE"/>
              </w:rPr>
              <w:footnoteReference w:id="41"/>
            </w:r>
            <w:r>
              <w:rPr>
                <w:rFonts w:ascii="Times New Roman" w:hAnsi="Times New Roman"/>
                <w:noProof/>
                <w:sz w:val="24"/>
              </w:rPr>
              <w:t xml:space="preserve">, kas ieviests attiecībā uz 2014.–2020. gada </w:t>
            </w:r>
            <w:r>
              <w:rPr>
                <w:rFonts w:ascii="Times New Roman" w:hAnsi="Times New Roman"/>
                <w:b/>
                <w:noProof/>
                <w:sz w:val="24"/>
              </w:rPr>
              <w:t>iekšlietu fondu</w:t>
            </w:r>
            <w:r>
              <w:rPr>
                <w:rStyle w:val="FootnoteReference"/>
                <w:rFonts w:ascii="Times New Roman" w:hAnsi="Times New Roman" w:cs="Times New Roman"/>
                <w:noProof/>
                <w:sz w:val="24"/>
                <w:szCs w:val="24"/>
                <w:lang w:eastAsia="de-DE"/>
              </w:rPr>
              <w:footnoteReference w:id="42"/>
            </w:r>
            <w:r>
              <w:rPr>
                <w:rFonts w:ascii="Times New Roman" w:hAnsi="Times New Roman"/>
                <w:noProof/>
                <w:sz w:val="24"/>
              </w:rPr>
              <w:t xml:space="preserve"> līdzekļu izlietojumu, ir atbalstītas pirmās uzņemšanas vajadzības (ārkārtas izmitināšana, pārtika, veselības aprūpe u. c.) un pagaidu aizsardzības īstenošana (sākotnējās apstrādes un reģistrācijas darbības, personu nosūtīšana uz specializētiem atbalsta dienestiem u. c.). Daļa atbalsta būtu jānovirza pilsoniskās sabiedrības organizācijām un vietējām un reģionālajām pašvaldībām, kurām ir liela nozīme ārkārtas palīdzības sniegšanā. </w:t>
            </w:r>
          </w:p>
          <w:p w14:paraId="159FFC30" w14:textId="56CD9328" w:rsidR="00444410" w:rsidRPr="00114E09" w:rsidRDefault="00444410" w:rsidP="00444410">
            <w:pPr>
              <w:pStyle w:val="ListParagraph"/>
              <w:spacing w:before="0" w:after="120"/>
              <w:ind w:left="0"/>
              <w:contextualSpacing w:val="0"/>
              <w:rPr>
                <w:rFonts w:ascii="Times New Roman" w:hAnsi="Times New Roman" w:cs="Times New Roman"/>
                <w:noProof/>
                <w:sz w:val="24"/>
                <w:szCs w:val="24"/>
              </w:rPr>
            </w:pPr>
            <w:r>
              <w:rPr>
                <w:rFonts w:ascii="Times New Roman" w:hAnsi="Times New Roman"/>
                <w:noProof/>
                <w:sz w:val="24"/>
              </w:rPr>
              <w:t xml:space="preserve">Turklāt dalībvalstis var izmantot </w:t>
            </w:r>
            <w:r>
              <w:rPr>
                <w:rFonts w:ascii="Times New Roman" w:hAnsi="Times New Roman"/>
                <w:b/>
                <w:noProof/>
                <w:sz w:val="24"/>
              </w:rPr>
              <w:t>tehniskā atbalsta instrumentu</w:t>
            </w:r>
            <w:r>
              <w:rPr>
                <w:rStyle w:val="FootnoteReference"/>
                <w:rFonts w:ascii="Times New Roman" w:hAnsi="Times New Roman" w:cs="Times New Roman"/>
                <w:noProof/>
                <w:sz w:val="24"/>
                <w:szCs w:val="24"/>
              </w:rPr>
              <w:footnoteReference w:id="43"/>
            </w:r>
            <w:r>
              <w:rPr>
                <w:rFonts w:ascii="Times New Roman" w:hAnsi="Times New Roman"/>
                <w:noProof/>
                <w:sz w:val="24"/>
              </w:rPr>
              <w:t>, lai uzlabotu savas spējas uzņemt cilvēkus, kuri bēg no Ukrainas, un atvieglotu viņu integrāciju.</w:t>
            </w:r>
          </w:p>
          <w:p w14:paraId="485C110F" w14:textId="77777777" w:rsidR="00DC53E2" w:rsidRPr="00114E09" w:rsidRDefault="00DC53E2" w:rsidP="005758AA">
            <w:pPr>
              <w:spacing w:before="120" w:after="120"/>
              <w:rPr>
                <w:rFonts w:ascii="Times New Roman" w:eastAsia="Times New Roman" w:hAnsi="Times New Roman" w:cs="Times New Roman"/>
                <w:noProof/>
                <w:sz w:val="24"/>
                <w:szCs w:val="24"/>
              </w:rPr>
            </w:pPr>
            <w:r>
              <w:rPr>
                <w:rFonts w:ascii="Times New Roman" w:hAnsi="Times New Roman"/>
                <w:b/>
                <w:noProof/>
                <w:sz w:val="24"/>
              </w:rPr>
              <w:t>Ilgāka termiņa vajadzībām</w:t>
            </w:r>
            <w:r>
              <w:rPr>
                <w:rFonts w:ascii="Times New Roman" w:hAnsi="Times New Roman"/>
                <w:noProof/>
                <w:sz w:val="24"/>
              </w:rPr>
              <w:t xml:space="preserve"> ievērojams finansējums ir pieejams 2021.–2027. gada finanšu shēmā. Dalībvalstīm ir arī iespēja gan kohēzijas politikā, gan iekšlietu fondu valsts programmās iekļaut pasākumus migrantu izcelsmes personu integrācijas atbalstam.</w:t>
            </w:r>
          </w:p>
          <w:p w14:paraId="0F07532E" w14:textId="77777777" w:rsidR="00DC53E2" w:rsidRPr="00114E09" w:rsidRDefault="00DC53E2" w:rsidP="005758AA">
            <w:pPr>
              <w:pStyle w:val="ListParagraph"/>
              <w:spacing w:after="120"/>
              <w:ind w:left="0"/>
              <w:contextualSpacing w:val="0"/>
              <w:rPr>
                <w:rFonts w:ascii="Times New Roman" w:eastAsia="Times New Roman" w:hAnsi="Times New Roman" w:cs="Times New Roman"/>
                <w:noProof/>
                <w:sz w:val="24"/>
                <w:szCs w:val="24"/>
              </w:rPr>
            </w:pPr>
            <w:r>
              <w:rPr>
                <w:rFonts w:ascii="Times New Roman" w:hAnsi="Times New Roman"/>
                <w:noProof/>
                <w:sz w:val="24"/>
              </w:rPr>
              <w:t xml:space="preserve">Komisijas dienestu tehniskā līmeņa apmeklējumi visās galvenajās dalībvalstīs nodrošināja atbalstu valstu iestādēm, un tika izveidota </w:t>
            </w:r>
            <w:r>
              <w:rPr>
                <w:rFonts w:ascii="Times New Roman" w:hAnsi="Times New Roman"/>
                <w:b/>
                <w:noProof/>
                <w:sz w:val="24"/>
              </w:rPr>
              <w:t>vienas pieturas aģentūra</w:t>
            </w:r>
            <w:r>
              <w:rPr>
                <w:rFonts w:ascii="Times New Roman" w:hAnsi="Times New Roman"/>
                <w:noProof/>
                <w:sz w:val="24"/>
              </w:rPr>
              <w:t>, lai veicinātu pieejamo ES līdzekļu optimālu un papildinošu izmantošanu.</w:t>
            </w:r>
          </w:p>
        </w:tc>
      </w:tr>
    </w:tbl>
    <w:p w14:paraId="7BF4842B" w14:textId="37CE1D30" w:rsidR="00DC53E2" w:rsidRDefault="00DC53E2" w:rsidP="001865E7">
      <w:pPr>
        <w:pStyle w:val="Default"/>
        <w:spacing w:before="120" w:after="120"/>
        <w:jc w:val="both"/>
        <w:rPr>
          <w:noProof/>
        </w:rPr>
      </w:pPr>
      <w:r>
        <w:rPr>
          <w:noProof/>
        </w:rPr>
        <w:lastRenderedPageBreak/>
        <w:t xml:space="preserve">ES apņemšanās aizsargāt personas, kas bēg no Krievijas iebrukuma Ukrainā, ir nelokāma. Komisija plāno maksimāli izmantot iespējas, kas pieejamas saskaņā ar Pagaidu aizsardzības direktīvu, un atļaut pagarināt piešķirto pagaidu aizsardzību vēl par vienu gadu — līdz 2024. gada martam. Tas miljoniem cilvēku sniedz skaidrību un stabilitāti. Ir ļoti svarīgi, lai dalībvalstis nodrošinātu, ka atbalsta saņēmēji var turpināt izmantot savas tiesības, palīdzot cilvēkiem pāriet uz pastāvīgāku darbu un bērniem iekļauties izglītības sistēmā. ES turpinās atbalstīt dalībvalstu centienus nodrošināt ieceļotāju raitu un abpusēji izdevīgu </w:t>
      </w:r>
      <w:r>
        <w:rPr>
          <w:b/>
          <w:noProof/>
        </w:rPr>
        <w:t>integrāciju un iekļaušanu</w:t>
      </w:r>
      <w:r>
        <w:rPr>
          <w:noProof/>
        </w:rPr>
        <w:t xml:space="preserve"> ES sabiedrībā.</w:t>
      </w:r>
    </w:p>
    <w:p w14:paraId="6E7F4DEB" w14:textId="4B04D073" w:rsidR="00E078DE" w:rsidRPr="00114E09" w:rsidDel="003557CB" w:rsidRDefault="008C5CB5" w:rsidP="00023FF0">
      <w:pPr>
        <w:pStyle w:val="Default"/>
        <w:spacing w:after="120"/>
        <w:jc w:val="both"/>
        <w:rPr>
          <w:noProof/>
        </w:rPr>
      </w:pPr>
      <w:r>
        <w:rPr>
          <w:noProof/>
        </w:rPr>
        <w:t xml:space="preserve">Daudziem cilvēkiem būs vairākas reizes jāpārvietojas starp ES un Ukrainu, savukārt tiem, kuri izvēlēsies atgriezties mājās uz pastāvīgu dzīvi, būs nepieciešams ilgtspējīgs atbalsts. Kā daļu no plašākām palīdzības un atjaunošanas saistībām Ukrainai Komisija atbalstīs to ukraiņu reintegrāciju, kuri atgriezīsies dzimtenē. Tā sadarbosies ar dalībvalstīm un Ukrainas iestādēm, izmantojot Solidaritātes platformu, lai izstrādātu praktiskus norādījumus un risinājumus, lai cilvēki, kuri atgriežas mājās, varētu droši anulēt reģistrāciju vai attiecīgi informēt kompetentās iestādes, zinot, ka viņi varēs viegli atkārtoti ieceļot ES un atkal izmantot pagaidu aizsardzības sniegtās tiesības. </w:t>
      </w:r>
    </w:p>
    <w:p w14:paraId="24DD2A95" w14:textId="6BA6C248" w:rsidR="00DC53E2" w:rsidRPr="00114E09" w:rsidRDefault="00403423" w:rsidP="005758AA">
      <w:pPr>
        <w:pStyle w:val="Briefingheading1"/>
        <w:numPr>
          <w:ilvl w:val="0"/>
          <w:numId w:val="9"/>
        </w:numPr>
        <w:spacing w:before="360" w:after="200"/>
        <w:rPr>
          <w:rFonts w:ascii="Times New Roman" w:hAnsi="Times New Roman"/>
          <w:i/>
          <w:noProof/>
          <w:u w:val="none"/>
        </w:rPr>
      </w:pPr>
      <w:bookmarkStart w:id="7" w:name="_Toc108117272"/>
      <w:r>
        <w:rPr>
          <w:rFonts w:ascii="Times New Roman" w:hAnsi="Times New Roman"/>
          <w:noProof/>
          <w:u w:val="none"/>
        </w:rPr>
        <w:t>KUSTĪBA PA TRADICIONĀLAJIEM MARŠRUTIEM</w:t>
      </w:r>
      <w:bookmarkEnd w:id="7"/>
      <w:r>
        <w:rPr>
          <w:rFonts w:ascii="Times New Roman" w:hAnsi="Times New Roman"/>
          <w:i/>
          <w:noProof/>
          <w:u w:val="none"/>
        </w:rPr>
        <w:t xml:space="preserve"> </w:t>
      </w:r>
    </w:p>
    <w:p w14:paraId="1FE0B912" w14:textId="77777777" w:rsidR="00EE48C8" w:rsidRDefault="00DC53E2" w:rsidP="00EE48C8">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Līdz šim 2022. gadā neatbilstīgo ieceļotāju skaits Vidusjūras austrumdaļas, Vidusjūras centrālās daļas un Vidusjūras rietumdaļas / Atlantijas okeāna maršrutos ir pārsniedzis rādītājus pirms pandēmijas, tomēr tas joprojām ir ievērojami zemāks par 2015. gada līmeni</w:t>
      </w:r>
      <w:r>
        <w:rPr>
          <w:rStyle w:val="FootnoteReference"/>
          <w:rFonts w:ascii="Times New Roman" w:hAnsi="Times New Roman" w:cs="Times New Roman"/>
          <w:noProof/>
          <w:sz w:val="24"/>
          <w:szCs w:val="24"/>
          <w:lang w:eastAsia="en-GB"/>
        </w:rPr>
        <w:footnoteReference w:id="44"/>
      </w:r>
      <w:r>
        <w:rPr>
          <w:rFonts w:ascii="Times New Roman" w:hAnsi="Times New Roman"/>
          <w:noProof/>
          <w:sz w:val="24"/>
        </w:rPr>
        <w:t xml:space="preserve">. </w:t>
      </w:r>
    </w:p>
    <w:p w14:paraId="458C4EB6" w14:textId="48250C79" w:rsidR="00EE48C8" w:rsidRPr="00114E09" w:rsidRDefault="00EE48C8" w:rsidP="00EE48C8">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Visbiežāk izmantotais maršruts joprojām ir </w:t>
      </w:r>
      <w:r>
        <w:rPr>
          <w:rFonts w:ascii="Times New Roman" w:hAnsi="Times New Roman"/>
          <w:b/>
          <w:noProof/>
          <w:sz w:val="24"/>
        </w:rPr>
        <w:t>Vidusjūras centrālās daļas maršruts</w:t>
      </w:r>
      <w:r>
        <w:rPr>
          <w:rFonts w:ascii="Times New Roman" w:hAnsi="Times New Roman"/>
          <w:noProof/>
          <w:sz w:val="24"/>
        </w:rPr>
        <w:t xml:space="preserve">. Gandrīz visi ieceļotāji šajā maršrutā ir ieradušies </w:t>
      </w:r>
      <w:r>
        <w:rPr>
          <w:rFonts w:ascii="Times New Roman" w:hAnsi="Times New Roman"/>
          <w:b/>
          <w:noProof/>
          <w:sz w:val="24"/>
        </w:rPr>
        <w:t>Itālijā</w:t>
      </w:r>
      <w:r>
        <w:rPr>
          <w:rFonts w:ascii="Times New Roman" w:hAnsi="Times New Roman"/>
          <w:noProof/>
          <w:sz w:val="24"/>
        </w:rPr>
        <w:t xml:space="preserve">, bet </w:t>
      </w:r>
      <w:r>
        <w:rPr>
          <w:rFonts w:ascii="Times New Roman" w:hAnsi="Times New Roman"/>
          <w:b/>
          <w:noProof/>
          <w:sz w:val="24"/>
        </w:rPr>
        <w:t>Maltā</w:t>
      </w:r>
      <w:r>
        <w:rPr>
          <w:rFonts w:ascii="Times New Roman" w:hAnsi="Times New Roman"/>
          <w:noProof/>
          <w:sz w:val="24"/>
        </w:rPr>
        <w:t xml:space="preserve"> to skaits ievērojami samazinājies. Pašlaik galvenās ieceļotāju tautības šajā maršrutā ir tunisieši, ēģiptieši un bangladešieši. Lielākā daļa ieceļotāju joprojām ierodas no Lībijas un Tunisijas, tomēr pašlaik 16 % no </w:t>
      </w:r>
      <w:r>
        <w:rPr>
          <w:rFonts w:ascii="Times New Roman" w:hAnsi="Times New Roman"/>
          <w:noProof/>
          <w:sz w:val="24"/>
        </w:rPr>
        <w:lastRenderedPageBreak/>
        <w:t xml:space="preserve">kopējā neatbilstīgo ieceļotāju skaita ierodas arī no Turcijas. 2022. gadā bija vērojamas arī migrācijas plūsmas no Libānas tieši uz Itāliju. </w:t>
      </w:r>
    </w:p>
    <w:p w14:paraId="32B486BE" w14:textId="77777777" w:rsidR="00EE48C8" w:rsidRPr="00114E09" w:rsidRDefault="00EE48C8" w:rsidP="00EE48C8">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Salīdzinot ar 2021. gadu, neatbilstīgo ieceļotāju skaits </w:t>
      </w:r>
      <w:r>
        <w:rPr>
          <w:rFonts w:ascii="Times New Roman" w:hAnsi="Times New Roman"/>
          <w:b/>
          <w:noProof/>
          <w:sz w:val="24"/>
        </w:rPr>
        <w:t>Vidusjūras austrumdaļas maršrutā</w:t>
      </w:r>
      <w:r>
        <w:rPr>
          <w:rFonts w:ascii="Times New Roman" w:hAnsi="Times New Roman"/>
          <w:noProof/>
          <w:sz w:val="24"/>
        </w:rPr>
        <w:t xml:space="preserve"> divkāršojās, galvenokārt tāpēc, ka palielinājās migrācijas spiediens uz </w:t>
      </w:r>
      <w:r>
        <w:rPr>
          <w:rFonts w:ascii="Times New Roman" w:hAnsi="Times New Roman"/>
          <w:b/>
          <w:noProof/>
          <w:sz w:val="24"/>
        </w:rPr>
        <w:t>Kipru</w:t>
      </w:r>
      <w:r>
        <w:rPr>
          <w:rFonts w:ascii="Times New Roman" w:hAnsi="Times New Roman"/>
          <w:noProof/>
          <w:sz w:val="24"/>
        </w:rPr>
        <w:t xml:space="preserve">, kurā pašlaik ierodas aptuveni 60 % no visiem ieceļotājiem šajā maršrutā. Grieķijā ieceļotāju skaits joprojām ir mazāks nekā pirms pandēmijas. Galvenās ieceļotāju tautības šajā maršrutā ir sīrieši, nigērieši un turki. </w:t>
      </w:r>
    </w:p>
    <w:p w14:paraId="52A1ECB5" w14:textId="34855097" w:rsidR="00EE48C8" w:rsidRPr="00114E09" w:rsidRDefault="00EE48C8" w:rsidP="00EE48C8">
      <w:pPr>
        <w:spacing w:after="120" w:line="240" w:lineRule="auto"/>
        <w:jc w:val="both"/>
        <w:rPr>
          <w:rFonts w:ascii="Times New Roman" w:hAnsi="Times New Roman" w:cs="Times New Roman"/>
          <w:noProof/>
          <w:sz w:val="24"/>
          <w:szCs w:val="24"/>
        </w:rPr>
      </w:pPr>
      <w:r>
        <w:rPr>
          <w:rFonts w:ascii="Times New Roman" w:hAnsi="Times New Roman"/>
          <w:b/>
          <w:noProof/>
          <w:sz w:val="24"/>
        </w:rPr>
        <w:t>Vidusjūras rietumdaļas / Atlantijas okeāna maršrutā</w:t>
      </w:r>
      <w:r>
        <w:rPr>
          <w:rFonts w:ascii="Times New Roman" w:hAnsi="Times New Roman"/>
          <w:noProof/>
          <w:sz w:val="24"/>
        </w:rPr>
        <w:t xml:space="preserve"> Alžīrija un Maroka joprojām ir galvenās izceļošanas valstis, no kurām migranti dodas uz kontinentālo Spāniju un Kanāriju salām. Galvenās izcelsmes valstis ir Maroka, Alžīrija, S</w:t>
      </w:r>
      <w:r w:rsidR="00444EDF">
        <w:rPr>
          <w:rFonts w:ascii="Times New Roman" w:hAnsi="Times New Roman"/>
          <w:noProof/>
          <w:sz w:val="24"/>
        </w:rPr>
        <w:t>enegāla, Kotdivuāra un Gvineja.</w:t>
      </w:r>
    </w:p>
    <w:p w14:paraId="53B7537F" w14:textId="2902B2BF" w:rsidR="00DC53E2" w:rsidRPr="00114E09" w:rsidRDefault="00DC53E2" w:rsidP="005758AA">
      <w:pPr>
        <w:spacing w:after="120" w:line="240" w:lineRule="auto"/>
        <w:jc w:val="both"/>
        <w:rPr>
          <w:rFonts w:ascii="Times New Roman" w:hAnsi="Times New Roman" w:cs="Times New Roman"/>
          <w:noProof/>
          <w:sz w:val="24"/>
          <w:szCs w:val="24"/>
        </w:rPr>
      </w:pPr>
    </w:p>
    <w:p w14:paraId="3B0AFFE9" w14:textId="76F06496" w:rsidR="006950F6" w:rsidRPr="00114E09" w:rsidRDefault="00444EDF" w:rsidP="005758AA">
      <w:pPr>
        <w:spacing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en-GB" w:eastAsia="en-GB"/>
        </w:rPr>
        <w:drawing>
          <wp:inline distT="0" distB="0" distL="0" distR="0" wp14:anchorId="03C3E073" wp14:editId="6ECAE774">
            <wp:extent cx="5730875" cy="30480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0875" cy="3048000"/>
                    </a:xfrm>
                    <a:prstGeom prst="rect">
                      <a:avLst/>
                    </a:prstGeom>
                    <a:noFill/>
                  </pic:spPr>
                </pic:pic>
              </a:graphicData>
            </a:graphic>
          </wp:inline>
        </w:drawing>
      </w:r>
    </w:p>
    <w:p w14:paraId="30086024" w14:textId="054403E6" w:rsidR="006950F6" w:rsidRPr="00114E09" w:rsidRDefault="006950F6" w:rsidP="006950F6">
      <w:pPr>
        <w:spacing w:after="120" w:line="240" w:lineRule="auto"/>
        <w:jc w:val="both"/>
        <w:rPr>
          <w:rFonts w:ascii="Times New Roman" w:hAnsi="Times New Roman" w:cs="Times New Roman"/>
          <w:i/>
          <w:noProof/>
          <w:sz w:val="20"/>
          <w:szCs w:val="20"/>
        </w:rPr>
      </w:pPr>
      <w:r>
        <w:rPr>
          <w:rFonts w:ascii="Times New Roman" w:hAnsi="Times New Roman"/>
          <w:i/>
          <w:noProof/>
          <w:sz w:val="20"/>
        </w:rPr>
        <w:t>Neatbilstīga robežšķērsošana trīs Vidusjūras reģiona maršrutos līdz 25. septembrim</w:t>
      </w:r>
      <w:r>
        <w:rPr>
          <w:rStyle w:val="FootnoteReference"/>
          <w:rFonts w:ascii="Times New Roman" w:hAnsi="Times New Roman"/>
          <w:i/>
          <w:noProof/>
          <w:sz w:val="20"/>
        </w:rPr>
        <w:t xml:space="preserve"> </w:t>
      </w:r>
      <w:r>
        <w:rPr>
          <w:rStyle w:val="FootnoteReference"/>
          <w:rFonts w:ascii="Times New Roman" w:hAnsi="Times New Roman" w:cs="Times New Roman"/>
          <w:i/>
          <w:iCs/>
          <w:noProof/>
          <w:sz w:val="20"/>
          <w:szCs w:val="20"/>
        </w:rPr>
        <w:footnoteReference w:id="45"/>
      </w:r>
      <w:r>
        <w:rPr>
          <w:rFonts w:ascii="Times New Roman" w:hAnsi="Times New Roman"/>
          <w:i/>
          <w:noProof/>
          <w:sz w:val="20"/>
        </w:rPr>
        <w:t xml:space="preserve"> (avots: dalībvalstis) </w:t>
      </w:r>
    </w:p>
    <w:p w14:paraId="7CC13CC4" w14:textId="4631BF29" w:rsidR="00DC53E2" w:rsidRPr="001B080E" w:rsidRDefault="00916475" w:rsidP="002C68F4">
      <w:pPr>
        <w:spacing w:after="120" w:line="240" w:lineRule="auto"/>
        <w:jc w:val="both"/>
        <w:rPr>
          <w:rFonts w:ascii="Times New Roman" w:hAnsi="Times New Roman" w:cs="Times New Roman"/>
          <w:bCs/>
          <w:noProof/>
          <w:sz w:val="24"/>
          <w:szCs w:val="24"/>
        </w:rPr>
      </w:pPr>
      <w:bookmarkStart w:id="8" w:name="_Hlk114124321"/>
      <w:r>
        <w:rPr>
          <w:rFonts w:ascii="Times New Roman" w:hAnsi="Times New Roman"/>
          <w:noProof/>
          <w:sz w:val="24"/>
        </w:rPr>
        <w:t xml:space="preserve">2022. gada pirmajos astoņos mēnešos </w:t>
      </w:r>
      <w:r>
        <w:rPr>
          <w:rFonts w:ascii="Times New Roman" w:hAnsi="Times New Roman"/>
          <w:b/>
          <w:noProof/>
          <w:sz w:val="24"/>
        </w:rPr>
        <w:t>Rietumbalkānu maršrutā</w:t>
      </w:r>
      <w:r>
        <w:rPr>
          <w:rFonts w:ascii="Times New Roman" w:hAnsi="Times New Roman"/>
          <w:noProof/>
          <w:sz w:val="24"/>
        </w:rPr>
        <w:t xml:space="preserve"> tika konstatēti vairāk nekā 86 000 neatbilstīgu robežšķērsošanas gadījumu, kas ir gandrīz trīs reizes vairāk nekā 2021. gadā un vairāk nekā desmit reizes vairāk nekā tajā pašā periodā 2019. gadā</w:t>
      </w:r>
      <w:r>
        <w:rPr>
          <w:rStyle w:val="FootnoteReference"/>
          <w:rFonts w:ascii="Times New Roman" w:eastAsia="Times New Roman" w:hAnsi="Times New Roman" w:cs="Times New Roman"/>
          <w:noProof/>
          <w:sz w:val="24"/>
          <w:szCs w:val="24"/>
          <w:lang w:eastAsia="en-GB"/>
        </w:rPr>
        <w:footnoteReference w:id="46"/>
      </w:r>
      <w:r>
        <w:rPr>
          <w:rFonts w:ascii="Times New Roman" w:hAnsi="Times New Roman"/>
          <w:noProof/>
          <w:sz w:val="24"/>
        </w:rPr>
        <w:t xml:space="preserve">. Galvenās ieceļotāju tautības bija sīrieši, afgāņi un turki. Faktori, kas ietekmē lielo migrācijas plūsmu skaitu, ir reģionā jau esošo migrantu pārvietošanās, kā arī ieceļošana ar gaisa transportu Serbijā, pateicoties bezvīzu režīmiem. Īpaši liels pieaugums ir vērojams maršrutā caur Ziemeļmaķedoniju un Serbiju. Ņemot vērā ieceļotāju skaita straujo pieaugumu, Komisija ar </w:t>
      </w:r>
      <w:r>
        <w:rPr>
          <w:rFonts w:ascii="Times New Roman" w:hAnsi="Times New Roman"/>
          <w:noProof/>
          <w:sz w:val="24"/>
        </w:rPr>
        <w:lastRenderedPageBreak/>
        <w:t xml:space="preserve">ES migrācijas sagatavotības un krīzes pārvaldības mehānisma tīkla starpniecību pastiprināti uzrauga situāciju un 4. oktobrī organizē pirmo tai veltīto sanāksmi. </w:t>
      </w:r>
    </w:p>
    <w:bookmarkEnd w:id="8"/>
    <w:p w14:paraId="1F4A3FBD" w14:textId="2EBD500E" w:rsidR="00DE0102" w:rsidRPr="00114E09" w:rsidRDefault="00DC53E2" w:rsidP="00DE0102">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Situācija uz </w:t>
      </w:r>
      <w:r>
        <w:rPr>
          <w:rFonts w:ascii="Times New Roman" w:hAnsi="Times New Roman"/>
          <w:b/>
          <w:noProof/>
          <w:sz w:val="24"/>
        </w:rPr>
        <w:t>austrumu robežas ar Baltkrieviju</w:t>
      </w:r>
      <w:r>
        <w:rPr>
          <w:rFonts w:ascii="Times New Roman" w:hAnsi="Times New Roman"/>
          <w:noProof/>
          <w:sz w:val="24"/>
        </w:rPr>
        <w:t xml:space="preserve"> joprojām ir stabila, un neatbilstīgu robežšķērsošanas gadījumu skaits ir ievērojami mazāks nekā instrumentalizācijas krīzes kulminācijas laikā 2021. gadā</w:t>
      </w:r>
      <w:r>
        <w:rPr>
          <w:rStyle w:val="FootnoteReference"/>
          <w:rFonts w:ascii="Times New Roman" w:hAnsi="Times New Roman" w:cs="Times New Roman"/>
          <w:noProof/>
          <w:sz w:val="24"/>
          <w:szCs w:val="24"/>
        </w:rPr>
        <w:footnoteReference w:id="47"/>
      </w:r>
      <w:r>
        <w:rPr>
          <w:rFonts w:ascii="Times New Roman" w:hAnsi="Times New Roman"/>
          <w:noProof/>
          <w:sz w:val="24"/>
        </w:rPr>
        <w:t>. Tomēr pēdējā laikā ir pierādījumi, ka pie robežas ar Lietuvu, Poliju un Latviju nedaudz palielinājies neatbilstīgu robežšķērsošanas mēģinājumu skaits — tas joprojām ievērojami zemāks nekā 2021. gadā piedzīvotais maksimums</w:t>
      </w:r>
      <w:r>
        <w:rPr>
          <w:rStyle w:val="FootnoteReference"/>
          <w:rFonts w:ascii="Times New Roman" w:hAnsi="Times New Roman" w:cs="Times New Roman"/>
          <w:noProof/>
          <w:sz w:val="24"/>
          <w:szCs w:val="24"/>
        </w:rPr>
        <w:footnoteReference w:id="48"/>
      </w:r>
      <w:r>
        <w:rPr>
          <w:rFonts w:ascii="Times New Roman" w:hAnsi="Times New Roman"/>
          <w:noProof/>
          <w:sz w:val="24"/>
        </w:rPr>
        <w:t xml:space="preserve">, bet šķiet, ka mainās ieceļotāju valstspiederība un maršruti, un daudzi ierodas Baltkrievijā pēc likumīgas ceļošanas uz Krieviju. </w:t>
      </w:r>
    </w:p>
    <w:p w14:paraId="26345438" w14:textId="63EA5484" w:rsidR="00DC53E2" w:rsidRPr="00114E09" w:rsidDel="003D1C9F" w:rsidRDefault="00DC53E2" w:rsidP="005758AA">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Gada pirmajos septiņos mēnešos </w:t>
      </w:r>
      <w:r>
        <w:rPr>
          <w:rFonts w:ascii="Times New Roman" w:hAnsi="Times New Roman"/>
          <w:b/>
          <w:noProof/>
          <w:sz w:val="24"/>
        </w:rPr>
        <w:t>patvēruma pieteikumu</w:t>
      </w:r>
      <w:r>
        <w:rPr>
          <w:rFonts w:ascii="Times New Roman" w:hAnsi="Times New Roman"/>
          <w:noProof/>
          <w:sz w:val="24"/>
        </w:rPr>
        <w:t xml:space="preserve"> skaits salīdzinājumā ar to pašu periodu 2021. gadā, kad tas pandēmijas dēļ bija samazinājies, pieauga no aptuveni 290 000 pieteikumu līdz teju 480 000 pieteikumu</w:t>
      </w:r>
      <w:r>
        <w:rPr>
          <w:rStyle w:val="FootnoteReference"/>
          <w:rFonts w:ascii="Times New Roman" w:hAnsi="Times New Roman" w:cs="Times New Roman"/>
          <w:noProof/>
          <w:sz w:val="24"/>
          <w:szCs w:val="24"/>
        </w:rPr>
        <w:footnoteReference w:id="49"/>
      </w:r>
      <w:r>
        <w:rPr>
          <w:rFonts w:ascii="Times New Roman" w:hAnsi="Times New Roman"/>
          <w:noProof/>
          <w:sz w:val="24"/>
        </w:rPr>
        <w:t xml:space="preserve">. Salīdzinājumam, tajā pašā laikposmā 2019. gadā tika iesniegti 375 288 patvēruma pieteikumi. Visvairāk pieteikumu iesniedza afgāņi, sīrieši un venecuēlieši, un, tāpat kā 2021. gadā, visvairāk pieteikumu saņēma Vācija, Francija un Spānija. </w:t>
      </w:r>
    </w:p>
    <w:p w14:paraId="408FBC1D" w14:textId="77777777" w:rsidR="00DC53E2" w:rsidRPr="00114E09" w:rsidRDefault="00DC53E2" w:rsidP="005758AA">
      <w:pPr>
        <w:pStyle w:val="Briefingheading1"/>
        <w:numPr>
          <w:ilvl w:val="0"/>
          <w:numId w:val="9"/>
        </w:numPr>
        <w:spacing w:before="360" w:after="200"/>
        <w:rPr>
          <w:rFonts w:ascii="Times New Roman" w:hAnsi="Times New Roman"/>
          <w:noProof/>
          <w:u w:val="none"/>
        </w:rPr>
      </w:pPr>
      <w:bookmarkStart w:id="9" w:name="_Toc108117274"/>
      <w:r>
        <w:rPr>
          <w:rFonts w:ascii="Times New Roman" w:hAnsi="Times New Roman"/>
          <w:noProof/>
          <w:u w:val="none"/>
        </w:rPr>
        <w:t xml:space="preserve">MIGRĀCIJAS SITUĀCIJAS PĀRVALDĪBA </w:t>
      </w:r>
      <w:bookmarkEnd w:id="9"/>
    </w:p>
    <w:p w14:paraId="65308138" w14:textId="439C1FBD" w:rsidR="00DC53E2" w:rsidRDefault="00DC53E2" w:rsidP="005758AA">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Kaut arī spiediens, iespējams, nav sadalīts vienmērīgi, ikviena dalībvalsts ir izjutusi pagājušā gada dramatisko ārējo notikumu ietekmi neatkarīgi no tā, vai tie būtu ieceļotāji no Ukrainas, ievērojamais neatbilstīgo ieceļotāju skaita pieaugums citos maršrutos vai abu šo faktoru kombinācija. Absolūtie skaitļi ne vienmēr atspoguļo relatīvo ietekmi uz atsevišķām dalībvalstīm, ņemot vērā to lielumu, uzņemšanas spēju vai vēsturiski lielo ieceļotāju skaitu.  </w:t>
      </w:r>
    </w:p>
    <w:p w14:paraId="10DA35A3" w14:textId="77777777" w:rsidR="00DC53E2" w:rsidRPr="00114E09" w:rsidRDefault="00DC53E2" w:rsidP="005758AA">
      <w:pPr>
        <w:spacing w:after="120" w:line="240" w:lineRule="auto"/>
        <w:jc w:val="both"/>
        <w:rPr>
          <w:rFonts w:ascii="Times New Roman" w:hAnsi="Times New Roman" w:cs="Times New Roman"/>
          <w:b/>
          <w:bCs/>
          <w:i/>
          <w:iCs/>
          <w:noProof/>
          <w:sz w:val="24"/>
          <w:szCs w:val="24"/>
        </w:rPr>
      </w:pPr>
      <w:r>
        <w:rPr>
          <w:rFonts w:ascii="Times New Roman" w:hAnsi="Times New Roman"/>
          <w:b/>
          <w:i/>
          <w:noProof/>
          <w:sz w:val="24"/>
        </w:rPr>
        <w:t>Atbalsts dalībvalstīm uz vietas</w:t>
      </w:r>
    </w:p>
    <w:p w14:paraId="1E485E19" w14:textId="77777777" w:rsidR="00DC53E2" w:rsidRPr="00114E09" w:rsidRDefault="00DC53E2" w:rsidP="005758AA">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Komisija un ES aģentūras turpināja piedāvāt mērķtiecīgu ekspertu atbalstu dalībvalstīm migrācijas un uzņemšanas problēmu risināšanā. </w:t>
      </w:r>
    </w:p>
    <w:p w14:paraId="594E9B2E" w14:textId="77777777" w:rsidR="00DC53E2" w:rsidRPr="00114E09" w:rsidRDefault="00DC53E2" w:rsidP="005758AA">
      <w:pPr>
        <w:spacing w:after="120" w:line="240" w:lineRule="auto"/>
        <w:jc w:val="both"/>
        <w:rPr>
          <w:rFonts w:ascii="Times New Roman" w:hAnsi="Times New Roman" w:cs="Times New Roman"/>
          <w:bCs/>
          <w:iCs/>
          <w:noProof/>
          <w:sz w:val="24"/>
          <w:szCs w:val="24"/>
        </w:rPr>
      </w:pPr>
      <w:r>
        <w:rPr>
          <w:rFonts w:ascii="Times New Roman" w:hAnsi="Times New Roman"/>
          <w:noProof/>
          <w:sz w:val="24"/>
        </w:rPr>
        <w:t xml:space="preserve">2020. gada septembrī izveidotā Komisijas </w:t>
      </w:r>
      <w:r>
        <w:rPr>
          <w:rFonts w:ascii="Times New Roman" w:hAnsi="Times New Roman"/>
          <w:b/>
          <w:noProof/>
          <w:sz w:val="24"/>
        </w:rPr>
        <w:t>Migrācijas pārvaldības darba grupa</w:t>
      </w:r>
      <w:r>
        <w:rPr>
          <w:rFonts w:ascii="Times New Roman" w:hAnsi="Times New Roman"/>
          <w:noProof/>
          <w:sz w:val="24"/>
        </w:rPr>
        <w:t xml:space="preserve"> turpināja darbu, lai uzlabotu uzņemšanas apstākļus </w:t>
      </w:r>
      <w:r>
        <w:rPr>
          <w:rFonts w:ascii="Times New Roman" w:hAnsi="Times New Roman"/>
          <w:b/>
          <w:noProof/>
          <w:sz w:val="24"/>
        </w:rPr>
        <w:t>Grieķijas salās</w:t>
      </w:r>
      <w:r>
        <w:rPr>
          <w:rFonts w:ascii="Times New Roman" w:hAnsi="Times New Roman"/>
          <w:noProof/>
          <w:sz w:val="24"/>
        </w:rPr>
        <w:t xml:space="preserve">. Ņemot vērā lielo ieceļotāju skaitu Vidusjūras centrālās daļas un Vidusjūras rietumdaļas / Atlantijas okeāna maršrutos, darba grupa ir atbalstījusi arī </w:t>
      </w:r>
      <w:r>
        <w:rPr>
          <w:rFonts w:ascii="Times New Roman" w:hAnsi="Times New Roman"/>
          <w:b/>
          <w:noProof/>
          <w:sz w:val="24"/>
        </w:rPr>
        <w:t>Itāliju, Maltu un Spāniju</w:t>
      </w:r>
      <w:r>
        <w:rPr>
          <w:rFonts w:ascii="Times New Roman" w:hAnsi="Times New Roman"/>
          <w:noProof/>
          <w:sz w:val="24"/>
        </w:rPr>
        <w:t xml:space="preserve"> migrācijas plūsmu pārvaldībā, kā arī sniegusi aktīvu atbalstu </w:t>
      </w:r>
      <w:r>
        <w:rPr>
          <w:rFonts w:ascii="Times New Roman" w:hAnsi="Times New Roman"/>
          <w:b/>
          <w:noProof/>
          <w:sz w:val="24"/>
        </w:rPr>
        <w:t>Kiprai</w:t>
      </w:r>
      <w:r>
        <w:rPr>
          <w:rFonts w:ascii="Times New Roman" w:hAnsi="Times New Roman"/>
          <w:noProof/>
          <w:sz w:val="24"/>
        </w:rPr>
        <w:t xml:space="preserve"> un dalībvalstīm, kas robežojas ar Baltkrieviju un Ukrainu. </w:t>
      </w:r>
    </w:p>
    <w:p w14:paraId="37A41318" w14:textId="33614156" w:rsidR="00DC53E2" w:rsidRPr="00114E09" w:rsidRDefault="002409BE" w:rsidP="005758AA">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Pēdējos gados Eiropa ir izrādījusi vēl nebijušu solidaritāti </w:t>
      </w:r>
      <w:r>
        <w:rPr>
          <w:rFonts w:ascii="Times New Roman" w:hAnsi="Times New Roman"/>
          <w:b/>
          <w:noProof/>
          <w:sz w:val="24"/>
        </w:rPr>
        <w:t>Grieķijai</w:t>
      </w:r>
      <w:r>
        <w:rPr>
          <w:rFonts w:ascii="Times New Roman" w:hAnsi="Times New Roman"/>
          <w:noProof/>
          <w:sz w:val="24"/>
        </w:rPr>
        <w:t xml:space="preserve">. Tas ietver finansiālu atbalstu un Komisijas un ES aģentūru darbinieku klātbūtni, lai palīdzētu Grieķijai robežu pārvaldībā, patvēruma un atgriešanas procedūrās, kā arī operatīvajā plānošanā un koordinācijā. Ir panākts progress saistībā ar jaunu uzņemšanas centru būvniecību Grieķijas salās — ir izveidoti jauni centri Samosā, Kosā un Lerosā. Ar ES ārkārtas palīdzības līdzekļiem tiek atbalstīta daudzfunkcionālu uzņemšanas un identifikācijas centru būvniecība piecās salās. Pateicoties pārsūtīšanai uz valsts kontinentālo daļu un vairāk nekā 4800 personu pārvietošanai uz citām dalībvalstīm, kas veikta ar ES fondu atbalstu, kopējais Grieķijas salās esošajās nometnēs izmitināto personu skaits pašlaik ir aptuveni 4400 (2019. gadā — 42 000). Ir ievērojami uzlaboti uzņemšanas nosacījumi salās un valsts kontinentālajā daļā (pajumte, </w:t>
      </w:r>
      <w:r>
        <w:rPr>
          <w:rFonts w:ascii="Times New Roman" w:hAnsi="Times New Roman"/>
          <w:noProof/>
          <w:sz w:val="24"/>
        </w:rPr>
        <w:lastRenderedPageBreak/>
        <w:t xml:space="preserve">higiēna, piekļuve veselības aprūpei un izglītībai visiem bērniem utt.), un tagad tie atbilst Eiropas standartiem. Pateicoties efektīvākām patvēruma procedūrām, 2022. gada pirmajos četros mēnešos iekrājušos neizskatīto pieteikumu skaits ir samazinājies uz pusi salīdzinājumā ar to pašu periodu 2021. gadā. Īpaša uzņemšana un aprūpe tiek nodrošināta nepavadītiem nepilngadīgajiem, uzņemšanas centros tiek īstenoti jauni pirmsintegrācijas pasākumi patvēruma meklētājiem, piemēram, valodas apgūšanas un prasmju pilnveides kursi, un ir uzsākti jauni projekti atzītu bēgļu integrācijai.  </w:t>
      </w:r>
    </w:p>
    <w:p w14:paraId="2C7D6253" w14:textId="5C9E15D8" w:rsidR="00DC53E2" w:rsidRPr="00114E09" w:rsidRDefault="00DC53E2" w:rsidP="005758AA">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Ņemot vērā arvien pieaugošo migrācijas spiediena ietekmi, Komisijas atbalsts </w:t>
      </w:r>
      <w:r>
        <w:rPr>
          <w:rFonts w:ascii="Times New Roman" w:hAnsi="Times New Roman"/>
          <w:b/>
          <w:noProof/>
          <w:sz w:val="24"/>
        </w:rPr>
        <w:t>Spānijai</w:t>
      </w:r>
      <w:r>
        <w:rPr>
          <w:rFonts w:ascii="Times New Roman" w:hAnsi="Times New Roman"/>
          <w:noProof/>
          <w:sz w:val="24"/>
        </w:rPr>
        <w:t xml:space="preserve"> migrācijas plūsmu pārvaldībā — arī ar Komisijas un ES aģentūru (</w:t>
      </w:r>
      <w:r>
        <w:rPr>
          <w:rFonts w:ascii="Times New Roman" w:hAnsi="Times New Roman"/>
          <w:i/>
          <w:noProof/>
          <w:sz w:val="24"/>
        </w:rPr>
        <w:t>Frontex</w:t>
      </w:r>
      <w:r>
        <w:rPr>
          <w:rFonts w:ascii="Times New Roman" w:hAnsi="Times New Roman"/>
          <w:noProof/>
          <w:sz w:val="24"/>
        </w:rPr>
        <w:t xml:space="preserve"> un </w:t>
      </w:r>
      <w:r>
        <w:rPr>
          <w:rFonts w:ascii="Times New Roman" w:hAnsi="Times New Roman"/>
          <w:i/>
          <w:noProof/>
          <w:sz w:val="24"/>
        </w:rPr>
        <w:t>EUAA</w:t>
      </w:r>
      <w:r>
        <w:rPr>
          <w:rFonts w:ascii="Times New Roman" w:hAnsi="Times New Roman"/>
          <w:noProof/>
          <w:sz w:val="24"/>
        </w:rPr>
        <w:t xml:space="preserve">) darbinieku dotu ieguldījumu — ir vērsts uz valsts uzņemšanas sistēmas reformu. Patvēruma meklētāju uzņemšanas spēja ir palielinājusies no aptuveni 10 000 vietu 2021. gada septembrī līdz aptuveni 18 000 vietu 2022. gada septembrī. Ar ES finansējumu ir atbalstīta arī Patvēruma biroja reforma, ievērojami palielinot darbā pieņemto darbinieku skaitu. Ar papildu finansējumu tiks atbalstīta uzņemšanas sistēma Seūtā un Kanāriju salās. </w:t>
      </w:r>
    </w:p>
    <w:p w14:paraId="6131E57D" w14:textId="3E6545D3" w:rsidR="00A069E7" w:rsidRPr="00114E09" w:rsidRDefault="00DC53E2" w:rsidP="00A069E7">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Atbalsts tiek nepārtraukti sniegts arī </w:t>
      </w:r>
      <w:r>
        <w:rPr>
          <w:rFonts w:ascii="Times New Roman" w:hAnsi="Times New Roman"/>
          <w:b/>
          <w:noProof/>
          <w:sz w:val="24"/>
        </w:rPr>
        <w:t>Itālijai</w:t>
      </w:r>
      <w:r>
        <w:rPr>
          <w:rFonts w:ascii="Times New Roman" w:hAnsi="Times New Roman"/>
          <w:noProof/>
          <w:sz w:val="24"/>
        </w:rPr>
        <w:t xml:space="preserve"> — ar Itālijas iestādēm tiek koordinēts </w:t>
      </w:r>
      <w:r>
        <w:rPr>
          <w:rFonts w:ascii="Times New Roman" w:hAnsi="Times New Roman"/>
          <w:i/>
          <w:noProof/>
          <w:sz w:val="24"/>
        </w:rPr>
        <w:t>Frontex</w:t>
      </w:r>
      <w:r>
        <w:rPr>
          <w:rFonts w:ascii="Times New Roman" w:hAnsi="Times New Roman"/>
          <w:noProof/>
          <w:sz w:val="24"/>
        </w:rPr>
        <w:t>, ES Patvēruma aģentūras un Eiropola ilgstošais darbs, arī ar ES reģionālās darba grupas Katānijā starpniecību, kā arī nodrošināta ES darbinieku klātbūtne uz vietas un ES finansējums. Tas notiek līdztekus kopīgam darbam ar Itālijas iestādēm, lai risinātu jautājumus saistībā ar migrācijas plūsmām no Lībijas un Vidusjūras centrālās daļas maršrutā.</w:t>
      </w:r>
    </w:p>
    <w:p w14:paraId="29555B1E" w14:textId="0492E146" w:rsidR="00DC53E2" w:rsidRPr="00114E09" w:rsidRDefault="006706C7" w:rsidP="0041773F">
      <w:pPr>
        <w:spacing w:after="240" w:line="240" w:lineRule="auto"/>
        <w:jc w:val="both"/>
        <w:rPr>
          <w:rFonts w:ascii="Times New Roman" w:hAnsi="Times New Roman" w:cs="Times New Roman"/>
          <w:bCs/>
          <w:iCs/>
          <w:noProof/>
          <w:sz w:val="24"/>
          <w:szCs w:val="24"/>
        </w:rPr>
      </w:pPr>
      <w:r>
        <w:rPr>
          <w:rFonts w:ascii="Times New Roman" w:hAnsi="Times New Roman"/>
          <w:noProof/>
          <w:sz w:val="24"/>
        </w:rPr>
        <w:t xml:space="preserve">Tā kā 2022. gadā vairākas dalībvalstis norādīja, ka pieaug tādu patvēruma meklētāju skaits, kas ieceļojuši no trešām valstīm, kuru valstspiederīgajiem nepieciešama vīza, bet kas izmanto bezvīzu režīmu </w:t>
      </w:r>
      <w:r>
        <w:rPr>
          <w:rFonts w:ascii="Times New Roman" w:hAnsi="Times New Roman"/>
          <w:b/>
          <w:noProof/>
          <w:sz w:val="24"/>
        </w:rPr>
        <w:t>Rietumbalkānu</w:t>
      </w:r>
      <w:r>
        <w:rPr>
          <w:rFonts w:ascii="Times New Roman" w:hAnsi="Times New Roman"/>
          <w:noProof/>
          <w:sz w:val="24"/>
        </w:rPr>
        <w:t xml:space="preserve"> reģionā, Komisija risina šo jautājumu ar attiecīgajiem partneriem divpusējā līmenī, vīzu atcelšanas mehānisma ietvaros un paplašināšanās procesa satvarā. Lai nodrošinātu ES bezvīzu režīma pareizu darbību, joprojām ir ļoti svarīgi, lai Rietumbalkānu partneri saskaņotu savu vīzu politiku ar ES.</w:t>
      </w:r>
    </w:p>
    <w:tbl>
      <w:tblPr>
        <w:tblStyle w:val="TableGrid"/>
        <w:tblW w:w="0" w:type="auto"/>
        <w:tblLook w:val="04A0" w:firstRow="1" w:lastRow="0" w:firstColumn="1" w:lastColumn="0" w:noHBand="0" w:noVBand="1"/>
      </w:tblPr>
      <w:tblGrid>
        <w:gridCol w:w="9166"/>
      </w:tblGrid>
      <w:tr w:rsidR="00DC53E2" w:rsidRPr="00114E09" w14:paraId="429CC5B4" w14:textId="77777777" w:rsidTr="00CC1551">
        <w:tc>
          <w:tcPr>
            <w:tcW w:w="9166" w:type="dxa"/>
          </w:tcPr>
          <w:p w14:paraId="4A95639E" w14:textId="77777777" w:rsidR="00DC53E2" w:rsidRPr="00114E09" w:rsidRDefault="00DC53E2" w:rsidP="005758AA">
            <w:pPr>
              <w:spacing w:after="120"/>
              <w:rPr>
                <w:rFonts w:ascii="Times New Roman" w:hAnsi="Times New Roman" w:cs="Times New Roman"/>
                <w:b/>
                <w:i/>
                <w:noProof/>
                <w:sz w:val="24"/>
                <w:szCs w:val="24"/>
              </w:rPr>
            </w:pPr>
            <w:r>
              <w:rPr>
                <w:rFonts w:ascii="Times New Roman" w:hAnsi="Times New Roman"/>
                <w:b/>
                <w:i/>
                <w:noProof/>
                <w:sz w:val="24"/>
              </w:rPr>
              <w:t>Atbalsts Kiprai</w:t>
            </w:r>
          </w:p>
          <w:p w14:paraId="601B7671" w14:textId="44D53F42" w:rsidR="00DC53E2" w:rsidRPr="00114E09" w:rsidRDefault="00DC53E2" w:rsidP="005758AA">
            <w:pPr>
              <w:spacing w:after="120"/>
              <w:rPr>
                <w:rFonts w:ascii="Times New Roman" w:hAnsi="Times New Roman" w:cs="Times New Roman"/>
                <w:bCs/>
                <w:iCs/>
                <w:noProof/>
                <w:sz w:val="24"/>
                <w:szCs w:val="24"/>
              </w:rPr>
            </w:pPr>
            <w:r>
              <w:rPr>
                <w:rFonts w:ascii="Times New Roman" w:hAnsi="Times New Roman"/>
                <w:noProof/>
                <w:sz w:val="24"/>
              </w:rPr>
              <w:t xml:space="preserve">Salīdzinājumā ar 2021. gadu Kipra saskaras ar 122 % neatbilstīgo ieceļotāju skaita pieaugumu, galvenokārt tāpēc, ka ieceļotāji no Turcijas ierodas Kipras valdības nekontrolētajās teritorijās un pēc tam šķērso Zaļo līniju. Patlaban Kiprā ir lielākais patvēruma meklētāju skaits uz vienu iedzīvotāju ES. Tādēļ Komisija kopā ar ES aģentūrām ir palielinājusi savu atbalstu. Ar visaptverošu rīcības plānu palīdz īstenot kopīgo saprašanās memorandu par migrācijas pārvaldību īstenošanu, par kuru Kipras iestādes, Komisija un aģentūras vienojās 2022. gada februārī. Šis atbalsts ietver vairāk nekā 160 valstī izvietotus Komisijas, </w:t>
            </w:r>
            <w:r>
              <w:rPr>
                <w:rFonts w:ascii="Times New Roman" w:hAnsi="Times New Roman"/>
                <w:i/>
                <w:noProof/>
                <w:sz w:val="24"/>
              </w:rPr>
              <w:t>Frontex</w:t>
            </w:r>
            <w:r>
              <w:rPr>
                <w:rFonts w:ascii="Times New Roman" w:hAnsi="Times New Roman"/>
                <w:noProof/>
                <w:sz w:val="24"/>
              </w:rPr>
              <w:t xml:space="preserve">, Eiropola un ES Patvēruma aģentūras ekspertus. </w:t>
            </w:r>
          </w:p>
          <w:p w14:paraId="189BC949" w14:textId="2DE058FE" w:rsidR="00DC53E2" w:rsidRPr="00114E09" w:rsidRDefault="00DC53E2" w:rsidP="005758AA">
            <w:pPr>
              <w:spacing w:after="120"/>
              <w:rPr>
                <w:rFonts w:ascii="Times New Roman" w:hAnsi="Times New Roman" w:cs="Times New Roman"/>
                <w:noProof/>
                <w:sz w:val="24"/>
                <w:szCs w:val="24"/>
              </w:rPr>
            </w:pPr>
            <w:r>
              <w:rPr>
                <w:rFonts w:ascii="Times New Roman" w:hAnsi="Times New Roman"/>
                <w:noProof/>
                <w:sz w:val="24"/>
              </w:rPr>
              <w:t xml:space="preserve">Pēc tam, kad Kipra kopā ar </w:t>
            </w:r>
            <w:r>
              <w:rPr>
                <w:rFonts w:ascii="Times New Roman" w:hAnsi="Times New Roman"/>
                <w:i/>
                <w:noProof/>
                <w:sz w:val="24"/>
              </w:rPr>
              <w:t>Frontex</w:t>
            </w:r>
            <w:r>
              <w:rPr>
                <w:rFonts w:ascii="Times New Roman" w:hAnsi="Times New Roman"/>
                <w:noProof/>
                <w:sz w:val="24"/>
              </w:rPr>
              <w:t xml:space="preserve"> un Komisiju izveidoja trīspusēju darba grupas atgriešanas jautājumos, Kipra pastāvīgi palielina atgriešanas gadījumu skaitu, arī izmantojot </w:t>
            </w:r>
            <w:r>
              <w:rPr>
                <w:rFonts w:ascii="Times New Roman" w:hAnsi="Times New Roman"/>
                <w:i/>
                <w:noProof/>
                <w:sz w:val="24"/>
              </w:rPr>
              <w:t>Frontex</w:t>
            </w:r>
            <w:r>
              <w:rPr>
                <w:rFonts w:ascii="Times New Roman" w:hAnsi="Times New Roman"/>
                <w:noProof/>
                <w:sz w:val="24"/>
              </w:rPr>
              <w:t xml:space="preserve"> organizētās kopīgās atgriešanas operācijas. Kipra pašlaik ieņem trešo vietu starp dalībvalstīm pēc trešo valstu valstspiederīgo atgriešanas ar komerclidojumiem, izmantojot </w:t>
            </w:r>
            <w:r>
              <w:rPr>
                <w:rFonts w:ascii="Times New Roman" w:hAnsi="Times New Roman"/>
                <w:i/>
                <w:noProof/>
                <w:sz w:val="24"/>
              </w:rPr>
              <w:t>Frontex</w:t>
            </w:r>
            <w:r>
              <w:rPr>
                <w:rFonts w:ascii="Times New Roman" w:hAnsi="Times New Roman"/>
                <w:noProof/>
                <w:sz w:val="24"/>
              </w:rPr>
              <w:t xml:space="preserve"> atbalstu, un piespiedu atgriešanas eskortu ir palīdzējusi nodrošināt martā veiktā atgriešanas speciālistu izvietošana. Šos centienus papildina ES darbs ar Kiprai vissvarīgākajām izcelsmes un tranzīta valstīm, tai skaitā Turciju, Nigēriju, Kongo Demokrātisko Republiku, Pakistānu un Kamerūnu. Būtisks jautājums šajos kontaktos bija uzņemšana viltus “universitātēs” Kipras valdības nekontrolētajās teritorijās, kad personas ieceļo salā no Turcijas, pamatojoties uz šādu “uzņemšanu”, un pēc tam mēģina šķērsot Zaļo līniju. Komisija ir intensīvi strādājusi, jo īpaši ar Turciju un Kipras turku administrāciju, lai izbeigtu praksi, kas veicina šādu neatbilstīgu ieceļošanu. Šo darbu papildina ES finansētas informācijas kampaņas izcelsmes valstīs. </w:t>
            </w:r>
          </w:p>
          <w:p w14:paraId="2B85AF24" w14:textId="77777777" w:rsidR="00DC53E2" w:rsidRPr="00114E09" w:rsidRDefault="00114E09" w:rsidP="005758AA">
            <w:pPr>
              <w:spacing w:after="120"/>
              <w:rPr>
                <w:rFonts w:ascii="Times New Roman" w:hAnsi="Times New Roman" w:cs="Times New Roman"/>
                <w:bCs/>
                <w:i/>
                <w:iCs/>
                <w:noProof/>
                <w:sz w:val="24"/>
                <w:szCs w:val="24"/>
              </w:rPr>
            </w:pPr>
            <w:r>
              <w:rPr>
                <w:rFonts w:ascii="Times New Roman" w:hAnsi="Times New Roman"/>
                <w:noProof/>
                <w:sz w:val="24"/>
              </w:rPr>
              <w:t xml:space="preserve">Finansējums Kiprai no 2021.–2027. gada Iekšlietu fondu līdzekļiem ietver atbalstu jauna </w:t>
            </w:r>
            <w:r>
              <w:rPr>
                <w:rFonts w:ascii="Times New Roman" w:hAnsi="Times New Roman"/>
                <w:noProof/>
                <w:sz w:val="24"/>
              </w:rPr>
              <w:lastRenderedPageBreak/>
              <w:t>atvērtā tipa uzņemšanas centra un aizturēšanas centra pirms izceļošanas būvniecībai ar drošām zonām neaizsargātām personām, atpūtas un koplietošanas zonām, kā arī medicīniskās aprūpes un karantīnas zonām.</w:t>
            </w:r>
          </w:p>
        </w:tc>
      </w:tr>
    </w:tbl>
    <w:p w14:paraId="7EC09BB0" w14:textId="393B30CC" w:rsidR="007A1D62" w:rsidRDefault="006F1E8A" w:rsidP="00CA4D0A">
      <w:pPr>
        <w:spacing w:before="120" w:after="120" w:line="240" w:lineRule="auto"/>
        <w:jc w:val="both"/>
        <w:rPr>
          <w:rFonts w:ascii="Times New Roman" w:hAnsi="Times New Roman" w:cs="Times New Roman"/>
          <w:noProof/>
          <w:sz w:val="24"/>
          <w:szCs w:val="24"/>
        </w:rPr>
      </w:pPr>
      <w:r>
        <w:rPr>
          <w:rFonts w:ascii="Times New Roman" w:hAnsi="Times New Roman"/>
          <w:noProof/>
          <w:sz w:val="24"/>
        </w:rPr>
        <w:lastRenderedPageBreak/>
        <w:t xml:space="preserve">Saskaņā ar Padomes prezidentvalsts Francijas ierosināto pakāpenisko pieeju īpaša uzmanība tika pievērsta Migrācijas un patvēruma pakta solidaritātes dimensijai. Liels skaits dalībvalstu 2022. gada jūnijā apstiprināja politisku </w:t>
      </w:r>
      <w:r>
        <w:rPr>
          <w:rFonts w:ascii="Times New Roman" w:hAnsi="Times New Roman"/>
          <w:b/>
          <w:noProof/>
          <w:sz w:val="24"/>
        </w:rPr>
        <w:t>Solidaritātes deklarāciju</w:t>
      </w:r>
      <w:r>
        <w:rPr>
          <w:rStyle w:val="FootnoteReference"/>
          <w:rFonts w:ascii="Times New Roman" w:hAnsi="Times New Roman" w:cs="Times New Roman"/>
          <w:noProof/>
          <w:sz w:val="24"/>
          <w:szCs w:val="24"/>
        </w:rPr>
        <w:footnoteReference w:id="50"/>
      </w:r>
      <w:r>
        <w:rPr>
          <w:rFonts w:ascii="Times New Roman" w:hAnsi="Times New Roman"/>
          <w:noProof/>
          <w:sz w:val="24"/>
        </w:rPr>
        <w:t xml:space="preserve">, ar ko izveido </w:t>
      </w:r>
      <w:r>
        <w:rPr>
          <w:rFonts w:ascii="Times New Roman" w:hAnsi="Times New Roman"/>
          <w:b/>
          <w:noProof/>
          <w:sz w:val="24"/>
        </w:rPr>
        <w:t>brīvprātīgas solidaritātes mehānismu</w:t>
      </w:r>
      <w:r>
        <w:rPr>
          <w:rFonts w:ascii="Times New Roman" w:hAnsi="Times New Roman"/>
          <w:noProof/>
          <w:sz w:val="24"/>
        </w:rPr>
        <w:t>, kas arī pavēra ceļu turpmākām diskusijām par Patvēruma un migrācijas pārvaldības regulu. To parakstījušās valstis</w:t>
      </w:r>
      <w:r>
        <w:rPr>
          <w:rStyle w:val="FootnoteReference"/>
          <w:rFonts w:ascii="Times New Roman" w:hAnsi="Times New Roman" w:cs="Times New Roman"/>
          <w:noProof/>
          <w:sz w:val="24"/>
          <w:szCs w:val="24"/>
          <w:lang w:eastAsia="en-GB"/>
        </w:rPr>
        <w:footnoteReference w:id="51"/>
      </w:r>
      <w:r>
        <w:rPr>
          <w:rFonts w:ascii="Times New Roman" w:hAnsi="Times New Roman"/>
          <w:noProof/>
          <w:sz w:val="24"/>
        </w:rPr>
        <w:t xml:space="preserve"> lūdza Komisiju koordinēt šo mehānismu, tai skaitā novērtējot to dalībvalstu vajadzības, kurās ieceļotāji ieradušies vispirms, un pārraugot, kā tiek ievērotas saistības. Tā mērķis ir nodrošināt pienācīgu atbalstu dalībvalstīm, kurās ieceļotāji ieradušies vispirms Vidusjūras centrālās daļas, austrumdaļas un rietumdaļas / Atlantijas okeāna maršrutos, vienlaikus ņemot vērā spiedienu, ko uz visām dalībvalstīm rada Krievijas iebrukums Ukrainā. Tas ir pagaidu mehānisms, kas darbosies vienu gadu, un dalība tajā ir brīvprātīga. Vēlamais solidaritātes veids ir pārcelšana, taču dalībvalstis var sniegt arī finansiālas iemaksas, ko koordinē Komisija. Mehānisms tiek aktīvi pārskatīts un var tikt pagarināts. Pārvietošana attiecas uz personām, kurām nepieciešama starptautiska aizsardzība, un prioritāte tiek piešķirta visneaizsargātākajām personām, savukārt finansējuma iemaksas var novirzīt arī projektiem partnervalstīs. </w:t>
      </w:r>
    </w:p>
    <w:p w14:paraId="30949EA2" w14:textId="74A957A1" w:rsidR="006F1E8A" w:rsidRPr="00CA4D0A" w:rsidRDefault="006F1E8A" w:rsidP="00CA4D0A">
      <w:pPr>
        <w:spacing w:after="120" w:line="240" w:lineRule="auto"/>
        <w:jc w:val="both"/>
        <w:rPr>
          <w:rFonts w:ascii="Times New Roman" w:hAnsi="Times New Roman" w:cs="Times New Roman"/>
          <w:noProof/>
          <w:sz w:val="24"/>
          <w:szCs w:val="24"/>
        </w:rPr>
      </w:pPr>
      <w:r>
        <w:rPr>
          <w:rFonts w:ascii="Times New Roman" w:hAnsi="Times New Roman"/>
          <w:noProof/>
          <w:sz w:val="24"/>
        </w:rPr>
        <w:t>Lai koordinētu mehānisma īstenošanu, Komisija ir izveidojusi Brīvprātīgā solidaritātes mehānisma solidaritātes platformu</w:t>
      </w:r>
      <w:r>
        <w:rPr>
          <w:rFonts w:ascii="Times New Roman" w:hAnsi="Times New Roman"/>
          <w:b/>
          <w:noProof/>
          <w:sz w:val="24"/>
        </w:rPr>
        <w:t xml:space="preserve"> (ar Solidaritātes platformas paktu)</w:t>
      </w:r>
      <w:r>
        <w:rPr>
          <w:rFonts w:ascii="Times New Roman" w:hAnsi="Times New Roman"/>
          <w:noProof/>
          <w:sz w:val="24"/>
        </w:rPr>
        <w:t xml:space="preserve">, kuru tā vada sadarbībā ar Padomes prezidentvalsti. Līdz šim pārvietošanu piedāvāt piekritušas 13 dalībvalstis un asociētās valstis, bet citas ir piekritušas sniegt finansiālas iemaksas. Deklarācijas pirmie rezultāti jau ir redzami, jo jau augustā tika pārsūtīti pirmie patvēruma meklētāji, un tiek gatavota vēl citu personu pārsūtīšana. Lai paātrinātu pārsūtīšanu, Komisija sadarbojas ar valstīm, kas uzņēmušās saistības, ES Patvēruma aģentūru un </w:t>
      </w:r>
      <w:r>
        <w:rPr>
          <w:rFonts w:ascii="Times New Roman" w:hAnsi="Times New Roman"/>
          <w:i/>
          <w:noProof/>
          <w:sz w:val="24"/>
        </w:rPr>
        <w:t>IOM</w:t>
      </w:r>
      <w:r>
        <w:rPr>
          <w:rFonts w:ascii="Times New Roman" w:hAnsi="Times New Roman"/>
          <w:noProof/>
          <w:sz w:val="24"/>
        </w:rPr>
        <w:t xml:space="preserve">. Kā uzsvērts pašā deklarācijā, šis pagaidu mehānisms sniegs noderīgu pieredzi attiecībā uz solidaritātes elementiem tiesību aktu priekšlikumos un tiks ņemts vērā pašreizējās sarunās par pastāvīga, strukturēta un paredzama solidaritātes mehānisma ieviešanu. </w:t>
      </w:r>
    </w:p>
    <w:p w14:paraId="13596B20" w14:textId="77777777" w:rsidR="000F6E59" w:rsidRPr="00114E09" w:rsidRDefault="000F6E59" w:rsidP="005758AA">
      <w:pPr>
        <w:spacing w:before="120" w:after="120" w:line="240" w:lineRule="auto"/>
        <w:jc w:val="both"/>
        <w:rPr>
          <w:rFonts w:ascii="Times New Roman" w:hAnsi="Times New Roman" w:cs="Times New Roman"/>
          <w:b/>
          <w:bCs/>
          <w:i/>
          <w:iCs/>
          <w:noProof/>
          <w:sz w:val="24"/>
          <w:szCs w:val="24"/>
        </w:rPr>
      </w:pPr>
      <w:r>
        <w:rPr>
          <w:rFonts w:ascii="Times New Roman" w:hAnsi="Times New Roman"/>
          <w:b/>
          <w:i/>
          <w:noProof/>
          <w:sz w:val="24"/>
        </w:rPr>
        <w:t>Finansējums</w:t>
      </w:r>
    </w:p>
    <w:p w14:paraId="686F7135" w14:textId="73AF8FF6" w:rsidR="00A0072C" w:rsidRDefault="000F6E59" w:rsidP="005758AA">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Pašlaik notiekošā valstu programmu pieņemšana 2021.–2027. gadam ļaus dalībvalstīm izmantot ievērojamus papildu finanšu resursus. Ar iekšlietu fondiem tiek sniegts tiešs atbalsts valstu patvēruma un migrācijas sistēmu stiprināšanai un ilgtermiņa progresīvu robežu pārvaldības un uzraudzības risinājumu izveidei saskaņā ar ES vērtībām un Savienības tiesību aktiem. Līdz septembra vidum bija pieņemtas 15 no 78 dalībvalstu programmām, bet pārējās programmas plānots pieņemt līdz gada beigām. Komisija darbojas saskaņā ar paredzēto tematiskā mehānisma darba programmu 2021.–2022. gadam īstenošanas plānošanu. </w:t>
      </w:r>
    </w:p>
    <w:p w14:paraId="1656DC24" w14:textId="77777777" w:rsidR="00DC53E2" w:rsidRPr="00114E09" w:rsidRDefault="00DC53E2" w:rsidP="005758AA">
      <w:pPr>
        <w:spacing w:before="120" w:after="120" w:line="240" w:lineRule="auto"/>
        <w:jc w:val="both"/>
        <w:rPr>
          <w:rFonts w:ascii="Times New Roman" w:hAnsi="Times New Roman" w:cs="Times New Roman"/>
          <w:b/>
          <w:bCs/>
          <w:i/>
          <w:iCs/>
          <w:noProof/>
          <w:sz w:val="24"/>
          <w:szCs w:val="24"/>
        </w:rPr>
      </w:pPr>
      <w:r>
        <w:rPr>
          <w:rFonts w:ascii="Times New Roman" w:hAnsi="Times New Roman"/>
          <w:b/>
          <w:i/>
          <w:noProof/>
          <w:sz w:val="24"/>
        </w:rPr>
        <w:t>ES aģentūru atbalsts dalībvalstīm</w:t>
      </w:r>
    </w:p>
    <w:p w14:paraId="1D481B69" w14:textId="77777777" w:rsidR="00DC53E2" w:rsidRPr="00114E09" w:rsidRDefault="00DC53E2" w:rsidP="005758AA">
      <w:pPr>
        <w:spacing w:before="120" w:after="120" w:line="240" w:lineRule="auto"/>
        <w:jc w:val="both"/>
        <w:rPr>
          <w:rFonts w:ascii="Times New Roman" w:hAnsi="Times New Roman" w:cs="Times New Roman"/>
          <w:noProof/>
          <w:sz w:val="24"/>
          <w:szCs w:val="24"/>
        </w:rPr>
      </w:pPr>
      <w:r>
        <w:rPr>
          <w:rFonts w:ascii="Times New Roman" w:hAnsi="Times New Roman"/>
          <w:b/>
          <w:noProof/>
          <w:sz w:val="24"/>
        </w:rPr>
        <w:t>ES Patvēruma aģentūra</w:t>
      </w:r>
      <w:r>
        <w:rPr>
          <w:rFonts w:ascii="Times New Roman" w:hAnsi="Times New Roman"/>
          <w:noProof/>
          <w:sz w:val="24"/>
        </w:rPr>
        <w:t>, kas pārņēmusi Eiropas Patvēruma atbalsta biroja pienākumus, sāka aktīvāk darboties 2022. gada janvārī, kad stājās spēkā regula par šīs aģentūras izveidi</w:t>
      </w:r>
      <w:r>
        <w:rPr>
          <w:rStyle w:val="FootnoteReference"/>
          <w:rFonts w:ascii="Times New Roman" w:hAnsi="Times New Roman" w:cs="Times New Roman"/>
          <w:noProof/>
          <w:sz w:val="24"/>
          <w:szCs w:val="24"/>
        </w:rPr>
        <w:footnoteReference w:id="52"/>
      </w:r>
      <w:r>
        <w:rPr>
          <w:rFonts w:ascii="Times New Roman" w:hAnsi="Times New Roman"/>
          <w:noProof/>
          <w:sz w:val="24"/>
        </w:rPr>
        <w:t>. Aģentūra pašlaik atbalsta 12 dalībvalstis</w:t>
      </w:r>
      <w:r>
        <w:rPr>
          <w:rStyle w:val="FootnoteReference"/>
          <w:rFonts w:ascii="Times New Roman" w:hAnsi="Times New Roman" w:cs="Times New Roman"/>
          <w:noProof/>
          <w:sz w:val="24"/>
          <w:szCs w:val="24"/>
        </w:rPr>
        <w:footnoteReference w:id="53"/>
      </w:r>
      <w:r>
        <w:rPr>
          <w:rFonts w:ascii="Times New Roman" w:hAnsi="Times New Roman"/>
          <w:noProof/>
          <w:sz w:val="24"/>
        </w:rPr>
        <w:t xml:space="preserve"> saistībā ar to patvēruma, uzņemšanas un pagaidu aizsardzības vajadzībām, un ir izvietojusi tajās vairāk nekā 1000 ekspertu.</w:t>
      </w:r>
    </w:p>
    <w:p w14:paraId="725045D0" w14:textId="77777777" w:rsidR="00DC53E2" w:rsidRPr="00114E09" w:rsidRDefault="00DC53E2" w:rsidP="005758AA">
      <w:pPr>
        <w:spacing w:before="120" w:after="120" w:line="240" w:lineRule="auto"/>
        <w:jc w:val="both"/>
        <w:rPr>
          <w:rFonts w:ascii="Times New Roman" w:hAnsi="Times New Roman" w:cs="Times New Roman"/>
          <w:noProof/>
          <w:sz w:val="24"/>
          <w:szCs w:val="24"/>
        </w:rPr>
      </w:pPr>
      <w:r>
        <w:rPr>
          <w:rFonts w:ascii="Times New Roman" w:hAnsi="Times New Roman"/>
          <w:noProof/>
          <w:sz w:val="24"/>
        </w:rPr>
        <w:lastRenderedPageBreak/>
        <w:t xml:space="preserve">Sadarbībā ar dalībvalstīm būtiska loma ir arī </w:t>
      </w:r>
      <w:r>
        <w:rPr>
          <w:rFonts w:ascii="Times New Roman" w:hAnsi="Times New Roman"/>
          <w:b/>
          <w:noProof/>
          <w:sz w:val="24"/>
        </w:rPr>
        <w:t>Eiropolam</w:t>
      </w:r>
      <w:r>
        <w:rPr>
          <w:rFonts w:ascii="Times New Roman" w:hAnsi="Times New Roman"/>
          <w:noProof/>
          <w:sz w:val="24"/>
        </w:rPr>
        <w:t>, lai nodrošinātu, ka migrācijas pārvaldībai ir nepieciešamais drošības līmenis. Eiropols pašlaik atbalsta deviņas dalībvalstis un Moldovu un ir izvietojis tajās Eiropola darbiniekus un pieaicinātus darbiniekus.</w:t>
      </w:r>
    </w:p>
    <w:p w14:paraId="0C931F06" w14:textId="77777777" w:rsidR="00DC53E2" w:rsidRPr="00114E09" w:rsidRDefault="00DC53E2" w:rsidP="005758AA">
      <w:pPr>
        <w:spacing w:after="120" w:line="240" w:lineRule="auto"/>
        <w:jc w:val="both"/>
        <w:rPr>
          <w:rFonts w:ascii="Times New Roman" w:hAnsi="Times New Roman" w:cs="Times New Roman"/>
          <w:noProof/>
          <w:sz w:val="24"/>
          <w:szCs w:val="24"/>
        </w:rPr>
      </w:pPr>
      <w:r>
        <w:rPr>
          <w:rFonts w:ascii="Times New Roman" w:hAnsi="Times New Roman"/>
          <w:b/>
          <w:i/>
          <w:noProof/>
          <w:sz w:val="24"/>
        </w:rPr>
        <w:t>Frontex</w:t>
      </w:r>
      <w:r>
        <w:rPr>
          <w:rFonts w:ascii="Times New Roman" w:hAnsi="Times New Roman"/>
          <w:noProof/>
          <w:sz w:val="24"/>
        </w:rPr>
        <w:t xml:space="preserve"> ir </w:t>
      </w:r>
      <w:r>
        <w:rPr>
          <w:rFonts w:ascii="Times New Roman" w:hAnsi="Times New Roman"/>
          <w:b/>
          <w:noProof/>
          <w:sz w:val="24"/>
        </w:rPr>
        <w:t>izvietojusi</w:t>
      </w:r>
      <w:r>
        <w:rPr>
          <w:rFonts w:ascii="Times New Roman" w:hAnsi="Times New Roman"/>
          <w:noProof/>
          <w:sz w:val="24"/>
        </w:rPr>
        <w:t xml:space="preserve"> vairāk nekā 2000 </w:t>
      </w:r>
      <w:r>
        <w:rPr>
          <w:rFonts w:ascii="Times New Roman" w:hAnsi="Times New Roman"/>
          <w:b/>
          <w:noProof/>
          <w:sz w:val="24"/>
        </w:rPr>
        <w:t>darbinieku</w:t>
      </w:r>
      <w:r>
        <w:rPr>
          <w:rFonts w:ascii="Times New Roman" w:hAnsi="Times New Roman"/>
          <w:noProof/>
          <w:sz w:val="24"/>
        </w:rPr>
        <w:t xml:space="preserve">, kā arī </w:t>
      </w:r>
      <w:r>
        <w:rPr>
          <w:rFonts w:ascii="Times New Roman" w:hAnsi="Times New Roman"/>
          <w:b/>
          <w:noProof/>
          <w:sz w:val="24"/>
        </w:rPr>
        <w:t>tehnisko aprīkojumu</w:t>
      </w:r>
      <w:r>
        <w:rPr>
          <w:rFonts w:ascii="Times New Roman" w:hAnsi="Times New Roman"/>
          <w:noProof/>
          <w:sz w:val="24"/>
        </w:rPr>
        <w:t xml:space="preserve"> pie ārējām sauszemes, jūras un gaisa robežām un atgriešanas atbalstam. Lai novērstu pastāvīgo kapacitātes trūkumu, kas izraisa plānoto izvietošanas operāciju nepietiekamu īstenošanu, ir ļoti svarīgi, lai dalībvalstis pildītu savas saistības un dotu savu ieguldījumu.  </w:t>
      </w:r>
    </w:p>
    <w:tbl>
      <w:tblPr>
        <w:tblStyle w:val="TableGrid"/>
        <w:tblpPr w:leftFromText="141" w:rightFromText="141" w:vertAnchor="text" w:horzAnchor="margin" w:tblpX="108" w:tblpY="17"/>
        <w:tblW w:w="0" w:type="auto"/>
        <w:tblLook w:val="04A0" w:firstRow="1" w:lastRow="0" w:firstColumn="1" w:lastColumn="0" w:noHBand="0" w:noVBand="1"/>
      </w:tblPr>
      <w:tblGrid>
        <w:gridCol w:w="8950"/>
      </w:tblGrid>
      <w:tr w:rsidR="00DC53E2" w:rsidRPr="00114E09" w14:paraId="7DA18BA2" w14:textId="77777777" w:rsidTr="00CC1551">
        <w:trPr>
          <w:trHeight w:val="416"/>
        </w:trPr>
        <w:tc>
          <w:tcPr>
            <w:tcW w:w="8950" w:type="dxa"/>
          </w:tcPr>
          <w:p w14:paraId="0319D05F" w14:textId="77777777" w:rsidR="00DC53E2" w:rsidRPr="00114E09" w:rsidRDefault="00DC53E2" w:rsidP="005758AA">
            <w:pPr>
              <w:spacing w:after="120"/>
              <w:rPr>
                <w:rFonts w:ascii="Times New Roman" w:hAnsi="Times New Roman" w:cs="Times New Roman"/>
                <w:b/>
                <w:i/>
                <w:noProof/>
                <w:sz w:val="24"/>
                <w:szCs w:val="24"/>
              </w:rPr>
            </w:pPr>
            <w:r>
              <w:rPr>
                <w:rFonts w:ascii="Times New Roman" w:hAnsi="Times New Roman"/>
                <w:b/>
                <w:i/>
                <w:noProof/>
                <w:sz w:val="24"/>
              </w:rPr>
              <w:t>Frontex</w:t>
            </w:r>
          </w:p>
          <w:p w14:paraId="105B7FEA" w14:textId="77777777" w:rsidR="00DC53E2" w:rsidRPr="00114E09" w:rsidRDefault="00DC53E2" w:rsidP="005758AA">
            <w:pPr>
              <w:spacing w:after="120"/>
              <w:rPr>
                <w:rFonts w:ascii="Times New Roman" w:hAnsi="Times New Roman" w:cs="Times New Roman"/>
                <w:noProof/>
                <w:sz w:val="24"/>
                <w:szCs w:val="24"/>
              </w:rPr>
            </w:pPr>
            <w:bookmarkStart w:id="10" w:name="_Hlk115017438"/>
            <w:r>
              <w:rPr>
                <w:rFonts w:ascii="Times New Roman" w:hAnsi="Times New Roman"/>
                <w:noProof/>
                <w:sz w:val="24"/>
              </w:rPr>
              <w:t xml:space="preserve">Nesenie notikumi ir apstiprinājuši, ka </w:t>
            </w:r>
            <w:r>
              <w:rPr>
                <w:rFonts w:ascii="Times New Roman" w:hAnsi="Times New Roman"/>
                <w:i/>
                <w:noProof/>
                <w:sz w:val="24"/>
              </w:rPr>
              <w:t>Frontex</w:t>
            </w:r>
            <w:r>
              <w:rPr>
                <w:rFonts w:ascii="Times New Roman" w:hAnsi="Times New Roman"/>
                <w:noProof/>
                <w:sz w:val="24"/>
              </w:rPr>
              <w:t xml:space="preserve"> ir liela nozīme palīdzībai dalībvalstīm robežu pārvaldības, uzraudzības un atgriešanas jomā. Tā ir arī paplašinājusi sadarbību ar partnervalstīm, arī ar oficiālu statusa nolīgumu palīdzību (</w:t>
            </w:r>
            <w:r>
              <w:rPr>
                <w:rFonts w:ascii="Times New Roman" w:hAnsi="Times New Roman"/>
                <w:i/>
                <w:noProof/>
                <w:sz w:val="24"/>
              </w:rPr>
              <w:t>sk. 7. iedaļu</w:t>
            </w:r>
            <w:r>
              <w:rPr>
                <w:rFonts w:ascii="Times New Roman" w:hAnsi="Times New Roman"/>
                <w:noProof/>
                <w:sz w:val="24"/>
              </w:rPr>
              <w:t>).</w:t>
            </w:r>
          </w:p>
          <w:p w14:paraId="2146FEB7" w14:textId="59BBDB0B" w:rsidR="00DC53E2" w:rsidRPr="00114E09" w:rsidRDefault="002B7A14" w:rsidP="005758AA">
            <w:pPr>
              <w:spacing w:after="120"/>
              <w:rPr>
                <w:rFonts w:ascii="Times New Roman" w:hAnsi="Times New Roman" w:cs="Times New Roman"/>
                <w:noProof/>
                <w:sz w:val="24"/>
                <w:szCs w:val="24"/>
              </w:rPr>
            </w:pPr>
            <w:r>
              <w:rPr>
                <w:rFonts w:ascii="Times New Roman" w:hAnsi="Times New Roman"/>
                <w:noProof/>
                <w:sz w:val="24"/>
              </w:rPr>
              <w:t xml:space="preserve">Paplašinoties </w:t>
            </w:r>
            <w:r>
              <w:rPr>
                <w:rFonts w:ascii="Times New Roman" w:hAnsi="Times New Roman"/>
                <w:i/>
                <w:noProof/>
                <w:sz w:val="24"/>
              </w:rPr>
              <w:t>Frontex</w:t>
            </w:r>
            <w:r>
              <w:rPr>
                <w:rFonts w:ascii="Times New Roman" w:hAnsi="Times New Roman"/>
                <w:noProof/>
                <w:sz w:val="24"/>
              </w:rPr>
              <w:t xml:space="preserve"> pienākumiem, šī aģentūra ir piedzīvojusi sarežģītu pārejas procesu. Aizsargājot ES ārējo robežu, ir svarīgi, lai jebkādi veiktie pasākumi pilnībā atbilstu </w:t>
            </w:r>
            <w:r>
              <w:rPr>
                <w:rFonts w:ascii="Times New Roman" w:hAnsi="Times New Roman"/>
                <w:b/>
                <w:noProof/>
                <w:sz w:val="24"/>
              </w:rPr>
              <w:t>Pamattiesību hartai un ES vērtībām</w:t>
            </w:r>
            <w:r>
              <w:rPr>
                <w:rFonts w:ascii="Times New Roman" w:hAnsi="Times New Roman"/>
                <w:noProof/>
                <w:sz w:val="24"/>
              </w:rPr>
              <w:t>. Komisija ļoti nopietni izskata apgalvojumus par Eiropas Robežu un krasta apsardzes darbinieku neatbilstīgu rīcību, veic turpmākus pasākumus ar attiecīgajām dalībvalstīm un vienlaikus pārrauga aģentūras panākto progresu visu attiecīgo ieteikumu īstenošanā. Komisija pozitīvi vērtē aģentūras pastiprināto satvaru pamattiesību uzraudzībai — amatā ir iecelta aģentūras pamattiesību amatpersona un tās vietnieks. 2022. gada novembrī kopējais pamattiesību uzraudzītāju skaits sasniegs 46. Pamattiesību amatpersona 2022. gada jūnijā publicēja gada ziņojumu par 2021. gadu, kurā bija sniegts pārskats par uzraudzības un konsultatīvajām aktivitātēm</w:t>
            </w:r>
            <w:r>
              <w:rPr>
                <w:rStyle w:val="FootnoteReference"/>
                <w:rFonts w:ascii="Times New Roman" w:hAnsi="Times New Roman" w:cs="Times New Roman"/>
                <w:noProof/>
                <w:color w:val="282828"/>
                <w:sz w:val="24"/>
                <w:szCs w:val="24"/>
              </w:rPr>
              <w:footnoteReference w:id="54"/>
            </w:r>
            <w:r>
              <w:rPr>
                <w:rFonts w:ascii="Times New Roman" w:hAnsi="Times New Roman"/>
                <w:noProof/>
                <w:sz w:val="24"/>
              </w:rPr>
              <w:t>. Pamattiesību amatpersona regulāri ziņo arī valdei.</w:t>
            </w:r>
          </w:p>
          <w:p w14:paraId="3BA680A2" w14:textId="5B9B013F" w:rsidR="00DC53E2" w:rsidRPr="00114E09" w:rsidRDefault="00DC53E2" w:rsidP="005758AA">
            <w:pPr>
              <w:spacing w:after="120"/>
              <w:rPr>
                <w:rFonts w:ascii="Times New Roman" w:hAnsi="Times New Roman" w:cs="Times New Roman"/>
                <w:noProof/>
                <w:sz w:val="24"/>
                <w:szCs w:val="24"/>
              </w:rPr>
            </w:pPr>
            <w:r>
              <w:rPr>
                <w:rFonts w:ascii="Times New Roman" w:hAnsi="Times New Roman"/>
                <w:noProof/>
                <w:sz w:val="24"/>
              </w:rPr>
              <w:t>Kā paredzēts Eiropas Robežu un krasta apsardzes regulā</w:t>
            </w:r>
            <w:r>
              <w:rPr>
                <w:rStyle w:val="FootnoteReference"/>
                <w:rFonts w:ascii="Times New Roman" w:hAnsi="Times New Roman" w:cs="Times New Roman"/>
                <w:noProof/>
                <w:sz w:val="24"/>
                <w:szCs w:val="24"/>
              </w:rPr>
              <w:footnoteReference w:id="55"/>
            </w:r>
            <w:r>
              <w:rPr>
                <w:rFonts w:ascii="Times New Roman" w:hAnsi="Times New Roman"/>
                <w:noProof/>
                <w:sz w:val="24"/>
              </w:rPr>
              <w:t xml:space="preserve">, Komisija līdz 2023. gada 5. decembrim veiks </w:t>
            </w:r>
            <w:r>
              <w:rPr>
                <w:rFonts w:ascii="Times New Roman" w:hAnsi="Times New Roman"/>
                <w:b/>
                <w:noProof/>
                <w:sz w:val="24"/>
              </w:rPr>
              <w:t>izvērtējumu</w:t>
            </w:r>
            <w:r>
              <w:rPr>
                <w:rFonts w:ascii="Times New Roman" w:hAnsi="Times New Roman"/>
                <w:noProof/>
                <w:sz w:val="24"/>
              </w:rPr>
              <w:t xml:space="preserve">, kurā aplūkos </w:t>
            </w:r>
            <w:r>
              <w:rPr>
                <w:rFonts w:ascii="Times New Roman" w:hAnsi="Times New Roman"/>
                <w:i/>
                <w:noProof/>
                <w:sz w:val="24"/>
              </w:rPr>
              <w:t>Frontex</w:t>
            </w:r>
            <w:r>
              <w:rPr>
                <w:rFonts w:ascii="Times New Roman" w:hAnsi="Times New Roman"/>
                <w:noProof/>
                <w:sz w:val="24"/>
              </w:rPr>
              <w:t xml:space="preserve"> veikto darbību rezultativitāti, efektivitāti, atbilstību un saskaņotību, kā arī to ES pievienoto vērtību, </w:t>
            </w:r>
            <w:r>
              <w:rPr>
                <w:rFonts w:ascii="Times New Roman" w:hAnsi="Times New Roman"/>
                <w:noProof/>
              </w:rPr>
              <w:t xml:space="preserve"> </w:t>
            </w:r>
            <w:r>
              <w:rPr>
                <w:rFonts w:ascii="Times New Roman" w:hAnsi="Times New Roman"/>
                <w:noProof/>
                <w:sz w:val="24"/>
              </w:rPr>
              <w:t xml:space="preserve">tai skaitā aģentūras pārvaldības struktūru un valdes veikto pārraudzību. Pirms izvērtējuma sagatavošanas Komisija uzsāks dialogu ar Parlamentu un Padomi par aģentūras pārvaldību. </w:t>
            </w:r>
            <w:bookmarkEnd w:id="10"/>
          </w:p>
        </w:tc>
      </w:tr>
    </w:tbl>
    <w:p w14:paraId="3976BC50" w14:textId="305172D0" w:rsidR="000F6E59" w:rsidRPr="00114E09" w:rsidRDefault="000F6E59" w:rsidP="005758AA">
      <w:pPr>
        <w:spacing w:before="120" w:after="12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Neatbilstīga sekundārā kustība</w:t>
      </w:r>
    </w:p>
    <w:p w14:paraId="1B2329A6" w14:textId="3FAE71CD" w:rsidR="000F6E59" w:rsidRPr="00114E09" w:rsidRDefault="00023FF0" w:rsidP="005758AA">
      <w:pPr>
        <w:pStyle w:val="NormalWeb"/>
        <w:spacing w:before="0" w:beforeAutospacing="0" w:after="120" w:afterAutospacing="0"/>
        <w:jc w:val="both"/>
        <w:rPr>
          <w:noProof/>
        </w:rPr>
      </w:pPr>
      <w:r>
        <w:rPr>
          <w:noProof/>
        </w:rPr>
        <w:t xml:space="preserve">Patvēruma meklētāju sekundārā kustība ES iekšienē apdraud kopējās Eiropas patvēruma sistēmas uzticamību un integritāti. Kaut gan ir grūti savākt ticamus datus par šādu kustību, </w:t>
      </w:r>
      <w:r>
        <w:rPr>
          <w:i/>
          <w:noProof/>
        </w:rPr>
        <w:t>Eurodac</w:t>
      </w:r>
      <w:r>
        <w:rPr>
          <w:noProof/>
        </w:rPr>
        <w:t xml:space="preserve"> var sniegt datus par izceļošanas gadījumiem un galamērķiem un var parādīt, vai persona, kas reģistrēta vienā dalībvalstī, jau ir reģistrējusi vismaz vienu patvēruma pieteikumu citā dalībvalstī</w:t>
      </w:r>
      <w:r>
        <w:rPr>
          <w:rStyle w:val="FootnoteReference"/>
          <w:noProof/>
          <w:lang w:val="en-GB"/>
        </w:rPr>
        <w:footnoteReference w:id="56"/>
      </w:r>
      <w:r>
        <w:rPr>
          <w:noProof/>
        </w:rPr>
        <w:t>. Tāpat šī sistēma var parādīt, vai pēc patvēruma pieteikuma reģistrēšanas vienā dalībvalstī persona tikusi aizturēta kā persona, kas neatbilstīgi uzturas citā dalībvalstī</w:t>
      </w:r>
      <w:r>
        <w:rPr>
          <w:rStyle w:val="FootnoteReference"/>
          <w:noProof/>
          <w:lang w:val="en-GB"/>
        </w:rPr>
        <w:footnoteReference w:id="57"/>
      </w:r>
      <w:r>
        <w:rPr>
          <w:noProof/>
        </w:rPr>
        <w:t xml:space="preserve">. </w:t>
      </w:r>
    </w:p>
    <w:p w14:paraId="3B1CF14F" w14:textId="16CF29E3" w:rsidR="00023FF0" w:rsidRPr="00114E09" w:rsidRDefault="00023FF0" w:rsidP="00023FF0">
      <w:pPr>
        <w:pStyle w:val="NormalWeb"/>
        <w:spacing w:before="0" w:beforeAutospacing="0" w:after="120" w:afterAutospacing="0"/>
        <w:jc w:val="both"/>
        <w:rPr>
          <w:noProof/>
        </w:rPr>
      </w:pPr>
      <w:r>
        <w:rPr>
          <w:noProof/>
        </w:rPr>
        <w:t xml:space="preserve">2022. gada jūnijā dalībvalstis, Komisija un ES Patvēruma aģentūra vienojās izstrādāt </w:t>
      </w:r>
      <w:r>
        <w:rPr>
          <w:b/>
          <w:noProof/>
        </w:rPr>
        <w:t>ceļvedi, lai nodrošinātu labāku</w:t>
      </w:r>
      <w:r>
        <w:rPr>
          <w:noProof/>
        </w:rPr>
        <w:t xml:space="preserve"> pārsūtīšanas procedūru </w:t>
      </w:r>
      <w:r>
        <w:rPr>
          <w:b/>
          <w:noProof/>
        </w:rPr>
        <w:t>īstenošanu</w:t>
      </w:r>
      <w:r>
        <w:rPr>
          <w:noProof/>
        </w:rPr>
        <w:t xml:space="preserve"> saskaņā ar Dublinas III regulu</w:t>
      </w:r>
      <w:r>
        <w:rPr>
          <w:rStyle w:val="FootnoteReference"/>
          <w:noProof/>
          <w:lang w:val="en-GB"/>
        </w:rPr>
        <w:footnoteReference w:id="58"/>
      </w:r>
      <w:r>
        <w:rPr>
          <w:noProof/>
        </w:rPr>
        <w:t xml:space="preserve">. </w:t>
      </w:r>
      <w:r>
        <w:rPr>
          <w:noProof/>
        </w:rPr>
        <w:lastRenderedPageBreak/>
        <w:t>Ceļvedī būs izklāstīti praktiski pasākumi, kas dalībvalstīm būtu jāveic, lai pārvarētu galvenos šķēršļus, ar kuriem dalībvalstis pašlaik saskaras saistībā ar pārsūtīšanu. Pirmā ekspertu grupas, kuras sastāvā ir brīvprātīgo dalībvalstu pārstāvji, sanāksme notika 2022. gada 8. septembrī.</w:t>
      </w:r>
      <w:r>
        <w:rPr>
          <w:noProof/>
          <w:color w:val="1F497D"/>
        </w:rPr>
        <w:t xml:space="preserve"> </w:t>
      </w:r>
      <w:r>
        <w:rPr>
          <w:noProof/>
        </w:rPr>
        <w:t>Paredzams, ka ceļvedis tiks pabeigts un apstiprināts līdz gada beigām.</w:t>
      </w:r>
    </w:p>
    <w:p w14:paraId="2F017DF4" w14:textId="22508FF4" w:rsidR="000F6E59" w:rsidRPr="00114E09" w:rsidRDefault="000F6E59" w:rsidP="005758AA">
      <w:pPr>
        <w:pStyle w:val="NormalWeb"/>
        <w:spacing w:before="0" w:beforeAutospacing="0" w:after="120" w:afterAutospacing="0"/>
        <w:jc w:val="both"/>
        <w:rPr>
          <w:noProof/>
        </w:rPr>
      </w:pPr>
      <w:r>
        <w:rPr>
          <w:noProof/>
        </w:rPr>
        <w:t xml:space="preserve">Pakta mērķis ir rast </w:t>
      </w:r>
      <w:r>
        <w:rPr>
          <w:b/>
          <w:noProof/>
        </w:rPr>
        <w:t>strukturālus risinājumus</w:t>
      </w:r>
      <w:r>
        <w:rPr>
          <w:noProof/>
        </w:rPr>
        <w:t xml:space="preserve"> un samazināt stimulus neatbilstīgai sekundārai kustībai, izmantojot precīzākus un pilnīgākus datus. Solidaritātes deklarācijā dalībvalstis uzsvēra apņemšanos risināt sekundārās kustības problēmu, palielinot Dublinas pārsūtīšanas procedūru tempu</w:t>
      </w:r>
      <w:r>
        <w:rPr>
          <w:rStyle w:val="FootnoteReference"/>
          <w:noProof/>
          <w:lang w:val="en-GB"/>
        </w:rPr>
        <w:footnoteReference w:id="59"/>
      </w:r>
      <w:r>
        <w:rPr>
          <w:noProof/>
        </w:rPr>
        <w:t xml:space="preserve">, taču vienlaikus arī atzina, ka ir svarīgi nodrošināt, lai starptautiskās aizsardzības saņēmējiem būtu pieejama likumīga mobilitāte starp dalībvalstīm. </w:t>
      </w:r>
    </w:p>
    <w:p w14:paraId="125A945D" w14:textId="00CE9EF5" w:rsidR="000F6E59" w:rsidRPr="00114E09" w:rsidRDefault="000F6E59" w:rsidP="005758AA">
      <w:pPr>
        <w:pStyle w:val="NormalWeb"/>
        <w:spacing w:before="0" w:beforeAutospacing="0" w:after="120" w:afterAutospacing="0"/>
        <w:jc w:val="both"/>
        <w:rPr>
          <w:noProof/>
        </w:rPr>
      </w:pPr>
      <w:r>
        <w:rPr>
          <w:noProof/>
        </w:rPr>
        <w:t xml:space="preserve">Ar priekšlikumu grozīt </w:t>
      </w:r>
      <w:r>
        <w:rPr>
          <w:b/>
          <w:noProof/>
        </w:rPr>
        <w:t>Šengenas Robežu kodeksu</w:t>
      </w:r>
      <w:r>
        <w:rPr>
          <w:rStyle w:val="FootnoteReference"/>
          <w:noProof/>
          <w:lang w:val="en-GB"/>
        </w:rPr>
        <w:footnoteReference w:id="60"/>
      </w:r>
      <w:r>
        <w:rPr>
          <w:noProof/>
        </w:rPr>
        <w:t xml:space="preserve"> tiek ieviesta jauna pārsūtīšanas procedūra, lai risinātu neatbilstīgas sekundārās kustības problēmu, un dalībvalstīm tiek dota iespēja pārskatīt divpusējos atpakaļuzņemšanas nolīgumus, kas starp tām ir spēkā pašlaik, vai noslēgt jaunus. Lai gan iekšējās robežkontroles atjaunošanai būtu jāpaliek galējam pasākumam, priekšlikumā ir paredzēta arī iespēja pamatot iekšējās robežkontroles atjaunošanu sakarā ar liela mēroga neatbilstīgu sekundāro kustību.</w:t>
      </w:r>
    </w:p>
    <w:p w14:paraId="37FA7580" w14:textId="77777777" w:rsidR="00DC53E2" w:rsidRPr="00114E09" w:rsidRDefault="005758AA" w:rsidP="005758AA">
      <w:pPr>
        <w:pStyle w:val="Briefingheading1"/>
        <w:numPr>
          <w:ilvl w:val="0"/>
          <w:numId w:val="9"/>
        </w:numPr>
        <w:spacing w:before="360" w:after="200"/>
        <w:rPr>
          <w:rFonts w:ascii="Times New Roman" w:hAnsi="Times New Roman"/>
          <w:noProof/>
          <w:u w:val="none"/>
        </w:rPr>
      </w:pPr>
      <w:r>
        <w:rPr>
          <w:rFonts w:ascii="Times New Roman" w:hAnsi="Times New Roman"/>
          <w:noProof/>
          <w:u w:val="none"/>
        </w:rPr>
        <w:t>ĀRĒJO ROBEŽU PĀRVALDĪBA UN ATGRIEŠANA</w:t>
      </w:r>
    </w:p>
    <w:p w14:paraId="1E7A6E71" w14:textId="11B4C16C" w:rsidR="005758AA" w:rsidRPr="00114E09" w:rsidRDefault="005758AA" w:rsidP="005758AA">
      <w:pPr>
        <w:pStyle w:val="NormalWeb"/>
        <w:spacing w:before="0" w:beforeAutospacing="0" w:after="120" w:afterAutospacing="0"/>
        <w:jc w:val="both"/>
        <w:rPr>
          <w:noProof/>
        </w:rPr>
      </w:pPr>
      <w:bookmarkStart w:id="11" w:name="_Hlk115018145"/>
      <w:r>
        <w:rPr>
          <w:noProof/>
        </w:rPr>
        <w:t xml:space="preserve">Ārējo robežu pārvaldība ir Migrācijas un patvēruma pakta pieejas pamatelements. Tā ir arī viena no </w:t>
      </w:r>
      <w:r>
        <w:rPr>
          <w:b/>
          <w:noProof/>
        </w:rPr>
        <w:t>Šengenas stratēģijas</w:t>
      </w:r>
      <w:r>
        <w:rPr>
          <w:rStyle w:val="FootnoteReference"/>
          <w:noProof/>
        </w:rPr>
        <w:footnoteReference w:id="61"/>
      </w:r>
      <w:r>
        <w:rPr>
          <w:noProof/>
        </w:rPr>
        <w:t xml:space="preserve"> prioritātēm, kas tagad tiek īstenota, izmantojot ikgadējo Šengenas ciklu — jaunu Šengenas zonas pārvaldības modeli — un ņemot vērā progresu, kas atspoguļots maijā pieņemtajā pirmajā ziņojumā par stāvokli Šengenas zonā</w:t>
      </w:r>
      <w:r>
        <w:rPr>
          <w:bCs/>
          <w:noProof/>
          <w:vertAlign w:val="superscript"/>
        </w:rPr>
        <w:footnoteReference w:id="62"/>
      </w:r>
      <w:bookmarkEnd w:id="11"/>
      <w:r>
        <w:rPr>
          <w:noProof/>
        </w:rPr>
        <w:t xml:space="preserve">. </w:t>
      </w:r>
    </w:p>
    <w:p w14:paraId="59EBAEB4" w14:textId="77777777" w:rsidR="00DC53E2" w:rsidRPr="00114E09" w:rsidRDefault="005758AA" w:rsidP="005758AA">
      <w:pPr>
        <w:pStyle w:val="NormalWeb"/>
        <w:spacing w:before="0" w:beforeAutospacing="0" w:after="120" w:afterAutospacing="0"/>
        <w:jc w:val="both"/>
        <w:rPr>
          <w:noProof/>
        </w:rPr>
      </w:pPr>
      <w:r>
        <w:rPr>
          <w:noProof/>
        </w:rPr>
        <w:t xml:space="preserve">Būtisks instruments spēcīgai robežu pārvaldībai ir </w:t>
      </w:r>
      <w:r>
        <w:rPr>
          <w:b/>
          <w:noProof/>
        </w:rPr>
        <w:t>Eiropas integrētā robežu pārvaldība</w:t>
      </w:r>
      <w:r>
        <w:rPr>
          <w:rStyle w:val="FootnoteReference"/>
          <w:noProof/>
          <w:lang w:val="en-GB"/>
        </w:rPr>
        <w:footnoteReference w:id="63"/>
      </w:r>
      <w:r>
        <w:rPr>
          <w:noProof/>
        </w:rPr>
        <w:t>. Komisija ir apspriedusies ar Parlamentu un Padomi par turpmāko virzību un aicinājusi izstrādāt stingru un saskaņotu operatīvo pieeju robežkontrolei, meklēšanai un glābšanai, riska analīzei, aģentūru, ES un starptautiskajai sadarbībai, atgriešanai, pamattiesībām, pētniecībai un inovācijai, kā arī apmācībai.</w:t>
      </w:r>
    </w:p>
    <w:p w14:paraId="419A1E6F" w14:textId="4A5134F2" w:rsidR="00DC53E2" w:rsidRPr="00114E09" w:rsidRDefault="00DC53E2" w:rsidP="005758AA">
      <w:pPr>
        <w:pStyle w:val="NormalWeb"/>
        <w:spacing w:before="0" w:beforeAutospacing="0" w:after="120" w:afterAutospacing="0"/>
        <w:jc w:val="both"/>
        <w:rPr>
          <w:bCs/>
          <w:noProof/>
        </w:rPr>
      </w:pPr>
      <w:r>
        <w:rPr>
          <w:noProof/>
        </w:rPr>
        <w:t xml:space="preserve">Komisija, </w:t>
      </w:r>
      <w:r>
        <w:rPr>
          <w:i/>
          <w:noProof/>
        </w:rPr>
        <w:t>eu-LISA</w:t>
      </w:r>
      <w:r>
        <w:rPr>
          <w:noProof/>
        </w:rPr>
        <w:t xml:space="preserve"> un dalībvalstis ir pielikušas lielākas pūles, lai izstrādātu un ieviestu jauno </w:t>
      </w:r>
      <w:r>
        <w:rPr>
          <w:b/>
          <w:noProof/>
        </w:rPr>
        <w:t>IT arhitektūru un sadarbspēju</w:t>
      </w:r>
      <w:r>
        <w:rPr>
          <w:noProof/>
        </w:rPr>
        <w:t>. Tas robežsargiem dos uzlabotus līdzekļus, lai kontrolētu ieceļošanu ES un pārvaldītu riskus, kas saistīti ar drošību, veselību vai neatbilstīgu migrāciju. Šengenas informācijas sistēma (</w:t>
      </w:r>
      <w:r>
        <w:rPr>
          <w:i/>
          <w:noProof/>
        </w:rPr>
        <w:t>SIS</w:t>
      </w:r>
      <w:r>
        <w:rPr>
          <w:noProof/>
        </w:rPr>
        <w:t>) ir visplašāk izmantotā un lielākā informācijas apmaiņas sistēma drošībai un robežu pārvaldībai Eiropā. Lai uzlabotu atgriešanas lēmumu izpildi, no 2022. gada rudens informācija par atgriešanas lēmumiem tiks kopīgota šajā sistēmā. Jaunas informācijas sistēmas, piemēram, ieceļošanas/izceļošanas sistēma (IIS), palīdzēs uzlabot kontroļu kvalitāti un efektivitāti, kā arī uzlabot dokumentu un identitātes viltojumu atklāšanu. Eiropas ceļošanas informācijas un atļauju sistēma (</w:t>
      </w:r>
      <w:r>
        <w:rPr>
          <w:i/>
          <w:noProof/>
        </w:rPr>
        <w:t>ETIAS</w:t>
      </w:r>
      <w:r>
        <w:rPr>
          <w:noProof/>
        </w:rPr>
        <w:t xml:space="preserve">) palīdzēs identificēt jebkādus drošības vai neatbilstīgas migrācijas riskus, ko rada apmeklētāji, kas izmanto bezvīzu režīmu, pirms viņi sasniedz ES robežas. Sadarbspēja palīdzēs arī pareizi identificēt personas, kuru dati tiek glabāti šajās IT sistēmās, un tādējādi cīnīties pret identitātes viltošanu. </w:t>
      </w:r>
      <w:bookmarkStart w:id="12" w:name="_Hlk115360590"/>
      <w:r>
        <w:rPr>
          <w:noProof/>
        </w:rPr>
        <w:t xml:space="preserve">Kā izklāstīts </w:t>
      </w:r>
      <w:r>
        <w:rPr>
          <w:noProof/>
        </w:rPr>
        <w:lastRenderedPageBreak/>
        <w:t>Komisijas ziņojumā par sadarbspējas regulu īstenošanu</w:t>
      </w:r>
      <w:r>
        <w:rPr>
          <w:rStyle w:val="FootnoteReference"/>
          <w:noProof/>
          <w:lang w:val="en-GB"/>
        </w:rPr>
        <w:footnoteReference w:id="64"/>
      </w:r>
      <w:r>
        <w:rPr>
          <w:noProof/>
        </w:rPr>
        <w:t xml:space="preserve">, ir svarīgi, lai </w:t>
      </w:r>
      <w:r>
        <w:rPr>
          <w:i/>
          <w:noProof/>
        </w:rPr>
        <w:t>eu-LISA</w:t>
      </w:r>
      <w:r>
        <w:rPr>
          <w:noProof/>
        </w:rPr>
        <w:t xml:space="preserve"> un dalībvalstis novērstu kavēšanos un nodrošinātu, ka IT sistēmas robežu un migrācijas pārvaldībai sāk pilnvērtīgi darboties līdz 2023. gada beigām. </w:t>
      </w:r>
      <w:bookmarkEnd w:id="12"/>
    </w:p>
    <w:p w14:paraId="508E6981" w14:textId="77777777" w:rsidR="00DC53E2" w:rsidRPr="00114E09" w:rsidRDefault="005758AA" w:rsidP="005758AA">
      <w:pPr>
        <w:spacing w:after="120" w:line="240" w:lineRule="auto"/>
        <w:jc w:val="both"/>
        <w:rPr>
          <w:rFonts w:ascii="Times New Roman" w:hAnsi="Times New Roman" w:cs="Times New Roman"/>
          <w:bCs/>
          <w:noProof/>
          <w:sz w:val="24"/>
          <w:szCs w:val="24"/>
        </w:rPr>
      </w:pPr>
      <w:r>
        <w:rPr>
          <w:rFonts w:ascii="Times New Roman" w:hAnsi="Times New Roman"/>
          <w:noProof/>
          <w:sz w:val="24"/>
        </w:rPr>
        <w:t xml:space="preserve">Ārējo robežu pārvaldību atvieglotu arī Komisijas priekšlikums par </w:t>
      </w:r>
      <w:r>
        <w:rPr>
          <w:rFonts w:ascii="Times New Roman" w:hAnsi="Times New Roman"/>
          <w:b/>
          <w:noProof/>
          <w:sz w:val="24"/>
        </w:rPr>
        <w:t>vīzas procedūru digitalizāciju</w:t>
      </w:r>
      <w:r>
        <w:rPr>
          <w:rStyle w:val="FootnoteReference"/>
          <w:rFonts w:ascii="Times New Roman" w:hAnsi="Times New Roman" w:cs="Times New Roman"/>
          <w:noProof/>
          <w:sz w:val="24"/>
          <w:szCs w:val="24"/>
          <w:lang w:eastAsia="fr-BE"/>
        </w:rPr>
        <w:footnoteReference w:id="65"/>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Tā galvenais mērķis ir modernizēt vīzu pieteikumu iesniegšanu un apstrādi, lai to padarītu efektīvāku un saskaņotāku starp dalībvalstīm, tādējādi stiprinot gan drošību, gan ES kā ceļojumu galamērķa pievilcību. </w:t>
      </w:r>
    </w:p>
    <w:p w14:paraId="0FDEF0DC" w14:textId="77777777" w:rsidR="009E2BD9" w:rsidRPr="00444EDF" w:rsidRDefault="009E2BD9" w:rsidP="005758AA">
      <w:pPr>
        <w:pStyle w:val="NormalWeb"/>
        <w:spacing w:before="120" w:beforeAutospacing="0" w:after="120" w:afterAutospacing="0"/>
        <w:jc w:val="both"/>
        <w:rPr>
          <w:b/>
          <w:bCs/>
          <w:i/>
          <w:iCs/>
          <w:noProof/>
        </w:rPr>
      </w:pPr>
    </w:p>
    <w:p w14:paraId="5F470A1D" w14:textId="77777777" w:rsidR="009E2BD9" w:rsidRPr="00444EDF" w:rsidRDefault="009E2BD9" w:rsidP="005758AA">
      <w:pPr>
        <w:pStyle w:val="NormalWeb"/>
        <w:spacing w:before="120" w:beforeAutospacing="0" w:after="120" w:afterAutospacing="0"/>
        <w:jc w:val="both"/>
        <w:rPr>
          <w:b/>
          <w:bCs/>
          <w:i/>
          <w:iCs/>
          <w:noProof/>
        </w:rPr>
      </w:pPr>
    </w:p>
    <w:p w14:paraId="02726A43" w14:textId="76CADB2B" w:rsidR="005758AA" w:rsidRPr="00114E09" w:rsidRDefault="005758AA" w:rsidP="005758AA">
      <w:pPr>
        <w:pStyle w:val="NormalWeb"/>
        <w:spacing w:before="120" w:beforeAutospacing="0" w:after="120" w:afterAutospacing="0"/>
        <w:jc w:val="both"/>
        <w:rPr>
          <w:b/>
          <w:bCs/>
          <w:i/>
          <w:iCs/>
          <w:noProof/>
        </w:rPr>
      </w:pPr>
      <w:r>
        <w:rPr>
          <w:b/>
          <w:i/>
          <w:noProof/>
        </w:rPr>
        <w:t xml:space="preserve">Pasākumi atgriešanu skaita palielināšanai </w:t>
      </w:r>
    </w:p>
    <w:p w14:paraId="7A632B22" w14:textId="77777777" w:rsidR="005758AA" w:rsidRPr="00114E09" w:rsidRDefault="005758AA" w:rsidP="005758AA">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Tiek veidota </w:t>
      </w:r>
      <w:r>
        <w:rPr>
          <w:rFonts w:ascii="Times New Roman" w:hAnsi="Times New Roman"/>
          <w:b/>
          <w:noProof/>
          <w:sz w:val="24"/>
        </w:rPr>
        <w:t>kopējā ES atgriešanas sistēma</w:t>
      </w:r>
      <w:r>
        <w:rPr>
          <w:rFonts w:ascii="Times New Roman" w:hAnsi="Times New Roman"/>
          <w:noProof/>
          <w:sz w:val="24"/>
        </w:rPr>
        <w:t>, un ir sperti svarīgi soļi, lai izveidotu pamatu efektīvākai, ilgtspējīgākai un humānākai atgriešanai no ES. Strādājot pie migrācijas un patvēruma politikas strukturālās reformas, ir svarīgi arī nodrošināt, lai tiktu pilnībā ievēroti spēkā esošie ES tiesību akti. 2022. gada 29. septembrī Komisija pieņēma virkni pārkāpumu lietu saistībā ar dalībvalstu tiesību aktu un prakses neatbilstību ES tiesību standartiem un procedūrām atgriešanas jomā.</w:t>
      </w:r>
    </w:p>
    <w:p w14:paraId="497AAA4B" w14:textId="77777777" w:rsidR="005758AA" w:rsidRPr="00114E09" w:rsidRDefault="005758AA" w:rsidP="005758AA">
      <w:pPr>
        <w:spacing w:after="120" w:line="240" w:lineRule="auto"/>
        <w:jc w:val="both"/>
        <w:rPr>
          <w:rFonts w:ascii="Times New Roman" w:hAnsi="Times New Roman" w:cs="Times New Roman"/>
          <w:noProof/>
          <w:sz w:val="24"/>
          <w:szCs w:val="24"/>
        </w:rPr>
      </w:pPr>
      <w:r>
        <w:rPr>
          <w:rFonts w:ascii="Times New Roman" w:hAnsi="Times New Roman"/>
          <w:noProof/>
          <w:sz w:val="24"/>
        </w:rPr>
        <w:t>Īpaša uzmanība tika pievērsta no ES veikto atgriešanu skaita palielināšanai, jo īpaši līdz ar pandēmijas izraisīto ierobežojumu atcelšanu. Tādu personu atgriešana, kurām nav tiesību uzturēties ES, ir neatņemama taisnīgas un iedarbīgas migrācijas politikas sastāvdaļa. Pēc krituma 2020. gadā, kas bija saistīts ar Covid-19 pandēmiju, faktiskais atgriešanas gadījumu īpatsvars 2021. gadā pieauga līdz 21 %, tomēr saglabājās zemāks par 2019. gada līmeni (29 %). Absolūtā izteiksmē 2021. gadā pēc rīkojuma par valsts atstāšanu savā izcelsmes valstī atgriezās vairāk nekā 70 000 trešo valstu valstspiederīgo, kas ir aptuveni uz pusi mazāk nekā 2019. gadā. ES un dalībvalstīm ir jāturpina darbs gan pie tā, lai nodrošinātu, ka atgriešanas procedūras ES darbojas pareizi, gan pie sadarbības atpakaļuzņemšanas jomā ar partneriem visā pasaulē. Šāda sadarbība ir izrādījusies rezultatīva — ir palielinājies atgriešanās īpatsvars uz tādām valstīm kā Bangladeša un Pakistāna, un ir ticis sniegts atbalsts tām dalībvalstīm, kuras visvairāk tieši ietekmē neatbilstīgās migrācijas plūsmas, piemēram, Grieķijai, Maltai un Kiprai.</w:t>
      </w:r>
    </w:p>
    <w:p w14:paraId="01E3E23B" w14:textId="013882ED" w:rsidR="005758AA" w:rsidRPr="00114E09" w:rsidRDefault="005758AA" w:rsidP="005758AA">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Paktā paziņotais </w:t>
      </w:r>
      <w:r>
        <w:rPr>
          <w:rFonts w:ascii="Times New Roman" w:hAnsi="Times New Roman"/>
          <w:b/>
          <w:noProof/>
          <w:sz w:val="24"/>
        </w:rPr>
        <w:t>atgriešanas koordinators</w:t>
      </w:r>
      <w:r>
        <w:rPr>
          <w:rFonts w:ascii="Times New Roman" w:hAnsi="Times New Roman"/>
          <w:noProof/>
          <w:sz w:val="24"/>
        </w:rPr>
        <w:t xml:space="preserve"> kopš jūnija vada </w:t>
      </w:r>
      <w:r>
        <w:rPr>
          <w:rFonts w:ascii="Times New Roman" w:hAnsi="Times New Roman"/>
          <w:b/>
          <w:noProof/>
          <w:sz w:val="24"/>
        </w:rPr>
        <w:t>augsta līmeņa tīklu</w:t>
      </w:r>
      <w:r>
        <w:rPr>
          <w:rFonts w:ascii="Times New Roman" w:hAnsi="Times New Roman"/>
          <w:noProof/>
          <w:sz w:val="24"/>
        </w:rPr>
        <w:t xml:space="preserve">, kurā iesaistīti dalībvalstu pārstāvji un </w:t>
      </w:r>
      <w:r>
        <w:rPr>
          <w:rFonts w:ascii="Times New Roman" w:hAnsi="Times New Roman"/>
          <w:i/>
          <w:noProof/>
          <w:sz w:val="24"/>
        </w:rPr>
        <w:t>Frontex</w:t>
      </w:r>
      <w:r>
        <w:rPr>
          <w:rFonts w:ascii="Times New Roman" w:hAnsi="Times New Roman"/>
          <w:noProof/>
          <w:sz w:val="24"/>
        </w:rPr>
        <w:t xml:space="preserve">. Tīkla pirmā sanāksme notika 2022. gada 8. septembrī. Lai vadītu kopīgo darbu, koordinators un tīkls noteiks un īstenos kopīgu un saskaņotu pieeju un darbības stratēģiju atgriešanas jomā, kas pašlaik tiek gatavota. Šajā darbības stratēģijā tiks noteiktas praktiskas prioritārās darbības, lai novērstu trūkumus un palielinātu savstarpējo saskaņotību. Rezultātā tiks turpināta valstu politikas un tiesiskā regulējuma pilnveidošana, tai skaitā labāka saikne starp patvēruma un atgriešanas procedūrām praksē, novēršot šķēršļus, kas kavē atgriešanu, stiprinot valstu spējas, novēršot zināšanu trūkumus un uzlabojot sadarbību dalībvalstu starpā un ar </w:t>
      </w:r>
      <w:r>
        <w:rPr>
          <w:rFonts w:ascii="Times New Roman" w:hAnsi="Times New Roman"/>
          <w:i/>
          <w:noProof/>
          <w:sz w:val="24"/>
        </w:rPr>
        <w:t>Frontex</w:t>
      </w:r>
      <w:r>
        <w:rPr>
          <w:rFonts w:ascii="Times New Roman" w:hAnsi="Times New Roman"/>
          <w:noProof/>
          <w:sz w:val="24"/>
        </w:rPr>
        <w:t xml:space="preserve">. </w:t>
      </w:r>
    </w:p>
    <w:p w14:paraId="1E6AA2E3" w14:textId="18036926" w:rsidR="005758AA" w:rsidRPr="00114E09" w:rsidRDefault="005758AA" w:rsidP="005758AA">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Šo stratēģisko pieeju papildina praktiska rīcība. Pirmkārt, </w:t>
      </w:r>
      <w:r>
        <w:rPr>
          <w:rFonts w:ascii="Times New Roman" w:hAnsi="Times New Roman"/>
          <w:b/>
          <w:i/>
          <w:noProof/>
          <w:sz w:val="24"/>
        </w:rPr>
        <w:t>Frontex</w:t>
      </w:r>
      <w:r>
        <w:rPr>
          <w:rFonts w:ascii="Times New Roman" w:hAnsi="Times New Roman"/>
          <w:noProof/>
          <w:sz w:val="24"/>
        </w:rPr>
        <w:t xml:space="preserve"> ir kļuvusi par būtisku dalībnieci atgriešanas jomā — ir ievērojami palielināts atbalsts, ko tā sniedz dalībvalstīm visos procesa posmos, jo īpaši brīvprātīgas atgriešanās un reintegrācijas jomā. </w:t>
      </w:r>
      <w:bookmarkStart w:id="13" w:name="_Hlk115018524"/>
      <w:r>
        <w:rPr>
          <w:rFonts w:ascii="Times New Roman" w:hAnsi="Times New Roman"/>
          <w:noProof/>
          <w:sz w:val="24"/>
        </w:rPr>
        <w:t xml:space="preserve">Līdz šim 2022. gadā </w:t>
      </w:r>
      <w:r>
        <w:rPr>
          <w:rFonts w:ascii="Times New Roman" w:hAnsi="Times New Roman"/>
          <w:i/>
          <w:noProof/>
          <w:sz w:val="24"/>
        </w:rPr>
        <w:t>Frontex</w:t>
      </w:r>
      <w:r>
        <w:rPr>
          <w:rFonts w:ascii="Times New Roman" w:hAnsi="Times New Roman"/>
          <w:noProof/>
          <w:sz w:val="24"/>
        </w:rPr>
        <w:t xml:space="preserve"> bija koordinējusi 210 </w:t>
      </w:r>
      <w:r>
        <w:rPr>
          <w:rFonts w:ascii="Times New Roman" w:hAnsi="Times New Roman"/>
          <w:b/>
          <w:noProof/>
          <w:sz w:val="24"/>
        </w:rPr>
        <w:t>atgriešanas operācijas</w:t>
      </w:r>
      <w:r>
        <w:rPr>
          <w:rFonts w:ascii="Times New Roman" w:hAnsi="Times New Roman"/>
          <w:noProof/>
          <w:sz w:val="24"/>
        </w:rPr>
        <w:t xml:space="preserve"> saistībā ar 7210 trešo valstu valstspiederīgajiem, izmantojot aģentūras organizētas čarterlidmašīnas, un 10 115 trešo valstu valstspiederīgajiem — izmantojot komerclidojumus. 2022. gadā tika īstenotas pirmās divas </w:t>
      </w:r>
      <w:r>
        <w:rPr>
          <w:rFonts w:ascii="Times New Roman" w:hAnsi="Times New Roman"/>
          <w:i/>
          <w:iCs/>
          <w:noProof/>
          <w:sz w:val="24"/>
        </w:rPr>
        <w:t>Frontex</w:t>
      </w:r>
      <w:r>
        <w:rPr>
          <w:rFonts w:ascii="Times New Roman" w:hAnsi="Times New Roman"/>
          <w:noProof/>
          <w:sz w:val="24"/>
        </w:rPr>
        <w:t xml:space="preserve"> vadītās operācijas, kuru laikā 40 neatbilstīgie migranti tika nosūtīti atpakaļ uz </w:t>
      </w:r>
      <w:r>
        <w:rPr>
          <w:rFonts w:ascii="Times New Roman" w:hAnsi="Times New Roman"/>
          <w:noProof/>
          <w:sz w:val="24"/>
        </w:rPr>
        <w:lastRenderedPageBreak/>
        <w:t>Albāniju un 40 — uz Nigēriju</w:t>
      </w:r>
      <w:bookmarkEnd w:id="13"/>
      <w:r>
        <w:rPr>
          <w:rFonts w:ascii="Times New Roman" w:hAnsi="Times New Roman"/>
          <w:noProof/>
          <w:sz w:val="24"/>
        </w:rPr>
        <w:t xml:space="preserve">. Kopš 2022. gada aprīļa </w:t>
      </w:r>
      <w:r>
        <w:rPr>
          <w:rFonts w:ascii="Times New Roman" w:hAnsi="Times New Roman"/>
          <w:i/>
          <w:noProof/>
          <w:sz w:val="24"/>
        </w:rPr>
        <w:t>Frontex</w:t>
      </w:r>
      <w:r>
        <w:rPr>
          <w:rFonts w:ascii="Times New Roman" w:hAnsi="Times New Roman"/>
          <w:noProof/>
          <w:sz w:val="24"/>
        </w:rPr>
        <w:t xml:space="preserve"> piedāvā arī reintegrācijas atbalstu 24 izcelsmes valstīs. Tā kā uz šo aģentūru tiek liktas lielas cerības un ņemot vērā tās arvien lielāko nozīmi dalībvalstu atbalstīšanā, ir jānosaka skaidras prioritātes un stratēģiski jāpiešķir resursi.</w:t>
      </w:r>
    </w:p>
    <w:p w14:paraId="7BF7B3CF" w14:textId="77777777" w:rsidR="005758AA" w:rsidRPr="00114E09" w:rsidRDefault="00032A47" w:rsidP="005758AA">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Ir veikti turpmāki pasākumi saistībā ar 2021. gada aprīlī pieņemto </w:t>
      </w:r>
      <w:r>
        <w:rPr>
          <w:rFonts w:ascii="Times New Roman" w:hAnsi="Times New Roman"/>
          <w:b/>
          <w:noProof/>
          <w:sz w:val="24"/>
        </w:rPr>
        <w:t>ES stratēģiju par brīvprātīgu atgriešanos un reintegrāciju</w:t>
      </w:r>
      <w:r>
        <w:rPr>
          <w:rStyle w:val="FootnoteReference"/>
          <w:rFonts w:ascii="Times New Roman" w:hAnsi="Times New Roman" w:cs="Times New Roman"/>
          <w:noProof/>
          <w:sz w:val="24"/>
          <w:szCs w:val="24"/>
        </w:rPr>
        <w:footnoteReference w:id="66"/>
      </w:r>
      <w:r>
        <w:rPr>
          <w:rFonts w:ascii="Times New Roman" w:hAnsi="Times New Roman"/>
          <w:noProof/>
          <w:sz w:val="24"/>
        </w:rPr>
        <w:t xml:space="preserve">. Pašlaik lielā mērā ir izveidota sistēma, struktūras un instrumenti, lai nodrošinātu, ka brīvprātīga atgriešanās un reintegrācija tiek iekļauta kopējā ES atgriešanās sistēmā. Pirmās pazīmes, kas izriet no skaitļiem, kas paziņoti attiecībā uz 2021. gadu, liecina, ka brīvprātīgas atgriešanās gadījumu skaits pieaug. Turklāt 2021. gadā pirmo reizi vairāk nekā puse migrantu, kas atgriezās ar </w:t>
      </w:r>
      <w:r>
        <w:rPr>
          <w:rFonts w:ascii="Times New Roman" w:hAnsi="Times New Roman"/>
          <w:i/>
          <w:noProof/>
          <w:sz w:val="24"/>
        </w:rPr>
        <w:t>Frontex</w:t>
      </w:r>
      <w:r>
        <w:rPr>
          <w:rFonts w:ascii="Times New Roman" w:hAnsi="Times New Roman"/>
          <w:noProof/>
          <w:sz w:val="24"/>
        </w:rPr>
        <w:t xml:space="preserve"> atbalstītajiem regulārajiem reisiem, to darīja brīvprātīgi (2021. gadā — 57 %, līdz šim 2022. gadā — 58 %, kas ir pieaugums, salīdzinot ar 38,5 % 2020. gadā). Pašlaik ir ieviesti tādi galvenie instrumenti kā </w:t>
      </w:r>
      <w:r>
        <w:rPr>
          <w:rFonts w:ascii="Times New Roman" w:hAnsi="Times New Roman"/>
          <w:i/>
          <w:noProof/>
          <w:sz w:val="24"/>
        </w:rPr>
        <w:t>Frontex</w:t>
      </w:r>
      <w:r>
        <w:rPr>
          <w:rFonts w:ascii="Times New Roman" w:hAnsi="Times New Roman"/>
          <w:noProof/>
          <w:sz w:val="24"/>
        </w:rPr>
        <w:t xml:space="preserve"> kopīgie reintegrācijas dienesti, kopīga sistēma reintegrācijas pakalpojumu sniedzējiem un atgriešanās konsultantu apmācība, lai uzlabotu neatbilstīgajiem migrantiem, kuri vēlas atgriezties, sniegtā atbalsta kvalitāti. Lai pilnvērtīgi izmantotu šos jaunos instrumentus un lai nodrošinātu, ka brīvprātīga atgriešanās un reintegrācija kļūst par dalībvalstu atgriešanas sistēmu pamatelementu, ir jāturpina darbs šajā virzienā, to pilnībā saskaņojot ar Eiropas Ārējās darbības dienestu un ES delegācijām trešās valstīs. </w:t>
      </w:r>
    </w:p>
    <w:p w14:paraId="68B9F8C5" w14:textId="3329AD75" w:rsidR="005758AA" w:rsidRPr="00114E09" w:rsidRDefault="005758AA" w:rsidP="005758AA">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Visbeidzot, atgriešanās un </w:t>
      </w:r>
      <w:r>
        <w:rPr>
          <w:rFonts w:ascii="Times New Roman" w:hAnsi="Times New Roman"/>
          <w:b/>
          <w:noProof/>
          <w:sz w:val="24"/>
        </w:rPr>
        <w:t>atpakaļuzņemšana</w:t>
      </w:r>
      <w:r>
        <w:rPr>
          <w:rFonts w:ascii="Times New Roman" w:hAnsi="Times New Roman"/>
          <w:noProof/>
          <w:sz w:val="24"/>
        </w:rPr>
        <w:t xml:space="preserve"> tagad ir stingri nostiprināta paktā izklāstītajā jaunajā visaptverošajā pieejā partnerattiecību padziļināšanai ar trešām valstīm migrācijas jomā. Tālāk 7. iedaļā ir izklāstīts, kā migrācijas jautājums tiek iekļauts modernizētās, visaptverošās partnerībās visā pasaulē. Atpakaļuzņemšana tiek uzskatīta par būtisku attiecību sastāvdaļu, lai varētu panākt progresu dažādos savstarpēji interesējošos jautājumos. </w:t>
      </w:r>
    </w:p>
    <w:p w14:paraId="41897F0C" w14:textId="77777777" w:rsidR="005758AA" w:rsidRPr="00114E09" w:rsidRDefault="005758AA" w:rsidP="005758AA">
      <w:pPr>
        <w:spacing w:after="120" w:line="240" w:lineRule="auto"/>
        <w:jc w:val="both"/>
        <w:rPr>
          <w:rFonts w:ascii="Times New Roman" w:hAnsi="Times New Roman" w:cs="Times New Roman"/>
          <w:noProof/>
          <w:sz w:val="24"/>
          <w:szCs w:val="24"/>
        </w:rPr>
      </w:pPr>
      <w:r>
        <w:rPr>
          <w:rFonts w:ascii="Times New Roman" w:hAnsi="Times New Roman"/>
          <w:noProof/>
          <w:sz w:val="24"/>
        </w:rPr>
        <w:t>Komisija ir pievērsusi lielāku politisko uzmanību atpakaļuzņemšanai ārējās attiecībās, atsākot diskusijas augsta līmeņa divpusējos kontaktos un misijās un saskaņojot attiecīgos vēstījumus ar dalībvalstīm. Tā izmanto visus tās rīcībā esošos instrumentus, lai uzsvērtu atgriešanās kā migrācijas politikas neatņemamas daļas nozīmi. Komisija un dalībvalstis ir izvērtējušas esošos sarunu mandātus par ES atpakaļuzņemšanas nolīgumiem un apspriedušas pragmatisku, individuāli pielāgotu un elastīgu pieeju, lai panāktu konkrētu progresu pašreizējās sarunās. Komisija aktīvi īsteno šo pieeju, un Eiropas Ārējās darbības dienests un ES delegācijas saziņā ar galvenajām partnervalstīm migrācijas jautājumos aktualizē atpakaļuzņemšanas jautājumu.</w:t>
      </w:r>
      <w:r>
        <w:rPr>
          <w:rFonts w:ascii="Times New Roman" w:hAnsi="Times New Roman"/>
          <w:noProof/>
          <w:color w:val="FF0000"/>
          <w:sz w:val="24"/>
          <w:highlight w:val="yellow"/>
        </w:rPr>
        <w:t xml:space="preserve"> </w:t>
      </w:r>
    </w:p>
    <w:p w14:paraId="52DBD543" w14:textId="77A7ABEC" w:rsidR="00DC53E2" w:rsidRDefault="00394336" w:rsidP="005758AA">
      <w:pPr>
        <w:spacing w:after="120" w:line="240" w:lineRule="auto"/>
        <w:jc w:val="both"/>
        <w:rPr>
          <w:rFonts w:ascii="Times New Roman" w:hAnsi="Times New Roman" w:cs="Times New Roman"/>
          <w:noProof/>
          <w:sz w:val="24"/>
          <w:szCs w:val="24"/>
        </w:rPr>
      </w:pPr>
      <w:r>
        <w:rPr>
          <w:rFonts w:ascii="Times New Roman" w:hAnsi="Times New Roman"/>
          <w:noProof/>
          <w:sz w:val="24"/>
        </w:rPr>
        <w:t>Ar Vīzu kodeksa</w:t>
      </w:r>
      <w:r>
        <w:rPr>
          <w:rStyle w:val="FootnoteReference"/>
          <w:rFonts w:ascii="Times New Roman" w:hAnsi="Times New Roman" w:cs="Times New Roman"/>
          <w:bCs/>
          <w:noProof/>
          <w:sz w:val="24"/>
          <w:szCs w:val="24"/>
          <w:lang w:eastAsia="en-GB"/>
        </w:rPr>
        <w:footnoteReference w:id="67"/>
      </w:r>
      <w:r>
        <w:rPr>
          <w:rFonts w:ascii="Times New Roman" w:hAnsi="Times New Roman"/>
          <w:noProof/>
          <w:sz w:val="24"/>
        </w:rPr>
        <w:t xml:space="preserve"> 25.a pantu izveidotā mehānisma īstenošana nodrošina strukturētu pieeju sadarbības uzlabošanai atpakaļuzņemšanas jomā ar trešām valstīm, izveidojot sistēmu, lai to aplūkotu vispārējā attiecību stāvokļa kontekstā, un sasaistot sadarbību atpakaļuzņemšanas jomā ar ES vīzu politiku (skatīt tālāk 7. iedaļu).</w:t>
      </w:r>
    </w:p>
    <w:p w14:paraId="4D7D394F" w14:textId="3174E9A9" w:rsidR="00554ABB" w:rsidRPr="00114E09" w:rsidRDefault="00554ABB" w:rsidP="005758AA">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Ņemot vērā starptautisko situāciju, arī ES bija jārīkojas, lai atceltu iepriekšējus vīzu atvieglotas izsniegšanas režīmus. Padome 2021. gada 9. novembrī pieņēma Komisijas priekšlikumu par </w:t>
      </w:r>
      <w:r>
        <w:rPr>
          <w:rFonts w:ascii="Times New Roman" w:hAnsi="Times New Roman"/>
          <w:b/>
          <w:noProof/>
          <w:sz w:val="24"/>
        </w:rPr>
        <w:t>ES un Baltkrievijas</w:t>
      </w:r>
      <w:r>
        <w:rPr>
          <w:rFonts w:ascii="Times New Roman" w:hAnsi="Times New Roman"/>
          <w:noProof/>
          <w:sz w:val="24"/>
        </w:rPr>
        <w:t xml:space="preserve"> vīzu atvieglotas izsniegšanas režīma daļēju apturēšanu</w:t>
      </w:r>
      <w:r>
        <w:rPr>
          <w:rStyle w:val="FootnoteReference"/>
          <w:rFonts w:ascii="Times New Roman" w:hAnsi="Times New Roman" w:cs="Times New Roman"/>
          <w:bCs/>
          <w:noProof/>
          <w:sz w:val="24"/>
          <w:szCs w:val="20"/>
        </w:rPr>
        <w:footnoteReference w:id="68"/>
      </w:r>
      <w:r>
        <w:rPr>
          <w:rFonts w:ascii="Times New Roman" w:hAnsi="Times New Roman"/>
          <w:noProof/>
          <w:sz w:val="24"/>
        </w:rPr>
        <w:t xml:space="preserve">. 2022. gada 25. februārī tika nolemts daļēji apturēt </w:t>
      </w:r>
      <w:r>
        <w:rPr>
          <w:rFonts w:ascii="Times New Roman" w:hAnsi="Times New Roman"/>
          <w:b/>
          <w:noProof/>
          <w:sz w:val="24"/>
        </w:rPr>
        <w:t>ES un Krievijas</w:t>
      </w:r>
      <w:r>
        <w:rPr>
          <w:rFonts w:ascii="Times New Roman" w:hAnsi="Times New Roman"/>
          <w:noProof/>
          <w:sz w:val="24"/>
        </w:rPr>
        <w:t xml:space="preserve"> vīzu atvieglotas izsniegšanas nolīgumu</w:t>
      </w:r>
      <w:r>
        <w:rPr>
          <w:rStyle w:val="FootnoteReference"/>
          <w:rFonts w:ascii="Times New Roman" w:hAnsi="Times New Roman" w:cs="Times New Roman"/>
          <w:bCs/>
          <w:noProof/>
          <w:sz w:val="24"/>
          <w:szCs w:val="20"/>
        </w:rPr>
        <w:footnoteReference w:id="69"/>
      </w:r>
      <w:r>
        <w:rPr>
          <w:rFonts w:ascii="Times New Roman" w:hAnsi="Times New Roman"/>
          <w:noProof/>
          <w:sz w:val="24"/>
        </w:rPr>
        <w:t xml:space="preserve">, kas attiecas uz Krievijas diplomātisko pasu turētājiem, Krievijas valdības amatpersonām un uzņēmējiem. 2022. gada 9. septembrī tika apturēta vīzu </w:t>
      </w:r>
      <w:r>
        <w:rPr>
          <w:rFonts w:ascii="Times New Roman" w:hAnsi="Times New Roman"/>
          <w:noProof/>
          <w:sz w:val="24"/>
        </w:rPr>
        <w:lastRenderedPageBreak/>
        <w:t>atvieglotas izsniegšanas nolīguma ar Krieviju darbība</w:t>
      </w:r>
      <w:r>
        <w:rPr>
          <w:rStyle w:val="FootnoteReference"/>
          <w:rFonts w:ascii="Times New Roman" w:hAnsi="Times New Roman" w:cs="Times New Roman"/>
          <w:bCs/>
          <w:noProof/>
          <w:sz w:val="24"/>
          <w:szCs w:val="24"/>
        </w:rPr>
        <w:footnoteReference w:id="70"/>
      </w:r>
      <w:r>
        <w:rPr>
          <w:rFonts w:ascii="Times New Roman" w:hAnsi="Times New Roman"/>
          <w:noProof/>
          <w:sz w:val="24"/>
        </w:rPr>
        <w:t>, un Komisija izdeva pamatnostādnes</w:t>
      </w:r>
      <w:r>
        <w:rPr>
          <w:rStyle w:val="FootnoteReference"/>
          <w:rFonts w:ascii="Times New Roman" w:hAnsi="Times New Roman" w:cs="Times New Roman"/>
          <w:bCs/>
          <w:noProof/>
          <w:sz w:val="24"/>
          <w:szCs w:val="24"/>
        </w:rPr>
        <w:footnoteReference w:id="71"/>
      </w:r>
      <w:r>
        <w:rPr>
          <w:rFonts w:ascii="Times New Roman" w:hAnsi="Times New Roman"/>
          <w:noProof/>
          <w:sz w:val="24"/>
        </w:rPr>
        <w:t xml:space="preserve"> par vīzu piešķiršanu un esošo vīzu apstrādi. Komisija ir izdevusi pamatnostādnes</w:t>
      </w:r>
      <w:r>
        <w:rPr>
          <w:rStyle w:val="FootnoteReference"/>
          <w:rFonts w:ascii="Times New Roman" w:hAnsi="Times New Roman" w:cs="Times New Roman"/>
          <w:noProof/>
          <w:sz w:val="24"/>
          <w:szCs w:val="24"/>
          <w:lang w:eastAsia="en-GB"/>
        </w:rPr>
        <w:footnoteReference w:id="72"/>
      </w:r>
      <w:r>
        <w:rPr>
          <w:rFonts w:ascii="Times New Roman" w:hAnsi="Times New Roman"/>
          <w:noProof/>
          <w:sz w:val="24"/>
        </w:rPr>
        <w:t xml:space="preserve"> par Krievijas pilsoņu ieceļošanu saistībā ar kara eskalāciju.</w:t>
      </w:r>
    </w:p>
    <w:p w14:paraId="1E45C551" w14:textId="5ABFEA22" w:rsidR="00DC53E2" w:rsidRPr="00114E09" w:rsidRDefault="00DC53E2" w:rsidP="005758AA">
      <w:pPr>
        <w:pStyle w:val="Briefingheading1"/>
        <w:numPr>
          <w:ilvl w:val="0"/>
          <w:numId w:val="9"/>
        </w:numPr>
        <w:spacing w:before="360" w:after="200"/>
        <w:rPr>
          <w:rFonts w:ascii="Times New Roman" w:hAnsi="Times New Roman"/>
          <w:noProof/>
          <w:u w:val="none"/>
        </w:rPr>
      </w:pPr>
      <w:r>
        <w:rPr>
          <w:rFonts w:ascii="Times New Roman" w:hAnsi="Times New Roman"/>
          <w:noProof/>
          <w:u w:val="none"/>
        </w:rPr>
        <w:t xml:space="preserve">VIRZĪBA UZ PRIEKŠU SAISTĪBĀ AR MIGRĀCIJAS UN PATVĒRUMA PAKTU </w:t>
      </w:r>
    </w:p>
    <w:p w14:paraId="75AF723D" w14:textId="0F8601C2" w:rsidR="00DC53E2" w:rsidRPr="00114E09" w:rsidRDefault="00DC53E2" w:rsidP="005758AA">
      <w:pPr>
        <w:spacing w:after="120" w:line="240" w:lineRule="auto"/>
        <w:jc w:val="both"/>
        <w:rPr>
          <w:rFonts w:ascii="Times New Roman" w:hAnsi="Times New Roman" w:cs="Times New Roman"/>
          <w:noProof/>
          <w:sz w:val="24"/>
          <w:szCs w:val="24"/>
        </w:rPr>
      </w:pPr>
      <w:r>
        <w:rPr>
          <w:rFonts w:ascii="Times New Roman" w:hAnsi="Times New Roman"/>
          <w:noProof/>
          <w:sz w:val="24"/>
        </w:rPr>
        <w:t>Nesenie ar migrāciju saistītie notikumi, kā arī pastāvīgais spiediens, ko rada neatbilstīgā migrācija vairākos maršrutos, liecina, ka ir nepieciešama ilgtspējīga un taisnīga ES migrācijas sistēma. Tādēļ Migrācijas un patvēruma pakts ir vēl jo aktuālāks.</w:t>
      </w:r>
    </w:p>
    <w:p w14:paraId="66BE88BE" w14:textId="22FE1611" w:rsidR="00DC53E2" w:rsidRPr="00114E09" w:rsidRDefault="00DC53E2" w:rsidP="005758AA">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2022. gada 7. septembrī panāktā politiskā vienošanās par </w:t>
      </w:r>
      <w:r>
        <w:rPr>
          <w:rFonts w:ascii="Times New Roman" w:hAnsi="Times New Roman"/>
          <w:b/>
          <w:noProof/>
          <w:sz w:val="24"/>
        </w:rPr>
        <w:t>kopīgu ceļvedi starp Eiropas Parlamentu un ES Padomes rotējošajām prezidentvalstīm</w:t>
      </w:r>
      <w:r>
        <w:rPr>
          <w:rStyle w:val="FootnoteReference"/>
          <w:rFonts w:ascii="Times New Roman" w:hAnsi="Times New Roman" w:cs="Times New Roman"/>
          <w:noProof/>
          <w:sz w:val="24"/>
          <w:szCs w:val="24"/>
          <w:lang w:eastAsia="en-GB"/>
        </w:rPr>
        <w:footnoteReference w:id="73"/>
      </w:r>
      <w:r>
        <w:rPr>
          <w:rFonts w:ascii="Times New Roman" w:hAnsi="Times New Roman"/>
          <w:noProof/>
          <w:sz w:val="24"/>
        </w:rPr>
        <w:t xml:space="preserve"> veido pamatu aktīvākam dialogam par šo paktu un dod stimulu līdz 2024. gada februārim pabeigt sarunas par visām nepabeigtajām likumdošanas lietām, kas saistītas ar patvēruma un migrācijas pārvaldību. Sarunās no 2022. gada rudens būtu jānodrošina līdzvērtīgs un līdzsvarots progress, un šajā ziņā būtiska nozīme būs turpmākajam darbam, kurā būs iesaistīti Eiropas Parlamenta kontaktgrupas patvēruma jautājumos locekļi un Padomes rotējošās prezidentvalstis.   </w:t>
      </w:r>
    </w:p>
    <w:p w14:paraId="3690C128" w14:textId="2FE8FD42" w:rsidR="00DC53E2" w:rsidRPr="00114E09" w:rsidRDefault="00DC53E2" w:rsidP="005758AA">
      <w:pPr>
        <w:spacing w:after="120" w:line="240" w:lineRule="auto"/>
        <w:jc w:val="both"/>
        <w:rPr>
          <w:rFonts w:ascii="Times New Roman" w:hAnsi="Times New Roman" w:cs="Times New Roman"/>
          <w:b/>
          <w:iCs/>
          <w:noProof/>
          <w:color w:val="FF0000"/>
          <w:sz w:val="24"/>
          <w:szCs w:val="24"/>
        </w:rPr>
      </w:pPr>
      <w:r>
        <w:rPr>
          <w:rFonts w:ascii="Times New Roman" w:hAnsi="Times New Roman"/>
          <w:noProof/>
          <w:sz w:val="24"/>
        </w:rPr>
        <w:t xml:space="preserve">No Padomes puses prezidentvalsts Francijas pakāpeniskā pieeja, kas paredz dalībvalstu līdzvērtīgu apņemšanos gan solidaritātes, gan atbildības jomā, ir ļāvusi panākt ievērojamu progresu ceļā uz pilnīga tiesiskā regulējuma pieņemšanu. Padome pieņēma sarunu mandātus par tiesību aktu priekšlikumiem saistībā ar </w:t>
      </w:r>
      <w:r>
        <w:rPr>
          <w:rFonts w:ascii="Times New Roman" w:hAnsi="Times New Roman"/>
          <w:b/>
          <w:noProof/>
          <w:sz w:val="24"/>
        </w:rPr>
        <w:t>skrīningu</w:t>
      </w:r>
      <w:r>
        <w:rPr>
          <w:rFonts w:ascii="Times New Roman" w:hAnsi="Times New Roman"/>
          <w:noProof/>
          <w:sz w:val="24"/>
        </w:rPr>
        <w:t xml:space="preserve"> un </w:t>
      </w:r>
      <w:r>
        <w:rPr>
          <w:rFonts w:ascii="Times New Roman" w:hAnsi="Times New Roman"/>
          <w:b/>
          <w:i/>
          <w:noProof/>
          <w:sz w:val="24"/>
        </w:rPr>
        <w:t>Eurodac</w:t>
      </w:r>
      <w:r>
        <w:rPr>
          <w:rStyle w:val="FootnoteReference"/>
          <w:rFonts w:ascii="Times New Roman" w:hAnsi="Times New Roman" w:cs="Times New Roman"/>
          <w:bCs/>
          <w:iCs/>
          <w:noProof/>
          <w:sz w:val="24"/>
          <w:szCs w:val="24"/>
          <w:lang w:eastAsia="en-GB"/>
        </w:rPr>
        <w:footnoteReference w:id="74"/>
      </w:r>
      <w:r>
        <w:rPr>
          <w:rFonts w:ascii="Times New Roman" w:hAnsi="Times New Roman"/>
          <w:noProof/>
          <w:sz w:val="24"/>
        </w:rPr>
        <w:t xml:space="preserve">. Šo tiesību aktu izstrādes turpmāka virzība ir būtiska, lai stiprinātu ES ārējo robežu aizsardzību un mazinātu spiedienu uz Šengenas zonu. Jaunā </w:t>
      </w:r>
      <w:r>
        <w:rPr>
          <w:rFonts w:ascii="Times New Roman" w:hAnsi="Times New Roman"/>
          <w:i/>
          <w:noProof/>
          <w:sz w:val="24"/>
        </w:rPr>
        <w:t>Eurodac</w:t>
      </w:r>
      <w:r>
        <w:rPr>
          <w:rFonts w:ascii="Times New Roman" w:hAnsi="Times New Roman"/>
          <w:noProof/>
          <w:sz w:val="24"/>
        </w:rPr>
        <w:t xml:space="preserve"> palīdzēs izsekot neatbilstīgu sekundāro kustību un neatbilstīgu migrāciju, uzlabos atgriešanās izredzes, reģistrēs ieceļošanas gadījumus pēc meklēšanas un glābšanas operācijām, kā arī papildinās sadarbspējas sistēmu. Tiesību akta priekšlikums par skrīningu nodrošinās ātru pareizās procedūras — patvēruma vai atgriešanas — noteikšanu uz robežas vai iekšzemē. Komisija atzinīgi vērtē prezidentvalsts Čehijas darbu solidaritātes jomā un pie Patvēruma procedūru regulas. Dalībvalstis tiek mudinātas panākt vienošanos par </w:t>
      </w:r>
      <w:r>
        <w:rPr>
          <w:rFonts w:ascii="Times New Roman" w:hAnsi="Times New Roman"/>
          <w:b/>
          <w:noProof/>
          <w:sz w:val="24"/>
        </w:rPr>
        <w:t>Patvēruma un migrācijas pārvaldības regulu</w:t>
      </w:r>
      <w:r>
        <w:rPr>
          <w:rFonts w:ascii="Times New Roman" w:hAnsi="Times New Roman"/>
          <w:noProof/>
          <w:sz w:val="24"/>
        </w:rPr>
        <w:t xml:space="preserve"> un </w:t>
      </w:r>
      <w:r>
        <w:rPr>
          <w:rFonts w:ascii="Times New Roman" w:hAnsi="Times New Roman"/>
          <w:b/>
          <w:noProof/>
          <w:sz w:val="24"/>
        </w:rPr>
        <w:t>Patvēruma procedūru regulu</w:t>
      </w:r>
      <w:r>
        <w:rPr>
          <w:rFonts w:ascii="Times New Roman" w:hAnsi="Times New Roman"/>
          <w:noProof/>
          <w:sz w:val="24"/>
        </w:rPr>
        <w:t>, kā arī par priekšlikumiem, kas attiecas uz dažādām krīzes situācijām migrācijas jomā</w:t>
      </w:r>
      <w:r>
        <w:rPr>
          <w:rStyle w:val="FootnoteReference"/>
          <w:rFonts w:ascii="Times New Roman" w:hAnsi="Times New Roman" w:cs="Times New Roman"/>
          <w:iCs/>
          <w:noProof/>
          <w:sz w:val="24"/>
          <w:szCs w:val="24"/>
          <w:lang w:eastAsia="en-GB"/>
        </w:rPr>
        <w:footnoteReference w:id="75"/>
      </w:r>
      <w:r>
        <w:rPr>
          <w:rFonts w:ascii="Times New Roman" w:hAnsi="Times New Roman"/>
          <w:noProof/>
          <w:sz w:val="24"/>
        </w:rPr>
        <w:t xml:space="preserve">. </w:t>
      </w:r>
    </w:p>
    <w:p w14:paraId="6A4EF717" w14:textId="364E506F" w:rsidR="00DC53E2" w:rsidRPr="00114E09" w:rsidRDefault="00DC53E2" w:rsidP="005758AA">
      <w:pPr>
        <w:spacing w:after="120" w:line="240" w:lineRule="auto"/>
        <w:jc w:val="both"/>
        <w:rPr>
          <w:rFonts w:ascii="Times New Roman" w:hAnsi="Times New Roman" w:cs="Times New Roman"/>
          <w:bCs/>
          <w:iCs/>
          <w:noProof/>
          <w:sz w:val="24"/>
          <w:szCs w:val="24"/>
        </w:rPr>
      </w:pPr>
      <w:r>
        <w:rPr>
          <w:rFonts w:ascii="Times New Roman" w:hAnsi="Times New Roman"/>
          <w:noProof/>
          <w:sz w:val="24"/>
        </w:rPr>
        <w:t xml:space="preserve">No Parlamenta puses referenti iepazīstināja ar ziņojumu projektiem par visiem tiesību aktu priekšlikumiem, kas pievienoti paktam 2020. gadā, kā arī par 2018. gadā ierosināto Atgriešanas direktīvas pārstrādāto redakciju. Eiropas Parlamenta kontaktgrupa patvēruma </w:t>
      </w:r>
      <w:r>
        <w:rPr>
          <w:rFonts w:ascii="Times New Roman" w:hAnsi="Times New Roman"/>
          <w:noProof/>
          <w:sz w:val="24"/>
        </w:rPr>
        <w:lastRenderedPageBreak/>
        <w:t xml:space="preserve">jautājumos palīdz darbā pie visu ziņojumu ātras pieņemšanas saskaņā ar kopīgajā ceļvedī pausto apņemšanos. Uzsākot sarunas par </w:t>
      </w:r>
      <w:r>
        <w:rPr>
          <w:rFonts w:ascii="Times New Roman" w:hAnsi="Times New Roman"/>
          <w:b/>
          <w:i/>
          <w:noProof/>
          <w:sz w:val="24"/>
        </w:rPr>
        <w:t>Eurodac</w:t>
      </w:r>
      <w:r>
        <w:rPr>
          <w:rFonts w:ascii="Times New Roman" w:hAnsi="Times New Roman"/>
          <w:b/>
          <w:noProof/>
          <w:sz w:val="24"/>
        </w:rPr>
        <w:t xml:space="preserve"> regulu</w:t>
      </w:r>
      <w:r>
        <w:rPr>
          <w:rFonts w:ascii="Times New Roman" w:hAnsi="Times New Roman"/>
          <w:noProof/>
          <w:sz w:val="24"/>
        </w:rPr>
        <w:t xml:space="preserve">, </w:t>
      </w:r>
      <w:r>
        <w:rPr>
          <w:rFonts w:ascii="Times New Roman" w:hAnsi="Times New Roman"/>
          <w:b/>
          <w:noProof/>
          <w:sz w:val="24"/>
        </w:rPr>
        <w:t>Patvēruma un migrācijas pārvaldības regulu</w:t>
      </w:r>
      <w:r>
        <w:rPr>
          <w:rFonts w:ascii="Times New Roman" w:hAnsi="Times New Roman"/>
          <w:noProof/>
          <w:sz w:val="24"/>
        </w:rPr>
        <w:t xml:space="preserve"> un </w:t>
      </w:r>
      <w:r>
        <w:rPr>
          <w:rFonts w:ascii="Times New Roman" w:hAnsi="Times New Roman"/>
          <w:b/>
          <w:noProof/>
          <w:sz w:val="24"/>
        </w:rPr>
        <w:t>Patvēruma procedūru regulu</w:t>
      </w:r>
      <w:r>
        <w:rPr>
          <w:rFonts w:ascii="Times New Roman" w:hAnsi="Times New Roman"/>
          <w:noProof/>
          <w:sz w:val="24"/>
        </w:rPr>
        <w:t xml:space="preserve"> un pabeidzot darbu pie 2016. gadā ierosinātajiem un jau pienācīgi izstrādātajiem aktiem, kas ir daļa no plašākas patvēruma reformas, tiktu radīti tūlītēji ieguvumi, jo tiktu uzlabota migrācijas pārvaldība un nodrošināta saskaņota ES reakcija uz jaunām problēmām. Jo īpaši, ir jāvirza uz priekšu 2018. gadā panāktā pagaidu vienošanās par </w:t>
      </w:r>
      <w:r>
        <w:rPr>
          <w:rFonts w:ascii="Times New Roman" w:hAnsi="Times New Roman"/>
          <w:b/>
          <w:noProof/>
          <w:sz w:val="24"/>
        </w:rPr>
        <w:t>Savienības pārmitināšanas sistēmas regulu</w:t>
      </w:r>
      <w:r>
        <w:rPr>
          <w:rStyle w:val="FootnoteReference"/>
          <w:rFonts w:ascii="Times New Roman" w:hAnsi="Times New Roman" w:cs="Times New Roman"/>
          <w:bCs/>
          <w:noProof/>
          <w:sz w:val="24"/>
          <w:szCs w:val="24"/>
          <w:lang w:eastAsia="en-GB"/>
        </w:rPr>
        <w:footnoteReference w:id="76"/>
      </w:r>
      <w:r>
        <w:rPr>
          <w:rFonts w:ascii="Times New Roman" w:hAnsi="Times New Roman"/>
          <w:noProof/>
          <w:sz w:val="24"/>
        </w:rPr>
        <w:t xml:space="preserve">, lai ES nodrošinātu stabilu un paredzamu sistēmu pārmitināšanas un humanitārās uzņemšanas politikai. Turklāt 2018. gada jūnijā starp Parlamentu un Padomi tika panākta pagaidu vienošanās par </w:t>
      </w:r>
      <w:r>
        <w:rPr>
          <w:rFonts w:ascii="Times New Roman" w:hAnsi="Times New Roman"/>
          <w:b/>
          <w:noProof/>
          <w:sz w:val="24"/>
        </w:rPr>
        <w:t>Uzņemšanas nosacījumu direktīvas</w:t>
      </w:r>
      <w:r>
        <w:rPr>
          <w:rStyle w:val="FootnoteReference"/>
          <w:rFonts w:ascii="Times New Roman" w:hAnsi="Times New Roman" w:cs="Times New Roman"/>
          <w:iCs/>
          <w:noProof/>
          <w:sz w:val="24"/>
          <w:szCs w:val="24"/>
          <w:lang w:eastAsia="en-GB"/>
        </w:rPr>
        <w:footnoteReference w:id="77"/>
      </w:r>
      <w:r>
        <w:rPr>
          <w:rFonts w:ascii="Times New Roman" w:hAnsi="Times New Roman"/>
          <w:noProof/>
          <w:sz w:val="24"/>
        </w:rPr>
        <w:t xml:space="preserve"> pārstrādāto redakciju un </w:t>
      </w:r>
      <w:r>
        <w:rPr>
          <w:rFonts w:ascii="Times New Roman" w:hAnsi="Times New Roman"/>
          <w:b/>
          <w:noProof/>
          <w:sz w:val="24"/>
        </w:rPr>
        <w:t>Kvalificēšanas regulu</w:t>
      </w:r>
      <w:r>
        <w:rPr>
          <w:rStyle w:val="FootnoteReference"/>
          <w:rFonts w:ascii="Times New Roman" w:hAnsi="Times New Roman" w:cs="Times New Roman"/>
          <w:iCs/>
          <w:noProof/>
          <w:sz w:val="24"/>
          <w:szCs w:val="24"/>
          <w:lang w:eastAsia="en-GB"/>
        </w:rPr>
        <w:footnoteReference w:id="78"/>
      </w:r>
      <w:r>
        <w:rPr>
          <w:rFonts w:ascii="Times New Roman" w:hAnsi="Times New Roman"/>
          <w:noProof/>
          <w:sz w:val="24"/>
        </w:rPr>
        <w:t xml:space="preserve">. Būtu jāturpina arī darbs pie jaunā atgriešanas tiesiskā regulējuma, lai panāktu vienošanos par priekšlikumu pārstrādāt </w:t>
      </w:r>
      <w:r>
        <w:rPr>
          <w:rFonts w:ascii="Times New Roman" w:hAnsi="Times New Roman"/>
          <w:b/>
          <w:noProof/>
          <w:sz w:val="24"/>
        </w:rPr>
        <w:t>Atgriešanas direktīvu</w:t>
      </w:r>
      <w:r>
        <w:rPr>
          <w:rFonts w:ascii="Times New Roman" w:hAnsi="Times New Roman"/>
          <w:noProof/>
          <w:sz w:val="24"/>
        </w:rPr>
        <w:t>, kā izklāstīts paktā. Būtu jāatsāk sarunas, lai risinātu ar šiem aktiem saistītos neatrisinātos jautājumus.</w:t>
      </w:r>
    </w:p>
    <w:p w14:paraId="726A2C35" w14:textId="75708CFC" w:rsidR="00DC53E2" w:rsidRPr="00114E09" w:rsidRDefault="00DC53E2" w:rsidP="005758AA">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Komisija 2021. gada decembrī ierosināja </w:t>
      </w:r>
      <w:r>
        <w:rPr>
          <w:rFonts w:ascii="Times New Roman" w:hAnsi="Times New Roman"/>
          <w:b/>
          <w:noProof/>
          <w:sz w:val="24"/>
        </w:rPr>
        <w:t>Regulu, ar ko risina instrumentalizācijas situācijas migrācijas un patvēruma jomā</w:t>
      </w:r>
      <w:r>
        <w:rPr>
          <w:rStyle w:val="FootnoteReference"/>
          <w:rFonts w:ascii="Times New Roman" w:hAnsi="Times New Roman" w:cs="Times New Roman"/>
          <w:bCs/>
          <w:noProof/>
          <w:sz w:val="24"/>
          <w:szCs w:val="24"/>
        </w:rPr>
        <w:footnoteReference w:id="79"/>
      </w:r>
      <w:r>
        <w:rPr>
          <w:rFonts w:ascii="Times New Roman" w:hAnsi="Times New Roman"/>
          <w:noProof/>
          <w:sz w:val="24"/>
        </w:rPr>
        <w:t xml:space="preserve">. Ar šo aktu tiktu izveidota stabila sistēma saskaņā ar ES patvēruma un atgriešanas noteikumiem, kurā būtu precizēts, kā dalībvalstis var risināt šādas situācijas, pilnībā ievērojot ES tiesību aktus, pamattiesības un starptautiskās saistības. Tas izbeigtu vajadzību turpmāk migrantu instrumentalizācijas situācijās izmantot </w:t>
      </w:r>
      <w:r>
        <w:rPr>
          <w:rFonts w:ascii="Times New Roman" w:hAnsi="Times New Roman"/>
          <w:i/>
          <w:noProof/>
          <w:sz w:val="24"/>
        </w:rPr>
        <w:t>ad hoc</w:t>
      </w:r>
      <w:r>
        <w:rPr>
          <w:rFonts w:ascii="Times New Roman" w:hAnsi="Times New Roman"/>
          <w:noProof/>
          <w:sz w:val="24"/>
        </w:rPr>
        <w:t xml:space="preserve"> pasākumus, kā noteikts pārskatītajā Šengenas Robežu kodeksā. Komisija aicina Parlamentu un Padomi paātrināt darbu pie šā priekšlikuma, kas papildina paktā izklāstīto visaptverošo pieeju migrācijai un patvērumam, un izskatīt to kopā ar priekšlikumu Krīzes un nepārvaramas varas situāciju regulai. </w:t>
      </w:r>
    </w:p>
    <w:p w14:paraId="6E2EDAF2" w14:textId="77777777" w:rsidR="00DC53E2" w:rsidRPr="00114E09" w:rsidRDefault="00DC53E2" w:rsidP="005758AA">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Pēc tam, kad jūnijā Padome pieņēma sarunu mandātu, Komisija ar nepacietību gaida, kad sāksies sarunas starp Parlamentu un Padomi par 2021. gada decembra priekšlikumu grozīt </w:t>
      </w:r>
      <w:r>
        <w:rPr>
          <w:rFonts w:ascii="Times New Roman" w:hAnsi="Times New Roman"/>
          <w:b/>
          <w:noProof/>
          <w:sz w:val="24"/>
        </w:rPr>
        <w:t>Šengenas Robežu kodeksu</w:t>
      </w:r>
      <w:r>
        <w:rPr>
          <w:rFonts w:ascii="Times New Roman" w:hAnsi="Times New Roman"/>
          <w:noProof/>
          <w:sz w:val="24"/>
        </w:rPr>
        <w:t xml:space="preserve">. </w:t>
      </w:r>
    </w:p>
    <w:p w14:paraId="1692731F" w14:textId="3A0029F4" w:rsidR="00DC53E2" w:rsidRPr="00114E09" w:rsidRDefault="002B7A14" w:rsidP="00874836">
      <w:pPr>
        <w:spacing w:after="120" w:line="240" w:lineRule="auto"/>
        <w:jc w:val="both"/>
        <w:rPr>
          <w:rFonts w:ascii="Times New Roman" w:hAnsi="Times New Roman" w:cs="Times New Roman"/>
          <w:noProof/>
          <w:sz w:val="24"/>
          <w:szCs w:val="24"/>
        </w:rPr>
      </w:pPr>
      <w:bookmarkStart w:id="14" w:name="_Hlk112765424"/>
      <w:r>
        <w:rPr>
          <w:rFonts w:ascii="Times New Roman" w:hAnsi="Times New Roman"/>
          <w:noProof/>
          <w:sz w:val="24"/>
        </w:rPr>
        <w:t xml:space="preserve">Katru gadu ES likumīgi ieceļo jau divi līdz trīs miljoni trešo valstu pilsoņu. Viens no galvenajiem pakta visaptverošās pieejas elementiem ir vērienīga un ilgtspējīga </w:t>
      </w:r>
      <w:r>
        <w:rPr>
          <w:rFonts w:ascii="Times New Roman" w:hAnsi="Times New Roman"/>
          <w:b/>
          <w:noProof/>
          <w:sz w:val="24"/>
        </w:rPr>
        <w:t>likumīgās migrācijas politika</w:t>
      </w:r>
      <w:r>
        <w:rPr>
          <w:rFonts w:ascii="Times New Roman" w:hAnsi="Times New Roman"/>
          <w:noProof/>
          <w:sz w:val="24"/>
        </w:rPr>
        <w:t xml:space="preserve">. </w:t>
      </w:r>
      <w:r>
        <w:rPr>
          <w:rFonts w:ascii="Times New Roman" w:hAnsi="Times New Roman"/>
          <w:b/>
          <w:noProof/>
          <w:sz w:val="24"/>
        </w:rPr>
        <w:t>Prasmju un talantu paketes</w:t>
      </w:r>
      <w:r>
        <w:rPr>
          <w:rStyle w:val="FootnoteReference"/>
          <w:rFonts w:ascii="Times New Roman" w:hAnsi="Times New Roman" w:cs="Times New Roman"/>
          <w:bCs/>
          <w:noProof/>
          <w:sz w:val="24"/>
          <w:szCs w:val="24"/>
        </w:rPr>
        <w:footnoteReference w:id="80"/>
      </w:r>
      <w:r>
        <w:rPr>
          <w:rFonts w:ascii="Times New Roman" w:hAnsi="Times New Roman"/>
          <w:noProof/>
          <w:sz w:val="24"/>
        </w:rPr>
        <w:t xml:space="preserve"> mērķis ir risināt darba tirgus vajadzības, kas saistītas ar pašreizējām demogrāfiskajām tendencēm un prasmju trūkumu ES, un sagatavoties nākotnes vajadzībām. Šajā paketē ir iekļautas juridiskas, operatīvas un politiskas iniciatīvas, lai sniegtu labumu ES ekonomikai, stiprinātu sadarbību un partnerības ar trešām valstīm un uzlabotu migrācijas pārvaldību ilgtermiņā. Uz nākotni vērsta likumīgas migrācijas uz ES politika vidējā termiņā un ilgtermiņā tiks koncentrēta trīs darbības jomās: aprūpe, jaunatne un inovācija. Šīs politikas mērķis ir piesaistīt prasmīgus un talantīgus cilvēkus tajās nozarēs, kurās trūkst un steidzami vajadzīgs darbaspēks. Pārstrādātā </w:t>
      </w:r>
      <w:r>
        <w:rPr>
          <w:rFonts w:ascii="Times New Roman" w:hAnsi="Times New Roman"/>
          <w:b/>
          <w:noProof/>
          <w:sz w:val="24"/>
        </w:rPr>
        <w:t>Pastāvīgo iedzīvotāju direktīva</w:t>
      </w:r>
      <w:r>
        <w:rPr>
          <w:rStyle w:val="FootnoteReference"/>
          <w:rFonts w:ascii="Times New Roman" w:hAnsi="Times New Roman" w:cs="Times New Roman"/>
          <w:bCs/>
          <w:noProof/>
          <w:sz w:val="24"/>
          <w:szCs w:val="24"/>
        </w:rPr>
        <w:footnoteReference w:id="81"/>
      </w:r>
      <w:r>
        <w:rPr>
          <w:rFonts w:ascii="Times New Roman" w:hAnsi="Times New Roman"/>
          <w:noProof/>
          <w:sz w:val="24"/>
        </w:rPr>
        <w:t xml:space="preserve"> vēl vairāk uzlabos to migrantu tiesības un mobilitāti ES iekšienē, kuri jau ir labi </w:t>
      </w:r>
      <w:r>
        <w:rPr>
          <w:rFonts w:ascii="Times New Roman" w:hAnsi="Times New Roman"/>
          <w:noProof/>
          <w:sz w:val="24"/>
        </w:rPr>
        <w:lastRenderedPageBreak/>
        <w:t xml:space="preserve">integrējušies mūsu sabiedrībā, savukārt pārstrādātā </w:t>
      </w:r>
      <w:r>
        <w:rPr>
          <w:rFonts w:ascii="Times New Roman" w:hAnsi="Times New Roman"/>
          <w:b/>
          <w:noProof/>
          <w:sz w:val="24"/>
        </w:rPr>
        <w:t>Vienotas atļaujas direktīva</w:t>
      </w:r>
      <w:r>
        <w:rPr>
          <w:rStyle w:val="FootnoteReference"/>
          <w:rFonts w:ascii="Times New Roman" w:hAnsi="Times New Roman" w:cs="Times New Roman"/>
          <w:bCs/>
          <w:noProof/>
          <w:sz w:val="24"/>
          <w:szCs w:val="24"/>
        </w:rPr>
        <w:footnoteReference w:id="82"/>
      </w:r>
      <w:r>
        <w:rPr>
          <w:rFonts w:ascii="Times New Roman" w:hAnsi="Times New Roman"/>
          <w:noProof/>
          <w:sz w:val="24"/>
        </w:rPr>
        <w:t xml:space="preserve"> vēl vairāk racionalizēs un vienkāršos uzņemšanas procedūras par labu darba devējiem, migrācijas iestādēm un pašiem migrantiem un uzlabos darba ņēmēju no trešām valstīm aizsardzību. Diskusiju uzsākšana Parlamentā un Padomē par šiem priekšlikumiem palīdzēs izveidot stabilu sistēmu jaunu talantu piesaistīšanai ES. Turklāt, kā savā runā par stāvokli Eiropas Savienībā paziņoja priekšsēdētāja fon der Leiena, 2023. gads būs Eiropas Prasmju gads. Komisija strādās pie mērķtiecīgas rīcības trešo valstu valstspiederīgo kvalifikāciju atzīšanas jomā, lai vēl vairāk palīdzētu Eiropas darba tirgum piesaistīt talantīgus cilvēkus no trešām valstīm.</w:t>
      </w:r>
    </w:p>
    <w:p w14:paraId="0B5733D2" w14:textId="77777777" w:rsidR="00DC53E2" w:rsidRPr="00114E09" w:rsidRDefault="00DC53E2" w:rsidP="00874836">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Vērienīgas un ilgtspējīgas likumīgās migrācijas politikas pamatā ir arī spēkā esošo tiesību aktu pareiza transponēšana, kā arī to efektīva piemērošana un </w:t>
      </w:r>
      <w:r>
        <w:rPr>
          <w:rFonts w:ascii="Times New Roman" w:hAnsi="Times New Roman"/>
          <w:b/>
          <w:noProof/>
          <w:sz w:val="24"/>
        </w:rPr>
        <w:t>izpilde</w:t>
      </w:r>
      <w:r>
        <w:rPr>
          <w:rFonts w:ascii="Times New Roman" w:hAnsi="Times New Roman"/>
          <w:noProof/>
          <w:sz w:val="24"/>
        </w:rPr>
        <w:t>. Komisija turpinās pastiprināt tās centienus sadarbībā ar dalībvalstīm, lai nodrošinātu pareizu un efektīvu Sezonas darbinieku direktīvas</w:t>
      </w:r>
      <w:r>
        <w:rPr>
          <w:rStyle w:val="FootnoteReference"/>
          <w:rFonts w:ascii="Times New Roman" w:hAnsi="Times New Roman" w:cs="Times New Roman"/>
          <w:noProof/>
          <w:sz w:val="24"/>
          <w:szCs w:val="24"/>
        </w:rPr>
        <w:footnoteReference w:id="83"/>
      </w:r>
      <w:r>
        <w:rPr>
          <w:rFonts w:ascii="Times New Roman" w:hAnsi="Times New Roman"/>
          <w:noProof/>
          <w:sz w:val="24"/>
        </w:rPr>
        <w:t xml:space="preserve"> un Direktīvas par sankcijām pret darba devējiem</w:t>
      </w:r>
      <w:r>
        <w:rPr>
          <w:rStyle w:val="FootnoteReference"/>
          <w:rFonts w:ascii="Times New Roman" w:hAnsi="Times New Roman" w:cs="Times New Roman"/>
          <w:noProof/>
          <w:sz w:val="24"/>
          <w:szCs w:val="24"/>
        </w:rPr>
        <w:footnoteReference w:id="84"/>
      </w:r>
      <w:r>
        <w:rPr>
          <w:rFonts w:ascii="Times New Roman" w:hAnsi="Times New Roman"/>
          <w:noProof/>
          <w:sz w:val="24"/>
        </w:rPr>
        <w:t xml:space="preserve"> īstenošanu, piemērošanu un izpildi. Lai trešo valstu valstspiederīgos — arī ukraiņus — labāk aizsargātu no darbaspēka ekspluatācijas, Komisija sadarbojas ar Eiropas Darba iestādi, tai skaitā Eiropas platformā sadarbības stiprināšanai nolūkā novērst nedeklarētu darbu. Komisija ierosināja regulu par aizliegumu Savienības tirgū laist produktus, kas ražoti, izmantojot piespiedu darbu</w:t>
      </w:r>
      <w:r>
        <w:rPr>
          <w:rStyle w:val="FootnoteReference"/>
          <w:rFonts w:ascii="Times New Roman" w:hAnsi="Times New Roman" w:cs="Times New Roman"/>
          <w:bCs/>
          <w:noProof/>
          <w:sz w:val="24"/>
          <w:szCs w:val="24"/>
        </w:rPr>
        <w:footnoteReference w:id="85"/>
      </w:r>
      <w:r>
        <w:rPr>
          <w:rFonts w:ascii="Times New Roman" w:hAnsi="Times New Roman"/>
          <w:noProof/>
          <w:sz w:val="24"/>
        </w:rPr>
        <w:t xml:space="preserve">. </w:t>
      </w:r>
    </w:p>
    <w:p w14:paraId="2B6BC4AD" w14:textId="77777777" w:rsidR="00DC53E2" w:rsidRPr="00114E09" w:rsidRDefault="00DC53E2" w:rsidP="005758AA">
      <w:pPr>
        <w:pStyle w:val="Briefingheading1"/>
        <w:numPr>
          <w:ilvl w:val="0"/>
          <w:numId w:val="9"/>
        </w:numPr>
        <w:spacing w:before="360" w:after="200"/>
        <w:rPr>
          <w:rFonts w:ascii="Times New Roman" w:hAnsi="Times New Roman"/>
          <w:b w:val="0"/>
          <w:noProof/>
          <w:u w:val="none"/>
        </w:rPr>
      </w:pPr>
      <w:bookmarkStart w:id="15" w:name="_Toc108117279"/>
      <w:bookmarkStart w:id="16" w:name="_Hlk112418561"/>
      <w:bookmarkEnd w:id="14"/>
      <w:r>
        <w:rPr>
          <w:rFonts w:ascii="Times New Roman" w:hAnsi="Times New Roman"/>
          <w:noProof/>
          <w:u w:val="none"/>
        </w:rPr>
        <w:t>SADARBĪBA AR STARPTAUTISKAJIEM PARTNERIEM</w:t>
      </w:r>
      <w:bookmarkEnd w:id="15"/>
      <w:r>
        <w:rPr>
          <w:rFonts w:ascii="Times New Roman" w:hAnsi="Times New Roman"/>
          <w:b w:val="0"/>
          <w:noProof/>
          <w:u w:val="none"/>
        </w:rPr>
        <w:t xml:space="preserve"> </w:t>
      </w:r>
    </w:p>
    <w:p w14:paraId="6064DBF7" w14:textId="77777777" w:rsidR="00DC53E2" w:rsidRPr="00114E09" w:rsidRDefault="00DC53E2" w:rsidP="005758AA">
      <w:pPr>
        <w:spacing w:after="120" w:line="240" w:lineRule="auto"/>
        <w:jc w:val="both"/>
        <w:rPr>
          <w:rFonts w:ascii="Times New Roman" w:hAnsi="Times New Roman" w:cs="Times New Roman"/>
          <w:b/>
          <w:i/>
          <w:noProof/>
          <w:sz w:val="24"/>
          <w:szCs w:val="24"/>
        </w:rPr>
      </w:pPr>
      <w:r>
        <w:rPr>
          <w:rFonts w:ascii="Times New Roman" w:hAnsi="Times New Roman"/>
          <w:b/>
          <w:i/>
          <w:noProof/>
          <w:sz w:val="24"/>
        </w:rPr>
        <w:t>Sadarbība ar galvenajiem partneriem migrācijas un piespiedu pārvietošanas jomā</w:t>
      </w:r>
    </w:p>
    <w:p w14:paraId="185778A3" w14:textId="3356419E" w:rsidR="002B7A14" w:rsidRPr="00114E09" w:rsidRDefault="00DC53E2" w:rsidP="005758AA">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Pakta visaptverošās pieejas būtiska sastāvdaļa ir ārējā dimensija. Pagājušajā gadā ES ir sākusi intensīvāk strādāt ar partnervalstīm un pastiprinājusi darbu, lai īstenotu savstarpēji izdevīgu sadarbību migrācijas jomā, arī daudzpusējā kontekstā. Lai veidotu ilgstošu sadarbību, ir ļoti svarīgi, lai ES un tās dalībvalstis kontaktos ar partnervalstīm paustu vienotu viedokli, izmantojot Eiropas komandas pieeju, kā arī sniegtu to vajadzību risināšanai individuāli pielāgotu atbalstu. Partnerības aptver visas sadarbības iespējas migrācijas un piespiedu pārvietošanas jomā. Partnerību pieeja vienlīdz lielā mērā balstās uz partnervalstu sadarbību gan ar ES, gan dalībvalstīm patiesā sadarbības un savstarpējas cieņas garā. </w:t>
      </w:r>
    </w:p>
    <w:p w14:paraId="6EBBB9E3" w14:textId="0F202B49" w:rsidR="00DC53E2" w:rsidRPr="00114E09" w:rsidRDefault="00DC53E2" w:rsidP="005758AA">
      <w:pPr>
        <w:spacing w:after="120" w:line="240" w:lineRule="auto"/>
        <w:jc w:val="both"/>
        <w:rPr>
          <w:rFonts w:ascii="Times New Roman" w:hAnsi="Times New Roman" w:cs="Times New Roman"/>
          <w:noProof/>
          <w:sz w:val="24"/>
          <w:szCs w:val="24"/>
        </w:rPr>
      </w:pPr>
      <w:r>
        <w:rPr>
          <w:rFonts w:ascii="Times New Roman" w:hAnsi="Times New Roman"/>
          <w:noProof/>
          <w:sz w:val="24"/>
        </w:rPr>
        <w:t>Reaģējot uz Eiropadomes 2021. gada 24. un 25. jūnija secinājumiem</w:t>
      </w:r>
      <w:r>
        <w:rPr>
          <w:rStyle w:val="FootnoteReference"/>
          <w:rFonts w:ascii="Times New Roman" w:hAnsi="Times New Roman" w:cs="Times New Roman"/>
          <w:noProof/>
          <w:sz w:val="24"/>
          <w:szCs w:val="24"/>
        </w:rPr>
        <w:footnoteReference w:id="86"/>
      </w:r>
      <w:r>
        <w:rPr>
          <w:rFonts w:ascii="Times New Roman" w:hAnsi="Times New Roman"/>
          <w:noProof/>
          <w:sz w:val="24"/>
        </w:rPr>
        <w:t xml:space="preserve">, ir izstrādāti visaptveroši </w:t>
      </w:r>
      <w:r>
        <w:rPr>
          <w:rFonts w:ascii="Times New Roman" w:hAnsi="Times New Roman"/>
          <w:b/>
          <w:noProof/>
          <w:sz w:val="24"/>
        </w:rPr>
        <w:t>rīcības plāni</w:t>
      </w:r>
      <w:r>
        <w:rPr>
          <w:rFonts w:ascii="Times New Roman" w:hAnsi="Times New Roman"/>
          <w:noProof/>
          <w:sz w:val="24"/>
        </w:rPr>
        <w:t xml:space="preserve">, lai uzlabotu sadarbību ar desmit galvenajām partnervalstīm, pamatojoties uz iepriekš gūtajiem panākumiem un nosakot turpmākus konkrētus mērķus, termiņus un atbalsta pasākumus starptautiskās sadarbības uzlabošanai. Šo rīcības plānu, kas veidoti diskusijās ar dalībvalstīm, mērķis ir nodrošināt darbību, projektu un resursu koordināciju un sinerģiju, galveno uzmanību pievēršot operatīvajai sadarbībai ar atsevišķām partnervalstīm. </w:t>
      </w:r>
    </w:p>
    <w:p w14:paraId="32D72DE8" w14:textId="2F98E289" w:rsidR="00DC53E2" w:rsidRPr="00114E09" w:rsidRDefault="00DC53E2" w:rsidP="005758AA">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Kā daļa no pakāpeniskas pieejas un lai panāktu ciešu saskaņotību starp ES un dalībvalstu divpusējo darbu pie pakta ārējās dimensijas, Padomes prezidentvalsts Francija Padomē izveidoja jaunu koordinācijas struktūru: </w:t>
      </w:r>
      <w:r>
        <w:rPr>
          <w:rFonts w:ascii="Times New Roman" w:hAnsi="Times New Roman"/>
          <w:b/>
          <w:noProof/>
          <w:sz w:val="24"/>
        </w:rPr>
        <w:t xml:space="preserve">Migrācijas ārējās dimensijas operatīvās </w:t>
      </w:r>
      <w:r>
        <w:rPr>
          <w:rFonts w:ascii="Times New Roman" w:hAnsi="Times New Roman"/>
          <w:b/>
          <w:noProof/>
          <w:sz w:val="24"/>
        </w:rPr>
        <w:lastRenderedPageBreak/>
        <w:t>koordinēšanas mehānismu</w:t>
      </w:r>
      <w:r>
        <w:rPr>
          <w:rFonts w:ascii="Times New Roman" w:hAnsi="Times New Roman"/>
          <w:noProof/>
          <w:sz w:val="24"/>
        </w:rPr>
        <w:t xml:space="preserve"> (</w:t>
      </w:r>
      <w:r>
        <w:rPr>
          <w:rFonts w:ascii="Times New Roman" w:hAnsi="Times New Roman"/>
          <w:b/>
          <w:i/>
          <w:noProof/>
          <w:sz w:val="24"/>
        </w:rPr>
        <w:t>Mocadem</w:t>
      </w:r>
      <w:r>
        <w:rPr>
          <w:rFonts w:ascii="Times New Roman" w:hAnsi="Times New Roman"/>
          <w:noProof/>
          <w:sz w:val="24"/>
        </w:rPr>
        <w:t xml:space="preserve">). Kopā ar stratēģiskajām diskusijām </w:t>
      </w:r>
      <w:r>
        <w:rPr>
          <w:rFonts w:ascii="Times New Roman" w:hAnsi="Times New Roman"/>
          <w:b/>
          <w:noProof/>
          <w:sz w:val="24"/>
        </w:rPr>
        <w:t>Patvēruma un migrācijas ārējo aspektu darba grupā</w:t>
      </w:r>
      <w:r>
        <w:rPr>
          <w:rFonts w:ascii="Times New Roman" w:hAnsi="Times New Roman"/>
          <w:noProof/>
          <w:sz w:val="24"/>
        </w:rPr>
        <w:t xml:space="preserve"> </w:t>
      </w:r>
      <w:r>
        <w:rPr>
          <w:rFonts w:ascii="Times New Roman" w:hAnsi="Times New Roman"/>
          <w:b/>
          <w:noProof/>
          <w:sz w:val="24"/>
        </w:rPr>
        <w:t>(</w:t>
      </w:r>
      <w:r>
        <w:rPr>
          <w:rFonts w:ascii="Times New Roman" w:hAnsi="Times New Roman"/>
          <w:b/>
          <w:i/>
          <w:noProof/>
          <w:sz w:val="24"/>
        </w:rPr>
        <w:t>EMWP</w:t>
      </w:r>
      <w:r>
        <w:rPr>
          <w:rFonts w:ascii="Times New Roman" w:hAnsi="Times New Roman"/>
          <w:b/>
          <w:noProof/>
          <w:sz w:val="24"/>
        </w:rPr>
        <w:t>)</w:t>
      </w:r>
      <w:r>
        <w:rPr>
          <w:rFonts w:ascii="Times New Roman" w:hAnsi="Times New Roman"/>
          <w:noProof/>
          <w:sz w:val="24"/>
        </w:rPr>
        <w:t xml:space="preserve"> </w:t>
      </w:r>
      <w:r>
        <w:rPr>
          <w:rFonts w:ascii="Times New Roman" w:hAnsi="Times New Roman"/>
          <w:i/>
          <w:noProof/>
          <w:sz w:val="24"/>
        </w:rPr>
        <w:t>Mocadem</w:t>
      </w:r>
      <w:r>
        <w:rPr>
          <w:rFonts w:ascii="Times New Roman" w:hAnsi="Times New Roman"/>
          <w:noProof/>
          <w:sz w:val="24"/>
        </w:rPr>
        <w:t xml:space="preserve"> operatīvā darbība palīdzēja nostiprināt kopēju stratēģisku, konkrētiem partneriem pielāgotu pieeju. Turpinās darbs, lai nodrošinātu koordināciju un papildināmību starp dalībvalstu un ES fondu finansētajām aktivitātēm. Komisija un dalībvalstis apmainās ar informāciju un koordinē savu pieeju attiecībā uz reģionālajām un divpusējām darbībām, ko tās plāno finansēt migrācijas un piespiedu pārvietošanas jomā, atbilstīgi </w:t>
      </w:r>
      <w:r>
        <w:rPr>
          <w:rFonts w:ascii="Times New Roman" w:hAnsi="Times New Roman"/>
          <w:i/>
          <w:iCs/>
          <w:noProof/>
          <w:sz w:val="24"/>
        </w:rPr>
        <w:t>EMWP</w:t>
      </w:r>
      <w:r>
        <w:rPr>
          <w:rFonts w:ascii="Times New Roman" w:hAnsi="Times New Roman"/>
          <w:noProof/>
          <w:sz w:val="24"/>
        </w:rPr>
        <w:t xml:space="preserve"> un </w:t>
      </w:r>
      <w:r>
        <w:rPr>
          <w:rFonts w:ascii="Times New Roman" w:hAnsi="Times New Roman"/>
          <w:i/>
          <w:iCs/>
          <w:noProof/>
          <w:sz w:val="24"/>
        </w:rPr>
        <w:t>Mocadem</w:t>
      </w:r>
      <w:r>
        <w:rPr>
          <w:rFonts w:ascii="Times New Roman" w:hAnsi="Times New Roman"/>
          <w:noProof/>
          <w:sz w:val="24"/>
        </w:rPr>
        <w:t xml:space="preserve"> noteiktajiem politiskajiem mērķiem un saskaņotajām daudzgadu indikatīvajām programmām </w:t>
      </w:r>
      <w:bookmarkStart w:id="17" w:name="_Hlk115109323"/>
      <w:r>
        <w:rPr>
          <w:rFonts w:ascii="Times New Roman" w:hAnsi="Times New Roman"/>
          <w:b/>
          <w:noProof/>
          <w:sz w:val="24"/>
        </w:rPr>
        <w:t>Koordinācijas grupā migrācijas jautājumos</w:t>
      </w:r>
      <w:bookmarkEnd w:id="17"/>
      <w:r>
        <w:rPr>
          <w:rFonts w:ascii="Times New Roman" w:hAnsi="Times New Roman"/>
          <w:b/>
          <w:noProof/>
          <w:sz w:val="24"/>
        </w:rPr>
        <w:t xml:space="preserve"> saskaņā ar Kaimiņattiecību, attīstības sadarbības un starptautiskās sadarbības instrumentu “Eiropa pasaulē” un dalībvalstu divpusējās sadarbības instrumentiem</w:t>
      </w:r>
      <w:r>
        <w:rPr>
          <w:rFonts w:ascii="Times New Roman" w:hAnsi="Times New Roman"/>
          <w:noProof/>
          <w:sz w:val="24"/>
        </w:rPr>
        <w:t>.</w:t>
      </w:r>
    </w:p>
    <w:p w14:paraId="0408DB40" w14:textId="77777777" w:rsidR="00C828AF" w:rsidRPr="003F571A" w:rsidRDefault="00DC53E2" w:rsidP="00E70C67">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Šā gada </w:t>
      </w:r>
      <w:r>
        <w:rPr>
          <w:rFonts w:ascii="Times New Roman" w:hAnsi="Times New Roman"/>
          <w:b/>
          <w:noProof/>
          <w:sz w:val="24"/>
        </w:rPr>
        <w:t>vizītēs un politiskajā dialogā</w:t>
      </w:r>
      <w:r>
        <w:rPr>
          <w:rFonts w:ascii="Times New Roman" w:hAnsi="Times New Roman"/>
          <w:noProof/>
          <w:sz w:val="24"/>
        </w:rPr>
        <w:t xml:space="preserve">, izmantojot visaptverošu un līdzsvarotu pieeju, migrācija un piespiedu pārvietošana tika iekļauta mūsu plašāko divpusējo un reģionālo attiecību kontekstā Marokā, Tunisijā, Ēģiptē, Lībijā, Alžīrijā, Mauritānijā, Senegālā, Nigērā, Nigērijā, Etiopijā, Pakistānā, Bangladešā, Irākā, Jordānijā, Libānā, Turcijā un Rietumbalkānos, Āfrikas Savienībā, kā arī Rabātas, Prāgas un Hartūmas procesos. </w:t>
      </w:r>
    </w:p>
    <w:tbl>
      <w:tblPr>
        <w:tblStyle w:val="TableGrid"/>
        <w:tblW w:w="0" w:type="auto"/>
        <w:tblInd w:w="108" w:type="dxa"/>
        <w:tblLook w:val="04A0" w:firstRow="1" w:lastRow="0" w:firstColumn="1" w:lastColumn="0" w:noHBand="0" w:noVBand="1"/>
      </w:tblPr>
      <w:tblGrid>
        <w:gridCol w:w="9058"/>
      </w:tblGrid>
      <w:tr w:rsidR="00DC53E2" w:rsidRPr="00114E09" w14:paraId="40BA92BE" w14:textId="77777777" w:rsidTr="00CC1551">
        <w:tc>
          <w:tcPr>
            <w:tcW w:w="9058" w:type="dxa"/>
          </w:tcPr>
          <w:p w14:paraId="62CFE20A" w14:textId="77777777" w:rsidR="00DC53E2" w:rsidRPr="00114E09" w:rsidRDefault="00DC53E2" w:rsidP="005758AA">
            <w:pPr>
              <w:spacing w:after="120"/>
              <w:rPr>
                <w:rFonts w:ascii="Times New Roman" w:hAnsi="Times New Roman" w:cs="Times New Roman"/>
                <w:b/>
                <w:i/>
                <w:noProof/>
                <w:sz w:val="24"/>
                <w:szCs w:val="24"/>
              </w:rPr>
            </w:pPr>
            <w:r>
              <w:rPr>
                <w:rFonts w:ascii="Times New Roman" w:hAnsi="Times New Roman"/>
                <w:b/>
                <w:i/>
                <w:noProof/>
                <w:sz w:val="24"/>
              </w:rPr>
              <w:t xml:space="preserve">Veiksmīga sadarbība, cīnoties pret migrantu instrumentalizāciju Baltkrievijā </w:t>
            </w:r>
          </w:p>
          <w:p w14:paraId="5C1F97E3" w14:textId="292FEB7E" w:rsidR="00DC53E2" w:rsidRPr="00114E09" w:rsidRDefault="00DC53E2" w:rsidP="005758AA">
            <w:pPr>
              <w:spacing w:after="120"/>
              <w:rPr>
                <w:rFonts w:ascii="Times New Roman" w:hAnsi="Times New Roman" w:cs="Times New Roman"/>
                <w:noProof/>
                <w:sz w:val="24"/>
                <w:szCs w:val="24"/>
              </w:rPr>
            </w:pPr>
            <w:r>
              <w:rPr>
                <w:rFonts w:ascii="Times New Roman" w:hAnsi="Times New Roman"/>
                <w:noProof/>
                <w:sz w:val="24"/>
              </w:rPr>
              <w:t>Savlaicīga, apņēmīga un vienota ES sadarbība ar partneriem var dot iespaidīgus rezultātus, kā to pierāda reakcija uz Baltkrievijas režīma īstenoto migrantu instrumentalizāciju. Augstā pārstāve, priekšsēdētājas vietnieks M. Shins un vairāki komisāri uzturēja augsta līmeņa kontaktus ar izcelsmes un tranzīta valstīm, kā arī ar aviosabiedrībām un civilās aviācijas iestādēm, lai izveidotu koalīciju cīņai pret šo hibrīduzbrukumu. Saskaņojot dalībvalstu augsta līmeņa pasākumus, priekšsēdētājas vietnieks M. Shins apmeklēja Irāku, Apvienotos Arābu Emirātus, Libānu, Turciju un Uzbekistānu. ES un dalībvalstu kopīgas delegācijas un pašas dalībvalstis, rīkojoties divpusēji, veica kopīgus demaršus Kazahstānā, Indijā, Gruzijā, Ukrainā, Turcijā un Uzbekistānā. Rezultātā ievērojami samazinājās lidojumu skaits uz Minsku, dažu valstu valstspiederīgajiem galvenajās lidostās tika noteikti ceļošanas ierobežojumi, kā arī ievērojami samazinājās atgriešanas un repatriācijas gadījumu skaits, jo sevišķi, pateicoties Irākas iespaidīgajiem centieniem. Komisija pielāgoja pašreizējos projektus, lai izplatītu informāciju par instrumentalizācijas draudiem (piemēram, Irākā, Turcijā un Sīrijā), un sadarbojās ar Starptautisko Migrācijas organizāciju (</w:t>
            </w:r>
            <w:r>
              <w:rPr>
                <w:rFonts w:ascii="Times New Roman" w:hAnsi="Times New Roman"/>
                <w:i/>
                <w:noProof/>
                <w:sz w:val="24"/>
              </w:rPr>
              <w:t>IOM</w:t>
            </w:r>
            <w:r>
              <w:rPr>
                <w:rFonts w:ascii="Times New Roman" w:hAnsi="Times New Roman"/>
                <w:noProof/>
                <w:sz w:val="24"/>
              </w:rPr>
              <w:t xml:space="preserve">), lai atbalstītu migrantu brīvprātīgu atgriešanos no Baltkrievijas un reintegrāciju viņu izcelsmes valstīm. </w:t>
            </w:r>
          </w:p>
          <w:p w14:paraId="4312BBC7" w14:textId="246CB520" w:rsidR="00DC53E2" w:rsidRPr="00114E09" w:rsidRDefault="00DC53E2" w:rsidP="005758AA">
            <w:pPr>
              <w:spacing w:after="120"/>
              <w:rPr>
                <w:rFonts w:ascii="Times New Roman" w:hAnsi="Times New Roman" w:cs="Times New Roman"/>
                <w:noProof/>
                <w:sz w:val="24"/>
                <w:szCs w:val="24"/>
              </w:rPr>
            </w:pPr>
            <w:r>
              <w:rPr>
                <w:rFonts w:ascii="Times New Roman" w:hAnsi="Times New Roman"/>
                <w:noProof/>
                <w:sz w:val="24"/>
              </w:rPr>
              <w:t>ES arī ātri rīkojās, lai aizsargātu gan instrumentalizētās personas, gan Savienības ārējās robežas</w:t>
            </w:r>
            <w:r>
              <w:rPr>
                <w:rStyle w:val="FootnoteReference"/>
                <w:rFonts w:ascii="Times New Roman" w:hAnsi="Times New Roman" w:cs="Times New Roman"/>
                <w:noProof/>
                <w:sz w:val="24"/>
                <w:szCs w:val="24"/>
              </w:rPr>
              <w:footnoteReference w:id="87"/>
            </w:r>
            <w:r>
              <w:rPr>
                <w:rFonts w:ascii="Times New Roman" w:hAnsi="Times New Roman"/>
                <w:noProof/>
                <w:sz w:val="24"/>
              </w:rPr>
              <w:t>. Komisija un ES aģentūras cieši sadarbojās ar Lietuvas, Polijas un Latvijas iestādēm, lai pastiprinātu robežu aizsardzību, apkarotu migrantu kontrabandu, stiprinātu patvēruma un uzņemšanas spējas un uzlabotu atgriešanu. ES robeža ar Baltkrieviju ir pastāvīgi jāuzrauga. Ierosinātās normas par sankcijām aviosabiedrībām joprojām ir aktuālas, un tās ir ātri jāpieņem.</w:t>
            </w:r>
          </w:p>
        </w:tc>
      </w:tr>
    </w:tbl>
    <w:p w14:paraId="509C4782" w14:textId="015AC352" w:rsidR="003F571A" w:rsidRDefault="003F571A" w:rsidP="003F571A">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ES 2022. gadā bija pastāvīgi jāpievērš uzmanība ievērojamām plūsmām pāri Vidusjūrai. Sadarbība ar </w:t>
      </w:r>
      <w:r>
        <w:rPr>
          <w:rFonts w:ascii="Times New Roman" w:hAnsi="Times New Roman"/>
          <w:b/>
          <w:noProof/>
          <w:sz w:val="24"/>
        </w:rPr>
        <w:t>Maroku</w:t>
      </w:r>
      <w:r>
        <w:rPr>
          <w:rFonts w:ascii="Times New Roman" w:hAnsi="Times New Roman"/>
          <w:noProof/>
          <w:sz w:val="24"/>
        </w:rPr>
        <w:t xml:space="preserve"> šogad apliecināja stingru kopīgu apņemšanos turpināt dialogu un sadarbību visās ar migrāciju saistītajās jomās, arī attiecībā uz reģionālo dimensiju, atgriešanu, talantu partnerībām un cīņu pret migrantu kontrabandu</w:t>
      </w:r>
      <w:r>
        <w:rPr>
          <w:rStyle w:val="FootnoteReference"/>
          <w:rFonts w:ascii="Times New Roman" w:hAnsi="Times New Roman" w:cs="Times New Roman"/>
          <w:noProof/>
          <w:sz w:val="24"/>
          <w:szCs w:val="24"/>
        </w:rPr>
        <w:footnoteReference w:id="88"/>
      </w:r>
      <w:r>
        <w:rPr>
          <w:rFonts w:ascii="Times New Roman" w:hAnsi="Times New Roman"/>
          <w:noProof/>
          <w:sz w:val="24"/>
        </w:rPr>
        <w:t xml:space="preserve">. Neraugoties uz sarežģīto politisko vidi </w:t>
      </w:r>
      <w:r>
        <w:rPr>
          <w:rFonts w:ascii="Times New Roman" w:hAnsi="Times New Roman"/>
          <w:b/>
          <w:noProof/>
          <w:sz w:val="24"/>
        </w:rPr>
        <w:t>Lībijā</w:t>
      </w:r>
      <w:r>
        <w:rPr>
          <w:rFonts w:ascii="Times New Roman" w:hAnsi="Times New Roman"/>
          <w:noProof/>
          <w:sz w:val="24"/>
        </w:rPr>
        <w:t xml:space="preserve">, ES ir iesaistījusies, lai risinātu pamatvajadzības saistībā ar neaizsargāto migrantu </w:t>
      </w:r>
      <w:r>
        <w:rPr>
          <w:rFonts w:ascii="Times New Roman" w:hAnsi="Times New Roman"/>
          <w:noProof/>
          <w:sz w:val="24"/>
        </w:rPr>
        <w:lastRenderedPageBreak/>
        <w:t xml:space="preserve">un bēgļu aizsardzību un migrantu kontrabandas apkarošanu, arī izmantojot KDAP misijas. Arī ES sadarbība ar </w:t>
      </w:r>
      <w:r>
        <w:rPr>
          <w:rFonts w:ascii="Times New Roman" w:hAnsi="Times New Roman"/>
          <w:b/>
          <w:noProof/>
          <w:sz w:val="24"/>
        </w:rPr>
        <w:t>Nigēru</w:t>
      </w:r>
      <w:r>
        <w:rPr>
          <w:rFonts w:ascii="Times New Roman" w:hAnsi="Times New Roman"/>
          <w:noProof/>
          <w:sz w:val="24"/>
        </w:rPr>
        <w:t xml:space="preserve"> un </w:t>
      </w:r>
      <w:r>
        <w:rPr>
          <w:rFonts w:ascii="Times New Roman" w:hAnsi="Times New Roman"/>
          <w:b/>
          <w:noProof/>
          <w:sz w:val="24"/>
        </w:rPr>
        <w:t>Mauritāniju</w:t>
      </w:r>
      <w:r>
        <w:rPr>
          <w:rFonts w:ascii="Times New Roman" w:hAnsi="Times New Roman"/>
          <w:noProof/>
          <w:sz w:val="24"/>
        </w:rPr>
        <w:t xml:space="preserve"> ir apliecinājusi abu pušu skaidru vēlmi risināt migrācijas plūsmu problēmu un sadarboties ar ES. </w:t>
      </w:r>
      <w:r>
        <w:rPr>
          <w:rFonts w:ascii="Times New Roman" w:hAnsi="Times New Roman"/>
          <w:b/>
          <w:noProof/>
          <w:sz w:val="24"/>
        </w:rPr>
        <w:t>Āfrikas Savienības (ĀS), ES un ANO</w:t>
      </w:r>
      <w:r>
        <w:rPr>
          <w:rFonts w:ascii="Times New Roman" w:hAnsi="Times New Roman"/>
          <w:noProof/>
          <w:sz w:val="24"/>
        </w:rPr>
        <w:t xml:space="preserve"> trīspusējā sadarbība pēdējo piecu gadu laikā ir bijusi īpaši efektīva, risinot aizsardzības jautājumus Lībijā, un pašlaik tiek strādāts pie sadarbības pastiprināšanas. </w:t>
      </w:r>
    </w:p>
    <w:p w14:paraId="167020D1" w14:textId="77777777" w:rsidR="003F571A" w:rsidRDefault="003F571A" w:rsidP="003F571A">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2022. gada februārī notikušajā </w:t>
      </w:r>
      <w:r>
        <w:rPr>
          <w:rFonts w:ascii="Times New Roman" w:hAnsi="Times New Roman"/>
          <w:b/>
          <w:noProof/>
          <w:sz w:val="24"/>
        </w:rPr>
        <w:t>Eiropas Savienības un Āfrikas Savienības samitā</w:t>
      </w:r>
      <w:r>
        <w:rPr>
          <w:rFonts w:ascii="Times New Roman" w:hAnsi="Times New Roman"/>
          <w:noProof/>
          <w:sz w:val="24"/>
        </w:rPr>
        <w:t xml:space="preserve"> līderi vienojās par ciešāku partnerību migrācijas un mobilitātes jomā, kā izklāstīts samita kopīgajā deklarācijā (“Kopīgs redzējums 2030. gadam”)</w:t>
      </w:r>
      <w:r>
        <w:rPr>
          <w:rStyle w:val="FootnoteReference"/>
          <w:rFonts w:ascii="Times New Roman" w:hAnsi="Times New Roman" w:cs="Times New Roman"/>
          <w:noProof/>
          <w:sz w:val="24"/>
          <w:szCs w:val="24"/>
        </w:rPr>
        <w:footnoteReference w:id="89"/>
      </w:r>
      <w:r>
        <w:rPr>
          <w:rFonts w:ascii="Times New Roman" w:hAnsi="Times New Roman"/>
          <w:noProof/>
          <w:sz w:val="24"/>
        </w:rPr>
        <w:t xml:space="preserve">. 2022. gadā partneri ir padziļinājuši sadarbību arī saistībā ar ĀS un ES starpkontinentu migrācijas un mobilitātes dialogu. </w:t>
      </w:r>
    </w:p>
    <w:p w14:paraId="66A7BC8D" w14:textId="796D6124" w:rsidR="003F571A" w:rsidRDefault="003F571A" w:rsidP="003F571A">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ES atzinīgi novērtēja to, ka 2022. gada maijā notikušajā Starptautiskajā migrācijas pārskata forumā tika pieņemta progresa deklarācija par </w:t>
      </w:r>
      <w:r>
        <w:rPr>
          <w:rFonts w:ascii="Times New Roman" w:hAnsi="Times New Roman"/>
          <w:b/>
          <w:noProof/>
          <w:sz w:val="24"/>
        </w:rPr>
        <w:t>globālā pakta par migrāciju</w:t>
      </w:r>
      <w:r>
        <w:rPr>
          <w:rFonts w:ascii="Times New Roman" w:hAnsi="Times New Roman"/>
          <w:noProof/>
          <w:sz w:val="24"/>
        </w:rPr>
        <w:t xml:space="preserve"> īstenošanu. </w:t>
      </w:r>
    </w:p>
    <w:p w14:paraId="4BF96A21" w14:textId="3419E8A4" w:rsidR="003F571A" w:rsidRPr="003F571A" w:rsidRDefault="003F571A" w:rsidP="003F571A">
      <w:pPr>
        <w:spacing w:before="120" w:after="120" w:line="240" w:lineRule="auto"/>
        <w:jc w:val="both"/>
        <w:rPr>
          <w:rFonts w:ascii="Times New Roman" w:hAnsi="Times New Roman" w:cs="Times New Roman"/>
          <w:b/>
          <w:i/>
          <w:noProof/>
          <w:sz w:val="24"/>
          <w:szCs w:val="24"/>
        </w:rPr>
      </w:pPr>
      <w:r>
        <w:rPr>
          <w:rFonts w:ascii="Times New Roman" w:hAnsi="Times New Roman"/>
          <w:noProof/>
          <w:sz w:val="24"/>
        </w:rPr>
        <w:t xml:space="preserve">Papildus ciešajai sadarbībai ar </w:t>
      </w:r>
      <w:r>
        <w:rPr>
          <w:rFonts w:ascii="Times New Roman" w:hAnsi="Times New Roman"/>
          <w:b/>
          <w:noProof/>
          <w:sz w:val="24"/>
        </w:rPr>
        <w:t>ASV un Kanādu</w:t>
      </w:r>
      <w:r>
        <w:rPr>
          <w:rFonts w:ascii="Times New Roman" w:hAnsi="Times New Roman"/>
          <w:noProof/>
          <w:sz w:val="24"/>
        </w:rPr>
        <w:t xml:space="preserve">, lai sniegtu atbalstu personām, kas bēg no Krievijas iebrukuma Ukrainā (sk. iepriekš 2. iedaļu), ES ar šīm valstīm veido nepieredzēti ciešu sadarbību, risinot arī virkni augsta līmeņa dialogu par migrācijas jautājumiem no Afganistānas līdz Latīņamerikai. </w:t>
      </w:r>
    </w:p>
    <w:p w14:paraId="3A6945F6" w14:textId="77777777" w:rsidR="00DC53E2" w:rsidRPr="00114E09" w:rsidRDefault="00DC53E2" w:rsidP="005758AA">
      <w:pPr>
        <w:spacing w:before="120" w:after="120" w:line="240" w:lineRule="auto"/>
        <w:jc w:val="both"/>
        <w:rPr>
          <w:rFonts w:ascii="Times New Roman" w:hAnsi="Times New Roman" w:cs="Times New Roman"/>
          <w:b/>
          <w:i/>
          <w:noProof/>
          <w:sz w:val="24"/>
          <w:szCs w:val="24"/>
        </w:rPr>
      </w:pPr>
      <w:r>
        <w:rPr>
          <w:rFonts w:ascii="Times New Roman" w:hAnsi="Times New Roman"/>
          <w:b/>
          <w:i/>
          <w:noProof/>
          <w:sz w:val="24"/>
        </w:rPr>
        <w:t xml:space="preserve">Aizsardzība piespiedu kārtā pārvietotām personām un atbalsts uzņēmējvalstīm </w:t>
      </w:r>
    </w:p>
    <w:p w14:paraId="73ADBD44" w14:textId="2B92E462" w:rsidR="00220513" w:rsidRPr="00114E09" w:rsidRDefault="00220513" w:rsidP="005758AA">
      <w:pPr>
        <w:spacing w:after="120" w:line="240" w:lineRule="auto"/>
        <w:jc w:val="both"/>
        <w:rPr>
          <w:rFonts w:ascii="Times New Roman" w:hAnsi="Times New Roman" w:cs="Times New Roman"/>
          <w:b/>
          <w:iCs/>
          <w:noProof/>
          <w:color w:val="FF0000"/>
          <w:sz w:val="24"/>
          <w:szCs w:val="24"/>
          <w:highlight w:val="yellow"/>
        </w:rPr>
      </w:pPr>
      <w:bookmarkStart w:id="18" w:name="_Hlk115524308"/>
      <w:r>
        <w:rPr>
          <w:rFonts w:ascii="Times New Roman" w:hAnsi="Times New Roman"/>
          <w:noProof/>
          <w:sz w:val="24"/>
          <w:shd w:val="clear" w:color="auto" w:fill="FFFFFF"/>
        </w:rPr>
        <w:t xml:space="preserve">Līdz 2021. gada beigām kara, vardarbības, vajāšanas un cilvēktiesību pārkāpumu dēļ pārvietoto personu skaits pārsniedza 89,3 miljonus, kas ir par 8 % vairāk nekā gadu iepriekš un vairāk nekā divas reizes vairāk nekā pirms 10 gadiem. Kopš tā laika Krievijas iebrukums Ukrainā un citas ārkārtas situācijas, piemēram, Afganistānā, Sīrijā, Venecuēlā un Dienvidsudānā, šo skaitli ir palielinājušas virs 100 miljoniem. </w:t>
      </w:r>
      <w:r>
        <w:rPr>
          <w:rFonts w:ascii="Times New Roman" w:hAnsi="Times New Roman"/>
          <w:noProof/>
          <w:sz w:val="24"/>
        </w:rPr>
        <w:t>Saskaņā ar ES globālajām saistībām iesaistīšanās šajā jomā ir pakāpeniski pārgājusi no īstermiņa humānās palīdzības pieejas uz ilgtermiņa attīstības pieeju, veicinot ilgtspējīgus risinājumus piespiedu kārtā pārvietotām personām un to uzņēmējkopienām saskaņā ar saikni starp humāno palīdzību, attīstību un mieru</w:t>
      </w:r>
      <w:r>
        <w:rPr>
          <w:rStyle w:val="FootnoteReference"/>
          <w:rFonts w:ascii="Times New Roman" w:hAnsi="Times New Roman" w:cs="Times New Roman"/>
          <w:noProof/>
          <w:sz w:val="24"/>
          <w:szCs w:val="24"/>
        </w:rPr>
        <w:footnoteReference w:id="90"/>
      </w:r>
      <w:r>
        <w:rPr>
          <w:rFonts w:ascii="Times New Roman" w:hAnsi="Times New Roman"/>
          <w:noProof/>
          <w:sz w:val="24"/>
        </w:rPr>
        <w:t>. ES ir viens no vadošajiem globālajiem dalībniekiem un līdzekļu devējiem, kas uzlabo aizsardzību un palīdzību piespiedu kārtā pārvietotām personām un to uzņēmējkopienām, glābj dzīvības un liek pamatus ilgtspējīgiem risinājumiem</w:t>
      </w:r>
      <w:bookmarkEnd w:id="18"/>
      <w:r>
        <w:rPr>
          <w:rFonts w:ascii="Times New Roman" w:hAnsi="Times New Roman"/>
          <w:noProof/>
          <w:sz w:val="24"/>
        </w:rPr>
        <w:t xml:space="preserve">. </w:t>
      </w:r>
    </w:p>
    <w:p w14:paraId="6B42BDCE" w14:textId="77777777" w:rsidR="00DC53E2" w:rsidRPr="00114E09" w:rsidRDefault="00DC53E2" w:rsidP="005758AA">
      <w:pPr>
        <w:pStyle w:val="ListParagraph"/>
        <w:numPr>
          <w:ilvl w:val="0"/>
          <w:numId w:val="29"/>
        </w:numPr>
        <w:spacing w:before="0" w:after="60"/>
        <w:ind w:left="425" w:hanging="357"/>
        <w:contextualSpacing w:val="0"/>
        <w:jc w:val="both"/>
        <w:rPr>
          <w:rFonts w:ascii="Times New Roman" w:hAnsi="Times New Roman" w:cs="Times New Roman"/>
          <w:b/>
          <w:i/>
          <w:noProof/>
          <w:sz w:val="24"/>
          <w:szCs w:val="24"/>
        </w:rPr>
      </w:pPr>
      <w:r>
        <w:rPr>
          <w:rFonts w:ascii="Times New Roman" w:hAnsi="Times New Roman"/>
          <w:b/>
          <w:i/>
          <w:noProof/>
          <w:sz w:val="24"/>
        </w:rPr>
        <w:t>Atbalsts valsts iekšienē pārvietotajām personām Ukrainā</w:t>
      </w:r>
    </w:p>
    <w:p w14:paraId="7A787B72" w14:textId="77777777" w:rsidR="00DC53E2" w:rsidRPr="00114E09" w:rsidRDefault="00DC53E2" w:rsidP="005758AA">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Humanitārā situācija Ukrainā joprojām ir satraucoša, un milzīgs kaitējums ir nodarīts civiliedzīvotājiem, jo īpaši valsts dienvidos un austrumos. Palīdzība ir vajadzīga 17,7 miljoniem cilvēku — vairāk nekā trešdaļai no kopējā iedzīvotāju skaita. Neraugoties uz apgrūtināto piekļuvi, starptautiskā humānā palīdzība ir sniegta vairāk nekā 13,3 miljoniem cilvēku visā valstī, pateicoties labai sadarbībai starp ES, ANO, starptautiskajām NVO un citām starptautiskajām organizācijām. Ar ES humānās palīdzības finansējumu ir sniegts atbalsts arī personām, kas aizbēgušas uz Moldovu. </w:t>
      </w:r>
    </w:p>
    <w:p w14:paraId="20700E46" w14:textId="173BFCC8" w:rsidR="007C679E" w:rsidRDefault="00DC53E2" w:rsidP="007C679E">
      <w:pPr>
        <w:pStyle w:val="ListParagraph"/>
        <w:spacing w:before="0" w:after="120"/>
        <w:ind w:left="0"/>
        <w:contextualSpacing w:val="0"/>
        <w:jc w:val="both"/>
        <w:rPr>
          <w:rFonts w:ascii="Times New Roman" w:hAnsi="Times New Roman" w:cs="Times New Roman"/>
          <w:noProof/>
          <w:sz w:val="24"/>
          <w:szCs w:val="24"/>
        </w:rPr>
      </w:pPr>
      <w:r>
        <w:rPr>
          <w:rFonts w:ascii="Times New Roman" w:hAnsi="Times New Roman"/>
          <w:noProof/>
          <w:sz w:val="24"/>
        </w:rPr>
        <w:t>ES izmanto visus iespējamos līdzekļus, lai palīdzētu atvieglot situāciju Ukrainā. Savienības civilās aizsardzības mehānisms (</w:t>
      </w:r>
      <w:r>
        <w:rPr>
          <w:rFonts w:ascii="Times New Roman" w:hAnsi="Times New Roman"/>
          <w:i/>
          <w:noProof/>
          <w:sz w:val="24"/>
        </w:rPr>
        <w:t>UCPM</w:t>
      </w:r>
      <w:r>
        <w:rPr>
          <w:rFonts w:ascii="Times New Roman" w:hAnsi="Times New Roman"/>
          <w:noProof/>
          <w:sz w:val="24"/>
        </w:rPr>
        <w:t xml:space="preserve">) ir īstenojis līdz šim lielāko operāciju, līdz septembra beigām piegādājot vairāk nekā 68 500 tonnu palīdzības satura, tai skaitā patvēruma moduļus. Ir tikuši piegādāti 300 ģeneratori un degviela, un pašlaik notiek sagatavošanās darbi gaidāmās ziemas vajadzībām. Uz ES ir evakuēti gandrīz 1500 smagi slimo pacientu. </w:t>
      </w:r>
    </w:p>
    <w:p w14:paraId="7B24CF1A" w14:textId="6C081C68" w:rsidR="00DC53E2" w:rsidRPr="00114E09" w:rsidRDefault="007C679E" w:rsidP="005758AA">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ES atbalsta arī Ukrainas skolu ātras atveseļošanas plānu, un pavisam nesen tā apņēmusies sniegt 100 miljonu EUR finansējumu skolu un bērnudārzu steidzamiem remontdarbiem. </w:t>
      </w:r>
    </w:p>
    <w:p w14:paraId="4E2A210A" w14:textId="77777777" w:rsidR="00DC53E2" w:rsidRPr="00114E09" w:rsidRDefault="00DC53E2" w:rsidP="005758AA">
      <w:pPr>
        <w:pStyle w:val="ListParagraph"/>
        <w:numPr>
          <w:ilvl w:val="0"/>
          <w:numId w:val="29"/>
        </w:numPr>
        <w:spacing w:before="0" w:after="60"/>
        <w:ind w:left="425" w:hanging="357"/>
        <w:contextualSpacing w:val="0"/>
        <w:jc w:val="both"/>
        <w:rPr>
          <w:rFonts w:ascii="Times New Roman" w:hAnsi="Times New Roman" w:cs="Times New Roman"/>
          <w:b/>
          <w:bCs/>
          <w:i/>
          <w:iCs/>
          <w:noProof/>
          <w:sz w:val="24"/>
          <w:szCs w:val="24"/>
        </w:rPr>
      </w:pPr>
      <w:r>
        <w:rPr>
          <w:rFonts w:ascii="Times New Roman" w:hAnsi="Times New Roman"/>
          <w:b/>
          <w:i/>
          <w:noProof/>
          <w:sz w:val="24"/>
        </w:rPr>
        <w:t>Atbalsts piespiedu kārtā pārvietotajām personām un uzņēmējkopienām Sīrijā, Libānā, Jordānijā, Turcijā un Irākā</w:t>
      </w:r>
    </w:p>
    <w:p w14:paraId="41425B91" w14:textId="3D5047DD" w:rsidR="00DC53E2" w:rsidRPr="00114E09" w:rsidRDefault="00DC53E2" w:rsidP="005758AA">
      <w:pPr>
        <w:spacing w:after="120" w:line="240" w:lineRule="auto"/>
        <w:jc w:val="both"/>
        <w:rPr>
          <w:rFonts w:ascii="Times New Roman" w:hAnsi="Times New Roman" w:cs="Times New Roman"/>
          <w:bCs/>
          <w:noProof/>
          <w:sz w:val="24"/>
          <w:szCs w:val="24"/>
        </w:rPr>
      </w:pPr>
      <w:r>
        <w:rPr>
          <w:rFonts w:ascii="Times New Roman" w:hAnsi="Times New Roman"/>
          <w:noProof/>
          <w:sz w:val="24"/>
        </w:rPr>
        <w:lastRenderedPageBreak/>
        <w:t xml:space="preserve">Pēc vienpadsmit gadiem </w:t>
      </w:r>
      <w:r>
        <w:rPr>
          <w:rFonts w:ascii="Times New Roman" w:hAnsi="Times New Roman"/>
          <w:b/>
          <w:noProof/>
          <w:sz w:val="24"/>
        </w:rPr>
        <w:t>Sīrijas krīze</w:t>
      </w:r>
      <w:r>
        <w:rPr>
          <w:rFonts w:ascii="Times New Roman" w:hAnsi="Times New Roman"/>
          <w:noProof/>
          <w:sz w:val="24"/>
        </w:rPr>
        <w:t xml:space="preserve"> vēl arvien ietekmē reģionālo stabilitāti, un daudziem ir nepieciešama palīdzība. ES un tās dalībvalstis joprojām ir apņēmušās atbalstīt centienus rast šīs krīzes politisku risinājumu saskaņā ar ANO Drošības padomes rezolūciju Nr. 2254</w:t>
      </w:r>
      <w:r>
        <w:rPr>
          <w:rStyle w:val="FootnoteReference"/>
          <w:rFonts w:ascii="Times New Roman" w:hAnsi="Times New Roman" w:cs="Times New Roman"/>
          <w:noProof/>
          <w:sz w:val="24"/>
          <w:szCs w:val="24"/>
        </w:rPr>
        <w:footnoteReference w:id="91"/>
      </w:r>
      <w:r>
        <w:rPr>
          <w:rFonts w:ascii="Times New Roman" w:hAnsi="Times New Roman"/>
          <w:noProof/>
          <w:sz w:val="24"/>
        </w:rPr>
        <w:t>, kas ļautu pārvietotajiem sīriešiem atgriezties dzimtenē, ja ir nodrošināti droši un cilvēka cienīgi apstākļi bez piespiedu nosacījumiem</w:t>
      </w:r>
      <w:r>
        <w:rPr>
          <w:rStyle w:val="FootnoteReference"/>
          <w:rFonts w:ascii="Times New Roman" w:hAnsi="Times New Roman" w:cs="Times New Roman"/>
          <w:noProof/>
          <w:sz w:val="24"/>
          <w:szCs w:val="24"/>
        </w:rPr>
        <w:footnoteReference w:id="92"/>
      </w:r>
      <w:r>
        <w:rPr>
          <w:rFonts w:ascii="Times New Roman" w:hAnsi="Times New Roman"/>
          <w:noProof/>
          <w:sz w:val="24"/>
        </w:rPr>
        <w:t xml:space="preserve">. Komisijas prioritāte joprojām ir veicināt pāreju Sīrijā, vienlaikus mazinot krīzes ietekmi un sniedzot tiešu atbalstu iedzīvotājiem. Viss atbalsts tiek īstenots, ievērojot stingrus operatīvos raksturlielumus. ES turpina solidarizēties ar </w:t>
      </w:r>
      <w:r>
        <w:rPr>
          <w:rFonts w:ascii="Times New Roman" w:hAnsi="Times New Roman"/>
          <w:b/>
          <w:noProof/>
          <w:sz w:val="24"/>
        </w:rPr>
        <w:t>Libānu</w:t>
      </w:r>
      <w:r>
        <w:rPr>
          <w:rFonts w:ascii="Times New Roman" w:hAnsi="Times New Roman"/>
          <w:noProof/>
          <w:sz w:val="24"/>
        </w:rPr>
        <w:t xml:space="preserve">, saglabājot atbalstu gan sīriešu bēgļiem, gan neaizsargātajiem libāniešiem, nodrošinot piekļuvi pamatpakalpojumiem un vienlaikus palīdzot arī uzņēmējkopienām, kā arī uzraugot izceļošanu. ES sniedz arī atbalstu </w:t>
      </w:r>
      <w:r>
        <w:rPr>
          <w:rFonts w:ascii="Times New Roman" w:hAnsi="Times New Roman"/>
          <w:b/>
          <w:noProof/>
          <w:sz w:val="24"/>
        </w:rPr>
        <w:t>Jordānijai</w:t>
      </w:r>
      <w:r>
        <w:rPr>
          <w:rFonts w:ascii="Times New Roman" w:hAnsi="Times New Roman"/>
          <w:noProof/>
          <w:sz w:val="24"/>
        </w:rPr>
        <w:t xml:space="preserve">, lai palīdzētu tai pārvarēt pandēmijas izraisītās sekas veselības un sociālekonomiskajā jomā, kā arī īstenot ar Sīrijas krīzi saistītos pasākumus. Atbalsts Sīrijas bēgļu integrācijai valsts sistēmās ir paredzēts arī Irākā. </w:t>
      </w:r>
    </w:p>
    <w:p w14:paraId="29BFA8D6" w14:textId="5008CDC2" w:rsidR="00DC53E2" w:rsidRPr="00FD3A72" w:rsidRDefault="00DC53E2" w:rsidP="00CA6AB9">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Galvenais satvars, kas regulē ES un Turcijas sadarbību migrācijas jomā, joprojām ir ES un Turcijas 2016. gada marta paziņojums, un ES uzsver, ka ir svarīgi īstenot visas paziņojumā paredzētās saistības. ES jo īpaši turpina mudināt Turciju atsākt atgriešanas operācijas no Grieķijas atbilstīgi paziņojumā uzņemtajām saistībām, kā arī novērst neatbilstīgu migrāciju uz ES dalībvalstīm. Turcijā ir viena no lielākajām bēgļu kopienām pasaulē — aptuveni 4 miljoni cilvēku, tai skaitā 3,7 miljoni sīriešu. ES turpina atbalstīt Turcijas centienus un mobilizē papildu finansējumu bēgļiem un viņus uzņēmējkopienām. 2023. gada sākumā Bēgļu atbalsta mehānisms Turcijā pāries no humānās palīdzības uz attīstības palīdzības sniegšanu izglītībai un pamatvajadzību nodrošināšanai. ES ir padziļinājusi dialogu ar Turciju par migrāciju, tai skaitā 2021. gada 12. oktobrī Ankarā pirmo reizi organizējot ES un Turcijas augsta līmeņa dialogu par migrāciju un drošību, kurā diskusijās tika izceltas kopīgās problēmas un abpusēja nepieciešamība strādāt pie jaunu migrācijas maršrutu un drošības apdraudējumu novēršanas. </w:t>
      </w:r>
    </w:p>
    <w:p w14:paraId="38BCE772" w14:textId="77777777" w:rsidR="00DC53E2" w:rsidRPr="00114E09" w:rsidRDefault="00DC53E2" w:rsidP="005758AA">
      <w:pPr>
        <w:pStyle w:val="ListParagraph"/>
        <w:numPr>
          <w:ilvl w:val="0"/>
          <w:numId w:val="29"/>
        </w:numPr>
        <w:spacing w:before="0" w:after="60"/>
        <w:ind w:left="425" w:hanging="357"/>
        <w:contextualSpacing w:val="0"/>
        <w:jc w:val="both"/>
        <w:rPr>
          <w:rFonts w:ascii="Times New Roman" w:hAnsi="Times New Roman" w:cs="Times New Roman"/>
          <w:i/>
          <w:noProof/>
          <w:sz w:val="24"/>
          <w:szCs w:val="24"/>
        </w:rPr>
      </w:pPr>
      <w:r>
        <w:rPr>
          <w:rFonts w:ascii="Times New Roman" w:hAnsi="Times New Roman"/>
          <w:b/>
          <w:i/>
          <w:noProof/>
          <w:sz w:val="24"/>
        </w:rPr>
        <w:t>Atbalsts pārvietotajām personām citās pasaules daļās</w:t>
      </w:r>
    </w:p>
    <w:p w14:paraId="4207C1C0" w14:textId="14F7ABAC" w:rsidR="00220513" w:rsidRDefault="00994837" w:rsidP="00220513">
      <w:pPr>
        <w:spacing w:after="120" w:line="240" w:lineRule="auto"/>
        <w:jc w:val="both"/>
        <w:rPr>
          <w:rFonts w:ascii="Times New Roman" w:hAnsi="Times New Roman" w:cs="Times New Roman"/>
          <w:noProof/>
          <w:sz w:val="24"/>
          <w:szCs w:val="24"/>
        </w:rPr>
      </w:pPr>
      <w:bookmarkStart w:id="19" w:name="_Hlk115524953"/>
      <w:r>
        <w:rPr>
          <w:rFonts w:ascii="Times New Roman" w:hAnsi="Times New Roman"/>
          <w:noProof/>
          <w:sz w:val="24"/>
        </w:rPr>
        <w:t xml:space="preserve">Neraugoties uz to, ka pieejamie līdzekļi ir lielā mērā nepieciešami Ukrainas krīzei un palīdzībai Sīrijas bēgļiem Turcijā un reģionā, ES joprojām ir apņēmības pilna palīdzēt piespiedu kārtā pārvietotām personām un to uzņēmējkopienām visā pasaulē: venecuēliešiem, kas uzņemti Kolumbijā, Ekvadorā un Peru, pārvietotām personām Mjanmā un no tās, valsts iekšienē pārvietotām personām un bēgļiem Irākā, Etiopijā un Sudānā, kā arī afgāņiem, kas uzņemti Irānā un Pakistānā. </w:t>
      </w:r>
    </w:p>
    <w:bookmarkEnd w:id="19"/>
    <w:p w14:paraId="3EA0CB93" w14:textId="77777777" w:rsidR="00DC53E2" w:rsidRPr="00114E09" w:rsidRDefault="00DC53E2" w:rsidP="005758AA">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ES ir aktīva dalībniece </w:t>
      </w:r>
      <w:r>
        <w:rPr>
          <w:rFonts w:ascii="Times New Roman" w:hAnsi="Times New Roman"/>
          <w:b/>
          <w:noProof/>
          <w:sz w:val="24"/>
        </w:rPr>
        <w:t>reģionālajās atbalsta platformās</w:t>
      </w:r>
      <w:r>
        <w:rPr>
          <w:rStyle w:val="FootnoteReference"/>
          <w:rFonts w:ascii="Times New Roman" w:hAnsi="Times New Roman" w:cs="Times New Roman"/>
          <w:noProof/>
          <w:sz w:val="24"/>
          <w:szCs w:val="24"/>
          <w:lang w:eastAsia="en-GB"/>
        </w:rPr>
        <w:footnoteReference w:id="93"/>
      </w:r>
      <w:r>
        <w:rPr>
          <w:rFonts w:ascii="Times New Roman" w:hAnsi="Times New Roman"/>
          <w:noProof/>
          <w:sz w:val="24"/>
        </w:rPr>
        <w:t xml:space="preserve">, kas tika izveidotas 2019. gada Pasaules bēgļu forumā, un tā sniedz politisku un finansiālu atbalstu, izmantojot humāno palīdzību un attīstības sadarbību. </w:t>
      </w:r>
    </w:p>
    <w:p w14:paraId="39AEA4AA" w14:textId="77777777" w:rsidR="00092F96" w:rsidRPr="00114E09" w:rsidRDefault="00220513" w:rsidP="00092F96">
      <w:pPr>
        <w:spacing w:after="120" w:line="240" w:lineRule="auto"/>
        <w:jc w:val="both"/>
        <w:rPr>
          <w:rFonts w:ascii="Times New Roman" w:hAnsi="Times New Roman" w:cs="Times New Roman"/>
          <w:bCs/>
          <w:noProof/>
          <w:sz w:val="24"/>
          <w:szCs w:val="24"/>
        </w:rPr>
      </w:pPr>
      <w:r>
        <w:rPr>
          <w:rFonts w:ascii="Times New Roman" w:hAnsi="Times New Roman"/>
          <w:b/>
          <w:noProof/>
          <w:sz w:val="24"/>
        </w:rPr>
        <w:t>Āfrikā</w:t>
      </w:r>
      <w:r>
        <w:rPr>
          <w:rFonts w:ascii="Times New Roman" w:hAnsi="Times New Roman"/>
          <w:noProof/>
          <w:sz w:val="24"/>
        </w:rPr>
        <w:t xml:space="preserve"> ES un </w:t>
      </w:r>
      <w:r>
        <w:rPr>
          <w:rFonts w:ascii="Times New Roman" w:hAnsi="Times New Roman"/>
          <w:i/>
          <w:noProof/>
          <w:sz w:val="24"/>
        </w:rPr>
        <w:t>IOM</w:t>
      </w:r>
      <w:r>
        <w:rPr>
          <w:rFonts w:ascii="Times New Roman" w:hAnsi="Times New Roman"/>
          <w:noProof/>
          <w:sz w:val="24"/>
        </w:rPr>
        <w:t xml:space="preserve"> kopīgā iniciatīva migrantu aizsardzībai un reintegrācijai turpināja reaģēt uz grūtībās nonākušo un neaizsargāto migrantu vajadzībām 26 Āfrikas valstīs, palīdzot ceļā esošām personām, piedāvājot brīvprātīgas atgriešanās palīdzību tiem, kuri nolemj atgriezties, un atbalstot personas, kas atgriežas, un viņu kopienas reintegrācijas procesā. </w:t>
      </w:r>
      <w:r>
        <w:rPr>
          <w:rFonts w:ascii="Times New Roman" w:hAnsi="Times New Roman"/>
          <w:b/>
          <w:noProof/>
          <w:sz w:val="24"/>
        </w:rPr>
        <w:t>Ārkārtas tranzīta mehānisms</w:t>
      </w:r>
      <w:r>
        <w:rPr>
          <w:rFonts w:ascii="Times New Roman" w:hAnsi="Times New Roman"/>
          <w:noProof/>
          <w:sz w:val="24"/>
        </w:rPr>
        <w:t xml:space="preserve"> turpina nodrošināt drošu telpu un ilgtermiņa risinājumus visneaizsargātākajiem patvēruma meklētājiem un bēgļiem Lībijā, gādājot par iespēju viņus evakuēt uz Nigēru un Ruandu, lai pēc tam pārmitinātu uz ES dalībvalstīm un citām partnervalstīm. </w:t>
      </w:r>
    </w:p>
    <w:p w14:paraId="7BEFD490" w14:textId="77777777" w:rsidR="00DC53E2" w:rsidRPr="00114E09" w:rsidRDefault="00DC53E2" w:rsidP="005758AA">
      <w:pPr>
        <w:spacing w:after="120" w:line="240" w:lineRule="auto"/>
        <w:jc w:val="both"/>
        <w:rPr>
          <w:rFonts w:ascii="Times New Roman" w:hAnsi="Times New Roman" w:cs="Times New Roman"/>
          <w:noProof/>
          <w:sz w:val="24"/>
          <w:szCs w:val="24"/>
        </w:rPr>
      </w:pPr>
      <w:r>
        <w:rPr>
          <w:rFonts w:ascii="Times New Roman" w:hAnsi="Times New Roman"/>
          <w:b/>
          <w:noProof/>
          <w:sz w:val="24"/>
        </w:rPr>
        <w:t>Āzijā</w:t>
      </w:r>
      <w:r>
        <w:rPr>
          <w:rFonts w:ascii="Times New Roman" w:hAnsi="Times New Roman"/>
          <w:noProof/>
          <w:sz w:val="24"/>
        </w:rPr>
        <w:t xml:space="preserve"> ES ir uzņēmusies vadošo politisko un finansiālo lomu saistībā ar personu no </w:t>
      </w:r>
      <w:r>
        <w:rPr>
          <w:rFonts w:ascii="Times New Roman" w:hAnsi="Times New Roman"/>
          <w:b/>
          <w:noProof/>
          <w:sz w:val="24"/>
        </w:rPr>
        <w:t>Afganistānas</w:t>
      </w:r>
      <w:r>
        <w:rPr>
          <w:rFonts w:ascii="Times New Roman" w:hAnsi="Times New Roman"/>
          <w:noProof/>
          <w:sz w:val="24"/>
        </w:rPr>
        <w:t xml:space="preserve"> pārvietošanu reģionā, tai skaitā vadot Afganistānas bēgļu atbalsta platformas </w:t>
      </w:r>
      <w:r>
        <w:rPr>
          <w:rFonts w:ascii="Times New Roman" w:hAnsi="Times New Roman"/>
          <w:noProof/>
          <w:sz w:val="24"/>
        </w:rPr>
        <w:lastRenderedPageBreak/>
        <w:t>“Risinājumu stratēģija Afganistānas bēgļu atbalstam” pamatgrupu</w:t>
      </w:r>
      <w:r>
        <w:rPr>
          <w:rFonts w:ascii="Times New Roman" w:hAnsi="Times New Roman" w:cs="Times New Roman"/>
          <w:noProof/>
          <w:sz w:val="24"/>
          <w:szCs w:val="24"/>
          <w:vertAlign w:val="superscript"/>
        </w:rPr>
        <w:footnoteReference w:id="94"/>
      </w:r>
      <w:r>
        <w:rPr>
          <w:rFonts w:ascii="Times New Roman" w:hAnsi="Times New Roman"/>
          <w:noProof/>
          <w:sz w:val="24"/>
        </w:rPr>
        <w:t xml:space="preserve">, sniedzot atbalstu vairāk nekā 5,9 miljoniem afgāņu, kas saskaņā ar aplēsēm ir pārvietoti Afganistānas iekšienē, kā arī pārvietotajām personām un to uzņēmējkopienām </w:t>
      </w:r>
      <w:r>
        <w:rPr>
          <w:rFonts w:ascii="Times New Roman" w:hAnsi="Times New Roman"/>
          <w:b/>
          <w:noProof/>
          <w:sz w:val="24"/>
        </w:rPr>
        <w:t>Irānā un Pakistānā</w:t>
      </w:r>
      <w:r>
        <w:rPr>
          <w:rFonts w:ascii="Times New Roman" w:hAnsi="Times New Roman"/>
          <w:noProof/>
          <w:sz w:val="24"/>
        </w:rPr>
        <w:t xml:space="preserve">. </w:t>
      </w:r>
      <w:r>
        <w:rPr>
          <w:rFonts w:ascii="Times New Roman" w:hAnsi="Times New Roman"/>
          <w:b/>
          <w:noProof/>
          <w:sz w:val="24"/>
        </w:rPr>
        <w:t>Mjanmā</w:t>
      </w:r>
      <w:r>
        <w:rPr>
          <w:rFonts w:ascii="Times New Roman" w:hAnsi="Times New Roman"/>
          <w:noProof/>
          <w:sz w:val="24"/>
        </w:rPr>
        <w:t xml:space="preserve"> 2022. gadā ES ir piešķīrusi finansējumu humānajai palīdzībai, lai nodrošinātu visneaizsargātāko iedzīvotāju neatliekamās vajadzības konflikta skartajās kopienās un gan iekšzemē pārvietotajām personām, gan arī aptuveni vienam miljonam rohingu bēgļu, kas dzīvo nometnēs un apmetnēs Bangladešā. </w:t>
      </w:r>
    </w:p>
    <w:p w14:paraId="3ABA8B1A" w14:textId="64514D1C" w:rsidR="00DC53E2" w:rsidRDefault="00DC53E2" w:rsidP="005758AA">
      <w:pPr>
        <w:pStyle w:val="paragraph"/>
        <w:spacing w:before="0" w:beforeAutospacing="0" w:after="120" w:afterAutospacing="0"/>
        <w:jc w:val="both"/>
        <w:textAlignment w:val="baseline"/>
        <w:rPr>
          <w:noProof/>
        </w:rPr>
      </w:pPr>
      <w:r>
        <w:rPr>
          <w:noProof/>
        </w:rPr>
        <w:t xml:space="preserve">Balstoties uz pastiprināto dialogu, kas tika uzsākts pēc Baltkrievijas režīma veiktās Irākas migrantu instrumentalizācijas, ES un </w:t>
      </w:r>
      <w:r>
        <w:rPr>
          <w:b/>
          <w:noProof/>
        </w:rPr>
        <w:t>Irāka</w:t>
      </w:r>
      <w:r>
        <w:rPr>
          <w:noProof/>
        </w:rPr>
        <w:t xml:space="preserve"> sadarbojas, lai reintegrētu personas, kas atgriežas, un pārvietotos iedzīvotājus.  </w:t>
      </w:r>
    </w:p>
    <w:p w14:paraId="217748C7" w14:textId="77777777" w:rsidR="00DC53E2" w:rsidRPr="00114E09" w:rsidRDefault="00DC53E2" w:rsidP="00836025">
      <w:pPr>
        <w:spacing w:after="120" w:line="240" w:lineRule="auto"/>
        <w:jc w:val="both"/>
        <w:rPr>
          <w:rFonts w:ascii="Times New Roman" w:hAnsi="Times New Roman" w:cs="Times New Roman"/>
          <w:b/>
          <w:i/>
          <w:noProof/>
          <w:sz w:val="24"/>
          <w:szCs w:val="24"/>
        </w:rPr>
      </w:pPr>
      <w:r>
        <w:rPr>
          <w:rFonts w:ascii="Times New Roman" w:hAnsi="Times New Roman"/>
          <w:b/>
          <w:i/>
          <w:noProof/>
          <w:sz w:val="24"/>
        </w:rPr>
        <w:t>Ekonomisko iespēju veidošana un neatbilstīgas migrācijas pamatcēloņu novēršana</w:t>
      </w:r>
    </w:p>
    <w:p w14:paraId="782FB615" w14:textId="77777777" w:rsidR="00DC53E2" w:rsidRPr="00114E09" w:rsidRDefault="00DC53E2" w:rsidP="005758AA">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ES </w:t>
      </w:r>
      <w:r>
        <w:rPr>
          <w:rFonts w:ascii="Times New Roman" w:hAnsi="Times New Roman"/>
          <w:b/>
          <w:noProof/>
          <w:sz w:val="24"/>
        </w:rPr>
        <w:t>sadarbībai attīstības jomā</w:t>
      </w:r>
      <w:r>
        <w:rPr>
          <w:rFonts w:ascii="Times New Roman" w:hAnsi="Times New Roman"/>
          <w:noProof/>
          <w:sz w:val="24"/>
        </w:rPr>
        <w:t xml:space="preserve"> ir gan vidēja termiņa, gan ilgtermiņa ietekme uz neatbilstīgas migrācijas un piespiedu pārvietošanas strukturālo pamatcēloņu novēršanu. Migrāciju var tieši ietekmēt darbības tādās jomās kā laba pārvaldība, konfliktu novēršana un klimata pārmaiņu mazināšana, kā arī sociālekonomiskā attīstība. Ar stratēģijas </w:t>
      </w:r>
      <w:r>
        <w:rPr>
          <w:rFonts w:ascii="Times New Roman" w:hAnsi="Times New Roman"/>
          <w:b/>
          <w:i/>
          <w:noProof/>
          <w:sz w:val="24"/>
        </w:rPr>
        <w:t>Global Gateway</w:t>
      </w:r>
      <w:r>
        <w:rPr>
          <w:rStyle w:val="FootnoteReference"/>
          <w:rFonts w:ascii="Times New Roman" w:hAnsi="Times New Roman" w:cs="Times New Roman"/>
          <w:noProof/>
          <w:sz w:val="24"/>
          <w:szCs w:val="24"/>
        </w:rPr>
        <w:footnoteReference w:id="95"/>
      </w:r>
      <w:r>
        <w:rPr>
          <w:rFonts w:ascii="Times New Roman" w:hAnsi="Times New Roman"/>
          <w:noProof/>
          <w:sz w:val="24"/>
        </w:rPr>
        <w:t xml:space="preserve"> palīdzību ES palīdz mazināt globālo investīciju plaisu, atbalsta globālās ekonomikas atveseļošanos un sekmē divējādo zaļo un digitālo pārkārtošanos aiz Eiropas robežām. Īpašas iniciatīvas, ko īsteno kā daļu no </w:t>
      </w:r>
      <w:r>
        <w:rPr>
          <w:rFonts w:ascii="Times New Roman" w:hAnsi="Times New Roman"/>
          <w:i/>
          <w:noProof/>
          <w:sz w:val="24"/>
        </w:rPr>
        <w:t>Global Gateway</w:t>
      </w:r>
      <w:r>
        <w:rPr>
          <w:rFonts w:ascii="Times New Roman" w:hAnsi="Times New Roman"/>
          <w:noProof/>
          <w:sz w:val="24"/>
        </w:rPr>
        <w:t>, ir vērstas uz konkrētiem reģioniem, piemēram, dienvidu kaimiņreģionu, Āfriku un Latīņameriku</w:t>
      </w:r>
      <w:r>
        <w:rPr>
          <w:rStyle w:val="FootnoteReference"/>
          <w:rFonts w:ascii="Times New Roman" w:hAnsi="Times New Roman" w:cs="Times New Roman"/>
          <w:noProof/>
          <w:sz w:val="24"/>
          <w:szCs w:val="24"/>
        </w:rPr>
        <w:footnoteReference w:id="96"/>
      </w:r>
      <w:r>
        <w:rPr>
          <w:rFonts w:ascii="Times New Roman" w:hAnsi="Times New Roman"/>
          <w:noProof/>
          <w:sz w:val="24"/>
        </w:rPr>
        <w:t xml:space="preserve">, stimulējot ilgtermiņa sociālekonomisko atveseļošanos un ilgtspējīgu attīstību kopumā. Tiek veiktas arī darbības, kas īpaši vērstas uz migrantu un uzņēmējkopienu iespējām un nodarbināmību. </w:t>
      </w:r>
    </w:p>
    <w:p w14:paraId="596941E2" w14:textId="07F37B0E" w:rsidR="00DC53E2" w:rsidRPr="00114E09" w:rsidRDefault="00DC53E2" w:rsidP="005758AA">
      <w:pPr>
        <w:pStyle w:val="ListParagraph"/>
        <w:spacing w:before="0" w:after="120"/>
        <w:ind w:left="0"/>
        <w:contextualSpacing w:val="0"/>
        <w:jc w:val="both"/>
        <w:rPr>
          <w:rFonts w:ascii="Times New Roman" w:hAnsi="Times New Roman" w:cs="Times New Roman"/>
          <w:b/>
          <w:i/>
          <w:noProof/>
          <w:sz w:val="24"/>
          <w:szCs w:val="24"/>
        </w:rPr>
      </w:pPr>
      <w:r>
        <w:rPr>
          <w:rFonts w:ascii="Times New Roman" w:hAnsi="Times New Roman"/>
          <w:b/>
          <w:i/>
          <w:noProof/>
          <w:sz w:val="24"/>
        </w:rPr>
        <w:t>Partnerības migrācijas pārvaldības un vadības stiprināšanai</w:t>
      </w:r>
    </w:p>
    <w:p w14:paraId="3611577D" w14:textId="77777777" w:rsidR="00DC53E2" w:rsidRPr="00114E09" w:rsidRDefault="00DC53E2" w:rsidP="005758AA">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Partnerībām ar galvenajām trešām valstīm ir jāatspoguļo līdzsvars starp to vajadzībām un ES interesēm. Pagājušajā gadā ir panākts progress atgriešanas, atpakaļuzņemšanas, robežu pārvaldības un kontrabandas tīklu jautājumu risināšanā. </w:t>
      </w:r>
    </w:p>
    <w:p w14:paraId="52562ED3" w14:textId="77777777" w:rsidR="00DC53E2" w:rsidRPr="00114E09" w:rsidRDefault="00DC53E2" w:rsidP="005758AA">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Ar aizvien lielāku skaitu galveno partneru tiek īstenota </w:t>
      </w:r>
      <w:r>
        <w:rPr>
          <w:rFonts w:ascii="Times New Roman" w:hAnsi="Times New Roman"/>
          <w:b/>
          <w:noProof/>
          <w:sz w:val="24"/>
        </w:rPr>
        <w:t>operatīvā sadarbība robežu pārvaldības jomā</w:t>
      </w:r>
      <w:r>
        <w:rPr>
          <w:rFonts w:ascii="Times New Roman" w:hAnsi="Times New Roman"/>
          <w:noProof/>
          <w:sz w:val="24"/>
        </w:rPr>
        <w:t>. Eiropas Robežu un krasta apsardzes statusa nolīgumi</w:t>
      </w:r>
      <w:r>
        <w:rPr>
          <w:rStyle w:val="FootnoteReference"/>
          <w:rFonts w:ascii="Times New Roman" w:hAnsi="Times New Roman" w:cs="Times New Roman"/>
          <w:noProof/>
          <w:sz w:val="24"/>
          <w:szCs w:val="24"/>
          <w:lang w:eastAsia="en-GB"/>
        </w:rPr>
        <w:footnoteReference w:id="97"/>
      </w:r>
      <w:r>
        <w:rPr>
          <w:rFonts w:ascii="Times New Roman" w:hAnsi="Times New Roman"/>
          <w:noProof/>
          <w:sz w:val="24"/>
        </w:rPr>
        <w:t xml:space="preserve"> ar Albāniju, Melnkalni un Serbiju ļauj </w:t>
      </w:r>
      <w:r>
        <w:rPr>
          <w:rFonts w:ascii="Times New Roman" w:hAnsi="Times New Roman"/>
          <w:i/>
          <w:noProof/>
          <w:sz w:val="24"/>
        </w:rPr>
        <w:t>Frontex</w:t>
      </w:r>
      <w:r>
        <w:rPr>
          <w:rFonts w:ascii="Times New Roman" w:hAnsi="Times New Roman"/>
          <w:noProof/>
          <w:sz w:val="24"/>
        </w:rPr>
        <w:t xml:space="preserve"> izvietot Eiropas Robežu un krasta apsardzes pastāvīgā korpusa vienības un tehnisko aprīkojumu šo partnervalstu teritorijā. Tam ir tieša ietekme uz neatbilstīgas migrācijas un organizētās noziedzības apkarošanu. Pašlaik tiek gatavots statusa nolīgums ar Ziemeļmaķedoniju</w:t>
      </w:r>
      <w:r>
        <w:rPr>
          <w:rStyle w:val="FootnoteReference"/>
          <w:rFonts w:ascii="Times New Roman" w:hAnsi="Times New Roman" w:cs="Times New Roman"/>
          <w:noProof/>
          <w:sz w:val="24"/>
          <w:szCs w:val="24"/>
        </w:rPr>
        <w:footnoteReference w:id="98"/>
      </w:r>
      <w:r>
        <w:rPr>
          <w:rFonts w:ascii="Times New Roman" w:hAnsi="Times New Roman"/>
          <w:noProof/>
          <w:sz w:val="24"/>
        </w:rPr>
        <w:t>, un Komisija gatavojas ieteikt mandātu sarunām par statusa nolīgumu ar Bosniju un Hercegovinu. Tika panākta vienošanās par statusa nolīgumu ar Moldovu, un tas stājās spēkā rekordīsā laikā. Sarunu mandāti par statusa nolīgumiem ar Senegālu un Mauritāniju</w:t>
      </w:r>
      <w:r>
        <w:rPr>
          <w:rStyle w:val="FootnoteReference"/>
          <w:rFonts w:ascii="Times New Roman" w:hAnsi="Times New Roman" w:cs="Times New Roman"/>
          <w:noProof/>
          <w:sz w:val="24"/>
          <w:szCs w:val="24"/>
          <w:lang w:eastAsia="en-GB"/>
        </w:rPr>
        <w:footnoteReference w:id="99"/>
      </w:r>
      <w:r>
        <w:rPr>
          <w:rFonts w:ascii="Times New Roman" w:hAnsi="Times New Roman"/>
          <w:noProof/>
          <w:sz w:val="24"/>
        </w:rPr>
        <w:t xml:space="preserve"> ir pirmie, kas piešķirti attiecībā uz partnervalstīm Āfrikā, un to mērķis ir atbalstīt robežu pārvaldību, apkarot migrantu kontrabandu un samazināt neatbilstīgu migrāciju Atlantijas okeāna maršrutā. Jau ir noslēgts sadarbības nolīgums starp </w:t>
      </w:r>
      <w:r>
        <w:rPr>
          <w:rFonts w:ascii="Times New Roman" w:hAnsi="Times New Roman"/>
          <w:i/>
          <w:noProof/>
          <w:sz w:val="24"/>
        </w:rPr>
        <w:t>Frontex</w:t>
      </w:r>
      <w:r>
        <w:rPr>
          <w:rFonts w:ascii="Times New Roman" w:hAnsi="Times New Roman"/>
          <w:noProof/>
          <w:sz w:val="24"/>
        </w:rPr>
        <w:t xml:space="preserve"> un </w:t>
      </w:r>
      <w:r>
        <w:rPr>
          <w:rFonts w:ascii="Times New Roman" w:hAnsi="Times New Roman"/>
          <w:noProof/>
          <w:sz w:val="24"/>
        </w:rPr>
        <w:lastRenderedPageBreak/>
        <w:t xml:space="preserve">kopējās drošības un aizsardzības politikas (KDAP) misiju </w:t>
      </w:r>
      <w:r>
        <w:rPr>
          <w:rFonts w:ascii="Times New Roman" w:hAnsi="Times New Roman"/>
          <w:i/>
          <w:noProof/>
          <w:sz w:val="24"/>
        </w:rPr>
        <w:t>EUCAP Sahel Niger</w:t>
      </w:r>
      <w:r>
        <w:rPr>
          <w:rFonts w:ascii="Times New Roman" w:hAnsi="Times New Roman"/>
          <w:noProof/>
          <w:sz w:val="24"/>
        </w:rPr>
        <w:t xml:space="preserve">. Arī </w:t>
      </w:r>
      <w:r>
        <w:rPr>
          <w:rFonts w:ascii="Times New Roman" w:hAnsi="Times New Roman"/>
          <w:i/>
          <w:noProof/>
          <w:sz w:val="24"/>
        </w:rPr>
        <w:t>Frontex</w:t>
      </w:r>
      <w:r>
        <w:rPr>
          <w:rFonts w:ascii="Times New Roman" w:hAnsi="Times New Roman"/>
          <w:noProof/>
          <w:sz w:val="24"/>
        </w:rPr>
        <w:t xml:space="preserve"> un Nigēra ir tuvu tam, lai vienotos par sadarbības nolīgumu. Notiek sarunas par sadarbības nolīgumu ar </w:t>
      </w:r>
      <w:r>
        <w:rPr>
          <w:rFonts w:ascii="Times New Roman" w:hAnsi="Times New Roman"/>
          <w:i/>
          <w:noProof/>
          <w:sz w:val="24"/>
        </w:rPr>
        <w:t>EUBAM Libya</w:t>
      </w:r>
      <w:r>
        <w:rPr>
          <w:rFonts w:ascii="Times New Roman" w:hAnsi="Times New Roman"/>
          <w:noProof/>
          <w:sz w:val="24"/>
        </w:rPr>
        <w:t xml:space="preserve"> un </w:t>
      </w:r>
      <w:r>
        <w:rPr>
          <w:rFonts w:ascii="Times New Roman" w:hAnsi="Times New Roman"/>
          <w:i/>
          <w:noProof/>
          <w:sz w:val="24"/>
        </w:rPr>
        <w:t>EUAM Ukraine</w:t>
      </w:r>
      <w:r>
        <w:rPr>
          <w:rFonts w:ascii="Times New Roman" w:hAnsi="Times New Roman"/>
          <w:noProof/>
          <w:sz w:val="24"/>
        </w:rPr>
        <w:t>.</w:t>
      </w:r>
    </w:p>
    <w:p w14:paraId="4F4F3B61" w14:textId="7E1F73D2" w:rsidR="00DC53E2" w:rsidRPr="00114E09" w:rsidRDefault="00DC53E2" w:rsidP="005758AA">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Nozīmīgu ieguldījumu turpina sniegt </w:t>
      </w:r>
      <w:r>
        <w:rPr>
          <w:rFonts w:ascii="Times New Roman" w:hAnsi="Times New Roman"/>
          <w:b/>
          <w:noProof/>
          <w:sz w:val="24"/>
        </w:rPr>
        <w:t>KDAP misijas un operācijas</w:t>
      </w:r>
      <w:r>
        <w:rPr>
          <w:rFonts w:ascii="Times New Roman" w:hAnsi="Times New Roman"/>
          <w:noProof/>
          <w:sz w:val="24"/>
        </w:rPr>
        <w:t xml:space="preserve">, ja to pilnvarās ietilpst cīņa pret neatbilstīgu migrāciju vai migrantu kontrabandu. Civilās misijas Lībijā, Nigērā, Mali, Irākā, Kosovā* un Palestīnā atbalsta uzņēmējvalsts iestādes to centienos stiprināt savas robežu pārvaldības spējas, risināt neatbilstīgas migrācijas un migrantu kontrabandas problēmas, kā arī drošības problēmas, piemēram, cilvēku tirdzniecību. </w:t>
      </w:r>
    </w:p>
    <w:p w14:paraId="2DA5D334" w14:textId="77777777" w:rsidR="00665355" w:rsidRDefault="00665355" w:rsidP="005758AA">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Kā minēts iepriekš, </w:t>
      </w:r>
      <w:r>
        <w:rPr>
          <w:rFonts w:ascii="Times New Roman" w:hAnsi="Times New Roman"/>
          <w:b/>
          <w:noProof/>
          <w:sz w:val="24"/>
        </w:rPr>
        <w:t>atgriešanās un atpakaļuzņemšana</w:t>
      </w:r>
      <w:r>
        <w:rPr>
          <w:rFonts w:ascii="Times New Roman" w:hAnsi="Times New Roman"/>
          <w:noProof/>
          <w:sz w:val="24"/>
        </w:rPr>
        <w:t xml:space="preserve"> ir būtisks migrācijas pārvaldības attiecību aspekts. Ikgadējais novērtējums saskaņā ar Vīzu kodeksa 25.a pantu palīdz apzināt konkrētas problēmas sadarbībā ar trešām valstīm atpakaļuzņemšanas jomā un nodrošināt, ka šīs problēmas tiek regulāri risinātas, mērķtiecīgi iesaistoties atpakaļuzņemšanas procesā vai plašākā dialogā par migrāciju. Šāda pastiprināta iesaistīšanās palīdz nodrošināt, ka progress saistībā ar atpakaļuzņemšanu un citās partnerattiecību ar trešām valstīm jomās notiek paralēli. Pēc pirmā novērtējuma ziņojuma par sadarbību atpakaļuzņemšanas jomā 2019. gadā pieņemšanas Komisija ierosināja Padomei pieņemt pagaidu ierobežojošus pasākumus attiecībā uz īstermiņa vīzām Bangladešai, Irākai un Gambijai</w:t>
      </w:r>
      <w:r>
        <w:rPr>
          <w:rStyle w:val="FootnoteReference"/>
          <w:rFonts w:ascii="Times New Roman" w:hAnsi="Times New Roman" w:cs="Times New Roman"/>
          <w:noProof/>
          <w:sz w:val="24"/>
          <w:szCs w:val="24"/>
          <w:lang w:eastAsia="en-GB"/>
        </w:rPr>
        <w:footnoteReference w:id="100"/>
      </w:r>
      <w:r>
        <w:rPr>
          <w:rFonts w:ascii="Times New Roman" w:hAnsi="Times New Roman"/>
          <w:noProof/>
          <w:sz w:val="24"/>
        </w:rPr>
        <w:t>, ņemot vērā šo valstu nepietiekamo sadarbības līmeni atpakaļuzņemšanas jomā un ES vispārējās attiecības ar šīm valstīm. 2021. gada oktobrī Padome pieņēma pagaidu ierobežojošus pasākumus attiecībā uz Gambiju. Tie joprojām ir spēkā, taču ir sperti svarīgi soļi uz priekšu, atceļot piespiedu atgriešanas moratoriju (2022. gada martā). Pēc ciešas sadarbības ar Bangladešu un Irāku, ņemot vērā panākto progresu, Padome nolēma Bangladešai pasākumus nepiemērot. Sadarbība ar Irāku joprojām tiek rūpīgi vērtēta. 2021. gada decembrī Komisija pieņēma otro novērtējumu par sadarbību atpakaļuzņemšanas jomā 2020. gadā un kopā ar Augsto pārstāvi pastiprināja sadarbību ar vairākām partnervalstīm, kurās nepietiekamas sadarbības dēļ atpakaļuzņemšanas jomā bija vajadzīga turpmāka rīcība. Šīs sadarbības rezultātus Komisija izmantos, pieņemot lēmumu par iespējamiem pasākumiem saistībā ar vīzām, ņemot vērā ES vispārējās attiecības ar attiecīgajām trešām valstīm. Trešo novērtējuma ziņojumu paredzēts pieņemt gada beigās.</w:t>
      </w:r>
    </w:p>
    <w:p w14:paraId="4E47D08C" w14:textId="63B1D17E" w:rsidR="007D2CC3" w:rsidRPr="0001587C" w:rsidRDefault="007D2CC3" w:rsidP="007D2CC3">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Komisija 2022. gada 6. aprīlī ierosināja atbrīvot </w:t>
      </w:r>
      <w:r>
        <w:rPr>
          <w:rFonts w:ascii="Times New Roman" w:hAnsi="Times New Roman"/>
          <w:b/>
          <w:noProof/>
          <w:sz w:val="24"/>
        </w:rPr>
        <w:t>Kataras un Kuveitas</w:t>
      </w:r>
      <w:r>
        <w:rPr>
          <w:rFonts w:ascii="Times New Roman" w:hAnsi="Times New Roman"/>
          <w:noProof/>
          <w:sz w:val="24"/>
        </w:rPr>
        <w:t xml:space="preserve"> valstspiederīgos no vīzas prasības īstermiņa uzturēšanās vajadzībām ES</w:t>
      </w:r>
      <w:r>
        <w:rPr>
          <w:rStyle w:val="FootnoteReference"/>
          <w:rFonts w:ascii="Times New Roman" w:hAnsi="Times New Roman" w:cs="Times New Roman"/>
          <w:noProof/>
          <w:sz w:val="24"/>
          <w:szCs w:val="24"/>
          <w:lang w:eastAsia="fr-BE"/>
        </w:rPr>
        <w:footnoteReference w:id="101"/>
      </w:r>
      <w:r>
        <w:rPr>
          <w:rFonts w:ascii="Times New Roman" w:hAnsi="Times New Roman"/>
          <w:noProof/>
          <w:sz w:val="24"/>
        </w:rPr>
        <w:t xml:space="preserve">. Komisija saglabā savu 2018. gada jūlija novērtējumu, ka </w:t>
      </w:r>
      <w:r>
        <w:rPr>
          <w:rFonts w:ascii="Times New Roman" w:hAnsi="Times New Roman"/>
          <w:b/>
          <w:noProof/>
          <w:sz w:val="24"/>
        </w:rPr>
        <w:t>Kosova</w:t>
      </w:r>
      <w:r>
        <w:rPr>
          <w:rFonts w:ascii="Times New Roman" w:hAnsi="Times New Roman"/>
          <w:noProof/>
          <w:sz w:val="24"/>
        </w:rPr>
        <w:t xml:space="preserve"> ir izpildījusi visus vīzu režīma liberalizācijas kritērijus</w:t>
      </w:r>
      <w:r>
        <w:rPr>
          <w:rStyle w:val="FootnoteReference"/>
          <w:rFonts w:ascii="Times New Roman" w:hAnsi="Times New Roman" w:cs="Times New Roman"/>
          <w:noProof/>
          <w:sz w:val="24"/>
          <w:szCs w:val="24"/>
          <w:lang w:eastAsia="fr-BE"/>
        </w:rPr>
        <w:footnoteReference w:id="102"/>
      </w:r>
      <w:r>
        <w:rPr>
          <w:rFonts w:ascii="Times New Roman" w:hAnsi="Times New Roman"/>
          <w:noProof/>
          <w:sz w:val="24"/>
        </w:rPr>
        <w:t xml:space="preserve"> un ka Kosovas iedzīvotājiem būtu jāpiešķir bezvīzu režīms. </w:t>
      </w:r>
    </w:p>
    <w:p w14:paraId="4DA438FF" w14:textId="4C7EC290" w:rsidR="0032668E" w:rsidRDefault="0032668E" w:rsidP="005758AA">
      <w:pPr>
        <w:spacing w:after="120" w:line="240" w:lineRule="auto"/>
        <w:jc w:val="both"/>
        <w:rPr>
          <w:rFonts w:ascii="Times New Roman" w:hAnsi="Times New Roman" w:cs="Times New Roman"/>
          <w:noProof/>
          <w:sz w:val="24"/>
          <w:szCs w:val="24"/>
        </w:rPr>
      </w:pPr>
      <w:r>
        <w:rPr>
          <w:rFonts w:ascii="Times New Roman" w:hAnsi="Times New Roman"/>
          <w:noProof/>
          <w:sz w:val="24"/>
        </w:rPr>
        <w:t>Turklāt Komisija turpina pārbaudīt visus nolīgumus, kas noslēgti ar trešām valstīm par bezvīzu režīmu, ņemot vērā to migrācijas vai drošības riskus. Rezultātā kopš 2022. gada 4. maija ir daļēji apturēts ES bezvīzu režīms ar Vanuatu</w:t>
      </w:r>
      <w:r>
        <w:rPr>
          <w:rStyle w:val="FootnoteReference"/>
          <w:rFonts w:ascii="Times New Roman" w:hAnsi="Times New Roman" w:cs="Times New Roman"/>
          <w:noProof/>
          <w:sz w:val="24"/>
          <w:szCs w:val="24"/>
        </w:rPr>
        <w:footnoteReference w:id="103"/>
      </w:r>
      <w:r>
        <w:rPr>
          <w:rFonts w:ascii="Times New Roman" w:hAnsi="Times New Roman"/>
          <w:noProof/>
          <w:sz w:val="24"/>
        </w:rPr>
        <w:t xml:space="preserve">, lai mazinātu drošības riskus, ko rada Vanuatu ieguldītājiem paredzēta pilsonības shēma. Tā kā šajā saistībā ES bažas nav kliedētas, šo apturēšanu varētu pagarināt vēl par 18 mēnešiem. </w:t>
      </w:r>
    </w:p>
    <w:p w14:paraId="302B76F0" w14:textId="7CCA5ECB" w:rsidR="000A6D0D" w:rsidRPr="00114E09" w:rsidRDefault="00C231EB" w:rsidP="00160049">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Jūlijā Komisija sadarbībā ar Eiropas Ārējās darbības dienestu uzsāka pirmās </w:t>
      </w:r>
      <w:r>
        <w:rPr>
          <w:rFonts w:ascii="Times New Roman" w:hAnsi="Times New Roman"/>
          <w:b/>
          <w:noProof/>
          <w:sz w:val="24"/>
        </w:rPr>
        <w:t>operatīvās partnerības</w:t>
      </w:r>
      <w:r>
        <w:rPr>
          <w:rFonts w:ascii="Times New Roman" w:hAnsi="Times New Roman"/>
          <w:noProof/>
          <w:sz w:val="24"/>
        </w:rPr>
        <w:t xml:space="preserve"> ar </w:t>
      </w:r>
      <w:r>
        <w:rPr>
          <w:rFonts w:ascii="Times New Roman" w:hAnsi="Times New Roman"/>
          <w:b/>
          <w:noProof/>
          <w:sz w:val="24"/>
        </w:rPr>
        <w:t>Maroku</w:t>
      </w:r>
      <w:r>
        <w:rPr>
          <w:rFonts w:ascii="Times New Roman" w:hAnsi="Times New Roman"/>
          <w:noProof/>
          <w:sz w:val="24"/>
        </w:rPr>
        <w:t xml:space="preserve"> un </w:t>
      </w:r>
      <w:r>
        <w:rPr>
          <w:rFonts w:ascii="Times New Roman" w:hAnsi="Times New Roman"/>
          <w:b/>
          <w:noProof/>
          <w:sz w:val="24"/>
        </w:rPr>
        <w:t>Nigēru</w:t>
      </w:r>
      <w:r>
        <w:rPr>
          <w:rFonts w:ascii="Times New Roman" w:hAnsi="Times New Roman"/>
          <w:noProof/>
          <w:sz w:val="24"/>
        </w:rPr>
        <w:t xml:space="preserve"> </w:t>
      </w:r>
      <w:r>
        <w:rPr>
          <w:rFonts w:ascii="Times New Roman" w:hAnsi="Times New Roman"/>
          <w:b/>
          <w:noProof/>
          <w:sz w:val="24"/>
        </w:rPr>
        <w:t>kontrabandas apkarošanas jomā</w:t>
      </w:r>
      <w:r>
        <w:rPr>
          <w:rFonts w:ascii="Times New Roman" w:hAnsi="Times New Roman"/>
          <w:noProof/>
          <w:sz w:val="24"/>
        </w:rPr>
        <w:t xml:space="preserve">, ņemot vērā </w:t>
      </w:r>
      <w:r>
        <w:rPr>
          <w:rFonts w:ascii="Times New Roman" w:hAnsi="Times New Roman"/>
          <w:noProof/>
          <w:sz w:val="24"/>
        </w:rPr>
        <w:lastRenderedPageBreak/>
        <w:t>atjaunināto ES rīcības plānu cīņai pret migrantu kontrabandu 2021.–2025. gadam</w:t>
      </w:r>
      <w:r>
        <w:rPr>
          <w:rStyle w:val="FootnoteReference"/>
          <w:rFonts w:ascii="Times New Roman" w:hAnsi="Times New Roman" w:cs="Times New Roman"/>
          <w:noProof/>
          <w:sz w:val="24"/>
          <w:szCs w:val="24"/>
          <w:lang w:eastAsia="en-GB"/>
        </w:rPr>
        <w:footnoteReference w:id="104"/>
      </w:r>
      <w:r>
        <w:rPr>
          <w:rFonts w:ascii="Times New Roman" w:hAnsi="Times New Roman"/>
          <w:noProof/>
          <w:sz w:val="24"/>
        </w:rPr>
        <w:t>. Partnerību mērķis ir stiprināt partnervalstu tiesisko, politisko, operatīvo un stratēģisko regulējumu, reaģējot uz migrantu kontrabandu, kā arī palielināt šo valstu atbildību, ietekmi un ilgtermiņa ilgtspēju. Partnerības ietvers atbalstu robežu pārvaldībai, pastiprinātu policijas sadarbību (arī kopējas izmeklēšanas), izpratnes veicināšanu par neatbilstīgas migrācijas draudiem un ciešāku sadarbību ar ES aģentūrām.</w:t>
      </w:r>
    </w:p>
    <w:p w14:paraId="0E7EA909" w14:textId="77777777" w:rsidR="00DC53E2" w:rsidRPr="00114E09" w:rsidRDefault="00DC53E2" w:rsidP="00160049">
      <w:pPr>
        <w:pStyle w:val="ListParagraph"/>
        <w:spacing w:before="120" w:after="120"/>
        <w:ind w:left="0"/>
        <w:contextualSpacing w:val="0"/>
        <w:jc w:val="both"/>
        <w:rPr>
          <w:rFonts w:ascii="Times New Roman" w:hAnsi="Times New Roman" w:cs="Times New Roman"/>
          <w:b/>
          <w:i/>
          <w:noProof/>
          <w:sz w:val="24"/>
          <w:szCs w:val="24"/>
        </w:rPr>
      </w:pPr>
      <w:bookmarkStart w:id="20" w:name="_Hlk113894718"/>
      <w:r>
        <w:rPr>
          <w:rFonts w:ascii="Times New Roman" w:hAnsi="Times New Roman"/>
          <w:b/>
          <w:i/>
          <w:noProof/>
          <w:sz w:val="24"/>
        </w:rPr>
        <w:t>Likumīgu kanālu ieceļošanai Eiropā izstrāde</w:t>
      </w:r>
    </w:p>
    <w:p w14:paraId="2C277B90" w14:textId="77777777" w:rsidR="00DC53E2" w:rsidRPr="00114E09" w:rsidRDefault="00DC53E2" w:rsidP="00160049">
      <w:pPr>
        <w:spacing w:before="120" w:after="120" w:line="240" w:lineRule="auto"/>
        <w:ind w:left="1"/>
        <w:jc w:val="both"/>
        <w:rPr>
          <w:rFonts w:ascii="Times New Roman" w:hAnsi="Times New Roman" w:cs="Times New Roman"/>
          <w:noProof/>
          <w:sz w:val="24"/>
          <w:szCs w:val="24"/>
        </w:rPr>
      </w:pPr>
      <w:bookmarkStart w:id="21" w:name="_Hlk112765453"/>
      <w:bookmarkEnd w:id="20"/>
      <w:r>
        <w:rPr>
          <w:rFonts w:ascii="Times New Roman" w:hAnsi="Times New Roman"/>
          <w:noProof/>
          <w:sz w:val="24"/>
        </w:rPr>
        <w:t xml:space="preserve">Ir vajadzīga vērienīga un ilgtspējīga ES likumīgās migrācijas politika, lai radītu drošus ceļus uz Eiropu un palīdzētu piesaistīt prasmīgus un talantīgus cilvēkus, kas nepieciešami mūsu ekonomikai, ņemot vērā sabiedrības novecošanos un steidzami novēršamo prasmju nepietiekamību. Tas ir arī svarīgs veiksmīgu partnerību elements. Ar </w:t>
      </w:r>
      <w:r>
        <w:rPr>
          <w:rFonts w:ascii="Times New Roman" w:hAnsi="Times New Roman"/>
          <w:b/>
          <w:noProof/>
          <w:sz w:val="24"/>
        </w:rPr>
        <w:t>ES talantu fondu</w:t>
      </w:r>
      <w:r>
        <w:rPr>
          <w:rFonts w:ascii="Times New Roman" w:hAnsi="Times New Roman"/>
          <w:noProof/>
          <w:sz w:val="24"/>
        </w:rPr>
        <w:t xml:space="preserve">, kas ierosināts Prasmju un talantu paketē, tiktu radīta pirmā ES mēroga platforma un atbilstības meklēšanas rīks, kas palīdzētu darba devējiem atrast tiem vajadzīgos darbiniekus un padarītu ES pievilcīgāku trešo valstu valstpiederīgajiem, kuri meklē darba iespējas ES. Kā minēts iepriekš, ar </w:t>
      </w:r>
      <w:r>
        <w:rPr>
          <w:rFonts w:ascii="Times New Roman" w:hAnsi="Times New Roman"/>
          <w:b/>
          <w:noProof/>
          <w:sz w:val="24"/>
        </w:rPr>
        <w:t>izmēģinājuma projektu “ES talantu fonds”</w:t>
      </w:r>
      <w:r>
        <w:rPr>
          <w:rFonts w:ascii="Times New Roman" w:hAnsi="Times New Roman"/>
          <w:noProof/>
          <w:sz w:val="24"/>
        </w:rPr>
        <w:t xml:space="preserve"> sākotnējā posmā tiks palīdzēts ukraiņiem pilnveidot savas prasmes un gūt pieredzi. </w:t>
      </w:r>
    </w:p>
    <w:p w14:paraId="01BC0D1F" w14:textId="77777777" w:rsidR="00DC53E2" w:rsidRPr="00114E09" w:rsidRDefault="00DC53E2" w:rsidP="005758AA">
      <w:pPr>
        <w:pStyle w:val="ListParagraph"/>
        <w:numPr>
          <w:ilvl w:val="0"/>
          <w:numId w:val="29"/>
        </w:numPr>
        <w:spacing w:before="0" w:after="60"/>
        <w:ind w:left="426" w:hanging="357"/>
        <w:contextualSpacing w:val="0"/>
        <w:jc w:val="both"/>
        <w:rPr>
          <w:rFonts w:ascii="Times New Roman" w:hAnsi="Times New Roman" w:cs="Times New Roman"/>
          <w:b/>
          <w:i/>
          <w:noProof/>
          <w:sz w:val="24"/>
          <w:szCs w:val="24"/>
        </w:rPr>
      </w:pPr>
      <w:bookmarkStart w:id="22" w:name="_Hlk113892257"/>
      <w:bookmarkEnd w:id="21"/>
      <w:r>
        <w:rPr>
          <w:rFonts w:ascii="Times New Roman" w:hAnsi="Times New Roman"/>
          <w:b/>
          <w:i/>
          <w:noProof/>
          <w:sz w:val="24"/>
        </w:rPr>
        <w:t>Talantu partnerības</w:t>
      </w:r>
    </w:p>
    <w:p w14:paraId="26500E84" w14:textId="65BE99E4" w:rsidR="00DC53E2" w:rsidRPr="00114E09" w:rsidRDefault="00DC53E2" w:rsidP="005758AA">
      <w:pPr>
        <w:spacing w:after="120" w:line="240" w:lineRule="auto"/>
        <w:ind w:left="1"/>
        <w:jc w:val="both"/>
        <w:rPr>
          <w:rFonts w:ascii="Times New Roman" w:hAnsi="Times New Roman" w:cs="Times New Roman"/>
          <w:noProof/>
          <w:sz w:val="24"/>
          <w:szCs w:val="24"/>
        </w:rPr>
      </w:pPr>
      <w:r>
        <w:rPr>
          <w:rFonts w:ascii="Times New Roman" w:hAnsi="Times New Roman"/>
          <w:noProof/>
          <w:sz w:val="24"/>
        </w:rPr>
        <w:t>Izmantojot talantu partnerības ar galvenajiem partneriem, tiks mēģināts veicināt starptautisko darbaspēka mobilitāti un attīstīt talantus, lai dotu labumu gan dalībvalstīm, gan partnervalstīm, gan abu pušu uzņēmēju kopienām, kā arī attiecīgajiem indivīdiem. Komisija veiks konkrētus pasākumus, lai līdz 2022. gada beigām izveidotu pirmās talantu partnerības ar Maroku, Tunisiju un Ēģipti, pamatojoties uz ciešu un nepārtrauktu sadarbību visos migrācijas pārvaldības aspektos. Tie tiks balstīti uz pašlaik notiekošo izmēģinājuma projektu</w:t>
      </w:r>
      <w:r>
        <w:rPr>
          <w:rStyle w:val="FootnoteReference"/>
          <w:rFonts w:ascii="Times New Roman" w:hAnsi="Times New Roman" w:cs="Times New Roman"/>
          <w:noProof/>
          <w:sz w:val="24"/>
          <w:szCs w:val="24"/>
        </w:rPr>
        <w:footnoteReference w:id="105"/>
      </w:r>
      <w:r>
        <w:rPr>
          <w:rFonts w:ascii="Times New Roman" w:hAnsi="Times New Roman"/>
          <w:noProof/>
          <w:sz w:val="24"/>
        </w:rPr>
        <w:t xml:space="preserve">, kā arī uz apspriešanos ar visām ieinteresētajām personām. Panākumu gūšanā noteicošais faktors būs partnervalstu, kā arī dalībvalstu, kuras saglabā kompetenci darbaspēka migrācijas jomā, īpašās intereses un apņemšanās. </w:t>
      </w:r>
      <w:bookmarkStart w:id="23" w:name="_Hlk114126524"/>
      <w:r>
        <w:rPr>
          <w:rFonts w:ascii="Times New Roman" w:hAnsi="Times New Roman"/>
          <w:noProof/>
          <w:sz w:val="24"/>
        </w:rPr>
        <w:t>Komisija aicina dalībvalstis aktīvi iesaistīties diskusijās ar partnervalstīm par talantu partnerībām un iesniegt konkrētus priekšlikumus par to, kā tās varētu palīdzēt risināt darba tirgus vajadzības, jo īpaši nosakot vakanču skaitu galvenajās nozarēs un iesaistot privātos uzņēmumus.</w:t>
      </w:r>
      <w:bookmarkEnd w:id="23"/>
      <w:r>
        <w:rPr>
          <w:rFonts w:ascii="Times New Roman" w:hAnsi="Times New Roman"/>
          <w:noProof/>
          <w:sz w:val="24"/>
        </w:rPr>
        <w:t xml:space="preserve"> Pēc tam varētu apsvērt talantu partnerības ar citām valstīm.</w:t>
      </w:r>
    </w:p>
    <w:p w14:paraId="6849B6E5" w14:textId="77777777" w:rsidR="00DC53E2" w:rsidRPr="00114E09" w:rsidRDefault="00DC53E2" w:rsidP="005758AA">
      <w:pPr>
        <w:pStyle w:val="ListParagraph"/>
        <w:numPr>
          <w:ilvl w:val="0"/>
          <w:numId w:val="29"/>
        </w:numPr>
        <w:spacing w:before="0" w:after="60"/>
        <w:ind w:left="426" w:hanging="357"/>
        <w:contextualSpacing w:val="0"/>
        <w:jc w:val="both"/>
        <w:rPr>
          <w:rFonts w:ascii="Times New Roman" w:hAnsi="Times New Roman" w:cs="Times New Roman"/>
          <w:b/>
          <w:bCs/>
          <w:i/>
          <w:iCs/>
          <w:noProof/>
          <w:sz w:val="24"/>
          <w:szCs w:val="24"/>
        </w:rPr>
      </w:pPr>
      <w:r>
        <w:rPr>
          <w:rFonts w:ascii="Times New Roman" w:hAnsi="Times New Roman"/>
          <w:b/>
          <w:i/>
          <w:noProof/>
          <w:sz w:val="24"/>
        </w:rPr>
        <w:t>Aizsardzības juridiskie ceļi: pārmitināšana un humanitārā uzņemšana</w:t>
      </w:r>
    </w:p>
    <w:p w14:paraId="6EFA50F8" w14:textId="477ED93C" w:rsidR="00DC53E2" w:rsidRPr="00114E09" w:rsidRDefault="00DC53E2" w:rsidP="005758AA">
      <w:pPr>
        <w:spacing w:after="120" w:line="240" w:lineRule="auto"/>
        <w:ind w:left="1"/>
        <w:jc w:val="both"/>
        <w:rPr>
          <w:rFonts w:ascii="Times New Roman" w:hAnsi="Times New Roman" w:cs="Times New Roman"/>
          <w:noProof/>
          <w:sz w:val="24"/>
          <w:szCs w:val="24"/>
        </w:rPr>
      </w:pPr>
      <w:r>
        <w:rPr>
          <w:rFonts w:ascii="Times New Roman" w:hAnsi="Times New Roman"/>
          <w:b/>
          <w:noProof/>
          <w:sz w:val="24"/>
        </w:rPr>
        <w:t>Pārmitināšana</w:t>
      </w:r>
      <w:r>
        <w:rPr>
          <w:rFonts w:ascii="Times New Roman" w:hAnsi="Times New Roman"/>
          <w:noProof/>
          <w:sz w:val="24"/>
        </w:rPr>
        <w:t xml:space="preserve"> ir pakta neatņemama sastāvdaļa un svarīgs ES migrācijas politikas elements. ES sniedz ievērojamu ieguldījumu globālajos pārmitināšanas centienos un ir apņēmusies šo apņemšanos īstenot arī turpmāk. 2021.–2022. gada līdzekļu devēju pasākuma rezultātā kopumā tika pausti gandrīz 65 000 finansēšanas solījumu, apvienojot pārmitināšanu un pirmo reizi arī humanitāro uzņemšanu</w:t>
      </w:r>
      <w:r>
        <w:rPr>
          <w:rStyle w:val="FootnoteReference"/>
          <w:rFonts w:ascii="Times New Roman" w:hAnsi="Times New Roman" w:cs="Times New Roman"/>
          <w:noProof/>
          <w:sz w:val="24"/>
          <w:szCs w:val="24"/>
        </w:rPr>
        <w:footnoteReference w:id="106"/>
      </w:r>
      <w:r>
        <w:rPr>
          <w:rFonts w:ascii="Times New Roman" w:hAnsi="Times New Roman"/>
          <w:noProof/>
          <w:sz w:val="24"/>
        </w:rPr>
        <w:t xml:space="preserve">, paredzot arī vietas riskam pakļautiem afgāņiem pēc Kabulas krišanas 2021. gada augustā. ES turpina reaģēt arī uz Sīrijas un Vidusjūras reģiona centrālās daļas valstu vajadzībām, un līdz 2022. gada jūnijam dalībvalstis kopā ziņoja par vairāk nekā 36 000 pārmitināšanas un humanitārās uzņemšanas gadījumu. Lai nodrošinātu ES centienu nepārtrauktību, Komisija nesen aicināja dalībvalstis paust jaunus finansēšanas solījumus 2023. gadam, kas tiktu atbalstīti ar turpmāku ES finansējumu. </w:t>
      </w:r>
    </w:p>
    <w:p w14:paraId="11B317C4" w14:textId="50D5660A" w:rsidR="005934DF" w:rsidRPr="00114E09" w:rsidRDefault="005934DF" w:rsidP="005934DF">
      <w:pPr>
        <w:spacing w:after="120" w:line="240" w:lineRule="auto"/>
        <w:ind w:left="1"/>
        <w:jc w:val="both"/>
        <w:rPr>
          <w:rFonts w:ascii="Times New Roman" w:hAnsi="Times New Roman" w:cs="Times New Roman"/>
          <w:noProof/>
          <w:sz w:val="24"/>
          <w:szCs w:val="24"/>
        </w:rPr>
      </w:pPr>
      <w:r>
        <w:rPr>
          <w:rFonts w:ascii="Times New Roman" w:hAnsi="Times New Roman"/>
          <w:noProof/>
          <w:sz w:val="24"/>
        </w:rPr>
        <w:t xml:space="preserve">Pat sarežģītos periodos ir svarīgi, lai ES saglabātu savu vadošo lomu pārmitināšanas jomā. Uzņemšanas nepilnības var palīdzēt novērst inovatīvi risinājumi — jo sevišķi būtiska nozīme var būt kopienu sponsorēšanas programmām, ar ko nodrošināt izmitināšanu un piešķirt </w:t>
      </w:r>
      <w:r>
        <w:rPr>
          <w:rFonts w:ascii="Times New Roman" w:hAnsi="Times New Roman"/>
          <w:noProof/>
          <w:sz w:val="24"/>
        </w:rPr>
        <w:lastRenderedPageBreak/>
        <w:t xml:space="preserve">pilsoniskajai sabiedrībai lielāku lomu ieceļotāju uzņemšanā un integrācijā. Šo virzienu atbalstīs ar iniciatīvu “Drošas mājas”, ņemot vērā pieredzi, kas gūta, uzņemot cilvēkus, kuri bēga no Krievijas iebrukuma Ukrainā, lai uzlabotu uzņemšanas sistēmas, izmantojot uzņemšanu kopienās. Rudenī ES organizēs otro augsta līmeņa forumu pārmitināšanas jautājumos, lai šādus jaunievedumus apspriestu ar galvenajiem globālajiem partneriem un starptautiskajām organizācijām. </w:t>
      </w:r>
    </w:p>
    <w:bookmarkEnd w:id="22"/>
    <w:p w14:paraId="0E62A492" w14:textId="77777777" w:rsidR="00DC53E2" w:rsidRPr="00114E09" w:rsidRDefault="00DC53E2" w:rsidP="005758AA">
      <w:pPr>
        <w:spacing w:after="120" w:line="240" w:lineRule="auto"/>
        <w:ind w:left="1"/>
        <w:jc w:val="both"/>
        <w:rPr>
          <w:rFonts w:ascii="Times New Roman" w:hAnsi="Times New Roman" w:cs="Times New Roman"/>
          <w:b/>
          <w:i/>
          <w:noProof/>
          <w:sz w:val="24"/>
          <w:szCs w:val="24"/>
        </w:rPr>
      </w:pPr>
      <w:r>
        <w:rPr>
          <w:rFonts w:ascii="Times New Roman" w:hAnsi="Times New Roman"/>
          <w:b/>
          <w:i/>
          <w:noProof/>
          <w:sz w:val="24"/>
        </w:rPr>
        <w:t>Finanšu un operatīvie instrumenti</w:t>
      </w:r>
    </w:p>
    <w:p w14:paraId="79501E3F" w14:textId="77777777" w:rsidR="00DC53E2" w:rsidRPr="00114E09" w:rsidRDefault="00DC53E2" w:rsidP="005758AA">
      <w:pPr>
        <w:pStyle w:val="ListParagraph"/>
        <w:numPr>
          <w:ilvl w:val="0"/>
          <w:numId w:val="29"/>
        </w:numPr>
        <w:spacing w:before="0" w:after="60"/>
        <w:ind w:left="426" w:hanging="357"/>
        <w:contextualSpacing w:val="0"/>
        <w:jc w:val="both"/>
        <w:rPr>
          <w:rFonts w:ascii="Times New Roman" w:hAnsi="Times New Roman" w:cs="Times New Roman"/>
          <w:b/>
          <w:i/>
          <w:noProof/>
          <w:sz w:val="24"/>
          <w:szCs w:val="24"/>
        </w:rPr>
      </w:pPr>
      <w:r>
        <w:rPr>
          <w:rFonts w:ascii="Times New Roman" w:hAnsi="Times New Roman"/>
          <w:b/>
          <w:i/>
          <w:noProof/>
          <w:sz w:val="24"/>
        </w:rPr>
        <w:t>Finansējums</w:t>
      </w:r>
    </w:p>
    <w:p w14:paraId="11A55359" w14:textId="77777777" w:rsidR="00DC53E2" w:rsidRPr="00114E09" w:rsidRDefault="00DC53E2" w:rsidP="005758AA">
      <w:pPr>
        <w:spacing w:after="120" w:line="240" w:lineRule="auto"/>
        <w:ind w:left="1"/>
        <w:jc w:val="both"/>
        <w:rPr>
          <w:rFonts w:ascii="Times New Roman" w:eastAsia="Times New Roman" w:hAnsi="Times New Roman" w:cs="Times New Roman"/>
          <w:noProof/>
          <w:sz w:val="24"/>
          <w:szCs w:val="24"/>
        </w:rPr>
      </w:pPr>
      <w:r>
        <w:rPr>
          <w:rFonts w:ascii="Times New Roman" w:hAnsi="Times New Roman"/>
          <w:noProof/>
          <w:sz w:val="24"/>
        </w:rPr>
        <w:t xml:space="preserve">Lai veidotu visaptverošas migrācijas partnerības un papildinātu ciešāko politisko iesaisti, ES ievērojamu atbalstu un finansējumu velta partnervalstu spēju palielināšanai, lai risinātu visus migrācijas un piespiedu pārvietošanas aspektus. </w:t>
      </w:r>
    </w:p>
    <w:p w14:paraId="0E7B2592" w14:textId="23AE2C29" w:rsidR="00DC53E2" w:rsidRPr="00114E09" w:rsidRDefault="00793A29" w:rsidP="005758AA">
      <w:pPr>
        <w:spacing w:after="120" w:line="240" w:lineRule="auto"/>
        <w:ind w:left="1"/>
        <w:jc w:val="both"/>
        <w:rPr>
          <w:rFonts w:ascii="Times New Roman" w:hAnsi="Times New Roman" w:cs="Times New Roman"/>
          <w:noProof/>
          <w:sz w:val="24"/>
          <w:szCs w:val="24"/>
        </w:rPr>
      </w:pPr>
      <w:bookmarkStart w:id="24" w:name="_Hlk115524396"/>
      <w:r>
        <w:rPr>
          <w:rFonts w:ascii="Times New Roman" w:hAnsi="Times New Roman"/>
          <w:noProof/>
          <w:sz w:val="24"/>
        </w:rPr>
        <w:t xml:space="preserve">Jaunajā </w:t>
      </w:r>
      <w:r>
        <w:rPr>
          <w:rFonts w:ascii="Times New Roman" w:hAnsi="Times New Roman"/>
          <w:b/>
          <w:noProof/>
          <w:sz w:val="24"/>
        </w:rPr>
        <w:t>Kaimiņattiecību, attīstības sadarbības un starptautiskās sadarbības instrumentā “Eiropa pasaulē” (</w:t>
      </w:r>
      <w:r>
        <w:rPr>
          <w:rFonts w:ascii="Times New Roman" w:hAnsi="Times New Roman"/>
          <w:b/>
          <w:i/>
          <w:noProof/>
          <w:sz w:val="24"/>
        </w:rPr>
        <w:t>NDICI</w:t>
      </w:r>
      <w:r>
        <w:rPr>
          <w:rFonts w:ascii="Times New Roman" w:hAnsi="Times New Roman"/>
          <w:b/>
          <w:noProof/>
          <w:sz w:val="24"/>
        </w:rPr>
        <w:t> — “Eiropa pasaulē”)</w:t>
      </w:r>
      <w:r>
        <w:rPr>
          <w:rFonts w:ascii="Times New Roman" w:hAnsi="Times New Roman"/>
          <w:noProof/>
          <w:sz w:val="24"/>
        </w:rPr>
        <w:t xml:space="preserve"> migrācija un piespiedu pārvietošana ir noteikta kā viena no galvenajām sadarbības jomām ar partnervalstīm. 2021. un 2022. gadā veiktajā plānošanas procesā tika ņemts vērā, ka jāsasniedz indikatīvais 10 % migrācijas izdevumu mērķrādītājs, attiecīgos migrācijas un piespiedu pārvietošanas apsvērumus integrējot pielāgotā, bet elastīgā veidā un ietverot aizsardzību, likumīgo migrāciju, robežu pārvaldību, kā arī atgriešanos un reintegrāciju un neatbilstīgas migrācijas un piespiedu pārvietošanas pamatcēloņus. </w:t>
      </w:r>
      <w:r>
        <w:rPr>
          <w:rFonts w:ascii="Times New Roman" w:hAnsi="Times New Roman"/>
          <w:i/>
          <w:noProof/>
          <w:sz w:val="24"/>
        </w:rPr>
        <w:t>NDICI</w:t>
      </w:r>
      <w:r>
        <w:rPr>
          <w:rFonts w:ascii="Times New Roman" w:hAnsi="Times New Roman"/>
          <w:noProof/>
          <w:sz w:val="24"/>
        </w:rPr>
        <w:t xml:space="preserve"> — “Eiropa pasaulē” izdevumu mērķrādītājs migrācijas un piespiedu pārvietošanas jomā bija pamats tam, lai Komisija, risinot ar šiem jautājumiem saistītās problēmas un izmantojot to sniegtās iespējas, pieņemtu vēl visaptverošāku un saskaņotāku pieeju. ES trešām valstīm sniegtās vispārējās finansiālās palīdzības pamatā turpmākajos gados ir valstu un reģionālās daudzgadu indikatīvās programmas (DIP). Pirmais gada ziņojums par </w:t>
      </w:r>
      <w:r>
        <w:rPr>
          <w:rFonts w:ascii="Times New Roman" w:hAnsi="Times New Roman"/>
          <w:i/>
          <w:noProof/>
          <w:sz w:val="24"/>
        </w:rPr>
        <w:t>NDICI</w:t>
      </w:r>
      <w:r>
        <w:rPr>
          <w:rFonts w:ascii="Times New Roman" w:hAnsi="Times New Roman"/>
          <w:noProof/>
          <w:sz w:val="24"/>
        </w:rPr>
        <w:t xml:space="preserve"> — “Eiropa pasaulē” tiks publicēts šoruden, un tajā būs iekļauts arī pārskats par izdevumiem saistībā ar migrāciju. </w:t>
      </w:r>
    </w:p>
    <w:bookmarkEnd w:id="24"/>
    <w:p w14:paraId="255D1A46" w14:textId="77777777" w:rsidR="00DC53E2" w:rsidRPr="00114E09" w:rsidRDefault="00DC53E2" w:rsidP="005758AA">
      <w:pPr>
        <w:spacing w:after="120" w:line="240" w:lineRule="auto"/>
        <w:ind w:left="1"/>
        <w:jc w:val="both"/>
        <w:rPr>
          <w:rFonts w:ascii="Times New Roman" w:eastAsia="Calibri" w:hAnsi="Times New Roman" w:cs="Times New Roman"/>
          <w:noProof/>
          <w:sz w:val="24"/>
          <w:szCs w:val="24"/>
        </w:rPr>
      </w:pPr>
      <w:r>
        <w:rPr>
          <w:rFonts w:ascii="Times New Roman" w:hAnsi="Times New Roman"/>
          <w:noProof/>
          <w:sz w:val="24"/>
        </w:rPr>
        <w:t xml:space="preserve">Ar </w:t>
      </w:r>
      <w:r>
        <w:rPr>
          <w:rFonts w:ascii="Times New Roman" w:hAnsi="Times New Roman"/>
          <w:b/>
          <w:noProof/>
          <w:sz w:val="24"/>
        </w:rPr>
        <w:t>Pirmspievienošanās palīdzības instrumentu (</w:t>
      </w:r>
      <w:r>
        <w:rPr>
          <w:rFonts w:ascii="Times New Roman" w:hAnsi="Times New Roman"/>
          <w:b/>
          <w:i/>
          <w:noProof/>
          <w:sz w:val="24"/>
        </w:rPr>
        <w:t>IPA III</w:t>
      </w:r>
      <w:r>
        <w:rPr>
          <w:rFonts w:ascii="Times New Roman" w:hAnsi="Times New Roman"/>
          <w:noProof/>
          <w:sz w:val="24"/>
        </w:rPr>
        <w:t xml:space="preserve">) finansē divpusējās un reģionālās migrācijas programmas pirmspievienošanās valstīs. Darbības </w:t>
      </w:r>
      <w:r>
        <w:rPr>
          <w:rFonts w:ascii="Times New Roman" w:hAnsi="Times New Roman"/>
          <w:b/>
          <w:noProof/>
          <w:sz w:val="24"/>
        </w:rPr>
        <w:t>Rietumbalkānos</w:t>
      </w:r>
      <w:r>
        <w:rPr>
          <w:rFonts w:ascii="Times New Roman" w:hAnsi="Times New Roman"/>
          <w:noProof/>
          <w:sz w:val="24"/>
        </w:rPr>
        <w:t xml:space="preserve"> stiprina migrācijas pārvaldību, patvēruma sistēmas un robežu pārvaldību. Galvenās prioritātes ir atgriešanās pārvaldības uzlabošana un atbalstīto brīvprātīgas atgriešanās un piespiedu atgriešanas programmu paplašināšana, kā arī migrantu kontrabandas novēršana un apkarošana.</w:t>
      </w:r>
    </w:p>
    <w:p w14:paraId="7FC5A6CC" w14:textId="77777777" w:rsidR="00793A29" w:rsidRDefault="00DC53E2" w:rsidP="00793A29">
      <w:pPr>
        <w:spacing w:after="120" w:line="240" w:lineRule="auto"/>
        <w:ind w:left="1"/>
        <w:jc w:val="both"/>
        <w:rPr>
          <w:rFonts w:ascii="Times New Roman" w:eastAsia="Calibri" w:hAnsi="Times New Roman" w:cs="Times New Roman"/>
          <w:bCs/>
          <w:noProof/>
          <w:sz w:val="24"/>
          <w:szCs w:val="24"/>
        </w:rPr>
      </w:pPr>
      <w:r>
        <w:rPr>
          <w:rFonts w:ascii="Times New Roman" w:hAnsi="Times New Roman"/>
          <w:b/>
          <w:noProof/>
          <w:sz w:val="24"/>
        </w:rPr>
        <w:t>Turcijā</w:t>
      </w:r>
      <w:r>
        <w:rPr>
          <w:rFonts w:ascii="Times New Roman" w:hAnsi="Times New Roman"/>
          <w:noProof/>
          <w:sz w:val="24"/>
        </w:rPr>
        <w:t xml:space="preserve"> pēc 2021. gada jūnija Eiropadomes secinājumiem</w:t>
      </w:r>
      <w:r>
        <w:rPr>
          <w:rStyle w:val="FootnoteReference"/>
          <w:rFonts w:ascii="Times New Roman" w:hAnsi="Times New Roman" w:cs="Times New Roman"/>
          <w:noProof/>
          <w:sz w:val="24"/>
          <w:szCs w:val="24"/>
        </w:rPr>
        <w:footnoteReference w:id="107"/>
      </w:r>
      <w:r>
        <w:rPr>
          <w:rFonts w:ascii="Times New Roman" w:hAnsi="Times New Roman"/>
          <w:noProof/>
          <w:sz w:val="24"/>
        </w:rPr>
        <w:t xml:space="preserve"> turpināsies atbalsta sniegšana bēgļiem un uzņēmējkopienām, lai turpinātu Bēgļu atbalsta mehānisma Turcijā operācijas. Tiks turpināti pasākumi izglītības, veselības, aizsardzības, pamatvajadzību un sociālekonomiskās attīstības jomās, jo īpaši, lai bēgļiem nodrošinātu ilgtspējīgāku iztikas līdzekļu pieejamību un atbalstītu uzņēmējkopienas. </w:t>
      </w:r>
    </w:p>
    <w:p w14:paraId="5C9CE93A" w14:textId="77777777" w:rsidR="00793A29" w:rsidRPr="00D75CD8" w:rsidRDefault="00793A29" w:rsidP="00793A29">
      <w:pPr>
        <w:spacing w:after="120" w:line="240" w:lineRule="auto"/>
        <w:ind w:left="1"/>
        <w:jc w:val="both"/>
        <w:rPr>
          <w:rFonts w:ascii="Times New Roman" w:hAnsi="Times New Roman" w:cs="Times New Roman"/>
          <w:noProof/>
          <w:sz w:val="24"/>
          <w:szCs w:val="24"/>
        </w:rPr>
      </w:pPr>
      <w:r>
        <w:rPr>
          <w:rFonts w:ascii="Times New Roman" w:hAnsi="Times New Roman"/>
          <w:noProof/>
          <w:sz w:val="24"/>
        </w:rPr>
        <w:t xml:space="preserve">ES joprojām ir viens no vadošajiem līdzekļu devējiem starptautiskajā reakcijā uz </w:t>
      </w:r>
      <w:r>
        <w:rPr>
          <w:rFonts w:ascii="Times New Roman" w:hAnsi="Times New Roman"/>
          <w:b/>
          <w:noProof/>
          <w:sz w:val="24"/>
        </w:rPr>
        <w:t>Sīrijas krīzi</w:t>
      </w:r>
      <w:r>
        <w:rPr>
          <w:rFonts w:ascii="Times New Roman" w:hAnsi="Times New Roman"/>
          <w:noProof/>
          <w:sz w:val="24"/>
        </w:rPr>
        <w:t xml:space="preserve">, un Savienība ir apņēmības pilna atbalstīt Sīrijas bēgļus un attiecīgajā reģionā esošās uzņēmējvalstis. 2022. gada 10. maijā veiksmīgi notikušajā </w:t>
      </w:r>
      <w:r>
        <w:rPr>
          <w:rFonts w:ascii="Times New Roman" w:hAnsi="Times New Roman"/>
          <w:b/>
          <w:noProof/>
          <w:sz w:val="24"/>
        </w:rPr>
        <w:t>sestajā Briseles konferencē</w:t>
      </w:r>
      <w:r>
        <w:rPr>
          <w:rFonts w:ascii="Times New Roman" w:hAnsi="Times New Roman"/>
          <w:noProof/>
          <w:sz w:val="24"/>
        </w:rPr>
        <w:t xml:space="preserve"> </w:t>
      </w:r>
      <w:r>
        <w:rPr>
          <w:rFonts w:ascii="Times New Roman" w:hAnsi="Times New Roman"/>
          <w:b/>
          <w:noProof/>
          <w:sz w:val="24"/>
        </w:rPr>
        <w:t>par atbalstu Sīrijas un reģiona nākotnei</w:t>
      </w:r>
      <w:r>
        <w:rPr>
          <w:rFonts w:ascii="Times New Roman" w:hAnsi="Times New Roman"/>
          <w:noProof/>
          <w:sz w:val="24"/>
        </w:rPr>
        <w:t xml:space="preserve"> tika pārsniegti 2021. gada starptautisko līdzekļu devēju solījumi, tādējādi saglabājot finansējumu un atbalstu galvenajām uzņēmējvalstīm. </w:t>
      </w:r>
    </w:p>
    <w:p w14:paraId="0AAC3F7F" w14:textId="77777777" w:rsidR="00DC53E2" w:rsidRPr="00114E09" w:rsidRDefault="00DC53E2" w:rsidP="005758AA">
      <w:pPr>
        <w:spacing w:after="120" w:line="240" w:lineRule="auto"/>
        <w:ind w:left="1"/>
        <w:jc w:val="both"/>
        <w:rPr>
          <w:rFonts w:ascii="Times New Roman" w:eastAsia="Calibri" w:hAnsi="Times New Roman" w:cs="Times New Roman"/>
          <w:noProof/>
          <w:sz w:val="24"/>
          <w:szCs w:val="24"/>
        </w:rPr>
      </w:pPr>
      <w:r>
        <w:rPr>
          <w:rFonts w:ascii="Times New Roman" w:hAnsi="Times New Roman"/>
          <w:noProof/>
          <w:sz w:val="24"/>
        </w:rPr>
        <w:t xml:space="preserve">Citas attiecīgās programmas, piemēram, </w:t>
      </w:r>
      <w:r>
        <w:rPr>
          <w:rFonts w:ascii="Times New Roman" w:hAnsi="Times New Roman"/>
          <w:b/>
          <w:noProof/>
          <w:sz w:val="24"/>
        </w:rPr>
        <w:t>iekšlietu fondi</w:t>
      </w:r>
      <w:r>
        <w:rPr>
          <w:rFonts w:ascii="Times New Roman" w:hAnsi="Times New Roman"/>
          <w:noProof/>
          <w:sz w:val="24"/>
        </w:rPr>
        <w:t xml:space="preserve">, ir īpaši paredzēti politikas interešu īstenošanai ES, taču atsevišķas darbības var atbalstīt arī ārpus ES, jo īpaši, lai nodrošinātu pašreizējo aktivitāšu (piemēram, Migrācijas partnerības mehānisma un Reģionālās attīstības un aizsardzības programmas) nepārtrauktību. </w:t>
      </w:r>
    </w:p>
    <w:p w14:paraId="0D0CB46C" w14:textId="77777777" w:rsidR="00DC53E2" w:rsidRPr="00114E09" w:rsidRDefault="00DC53E2" w:rsidP="005758AA">
      <w:pPr>
        <w:pStyle w:val="ListParagraph"/>
        <w:numPr>
          <w:ilvl w:val="0"/>
          <w:numId w:val="29"/>
        </w:numPr>
        <w:spacing w:before="0" w:after="60"/>
        <w:ind w:left="284" w:hanging="357"/>
        <w:contextualSpacing w:val="0"/>
        <w:jc w:val="both"/>
        <w:rPr>
          <w:rFonts w:ascii="Times New Roman" w:hAnsi="Times New Roman" w:cs="Times New Roman"/>
          <w:b/>
          <w:i/>
          <w:noProof/>
          <w:sz w:val="24"/>
          <w:szCs w:val="24"/>
        </w:rPr>
      </w:pPr>
      <w:r>
        <w:rPr>
          <w:rFonts w:ascii="Times New Roman" w:hAnsi="Times New Roman"/>
          <w:b/>
          <w:i/>
          <w:noProof/>
          <w:sz w:val="24"/>
        </w:rPr>
        <w:t>Eiropas komandas iniciatīvas migrācijas jomā</w:t>
      </w:r>
    </w:p>
    <w:p w14:paraId="3B723913" w14:textId="6FE549EF" w:rsidR="00DC53E2" w:rsidRPr="00114E09" w:rsidRDefault="00DC53E2" w:rsidP="005758AA">
      <w:pPr>
        <w:spacing w:after="120" w:line="240" w:lineRule="auto"/>
        <w:ind w:left="1"/>
        <w:jc w:val="both"/>
        <w:rPr>
          <w:rFonts w:ascii="Times New Roman" w:hAnsi="Times New Roman" w:cs="Times New Roman"/>
          <w:noProof/>
          <w:sz w:val="24"/>
          <w:szCs w:val="24"/>
        </w:rPr>
      </w:pPr>
      <w:r>
        <w:rPr>
          <w:rFonts w:ascii="Times New Roman" w:hAnsi="Times New Roman"/>
          <w:noProof/>
          <w:sz w:val="24"/>
        </w:rPr>
        <w:lastRenderedPageBreak/>
        <w:t xml:space="preserve">ES un ieinteresētās dalībvalstis apvieno spēkus, lai stiprinātu operatīvo koordināciju migrācijas jomā, izmantojot reģionālās Eiropas komandas iniciatīvas </w:t>
      </w:r>
      <w:r>
        <w:rPr>
          <w:rFonts w:ascii="Times New Roman" w:hAnsi="Times New Roman"/>
          <w:b/>
          <w:noProof/>
          <w:sz w:val="24"/>
        </w:rPr>
        <w:t>Atlantijas okeāna un Vidusjūras rietumdaļas maršrutā</w:t>
      </w:r>
      <w:r>
        <w:rPr>
          <w:rFonts w:ascii="Times New Roman" w:hAnsi="Times New Roman"/>
          <w:noProof/>
          <w:sz w:val="24"/>
        </w:rPr>
        <w:t xml:space="preserve">, ko vada Spānija, un </w:t>
      </w:r>
      <w:r>
        <w:rPr>
          <w:rFonts w:ascii="Times New Roman" w:hAnsi="Times New Roman"/>
          <w:b/>
          <w:noProof/>
          <w:sz w:val="24"/>
        </w:rPr>
        <w:t>Vidusjūras centrālās daļas maršrutā</w:t>
      </w:r>
      <w:r>
        <w:rPr>
          <w:rFonts w:ascii="Times New Roman" w:hAnsi="Times New Roman"/>
          <w:noProof/>
          <w:sz w:val="24"/>
        </w:rPr>
        <w:t>, ko vada Francija un Itālija. Šī satvara tematiskie komponenti atbilst pieciem intervences pīlāriem, kas atzīti kopīgajā Valletas rīcības plānā</w:t>
      </w:r>
      <w:r>
        <w:rPr>
          <w:rStyle w:val="FootnoteReference"/>
          <w:rFonts w:ascii="Times New Roman" w:hAnsi="Times New Roman" w:cs="Times New Roman"/>
          <w:noProof/>
          <w:sz w:val="24"/>
          <w:szCs w:val="24"/>
        </w:rPr>
        <w:footnoteReference w:id="108"/>
      </w:r>
      <w:r>
        <w:rPr>
          <w:rFonts w:ascii="Times New Roman" w:hAnsi="Times New Roman"/>
          <w:noProof/>
          <w:sz w:val="24"/>
        </w:rPr>
        <w:t xml:space="preserve"> un ir saskaņā ar Migrācijas un patvēruma paktu. </w:t>
      </w:r>
    </w:p>
    <w:p w14:paraId="28045D54" w14:textId="77777777" w:rsidR="00DC53E2" w:rsidRPr="00114E09" w:rsidRDefault="00DC53E2" w:rsidP="005758AA">
      <w:pPr>
        <w:spacing w:after="120" w:line="240" w:lineRule="auto"/>
        <w:ind w:left="1"/>
        <w:jc w:val="both"/>
        <w:rPr>
          <w:rFonts w:ascii="Times New Roman" w:hAnsi="Times New Roman" w:cs="Times New Roman"/>
          <w:noProof/>
          <w:sz w:val="24"/>
          <w:szCs w:val="24"/>
        </w:rPr>
      </w:pPr>
      <w:r>
        <w:rPr>
          <w:rFonts w:ascii="Times New Roman" w:hAnsi="Times New Roman"/>
          <w:noProof/>
          <w:sz w:val="24"/>
        </w:rPr>
        <w:t xml:space="preserve">ES ir ierosinājusi arī reģionālu Eiropas komandas iniciatīvu par </w:t>
      </w:r>
      <w:r>
        <w:rPr>
          <w:rFonts w:ascii="Times New Roman" w:hAnsi="Times New Roman"/>
          <w:b/>
          <w:noProof/>
          <w:sz w:val="24"/>
        </w:rPr>
        <w:t>Afganistānas iedzīvotāju pārvietošanu</w:t>
      </w:r>
      <w:r>
        <w:rPr>
          <w:rFonts w:ascii="Times New Roman" w:hAnsi="Times New Roman"/>
          <w:noProof/>
          <w:sz w:val="24"/>
        </w:rPr>
        <w:t>. Tajā galvenā uzmanība tiks pievērsta politiskajam dialogam un migrācijas pārvaldībai, aizsardzībai, cīņai pret cilvēku tirdzniecību un migrantu kontrabandu, pamatpakalpojumu sniegšanai, prasmju pilnveidei un iztikas iespēju radīšanai, mērķtiecīgi pievēršoties pārvietotajiem afgāņiem un uzņēmējkopienām Afganistānā un kaimiņvalstīs, arī Centrālāzijā.</w:t>
      </w:r>
    </w:p>
    <w:p w14:paraId="4A7D27AC" w14:textId="094920F0" w:rsidR="00DC53E2" w:rsidRPr="00114E09" w:rsidRDefault="00DC53E2" w:rsidP="005758AA">
      <w:pPr>
        <w:pStyle w:val="Briefingheading1"/>
        <w:numPr>
          <w:ilvl w:val="0"/>
          <w:numId w:val="9"/>
        </w:numPr>
        <w:spacing w:before="360" w:after="200"/>
        <w:rPr>
          <w:rFonts w:ascii="Times New Roman" w:hAnsi="Times New Roman"/>
          <w:b w:val="0"/>
          <w:noProof/>
          <w:u w:val="none"/>
        </w:rPr>
      </w:pPr>
      <w:bookmarkStart w:id="25" w:name="_Toc108117280"/>
      <w:bookmarkEnd w:id="16"/>
      <w:r>
        <w:rPr>
          <w:rFonts w:ascii="Times New Roman" w:hAnsi="Times New Roman"/>
          <w:noProof/>
          <w:u w:val="none"/>
        </w:rPr>
        <w:t>SECINĀJUMS</w:t>
      </w:r>
      <w:bookmarkEnd w:id="25"/>
    </w:p>
    <w:p w14:paraId="3E67C840" w14:textId="549F8CD6" w:rsidR="00991AB3" w:rsidRPr="00114E09" w:rsidRDefault="00991AB3" w:rsidP="00991AB3">
      <w:pPr>
        <w:spacing w:after="120" w:line="240" w:lineRule="auto"/>
        <w:ind w:left="1"/>
        <w:jc w:val="both"/>
        <w:rPr>
          <w:rFonts w:ascii="Times New Roman" w:hAnsi="Times New Roman" w:cs="Times New Roman"/>
          <w:noProof/>
          <w:sz w:val="24"/>
          <w:szCs w:val="24"/>
        </w:rPr>
      </w:pPr>
      <w:r>
        <w:rPr>
          <w:rFonts w:ascii="Times New Roman" w:hAnsi="Times New Roman"/>
          <w:noProof/>
          <w:sz w:val="24"/>
        </w:rPr>
        <w:t>Aizvadītais gads ir apliecinājis ES spēju rīkoties kā apņēmības un solidaritātes pilnai Savienībai, gan lai risinātu migrācijas radītās nepārtraukti mainīgās problēmas, gan arī izmantotu tās sniegtās iespējas mūsu kontinentam. Kā savā runā par stāvokli Savienībā skaidri norādījusi Komisijas priekšsēdētāja fon der Leiena, ir svarīgi, lai šī solidaritāte arī turpmāk būtu klātesoša mūsu debatēs par migrāciju, un bezprecedenta centieniem uzņemt miljoniem cilvēku, kas bēg no Ukrainas, vajadzētu iedvesmot turpmākai rīcībai — koordinētas, kopīgas reakcijas plānam ES līmenī.</w:t>
      </w:r>
    </w:p>
    <w:p w14:paraId="2E7A2621" w14:textId="3F106F92" w:rsidR="00991AB3" w:rsidRPr="00114E09" w:rsidRDefault="00991AB3" w:rsidP="00991AB3">
      <w:pPr>
        <w:spacing w:after="120" w:line="240" w:lineRule="auto"/>
        <w:ind w:left="1"/>
        <w:jc w:val="both"/>
        <w:rPr>
          <w:rFonts w:ascii="Times New Roman" w:hAnsi="Times New Roman" w:cs="Times New Roman"/>
          <w:noProof/>
          <w:sz w:val="24"/>
          <w:szCs w:val="24"/>
        </w:rPr>
      </w:pPr>
      <w:r>
        <w:rPr>
          <w:rFonts w:ascii="Times New Roman" w:hAnsi="Times New Roman"/>
          <w:noProof/>
          <w:sz w:val="24"/>
        </w:rPr>
        <w:t xml:space="preserve">Nākamais gads būs izšķirošs likumdošanas darbam migrācijas un patvēruma jomā, kas ir steidzami jāveic, lai pilnīgi nostiprinātu ES spēju solidāri, atbildīgi un taisnīgi reaģēt uz jebkādām problēmām. Komisija cer, ka tiks panākts progress attiecībā uz ceļvedi, par ko vienojās Padome un Parlaments, lai līdz 2024. gada pavasarim panāktu vienošanos par galvenajām likumdošanas lietām. </w:t>
      </w:r>
    </w:p>
    <w:tbl>
      <w:tblPr>
        <w:tblStyle w:val="TableGrid"/>
        <w:tblW w:w="0" w:type="auto"/>
        <w:tblInd w:w="1" w:type="dxa"/>
        <w:tblLook w:val="04A0" w:firstRow="1" w:lastRow="0" w:firstColumn="1" w:lastColumn="0" w:noHBand="0" w:noVBand="1"/>
      </w:tblPr>
      <w:tblGrid>
        <w:gridCol w:w="9241"/>
      </w:tblGrid>
      <w:tr w:rsidR="00991AB3" w:rsidRPr="00114E09" w14:paraId="6F2FC65D" w14:textId="77777777" w:rsidTr="00991AB3">
        <w:tc>
          <w:tcPr>
            <w:tcW w:w="9242" w:type="dxa"/>
          </w:tcPr>
          <w:p w14:paraId="1F158287" w14:textId="77777777" w:rsidR="00991AB3" w:rsidRPr="00114E09" w:rsidRDefault="00991AB3" w:rsidP="008F57C5">
            <w:pPr>
              <w:rPr>
                <w:rFonts w:ascii="Times New Roman" w:hAnsi="Times New Roman" w:cs="Times New Roman"/>
                <w:noProof/>
                <w:sz w:val="24"/>
                <w:szCs w:val="24"/>
              </w:rPr>
            </w:pPr>
            <w:r>
              <w:rPr>
                <w:rFonts w:ascii="Times New Roman" w:hAnsi="Times New Roman"/>
                <w:b/>
                <w:i/>
                <w:noProof/>
                <w:sz w:val="24"/>
              </w:rPr>
              <w:t>Kā galvenos turpmākos pasākumus Komisija aicina:</w:t>
            </w:r>
          </w:p>
          <w:p w14:paraId="11CAB7DD" w14:textId="77777777" w:rsidR="007A1D62" w:rsidRPr="00114E09" w:rsidRDefault="007A1D62" w:rsidP="008F57C5">
            <w:pPr>
              <w:pStyle w:val="ListParagraph"/>
              <w:numPr>
                <w:ilvl w:val="0"/>
                <w:numId w:val="36"/>
              </w:numPr>
              <w:spacing w:after="0"/>
              <w:rPr>
                <w:rFonts w:ascii="Times New Roman" w:hAnsi="Times New Roman" w:cs="Times New Roman"/>
                <w:noProof/>
                <w:sz w:val="24"/>
                <w:szCs w:val="24"/>
              </w:rPr>
            </w:pPr>
            <w:r>
              <w:rPr>
                <w:rFonts w:ascii="Times New Roman" w:hAnsi="Times New Roman"/>
                <w:noProof/>
                <w:sz w:val="24"/>
              </w:rPr>
              <w:t>Parlamentu un Padomi īstenot kopīgo ceļvedi, lai līdz 2024. gada martam pieņemtu visus iesniegtos priekšlikumus;</w:t>
            </w:r>
          </w:p>
          <w:p w14:paraId="173D33E9" w14:textId="0BE8F5E8" w:rsidR="00991AB3" w:rsidRPr="00634701" w:rsidRDefault="00991AB3" w:rsidP="00991AB3">
            <w:pPr>
              <w:pStyle w:val="ListParagraph"/>
              <w:numPr>
                <w:ilvl w:val="0"/>
                <w:numId w:val="36"/>
              </w:numPr>
              <w:spacing w:after="120"/>
              <w:rPr>
                <w:rFonts w:ascii="Times New Roman" w:hAnsi="Times New Roman" w:cs="Times New Roman"/>
                <w:noProof/>
                <w:sz w:val="24"/>
                <w:szCs w:val="24"/>
              </w:rPr>
            </w:pPr>
            <w:r>
              <w:rPr>
                <w:rFonts w:ascii="Times New Roman" w:hAnsi="Times New Roman"/>
                <w:noProof/>
                <w:sz w:val="24"/>
              </w:rPr>
              <w:t>Parlamentu un Padomi ātri pieņemt nostāju par visiem izskatāmajiem priekšlikumiem;</w:t>
            </w:r>
          </w:p>
          <w:p w14:paraId="09CD6DAF" w14:textId="0759640B" w:rsidR="009505DB" w:rsidRPr="00114E09" w:rsidRDefault="009505DB" w:rsidP="00991AB3">
            <w:pPr>
              <w:pStyle w:val="ListParagraph"/>
              <w:numPr>
                <w:ilvl w:val="0"/>
                <w:numId w:val="36"/>
              </w:numPr>
              <w:spacing w:after="120"/>
              <w:rPr>
                <w:rFonts w:ascii="Times New Roman" w:hAnsi="Times New Roman" w:cs="Times New Roman"/>
                <w:noProof/>
                <w:sz w:val="24"/>
                <w:szCs w:val="24"/>
              </w:rPr>
            </w:pPr>
            <w:r>
              <w:rPr>
                <w:rFonts w:ascii="Times New Roman" w:hAnsi="Times New Roman"/>
                <w:noProof/>
                <w:sz w:val="24"/>
              </w:rPr>
              <w:t>Parlamentu un Padomi ātri turpināt sarunas par Prasmju un talantu paketi (Pastāvīgo iedzīvotāju direktīvas pārstrādātu redakciju un Vienotās atļaujas direktīvas pārstrādātu redakciju);</w:t>
            </w:r>
          </w:p>
          <w:p w14:paraId="28F58D05" w14:textId="77777777" w:rsidR="00991AB3" w:rsidRPr="00114E09" w:rsidRDefault="00991AB3" w:rsidP="009505DB">
            <w:pPr>
              <w:pStyle w:val="ListParagraph"/>
              <w:numPr>
                <w:ilvl w:val="0"/>
                <w:numId w:val="36"/>
              </w:numPr>
              <w:spacing w:after="120"/>
              <w:rPr>
                <w:rFonts w:ascii="Times New Roman" w:hAnsi="Times New Roman" w:cs="Times New Roman"/>
                <w:noProof/>
                <w:sz w:val="24"/>
                <w:szCs w:val="24"/>
              </w:rPr>
            </w:pPr>
            <w:r>
              <w:rPr>
                <w:rFonts w:ascii="Times New Roman" w:hAnsi="Times New Roman"/>
                <w:noProof/>
                <w:sz w:val="24"/>
              </w:rPr>
              <w:t>dalībvalstis īstenot brīvprātīgo solidaritātes mehānismu.</w:t>
            </w:r>
          </w:p>
        </w:tc>
      </w:tr>
    </w:tbl>
    <w:p w14:paraId="16D9DDEA" w14:textId="67B68932" w:rsidR="00991AB3" w:rsidRPr="00114E09" w:rsidRDefault="00991AB3" w:rsidP="00991AB3">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Komisija turpinās atbalstīt šos centienus un attīstīt citus šajā ziņojumā uzsvērtos aspektus, tai skaitā robežu pārvaldību, atgriešanos, solidaritāti un sekundārās kustības problēmu risināšanu, vienlaikus padziļinot mūsu partnerattiecības visā pasaulē un veicinot migrantu likumīgo migrāciju, kā arī reizē stiprinot to personu integrāciju Eiropā, kuras šeit ieceļojušas pirmoreiz un kuras var sniegt nepieciešamās prasmes mūsu ekonomikai. </w:t>
      </w:r>
    </w:p>
    <w:p w14:paraId="3F2324DD" w14:textId="74816624" w:rsidR="00991AB3" w:rsidRPr="00114E09" w:rsidRDefault="00991AB3" w:rsidP="00991AB3">
      <w:pPr>
        <w:spacing w:after="120" w:line="240" w:lineRule="auto"/>
        <w:ind w:left="1"/>
        <w:jc w:val="both"/>
        <w:rPr>
          <w:rFonts w:ascii="Times New Roman" w:hAnsi="Times New Roman" w:cs="Times New Roman"/>
          <w:noProof/>
          <w:sz w:val="24"/>
          <w:szCs w:val="24"/>
        </w:rPr>
      </w:pPr>
      <w:r>
        <w:rPr>
          <w:rFonts w:ascii="Times New Roman" w:hAnsi="Times New Roman"/>
          <w:noProof/>
          <w:sz w:val="24"/>
        </w:rPr>
        <w:t>Migrācijas jomā ES ir jārīkojas ar kopīgiem spēkiem un kopīgu politisko gribu, katram dalībniekam uzņemoties atbildību par cieņpilnu un cilvēka cienīgu migrācijas pārvaldību un izrādot solidaritāti ar citiem. Šādā veidā mēs parādīsim Eiropu no tās labākās puses — gatavu izaicinājumiem, ar kuriem mums nāksies saskarties turpmākajos gados.</w:t>
      </w:r>
    </w:p>
    <w:p w14:paraId="4249F75F" w14:textId="77777777" w:rsidR="006F37DD" w:rsidRPr="00114E09" w:rsidRDefault="00BF1BBA" w:rsidP="005758AA">
      <w:pPr>
        <w:spacing w:line="240" w:lineRule="auto"/>
        <w:jc w:val="both"/>
        <w:rPr>
          <w:rFonts w:ascii="Times New Roman" w:hAnsi="Times New Roman" w:cs="Times New Roman"/>
          <w:noProof/>
          <w:sz w:val="24"/>
          <w:szCs w:val="24"/>
        </w:rPr>
      </w:pPr>
    </w:p>
    <w:sectPr w:rsidR="006F37DD" w:rsidRPr="00114E09" w:rsidSect="00364496">
      <w:headerReference w:type="even" r:id="rId16"/>
      <w:headerReference w:type="default" r:id="rId17"/>
      <w:footerReference w:type="even" r:id="rId18"/>
      <w:footerReference w:type="default" r:id="rId19"/>
      <w:headerReference w:type="first" r:id="rId20"/>
      <w:footerReference w:type="first" r:id="rId21"/>
      <w:pgSz w:w="11906" w:h="16838"/>
      <w:pgMar w:top="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3FD7F" w14:textId="77777777" w:rsidR="00286639" w:rsidRDefault="00286639" w:rsidP="00C77BCE">
      <w:pPr>
        <w:spacing w:after="0" w:line="240" w:lineRule="auto"/>
      </w:pPr>
      <w:r>
        <w:separator/>
      </w:r>
    </w:p>
  </w:endnote>
  <w:endnote w:type="continuationSeparator" w:id="0">
    <w:p w14:paraId="7054A543" w14:textId="77777777" w:rsidR="00286639" w:rsidRDefault="00286639" w:rsidP="00C77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E853F" w14:textId="77777777" w:rsidR="00BF1BBA" w:rsidRPr="00BF1BBA" w:rsidRDefault="00BF1BBA" w:rsidP="00BF1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88FA" w14:textId="78DC9295" w:rsidR="00BF1BBA" w:rsidRPr="00BF1BBA" w:rsidRDefault="00BF1BBA" w:rsidP="00BF1BBA">
    <w:pPr>
      <w:pStyle w:val="FooterCoverPage"/>
      <w:rPr>
        <w:rFonts w:ascii="Arial" w:hAnsi="Arial" w:cs="Arial"/>
        <w:b/>
        <w:sz w:val="48"/>
      </w:rPr>
    </w:pPr>
    <w:r w:rsidRPr="00BF1BBA">
      <w:rPr>
        <w:rFonts w:ascii="Arial" w:hAnsi="Arial" w:cs="Arial"/>
        <w:b/>
        <w:sz w:val="48"/>
      </w:rPr>
      <w:t>LV</w:t>
    </w:r>
    <w:r w:rsidRPr="00BF1BBA">
      <w:rPr>
        <w:rFonts w:ascii="Arial" w:hAnsi="Arial" w:cs="Arial"/>
        <w:b/>
        <w:sz w:val="48"/>
      </w:rPr>
      <w:tab/>
    </w:r>
    <w:r w:rsidRPr="00BF1BBA">
      <w:rPr>
        <w:rFonts w:ascii="Arial" w:hAnsi="Arial" w:cs="Arial"/>
        <w:b/>
        <w:sz w:val="48"/>
      </w:rPr>
      <w:tab/>
    </w:r>
    <w:r w:rsidRPr="00BF1BBA">
      <w:tab/>
    </w:r>
    <w:proofErr w:type="spellStart"/>
    <w:r w:rsidRPr="00BF1BBA">
      <w:rPr>
        <w:rFonts w:ascii="Arial" w:hAnsi="Arial" w:cs="Arial"/>
        <w:b/>
        <w:sz w:val="48"/>
      </w:rPr>
      <w:t>LV</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3611B" w14:textId="77777777" w:rsidR="00BF1BBA" w:rsidRPr="00BF1BBA" w:rsidRDefault="00BF1BBA" w:rsidP="00BF1BB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79520" w14:textId="77777777" w:rsidR="002C4618" w:rsidRDefault="002C461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765478"/>
      <w:docPartObj>
        <w:docPartGallery w:val="Page Numbers (Bottom of Page)"/>
        <w:docPartUnique/>
      </w:docPartObj>
    </w:sdtPr>
    <w:sdtEndPr>
      <w:rPr>
        <w:rFonts w:ascii="Times New Roman" w:hAnsi="Times New Roman" w:cs="Times New Roman"/>
        <w:noProof/>
      </w:rPr>
    </w:sdtEndPr>
    <w:sdtContent>
      <w:p w14:paraId="4949248F" w14:textId="353FC4B8" w:rsidR="00364496" w:rsidRPr="00364496" w:rsidRDefault="00364496">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BB420E">
          <w:rPr>
            <w:rFonts w:ascii="Times New Roman" w:hAnsi="Times New Roman" w:cs="Times New Roman"/>
            <w:noProof/>
          </w:rPr>
          <w:t>2</w:t>
        </w:r>
        <w:r w:rsidR="00BB420E">
          <w:rPr>
            <w:rFonts w:ascii="Times New Roman" w:hAnsi="Times New Roman" w:cs="Times New Roman"/>
            <w:noProof/>
          </w:rPr>
          <w:t>6</w:t>
        </w:r>
        <w:r>
          <w:rPr>
            <w:rFonts w:ascii="Times New Roman" w:hAnsi="Times New Roman" w:cs="Times New Roman"/>
          </w:rPr>
          <w:fldChar w:fldCharType="end"/>
        </w:r>
      </w:p>
    </w:sdtContent>
  </w:sdt>
  <w:p w14:paraId="3ED34CCF" w14:textId="77777777" w:rsidR="00A41928" w:rsidRPr="009E684E" w:rsidRDefault="00BF1BBA">
    <w:pPr>
      <w:pStyle w:val="Footer"/>
      <w:rPr>
        <w:rFonts w:ascii="Times New Roman" w:hAnsi="Times New Roman" w:cs="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643861"/>
      <w:docPartObj>
        <w:docPartGallery w:val="Page Numbers (Bottom of Page)"/>
        <w:docPartUnique/>
      </w:docPartObj>
    </w:sdtPr>
    <w:sdtEndPr>
      <w:rPr>
        <w:noProof/>
      </w:rPr>
    </w:sdtEndPr>
    <w:sdtContent>
      <w:p w14:paraId="60994158" w14:textId="5EF65536" w:rsidR="002C4618" w:rsidRDefault="002C4618">
        <w:pPr>
          <w:pStyle w:val="Footer"/>
          <w:jc w:val="right"/>
        </w:pPr>
        <w:r>
          <w:fldChar w:fldCharType="begin"/>
        </w:r>
        <w:r>
          <w:instrText xml:space="preserve"> PAGE   \* MERGEFORMAT </w:instrText>
        </w:r>
        <w:r>
          <w:fldChar w:fldCharType="separate"/>
        </w:r>
        <w:r w:rsidR="00BB420E">
          <w:rPr>
            <w:noProof/>
          </w:rPr>
          <w:t>1</w:t>
        </w:r>
        <w:r>
          <w:fldChar w:fldCharType="end"/>
        </w:r>
      </w:p>
    </w:sdtContent>
  </w:sdt>
  <w:p w14:paraId="726CC261" w14:textId="77777777" w:rsidR="002C4618" w:rsidRPr="00367488" w:rsidRDefault="002C4618">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3FAB0" w14:textId="77777777" w:rsidR="00286639" w:rsidRDefault="00286639" w:rsidP="00C77BCE">
      <w:pPr>
        <w:spacing w:after="0" w:line="240" w:lineRule="auto"/>
      </w:pPr>
      <w:r>
        <w:separator/>
      </w:r>
    </w:p>
  </w:footnote>
  <w:footnote w:type="continuationSeparator" w:id="0">
    <w:p w14:paraId="25BC1323" w14:textId="77777777" w:rsidR="00286639" w:rsidRDefault="00286639" w:rsidP="00C77BCE">
      <w:pPr>
        <w:spacing w:after="0" w:line="240" w:lineRule="auto"/>
      </w:pPr>
      <w:r>
        <w:continuationSeparator/>
      </w:r>
    </w:p>
  </w:footnote>
  <w:footnote w:id="1">
    <w:p w14:paraId="42EEF07E" w14:textId="54B13199" w:rsidR="001F0F16" w:rsidRPr="00160049" w:rsidRDefault="001F0F16" w:rsidP="00353A64">
      <w:pPr>
        <w:pStyle w:val="FootnoteText"/>
        <w:tabs>
          <w:tab w:val="left" w:pos="284"/>
        </w:tabs>
        <w:spacing w:after="0"/>
        <w:rPr>
          <w:rFonts w:ascii="Times New Roman" w:hAnsi="Times New Roman"/>
        </w:rPr>
      </w:pPr>
      <w:r>
        <w:rPr>
          <w:rStyle w:val="FootnoteReference"/>
          <w:rFonts w:ascii="Times New Roman" w:hAnsi="Times New Roman"/>
        </w:rPr>
        <w:footnoteRef/>
      </w:r>
      <w:r>
        <w:tab/>
      </w:r>
      <w:r>
        <w:rPr>
          <w:rFonts w:ascii="Times New Roman" w:hAnsi="Times New Roman"/>
        </w:rPr>
        <w:t>Paziņojums par Ziņojumu par migrāciju un patvērumu (COM(2021)590 </w:t>
      </w:r>
      <w:proofErr w:type="spellStart"/>
      <w:r>
        <w:rPr>
          <w:rFonts w:ascii="Times New Roman" w:hAnsi="Times New Roman"/>
        </w:rPr>
        <w:t>final</w:t>
      </w:r>
      <w:proofErr w:type="spellEnd"/>
      <w:r>
        <w:rPr>
          <w:rFonts w:ascii="Times New Roman" w:hAnsi="Times New Roman"/>
        </w:rPr>
        <w:t>, 2021. gada 29. septembris).</w:t>
      </w:r>
    </w:p>
  </w:footnote>
  <w:footnote w:id="2">
    <w:p w14:paraId="638CF25B" w14:textId="2F04C81A" w:rsidR="00681434" w:rsidRPr="00160049" w:rsidRDefault="00681434" w:rsidP="00EF085E">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 xml:space="preserve">Paziņojums par jaunu Migrācijas un patvēruma </w:t>
      </w:r>
      <w:proofErr w:type="spellStart"/>
      <w:r>
        <w:rPr>
          <w:rFonts w:ascii="Times New Roman" w:hAnsi="Times New Roman"/>
        </w:rPr>
        <w:t>paktu</w:t>
      </w:r>
      <w:proofErr w:type="spellEnd"/>
      <w:r>
        <w:rPr>
          <w:rFonts w:ascii="Times New Roman" w:hAnsi="Times New Roman"/>
        </w:rPr>
        <w:t xml:space="preserve"> (COM(2020) 609 </w:t>
      </w:r>
      <w:proofErr w:type="spellStart"/>
      <w:r>
        <w:rPr>
          <w:rFonts w:ascii="Times New Roman" w:hAnsi="Times New Roman"/>
        </w:rPr>
        <w:t>final</w:t>
      </w:r>
      <w:proofErr w:type="spellEnd"/>
      <w:r>
        <w:rPr>
          <w:rFonts w:ascii="Times New Roman" w:hAnsi="Times New Roman"/>
        </w:rPr>
        <w:t>, 2020. gada 23. septembris)</w:t>
      </w:r>
      <w:r>
        <w:t>.</w:t>
      </w:r>
    </w:p>
  </w:footnote>
  <w:footnote w:id="3">
    <w:p w14:paraId="313A6C12" w14:textId="2825D256" w:rsidR="00DC53E2" w:rsidRPr="00160049" w:rsidRDefault="00DC53E2" w:rsidP="00620FA6">
      <w:pPr>
        <w:pStyle w:val="FootnoteText"/>
        <w:spacing w:after="0"/>
        <w:ind w:left="284" w:hanging="284"/>
        <w:jc w:val="both"/>
        <w:rPr>
          <w:rFonts w:ascii="Times New Roman" w:hAnsi="Times New Roman"/>
        </w:rPr>
      </w:pPr>
      <w:r>
        <w:rPr>
          <w:rStyle w:val="FootnoteReference"/>
          <w:rFonts w:ascii="Times New Roman" w:eastAsiaTheme="minorHAnsi" w:hAnsi="Times New Roman"/>
        </w:rPr>
        <w:footnoteRef/>
      </w:r>
      <w:r>
        <w:tab/>
      </w:r>
      <w:r>
        <w:rPr>
          <w:rFonts w:ascii="Times New Roman" w:hAnsi="Times New Roman"/>
        </w:rPr>
        <w:t>Paziņojums “Eiropas solidaritāte ar bēgļiem un citiem, kas bēg no kara Ukrainā” (COM(2022) 107, 2022. gada 8. marts); paziņojums par to personu uzņemšanu, kuras bēg no kara Ukrainā: Eiropas sagatavošana vajadzību apmierināšanai (COM(2022) 131, 2022. gada 23. marts).</w:t>
      </w:r>
    </w:p>
  </w:footnote>
  <w:footnote w:id="4">
    <w:p w14:paraId="173BAFEB" w14:textId="3F520A1E" w:rsidR="00DC53E2" w:rsidRPr="00160049" w:rsidRDefault="00DC53E2" w:rsidP="00620FA6">
      <w:pPr>
        <w:pStyle w:val="FootnoteText"/>
        <w:spacing w:after="0"/>
        <w:ind w:left="284" w:hanging="284"/>
        <w:jc w:val="both"/>
        <w:rPr>
          <w:rFonts w:ascii="Times New Roman" w:hAnsi="Times New Roman"/>
        </w:rPr>
      </w:pPr>
      <w:r>
        <w:rPr>
          <w:rStyle w:val="FootnoteReference"/>
          <w:rFonts w:ascii="Times New Roman" w:eastAsiaTheme="minorHAnsi" w:hAnsi="Times New Roman"/>
          <w:bCs/>
          <w:iCs/>
          <w:lang w:eastAsia="en-US"/>
        </w:rPr>
        <w:footnoteRef/>
      </w:r>
      <w:r>
        <w:tab/>
      </w:r>
      <w:r>
        <w:rPr>
          <w:rFonts w:ascii="Times New Roman" w:hAnsi="Times New Roman"/>
        </w:rPr>
        <w:t>Padomes Īstenošanas lēmums (ES) 2022/382 (2022. gada 4. marts), ar ko Direktīvas 2001/55/EK 5. panta nozīmē konstatēja no Ukrainas pārvietoto personu masveida pieplūduma esamību un noteica pagaidu aizsardzības ieviešanu. Pagaidu aizsardzības direktīvu savos tiesību aktos ir transponējušas 26 dalībvalstis. Tā kā Dānija ir atteikusies no Pagaidu aizsardzības direktīvas piemērošanas, tai šī direktīva nav saistoša, un tā pieņēma likumprojektu par pagaidu uzturēšanās atļaujām pārvietotām personām no Ukrainas (“Īpašais akts”).</w:t>
      </w:r>
    </w:p>
  </w:footnote>
  <w:footnote w:id="5">
    <w:p w14:paraId="2950AE4E" w14:textId="0AFAB691" w:rsidR="00F360EC" w:rsidRPr="00160049" w:rsidRDefault="00F360EC" w:rsidP="0042547C">
      <w:pPr>
        <w:pStyle w:val="FootnoteText"/>
        <w:spacing w:after="0"/>
        <w:ind w:left="284" w:hanging="284"/>
        <w:jc w:val="both"/>
        <w:rPr>
          <w:rFonts w:ascii="Times New Roman" w:hAnsi="Times New Roman"/>
          <w:bCs/>
        </w:rPr>
      </w:pPr>
      <w:r>
        <w:rPr>
          <w:rStyle w:val="FootnoteReference"/>
          <w:rFonts w:ascii="Times New Roman" w:hAnsi="Times New Roman"/>
        </w:rPr>
        <w:footnoteRef/>
      </w:r>
      <w:r>
        <w:tab/>
      </w:r>
      <w:r>
        <w:rPr>
          <w:rFonts w:ascii="Times New Roman" w:hAnsi="Times New Roman"/>
        </w:rPr>
        <w:t>Padomes Direktīva 2001/55/EK (2001. gada 20. jūlijs) par obligātajiem standartiem, lai pārvietoto personu masveida pieplūduma gadījumā sniegtu tām pagaidu aizsardzību, un par pasākumiem, lai līdzsvarotu dalībvalstu pūliņus, uzņemot šādas personas un uzņemoties ar to saistītās sekas.</w:t>
      </w:r>
    </w:p>
  </w:footnote>
  <w:footnote w:id="6">
    <w:p w14:paraId="67D88C15" w14:textId="645900D7" w:rsidR="00DC53E2" w:rsidRPr="00160049" w:rsidRDefault="00DC53E2" w:rsidP="00620FA6">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 xml:space="preserve">Paziņojums “Operatīvās vadlīnijas ārējo robežu pārvaldībai ar mērķi atvieglināt </w:t>
      </w:r>
      <w:proofErr w:type="spellStart"/>
      <w:r>
        <w:rPr>
          <w:rFonts w:ascii="Times New Roman" w:hAnsi="Times New Roman"/>
        </w:rPr>
        <w:t>robežšķērsošanu</w:t>
      </w:r>
      <w:proofErr w:type="spellEnd"/>
      <w:r>
        <w:rPr>
          <w:rFonts w:ascii="Times New Roman" w:hAnsi="Times New Roman"/>
        </w:rPr>
        <w:t xml:space="preserve"> pie ES un Ukrainas robežām” (C(2022) 1404 </w:t>
      </w:r>
      <w:proofErr w:type="spellStart"/>
      <w:r>
        <w:rPr>
          <w:rFonts w:ascii="Times New Roman" w:hAnsi="Times New Roman"/>
        </w:rPr>
        <w:t>final</w:t>
      </w:r>
      <w:proofErr w:type="spellEnd"/>
      <w:r>
        <w:rPr>
          <w:rFonts w:ascii="Times New Roman" w:hAnsi="Times New Roman"/>
        </w:rPr>
        <w:t>, 2022. gada 2. marts).</w:t>
      </w:r>
    </w:p>
  </w:footnote>
  <w:footnote w:id="7">
    <w:p w14:paraId="7982E6EE" w14:textId="1AF280C4" w:rsidR="00DC53E2" w:rsidRPr="00160049" w:rsidRDefault="00DC53E2" w:rsidP="00620FA6">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 xml:space="preserve">Paziņojums par operatīvajām vadlīnijām, lai īstenotu Padomes Īstenošanas lēmumu 2022/382 (C/2022/1806, 2022. gada 21. marts). </w:t>
      </w:r>
    </w:p>
  </w:footnote>
  <w:footnote w:id="8">
    <w:p w14:paraId="2DE2287B" w14:textId="36087987" w:rsidR="00DC53E2" w:rsidRPr="00160049" w:rsidRDefault="00DC53E2" w:rsidP="00620FA6">
      <w:pPr>
        <w:pStyle w:val="FootnoteText"/>
        <w:spacing w:after="0"/>
        <w:ind w:left="284" w:hanging="284"/>
        <w:jc w:val="both"/>
        <w:rPr>
          <w:rFonts w:ascii="Times New Roman" w:hAnsi="Times New Roman"/>
        </w:rPr>
      </w:pPr>
      <w:r>
        <w:rPr>
          <w:rStyle w:val="FootnoteReference"/>
          <w:rFonts w:ascii="Times New Roman" w:hAnsi="Times New Roman"/>
        </w:rPr>
        <w:footnoteRef/>
      </w:r>
      <w:r>
        <w:tab/>
      </w:r>
      <w:hyperlink r:id="rId1" w:history="1">
        <w:r>
          <w:rPr>
            <w:rStyle w:val="Hyperlink"/>
            <w:rFonts w:ascii="Times New Roman" w:hAnsi="Times New Roman"/>
          </w:rPr>
          <w:t>Biežāk uzdotie jautājumi par Pagaidu aizsardzības direktīvas un Padomes Īstenošanas lēmuma 2022/382 interpretāciju</w:t>
        </w:r>
      </w:hyperlink>
      <w:r>
        <w:t>.</w:t>
      </w:r>
    </w:p>
  </w:footnote>
  <w:footnote w:id="9">
    <w:p w14:paraId="5837BF70" w14:textId="4238042F" w:rsidR="00DC53E2" w:rsidRPr="00160049" w:rsidRDefault="00DC53E2" w:rsidP="00620FA6">
      <w:pPr>
        <w:pStyle w:val="FootnoteText"/>
        <w:spacing w:after="0"/>
        <w:ind w:left="284" w:hanging="284"/>
        <w:jc w:val="both"/>
        <w:rPr>
          <w:rFonts w:ascii="Times New Roman" w:hAnsi="Times New Roman"/>
        </w:rPr>
      </w:pPr>
      <w:r>
        <w:rPr>
          <w:rStyle w:val="FootnoteReference"/>
          <w:rFonts w:ascii="Times New Roman" w:hAnsi="Times New Roman"/>
        </w:rPr>
        <w:footnoteRef/>
      </w:r>
      <w:r>
        <w:tab/>
      </w:r>
      <w:hyperlink r:id="rId2" w:history="1">
        <w:r>
          <w:rPr>
            <w:rStyle w:val="Hyperlink"/>
            <w:rFonts w:ascii="Times New Roman" w:hAnsi="Times New Roman"/>
          </w:rPr>
          <w:t xml:space="preserve">10 punktu </w:t>
        </w:r>
        <w:proofErr w:type="spellStart"/>
        <w:r>
          <w:rPr>
            <w:rStyle w:val="Hyperlink"/>
            <w:rFonts w:ascii="Times New Roman" w:hAnsi="Times New Roman"/>
          </w:rPr>
          <w:t>plāns:</w:t>
        </w:r>
      </w:hyperlink>
      <w:hyperlink r:id="rId3" w:history="1">
        <w:r>
          <w:rPr>
            <w:rStyle w:val="Hyperlink"/>
            <w:rFonts w:ascii="Times New Roman" w:hAnsi="Times New Roman"/>
          </w:rPr>
          <w:t>par</w:t>
        </w:r>
        <w:proofErr w:type="spellEnd"/>
        <w:r>
          <w:rPr>
            <w:rStyle w:val="Hyperlink"/>
            <w:rFonts w:ascii="Times New Roman" w:hAnsi="Times New Roman"/>
          </w:rPr>
          <w:t xml:space="preserve"> stingrāku Eiropas koordināciju, lai uzņemtu cilvēkus, kas bēg no kara Ukrainā (europa.eu)</w:t>
        </w:r>
      </w:hyperlink>
      <w:r>
        <w:t>.</w:t>
      </w:r>
    </w:p>
  </w:footnote>
  <w:footnote w:id="10">
    <w:p w14:paraId="6DB813D6" w14:textId="7F03EC6E" w:rsidR="00DC53E2" w:rsidRPr="00160049" w:rsidRDefault="00DC53E2" w:rsidP="00E6593C">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Dokumenta sagatavošanas laikā platformai vēl nav pievienojušās Slovēnija un Zviedrija</w:t>
      </w:r>
      <w:r>
        <w:rPr>
          <w:rStyle w:val="Hyperlink"/>
          <w:rFonts w:ascii="Times New Roman" w:hAnsi="Times New Roman"/>
          <w:u w:val="none"/>
        </w:rPr>
        <w:t>.</w:t>
      </w:r>
    </w:p>
  </w:footnote>
  <w:footnote w:id="11">
    <w:p w14:paraId="49DDE503" w14:textId="20304E0D" w:rsidR="00DC53E2" w:rsidRPr="00160049" w:rsidRDefault="00DC53E2" w:rsidP="00E6593C">
      <w:pPr>
        <w:pStyle w:val="FootnoteText"/>
        <w:spacing w:after="0"/>
        <w:ind w:left="284" w:hanging="284"/>
        <w:jc w:val="both"/>
        <w:rPr>
          <w:rFonts w:ascii="Times New Roman" w:hAnsi="Times New Roman"/>
        </w:rPr>
      </w:pPr>
      <w:r>
        <w:rPr>
          <w:rStyle w:val="FootnoteReference"/>
          <w:rFonts w:ascii="Times New Roman" w:hAnsi="Times New Roman"/>
        </w:rPr>
        <w:footnoteRef/>
      </w:r>
      <w:r>
        <w:tab/>
      </w:r>
      <w:hyperlink r:id="rId4" w:anchor="onward-travel-in-the-eu" w:history="1">
        <w:r>
          <w:rPr>
            <w:rStyle w:val="Hyperlink"/>
            <w:rFonts w:ascii="Times New Roman" w:hAnsi="Times New Roman"/>
          </w:rPr>
          <w:t>Informācija personām, kas bēg no kara Ukrainā — informācija par valstu iestādēm un bezmaksas ceļošanas iespējām</w:t>
        </w:r>
      </w:hyperlink>
      <w:r>
        <w:t>.</w:t>
      </w:r>
    </w:p>
  </w:footnote>
  <w:footnote w:id="12">
    <w:p w14:paraId="60A7900F" w14:textId="5C99A000" w:rsidR="00DC53E2" w:rsidRPr="00160049" w:rsidRDefault="00DC53E2" w:rsidP="0042547C">
      <w:pPr>
        <w:pStyle w:val="FootnoteText"/>
        <w:spacing w:after="0"/>
        <w:ind w:left="284" w:hanging="284"/>
        <w:jc w:val="both"/>
        <w:rPr>
          <w:rFonts w:ascii="Times New Roman" w:hAnsi="Times New Roman"/>
        </w:rPr>
      </w:pPr>
      <w:r>
        <w:rPr>
          <w:rStyle w:val="Hyperlink"/>
          <w:rFonts w:ascii="Times New Roman" w:hAnsi="Times New Roman"/>
          <w:color w:val="auto"/>
          <w:u w:val="none"/>
          <w:vertAlign w:val="superscript"/>
        </w:rPr>
        <w:footnoteRef/>
      </w:r>
      <w:r>
        <w:tab/>
      </w:r>
      <w:hyperlink r:id="rId5" w:history="1">
        <w:r>
          <w:rPr>
            <w:rStyle w:val="Hyperlink"/>
            <w:rFonts w:ascii="Times New Roman" w:hAnsi="Times New Roman"/>
          </w:rPr>
          <w:t>Privātas izmitināšanas vietas pārvietotajām personām no Ukrainas (europa.eu)</w:t>
        </w:r>
      </w:hyperlink>
      <w:r>
        <w:t>.</w:t>
      </w:r>
      <w:r>
        <w:rPr>
          <w:rFonts w:ascii="Times New Roman" w:hAnsi="Times New Roman"/>
        </w:rPr>
        <w:t xml:space="preserve"> </w:t>
      </w:r>
    </w:p>
  </w:footnote>
  <w:footnote w:id="13">
    <w:p w14:paraId="174E85D7" w14:textId="3D9DECA4" w:rsidR="00DC53E2" w:rsidRPr="00160049" w:rsidRDefault="00DC53E2" w:rsidP="0042547C">
      <w:pPr>
        <w:pStyle w:val="FootnoteText"/>
        <w:spacing w:after="0"/>
        <w:ind w:left="284" w:hanging="284"/>
        <w:jc w:val="both"/>
        <w:rPr>
          <w:rStyle w:val="Hyperlink"/>
          <w:rFonts w:ascii="Times New Roman" w:hAnsi="Times New Roman"/>
        </w:rPr>
      </w:pPr>
      <w:r>
        <w:rPr>
          <w:rStyle w:val="Hyperlink"/>
          <w:rFonts w:ascii="Times New Roman" w:hAnsi="Times New Roman"/>
          <w:color w:val="auto"/>
          <w:u w:val="none"/>
          <w:vertAlign w:val="superscript"/>
        </w:rPr>
        <w:footnoteRef/>
      </w:r>
      <w:r>
        <w:tab/>
      </w:r>
      <w:hyperlink r:id="rId6" w:history="1">
        <w:r>
          <w:rPr>
            <w:rStyle w:val="Hyperlink"/>
            <w:rFonts w:ascii="Times New Roman" w:hAnsi="Times New Roman"/>
          </w:rPr>
          <w:t>Iniciatīva “Drošas mājas” (europa.eu)</w:t>
        </w:r>
      </w:hyperlink>
      <w:r>
        <w:t>.</w:t>
      </w:r>
      <w:r>
        <w:rPr>
          <w:rStyle w:val="Hyperlink"/>
          <w:rFonts w:ascii="Times New Roman" w:hAnsi="Times New Roman"/>
        </w:rPr>
        <w:t xml:space="preserve"> </w:t>
      </w:r>
    </w:p>
  </w:footnote>
  <w:footnote w:id="14">
    <w:p w14:paraId="3A713C48" w14:textId="40D138A9" w:rsidR="00DC53E2" w:rsidRPr="00160049" w:rsidRDefault="00DC53E2" w:rsidP="0042547C">
      <w:pPr>
        <w:pStyle w:val="FootnoteText"/>
        <w:spacing w:after="0"/>
        <w:ind w:left="284" w:hanging="284"/>
        <w:jc w:val="both"/>
        <w:rPr>
          <w:rFonts w:ascii="Times New Roman" w:hAnsi="Times New Roman"/>
        </w:rPr>
      </w:pPr>
      <w:r>
        <w:rPr>
          <w:rStyle w:val="FootnoteReference"/>
          <w:rFonts w:ascii="Times New Roman" w:hAnsi="Times New Roman"/>
        </w:rPr>
        <w:footnoteRef/>
      </w:r>
      <w:r>
        <w:tab/>
      </w:r>
      <w:hyperlink r:id="rId7" w:history="1">
        <w:r>
          <w:rPr>
            <w:rStyle w:val="Hyperlink"/>
            <w:rFonts w:ascii="Times New Roman" w:hAnsi="Times New Roman"/>
          </w:rPr>
          <w:t>Nepavadīti un no kara Ukrainā bēgoši bērni — bieži uzdotie jautājumi par reģistrāciju, uzņemšanu un aprūpi</w:t>
        </w:r>
      </w:hyperlink>
      <w:r>
        <w:t>.</w:t>
      </w:r>
    </w:p>
  </w:footnote>
  <w:footnote w:id="15">
    <w:p w14:paraId="25227252" w14:textId="70BF82D3" w:rsidR="00DC53E2" w:rsidRPr="00160049" w:rsidRDefault="00DC53E2" w:rsidP="0042547C">
      <w:pPr>
        <w:pStyle w:val="FootnoteText"/>
        <w:spacing w:after="0"/>
        <w:ind w:left="284" w:hanging="284"/>
        <w:jc w:val="both"/>
        <w:rPr>
          <w:rFonts w:ascii="Times New Roman" w:hAnsi="Times New Roman"/>
        </w:rPr>
      </w:pPr>
      <w:r>
        <w:rPr>
          <w:rStyle w:val="FootnoteReference"/>
          <w:rFonts w:ascii="Times New Roman" w:hAnsi="Times New Roman"/>
        </w:rPr>
        <w:footnoteRef/>
      </w:r>
      <w:r>
        <w:tab/>
      </w:r>
      <w:hyperlink r:id="rId8" w:history="1">
        <w:r>
          <w:rPr>
            <w:rStyle w:val="Hyperlink"/>
            <w:rFonts w:ascii="Times New Roman" w:hAnsi="Times New Roman"/>
          </w:rPr>
          <w:t>Jauns Cilvēku tirdzniecības apkarošanas plāns, lai aizsargātu personas, kas bēg no kara Ukrainā (europa.eu)</w:t>
        </w:r>
      </w:hyperlink>
      <w:r>
        <w:t>.</w:t>
      </w:r>
    </w:p>
  </w:footnote>
  <w:footnote w:id="16">
    <w:p w14:paraId="3588774D" w14:textId="169C5824" w:rsidR="00DC53E2" w:rsidRPr="00160049" w:rsidRDefault="00DC53E2" w:rsidP="0042547C">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Padomes Lēmums par to, lai Savienības vārdā parakstītu un provizoriski piemērotu Nolīgumu starp ES un Moldovas Republiku par operacionālām darbībām, ko Moldovas Republikā veic Eiropas Robežu un krasta apsardzes aģentūra (Padomes Lēmums (ES) 2022/449, 2022. gada 17. marts).</w:t>
      </w:r>
    </w:p>
  </w:footnote>
  <w:footnote w:id="17">
    <w:p w14:paraId="4F5591B3" w14:textId="5E9EC4E2" w:rsidR="00DC53E2" w:rsidRPr="00160049" w:rsidRDefault="00DC53E2" w:rsidP="002211E6">
      <w:pPr>
        <w:pStyle w:val="FootnoteText"/>
        <w:spacing w:after="0"/>
        <w:ind w:left="284" w:hanging="284"/>
        <w:jc w:val="both"/>
        <w:rPr>
          <w:rFonts w:ascii="Times New Roman" w:hAnsi="Times New Roman"/>
        </w:rPr>
      </w:pPr>
      <w:r>
        <w:rPr>
          <w:rStyle w:val="FootnoteReference"/>
          <w:rFonts w:ascii="Times New Roman" w:hAnsi="Times New Roman"/>
        </w:rPr>
        <w:footnoteRef/>
      </w:r>
      <w:r>
        <w:tab/>
      </w:r>
      <w:hyperlink r:id="rId9" w:history="1">
        <w:r>
          <w:rPr>
            <w:rStyle w:val="Hyperlink"/>
            <w:rFonts w:ascii="Times New Roman" w:hAnsi="Times New Roman"/>
          </w:rPr>
          <w:t>ES uzsāk atbalsta centra darbību (europa.eu)</w:t>
        </w:r>
      </w:hyperlink>
      <w:r>
        <w:t>.</w:t>
      </w:r>
    </w:p>
  </w:footnote>
  <w:footnote w:id="18">
    <w:p w14:paraId="20C359DE" w14:textId="43BD7751" w:rsidR="00436451" w:rsidRPr="00160049" w:rsidRDefault="00436451" w:rsidP="002211E6">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Vairāk nekā 29 000 personu uz ASV (līdz jūlija beigām); aptuveni 126 000 personu uz Apvienoto Karalisti (līdz septembra vidum); aptuveni 87 000 personu uz Kanādu (līdz septembra vidum).</w:t>
      </w:r>
    </w:p>
  </w:footnote>
  <w:footnote w:id="19">
    <w:p w14:paraId="015B6B53" w14:textId="21EEA26A" w:rsidR="00DC53E2" w:rsidRPr="00160049" w:rsidRDefault="00DC53E2" w:rsidP="00620FA6">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Paziņojums par ceturto progresa ziņojumu par ES Drošības savienības stratēģijas īstenošanu (COM(2022) 252 </w:t>
      </w:r>
      <w:proofErr w:type="spellStart"/>
      <w:r>
        <w:rPr>
          <w:rFonts w:ascii="Times New Roman" w:hAnsi="Times New Roman"/>
        </w:rPr>
        <w:t>final</w:t>
      </w:r>
      <w:proofErr w:type="spellEnd"/>
      <w:r>
        <w:rPr>
          <w:rFonts w:ascii="Times New Roman" w:hAnsi="Times New Roman"/>
        </w:rPr>
        <w:t>, 2022. gada 25. maijs).</w:t>
      </w:r>
    </w:p>
  </w:footnote>
  <w:footnote w:id="20">
    <w:p w14:paraId="2B31022E" w14:textId="39FE1BA7" w:rsidR="00DC53E2" w:rsidRPr="00160049" w:rsidRDefault="00DC53E2" w:rsidP="00620FA6">
      <w:pPr>
        <w:pStyle w:val="FootnoteText"/>
        <w:spacing w:after="0"/>
        <w:ind w:left="284" w:hanging="284"/>
        <w:jc w:val="both"/>
        <w:rPr>
          <w:rFonts w:ascii="Times New Roman" w:hAnsi="Times New Roman"/>
        </w:rPr>
      </w:pPr>
      <w:r>
        <w:rPr>
          <w:rStyle w:val="Hyperlink"/>
          <w:rFonts w:ascii="Times New Roman" w:hAnsi="Times New Roman"/>
          <w:color w:val="auto"/>
          <w:u w:val="none"/>
          <w:vertAlign w:val="superscript"/>
        </w:rPr>
        <w:footnoteRef/>
      </w:r>
      <w:r>
        <w:tab/>
      </w:r>
      <w:hyperlink r:id="rId10" w:history="1">
        <w:r>
          <w:rPr>
            <w:rStyle w:val="Hyperlink"/>
            <w:rFonts w:ascii="Times New Roman" w:hAnsi="Times New Roman"/>
          </w:rPr>
          <w:t>Atbalsts no Ukrainas pārvietoto bērnu iekļaušanai izglītībā |</w:t>
        </w:r>
      </w:hyperlink>
      <w:hyperlink r:id="rId11" w:history="1">
        <w:r>
          <w:rPr>
            <w:rStyle w:val="Hyperlink"/>
            <w:rFonts w:ascii="Times New Roman" w:hAnsi="Times New Roman"/>
          </w:rPr>
          <w:t xml:space="preserve"> Eiropas integrācijai veltīta tīmekļa vietne (europa.eu)</w:t>
        </w:r>
      </w:hyperlink>
      <w:r>
        <w:t>.</w:t>
      </w:r>
      <w:r>
        <w:rPr>
          <w:rStyle w:val="Hyperlink"/>
          <w:rFonts w:ascii="Times New Roman" w:hAnsi="Times New Roman"/>
        </w:rPr>
        <w:t xml:space="preserve"> </w:t>
      </w:r>
    </w:p>
  </w:footnote>
  <w:footnote w:id="21">
    <w:p w14:paraId="122D6CF1" w14:textId="55CD28E3" w:rsidR="00DC53E2" w:rsidRPr="00160049" w:rsidRDefault="00DC53E2" w:rsidP="00620FA6">
      <w:pPr>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tab/>
      </w:r>
      <w:hyperlink r:id="rId12" w:history="1">
        <w:r>
          <w:rPr>
            <w:rStyle w:val="Hyperlink"/>
            <w:rFonts w:ascii="Times New Roman" w:hAnsi="Times New Roman"/>
            <w:sz w:val="20"/>
          </w:rPr>
          <w:t>https://www.schooleducationgateway.eu/en/pub/latest/news/education-support-ua-refugees.htm</w:t>
        </w:r>
      </w:hyperlink>
      <w:r>
        <w:t>.</w:t>
      </w:r>
      <w:r>
        <w:rPr>
          <w:rFonts w:ascii="Times New Roman" w:hAnsi="Times New Roman"/>
          <w:sz w:val="20"/>
        </w:rPr>
        <w:t xml:space="preserve"> </w:t>
      </w:r>
    </w:p>
  </w:footnote>
  <w:footnote w:id="22">
    <w:p w14:paraId="73B90A70" w14:textId="32B96FB1" w:rsidR="00DC53E2" w:rsidRPr="00160049" w:rsidRDefault="00DC53E2" w:rsidP="00620FA6">
      <w:pPr>
        <w:pStyle w:val="FootnoteText"/>
        <w:spacing w:after="0"/>
        <w:ind w:left="284" w:hanging="284"/>
        <w:jc w:val="both"/>
        <w:rPr>
          <w:rFonts w:ascii="Times New Roman" w:hAnsi="Times New Roman"/>
        </w:rPr>
      </w:pPr>
      <w:r>
        <w:rPr>
          <w:rStyle w:val="FootnoteReference"/>
          <w:rFonts w:ascii="Times New Roman" w:hAnsi="Times New Roman"/>
        </w:rPr>
        <w:footnoteRef/>
      </w:r>
      <w:r>
        <w:tab/>
      </w:r>
      <w:hyperlink r:id="rId13" w:history="1">
        <w:r>
          <w:rPr>
            <w:rStyle w:val="Hyperlink"/>
            <w:rFonts w:ascii="Times New Roman" w:hAnsi="Times New Roman"/>
          </w:rPr>
          <w:t>https://school-education.ec.europa.eu/en/etwinning</w:t>
        </w:r>
      </w:hyperlink>
      <w:r>
        <w:t>.</w:t>
      </w:r>
      <w:r>
        <w:rPr>
          <w:rFonts w:ascii="Times New Roman" w:hAnsi="Times New Roman"/>
        </w:rPr>
        <w:t xml:space="preserve"> </w:t>
      </w:r>
    </w:p>
  </w:footnote>
  <w:footnote w:id="23">
    <w:p w14:paraId="1CD26BAE" w14:textId="78BF0C6C" w:rsidR="00DC53E2" w:rsidRPr="00160049" w:rsidRDefault="00DC53E2" w:rsidP="00620FA6">
      <w:pPr>
        <w:pStyle w:val="FootnoteText"/>
        <w:spacing w:after="0"/>
        <w:ind w:left="284" w:hanging="284"/>
        <w:jc w:val="both"/>
        <w:rPr>
          <w:rFonts w:ascii="Times New Roman" w:hAnsi="Times New Roman"/>
        </w:rPr>
      </w:pPr>
      <w:r>
        <w:rPr>
          <w:rStyle w:val="FootnoteReference"/>
          <w:rFonts w:ascii="Times New Roman" w:hAnsi="Times New Roman"/>
        </w:rPr>
        <w:footnoteRef/>
      </w:r>
      <w:r>
        <w:tab/>
      </w:r>
      <w:hyperlink r:id="rId14" w:history="1">
        <w:r>
          <w:rPr>
            <w:rStyle w:val="Hyperlink"/>
            <w:rFonts w:ascii="Times New Roman" w:hAnsi="Times New Roman"/>
          </w:rPr>
          <w:t>https://nushub.org/en/</w:t>
        </w:r>
      </w:hyperlink>
      <w:r>
        <w:t>.</w:t>
      </w:r>
      <w:r>
        <w:rPr>
          <w:rFonts w:ascii="Times New Roman" w:hAnsi="Times New Roman"/>
        </w:rPr>
        <w:t xml:space="preserve"> </w:t>
      </w:r>
    </w:p>
  </w:footnote>
  <w:footnote w:id="24">
    <w:p w14:paraId="4F79AD2E" w14:textId="694EF381" w:rsidR="00DC53E2" w:rsidRPr="00160049" w:rsidRDefault="00DC53E2" w:rsidP="00620FA6">
      <w:pPr>
        <w:pStyle w:val="FootnoteText"/>
        <w:spacing w:after="0"/>
        <w:ind w:left="284" w:hanging="284"/>
        <w:jc w:val="both"/>
        <w:rPr>
          <w:rFonts w:ascii="Times New Roman" w:hAnsi="Times New Roman"/>
        </w:rPr>
      </w:pPr>
      <w:r>
        <w:rPr>
          <w:rFonts w:ascii="Times New Roman" w:hAnsi="Times New Roman"/>
          <w:vertAlign w:val="superscript"/>
        </w:rPr>
        <w:footnoteRef/>
      </w:r>
      <w:r>
        <w:tab/>
      </w:r>
      <w:r>
        <w:rPr>
          <w:rFonts w:ascii="Times New Roman" w:hAnsi="Times New Roman"/>
        </w:rPr>
        <w:t xml:space="preserve">Skatīt arī Komisijas dienestu darba dokumentu “Atbalsts no Ukrainas pārvietoto bērnu iekļaušanai izglītībā: apsvērumi, galvenie principi un prakse 2022.–2023. mācību gadam” (SWD(2022) 185 </w:t>
      </w:r>
      <w:proofErr w:type="spellStart"/>
      <w:r>
        <w:rPr>
          <w:rFonts w:ascii="Times New Roman" w:hAnsi="Times New Roman"/>
        </w:rPr>
        <w:t>final</w:t>
      </w:r>
      <w:proofErr w:type="spellEnd"/>
      <w:r>
        <w:rPr>
          <w:rFonts w:ascii="Times New Roman" w:hAnsi="Times New Roman"/>
        </w:rPr>
        <w:t>, 2022. gada 30. jūnijs).</w:t>
      </w:r>
    </w:p>
  </w:footnote>
  <w:footnote w:id="25">
    <w:p w14:paraId="33D46F42" w14:textId="460C047B" w:rsidR="003960D5" w:rsidRPr="003960D5" w:rsidRDefault="003960D5" w:rsidP="003960D5">
      <w:pPr>
        <w:pStyle w:val="FootnoteText"/>
        <w:spacing w:after="0"/>
        <w:ind w:left="284" w:hanging="284"/>
        <w:jc w:val="both"/>
      </w:pPr>
      <w:r>
        <w:rPr>
          <w:rStyle w:val="FootnoteReference"/>
          <w:rFonts w:ascii="Times New Roman" w:hAnsi="Times New Roman"/>
        </w:rPr>
        <w:footnoteRef/>
      </w:r>
      <w:r>
        <w:tab/>
      </w:r>
      <w:r>
        <w:rPr>
          <w:rFonts w:ascii="Times New Roman" w:hAnsi="Times New Roman"/>
        </w:rPr>
        <w:t>Ar uzaicinājumu iesniegt priekšlikumus, kas tiek gatavots šim gadam, tiks atbalstīta atvērtas izglītības digitālās vides izveide, kas piedāvās kvalitatīvu augstāko izglītību studentiem, kuri bēg no Ukrainas, vai valsts iekšienē pārvietotiem studentiem.</w:t>
      </w:r>
    </w:p>
  </w:footnote>
  <w:footnote w:id="26">
    <w:p w14:paraId="09F595AE" w14:textId="6E9D6ED8" w:rsidR="00DC53E2" w:rsidRPr="00160049" w:rsidRDefault="00DC53E2" w:rsidP="00620FA6">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2022. gada septembrī tika izsludināts uzaicinājums iesniegt priekšlikumus, lai palīdzētu Ukrainas pētniekiem turpināt darbu ES organizācijās.</w:t>
      </w:r>
    </w:p>
  </w:footnote>
  <w:footnote w:id="27">
    <w:p w14:paraId="2D7BF121" w14:textId="2F4C665A" w:rsidR="00DC53E2" w:rsidRPr="00160049" w:rsidRDefault="00DC53E2" w:rsidP="00620FA6">
      <w:pPr>
        <w:pStyle w:val="FootnoteText"/>
        <w:spacing w:after="0"/>
        <w:ind w:left="284" w:hanging="284"/>
        <w:jc w:val="both"/>
        <w:rPr>
          <w:rFonts w:ascii="Times New Roman" w:hAnsi="Times New Roman"/>
        </w:rPr>
      </w:pPr>
      <w:r>
        <w:rPr>
          <w:rFonts w:ascii="Times New Roman" w:hAnsi="Times New Roman"/>
          <w:vertAlign w:val="superscript"/>
        </w:rPr>
        <w:footnoteRef/>
      </w:r>
      <w:r>
        <w:tab/>
      </w:r>
      <w:r>
        <w:rPr>
          <w:rFonts w:ascii="Times New Roman" w:hAnsi="Times New Roman"/>
        </w:rPr>
        <w:t xml:space="preserve">Ieteikums (ES) 2022/554 (2022. gada 5. aprīlis) par kvalifikāciju atzīšanu cilvēkiem, kuri bēg no Krievijas iebrukuma Ukrainā; un </w:t>
      </w:r>
      <w:hyperlink r:id="rId15" w:history="1">
        <w:r>
          <w:rPr>
            <w:rFonts w:ascii="Times New Roman" w:hAnsi="Times New Roman"/>
          </w:rPr>
          <w:t>Vadlīnijas par Ukrainas akadēmisko kvalifikāciju paātrinātu atzīšanu |</w:t>
        </w:r>
      </w:hyperlink>
      <w:hyperlink r:id="rId16" w:history="1">
        <w:r>
          <w:rPr>
            <w:rFonts w:ascii="Times New Roman" w:hAnsi="Times New Roman"/>
          </w:rPr>
          <w:t xml:space="preserve"> Eiropas izglītības telpa (europa.eu)</w:t>
        </w:r>
      </w:hyperlink>
      <w:r>
        <w:rPr>
          <w:rFonts w:ascii="Times New Roman" w:hAnsi="Times New Roman"/>
        </w:rPr>
        <w:t xml:space="preserve">. </w:t>
      </w:r>
    </w:p>
  </w:footnote>
  <w:footnote w:id="28">
    <w:p w14:paraId="06DE4C51" w14:textId="484857A3" w:rsidR="00B845BF" w:rsidRPr="00160049" w:rsidRDefault="00B845BF" w:rsidP="00620FA6">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Norādes attiecībā uz piekļuvi darba tirgum, profesionālajai izglītībai un apmācībai un pieaugušo izglītībai cilvēkiem, kas bēg no Krievijas agresijas kara pret Ukrainu (C(2022) 4050 </w:t>
      </w:r>
      <w:proofErr w:type="spellStart"/>
      <w:r>
        <w:rPr>
          <w:rFonts w:ascii="Times New Roman" w:hAnsi="Times New Roman"/>
        </w:rPr>
        <w:t>final</w:t>
      </w:r>
      <w:proofErr w:type="spellEnd"/>
      <w:r>
        <w:rPr>
          <w:rFonts w:ascii="Times New Roman" w:hAnsi="Times New Roman"/>
        </w:rPr>
        <w:t>, 2022. gada 14. jūnijs).</w:t>
      </w:r>
    </w:p>
  </w:footnote>
  <w:footnote w:id="29">
    <w:p w14:paraId="1922844A" w14:textId="582FB156" w:rsidR="00DC53E2" w:rsidRPr="00160049" w:rsidRDefault="00DC53E2" w:rsidP="00620FA6">
      <w:pPr>
        <w:pStyle w:val="FootnoteText"/>
        <w:spacing w:after="0"/>
        <w:ind w:left="284" w:hanging="284"/>
        <w:jc w:val="both"/>
        <w:rPr>
          <w:rFonts w:ascii="Times New Roman" w:hAnsi="Times New Roman"/>
        </w:rPr>
      </w:pPr>
      <w:r>
        <w:rPr>
          <w:rStyle w:val="FootnoteReference"/>
          <w:rFonts w:ascii="Times New Roman" w:hAnsi="Times New Roman"/>
        </w:rPr>
        <w:footnoteRef/>
      </w:r>
      <w:r>
        <w:tab/>
      </w:r>
      <w:hyperlink r:id="rId17" w:anchor="/" w:history="1">
        <w:r>
          <w:rPr>
            <w:rFonts w:ascii="Times New Roman" w:hAnsi="Times New Roman"/>
          </w:rPr>
          <w:t>Prasmju profila noteikšana (europa.eu)</w:t>
        </w:r>
      </w:hyperlink>
      <w:r>
        <w:t>.</w:t>
      </w:r>
      <w:r>
        <w:rPr>
          <w:rFonts w:ascii="Times New Roman" w:hAnsi="Times New Roman"/>
        </w:rPr>
        <w:t xml:space="preserve"> </w:t>
      </w:r>
    </w:p>
  </w:footnote>
  <w:footnote w:id="30">
    <w:p w14:paraId="5C39BB96" w14:textId="3E6BCF62" w:rsidR="00DC53E2" w:rsidRPr="00160049" w:rsidRDefault="00DC53E2" w:rsidP="00620FA6">
      <w:pPr>
        <w:pStyle w:val="FootnoteText"/>
        <w:spacing w:after="0"/>
        <w:ind w:left="284" w:hanging="284"/>
        <w:jc w:val="both"/>
        <w:rPr>
          <w:rFonts w:ascii="Times New Roman" w:hAnsi="Times New Roman"/>
        </w:rPr>
      </w:pPr>
      <w:r>
        <w:rPr>
          <w:rFonts w:ascii="Times New Roman" w:hAnsi="Times New Roman"/>
          <w:vertAlign w:val="superscript"/>
        </w:rPr>
        <w:footnoteRef/>
      </w:r>
      <w:r>
        <w:tab/>
      </w:r>
      <w:r>
        <w:rPr>
          <w:rFonts w:ascii="Times New Roman" w:hAnsi="Times New Roman"/>
        </w:rPr>
        <w:t xml:space="preserve">Portāls </w:t>
      </w:r>
      <w:proofErr w:type="spellStart"/>
      <w:r>
        <w:rPr>
          <w:rFonts w:ascii="Times New Roman" w:hAnsi="Times New Roman"/>
          <w:i/>
        </w:rPr>
        <w:t>Europass</w:t>
      </w:r>
      <w:proofErr w:type="spellEnd"/>
      <w:r>
        <w:rPr>
          <w:rStyle w:val="Hyperlink"/>
          <w:rFonts w:ascii="Times New Roman" w:hAnsi="Times New Roman"/>
        </w:rPr>
        <w:t xml:space="preserve">: </w:t>
      </w:r>
      <w:hyperlink r:id="rId18" w:history="1">
        <w:r>
          <w:rPr>
            <w:rStyle w:val="Hyperlink"/>
            <w:rFonts w:ascii="Times New Roman" w:hAnsi="Times New Roman"/>
          </w:rPr>
          <w:t>https://europa.eu/europass/select-language?destination=/node/1</w:t>
        </w:r>
      </w:hyperlink>
      <w:r>
        <w:t>.</w:t>
      </w:r>
      <w:r>
        <w:rPr>
          <w:rStyle w:val="Hyperlink"/>
          <w:rFonts w:ascii="Times New Roman" w:hAnsi="Times New Roman"/>
        </w:rPr>
        <w:t xml:space="preserve"> </w:t>
      </w:r>
    </w:p>
  </w:footnote>
  <w:footnote w:id="31">
    <w:p w14:paraId="2DDE45E1" w14:textId="284070C5" w:rsidR="00DC53E2" w:rsidRPr="00160049" w:rsidRDefault="00DC53E2" w:rsidP="00E6593C">
      <w:pPr>
        <w:pStyle w:val="FootnoteText"/>
        <w:spacing w:after="0"/>
        <w:ind w:left="284" w:hanging="284"/>
        <w:jc w:val="both"/>
        <w:rPr>
          <w:rFonts w:ascii="Times New Roman" w:hAnsi="Times New Roman"/>
        </w:rPr>
      </w:pPr>
      <w:r>
        <w:rPr>
          <w:rFonts w:ascii="Times New Roman" w:hAnsi="Times New Roman"/>
          <w:vertAlign w:val="superscript"/>
        </w:rPr>
        <w:footnoteRef/>
      </w:r>
      <w:r>
        <w:tab/>
      </w:r>
      <w:r>
        <w:rPr>
          <w:rFonts w:ascii="Times New Roman" w:hAnsi="Times New Roman"/>
          <w:i/>
        </w:rPr>
        <w:t>ESCO</w:t>
      </w:r>
      <w:r>
        <w:rPr>
          <w:rFonts w:ascii="Times New Roman" w:hAnsi="Times New Roman"/>
        </w:rPr>
        <w:t xml:space="preserve"> ir pieejams ukraiņu valodā</w:t>
      </w:r>
      <w:r>
        <w:rPr>
          <w:rStyle w:val="Hyperlink"/>
          <w:rFonts w:ascii="Times New Roman" w:hAnsi="Times New Roman"/>
        </w:rPr>
        <w:t xml:space="preserve">: </w:t>
      </w:r>
      <w:hyperlink r:id="rId19" w:history="1">
        <w:r>
          <w:rPr>
            <w:rStyle w:val="Hyperlink"/>
            <w:rFonts w:ascii="Times New Roman" w:hAnsi="Times New Roman"/>
          </w:rPr>
          <w:t>https://esco.ec.europa.eu/en/news/esco-now-available-ukrainian-language</w:t>
        </w:r>
      </w:hyperlink>
      <w:r>
        <w:rPr>
          <w:rStyle w:val="Hyperlink"/>
          <w:rFonts w:ascii="Times New Roman" w:hAnsi="Times New Roman"/>
        </w:rPr>
        <w:t>, 2022. gada 14. jūnijs</w:t>
      </w:r>
      <w:r>
        <w:t>.</w:t>
      </w:r>
    </w:p>
  </w:footnote>
  <w:footnote w:id="32">
    <w:p w14:paraId="432BA127" w14:textId="7B697A83" w:rsidR="00DC53E2" w:rsidRPr="00160049" w:rsidRDefault="00DC53E2" w:rsidP="0042547C">
      <w:pPr>
        <w:pStyle w:val="FootnoteText"/>
        <w:spacing w:after="0"/>
        <w:ind w:left="284" w:hanging="284"/>
        <w:jc w:val="both"/>
        <w:rPr>
          <w:rFonts w:ascii="Times New Roman" w:hAnsi="Times New Roman"/>
        </w:rPr>
      </w:pPr>
      <w:r>
        <w:rPr>
          <w:rFonts w:ascii="Times New Roman" w:hAnsi="Times New Roman"/>
          <w:vertAlign w:val="superscript"/>
        </w:rPr>
        <w:footnoteRef/>
      </w:r>
      <w:r>
        <w:tab/>
      </w:r>
      <w:hyperlink r:id="rId20" w:history="1">
        <w:r>
          <w:rPr>
            <w:rStyle w:val="Hyperlink"/>
            <w:rFonts w:ascii="Times New Roman" w:hAnsi="Times New Roman"/>
          </w:rPr>
          <w:t>https://ec.europa.eu/social/main.jsp?catId=1517&amp;langId=lv</w:t>
        </w:r>
      </w:hyperlink>
      <w:r>
        <w:t>.</w:t>
      </w:r>
      <w:r>
        <w:rPr>
          <w:rFonts w:ascii="Times New Roman" w:hAnsi="Times New Roman"/>
        </w:rPr>
        <w:t xml:space="preserve"> </w:t>
      </w:r>
    </w:p>
  </w:footnote>
  <w:footnote w:id="33">
    <w:p w14:paraId="7BD23BE4" w14:textId="1F29DA94" w:rsidR="00DC53E2" w:rsidRPr="00160049" w:rsidRDefault="00DC53E2" w:rsidP="0042547C">
      <w:pPr>
        <w:pStyle w:val="FootnoteText"/>
        <w:spacing w:after="0"/>
        <w:ind w:left="284" w:hanging="284"/>
        <w:jc w:val="both"/>
        <w:rPr>
          <w:rFonts w:ascii="Times New Roman" w:hAnsi="Times New Roman"/>
        </w:rPr>
      </w:pPr>
      <w:r>
        <w:rPr>
          <w:rFonts w:ascii="Times New Roman" w:hAnsi="Times New Roman"/>
          <w:vertAlign w:val="superscript"/>
        </w:rPr>
        <w:footnoteRef/>
      </w:r>
      <w:r>
        <w:tab/>
      </w:r>
      <w:hyperlink r:id="rId21" w:history="1">
        <w:r>
          <w:rPr>
            <w:rStyle w:val="Hyperlink"/>
            <w:rFonts w:ascii="Times New Roman" w:hAnsi="Times New Roman"/>
          </w:rPr>
          <w:t>https://www.erasmus-entrepreneurs.eu/</w:t>
        </w:r>
      </w:hyperlink>
      <w:r>
        <w:t>.</w:t>
      </w:r>
      <w:r>
        <w:rPr>
          <w:rFonts w:ascii="Times New Roman" w:hAnsi="Times New Roman"/>
        </w:rPr>
        <w:t xml:space="preserve"> </w:t>
      </w:r>
    </w:p>
  </w:footnote>
  <w:footnote w:id="34">
    <w:p w14:paraId="4B509B27" w14:textId="1188DD36" w:rsidR="00DC53E2" w:rsidRPr="00160049" w:rsidRDefault="00DC53E2" w:rsidP="0042547C">
      <w:pPr>
        <w:pStyle w:val="FootnoteText"/>
        <w:spacing w:after="0"/>
        <w:ind w:left="284" w:hanging="284"/>
        <w:jc w:val="both"/>
        <w:rPr>
          <w:rFonts w:ascii="Times New Roman" w:hAnsi="Times New Roman"/>
        </w:rPr>
      </w:pPr>
      <w:r>
        <w:rPr>
          <w:rStyle w:val="Hyperlink"/>
          <w:rFonts w:ascii="Times New Roman" w:hAnsi="Times New Roman"/>
          <w:color w:val="auto"/>
          <w:u w:val="none"/>
          <w:vertAlign w:val="superscript"/>
        </w:rPr>
        <w:footnoteRef/>
      </w:r>
      <w:r>
        <w:tab/>
      </w:r>
      <w:hyperlink r:id="rId22" w:history="1">
        <w:r>
          <w:rPr>
            <w:rStyle w:val="Hyperlink"/>
            <w:rFonts w:ascii="Times New Roman" w:hAnsi="Times New Roman"/>
          </w:rPr>
          <w:t>https://wegate.eu/</w:t>
        </w:r>
      </w:hyperlink>
      <w:r>
        <w:t>.</w:t>
      </w:r>
      <w:r>
        <w:rPr>
          <w:rFonts w:ascii="Times New Roman" w:hAnsi="Times New Roman"/>
        </w:rPr>
        <w:t xml:space="preserve"> </w:t>
      </w:r>
    </w:p>
  </w:footnote>
  <w:footnote w:id="35">
    <w:p w14:paraId="6E5D14C9" w14:textId="0B3C9529" w:rsidR="00DC53E2" w:rsidRPr="00160049" w:rsidRDefault="00DC53E2" w:rsidP="0042547C">
      <w:pPr>
        <w:pStyle w:val="FootnoteText"/>
        <w:spacing w:after="0"/>
        <w:ind w:left="284" w:hanging="284"/>
        <w:jc w:val="both"/>
        <w:rPr>
          <w:rFonts w:ascii="Times New Roman" w:hAnsi="Times New Roman"/>
        </w:rPr>
      </w:pPr>
      <w:r>
        <w:rPr>
          <w:rStyle w:val="FootnoteReference"/>
          <w:rFonts w:ascii="Times New Roman" w:hAnsi="Times New Roman"/>
        </w:rPr>
        <w:footnoteRef/>
      </w:r>
      <w:r>
        <w:tab/>
      </w:r>
      <w:hyperlink r:id="rId23" w:history="1">
        <w:r>
          <w:rPr>
            <w:rStyle w:val="Hyperlink"/>
            <w:rFonts w:ascii="Times New Roman" w:hAnsi="Times New Roman"/>
          </w:rPr>
          <w:t>Ziņojums par veselības aprūpes pieejamību ES dalībvalstīs, īstenojot Pagaidu aizsardzības direktīvu (2001/55/EK) un Padomes Īstenošanas lēmumu (ES) 2022/382 (europa.eu)</w:t>
        </w:r>
      </w:hyperlink>
      <w:r>
        <w:t>.</w:t>
      </w:r>
    </w:p>
  </w:footnote>
  <w:footnote w:id="36">
    <w:p w14:paraId="03F35943" w14:textId="46453FD2" w:rsidR="00DC53E2" w:rsidRPr="00160049" w:rsidRDefault="00DC53E2" w:rsidP="0042547C">
      <w:pPr>
        <w:pStyle w:val="FootnoteText"/>
        <w:spacing w:after="0"/>
        <w:ind w:left="284" w:hanging="284"/>
        <w:jc w:val="both"/>
        <w:rPr>
          <w:rFonts w:ascii="Times New Roman" w:hAnsi="Times New Roman"/>
        </w:rPr>
      </w:pPr>
      <w:r>
        <w:rPr>
          <w:rStyle w:val="FootnoteReference"/>
          <w:rFonts w:ascii="Times New Roman" w:hAnsi="Times New Roman"/>
        </w:rPr>
        <w:footnoteRef/>
      </w:r>
      <w:r>
        <w:tab/>
      </w:r>
      <w:hyperlink r:id="rId24" w:history="1">
        <w:r>
          <w:rPr>
            <w:rStyle w:val="Hyperlink"/>
            <w:rFonts w:ascii="Times New Roman" w:hAnsi="Times New Roman"/>
          </w:rPr>
          <w:t>ES veselības politikas platforma – ES veselības politikas platforma (europa.eu)</w:t>
        </w:r>
      </w:hyperlink>
      <w:r>
        <w:t>.</w:t>
      </w:r>
      <w:r>
        <w:rPr>
          <w:rFonts w:ascii="Times New Roman" w:hAnsi="Times New Roman"/>
        </w:rPr>
        <w:t xml:space="preserve"> </w:t>
      </w:r>
    </w:p>
  </w:footnote>
  <w:footnote w:id="37">
    <w:p w14:paraId="42A5E818" w14:textId="48726D4C" w:rsidR="008C5CB5" w:rsidRPr="00160049" w:rsidRDefault="008C5CB5" w:rsidP="008C5CB5">
      <w:pPr>
        <w:pStyle w:val="FootnoteText"/>
        <w:spacing w:after="0"/>
        <w:ind w:left="284" w:hanging="284"/>
        <w:jc w:val="both"/>
        <w:rPr>
          <w:rFonts w:ascii="Times New Roman" w:hAnsi="Times New Roman"/>
        </w:rPr>
      </w:pPr>
      <w:r>
        <w:rPr>
          <w:rStyle w:val="FootnoteReference"/>
          <w:rFonts w:ascii="Times New Roman" w:hAnsi="Times New Roman"/>
        </w:rPr>
        <w:footnoteRef/>
      </w:r>
      <w:r>
        <w:tab/>
      </w:r>
      <w:hyperlink r:id="rId25" w:history="1">
        <w:r>
          <w:rPr>
            <w:rStyle w:val="Hyperlink"/>
            <w:rFonts w:ascii="Times New Roman" w:hAnsi="Times New Roman"/>
          </w:rPr>
          <w:t>ES solidaritāte ar Ukrainu |</w:t>
        </w:r>
      </w:hyperlink>
      <w:hyperlink r:id="rId26" w:history="1">
        <w:r>
          <w:rPr>
            <w:rStyle w:val="Hyperlink"/>
            <w:rFonts w:ascii="Times New Roman" w:hAnsi="Times New Roman"/>
          </w:rPr>
          <w:t xml:space="preserve"> Eiropas Komisija (europa.eu)</w:t>
        </w:r>
      </w:hyperlink>
      <w:r>
        <w:t>.</w:t>
      </w:r>
    </w:p>
  </w:footnote>
  <w:footnote w:id="38">
    <w:p w14:paraId="7A2645E8" w14:textId="54D4FDC9" w:rsidR="003F571A" w:rsidRPr="004E1DCB" w:rsidRDefault="003F571A" w:rsidP="003F571A">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Regula (ES) 2022/562 (2022. gada 6. aprīlis) attiecībā uz kohēzijas rīcību bēgļu atbalstam Eiropā (</w:t>
      </w:r>
      <w:r>
        <w:rPr>
          <w:rFonts w:ascii="Times New Roman" w:hAnsi="Times New Roman"/>
          <w:i/>
        </w:rPr>
        <w:t>CARE</w:t>
      </w:r>
      <w:r>
        <w:rPr>
          <w:rFonts w:ascii="Times New Roman" w:hAnsi="Times New Roman"/>
        </w:rPr>
        <w:t xml:space="preserve">); Regula 2022/613 (2022. gada 12. aprīlis) attiecībā uz lielāku </w:t>
      </w:r>
      <w:proofErr w:type="spellStart"/>
      <w:r>
        <w:rPr>
          <w:rFonts w:ascii="Times New Roman" w:hAnsi="Times New Roman"/>
        </w:rPr>
        <w:t>priekšfinansējumu</w:t>
      </w:r>
      <w:proofErr w:type="spellEnd"/>
      <w:r>
        <w:rPr>
          <w:rFonts w:ascii="Times New Roman" w:hAnsi="Times New Roman"/>
        </w:rPr>
        <w:t xml:space="preserve"> no </w:t>
      </w:r>
      <w:r>
        <w:rPr>
          <w:rFonts w:ascii="Times New Roman" w:hAnsi="Times New Roman"/>
          <w:i/>
        </w:rPr>
        <w:t>REACT-EU</w:t>
      </w:r>
      <w:r>
        <w:rPr>
          <w:rFonts w:ascii="Times New Roman" w:hAnsi="Times New Roman"/>
        </w:rPr>
        <w:t xml:space="preserve"> resursiem. </w:t>
      </w:r>
    </w:p>
  </w:footnote>
  <w:footnote w:id="39">
    <w:p w14:paraId="2954DC87" w14:textId="3D32F5CD" w:rsidR="003F571A" w:rsidRPr="004E1DCB" w:rsidRDefault="003F571A" w:rsidP="003F571A">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Regula 2020/2221 (2020. gada 23. decembris), ar ko Regulu (ES) Nr. 1303/2013 groza attiecībā uz papildu resursiem un īstenošanas kārtību, lai palīdzētu veicināt ar Covid-19 pandēmiju un tās sociālajām sekām saistītās krīzes seku pārvarēšanu un sagatavoties zaļai, digitālai un noturīgai ekonomikas atveseļošanai (</w:t>
      </w:r>
      <w:r>
        <w:rPr>
          <w:rFonts w:ascii="Times New Roman" w:hAnsi="Times New Roman"/>
          <w:i/>
        </w:rPr>
        <w:t>REACT-EU</w:t>
      </w:r>
      <w:r>
        <w:rPr>
          <w:rFonts w:ascii="Times New Roman" w:hAnsi="Times New Roman"/>
        </w:rPr>
        <w:t>).</w:t>
      </w:r>
    </w:p>
  </w:footnote>
  <w:footnote w:id="40">
    <w:p w14:paraId="379CFBA3" w14:textId="5F53E293" w:rsidR="00020B59" w:rsidRPr="004E1DCB" w:rsidRDefault="00020B59" w:rsidP="007768B0">
      <w:pPr>
        <w:pStyle w:val="FootnoteText"/>
        <w:spacing w:after="0"/>
        <w:ind w:left="284" w:hanging="284"/>
        <w:rPr>
          <w:rFonts w:ascii="Times New Roman" w:hAnsi="Times New Roman"/>
        </w:rPr>
      </w:pPr>
      <w:r>
        <w:rPr>
          <w:rStyle w:val="FootnoteReference"/>
          <w:rFonts w:ascii="Times New Roman" w:hAnsi="Times New Roman"/>
        </w:rPr>
        <w:footnoteRef/>
      </w:r>
      <w:r>
        <w:tab/>
      </w:r>
      <w:r>
        <w:rPr>
          <w:rFonts w:ascii="Times New Roman" w:hAnsi="Times New Roman"/>
        </w:rPr>
        <w:t xml:space="preserve">Priekšlikums par papildu elastību nolūkā novērst Krievijas Federācijas militārās agresijas sekas </w:t>
      </w:r>
      <w:r>
        <w:rPr>
          <w:rFonts w:ascii="Times New Roman" w:hAnsi="Times New Roman"/>
          <w:i/>
        </w:rPr>
        <w:t>FAST</w:t>
      </w:r>
      <w:r>
        <w:rPr>
          <w:rFonts w:ascii="Times New Roman" w:hAnsi="Times New Roman"/>
        </w:rPr>
        <w:t xml:space="preserve"> (elastīga palīdzība teritorijām) — </w:t>
      </w:r>
      <w:r>
        <w:rPr>
          <w:rFonts w:ascii="Times New Roman" w:hAnsi="Times New Roman"/>
          <w:i/>
        </w:rPr>
        <w:t>CARE</w:t>
      </w:r>
      <w:r>
        <w:rPr>
          <w:rFonts w:ascii="Times New Roman" w:hAnsi="Times New Roman"/>
        </w:rPr>
        <w:t xml:space="preserve"> (COM(2022) 325, 2022. gada 30. jūnijs).</w:t>
      </w:r>
    </w:p>
  </w:footnote>
  <w:footnote w:id="41">
    <w:p w14:paraId="1C6E78D4" w14:textId="7B5485DF" w:rsidR="00DC53E2" w:rsidRPr="004E1DCB" w:rsidRDefault="00DC53E2" w:rsidP="002211E6">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 xml:space="preserve">Regula 2022/585 (2022. gada 6. aprīlis) par Patvēruma, migrācijas un integrācijas fondu. </w:t>
      </w:r>
    </w:p>
  </w:footnote>
  <w:footnote w:id="42">
    <w:p w14:paraId="551E23F9" w14:textId="7F4F0D15" w:rsidR="00DC53E2" w:rsidRPr="00160049" w:rsidRDefault="00DC53E2" w:rsidP="002211E6">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Patvēruma, migrācijas un integrācijas fonds (</w:t>
      </w:r>
      <w:r>
        <w:rPr>
          <w:rFonts w:ascii="Times New Roman" w:hAnsi="Times New Roman"/>
          <w:i/>
        </w:rPr>
        <w:t>AMIF</w:t>
      </w:r>
      <w:r>
        <w:rPr>
          <w:rFonts w:ascii="Times New Roman" w:hAnsi="Times New Roman"/>
        </w:rPr>
        <w:t>), Iekšējās drošības fonda finansiāla atbalsta instruments ārējām robežām un vīzām (</w:t>
      </w:r>
      <w:r>
        <w:rPr>
          <w:rFonts w:ascii="Times New Roman" w:hAnsi="Times New Roman"/>
          <w:i/>
        </w:rPr>
        <w:t>ISF-BV</w:t>
      </w:r>
      <w:r>
        <w:rPr>
          <w:rFonts w:ascii="Times New Roman" w:hAnsi="Times New Roman"/>
        </w:rPr>
        <w:t>) un “Iekšējās drošības fonds — policija” (</w:t>
      </w:r>
      <w:r>
        <w:rPr>
          <w:rFonts w:ascii="Times New Roman" w:hAnsi="Times New Roman"/>
          <w:i/>
        </w:rPr>
        <w:t>ISF-P</w:t>
      </w:r>
      <w:r>
        <w:rPr>
          <w:rFonts w:ascii="Times New Roman" w:hAnsi="Times New Roman"/>
        </w:rPr>
        <w:t>)</w:t>
      </w:r>
      <w:r>
        <w:t>.</w:t>
      </w:r>
    </w:p>
  </w:footnote>
  <w:footnote w:id="43">
    <w:p w14:paraId="4DCA4E9D" w14:textId="6385F203" w:rsidR="00ED42DE" w:rsidRPr="001029AF" w:rsidRDefault="00ED42DE" w:rsidP="00ED42DE">
      <w:pPr>
        <w:pStyle w:val="FootnoteText"/>
        <w:spacing w:after="0"/>
        <w:ind w:left="284" w:hanging="284"/>
        <w:jc w:val="both"/>
      </w:pPr>
      <w:r>
        <w:rPr>
          <w:rStyle w:val="FootnoteReference"/>
          <w:rFonts w:ascii="Times New Roman" w:hAnsi="Times New Roman"/>
        </w:rPr>
        <w:footnoteRef/>
      </w:r>
      <w:r>
        <w:tab/>
      </w:r>
      <w:r>
        <w:rPr>
          <w:rFonts w:ascii="Times New Roman" w:hAnsi="Times New Roman"/>
        </w:rPr>
        <w:t>Eiropas Parlamenta un Padomes Regula (ES) 2021/240 (2021. gada 10. februāris), ar ko izveido tehniskā atbalsta instrumentu.</w:t>
      </w:r>
    </w:p>
  </w:footnote>
  <w:footnote w:id="44">
    <w:p w14:paraId="0056E1D3" w14:textId="64F7C7B1" w:rsidR="00DC53E2" w:rsidRPr="00160049" w:rsidRDefault="00DC53E2" w:rsidP="00620FA6">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 xml:space="preserve">2015. gadā trijos galvenajos maršrutos tika reģistrēti 1 047 210 neatbilstīgas </w:t>
      </w:r>
      <w:proofErr w:type="spellStart"/>
      <w:r>
        <w:rPr>
          <w:rFonts w:ascii="Times New Roman" w:hAnsi="Times New Roman"/>
        </w:rPr>
        <w:t>robežšķērsošanas</w:t>
      </w:r>
      <w:proofErr w:type="spellEnd"/>
      <w:r>
        <w:rPr>
          <w:rFonts w:ascii="Times New Roman" w:hAnsi="Times New Roman"/>
        </w:rPr>
        <w:t xml:space="preserve"> gadījumi. </w:t>
      </w:r>
    </w:p>
  </w:footnote>
  <w:footnote w:id="45">
    <w:p w14:paraId="20221161" w14:textId="064148CD" w:rsidR="006950F6" w:rsidRPr="00160049" w:rsidRDefault="006950F6" w:rsidP="00CC1C58">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 xml:space="preserve">Līdz 2022. gada 25. septembrim neatbilstīgo ieceļotāju skaits Vidusjūras reģiona maršrutos bija 116 610, kas ir par 39 % vairāk nekā tajā pašā periodā 2021. gadā un par 47 % vairāk nekā tajā pašā periodā 2019. gadā. Vidusjūras centrālās daļas maršrutā tika reģistrēti 70 088 neatbilstīgi ieceļotāji, kas ir par 55 % vairāk nekā 2021. gadā un par 634 % vairāk nekā 2019. gadā. Vidusjūras austrumdaļas maršrutā tika reģistrēts 23 601 neatbilstīgs ieceļotājs, kas ir par 111 % vairāk nekā 2021. gadā un par 51 % mazāk nekā 2019. gadā. Vidusjūras rietumdaļas / Atlantijas okeāna maršrutā tika reģistrēts 22 921 neatbilstīgs ieceļošanas gadījums, kas ir par 16 % mazāk nekā 2021. gadā un par 7 % vairāk nekā 2019. gadā. Šajā maršrutā Kanāriju salās nonākušo ieceļotāju skaits, kas pašlaik sasniedzis12 347, ir par 5 % mazāks nekā 2021. gadā, taču tas ir gandrīz 13 reizes lielāks nekā 2019. gadā; šie skaitļi ietver izceļošanu no </w:t>
      </w:r>
      <w:proofErr w:type="spellStart"/>
      <w:r>
        <w:rPr>
          <w:rFonts w:ascii="Times New Roman" w:hAnsi="Times New Roman"/>
        </w:rPr>
        <w:t>Rietumsahāras</w:t>
      </w:r>
      <w:proofErr w:type="spellEnd"/>
      <w:r>
        <w:rPr>
          <w:rFonts w:ascii="Times New Roman" w:hAnsi="Times New Roman"/>
        </w:rPr>
        <w:t xml:space="preserve"> (šā ziņojuma izklāsts neskar Eiropas Savienības nostāju par </w:t>
      </w:r>
      <w:proofErr w:type="spellStart"/>
      <w:r>
        <w:rPr>
          <w:rFonts w:ascii="Times New Roman" w:hAnsi="Times New Roman"/>
        </w:rPr>
        <w:t>Rietumsahāras</w:t>
      </w:r>
      <w:proofErr w:type="spellEnd"/>
      <w:r>
        <w:rPr>
          <w:rFonts w:ascii="Times New Roman" w:hAnsi="Times New Roman"/>
        </w:rPr>
        <w:t xml:space="preserve"> statusu, ko Apvienoto Nāciju Organizācija ir iekļāvusi sarakstā kā teritoriju, kurai nav savas pārvaldes un kuras statuss joprojām ir ANO aizgādībā notiekoša sarunu procesa priekšmets, sk. Tiesas judikatūru lietās C-104/16P un C-266/16).</w:t>
      </w:r>
    </w:p>
  </w:footnote>
  <w:footnote w:id="46">
    <w:p w14:paraId="560172C8" w14:textId="6B2CF449" w:rsidR="006950F6" w:rsidRPr="00160049" w:rsidRDefault="006950F6" w:rsidP="000C1F48">
      <w:pPr>
        <w:pStyle w:val="FootnoteText"/>
        <w:tabs>
          <w:tab w:val="left" w:pos="284"/>
        </w:tabs>
        <w:spacing w:after="0"/>
        <w:rPr>
          <w:rFonts w:ascii="Times New Roman" w:hAnsi="Times New Roman"/>
        </w:rPr>
      </w:pPr>
      <w:r>
        <w:rPr>
          <w:rStyle w:val="FootnoteReference"/>
          <w:rFonts w:ascii="Times New Roman" w:hAnsi="Times New Roman"/>
        </w:rPr>
        <w:footnoteRef/>
      </w:r>
      <w:r>
        <w:tab/>
      </w:r>
      <w:r>
        <w:rPr>
          <w:rFonts w:ascii="Times New Roman" w:hAnsi="Times New Roman"/>
        </w:rPr>
        <w:t xml:space="preserve">Avots: </w:t>
      </w:r>
      <w:hyperlink r:id="rId27" w:history="1">
        <w:r>
          <w:rPr>
            <w:rStyle w:val="Hyperlink"/>
            <w:rFonts w:ascii="Times New Roman" w:hAnsi="Times New Roman"/>
          </w:rPr>
          <w:t>https://frontex.europa.eu/we-know/migratory-map/</w:t>
        </w:r>
      </w:hyperlink>
      <w:r>
        <w:t>.</w:t>
      </w:r>
      <w:r>
        <w:rPr>
          <w:rFonts w:ascii="Times New Roman" w:hAnsi="Times New Roman"/>
        </w:rPr>
        <w:t xml:space="preserve"> </w:t>
      </w:r>
    </w:p>
  </w:footnote>
  <w:footnote w:id="47">
    <w:p w14:paraId="109D41E5" w14:textId="238C0E4B" w:rsidR="000B55F5" w:rsidRPr="00160049" w:rsidRDefault="000B55F5" w:rsidP="000B55F5">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 xml:space="preserve">Līdz šim 2022. gadā ir reģistrēti vairāk nekā 800 neatbilstīgu </w:t>
      </w:r>
      <w:proofErr w:type="spellStart"/>
      <w:r>
        <w:rPr>
          <w:rFonts w:ascii="Times New Roman" w:hAnsi="Times New Roman"/>
        </w:rPr>
        <w:t>robežšķērsošanas</w:t>
      </w:r>
      <w:proofErr w:type="spellEnd"/>
      <w:r>
        <w:rPr>
          <w:rFonts w:ascii="Times New Roman" w:hAnsi="Times New Roman"/>
        </w:rPr>
        <w:t xml:space="preserve"> gadījumu (2021. gadā — aptuveni 8300) un 19 500 novērstu neatbilstīgas ieceļošanas gadījumu (2021. gadā — 48 200) Polijā, Lietuvā un Latvijā. Līdz šim 2022. gadā aizturēto personu galvenās tautības ir irākieši, baltkrievi un sīrieši.</w:t>
      </w:r>
    </w:p>
  </w:footnote>
  <w:footnote w:id="48">
    <w:p w14:paraId="7BF59C7E" w14:textId="0882B05F" w:rsidR="00DC53E2" w:rsidRPr="00160049" w:rsidRDefault="00DC53E2" w:rsidP="00620FA6">
      <w:pPr>
        <w:pStyle w:val="FootnoteText"/>
        <w:spacing w:after="0"/>
        <w:ind w:left="284" w:hanging="284"/>
        <w:jc w:val="both"/>
        <w:rPr>
          <w:rFonts w:ascii="Times New Roman" w:hAnsi="Times New Roman"/>
        </w:rPr>
      </w:pPr>
      <w:r>
        <w:rPr>
          <w:rFonts w:ascii="Times New Roman" w:hAnsi="Times New Roman"/>
          <w:vertAlign w:val="superscript"/>
        </w:rPr>
        <w:footnoteRef/>
      </w:r>
      <w:r>
        <w:tab/>
      </w:r>
      <w:r>
        <w:rPr>
          <w:rFonts w:ascii="Times New Roman" w:hAnsi="Times New Roman"/>
        </w:rPr>
        <w:t xml:space="preserve">No aprīļa līdz jūlija vidum vidējais kopējais iknedēļas novērsto neatbilstīgo </w:t>
      </w:r>
      <w:proofErr w:type="spellStart"/>
      <w:r>
        <w:rPr>
          <w:rFonts w:ascii="Times New Roman" w:hAnsi="Times New Roman"/>
        </w:rPr>
        <w:t>robežšķērsošanas</w:t>
      </w:r>
      <w:proofErr w:type="spellEnd"/>
      <w:r>
        <w:rPr>
          <w:rFonts w:ascii="Times New Roman" w:hAnsi="Times New Roman"/>
        </w:rPr>
        <w:t xml:space="preserve"> gadījumu skaits bija aptuveni 270. Kopš jūlija vidus šis skaits ir pieaudzis līdz aptuveni 790 gadījumiem nedēļā.</w:t>
      </w:r>
    </w:p>
  </w:footnote>
  <w:footnote w:id="49">
    <w:p w14:paraId="188197B8" w14:textId="5253A9E2" w:rsidR="006273E1" w:rsidRDefault="006273E1" w:rsidP="006F1E8A">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Šajā laikposmā Ukrainas pilsoņi iesniedza aptuveni 21 600 patvēruma pieteikumu, no kuriem lielākā daļa bija saistīta ar īstermiņa pieaugumu pirms Pagaidu aizsardzības direktīvas aktivizēšanas.</w:t>
      </w:r>
    </w:p>
    <w:p w14:paraId="1215A408" w14:textId="77777777" w:rsidR="009E2BD9" w:rsidRPr="00160049" w:rsidRDefault="009E2BD9" w:rsidP="006273E1">
      <w:pPr>
        <w:pStyle w:val="FootnoteText"/>
        <w:spacing w:after="0"/>
        <w:ind w:left="284" w:hanging="284"/>
        <w:jc w:val="both"/>
        <w:rPr>
          <w:rFonts w:ascii="Times New Roman" w:hAnsi="Times New Roman"/>
        </w:rPr>
      </w:pPr>
    </w:p>
  </w:footnote>
  <w:footnote w:id="50">
    <w:p w14:paraId="50967A07" w14:textId="08196253" w:rsidR="006F1E8A" w:rsidRPr="00A84EE9" w:rsidRDefault="006F1E8A" w:rsidP="006F1E8A">
      <w:pPr>
        <w:pStyle w:val="FootnoteText"/>
        <w:spacing w:after="0"/>
        <w:ind w:left="284" w:hanging="284"/>
        <w:jc w:val="both"/>
        <w:rPr>
          <w:rFonts w:ascii="Times New Roman" w:hAnsi="Times New Roman"/>
        </w:rPr>
      </w:pPr>
      <w:r>
        <w:rPr>
          <w:rStyle w:val="FootnoteReference"/>
          <w:rFonts w:ascii="Times New Roman" w:hAnsi="Times New Roman"/>
        </w:rPr>
        <w:footnoteRef/>
      </w:r>
      <w:r>
        <w:tab/>
      </w:r>
      <w:hyperlink r:id="rId28" w:history="1">
        <w:r>
          <w:rPr>
            <w:rStyle w:val="Hyperlink"/>
            <w:rFonts w:ascii="Times New Roman" w:hAnsi="Times New Roman"/>
          </w:rPr>
          <w:t xml:space="preserve">Pirmais solis Eiropas Migrācijas un patvēruma </w:t>
        </w:r>
        <w:proofErr w:type="spellStart"/>
        <w:r>
          <w:rPr>
            <w:rStyle w:val="Hyperlink"/>
            <w:rFonts w:ascii="Times New Roman" w:hAnsi="Times New Roman"/>
          </w:rPr>
          <w:t>pakta</w:t>
        </w:r>
        <w:proofErr w:type="spellEnd"/>
        <w:r>
          <w:rPr>
            <w:rStyle w:val="Hyperlink"/>
            <w:rFonts w:ascii="Times New Roman" w:hAnsi="Times New Roman"/>
          </w:rPr>
          <w:t xml:space="preserve"> pakāpeniskā </w:t>
        </w:r>
        <w:proofErr w:type="spellStart"/>
        <w:r>
          <w:rPr>
            <w:rStyle w:val="Hyperlink"/>
            <w:rFonts w:ascii="Times New Roman" w:hAnsi="Times New Roman"/>
          </w:rPr>
          <w:t>īstenošanā:</w:t>
        </w:r>
      </w:hyperlink>
      <w:hyperlink r:id="rId29" w:history="1">
        <w:r>
          <w:rPr>
            <w:rStyle w:val="Hyperlink"/>
            <w:rFonts w:ascii="Times New Roman" w:hAnsi="Times New Roman"/>
          </w:rPr>
          <w:t>brīvprātīga</w:t>
        </w:r>
        <w:proofErr w:type="spellEnd"/>
        <w:r>
          <w:rPr>
            <w:rStyle w:val="Hyperlink"/>
            <w:rFonts w:ascii="Times New Roman" w:hAnsi="Times New Roman"/>
          </w:rPr>
          <w:t xml:space="preserve"> solidaritātes mehānisma darbības veids — Francijas prezidentūra Eiropas Savienības Padomē 2022. gadā (europa.eu)</w:t>
        </w:r>
      </w:hyperlink>
      <w:r>
        <w:t>.</w:t>
      </w:r>
      <w:r>
        <w:rPr>
          <w:rFonts w:ascii="Times New Roman" w:hAnsi="Times New Roman"/>
        </w:rPr>
        <w:t xml:space="preserve"> </w:t>
      </w:r>
    </w:p>
  </w:footnote>
  <w:footnote w:id="51">
    <w:p w14:paraId="37D43BD4" w14:textId="379D224E" w:rsidR="006F1E8A" w:rsidRPr="00160049" w:rsidRDefault="006F1E8A" w:rsidP="006F1E8A">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Kopā ar 18 dalībvalstīm deklarāciju ir parakstījušas arī Norvēģija, Šveice un Lihtenšteina, kurām arī dota iespēja piedalīties brīvprātīgās solidaritātes mehānismā.</w:t>
      </w:r>
    </w:p>
  </w:footnote>
  <w:footnote w:id="52">
    <w:p w14:paraId="5FB575BB" w14:textId="77E8D7D5" w:rsidR="00DC53E2" w:rsidRPr="00160049" w:rsidRDefault="00DC53E2" w:rsidP="00620FA6">
      <w:pPr>
        <w:pStyle w:val="FootnoteText"/>
        <w:spacing w:after="0"/>
        <w:ind w:left="284" w:hanging="284"/>
        <w:jc w:val="both"/>
        <w:rPr>
          <w:rFonts w:ascii="Times New Roman" w:hAnsi="Times New Roman"/>
        </w:rPr>
      </w:pPr>
      <w:r>
        <w:rPr>
          <w:rStyle w:val="FootnoteReference"/>
          <w:rFonts w:ascii="Times New Roman" w:hAnsi="Times New Roman"/>
        </w:rPr>
        <w:footnoteRef/>
      </w:r>
      <w:r>
        <w:tab/>
      </w:r>
      <w:hyperlink r:id="rId30" w:history="1">
        <w:r>
          <w:rPr>
            <w:rFonts w:ascii="Times New Roman" w:hAnsi="Times New Roman"/>
          </w:rPr>
          <w:t>Regula (ES) 2021/2303 (2021. gada 15. decembris) par Eiropas Savienības Patvēruma aģentūru.</w:t>
        </w:r>
      </w:hyperlink>
    </w:p>
  </w:footnote>
  <w:footnote w:id="53">
    <w:p w14:paraId="4F727BF9" w14:textId="7AA39159" w:rsidR="00DC53E2" w:rsidRPr="00160049" w:rsidRDefault="00DC53E2" w:rsidP="00620FA6">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Bulgārija, Beļģija, Kipra, Čehija, Grieķija, Spānija, Itālija, Latvija, Lietuva, Malta, Nīderlande, Rumānija.</w:t>
      </w:r>
    </w:p>
  </w:footnote>
  <w:footnote w:id="54">
    <w:p w14:paraId="760ACEA7" w14:textId="7CD9CE0B" w:rsidR="00B572EB" w:rsidRPr="00E70C67" w:rsidRDefault="00B572EB" w:rsidP="00B572EB">
      <w:pPr>
        <w:pStyle w:val="FootnoteText"/>
        <w:spacing w:after="0"/>
        <w:ind w:left="284" w:hanging="284"/>
        <w:jc w:val="both"/>
        <w:rPr>
          <w:rFonts w:ascii="Times New Roman" w:hAnsi="Times New Roman"/>
        </w:rPr>
      </w:pPr>
      <w:r>
        <w:rPr>
          <w:rStyle w:val="FootnoteReference"/>
          <w:rFonts w:ascii="Times New Roman" w:hAnsi="Times New Roman"/>
        </w:rPr>
        <w:footnoteRef/>
      </w:r>
      <w:r>
        <w:tab/>
      </w:r>
      <w:hyperlink r:id="rId31" w:history="1">
        <w:proofErr w:type="spellStart"/>
        <w:r>
          <w:rPr>
            <w:rStyle w:val="Hyperlink"/>
            <w:rFonts w:ascii="Times New Roman" w:hAnsi="Times New Roman"/>
            <w:i/>
          </w:rPr>
          <w:t>Frontex</w:t>
        </w:r>
        <w:proofErr w:type="spellEnd"/>
        <w:r>
          <w:rPr>
            <w:rStyle w:val="Hyperlink"/>
            <w:rFonts w:ascii="Times New Roman" w:hAnsi="Times New Roman"/>
          </w:rPr>
          <w:t xml:space="preserve"> </w:t>
        </w:r>
        <w:proofErr w:type="spellStart"/>
        <w:r>
          <w:rPr>
            <w:rStyle w:val="Hyperlink"/>
            <w:rFonts w:ascii="Times New Roman" w:hAnsi="Times New Roman"/>
          </w:rPr>
          <w:t>Pamattiesību</w:t>
        </w:r>
        <w:proofErr w:type="spellEnd"/>
        <w:r>
          <w:rPr>
            <w:rStyle w:val="Hyperlink"/>
            <w:rFonts w:ascii="Times New Roman" w:hAnsi="Times New Roman"/>
          </w:rPr>
          <w:t xml:space="preserve"> birojs publicē gada pārskatu (europa.eu)</w:t>
        </w:r>
      </w:hyperlink>
      <w:r>
        <w:t>.</w:t>
      </w:r>
    </w:p>
  </w:footnote>
  <w:footnote w:id="55">
    <w:p w14:paraId="17A6DCA6" w14:textId="28323A89" w:rsidR="00DC53E2" w:rsidRPr="00160049" w:rsidRDefault="00DC53E2" w:rsidP="00620FA6">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shd w:val="clear" w:color="auto" w:fill="FFFFFF"/>
        </w:rPr>
        <w:t>Regula (ES) 2019/1896 (2019. gada 13. novembris) par Eiropas Robežu un krasta apsardzi.</w:t>
      </w:r>
    </w:p>
  </w:footnote>
  <w:footnote w:id="56">
    <w:p w14:paraId="776B8912" w14:textId="1DDFB4CB" w:rsidR="000F6E59" w:rsidRPr="00160049" w:rsidRDefault="000F6E59" w:rsidP="00620FA6">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 xml:space="preserve">2022. gada pirmajā pusē 166 864 gadījumos valsts iestāžu reģistrēti patvēruma pieteikumi </w:t>
      </w:r>
      <w:proofErr w:type="spellStart"/>
      <w:r>
        <w:rPr>
          <w:rFonts w:ascii="Times New Roman" w:hAnsi="Times New Roman"/>
          <w:i/>
        </w:rPr>
        <w:t>Eurodac</w:t>
      </w:r>
      <w:proofErr w:type="spellEnd"/>
      <w:r>
        <w:rPr>
          <w:rFonts w:ascii="Times New Roman" w:hAnsi="Times New Roman"/>
        </w:rPr>
        <w:t xml:space="preserve"> sistēmā ģenerēja atbilsmi “1. kategorija – 1. kategorijas informācijas atbilsme”, kas nozīmē, ka persona jau ir reģistrējusi vismaz vienu patvēruma pieteikumu citā dalībvalstī / asociētajā valstī.</w:t>
      </w:r>
    </w:p>
  </w:footnote>
  <w:footnote w:id="57">
    <w:p w14:paraId="73765D4A" w14:textId="6D9CE7B3" w:rsidR="000F6E59" w:rsidRPr="00160049" w:rsidRDefault="000F6E59" w:rsidP="00620FA6">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 xml:space="preserve">2022. gada pirmajā pusē 83 339 meklējumi </w:t>
      </w:r>
      <w:proofErr w:type="spellStart"/>
      <w:r>
        <w:rPr>
          <w:rFonts w:ascii="Times New Roman" w:hAnsi="Times New Roman"/>
          <w:i/>
        </w:rPr>
        <w:t>Eurodac</w:t>
      </w:r>
      <w:proofErr w:type="spellEnd"/>
      <w:r>
        <w:rPr>
          <w:rFonts w:ascii="Times New Roman" w:hAnsi="Times New Roman"/>
        </w:rPr>
        <w:t xml:space="preserve"> saistībā ar personu, kuras uzturas neatbilstīgi, pirkstu nospiedumiem (3. kategorijas dati </w:t>
      </w:r>
      <w:proofErr w:type="spellStart"/>
      <w:r>
        <w:rPr>
          <w:rFonts w:ascii="Times New Roman" w:hAnsi="Times New Roman"/>
          <w:i/>
        </w:rPr>
        <w:t>Eurodac</w:t>
      </w:r>
      <w:proofErr w:type="spellEnd"/>
      <w:r>
        <w:rPr>
          <w:rFonts w:ascii="Times New Roman" w:hAnsi="Times New Roman"/>
        </w:rPr>
        <w:t xml:space="preserve"> sistēmā) ģenerēja atbilsmes ar 1. kategorijas datiem, kas nozīmē, ka pēc patvēruma pieteikuma reģistrācijas vienā dalībvalstī / asociētajā valstī persona tika aizturēta kā persona, kas neatbilstīgi uzturas citā dalībvalstī / asociētajā valstī.</w:t>
      </w:r>
    </w:p>
  </w:footnote>
  <w:footnote w:id="58">
    <w:p w14:paraId="0795A950" w14:textId="15AB5288" w:rsidR="00715B12" w:rsidRPr="00836025" w:rsidRDefault="00715B12" w:rsidP="00715B12">
      <w:pPr>
        <w:pStyle w:val="FootnoteText"/>
        <w:spacing w:after="0"/>
        <w:ind w:left="284" w:hanging="284"/>
        <w:jc w:val="both"/>
      </w:pPr>
      <w:r>
        <w:rPr>
          <w:rStyle w:val="FootnoteReference"/>
          <w:rFonts w:ascii="Times New Roman" w:hAnsi="Times New Roman"/>
        </w:rPr>
        <w:footnoteRef/>
      </w:r>
      <w:r>
        <w:tab/>
      </w:r>
      <w:r>
        <w:rPr>
          <w:rFonts w:ascii="Times New Roman" w:hAnsi="Times New Roman"/>
        </w:rPr>
        <w:t xml:space="preserve">Regula (ES) Nr. 604/2013, ar ko paredz kritērijus un mehānismus, lai noteiktu dalībvalsti, kura ir atbildīga par trešās valsts </w:t>
      </w:r>
      <w:proofErr w:type="spellStart"/>
      <w:r>
        <w:rPr>
          <w:rFonts w:ascii="Times New Roman" w:hAnsi="Times New Roman"/>
        </w:rPr>
        <w:t>valstspiederīgā</w:t>
      </w:r>
      <w:proofErr w:type="spellEnd"/>
      <w:r>
        <w:rPr>
          <w:rFonts w:ascii="Times New Roman" w:hAnsi="Times New Roman"/>
        </w:rPr>
        <w:t xml:space="preserve"> vai bezvalstnieka starptautiskās aizsardzības pieteikuma izskatīšanu, kas iesniegts kādā no dalībvalstīm (pārstrādāta redakcija)</w:t>
      </w:r>
      <w:r>
        <w:t>.</w:t>
      </w:r>
    </w:p>
  </w:footnote>
  <w:footnote w:id="59">
    <w:p w14:paraId="1EE5D380" w14:textId="424B908A" w:rsidR="000F6E59" w:rsidRPr="00160049" w:rsidRDefault="000F6E59" w:rsidP="00620FA6">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Style w:val="Hyperlink"/>
          <w:rFonts w:ascii="Times New Roman" w:hAnsi="Times New Roman"/>
          <w:color w:val="auto"/>
          <w:u w:val="none"/>
        </w:rPr>
        <w:t>Ja persona iesniedz starptautiskās aizsardzības pieteikumu dalībvalstī, kas nav atbildīga par pieteikuma izskatīšanu saskaņā ar Dublinas III regulā noteiktajiem kritērijiem, dalībvalsts var pieprasīt pārsūtīšanu uz dalībvalsti, kas ir atbildīga par pieteikuma izskatīšanu.</w:t>
      </w:r>
    </w:p>
  </w:footnote>
  <w:footnote w:id="60">
    <w:p w14:paraId="71EF9377" w14:textId="7F10F222" w:rsidR="000F6E59" w:rsidRPr="00160049" w:rsidRDefault="000F6E59" w:rsidP="00620FA6">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Priekšlikums — Regula par Savienības Kodeksu par noteikumiem, kas reglamentē personu pārvietošanos pār robežām (COM/2021/891 </w:t>
      </w:r>
      <w:proofErr w:type="spellStart"/>
      <w:r>
        <w:rPr>
          <w:rFonts w:ascii="Times New Roman" w:hAnsi="Times New Roman"/>
        </w:rPr>
        <w:t>final</w:t>
      </w:r>
      <w:proofErr w:type="spellEnd"/>
      <w:r>
        <w:rPr>
          <w:rFonts w:ascii="Times New Roman" w:hAnsi="Times New Roman"/>
        </w:rPr>
        <w:t>, 2021. gada 14. decembris).</w:t>
      </w:r>
    </w:p>
  </w:footnote>
  <w:footnote w:id="61">
    <w:p w14:paraId="0EF91E64" w14:textId="29AFFD34" w:rsidR="005758AA" w:rsidRPr="00160049" w:rsidRDefault="005758AA" w:rsidP="00620FA6">
      <w:pPr>
        <w:pStyle w:val="FootnoteText"/>
        <w:spacing w:after="0"/>
        <w:ind w:left="284" w:hanging="284"/>
        <w:jc w:val="both"/>
        <w:rPr>
          <w:rFonts w:ascii="Times New Roman" w:hAnsi="Times New Roman"/>
          <w:vertAlign w:val="subscript"/>
        </w:rPr>
      </w:pPr>
      <w:r>
        <w:rPr>
          <w:rStyle w:val="FootnoteReference"/>
          <w:rFonts w:ascii="Times New Roman" w:hAnsi="Times New Roman"/>
        </w:rPr>
        <w:footnoteRef/>
      </w:r>
      <w:r>
        <w:tab/>
      </w:r>
      <w:r>
        <w:rPr>
          <w:rFonts w:ascii="Times New Roman" w:hAnsi="Times New Roman"/>
        </w:rPr>
        <w:t>Paziņojums “Stratēģija pilnībā funkcionējošai un noturīgai Šengenas zonai”, COM(2021) 277 </w:t>
      </w:r>
      <w:proofErr w:type="spellStart"/>
      <w:r>
        <w:rPr>
          <w:rFonts w:ascii="Times New Roman" w:hAnsi="Times New Roman"/>
        </w:rPr>
        <w:t>final</w:t>
      </w:r>
      <w:proofErr w:type="spellEnd"/>
      <w:r>
        <w:rPr>
          <w:rFonts w:ascii="Times New Roman" w:hAnsi="Times New Roman"/>
        </w:rPr>
        <w:t xml:space="preserve"> (2021. gada 2. jūnijs).</w:t>
      </w:r>
    </w:p>
  </w:footnote>
  <w:footnote w:id="62">
    <w:p w14:paraId="060F9402" w14:textId="3DD26E94" w:rsidR="005758AA" w:rsidRPr="00160049" w:rsidRDefault="005758AA" w:rsidP="00E6593C">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shd w:val="clear" w:color="auto" w:fill="FFFFFF"/>
        </w:rPr>
        <w:t>Paziņojums “2022. gada ziņojums par stāvokli Šengenas zonā” (COM(2022) 301 </w:t>
      </w:r>
      <w:proofErr w:type="spellStart"/>
      <w:r>
        <w:rPr>
          <w:rFonts w:ascii="Times New Roman" w:hAnsi="Times New Roman"/>
          <w:shd w:val="clear" w:color="auto" w:fill="FFFFFF"/>
        </w:rPr>
        <w:t>final</w:t>
      </w:r>
      <w:proofErr w:type="spellEnd"/>
      <w:r>
        <w:rPr>
          <w:rFonts w:ascii="Times New Roman" w:hAnsi="Times New Roman"/>
          <w:shd w:val="clear" w:color="auto" w:fill="FFFFFF"/>
        </w:rPr>
        <w:t>/2, 2022. gada 24. maijs).</w:t>
      </w:r>
    </w:p>
  </w:footnote>
  <w:footnote w:id="63">
    <w:p w14:paraId="1EADD49D" w14:textId="1B35BC75" w:rsidR="005758AA" w:rsidRPr="00160049" w:rsidRDefault="005758AA" w:rsidP="00E6593C">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Politikas dokuments, ar ko izstrādā Eiropas integrētās robežu pārvaldības daudzgadu stratēģisko politiku (COM(2022) 303 </w:t>
      </w:r>
      <w:proofErr w:type="spellStart"/>
      <w:r>
        <w:rPr>
          <w:rFonts w:ascii="Times New Roman" w:hAnsi="Times New Roman"/>
        </w:rPr>
        <w:t>final</w:t>
      </w:r>
      <w:proofErr w:type="spellEnd"/>
      <w:r>
        <w:rPr>
          <w:rFonts w:ascii="Times New Roman" w:hAnsi="Times New Roman"/>
        </w:rPr>
        <w:t>, 2022. gada 24. maijs).</w:t>
      </w:r>
    </w:p>
  </w:footnote>
  <w:footnote w:id="64">
    <w:p w14:paraId="0DA863A2" w14:textId="676AAE84" w:rsidR="00643926" w:rsidRPr="00CA4D0A" w:rsidRDefault="00643926" w:rsidP="00643926">
      <w:pPr>
        <w:pStyle w:val="FootnoteText"/>
        <w:spacing w:after="0"/>
        <w:ind w:left="284" w:hanging="284"/>
        <w:jc w:val="both"/>
      </w:pPr>
      <w:r>
        <w:rPr>
          <w:rStyle w:val="FootnoteReference"/>
          <w:rFonts w:ascii="Times New Roman" w:hAnsi="Times New Roman"/>
        </w:rPr>
        <w:footnoteRef/>
      </w:r>
      <w:r>
        <w:tab/>
      </w:r>
      <w:r>
        <w:rPr>
          <w:rFonts w:ascii="Times New Roman" w:hAnsi="Times New Roman"/>
        </w:rPr>
        <w:t xml:space="preserve">Ziņojums par stāvokli sagatavošanas darbos </w:t>
      </w:r>
      <w:proofErr w:type="spellStart"/>
      <w:r>
        <w:rPr>
          <w:rFonts w:ascii="Times New Roman" w:hAnsi="Times New Roman"/>
        </w:rPr>
        <w:t>sadarbspējas</w:t>
      </w:r>
      <w:proofErr w:type="spellEnd"/>
      <w:r>
        <w:rPr>
          <w:rFonts w:ascii="Times New Roman" w:hAnsi="Times New Roman"/>
        </w:rPr>
        <w:t xml:space="preserve"> regulu pilnīgai īstenošanai (COM(2021) 688 </w:t>
      </w:r>
      <w:proofErr w:type="spellStart"/>
      <w:r>
        <w:rPr>
          <w:rFonts w:ascii="Times New Roman" w:hAnsi="Times New Roman"/>
        </w:rPr>
        <w:t>final</w:t>
      </w:r>
      <w:proofErr w:type="spellEnd"/>
      <w:r>
        <w:rPr>
          <w:rFonts w:ascii="Times New Roman" w:hAnsi="Times New Roman"/>
        </w:rPr>
        <w:t>, 2021. gada 10. novembris).</w:t>
      </w:r>
    </w:p>
  </w:footnote>
  <w:footnote w:id="65">
    <w:p w14:paraId="0DC2543E" w14:textId="1F7F1FB8" w:rsidR="005758AA" w:rsidRPr="00160049" w:rsidRDefault="005758AA" w:rsidP="00E6593C">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 xml:space="preserve">Priekšlikums — Regula par vīzas procedūras </w:t>
      </w:r>
      <w:proofErr w:type="spellStart"/>
      <w:r>
        <w:rPr>
          <w:rFonts w:ascii="Times New Roman" w:hAnsi="Times New Roman"/>
        </w:rPr>
        <w:t>digitalizāciju</w:t>
      </w:r>
      <w:proofErr w:type="spellEnd"/>
      <w:r>
        <w:rPr>
          <w:rFonts w:ascii="Times New Roman" w:hAnsi="Times New Roman"/>
        </w:rPr>
        <w:t xml:space="preserve"> (COM(2022) 658 </w:t>
      </w:r>
      <w:proofErr w:type="spellStart"/>
      <w:r>
        <w:rPr>
          <w:rFonts w:ascii="Times New Roman" w:hAnsi="Times New Roman"/>
        </w:rPr>
        <w:t>final</w:t>
      </w:r>
      <w:proofErr w:type="spellEnd"/>
      <w:r>
        <w:rPr>
          <w:rFonts w:ascii="Times New Roman" w:hAnsi="Times New Roman"/>
        </w:rPr>
        <w:t>, 2022. gada 27. aprīlis).</w:t>
      </w:r>
    </w:p>
  </w:footnote>
  <w:footnote w:id="66">
    <w:p w14:paraId="732693C1" w14:textId="7089A1C9" w:rsidR="005758AA" w:rsidRPr="00160049" w:rsidRDefault="005758AA" w:rsidP="00E6593C">
      <w:pPr>
        <w:pStyle w:val="FootnoteText"/>
        <w:spacing w:after="0"/>
        <w:ind w:left="284" w:hanging="284"/>
        <w:rPr>
          <w:rFonts w:ascii="Times New Roman" w:hAnsi="Times New Roman"/>
        </w:rPr>
      </w:pPr>
      <w:r>
        <w:rPr>
          <w:rStyle w:val="FootnoteReference"/>
          <w:rFonts w:ascii="Times New Roman" w:hAnsi="Times New Roman"/>
        </w:rPr>
        <w:footnoteRef/>
      </w:r>
      <w:r>
        <w:tab/>
      </w:r>
      <w:r>
        <w:rPr>
          <w:rFonts w:ascii="Times New Roman" w:hAnsi="Times New Roman"/>
        </w:rPr>
        <w:t>Paziņojums par ES stratēģiju brīvprātīgas atgriešanās un reintegrācijas jomā (COM(2021) 120 </w:t>
      </w:r>
      <w:proofErr w:type="spellStart"/>
      <w:r>
        <w:rPr>
          <w:rFonts w:ascii="Times New Roman" w:hAnsi="Times New Roman"/>
        </w:rPr>
        <w:t>final</w:t>
      </w:r>
      <w:proofErr w:type="spellEnd"/>
      <w:r>
        <w:rPr>
          <w:rFonts w:ascii="Times New Roman" w:hAnsi="Times New Roman"/>
        </w:rPr>
        <w:t>, 2021. gada 27. aprīlis).</w:t>
      </w:r>
    </w:p>
  </w:footnote>
  <w:footnote w:id="67">
    <w:p w14:paraId="29FF4D06" w14:textId="52D4A69C" w:rsidR="004F5199" w:rsidRPr="00160049" w:rsidRDefault="004F5199" w:rsidP="00AD0C34">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Regula 810/2009 (2009. gada 13. jūlijs), ar ko izveido Kopienas Vīzu kodeksu (Vīzu kodekss).</w:t>
      </w:r>
    </w:p>
  </w:footnote>
  <w:footnote w:id="68">
    <w:p w14:paraId="708046AB" w14:textId="2BA10725" w:rsidR="00554ABB" w:rsidRPr="002B319B" w:rsidRDefault="00554ABB" w:rsidP="00554ABB">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 xml:space="preserve">Padomes Lēmums 2021/1940 (2021. gada 9. novembris) par Nolīguma starp ES un Baltkrievijas Republiku par vīzu atvieglotu izsniegšanu piemērošanas daļēju apturēšanu. </w:t>
      </w:r>
    </w:p>
  </w:footnote>
  <w:footnote w:id="69">
    <w:p w14:paraId="0424082F" w14:textId="5C6CB694" w:rsidR="00554ABB" w:rsidRPr="002B319B" w:rsidRDefault="00554ABB" w:rsidP="00554ABB">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 xml:space="preserve">Padomes Lēmums 2022/333 (2022. gada 25. februāris) par to, lai daļēji apturētu Nolīgumu starp Eiropas Kopienu un Krievijas Federāciju par vīzu atvieglinātu izsniegšanu Eiropas Savienības un Krievijas Federācijas pilsoņiem. </w:t>
      </w:r>
    </w:p>
  </w:footnote>
  <w:footnote w:id="70">
    <w:p w14:paraId="755AA280" w14:textId="46FC90D6" w:rsidR="00554ABB" w:rsidRPr="002B319B" w:rsidRDefault="00554ABB" w:rsidP="00554ABB">
      <w:pPr>
        <w:pStyle w:val="FootnoteText"/>
        <w:spacing w:after="0"/>
        <w:ind w:left="284" w:hanging="284"/>
        <w:jc w:val="both"/>
        <w:rPr>
          <w:rFonts w:ascii="Times New Roman" w:hAnsi="Times New Roman"/>
        </w:rPr>
      </w:pPr>
      <w:r>
        <w:rPr>
          <w:rFonts w:ascii="Times New Roman" w:hAnsi="Times New Roman"/>
          <w:vertAlign w:val="superscript"/>
        </w:rPr>
        <w:footnoteRef/>
      </w:r>
      <w:r>
        <w:tab/>
      </w:r>
      <w:r>
        <w:rPr>
          <w:rFonts w:ascii="Times New Roman" w:hAnsi="Times New Roman"/>
        </w:rPr>
        <w:t xml:space="preserve">Padomes Lēmums 2022/1500 (2022. gada 9. septembris) par to, lai pilnībā apturētu Nolīguma starp Eiropas Kopienu un Krievijas Federāciju par vīzu atvieglinātu izsniegšanu Eiropas Savienības un Krievijas Federācijas pilsoņiem piemērošanu. </w:t>
      </w:r>
    </w:p>
  </w:footnote>
  <w:footnote w:id="71">
    <w:p w14:paraId="311907E1" w14:textId="1203D923" w:rsidR="00554ABB" w:rsidRPr="002B319B" w:rsidRDefault="00554ABB" w:rsidP="0038285A">
      <w:pPr>
        <w:pStyle w:val="FootnoteText"/>
        <w:spacing w:after="0"/>
        <w:ind w:left="284" w:hanging="284"/>
        <w:jc w:val="both"/>
        <w:rPr>
          <w:rFonts w:ascii="Times New Roman" w:hAnsi="Times New Roman"/>
        </w:rPr>
      </w:pPr>
      <w:r>
        <w:rPr>
          <w:rFonts w:ascii="Times New Roman" w:hAnsi="Times New Roman"/>
          <w:vertAlign w:val="superscript"/>
        </w:rPr>
        <w:footnoteRef/>
      </w:r>
      <w:r>
        <w:tab/>
      </w:r>
      <w:r>
        <w:rPr>
          <w:rFonts w:ascii="Times New Roman" w:hAnsi="Times New Roman"/>
        </w:rPr>
        <w:t>Komisijas paziņojums, kurā sniedz pamatnostādnes par vispārējiem vīzu izsniegšanas noteikumiem attiecībā uz pieteikumu iesniedzējiem no Krievijas, balstoties uz Padomes 2022. gada 9. septembra Lēmumu (ES) 2022/1500 par Nolīguma starp Eiropas Kopienu un Krievijas Federāciju par vīzu atvieglinātu izsniegšanu Eiropas Savienības un Krievijas Federācijas pilsoņiem piemērošanas pilnīgu apturēšanu (C(2022) 6596, 2022. gada 9. septembris).</w:t>
      </w:r>
    </w:p>
  </w:footnote>
  <w:footnote w:id="72">
    <w:p w14:paraId="7746FF93" w14:textId="27136336" w:rsidR="00B05F08" w:rsidRPr="00836025" w:rsidRDefault="00B05F08" w:rsidP="00B05F08">
      <w:pPr>
        <w:pStyle w:val="FootnoteText"/>
        <w:spacing w:after="0"/>
        <w:ind w:left="284" w:hanging="284"/>
        <w:jc w:val="both"/>
      </w:pPr>
      <w:r>
        <w:rPr>
          <w:rStyle w:val="FootnoteReference"/>
          <w:rFonts w:ascii="Times New Roman" w:hAnsi="Times New Roman"/>
        </w:rPr>
        <w:footnoteRef/>
      </w:r>
      <w:r>
        <w:tab/>
      </w:r>
      <w:r>
        <w:rPr>
          <w:rFonts w:ascii="Times New Roman" w:hAnsi="Times New Roman"/>
        </w:rPr>
        <w:t>Paziņojums, kurā atjaunina pamatnostādnes par vispārējiem vīzu izsniegšanas noteikumiem attiecībā uz pieteikumu iesniedzējiem no Krievijas, un sniedz pamatnostādnes par Krievijas pilsoņu kontroli pie ārējām robežām (C(2022) 7111 </w:t>
      </w:r>
      <w:proofErr w:type="spellStart"/>
      <w:r>
        <w:rPr>
          <w:rFonts w:ascii="Times New Roman" w:hAnsi="Times New Roman"/>
        </w:rPr>
        <w:t>final</w:t>
      </w:r>
      <w:proofErr w:type="spellEnd"/>
      <w:r>
        <w:rPr>
          <w:rFonts w:ascii="Times New Roman" w:hAnsi="Times New Roman"/>
        </w:rPr>
        <w:t>, 2022. gada 30. septembris).</w:t>
      </w:r>
    </w:p>
  </w:footnote>
  <w:footnote w:id="73">
    <w:p w14:paraId="423AA709" w14:textId="474871C1" w:rsidR="00DC53E2" w:rsidRPr="00160049" w:rsidRDefault="00DC53E2" w:rsidP="00620FA6">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Francija, Čehija, Zviedrija, Spānija un Beļģija.</w:t>
      </w:r>
    </w:p>
  </w:footnote>
  <w:footnote w:id="74">
    <w:p w14:paraId="5F26E586" w14:textId="781D6964" w:rsidR="00DC53E2" w:rsidRPr="00160049" w:rsidRDefault="00DC53E2" w:rsidP="00620FA6">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 xml:space="preserve">Priekšlikums regulai, ar ko ievieš trešo valstu </w:t>
      </w:r>
      <w:proofErr w:type="spellStart"/>
      <w:r>
        <w:rPr>
          <w:rFonts w:ascii="Times New Roman" w:hAnsi="Times New Roman"/>
        </w:rPr>
        <w:t>valstspiederīgo</w:t>
      </w:r>
      <w:proofErr w:type="spellEnd"/>
      <w:r>
        <w:rPr>
          <w:rFonts w:ascii="Times New Roman" w:hAnsi="Times New Roman"/>
        </w:rPr>
        <w:t xml:space="preserve"> </w:t>
      </w:r>
      <w:proofErr w:type="spellStart"/>
      <w:r>
        <w:rPr>
          <w:rFonts w:ascii="Times New Roman" w:hAnsi="Times New Roman"/>
        </w:rPr>
        <w:t>skrīningu</w:t>
      </w:r>
      <w:proofErr w:type="spellEnd"/>
      <w:r>
        <w:rPr>
          <w:rFonts w:ascii="Times New Roman" w:hAnsi="Times New Roman"/>
        </w:rPr>
        <w:t xml:space="preserve"> pie ārējām robežām (COM(2020) 612 </w:t>
      </w:r>
      <w:proofErr w:type="spellStart"/>
      <w:r>
        <w:rPr>
          <w:rFonts w:ascii="Times New Roman" w:hAnsi="Times New Roman"/>
        </w:rPr>
        <w:t>final</w:t>
      </w:r>
      <w:proofErr w:type="spellEnd"/>
      <w:r>
        <w:rPr>
          <w:rFonts w:ascii="Times New Roman" w:hAnsi="Times New Roman"/>
        </w:rPr>
        <w:t xml:space="preserve">, 2020. gada 23. septembris), un grozīts priekšlikums regulai par </w:t>
      </w:r>
      <w:proofErr w:type="spellStart"/>
      <w:r>
        <w:rPr>
          <w:rFonts w:ascii="Times New Roman" w:hAnsi="Times New Roman"/>
          <w:i/>
        </w:rPr>
        <w:t>Eurodac</w:t>
      </w:r>
      <w:proofErr w:type="spellEnd"/>
      <w:r>
        <w:rPr>
          <w:rFonts w:ascii="Times New Roman" w:hAnsi="Times New Roman"/>
        </w:rPr>
        <w:t xml:space="preserve"> izveidi (COM/2020/614 </w:t>
      </w:r>
      <w:proofErr w:type="spellStart"/>
      <w:r>
        <w:rPr>
          <w:rFonts w:ascii="Times New Roman" w:hAnsi="Times New Roman"/>
        </w:rPr>
        <w:t>final</w:t>
      </w:r>
      <w:proofErr w:type="spellEnd"/>
      <w:r>
        <w:rPr>
          <w:rFonts w:ascii="Times New Roman" w:hAnsi="Times New Roman"/>
        </w:rPr>
        <w:t>, 2020. gada 23. septembris).</w:t>
      </w:r>
    </w:p>
  </w:footnote>
  <w:footnote w:id="75">
    <w:p w14:paraId="72403D0A" w14:textId="07972D51" w:rsidR="00DC53E2" w:rsidRPr="00160049" w:rsidRDefault="00DC53E2" w:rsidP="00620FA6">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Priekšlikums regulai, ar ko risina krīzes un nepārvaramas varas situācijas migrācijas un patvēruma jomā (COM(2020) 613 </w:t>
      </w:r>
      <w:proofErr w:type="spellStart"/>
      <w:r>
        <w:rPr>
          <w:rFonts w:ascii="Times New Roman" w:hAnsi="Times New Roman"/>
        </w:rPr>
        <w:t>final</w:t>
      </w:r>
      <w:proofErr w:type="spellEnd"/>
      <w:r>
        <w:rPr>
          <w:rFonts w:ascii="Times New Roman" w:hAnsi="Times New Roman"/>
        </w:rPr>
        <w:t xml:space="preserve">, 2020. gada 23. septembris) un priekšlikums regulai, ar ko risina </w:t>
      </w:r>
      <w:proofErr w:type="spellStart"/>
      <w:r>
        <w:rPr>
          <w:rFonts w:ascii="Times New Roman" w:hAnsi="Times New Roman"/>
        </w:rPr>
        <w:t>instrumentalizācijas</w:t>
      </w:r>
      <w:proofErr w:type="spellEnd"/>
      <w:r>
        <w:rPr>
          <w:rFonts w:ascii="Times New Roman" w:hAnsi="Times New Roman"/>
        </w:rPr>
        <w:t xml:space="preserve"> situācijas migrācijas un patvēruma jomā (COM(2021) 890 </w:t>
      </w:r>
      <w:proofErr w:type="spellStart"/>
      <w:r>
        <w:rPr>
          <w:rFonts w:ascii="Times New Roman" w:hAnsi="Times New Roman"/>
        </w:rPr>
        <w:t>final</w:t>
      </w:r>
      <w:proofErr w:type="spellEnd"/>
      <w:r>
        <w:rPr>
          <w:rFonts w:ascii="Times New Roman" w:hAnsi="Times New Roman"/>
        </w:rPr>
        <w:t>, 2021. gada 14. decembris).</w:t>
      </w:r>
    </w:p>
  </w:footnote>
  <w:footnote w:id="76">
    <w:p w14:paraId="25729009" w14:textId="455DCFD6" w:rsidR="00DC53E2" w:rsidRPr="00160049" w:rsidRDefault="00DC53E2" w:rsidP="00620FA6">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Priekšlikums — Regula, ar ko izveido Savienības pārmitināšanas sistēmu</w:t>
      </w:r>
      <w:r>
        <w:rPr>
          <w:rFonts w:ascii="Times New Roman" w:hAnsi="Times New Roman"/>
          <w:shd w:val="clear" w:color="auto" w:fill="FFFFFF"/>
          <w:vertAlign w:val="superscript"/>
        </w:rPr>
        <w:t xml:space="preserve"> </w:t>
      </w:r>
      <w:r>
        <w:rPr>
          <w:rFonts w:ascii="Times New Roman" w:hAnsi="Times New Roman"/>
          <w:shd w:val="clear" w:color="auto" w:fill="FFFFFF"/>
        </w:rPr>
        <w:t>(COM(2016) 468 </w:t>
      </w:r>
      <w:proofErr w:type="spellStart"/>
      <w:r>
        <w:rPr>
          <w:rFonts w:ascii="Times New Roman" w:hAnsi="Times New Roman"/>
          <w:shd w:val="clear" w:color="auto" w:fill="FFFFFF"/>
        </w:rPr>
        <w:t>final</w:t>
      </w:r>
      <w:proofErr w:type="spellEnd"/>
      <w:r>
        <w:rPr>
          <w:rFonts w:ascii="Times New Roman" w:hAnsi="Times New Roman"/>
          <w:shd w:val="clear" w:color="auto" w:fill="FFFFFF"/>
        </w:rPr>
        <w:t>, 2016. gada 13. jūlijs).</w:t>
      </w:r>
    </w:p>
  </w:footnote>
  <w:footnote w:id="77">
    <w:p w14:paraId="370C7639" w14:textId="4182109C" w:rsidR="00DC53E2" w:rsidRPr="00160049" w:rsidRDefault="00DC53E2" w:rsidP="00620FA6">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Priekšlikums — Direktīva, ar ko nosaka standartus starptautiskās aizsardzības pieteikuma iesniedzēju uzņemšanai (pārstrādāta redakcija) (COM(2016) 465 </w:t>
      </w:r>
      <w:proofErr w:type="spellStart"/>
      <w:r>
        <w:rPr>
          <w:rFonts w:ascii="Times New Roman" w:hAnsi="Times New Roman"/>
        </w:rPr>
        <w:t>final</w:t>
      </w:r>
      <w:proofErr w:type="spellEnd"/>
      <w:r>
        <w:rPr>
          <w:rFonts w:ascii="Times New Roman" w:hAnsi="Times New Roman"/>
        </w:rPr>
        <w:t>, 2016. gada 13. jūlijs).</w:t>
      </w:r>
    </w:p>
  </w:footnote>
  <w:footnote w:id="78">
    <w:p w14:paraId="74203116" w14:textId="5A1A706B" w:rsidR="00DC53E2" w:rsidRPr="00160049" w:rsidRDefault="00DC53E2" w:rsidP="00620FA6">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 xml:space="preserve">Priekšlikums — Regula par standartiem, lai trešo valstu </w:t>
      </w:r>
      <w:proofErr w:type="spellStart"/>
      <w:r>
        <w:rPr>
          <w:rFonts w:ascii="Times New Roman" w:hAnsi="Times New Roman"/>
        </w:rPr>
        <w:t>valstspiederīgos</w:t>
      </w:r>
      <w:proofErr w:type="spellEnd"/>
      <w:r>
        <w:rPr>
          <w:rFonts w:ascii="Times New Roman" w:hAnsi="Times New Roman"/>
        </w:rPr>
        <w:t xml:space="preserve"> vai bezvalstniekus kvalificētu kā starptautiskās aizsardzības saņēmējus, par bēgļu vai personu, kas tiesīgas saņemt alternatīvo aizsardzību, vienotu statusu, un par piešķirtās aizsardzības saturu (COM/2016/0466 </w:t>
      </w:r>
      <w:proofErr w:type="spellStart"/>
      <w:r>
        <w:rPr>
          <w:rFonts w:ascii="Times New Roman" w:hAnsi="Times New Roman"/>
        </w:rPr>
        <w:t>final</w:t>
      </w:r>
      <w:proofErr w:type="spellEnd"/>
      <w:r>
        <w:rPr>
          <w:rFonts w:ascii="Times New Roman" w:hAnsi="Times New Roman"/>
        </w:rPr>
        <w:t>, 2016. gada 13. jūlijs).</w:t>
      </w:r>
    </w:p>
  </w:footnote>
  <w:footnote w:id="79">
    <w:p w14:paraId="120804AB" w14:textId="6E2CE5B2" w:rsidR="00DC53E2" w:rsidRPr="00160049" w:rsidRDefault="00DC53E2" w:rsidP="00620FA6">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 xml:space="preserve">Priekšlikums — Regula, ar ko risina </w:t>
      </w:r>
      <w:proofErr w:type="spellStart"/>
      <w:r>
        <w:rPr>
          <w:rFonts w:ascii="Times New Roman" w:hAnsi="Times New Roman"/>
        </w:rPr>
        <w:t>instrumentalizācijas</w:t>
      </w:r>
      <w:proofErr w:type="spellEnd"/>
      <w:r>
        <w:rPr>
          <w:rFonts w:ascii="Times New Roman" w:hAnsi="Times New Roman"/>
        </w:rPr>
        <w:t xml:space="preserve"> situācijas migrācijas un patvēruma jomā (COM(2021) 890 </w:t>
      </w:r>
      <w:proofErr w:type="spellStart"/>
      <w:r>
        <w:rPr>
          <w:rFonts w:ascii="Times New Roman" w:hAnsi="Times New Roman"/>
        </w:rPr>
        <w:t>final</w:t>
      </w:r>
      <w:proofErr w:type="spellEnd"/>
      <w:r>
        <w:rPr>
          <w:rFonts w:ascii="Times New Roman" w:hAnsi="Times New Roman"/>
        </w:rPr>
        <w:t>, 2021. gada 14. jūlijs).</w:t>
      </w:r>
    </w:p>
  </w:footnote>
  <w:footnote w:id="80">
    <w:p w14:paraId="58A7C858" w14:textId="429130D9" w:rsidR="00DC53E2" w:rsidRPr="00160049" w:rsidRDefault="00DC53E2" w:rsidP="00620FA6">
      <w:pPr>
        <w:pStyle w:val="FootnoteText"/>
        <w:spacing w:after="0"/>
        <w:ind w:left="284" w:hanging="284"/>
        <w:jc w:val="both"/>
        <w:rPr>
          <w:rFonts w:ascii="Times New Roman" w:hAnsi="Times New Roman"/>
        </w:rPr>
      </w:pPr>
      <w:r>
        <w:rPr>
          <w:rStyle w:val="FootnoteReference"/>
          <w:rFonts w:ascii="Times New Roman" w:hAnsi="Times New Roman"/>
        </w:rPr>
        <w:footnoteRef/>
      </w:r>
      <w:r>
        <w:tab/>
      </w:r>
      <w:hyperlink r:id="rId32" w:history="1">
        <w:r>
          <w:rPr>
            <w:rFonts w:ascii="Times New Roman" w:hAnsi="Times New Roman"/>
          </w:rPr>
          <w:t>Paziņojums</w:t>
        </w:r>
      </w:hyperlink>
      <w:r>
        <w:rPr>
          <w:rFonts w:ascii="Times New Roman" w:hAnsi="Times New Roman"/>
        </w:rPr>
        <w:t xml:space="preserve"> “Prasmju un talantu piesaistīšana ES” (COM/2022/657 </w:t>
      </w:r>
      <w:proofErr w:type="spellStart"/>
      <w:r>
        <w:rPr>
          <w:rFonts w:ascii="Times New Roman" w:hAnsi="Times New Roman"/>
        </w:rPr>
        <w:t>final</w:t>
      </w:r>
      <w:proofErr w:type="spellEnd"/>
      <w:r>
        <w:rPr>
          <w:rFonts w:ascii="Times New Roman" w:hAnsi="Times New Roman"/>
        </w:rPr>
        <w:t>, 2022. gada 27. aprīlis).</w:t>
      </w:r>
    </w:p>
  </w:footnote>
  <w:footnote w:id="81">
    <w:p w14:paraId="37BDC8F6" w14:textId="2FAC739D" w:rsidR="00401690" w:rsidRPr="00160049" w:rsidRDefault="00401690" w:rsidP="00280EAA">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 xml:space="preserve">Priekšlikums — Direktīva par to trešo valstu pilsoņu statusu, kuri ir kādas dalībvalsts pastāvīgie iedzīvotāji (pārstrādāta redakcija) (COM(2022) 650 </w:t>
      </w:r>
      <w:proofErr w:type="spellStart"/>
      <w:r>
        <w:rPr>
          <w:rFonts w:ascii="Times New Roman" w:hAnsi="Times New Roman"/>
        </w:rPr>
        <w:t>final</w:t>
      </w:r>
      <w:proofErr w:type="spellEnd"/>
      <w:r>
        <w:rPr>
          <w:rFonts w:ascii="Times New Roman" w:hAnsi="Times New Roman"/>
        </w:rPr>
        <w:t xml:space="preserve">, 2022. gada 27. aprīlis). Sarunās par šo priekšlikumu būtu jāņem vērā arī Komisijas priekšlikums, ar ko groza direktīvu, lai ļautu starptautiskās aizsardzības saņēmējiem pēc trim gadiem, kas paredzēti Priekšlikumā regulai par patvēruma un migrācijas pārvaldību, iegūt pastāvīgā iedzīvotāja statusu. </w:t>
      </w:r>
    </w:p>
  </w:footnote>
  <w:footnote w:id="82">
    <w:p w14:paraId="06D35BEA" w14:textId="05907D97" w:rsidR="00401690" w:rsidRPr="00160049" w:rsidRDefault="00401690" w:rsidP="00280EAA">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 xml:space="preserve">Priekšlikums — Direktīva par vienotu pieteikšanās procedūru, lai trešo valstu </w:t>
      </w:r>
      <w:proofErr w:type="spellStart"/>
      <w:r>
        <w:rPr>
          <w:rFonts w:ascii="Times New Roman" w:hAnsi="Times New Roman"/>
        </w:rPr>
        <w:t>valstspiederīgajiem</w:t>
      </w:r>
      <w:proofErr w:type="spellEnd"/>
      <w:r>
        <w:rPr>
          <w:rFonts w:ascii="Times New Roman" w:hAnsi="Times New Roman"/>
        </w:rPr>
        <w:t xml:space="preserve"> izsniegtu vienotu uzturēšanās un darba atļauju dalībvalsts teritorijā, un par vienotu tiesību kopumu trešo valstu darba ņēmējiem, kuri kādā dalībvalstī uzturas likumīgi (pārstrādāta redakcija), (COM(2022) 655 </w:t>
      </w:r>
      <w:proofErr w:type="spellStart"/>
      <w:r>
        <w:rPr>
          <w:rFonts w:ascii="Times New Roman" w:hAnsi="Times New Roman"/>
        </w:rPr>
        <w:t>final</w:t>
      </w:r>
      <w:proofErr w:type="spellEnd"/>
      <w:r>
        <w:rPr>
          <w:rFonts w:ascii="Times New Roman" w:hAnsi="Times New Roman"/>
        </w:rPr>
        <w:t>, 2022. gada 27. aprīlis).</w:t>
      </w:r>
    </w:p>
  </w:footnote>
  <w:footnote w:id="83">
    <w:p w14:paraId="7579CB9D" w14:textId="21371509" w:rsidR="00401690" w:rsidRPr="00160049" w:rsidRDefault="00401690" w:rsidP="00280EAA">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 xml:space="preserve">Direktīva 2014/36/ES (2014. gada 26. februāris) par trešo valstu </w:t>
      </w:r>
      <w:proofErr w:type="spellStart"/>
      <w:r>
        <w:rPr>
          <w:rFonts w:ascii="Times New Roman" w:hAnsi="Times New Roman"/>
        </w:rPr>
        <w:t>valstspiederīgo</w:t>
      </w:r>
      <w:proofErr w:type="spellEnd"/>
      <w:r>
        <w:rPr>
          <w:rFonts w:ascii="Times New Roman" w:hAnsi="Times New Roman"/>
        </w:rPr>
        <w:t xml:space="preserve"> ieceļošanas un uzturēšanās nosacījumiem nodarbinātības kā sezonas darbiniekiem nolūkā.</w:t>
      </w:r>
    </w:p>
  </w:footnote>
  <w:footnote w:id="84">
    <w:p w14:paraId="5C853B4C" w14:textId="6F086A1A" w:rsidR="00401690" w:rsidRPr="00160049" w:rsidRDefault="00401690" w:rsidP="00280EAA">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 xml:space="preserve">Direktīva 2009/52/EK (2009. gada 18. jūnijs), ar ko nosaka minimālos standartus sankcijām un pasākumiem pret darba devējiem, kas nodarbina trešo valstu </w:t>
      </w:r>
      <w:proofErr w:type="spellStart"/>
      <w:r>
        <w:rPr>
          <w:rFonts w:ascii="Times New Roman" w:hAnsi="Times New Roman"/>
        </w:rPr>
        <w:t>valstspiederīgos</w:t>
      </w:r>
      <w:proofErr w:type="spellEnd"/>
      <w:r>
        <w:rPr>
          <w:rFonts w:ascii="Times New Roman" w:hAnsi="Times New Roman"/>
        </w:rPr>
        <w:t>, kuri dalībvalstīs uzturas nelikumīgi.</w:t>
      </w:r>
    </w:p>
  </w:footnote>
  <w:footnote w:id="85">
    <w:p w14:paraId="7E40B6C9" w14:textId="4810CE86" w:rsidR="00757FFB" w:rsidRPr="00160049" w:rsidRDefault="00757FFB" w:rsidP="00620FA6">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Priekšlikums — Regula par tādu produktu aizliegšanu Savienības tirgū, kas ražoti, izmantojot piespiedu darbu (COM(2022) 453 </w:t>
      </w:r>
      <w:proofErr w:type="spellStart"/>
      <w:r>
        <w:rPr>
          <w:rFonts w:ascii="Times New Roman" w:hAnsi="Times New Roman"/>
        </w:rPr>
        <w:t>final</w:t>
      </w:r>
      <w:proofErr w:type="spellEnd"/>
      <w:r>
        <w:rPr>
          <w:rFonts w:ascii="Times New Roman" w:hAnsi="Times New Roman"/>
        </w:rPr>
        <w:t>, 2022. gada 14. septembris).</w:t>
      </w:r>
    </w:p>
  </w:footnote>
  <w:footnote w:id="86">
    <w:p w14:paraId="13B1379B" w14:textId="33EB1C59" w:rsidR="00DC53E2" w:rsidRPr="00160049" w:rsidRDefault="00DC53E2" w:rsidP="00620FA6">
      <w:pPr>
        <w:pStyle w:val="FootnoteText"/>
        <w:spacing w:after="0"/>
        <w:ind w:left="284" w:hanging="284"/>
        <w:jc w:val="both"/>
        <w:rPr>
          <w:rFonts w:ascii="Times New Roman" w:hAnsi="Times New Roman"/>
        </w:rPr>
      </w:pPr>
      <w:r>
        <w:rPr>
          <w:rStyle w:val="FootnoteReference"/>
          <w:rFonts w:ascii="Times New Roman" w:hAnsi="Times New Roman"/>
        </w:rPr>
        <w:footnoteRef/>
      </w:r>
      <w:r>
        <w:tab/>
      </w:r>
      <w:hyperlink r:id="rId33" w:history="1">
        <w:r>
          <w:rPr>
            <w:rStyle w:val="Hyperlink"/>
            <w:rFonts w:ascii="Times New Roman" w:hAnsi="Times New Roman"/>
          </w:rPr>
          <w:t>2425-06-21-euco-conclusions-en.pdf (europa.eu)</w:t>
        </w:r>
      </w:hyperlink>
      <w:r>
        <w:t>.</w:t>
      </w:r>
      <w:r>
        <w:rPr>
          <w:rFonts w:ascii="Times New Roman" w:hAnsi="Times New Roman"/>
        </w:rPr>
        <w:t xml:space="preserve"> </w:t>
      </w:r>
    </w:p>
  </w:footnote>
  <w:footnote w:id="87">
    <w:p w14:paraId="10AEEF15" w14:textId="486F0A52" w:rsidR="00DC53E2" w:rsidRPr="00160049" w:rsidRDefault="00DC53E2" w:rsidP="00F2677E">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 xml:space="preserve">Sk. kopīgo paziņojumu “Reaģēšana uz valsts sponsorētu migrantu </w:t>
      </w:r>
      <w:proofErr w:type="spellStart"/>
      <w:r>
        <w:rPr>
          <w:rFonts w:ascii="Times New Roman" w:hAnsi="Times New Roman"/>
        </w:rPr>
        <w:t>instrumentalizāciju</w:t>
      </w:r>
      <w:proofErr w:type="spellEnd"/>
      <w:r>
        <w:rPr>
          <w:rFonts w:ascii="Times New Roman" w:hAnsi="Times New Roman"/>
        </w:rPr>
        <w:t xml:space="preserve"> pie ES ārējām robežām” (JOIN(2021) 32 </w:t>
      </w:r>
      <w:proofErr w:type="spellStart"/>
      <w:r>
        <w:rPr>
          <w:rFonts w:ascii="Times New Roman" w:hAnsi="Times New Roman"/>
        </w:rPr>
        <w:t>final</w:t>
      </w:r>
      <w:proofErr w:type="spellEnd"/>
      <w:r>
        <w:rPr>
          <w:rFonts w:ascii="Times New Roman" w:hAnsi="Times New Roman"/>
        </w:rPr>
        <w:t>, 2021. gada 23. novembris).</w:t>
      </w:r>
    </w:p>
  </w:footnote>
  <w:footnote w:id="88">
    <w:p w14:paraId="2216ADD5" w14:textId="717C4F21" w:rsidR="003F571A" w:rsidRDefault="003F571A" w:rsidP="003F571A">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Saskaņā ar Spānijas iestāžu sniegto informāciju 2022. gadā līdz septembrim Marokas iestādes ir pārtvērušas aptuveni 25 % izceļojošo personu.</w:t>
      </w:r>
    </w:p>
  </w:footnote>
  <w:footnote w:id="89">
    <w:p w14:paraId="5B177681" w14:textId="705D2E78" w:rsidR="00D5265B" w:rsidRDefault="00D5265B" w:rsidP="00F64137">
      <w:pPr>
        <w:pStyle w:val="FootnoteText"/>
        <w:tabs>
          <w:tab w:val="left" w:pos="284"/>
        </w:tabs>
        <w:spacing w:after="0"/>
        <w:rPr>
          <w:rFonts w:ascii="Times New Roman" w:hAnsi="Times New Roman"/>
        </w:rPr>
      </w:pPr>
      <w:r>
        <w:rPr>
          <w:rStyle w:val="FootnoteReference"/>
          <w:rFonts w:ascii="Times New Roman" w:hAnsi="Times New Roman"/>
        </w:rPr>
        <w:footnoteRef/>
      </w:r>
      <w:r>
        <w:tab/>
      </w:r>
      <w:hyperlink r:id="rId34" w:history="1">
        <w:r>
          <w:rPr>
            <w:rStyle w:val="Hyperlink"/>
            <w:rFonts w:ascii="Times New Roman" w:hAnsi="Times New Roman"/>
          </w:rPr>
          <w:t>https://www.consilium.europa.eu/media/54412/final_declaration-en.pdf</w:t>
        </w:r>
      </w:hyperlink>
      <w:r>
        <w:t>.</w:t>
      </w:r>
    </w:p>
  </w:footnote>
  <w:footnote w:id="90">
    <w:p w14:paraId="2E2A208F" w14:textId="700BEA0E" w:rsidR="00220513" w:rsidRPr="00160049" w:rsidRDefault="00220513" w:rsidP="002211E6">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ES rīcība notiek saskaņā ar paziņojumu “</w:t>
      </w:r>
      <w:proofErr w:type="spellStart"/>
      <w:r>
        <w:rPr>
          <w:rFonts w:ascii="Times New Roman" w:hAnsi="Times New Roman"/>
        </w:rPr>
        <w:t>Cieņpilna</w:t>
      </w:r>
      <w:proofErr w:type="spellEnd"/>
      <w:r>
        <w:rPr>
          <w:rFonts w:ascii="Times New Roman" w:hAnsi="Times New Roman"/>
        </w:rPr>
        <w:t xml:space="preserve"> dzīve” (COM(2016)234, 2016. gada 26. aprīlis) un Globālo </w:t>
      </w:r>
      <w:proofErr w:type="spellStart"/>
      <w:r>
        <w:rPr>
          <w:rFonts w:ascii="Times New Roman" w:hAnsi="Times New Roman"/>
        </w:rPr>
        <w:t>paktu</w:t>
      </w:r>
      <w:proofErr w:type="spellEnd"/>
      <w:r>
        <w:rPr>
          <w:rFonts w:ascii="Times New Roman" w:hAnsi="Times New Roman"/>
        </w:rPr>
        <w:t xml:space="preserve"> par bēgļiem.</w:t>
      </w:r>
    </w:p>
  </w:footnote>
  <w:footnote w:id="91">
    <w:p w14:paraId="212FE4CB" w14:textId="5AD3720D" w:rsidR="00DC53E2" w:rsidRPr="00160049" w:rsidRDefault="00DC53E2" w:rsidP="002211E6">
      <w:pPr>
        <w:pStyle w:val="FootnoteText"/>
        <w:spacing w:after="0"/>
        <w:ind w:left="284" w:hanging="284"/>
        <w:jc w:val="both"/>
        <w:rPr>
          <w:rFonts w:ascii="Times New Roman" w:hAnsi="Times New Roman"/>
        </w:rPr>
      </w:pPr>
      <w:r>
        <w:rPr>
          <w:rStyle w:val="FootnoteReference"/>
          <w:rFonts w:ascii="Times New Roman" w:hAnsi="Times New Roman"/>
        </w:rPr>
        <w:footnoteRef/>
      </w:r>
      <w:r>
        <w:tab/>
      </w:r>
      <w:hyperlink r:id="rId35" w:history="1">
        <w:r>
          <w:rPr>
            <w:rStyle w:val="Hyperlink"/>
            <w:rFonts w:ascii="Times New Roman" w:hAnsi="Times New Roman"/>
          </w:rPr>
          <w:t>http://unscr.com/en/resolutions/doc/2254</w:t>
        </w:r>
      </w:hyperlink>
      <w:r>
        <w:t>.</w:t>
      </w:r>
      <w:r>
        <w:rPr>
          <w:rFonts w:ascii="Times New Roman" w:hAnsi="Times New Roman"/>
        </w:rPr>
        <w:t xml:space="preserve"> </w:t>
      </w:r>
    </w:p>
  </w:footnote>
  <w:footnote w:id="92">
    <w:p w14:paraId="4569073A" w14:textId="35729623" w:rsidR="00DC53E2" w:rsidRPr="00160049" w:rsidRDefault="00DC53E2" w:rsidP="002211E6">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 xml:space="preserve">Saskaņā ar </w:t>
      </w:r>
      <w:r>
        <w:rPr>
          <w:rFonts w:ascii="Times New Roman" w:hAnsi="Times New Roman"/>
          <w:i/>
        </w:rPr>
        <w:t>UNHCR</w:t>
      </w:r>
      <w:r>
        <w:rPr>
          <w:rFonts w:ascii="Times New Roman" w:hAnsi="Times New Roman"/>
        </w:rPr>
        <w:t xml:space="preserve"> aizsardzības priekšnoteikumiem un parametriem bēgļu atgriešanai Sīrijā.</w:t>
      </w:r>
    </w:p>
  </w:footnote>
  <w:footnote w:id="93">
    <w:p w14:paraId="694720D9" w14:textId="756162B9" w:rsidR="00DC53E2" w:rsidRPr="00160049" w:rsidRDefault="00DC53E2" w:rsidP="002211E6">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Starpvaldību iestāde Āfrikas raga attīstības jautājumos, Visaptveroša reģionālās aizsardzības un risinājumu sistēma Centrālamerikā un Risinājumu stratēģija afgāņu bēgļiem.</w:t>
      </w:r>
    </w:p>
  </w:footnote>
  <w:footnote w:id="94">
    <w:p w14:paraId="68C40A6F" w14:textId="1A90D6B0" w:rsidR="00DC53E2" w:rsidRPr="00160049" w:rsidRDefault="00DC53E2" w:rsidP="002211E6">
      <w:pPr>
        <w:pStyle w:val="FootnoteText"/>
        <w:spacing w:after="0"/>
        <w:ind w:left="284" w:hanging="284"/>
        <w:jc w:val="both"/>
        <w:rPr>
          <w:rFonts w:ascii="Times New Roman" w:hAnsi="Times New Roman"/>
        </w:rPr>
      </w:pPr>
      <w:r>
        <w:rPr>
          <w:rStyle w:val="FootnoteReference"/>
          <w:rFonts w:ascii="Times New Roman" w:hAnsi="Times New Roman"/>
        </w:rPr>
        <w:footnoteRef/>
      </w:r>
      <w:r>
        <w:tab/>
      </w:r>
      <w:hyperlink r:id="rId36" w:history="1">
        <w:r>
          <w:rPr>
            <w:rStyle w:val="Hyperlink"/>
            <w:rFonts w:ascii="Times New Roman" w:hAnsi="Times New Roman"/>
          </w:rPr>
          <w:t>https://ssar-platform.org/support-platform</w:t>
        </w:r>
      </w:hyperlink>
      <w:r>
        <w:t>.</w:t>
      </w:r>
      <w:r>
        <w:rPr>
          <w:rFonts w:ascii="Times New Roman" w:hAnsi="Times New Roman"/>
        </w:rPr>
        <w:t xml:space="preserve"> </w:t>
      </w:r>
    </w:p>
  </w:footnote>
  <w:footnote w:id="95">
    <w:p w14:paraId="43D129DA" w14:textId="412067B5" w:rsidR="00ED4B9A" w:rsidRPr="00160049" w:rsidRDefault="00ED4B9A" w:rsidP="00ED4B9A">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Kopīgs paziņojums “</w:t>
      </w:r>
      <w:proofErr w:type="spellStart"/>
      <w:r>
        <w:rPr>
          <w:rFonts w:ascii="Times New Roman" w:hAnsi="Times New Roman"/>
        </w:rPr>
        <w:t>Global</w:t>
      </w:r>
      <w:proofErr w:type="spellEnd"/>
      <w:r>
        <w:rPr>
          <w:rFonts w:ascii="Times New Roman" w:hAnsi="Times New Roman"/>
        </w:rPr>
        <w:t xml:space="preserve"> </w:t>
      </w:r>
      <w:proofErr w:type="spellStart"/>
      <w:r>
        <w:rPr>
          <w:rFonts w:ascii="Times New Roman" w:hAnsi="Times New Roman"/>
        </w:rPr>
        <w:t>Gateway</w:t>
      </w:r>
      <w:proofErr w:type="spellEnd"/>
      <w:r>
        <w:rPr>
          <w:rFonts w:ascii="Times New Roman" w:hAnsi="Times New Roman"/>
        </w:rPr>
        <w:t>” (JOIN(2021) 30 </w:t>
      </w:r>
      <w:proofErr w:type="spellStart"/>
      <w:r>
        <w:rPr>
          <w:rFonts w:ascii="Times New Roman" w:hAnsi="Times New Roman"/>
        </w:rPr>
        <w:t>final</w:t>
      </w:r>
      <w:proofErr w:type="spellEnd"/>
      <w:r>
        <w:rPr>
          <w:rFonts w:ascii="Times New Roman" w:hAnsi="Times New Roman"/>
        </w:rPr>
        <w:t>, 2021. gada 1. decembris).</w:t>
      </w:r>
    </w:p>
  </w:footnote>
  <w:footnote w:id="96">
    <w:p w14:paraId="4A3F6EC1" w14:textId="35004BC0" w:rsidR="004E3B05" w:rsidRPr="00160049" w:rsidRDefault="004E3B05" w:rsidP="00431A9C">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 xml:space="preserve">Kā piemēru var minēt Ekonomisko un investīciju plānu dienvidu </w:t>
      </w:r>
      <w:proofErr w:type="spellStart"/>
      <w:r>
        <w:rPr>
          <w:rFonts w:ascii="Times New Roman" w:hAnsi="Times New Roman"/>
        </w:rPr>
        <w:t>kaimiņreģioniem</w:t>
      </w:r>
      <w:proofErr w:type="spellEnd"/>
      <w:r>
        <w:rPr>
          <w:rFonts w:ascii="Times New Roman" w:hAnsi="Times New Roman"/>
        </w:rPr>
        <w:t xml:space="preserve"> (skatīt SWD(2021) 23 </w:t>
      </w:r>
      <w:proofErr w:type="spellStart"/>
      <w:r>
        <w:rPr>
          <w:rFonts w:ascii="Times New Roman" w:hAnsi="Times New Roman"/>
        </w:rPr>
        <w:t>final</w:t>
      </w:r>
      <w:proofErr w:type="spellEnd"/>
      <w:r>
        <w:rPr>
          <w:rFonts w:ascii="Times New Roman" w:hAnsi="Times New Roman"/>
        </w:rPr>
        <w:t>, 2021. gada 9. februāris) paziņojuma “Jauna programma Vidusjūras reģionam” plašākā satvarā (skatīt JOIN(2021) 2 </w:t>
      </w:r>
      <w:proofErr w:type="spellStart"/>
      <w:r>
        <w:rPr>
          <w:rFonts w:ascii="Times New Roman" w:hAnsi="Times New Roman"/>
        </w:rPr>
        <w:t>final</w:t>
      </w:r>
      <w:proofErr w:type="spellEnd"/>
      <w:r>
        <w:rPr>
          <w:rFonts w:ascii="Times New Roman" w:hAnsi="Times New Roman"/>
        </w:rPr>
        <w:t xml:space="preserve">, 2021. gada 9. februāris), ES un Āfrikas Savienības </w:t>
      </w:r>
      <w:proofErr w:type="spellStart"/>
      <w:r>
        <w:rPr>
          <w:rFonts w:ascii="Times New Roman" w:hAnsi="Times New Roman"/>
          <w:i/>
        </w:rPr>
        <w:t>Global</w:t>
      </w:r>
      <w:proofErr w:type="spellEnd"/>
      <w:r>
        <w:rPr>
          <w:rFonts w:ascii="Times New Roman" w:hAnsi="Times New Roman"/>
          <w:i/>
        </w:rPr>
        <w:t xml:space="preserve"> </w:t>
      </w:r>
      <w:proofErr w:type="spellStart"/>
      <w:r>
        <w:rPr>
          <w:rFonts w:ascii="Times New Roman" w:hAnsi="Times New Roman"/>
          <w:i/>
        </w:rPr>
        <w:t>Gateway</w:t>
      </w:r>
      <w:proofErr w:type="spellEnd"/>
      <w:r>
        <w:rPr>
          <w:rFonts w:ascii="Times New Roman" w:hAnsi="Times New Roman"/>
        </w:rPr>
        <w:t xml:space="preserve"> investīciju paketi un topošo ES un Latīņamerikas un Karību jūras reģiona </w:t>
      </w:r>
      <w:proofErr w:type="spellStart"/>
      <w:r>
        <w:rPr>
          <w:rFonts w:ascii="Times New Roman" w:hAnsi="Times New Roman"/>
          <w:i/>
        </w:rPr>
        <w:t>Global</w:t>
      </w:r>
      <w:proofErr w:type="spellEnd"/>
      <w:r>
        <w:rPr>
          <w:rFonts w:ascii="Times New Roman" w:hAnsi="Times New Roman"/>
          <w:i/>
        </w:rPr>
        <w:t xml:space="preserve"> </w:t>
      </w:r>
      <w:proofErr w:type="spellStart"/>
      <w:r>
        <w:rPr>
          <w:rFonts w:ascii="Times New Roman" w:hAnsi="Times New Roman"/>
          <w:i/>
        </w:rPr>
        <w:t>Gateway</w:t>
      </w:r>
      <w:proofErr w:type="spellEnd"/>
      <w:r>
        <w:rPr>
          <w:rFonts w:ascii="Times New Roman" w:hAnsi="Times New Roman"/>
        </w:rPr>
        <w:t xml:space="preserve"> investīciju paketi.</w:t>
      </w:r>
    </w:p>
  </w:footnote>
  <w:footnote w:id="97">
    <w:p w14:paraId="7E88C4CA" w14:textId="265500F8" w:rsidR="00DC53E2" w:rsidRPr="00160049" w:rsidRDefault="00DC53E2" w:rsidP="00620FA6">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 xml:space="preserve">Saskaņā ar šiem nolīgumiem </w:t>
      </w:r>
      <w:proofErr w:type="spellStart"/>
      <w:r>
        <w:rPr>
          <w:rFonts w:ascii="Times New Roman" w:hAnsi="Times New Roman"/>
          <w:i/>
        </w:rPr>
        <w:t>Frontex</w:t>
      </w:r>
      <w:proofErr w:type="spellEnd"/>
      <w:r>
        <w:rPr>
          <w:rFonts w:ascii="Times New Roman" w:hAnsi="Times New Roman"/>
        </w:rPr>
        <w:t xml:space="preserve"> ir izpildvaras pilnvaras, taču tā darbojas partnervalstu iestāžu vadībā.</w:t>
      </w:r>
    </w:p>
  </w:footnote>
  <w:footnote w:id="98">
    <w:p w14:paraId="5FF2820D" w14:textId="639665A7" w:rsidR="00DC53E2" w:rsidRPr="00160049" w:rsidRDefault="00DC53E2" w:rsidP="00620FA6">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 xml:space="preserve">2022. gada 29. jūlijā Padome pieņēma Padomes Lēmumu (ES) 2022/1350, ar ko pilnvaro sākt sarunas par statusa nolīgumu par operacionālām darbībām, ko </w:t>
      </w:r>
      <w:proofErr w:type="spellStart"/>
      <w:r>
        <w:rPr>
          <w:rFonts w:ascii="Times New Roman" w:hAnsi="Times New Roman"/>
        </w:rPr>
        <w:t>Ziemeļmaķedonijā</w:t>
      </w:r>
      <w:proofErr w:type="spellEnd"/>
      <w:r>
        <w:rPr>
          <w:rFonts w:ascii="Times New Roman" w:hAnsi="Times New Roman"/>
        </w:rPr>
        <w:t xml:space="preserve"> veic </w:t>
      </w:r>
      <w:proofErr w:type="spellStart"/>
      <w:r>
        <w:rPr>
          <w:rFonts w:ascii="Times New Roman" w:hAnsi="Times New Roman"/>
          <w:i/>
        </w:rPr>
        <w:t>Frontex</w:t>
      </w:r>
      <w:proofErr w:type="spellEnd"/>
      <w:r>
        <w:rPr>
          <w:rFonts w:ascii="Times New Roman" w:hAnsi="Times New Roman"/>
        </w:rPr>
        <w:t>.</w:t>
      </w:r>
    </w:p>
  </w:footnote>
  <w:footnote w:id="99">
    <w:p w14:paraId="7574128C" w14:textId="78049565" w:rsidR="00DC53E2" w:rsidRDefault="00DC53E2" w:rsidP="00620FA6">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 xml:space="preserve">Padomes Lēmums (ES) 2022/1169 (2022. gada 4. jūlijs), ar ko pilnvaro sākt sarunas par statusa nolīgumu ar Senegālas Republiku, un Padomes Lēmums (ES) 2022/1168 (2022. gada 4. jūlijs), ar ko pilnvaro sākt sarunas par statusa nolīgumu ar Mauritānijas Islāma Republiku. </w:t>
      </w:r>
    </w:p>
    <w:p w14:paraId="62E44338" w14:textId="798814C7" w:rsidR="00DC4169" w:rsidRPr="00160049" w:rsidRDefault="00DC4169" w:rsidP="00DC4169">
      <w:pPr>
        <w:pStyle w:val="FootnoteText"/>
        <w:spacing w:after="0"/>
        <w:ind w:left="284" w:hanging="284"/>
        <w:jc w:val="both"/>
        <w:rPr>
          <w:rFonts w:ascii="Times New Roman" w:hAnsi="Times New Roman"/>
        </w:rPr>
      </w:pPr>
      <w:r>
        <w:rPr>
          <w:rFonts w:ascii="Times New Roman" w:hAnsi="Times New Roman"/>
        </w:rPr>
        <w:t xml:space="preserve">* </w:t>
      </w:r>
      <w:r>
        <w:tab/>
      </w:r>
      <w:r>
        <w:rPr>
          <w:rFonts w:ascii="Times New Roman" w:hAnsi="Times New Roman"/>
        </w:rPr>
        <w:t>Šis nosaukums neskar nostājas par statusu un atbilst ANO DP Rezolūcijai 1244/1999 un Starptautiskās Tiesas atzinumam par Kosovas neatkarības deklarāciju.</w:t>
      </w:r>
    </w:p>
  </w:footnote>
  <w:footnote w:id="100">
    <w:p w14:paraId="00F87F4C" w14:textId="1E133CDD" w:rsidR="00665355" w:rsidRPr="00160049" w:rsidRDefault="00665355" w:rsidP="00E6593C">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Priekšlikumi Padomes īstenošanas lēmumiem attiecībā uz Bangladešu (COM(2021) 412 </w:t>
      </w:r>
      <w:proofErr w:type="spellStart"/>
      <w:r>
        <w:rPr>
          <w:rFonts w:ascii="Times New Roman" w:hAnsi="Times New Roman"/>
        </w:rPr>
        <w:t>final</w:t>
      </w:r>
      <w:proofErr w:type="spellEnd"/>
      <w:r>
        <w:rPr>
          <w:rFonts w:ascii="Times New Roman" w:hAnsi="Times New Roman"/>
        </w:rPr>
        <w:t>, 2021. gada 15. jūlijs), Gambiju (COM(2021) 413 </w:t>
      </w:r>
      <w:proofErr w:type="spellStart"/>
      <w:r>
        <w:rPr>
          <w:rFonts w:ascii="Times New Roman" w:hAnsi="Times New Roman"/>
        </w:rPr>
        <w:t>final</w:t>
      </w:r>
      <w:proofErr w:type="spellEnd"/>
      <w:r>
        <w:rPr>
          <w:rFonts w:ascii="Times New Roman" w:hAnsi="Times New Roman"/>
        </w:rPr>
        <w:t>, 2021. gada 15. jūlijs) un Irāku (COM(2021) 414 </w:t>
      </w:r>
      <w:proofErr w:type="spellStart"/>
      <w:r>
        <w:rPr>
          <w:rFonts w:ascii="Times New Roman" w:hAnsi="Times New Roman"/>
        </w:rPr>
        <w:t>final</w:t>
      </w:r>
      <w:proofErr w:type="spellEnd"/>
      <w:r>
        <w:rPr>
          <w:rFonts w:ascii="Times New Roman" w:hAnsi="Times New Roman"/>
        </w:rPr>
        <w:t>, 2021. gada 15. jūlijs).</w:t>
      </w:r>
    </w:p>
  </w:footnote>
  <w:footnote w:id="101">
    <w:p w14:paraId="34187C14" w14:textId="3354540C" w:rsidR="007D2CC3" w:rsidRPr="0003656D" w:rsidRDefault="007D2CC3" w:rsidP="007D2CC3">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 xml:space="preserve">Priekšlikums, ar ko izveido to trešo valstu sarakstu, kuru </w:t>
      </w:r>
      <w:proofErr w:type="spellStart"/>
      <w:r>
        <w:rPr>
          <w:rFonts w:ascii="Times New Roman" w:hAnsi="Times New Roman"/>
        </w:rPr>
        <w:t>valstspiederīgajiem</w:t>
      </w:r>
      <w:proofErr w:type="spellEnd"/>
      <w:r>
        <w:rPr>
          <w:rFonts w:ascii="Times New Roman" w:hAnsi="Times New Roman"/>
        </w:rPr>
        <w:t xml:space="preserve">, šķērsojot dalībvalstu ārējās robežas, ir jābūt vīzām, kā arī to trešo valstu sarakstu, uz kuru </w:t>
      </w:r>
      <w:proofErr w:type="spellStart"/>
      <w:r>
        <w:rPr>
          <w:rFonts w:ascii="Times New Roman" w:hAnsi="Times New Roman"/>
        </w:rPr>
        <w:t>valstspiederīgajiem</w:t>
      </w:r>
      <w:proofErr w:type="spellEnd"/>
      <w:r>
        <w:rPr>
          <w:rFonts w:ascii="Times New Roman" w:hAnsi="Times New Roman"/>
        </w:rPr>
        <w:t xml:space="preserve"> minētā prasība neattiecas (Kuveita, Katara) (COM/2022/189, 2022. gada 27. aprīlis). </w:t>
      </w:r>
    </w:p>
  </w:footnote>
  <w:footnote w:id="102">
    <w:p w14:paraId="2A5CD05A" w14:textId="36C0102F" w:rsidR="007D2CC3" w:rsidRPr="0003656D" w:rsidRDefault="007D2CC3" w:rsidP="007D2CC3">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Pielikumi ziņojumam “Jaunākā informācija par to, kā Kosova* īsteno atlikušos vīzu režīma liberalizācijas ceļveža kritērijus” (COM(2018) 543, 2018. gada 18. jūlijs).</w:t>
      </w:r>
    </w:p>
  </w:footnote>
  <w:footnote w:id="103">
    <w:p w14:paraId="35FAF2DE" w14:textId="392A9A43" w:rsidR="00B34ACD" w:rsidRPr="0003656D" w:rsidRDefault="00B34ACD" w:rsidP="00B34ACD">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Padomes Lēmums (ES) 2022/366 (2022. gada 3. marts) par to, lai daļēji apturētu Nolīguma starp Eiropas Savienību un Vanuatu Republiku par īstermiņa uzturēšanās vīzu režīma atcelšanu piemērošanu.</w:t>
      </w:r>
    </w:p>
  </w:footnote>
  <w:footnote w:id="104">
    <w:p w14:paraId="58383297" w14:textId="05EA8D8B" w:rsidR="000A6D0D" w:rsidRPr="0003656D" w:rsidRDefault="000A6D0D" w:rsidP="000A6D0D">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Paziņojums “Atjaunotais ES rīcības plāns cīņai pret migrantu kontrabandu 2021.–2025. gadam” (COM(2021) 591 </w:t>
      </w:r>
      <w:proofErr w:type="spellStart"/>
      <w:r>
        <w:rPr>
          <w:rFonts w:ascii="Times New Roman" w:hAnsi="Times New Roman"/>
        </w:rPr>
        <w:t>final</w:t>
      </w:r>
      <w:proofErr w:type="spellEnd"/>
      <w:r>
        <w:rPr>
          <w:rFonts w:ascii="Times New Roman" w:hAnsi="Times New Roman"/>
        </w:rPr>
        <w:t>, 2021. gada 29. septembris).</w:t>
      </w:r>
    </w:p>
  </w:footnote>
  <w:footnote w:id="105">
    <w:p w14:paraId="7EF9BC98" w14:textId="6BD00E82" w:rsidR="00DC53E2" w:rsidRPr="00160049" w:rsidRDefault="00DC53E2" w:rsidP="00E6593C">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Projekts “Ceļā uz visaptverošu pieeju darbaspēka migrācijas pārvaldībai un darbaspēka mobilitātei Ziemeļāfrikā (</w:t>
      </w:r>
      <w:r>
        <w:rPr>
          <w:rFonts w:ascii="Times New Roman" w:hAnsi="Times New Roman"/>
          <w:i/>
        </w:rPr>
        <w:t>THAMM III</w:t>
      </w:r>
      <w:r>
        <w:rPr>
          <w:rFonts w:ascii="Times New Roman" w:hAnsi="Times New Roman"/>
        </w:rPr>
        <w:t>)”.</w:t>
      </w:r>
    </w:p>
  </w:footnote>
  <w:footnote w:id="106">
    <w:p w14:paraId="4DC5148B" w14:textId="041C7370" w:rsidR="00DC53E2" w:rsidRPr="008C4367" w:rsidRDefault="00DC53E2" w:rsidP="0042547C">
      <w:pPr>
        <w:pStyle w:val="FootnoteText"/>
        <w:spacing w:after="0"/>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Skatīt 2. pielikumu.</w:t>
      </w:r>
    </w:p>
  </w:footnote>
  <w:footnote w:id="107">
    <w:p w14:paraId="1CB2061E" w14:textId="06A1CA3F" w:rsidR="00DC53E2" w:rsidRPr="00160049" w:rsidRDefault="00DC53E2" w:rsidP="0042547C">
      <w:pPr>
        <w:pStyle w:val="FootnoteText"/>
        <w:spacing w:after="0"/>
        <w:ind w:left="284" w:hanging="284"/>
        <w:jc w:val="both"/>
        <w:rPr>
          <w:rFonts w:ascii="Times New Roman" w:hAnsi="Times New Roman"/>
        </w:rPr>
      </w:pPr>
      <w:r>
        <w:rPr>
          <w:rStyle w:val="FootnoteReference"/>
          <w:rFonts w:ascii="Times New Roman" w:hAnsi="Times New Roman"/>
        </w:rPr>
        <w:footnoteRef/>
      </w:r>
      <w:r>
        <w:tab/>
      </w:r>
      <w:hyperlink r:id="rId37" w:history="1">
        <w:r>
          <w:rPr>
            <w:rStyle w:val="Hyperlink"/>
            <w:rFonts w:ascii="Times New Roman" w:hAnsi="Times New Roman"/>
          </w:rPr>
          <w:t>2425-06-21-euco-conclusions-en.pdf (europa.eu)</w:t>
        </w:r>
      </w:hyperlink>
      <w:r>
        <w:t>.</w:t>
      </w:r>
    </w:p>
  </w:footnote>
  <w:footnote w:id="108">
    <w:p w14:paraId="74A17CC5" w14:textId="5E3B0BF3" w:rsidR="00DC53E2" w:rsidRPr="00160049" w:rsidRDefault="00DC53E2" w:rsidP="0042547C">
      <w:pPr>
        <w:pStyle w:val="FootnoteText"/>
        <w:spacing w:after="0"/>
        <w:ind w:left="284" w:hanging="284"/>
        <w:jc w:val="both"/>
        <w:rPr>
          <w:rFonts w:ascii="Times New Roman" w:hAnsi="Times New Roman"/>
        </w:rPr>
      </w:pPr>
      <w:r>
        <w:rPr>
          <w:rStyle w:val="FootnoteReference"/>
          <w:rFonts w:ascii="Times New Roman" w:hAnsi="Times New Roman"/>
        </w:rPr>
        <w:footnoteRef/>
      </w:r>
      <w:r>
        <w:tab/>
      </w:r>
      <w:hyperlink r:id="rId38" w:anchor="modāls" w:history="1">
        <w:r>
          <w:rPr>
            <w:rFonts w:ascii="Times New Roman" w:hAnsi="Times New Roman"/>
          </w:rPr>
          <w:t xml:space="preserve">Kopīgais </w:t>
        </w:r>
        <w:proofErr w:type="spellStart"/>
        <w:r>
          <w:rPr>
            <w:rFonts w:ascii="Times New Roman" w:hAnsi="Times New Roman"/>
          </w:rPr>
          <w:t>Valletas</w:t>
        </w:r>
        <w:proofErr w:type="spellEnd"/>
        <w:r>
          <w:rPr>
            <w:rFonts w:ascii="Times New Roman" w:hAnsi="Times New Roman"/>
          </w:rPr>
          <w:t xml:space="preserve"> rīcības plāns (</w:t>
        </w:r>
        <w:r>
          <w:rPr>
            <w:rFonts w:ascii="Times New Roman" w:hAnsi="Times New Roman"/>
            <w:i/>
          </w:rPr>
          <w:t>JVAP</w:t>
        </w:r>
        <w:r>
          <w:rPr>
            <w:rFonts w:ascii="Times New Roman" w:hAnsi="Times New Roman"/>
          </w:rPr>
          <w:t>) (europa.eu)</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E52F" w14:textId="77777777" w:rsidR="00BF1BBA" w:rsidRPr="00BF1BBA" w:rsidRDefault="00BF1BBA" w:rsidP="00BF1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B8F01" w14:textId="77777777" w:rsidR="00BF1BBA" w:rsidRPr="00BF1BBA" w:rsidRDefault="00BF1BBA" w:rsidP="00BF1BB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2FD5E" w14:textId="77777777" w:rsidR="00BF1BBA" w:rsidRPr="00BF1BBA" w:rsidRDefault="00BF1BBA" w:rsidP="00BF1BB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60D1" w14:textId="77777777" w:rsidR="00A41928" w:rsidRDefault="00BF1B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3122C" w14:textId="77777777" w:rsidR="002C4618" w:rsidRDefault="002C46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82070" w14:textId="60BA2D09" w:rsidR="00A41928" w:rsidRPr="00C90387" w:rsidRDefault="00BF1BBA" w:rsidP="004B0190">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30F0"/>
    <w:multiLevelType w:val="hybridMultilevel"/>
    <w:tmpl w:val="02A2762A"/>
    <w:lvl w:ilvl="0" w:tplc="080C000F">
      <w:start w:val="1"/>
      <w:numFmt w:val="decimal"/>
      <w:lvlText w:val="%1."/>
      <w:lvlJc w:val="left"/>
      <w:pPr>
        <w:ind w:left="501" w:hanging="360"/>
      </w:pPr>
      <w:rPr>
        <w:rFonts w:hint="default"/>
      </w:rPr>
    </w:lvl>
    <w:lvl w:ilvl="1" w:tplc="080C0003" w:tentative="1">
      <w:start w:val="1"/>
      <w:numFmt w:val="bullet"/>
      <w:lvlText w:val="o"/>
      <w:lvlJc w:val="left"/>
      <w:pPr>
        <w:ind w:left="1221" w:hanging="360"/>
      </w:pPr>
      <w:rPr>
        <w:rFonts w:ascii="Courier New" w:hAnsi="Courier New" w:cs="Courier New" w:hint="default"/>
      </w:rPr>
    </w:lvl>
    <w:lvl w:ilvl="2" w:tplc="080C0005" w:tentative="1">
      <w:start w:val="1"/>
      <w:numFmt w:val="bullet"/>
      <w:lvlText w:val=""/>
      <w:lvlJc w:val="left"/>
      <w:pPr>
        <w:ind w:left="1941" w:hanging="360"/>
      </w:pPr>
      <w:rPr>
        <w:rFonts w:ascii="Wingdings" w:hAnsi="Wingdings" w:hint="default"/>
      </w:rPr>
    </w:lvl>
    <w:lvl w:ilvl="3" w:tplc="080C0001" w:tentative="1">
      <w:start w:val="1"/>
      <w:numFmt w:val="bullet"/>
      <w:lvlText w:val=""/>
      <w:lvlJc w:val="left"/>
      <w:pPr>
        <w:ind w:left="2661" w:hanging="360"/>
      </w:pPr>
      <w:rPr>
        <w:rFonts w:ascii="Symbol" w:hAnsi="Symbol" w:hint="default"/>
      </w:rPr>
    </w:lvl>
    <w:lvl w:ilvl="4" w:tplc="080C0003" w:tentative="1">
      <w:start w:val="1"/>
      <w:numFmt w:val="bullet"/>
      <w:lvlText w:val="o"/>
      <w:lvlJc w:val="left"/>
      <w:pPr>
        <w:ind w:left="3381" w:hanging="360"/>
      </w:pPr>
      <w:rPr>
        <w:rFonts w:ascii="Courier New" w:hAnsi="Courier New" w:cs="Courier New" w:hint="default"/>
      </w:rPr>
    </w:lvl>
    <w:lvl w:ilvl="5" w:tplc="080C0005" w:tentative="1">
      <w:start w:val="1"/>
      <w:numFmt w:val="bullet"/>
      <w:lvlText w:val=""/>
      <w:lvlJc w:val="left"/>
      <w:pPr>
        <w:ind w:left="4101" w:hanging="360"/>
      </w:pPr>
      <w:rPr>
        <w:rFonts w:ascii="Wingdings" w:hAnsi="Wingdings" w:hint="default"/>
      </w:rPr>
    </w:lvl>
    <w:lvl w:ilvl="6" w:tplc="080C0001" w:tentative="1">
      <w:start w:val="1"/>
      <w:numFmt w:val="bullet"/>
      <w:lvlText w:val=""/>
      <w:lvlJc w:val="left"/>
      <w:pPr>
        <w:ind w:left="4821" w:hanging="360"/>
      </w:pPr>
      <w:rPr>
        <w:rFonts w:ascii="Symbol" w:hAnsi="Symbol" w:hint="default"/>
      </w:rPr>
    </w:lvl>
    <w:lvl w:ilvl="7" w:tplc="080C0003" w:tentative="1">
      <w:start w:val="1"/>
      <w:numFmt w:val="bullet"/>
      <w:lvlText w:val="o"/>
      <w:lvlJc w:val="left"/>
      <w:pPr>
        <w:ind w:left="5541" w:hanging="360"/>
      </w:pPr>
      <w:rPr>
        <w:rFonts w:ascii="Courier New" w:hAnsi="Courier New" w:cs="Courier New" w:hint="default"/>
      </w:rPr>
    </w:lvl>
    <w:lvl w:ilvl="8" w:tplc="080C0005" w:tentative="1">
      <w:start w:val="1"/>
      <w:numFmt w:val="bullet"/>
      <w:lvlText w:val=""/>
      <w:lvlJc w:val="left"/>
      <w:pPr>
        <w:ind w:left="6261" w:hanging="360"/>
      </w:pPr>
      <w:rPr>
        <w:rFonts w:ascii="Wingdings" w:hAnsi="Wingdings" w:hint="default"/>
      </w:rPr>
    </w:lvl>
  </w:abstractNum>
  <w:abstractNum w:abstractNumId="1" w15:restartNumberingAfterBreak="0">
    <w:nsid w:val="04EC6FF9"/>
    <w:multiLevelType w:val="hybridMultilevel"/>
    <w:tmpl w:val="2C7289DE"/>
    <w:lvl w:ilvl="0" w:tplc="222C5688">
      <w:start w:val="2021"/>
      <w:numFmt w:val="bullet"/>
      <w:lvlText w:val="-"/>
      <w:lvlJc w:val="left"/>
      <w:pPr>
        <w:ind w:left="1434" w:hanging="360"/>
      </w:pPr>
      <w:rPr>
        <w:rFonts w:ascii="Times New Roman" w:eastAsiaTheme="minorHAnsi" w:hAnsi="Times New Roman" w:cs="Times New Roman"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2" w15:restartNumberingAfterBreak="0">
    <w:nsid w:val="054902DB"/>
    <w:multiLevelType w:val="hybridMultilevel"/>
    <w:tmpl w:val="558411C2"/>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 w15:restartNumberingAfterBreak="0">
    <w:nsid w:val="07C95405"/>
    <w:multiLevelType w:val="multilevel"/>
    <w:tmpl w:val="324E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807C3"/>
    <w:multiLevelType w:val="hybridMultilevel"/>
    <w:tmpl w:val="82160FC2"/>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08E319AF"/>
    <w:multiLevelType w:val="hybridMultilevel"/>
    <w:tmpl w:val="5A028824"/>
    <w:lvl w:ilvl="0" w:tplc="3AA2C6A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A7550F"/>
    <w:multiLevelType w:val="hybridMultilevel"/>
    <w:tmpl w:val="6D724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847A5C"/>
    <w:multiLevelType w:val="hybridMultilevel"/>
    <w:tmpl w:val="F39EB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34306"/>
    <w:multiLevelType w:val="multilevel"/>
    <w:tmpl w:val="AF38784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4200"/>
        </w:tabs>
        <w:ind w:left="4200" w:hanging="720"/>
      </w:pPr>
    </w:lvl>
    <w:lvl w:ilvl="2">
      <w:start w:val="1"/>
      <w:numFmt w:val="decimal"/>
      <w:pStyle w:val="Heading3"/>
      <w:lvlText w:val="%1.%2.%3."/>
      <w:lvlJc w:val="left"/>
      <w:pPr>
        <w:tabs>
          <w:tab w:val="num" w:pos="2138"/>
        </w:tabs>
        <w:ind w:left="2138" w:hanging="720"/>
      </w:pPr>
    </w:lvl>
    <w:lvl w:ilvl="3">
      <w:start w:val="1"/>
      <w:numFmt w:val="decimal"/>
      <w:pStyle w:val="Heading4"/>
      <w:lvlText w:val="%1.%2.%3.%4."/>
      <w:lvlJc w:val="left"/>
      <w:pPr>
        <w:tabs>
          <w:tab w:val="num" w:pos="2422"/>
        </w:tabs>
        <w:ind w:left="2422"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6A4104C"/>
    <w:multiLevelType w:val="hybridMultilevel"/>
    <w:tmpl w:val="D52233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F0759A"/>
    <w:multiLevelType w:val="hybridMultilevel"/>
    <w:tmpl w:val="DDC67C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74E272E"/>
    <w:multiLevelType w:val="hybridMultilevel"/>
    <w:tmpl w:val="8C0E9306"/>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13" w15:restartNumberingAfterBreak="0">
    <w:nsid w:val="28185B12"/>
    <w:multiLevelType w:val="hybridMultilevel"/>
    <w:tmpl w:val="2D429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C23D58"/>
    <w:multiLevelType w:val="hybridMultilevel"/>
    <w:tmpl w:val="AE9C2F4C"/>
    <w:lvl w:ilvl="0" w:tplc="BE5EB706">
      <w:start w:val="1"/>
      <w:numFmt w:val="bullet"/>
      <w:pStyle w:val="Briefinglist2"/>
      <w:lvlText w:val=""/>
      <w:lvlJc w:val="left"/>
      <w:pPr>
        <w:tabs>
          <w:tab w:val="num" w:pos="1724"/>
        </w:tabs>
        <w:ind w:left="1724" w:hanging="360"/>
      </w:pPr>
      <w:rPr>
        <w:rFonts w:ascii="Symbol" w:hAnsi="Symbol"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9F2539B"/>
    <w:multiLevelType w:val="hybridMultilevel"/>
    <w:tmpl w:val="2FDECCD4"/>
    <w:lvl w:ilvl="0" w:tplc="04090001">
      <w:start w:val="1"/>
      <w:numFmt w:val="bullet"/>
      <w:lvlText w:val=""/>
      <w:lvlJc w:val="left"/>
      <w:pPr>
        <w:ind w:left="720" w:hanging="360"/>
      </w:pPr>
      <w:rPr>
        <w:rFonts w:ascii="Symbol" w:hAnsi="Symbol" w:hint="default"/>
      </w:rPr>
    </w:lvl>
    <w:lvl w:ilvl="1" w:tplc="64B60478">
      <w:start w:val="4"/>
      <w:numFmt w:val="bullet"/>
      <w:lvlText w:val="-"/>
      <w:lvlJc w:val="left"/>
      <w:pPr>
        <w:ind w:left="1845" w:hanging="765"/>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CF7AB9"/>
    <w:multiLevelType w:val="hybridMultilevel"/>
    <w:tmpl w:val="C8AAD276"/>
    <w:lvl w:ilvl="0" w:tplc="96745024">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7" w15:restartNumberingAfterBreak="0">
    <w:nsid w:val="301022E3"/>
    <w:multiLevelType w:val="hybridMultilevel"/>
    <w:tmpl w:val="1B3632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7E91C94"/>
    <w:multiLevelType w:val="hybridMultilevel"/>
    <w:tmpl w:val="482C450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385D0C7D"/>
    <w:multiLevelType w:val="hybridMultilevel"/>
    <w:tmpl w:val="6CD6E860"/>
    <w:lvl w:ilvl="0" w:tplc="57AA8AEC">
      <w:start w:val="1"/>
      <w:numFmt w:val="decimal"/>
      <w:lvlText w:val="%1."/>
      <w:lvlJc w:val="left"/>
      <w:pPr>
        <w:ind w:left="798" w:hanging="360"/>
      </w:pPr>
      <w:rPr>
        <w:rFonts w:hint="default"/>
        <w:b/>
        <w:i w:val="0"/>
        <w:iCs/>
        <w:color w:val="auto"/>
      </w:rPr>
    </w:lvl>
    <w:lvl w:ilvl="1" w:tplc="080C0019">
      <w:start w:val="1"/>
      <w:numFmt w:val="lowerLetter"/>
      <w:lvlText w:val="%2."/>
      <w:lvlJc w:val="left"/>
      <w:pPr>
        <w:ind w:left="1878" w:hanging="360"/>
      </w:pPr>
    </w:lvl>
    <w:lvl w:ilvl="2" w:tplc="080C001B" w:tentative="1">
      <w:start w:val="1"/>
      <w:numFmt w:val="lowerRoman"/>
      <w:lvlText w:val="%3."/>
      <w:lvlJc w:val="right"/>
      <w:pPr>
        <w:ind w:left="2598" w:hanging="180"/>
      </w:pPr>
    </w:lvl>
    <w:lvl w:ilvl="3" w:tplc="080C000F" w:tentative="1">
      <w:start w:val="1"/>
      <w:numFmt w:val="decimal"/>
      <w:lvlText w:val="%4."/>
      <w:lvlJc w:val="left"/>
      <w:pPr>
        <w:ind w:left="3318" w:hanging="360"/>
      </w:pPr>
    </w:lvl>
    <w:lvl w:ilvl="4" w:tplc="080C0019" w:tentative="1">
      <w:start w:val="1"/>
      <w:numFmt w:val="lowerLetter"/>
      <w:lvlText w:val="%5."/>
      <w:lvlJc w:val="left"/>
      <w:pPr>
        <w:ind w:left="4038" w:hanging="360"/>
      </w:pPr>
    </w:lvl>
    <w:lvl w:ilvl="5" w:tplc="080C001B" w:tentative="1">
      <w:start w:val="1"/>
      <w:numFmt w:val="lowerRoman"/>
      <w:lvlText w:val="%6."/>
      <w:lvlJc w:val="right"/>
      <w:pPr>
        <w:ind w:left="4758" w:hanging="180"/>
      </w:pPr>
    </w:lvl>
    <w:lvl w:ilvl="6" w:tplc="080C000F" w:tentative="1">
      <w:start w:val="1"/>
      <w:numFmt w:val="decimal"/>
      <w:lvlText w:val="%7."/>
      <w:lvlJc w:val="left"/>
      <w:pPr>
        <w:ind w:left="5478" w:hanging="360"/>
      </w:pPr>
    </w:lvl>
    <w:lvl w:ilvl="7" w:tplc="080C0019" w:tentative="1">
      <w:start w:val="1"/>
      <w:numFmt w:val="lowerLetter"/>
      <w:lvlText w:val="%8."/>
      <w:lvlJc w:val="left"/>
      <w:pPr>
        <w:ind w:left="6198" w:hanging="360"/>
      </w:pPr>
    </w:lvl>
    <w:lvl w:ilvl="8" w:tplc="080C001B" w:tentative="1">
      <w:start w:val="1"/>
      <w:numFmt w:val="lowerRoman"/>
      <w:lvlText w:val="%9."/>
      <w:lvlJc w:val="right"/>
      <w:pPr>
        <w:ind w:left="6918" w:hanging="180"/>
      </w:pPr>
    </w:lvl>
  </w:abstractNum>
  <w:abstractNum w:abstractNumId="20" w15:restartNumberingAfterBreak="0">
    <w:nsid w:val="3D5E739B"/>
    <w:multiLevelType w:val="hybridMultilevel"/>
    <w:tmpl w:val="0A2A284A"/>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790" w:hanging="360"/>
      </w:pPr>
      <w:rPr>
        <w:rFonts w:ascii="Courier New" w:hAnsi="Courier New" w:cs="Courier New" w:hint="default"/>
      </w:rPr>
    </w:lvl>
    <w:lvl w:ilvl="2" w:tplc="080C0005">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21" w15:restartNumberingAfterBreak="0">
    <w:nsid w:val="3DB21AA7"/>
    <w:multiLevelType w:val="hybridMultilevel"/>
    <w:tmpl w:val="DA1E7284"/>
    <w:lvl w:ilvl="0" w:tplc="FC224A24">
      <w:start w:val="5"/>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16575D1"/>
    <w:multiLevelType w:val="multilevel"/>
    <w:tmpl w:val="22F4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0467EE"/>
    <w:multiLevelType w:val="hybridMultilevel"/>
    <w:tmpl w:val="69DA5282"/>
    <w:lvl w:ilvl="0" w:tplc="B866A15A">
      <w:start w:val="1"/>
      <w:numFmt w:val="bullet"/>
      <w:lvlText w:val=""/>
      <w:lvlJc w:val="left"/>
      <w:pPr>
        <w:ind w:left="360" w:hanging="360"/>
      </w:pPr>
      <w:rPr>
        <w:rFonts w:ascii="Wingdings" w:hAnsi="Wingdings" w:hint="default"/>
        <w:color w:val="auto"/>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43392C78"/>
    <w:multiLevelType w:val="multilevel"/>
    <w:tmpl w:val="62E8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2570C3"/>
    <w:multiLevelType w:val="hybridMultilevel"/>
    <w:tmpl w:val="5F5002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65D172F"/>
    <w:multiLevelType w:val="multilevel"/>
    <w:tmpl w:val="465D172F"/>
    <w:lvl w:ilvl="0">
      <w:start w:val="1"/>
      <w:numFmt w:val="decimal"/>
      <w:pStyle w:val="ListNumber1"/>
      <w:lvlText w:val="(%1)"/>
      <w:lvlJc w:val="left"/>
      <w:pPr>
        <w:tabs>
          <w:tab w:val="left" w:pos="1135"/>
        </w:tabs>
        <w:ind w:left="1135" w:hanging="709"/>
      </w:pPr>
    </w:lvl>
    <w:lvl w:ilvl="1">
      <w:start w:val="1"/>
      <w:numFmt w:val="lowerLetter"/>
      <w:pStyle w:val="ListNumber1Level2"/>
      <w:lvlText w:val="(%2)"/>
      <w:lvlJc w:val="left"/>
      <w:pPr>
        <w:tabs>
          <w:tab w:val="left" w:pos="1843"/>
        </w:tabs>
        <w:ind w:left="1843" w:hanging="708"/>
      </w:pPr>
    </w:lvl>
    <w:lvl w:ilvl="2">
      <w:start w:val="1"/>
      <w:numFmt w:val="bullet"/>
      <w:pStyle w:val="ListNumber1Level3"/>
      <w:lvlText w:val="–"/>
      <w:lvlJc w:val="left"/>
      <w:pPr>
        <w:tabs>
          <w:tab w:val="left" w:pos="2552"/>
        </w:tabs>
        <w:ind w:left="2552" w:hanging="709"/>
      </w:pPr>
      <w:rPr>
        <w:rFonts w:ascii="Times New Roman" w:hAnsi="Times New Roman"/>
      </w:rPr>
    </w:lvl>
    <w:lvl w:ilvl="3">
      <w:start w:val="1"/>
      <w:numFmt w:val="bullet"/>
      <w:pStyle w:val="ListNumber1Level4"/>
      <w:lvlText w:val=""/>
      <w:lvlJc w:val="left"/>
      <w:pPr>
        <w:tabs>
          <w:tab w:val="left" w:pos="3261"/>
        </w:tabs>
        <w:ind w:left="3261" w:hanging="709"/>
      </w:pPr>
      <w:rPr>
        <w:rFonts w:ascii="Symbol" w:hAnsi="Symbol"/>
      </w:rPr>
    </w:lvl>
    <w:lvl w:ilvl="4">
      <w:start w:val="1"/>
      <w:numFmt w:val="lowerLetter"/>
      <w:lvlText w:val="(%5)"/>
      <w:lvlJc w:val="left"/>
      <w:pPr>
        <w:tabs>
          <w:tab w:val="left" w:pos="1744"/>
        </w:tabs>
        <w:ind w:left="1744" w:hanging="360"/>
      </w:pPr>
    </w:lvl>
    <w:lvl w:ilvl="5">
      <w:start w:val="1"/>
      <w:numFmt w:val="lowerRoman"/>
      <w:lvlText w:val="(%6)"/>
      <w:lvlJc w:val="left"/>
      <w:pPr>
        <w:tabs>
          <w:tab w:val="left" w:pos="2104"/>
        </w:tabs>
        <w:ind w:left="2104" w:hanging="360"/>
      </w:pPr>
    </w:lvl>
    <w:lvl w:ilvl="6">
      <w:start w:val="1"/>
      <w:numFmt w:val="decimal"/>
      <w:lvlText w:val="%7."/>
      <w:lvlJc w:val="left"/>
      <w:pPr>
        <w:tabs>
          <w:tab w:val="left" w:pos="2464"/>
        </w:tabs>
        <w:ind w:left="2464" w:hanging="360"/>
      </w:pPr>
    </w:lvl>
    <w:lvl w:ilvl="7">
      <w:start w:val="1"/>
      <w:numFmt w:val="lowerLetter"/>
      <w:lvlText w:val="%8."/>
      <w:lvlJc w:val="left"/>
      <w:pPr>
        <w:tabs>
          <w:tab w:val="left" w:pos="2824"/>
        </w:tabs>
        <w:ind w:left="2824" w:hanging="360"/>
      </w:pPr>
    </w:lvl>
    <w:lvl w:ilvl="8">
      <w:start w:val="1"/>
      <w:numFmt w:val="lowerRoman"/>
      <w:lvlText w:val="%9."/>
      <w:lvlJc w:val="left"/>
      <w:pPr>
        <w:tabs>
          <w:tab w:val="left" w:pos="3184"/>
        </w:tabs>
        <w:ind w:left="3184" w:hanging="360"/>
      </w:pPr>
    </w:lvl>
  </w:abstractNum>
  <w:abstractNum w:abstractNumId="27" w15:restartNumberingAfterBreak="0">
    <w:nsid w:val="4B815EE3"/>
    <w:multiLevelType w:val="hybridMultilevel"/>
    <w:tmpl w:val="DF4C07A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E0671A8"/>
    <w:multiLevelType w:val="hybridMultilevel"/>
    <w:tmpl w:val="59F230FC"/>
    <w:lvl w:ilvl="0" w:tplc="D56C1372">
      <w:numFmt w:val="bullet"/>
      <w:lvlText w:val="-"/>
      <w:lvlJc w:val="left"/>
      <w:pPr>
        <w:ind w:left="1794" w:hanging="360"/>
      </w:pPr>
      <w:rPr>
        <w:rFonts w:ascii="Times New Roman" w:eastAsiaTheme="minorHAnsi" w:hAnsi="Times New Roman" w:cs="Times New Roman" w:hint="default"/>
      </w:rPr>
    </w:lvl>
    <w:lvl w:ilvl="1" w:tplc="04090003" w:tentative="1">
      <w:start w:val="1"/>
      <w:numFmt w:val="bullet"/>
      <w:lvlText w:val="o"/>
      <w:lvlJc w:val="left"/>
      <w:pPr>
        <w:ind w:left="2514" w:hanging="360"/>
      </w:pPr>
      <w:rPr>
        <w:rFonts w:ascii="Courier New" w:hAnsi="Courier New" w:cs="Courier New" w:hint="default"/>
      </w:rPr>
    </w:lvl>
    <w:lvl w:ilvl="2" w:tplc="04090005" w:tentative="1">
      <w:start w:val="1"/>
      <w:numFmt w:val="bullet"/>
      <w:lvlText w:val=""/>
      <w:lvlJc w:val="left"/>
      <w:pPr>
        <w:ind w:left="3234" w:hanging="360"/>
      </w:pPr>
      <w:rPr>
        <w:rFonts w:ascii="Wingdings" w:hAnsi="Wingdings" w:hint="default"/>
      </w:rPr>
    </w:lvl>
    <w:lvl w:ilvl="3" w:tplc="04090001" w:tentative="1">
      <w:start w:val="1"/>
      <w:numFmt w:val="bullet"/>
      <w:lvlText w:val=""/>
      <w:lvlJc w:val="left"/>
      <w:pPr>
        <w:ind w:left="3954" w:hanging="360"/>
      </w:pPr>
      <w:rPr>
        <w:rFonts w:ascii="Symbol" w:hAnsi="Symbol" w:hint="default"/>
      </w:rPr>
    </w:lvl>
    <w:lvl w:ilvl="4" w:tplc="04090003" w:tentative="1">
      <w:start w:val="1"/>
      <w:numFmt w:val="bullet"/>
      <w:lvlText w:val="o"/>
      <w:lvlJc w:val="left"/>
      <w:pPr>
        <w:ind w:left="4674" w:hanging="360"/>
      </w:pPr>
      <w:rPr>
        <w:rFonts w:ascii="Courier New" w:hAnsi="Courier New" w:cs="Courier New" w:hint="default"/>
      </w:rPr>
    </w:lvl>
    <w:lvl w:ilvl="5" w:tplc="04090005" w:tentative="1">
      <w:start w:val="1"/>
      <w:numFmt w:val="bullet"/>
      <w:lvlText w:val=""/>
      <w:lvlJc w:val="left"/>
      <w:pPr>
        <w:ind w:left="5394" w:hanging="360"/>
      </w:pPr>
      <w:rPr>
        <w:rFonts w:ascii="Wingdings" w:hAnsi="Wingdings" w:hint="default"/>
      </w:rPr>
    </w:lvl>
    <w:lvl w:ilvl="6" w:tplc="04090001" w:tentative="1">
      <w:start w:val="1"/>
      <w:numFmt w:val="bullet"/>
      <w:lvlText w:val=""/>
      <w:lvlJc w:val="left"/>
      <w:pPr>
        <w:ind w:left="6114" w:hanging="360"/>
      </w:pPr>
      <w:rPr>
        <w:rFonts w:ascii="Symbol" w:hAnsi="Symbol" w:hint="default"/>
      </w:rPr>
    </w:lvl>
    <w:lvl w:ilvl="7" w:tplc="04090003" w:tentative="1">
      <w:start w:val="1"/>
      <w:numFmt w:val="bullet"/>
      <w:lvlText w:val="o"/>
      <w:lvlJc w:val="left"/>
      <w:pPr>
        <w:ind w:left="6834" w:hanging="360"/>
      </w:pPr>
      <w:rPr>
        <w:rFonts w:ascii="Courier New" w:hAnsi="Courier New" w:cs="Courier New" w:hint="default"/>
      </w:rPr>
    </w:lvl>
    <w:lvl w:ilvl="8" w:tplc="04090005" w:tentative="1">
      <w:start w:val="1"/>
      <w:numFmt w:val="bullet"/>
      <w:lvlText w:val=""/>
      <w:lvlJc w:val="left"/>
      <w:pPr>
        <w:ind w:left="7554" w:hanging="360"/>
      </w:pPr>
      <w:rPr>
        <w:rFonts w:ascii="Wingdings" w:hAnsi="Wingdings" w:hint="default"/>
      </w:rPr>
    </w:lvl>
  </w:abstractNum>
  <w:abstractNum w:abstractNumId="29" w15:restartNumberingAfterBreak="0">
    <w:nsid w:val="51446225"/>
    <w:multiLevelType w:val="hybridMultilevel"/>
    <w:tmpl w:val="C292FA5C"/>
    <w:lvl w:ilvl="0" w:tplc="288CC852">
      <w:start w:val="1"/>
      <w:numFmt w:val="bullet"/>
      <w:lvlText w:val="-"/>
      <w:lvlJc w:val="left"/>
      <w:pPr>
        <w:ind w:left="720" w:hanging="360"/>
      </w:pPr>
      <w:rPr>
        <w:rFonts w:ascii="Calibri" w:hAnsi="Calibri" w:hint="default"/>
      </w:rPr>
    </w:lvl>
    <w:lvl w:ilvl="1" w:tplc="8A1E2B1C">
      <w:start w:val="1"/>
      <w:numFmt w:val="bullet"/>
      <w:lvlText w:val="o"/>
      <w:lvlJc w:val="left"/>
      <w:pPr>
        <w:ind w:left="1440" w:hanging="360"/>
      </w:pPr>
      <w:rPr>
        <w:rFonts w:ascii="Courier New" w:hAnsi="Courier New" w:hint="default"/>
      </w:rPr>
    </w:lvl>
    <w:lvl w:ilvl="2" w:tplc="26782D60">
      <w:start w:val="1"/>
      <w:numFmt w:val="bullet"/>
      <w:lvlText w:val=""/>
      <w:lvlJc w:val="left"/>
      <w:pPr>
        <w:ind w:left="2160" w:hanging="360"/>
      </w:pPr>
      <w:rPr>
        <w:rFonts w:ascii="Wingdings" w:hAnsi="Wingdings" w:hint="default"/>
      </w:rPr>
    </w:lvl>
    <w:lvl w:ilvl="3" w:tplc="435EC0F4">
      <w:start w:val="1"/>
      <w:numFmt w:val="bullet"/>
      <w:lvlText w:val=""/>
      <w:lvlJc w:val="left"/>
      <w:pPr>
        <w:ind w:left="2880" w:hanging="360"/>
      </w:pPr>
      <w:rPr>
        <w:rFonts w:ascii="Symbol" w:hAnsi="Symbol" w:hint="default"/>
      </w:rPr>
    </w:lvl>
    <w:lvl w:ilvl="4" w:tplc="055ABFAA">
      <w:start w:val="1"/>
      <w:numFmt w:val="bullet"/>
      <w:lvlText w:val="o"/>
      <w:lvlJc w:val="left"/>
      <w:pPr>
        <w:ind w:left="3600" w:hanging="360"/>
      </w:pPr>
      <w:rPr>
        <w:rFonts w:ascii="Courier New" w:hAnsi="Courier New" w:hint="default"/>
      </w:rPr>
    </w:lvl>
    <w:lvl w:ilvl="5" w:tplc="92462C58">
      <w:start w:val="1"/>
      <w:numFmt w:val="bullet"/>
      <w:lvlText w:val=""/>
      <w:lvlJc w:val="left"/>
      <w:pPr>
        <w:ind w:left="4320" w:hanging="360"/>
      </w:pPr>
      <w:rPr>
        <w:rFonts w:ascii="Wingdings" w:hAnsi="Wingdings" w:hint="default"/>
      </w:rPr>
    </w:lvl>
    <w:lvl w:ilvl="6" w:tplc="8E5AB9E0">
      <w:start w:val="1"/>
      <w:numFmt w:val="bullet"/>
      <w:lvlText w:val=""/>
      <w:lvlJc w:val="left"/>
      <w:pPr>
        <w:ind w:left="5040" w:hanging="360"/>
      </w:pPr>
      <w:rPr>
        <w:rFonts w:ascii="Symbol" w:hAnsi="Symbol" w:hint="default"/>
      </w:rPr>
    </w:lvl>
    <w:lvl w:ilvl="7" w:tplc="7956514E">
      <w:start w:val="1"/>
      <w:numFmt w:val="bullet"/>
      <w:lvlText w:val="o"/>
      <w:lvlJc w:val="left"/>
      <w:pPr>
        <w:ind w:left="5760" w:hanging="360"/>
      </w:pPr>
      <w:rPr>
        <w:rFonts w:ascii="Courier New" w:hAnsi="Courier New" w:hint="default"/>
      </w:rPr>
    </w:lvl>
    <w:lvl w:ilvl="8" w:tplc="79BEFA10">
      <w:start w:val="1"/>
      <w:numFmt w:val="bullet"/>
      <w:lvlText w:val=""/>
      <w:lvlJc w:val="left"/>
      <w:pPr>
        <w:ind w:left="6480" w:hanging="360"/>
      </w:pPr>
      <w:rPr>
        <w:rFonts w:ascii="Wingdings" w:hAnsi="Wingdings" w:hint="default"/>
      </w:rPr>
    </w:lvl>
  </w:abstractNum>
  <w:abstractNum w:abstractNumId="30" w15:restartNumberingAfterBreak="0">
    <w:nsid w:val="557F43B2"/>
    <w:multiLevelType w:val="hybridMultilevel"/>
    <w:tmpl w:val="7EDC201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1" w15:restartNumberingAfterBreak="0">
    <w:nsid w:val="67CF4274"/>
    <w:multiLevelType w:val="hybridMultilevel"/>
    <w:tmpl w:val="665C3752"/>
    <w:lvl w:ilvl="0" w:tplc="B19431F4">
      <w:start w:val="1"/>
      <w:numFmt w:val="bullet"/>
      <w:lvlText w:val="-"/>
      <w:lvlJc w:val="left"/>
      <w:pPr>
        <w:ind w:left="720" w:hanging="360"/>
      </w:pPr>
      <w:rPr>
        <w:rFonts w:ascii="Times New Roman" w:eastAsiaTheme="minorHAnsi" w:hAnsi="Times New Roman" w:cs="Times New Roman" w:hint="default"/>
        <w:i w:val="0"/>
        <w:u w:val="no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9B10989"/>
    <w:multiLevelType w:val="hybridMultilevel"/>
    <w:tmpl w:val="7526985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7039146D"/>
    <w:multiLevelType w:val="hybridMultilevel"/>
    <w:tmpl w:val="4A0872C8"/>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05A09BC"/>
    <w:multiLevelType w:val="hybridMultilevel"/>
    <w:tmpl w:val="6D443E78"/>
    <w:lvl w:ilvl="0" w:tplc="CD1A160E">
      <w:numFmt w:val="bullet"/>
      <w:lvlText w:val="-"/>
      <w:lvlJc w:val="left"/>
      <w:pPr>
        <w:ind w:left="720" w:hanging="360"/>
      </w:pPr>
      <w:rPr>
        <w:rFonts w:ascii="Courier New" w:eastAsia="Times New Roman"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B640C7"/>
    <w:multiLevelType w:val="hybridMultilevel"/>
    <w:tmpl w:val="A56EF97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6" w15:restartNumberingAfterBreak="0">
    <w:nsid w:val="79174191"/>
    <w:multiLevelType w:val="hybridMultilevel"/>
    <w:tmpl w:val="CA6C0A0A"/>
    <w:lvl w:ilvl="0" w:tplc="67663D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0"/>
  </w:num>
  <w:num w:numId="4">
    <w:abstractNumId w:val="9"/>
  </w:num>
  <w:num w:numId="5">
    <w:abstractNumId w:val="7"/>
  </w:num>
  <w:num w:numId="6">
    <w:abstractNumId w:val="21"/>
  </w:num>
  <w:num w:numId="7">
    <w:abstractNumId w:val="35"/>
  </w:num>
  <w:num w:numId="8">
    <w:abstractNumId w:val="5"/>
  </w:num>
  <w:num w:numId="9">
    <w:abstractNumId w:val="19"/>
  </w:num>
  <w:num w:numId="10">
    <w:abstractNumId w:val="14"/>
  </w:num>
  <w:num w:numId="11">
    <w:abstractNumId w:val="32"/>
  </w:num>
  <w:num w:numId="12">
    <w:abstractNumId w:val="6"/>
  </w:num>
  <w:num w:numId="13">
    <w:abstractNumId w:val="2"/>
  </w:num>
  <w:num w:numId="14">
    <w:abstractNumId w:val="17"/>
  </w:num>
  <w:num w:numId="15">
    <w:abstractNumId w:val="25"/>
  </w:num>
  <w:num w:numId="16">
    <w:abstractNumId w:val="11"/>
  </w:num>
  <w:num w:numId="17">
    <w:abstractNumId w:val="8"/>
  </w:num>
  <w:num w:numId="18">
    <w:abstractNumId w:val="20"/>
  </w:num>
  <w:num w:numId="19">
    <w:abstractNumId w:val="12"/>
  </w:num>
  <w:num w:numId="20">
    <w:abstractNumId w:val="22"/>
  </w:num>
  <w:num w:numId="21">
    <w:abstractNumId w:val="3"/>
  </w:num>
  <w:num w:numId="22">
    <w:abstractNumId w:val="24"/>
  </w:num>
  <w:num w:numId="23">
    <w:abstractNumId w:val="36"/>
  </w:num>
  <w:num w:numId="24">
    <w:abstractNumId w:val="1"/>
  </w:num>
  <w:num w:numId="25">
    <w:abstractNumId w:val="30"/>
  </w:num>
  <w:num w:numId="26">
    <w:abstractNumId w:val="34"/>
  </w:num>
  <w:num w:numId="27">
    <w:abstractNumId w:val="10"/>
  </w:num>
  <w:num w:numId="28">
    <w:abstractNumId w:val="15"/>
  </w:num>
  <w:num w:numId="29">
    <w:abstractNumId w:val="28"/>
  </w:num>
  <w:num w:numId="30">
    <w:abstractNumId w:val="13"/>
  </w:num>
  <w:num w:numId="31">
    <w:abstractNumId w:val="29"/>
  </w:num>
  <w:num w:numId="32">
    <w:abstractNumId w:val="26"/>
  </w:num>
  <w:num w:numId="33">
    <w:abstractNumId w:val="18"/>
  </w:num>
  <w:num w:numId="34">
    <w:abstractNumId w:val="31"/>
  </w:num>
  <w:num w:numId="35">
    <w:abstractNumId w:val="33"/>
  </w:num>
  <w:num w:numId="36">
    <w:abstractNumId w:val="27"/>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en-IE" w:vendorID="64" w:dllVersion="6" w:nlCheck="1" w:checkStyle="1"/>
  <w:activeWritingStyle w:appName="MSWord" w:lang="en-US" w:vendorID="64" w:dllVersion="6" w:nlCheck="1" w:checkStyle="1"/>
  <w:proofState w:spelling="clean" w:grammar="clean"/>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Status" w:val="Green"/>
    <w:docVar w:name="LW_CORRIGENDUM" w:val="CORRIGENDUM_x000b__x000b_This document corrects document COM(2022) 740 final of 06.10.2022._x000b__x000b_Concerns all language versions._x000b__x000b_Correction of small errors on pages 7, 19 and 22; correction of footnotes 45, 71 and 81._x000b__x000b_The text shall read as follows:"/>
    <w:docVar w:name="LW_COVERPAGE_EXISTS" w:val="True"/>
    <w:docVar w:name="LW_COVERPAGE_GUID" w:val="0FD22C48-EC92-4025-B564-57BD5CDE96A9"/>
    <w:docVar w:name="LW_COVERPAGE_TYPE" w:val="1"/>
    <w:docVar w:name="LW_CROSSREFERENCE" w:val="&lt;UNUSED&gt;"/>
    <w:docVar w:name="LW_DocType" w:val="NORMAL"/>
    <w:docVar w:name="LW_EMISSION" w:val="12.1.2023"/>
    <w:docVar w:name="LW_EMISSION_ISODATE" w:val="2023-01-12"/>
    <w:docVar w:name="LW_EMISSION_LOCATION" w:val="BRX"/>
    <w:docVar w:name="LW_EMISSION_PREFIX" w:val="Brisel\u275?, "/>
    <w:docVar w:name="LW_EMISSION_SUFFIX" w:val="."/>
    <w:docVar w:name="LW_ID_DOCTYPE_NONLW" w:val="CP-014"/>
    <w:docVar w:name="LW_LANGUE" w:val="LV"/>
    <w:docVar w:name="LW_LEVEL_OF_SENSITIVITY" w:val="Standard treatment"/>
    <w:docVar w:name="LW_NOM.INST" w:val="EIROPAS KOMISIJA"/>
    <w:docVar w:name="LW_NOM.INST_JOINTDOC" w:val="&lt;EMPTY&gt;"/>
    <w:docVar w:name="LW_PART_NBR" w:val="1"/>
    <w:docVar w:name="LW_PART_NBR_TOTAL" w:val="1"/>
    <w:docVar w:name="LW_REF.INST.NEW" w:val="COM"/>
    <w:docVar w:name="LW_REF.INST.NEW_ADOPTED" w:val="final/2"/>
    <w:docVar w:name="LW_REF.INST.NEW_TEXT" w:val="(2022) 74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ar Zi\u326?ojumu par migr\u257?ciju un patv\u275?rumu_x000d__x000d__x000d__x000d__x000d__x000d__x000d__x000d__x000b__x000d__x000d__x000d__x000d__x000d__x000d__x000d__x000d__x000b_"/>
    <w:docVar w:name="LW_TYPE.DOC.CP" w:val="KOMISIJAS PAZI\u325?OJUMS EIROPAS PARLAMENTAM, PADOMEI, EIROPAS EKONOMIKAS UN SOCI\u256?LO LIETU KOMITEJAI UN RE\u290?IONU KOMITEJAI"/>
    <w:docVar w:name="LW_TYPE.DOC.CP.USERTEXT" w:val="&lt;EMPTY&gt;"/>
    <w:docVar w:name="LwApiVersions" w:val="LW4CoDe 1.23.2.0; LW 8.0, Build 20211117"/>
  </w:docVars>
  <w:rsids>
    <w:rsidRoot w:val="00C77BCE"/>
    <w:rsid w:val="00005E48"/>
    <w:rsid w:val="000118D2"/>
    <w:rsid w:val="00017A36"/>
    <w:rsid w:val="00020B59"/>
    <w:rsid w:val="00023FF0"/>
    <w:rsid w:val="0002464B"/>
    <w:rsid w:val="0003268A"/>
    <w:rsid w:val="00032A47"/>
    <w:rsid w:val="0003656D"/>
    <w:rsid w:val="0004000D"/>
    <w:rsid w:val="00040444"/>
    <w:rsid w:val="00065281"/>
    <w:rsid w:val="00084E23"/>
    <w:rsid w:val="00085F06"/>
    <w:rsid w:val="00092F96"/>
    <w:rsid w:val="00094566"/>
    <w:rsid w:val="000A0CB5"/>
    <w:rsid w:val="000A34C6"/>
    <w:rsid w:val="000A6D0D"/>
    <w:rsid w:val="000B55F5"/>
    <w:rsid w:val="000B748D"/>
    <w:rsid w:val="000C1F48"/>
    <w:rsid w:val="000D670A"/>
    <w:rsid w:val="000E061F"/>
    <w:rsid w:val="000F5D20"/>
    <w:rsid w:val="000F6E59"/>
    <w:rsid w:val="0010103F"/>
    <w:rsid w:val="001029AF"/>
    <w:rsid w:val="0010368F"/>
    <w:rsid w:val="00112106"/>
    <w:rsid w:val="001141CF"/>
    <w:rsid w:val="00114A93"/>
    <w:rsid w:val="00114E09"/>
    <w:rsid w:val="0011725E"/>
    <w:rsid w:val="00123226"/>
    <w:rsid w:val="00124B9C"/>
    <w:rsid w:val="00151499"/>
    <w:rsid w:val="001566A0"/>
    <w:rsid w:val="00160049"/>
    <w:rsid w:val="0016400B"/>
    <w:rsid w:val="00167BC1"/>
    <w:rsid w:val="001725EB"/>
    <w:rsid w:val="00175D9B"/>
    <w:rsid w:val="001766FD"/>
    <w:rsid w:val="0018349F"/>
    <w:rsid w:val="00185CCB"/>
    <w:rsid w:val="001865E7"/>
    <w:rsid w:val="001A080A"/>
    <w:rsid w:val="001B080E"/>
    <w:rsid w:val="001B78CE"/>
    <w:rsid w:val="001C1AFF"/>
    <w:rsid w:val="001D5114"/>
    <w:rsid w:val="001D634A"/>
    <w:rsid w:val="001E2593"/>
    <w:rsid w:val="001F096F"/>
    <w:rsid w:val="001F0F16"/>
    <w:rsid w:val="001F417D"/>
    <w:rsid w:val="00211390"/>
    <w:rsid w:val="0022036C"/>
    <w:rsid w:val="00220513"/>
    <w:rsid w:val="002211E6"/>
    <w:rsid w:val="00222183"/>
    <w:rsid w:val="00226D4D"/>
    <w:rsid w:val="00237FE6"/>
    <w:rsid w:val="002409BE"/>
    <w:rsid w:val="00256126"/>
    <w:rsid w:val="0026051D"/>
    <w:rsid w:val="002612AA"/>
    <w:rsid w:val="00261F62"/>
    <w:rsid w:val="00261FAF"/>
    <w:rsid w:val="00280EAA"/>
    <w:rsid w:val="002810AC"/>
    <w:rsid w:val="00282431"/>
    <w:rsid w:val="00286639"/>
    <w:rsid w:val="002868BC"/>
    <w:rsid w:val="00296DD1"/>
    <w:rsid w:val="002A4F0F"/>
    <w:rsid w:val="002A7442"/>
    <w:rsid w:val="002A7D84"/>
    <w:rsid w:val="002B2DCD"/>
    <w:rsid w:val="002B6D0B"/>
    <w:rsid w:val="002B7A14"/>
    <w:rsid w:val="002C4618"/>
    <w:rsid w:val="002C68F4"/>
    <w:rsid w:val="002C6E05"/>
    <w:rsid w:val="002D4F08"/>
    <w:rsid w:val="002E247B"/>
    <w:rsid w:val="002F471F"/>
    <w:rsid w:val="00300F14"/>
    <w:rsid w:val="00323CDC"/>
    <w:rsid w:val="0032668E"/>
    <w:rsid w:val="00330A62"/>
    <w:rsid w:val="00332E66"/>
    <w:rsid w:val="00353A64"/>
    <w:rsid w:val="00356786"/>
    <w:rsid w:val="00357ADA"/>
    <w:rsid w:val="00364496"/>
    <w:rsid w:val="003667A4"/>
    <w:rsid w:val="00367488"/>
    <w:rsid w:val="0037137A"/>
    <w:rsid w:val="003751AB"/>
    <w:rsid w:val="003804B6"/>
    <w:rsid w:val="00380D2B"/>
    <w:rsid w:val="0038285A"/>
    <w:rsid w:val="0038365A"/>
    <w:rsid w:val="00394336"/>
    <w:rsid w:val="003960D5"/>
    <w:rsid w:val="003974AA"/>
    <w:rsid w:val="0039754A"/>
    <w:rsid w:val="003C2A24"/>
    <w:rsid w:val="003C2AB1"/>
    <w:rsid w:val="003D1C9F"/>
    <w:rsid w:val="003D1D30"/>
    <w:rsid w:val="003D2122"/>
    <w:rsid w:val="003D6359"/>
    <w:rsid w:val="003F1C35"/>
    <w:rsid w:val="003F486C"/>
    <w:rsid w:val="003F571A"/>
    <w:rsid w:val="0040137E"/>
    <w:rsid w:val="00401690"/>
    <w:rsid w:val="00402087"/>
    <w:rsid w:val="00403423"/>
    <w:rsid w:val="0041088E"/>
    <w:rsid w:val="004136A7"/>
    <w:rsid w:val="00415044"/>
    <w:rsid w:val="0041773F"/>
    <w:rsid w:val="004226E6"/>
    <w:rsid w:val="00423598"/>
    <w:rsid w:val="0042547C"/>
    <w:rsid w:val="0043073E"/>
    <w:rsid w:val="00431A9C"/>
    <w:rsid w:val="00436451"/>
    <w:rsid w:val="00436969"/>
    <w:rsid w:val="00444410"/>
    <w:rsid w:val="00444EDF"/>
    <w:rsid w:val="00460507"/>
    <w:rsid w:val="00464141"/>
    <w:rsid w:val="0049488D"/>
    <w:rsid w:val="004A3C77"/>
    <w:rsid w:val="004A4E5D"/>
    <w:rsid w:val="004A5747"/>
    <w:rsid w:val="004B6506"/>
    <w:rsid w:val="004B67F7"/>
    <w:rsid w:val="004B75DB"/>
    <w:rsid w:val="004C261A"/>
    <w:rsid w:val="004E1DCB"/>
    <w:rsid w:val="004E3AC7"/>
    <w:rsid w:val="004E3B05"/>
    <w:rsid w:val="004F2CA4"/>
    <w:rsid w:val="004F41E2"/>
    <w:rsid w:val="004F5199"/>
    <w:rsid w:val="004F6E56"/>
    <w:rsid w:val="00511117"/>
    <w:rsid w:val="0052779A"/>
    <w:rsid w:val="00535E01"/>
    <w:rsid w:val="0054367C"/>
    <w:rsid w:val="00550052"/>
    <w:rsid w:val="00554ABB"/>
    <w:rsid w:val="00560DD2"/>
    <w:rsid w:val="0057389A"/>
    <w:rsid w:val="005745ED"/>
    <w:rsid w:val="005758AA"/>
    <w:rsid w:val="005934DF"/>
    <w:rsid w:val="00597B9C"/>
    <w:rsid w:val="005A72F3"/>
    <w:rsid w:val="005B275E"/>
    <w:rsid w:val="005B3759"/>
    <w:rsid w:val="005B6546"/>
    <w:rsid w:val="005C1F91"/>
    <w:rsid w:val="005C5E35"/>
    <w:rsid w:val="005C785A"/>
    <w:rsid w:val="005D359C"/>
    <w:rsid w:val="005E5237"/>
    <w:rsid w:val="005F285D"/>
    <w:rsid w:val="00607283"/>
    <w:rsid w:val="00611DED"/>
    <w:rsid w:val="00613497"/>
    <w:rsid w:val="00614DA1"/>
    <w:rsid w:val="00617969"/>
    <w:rsid w:val="00620181"/>
    <w:rsid w:val="00620FA6"/>
    <w:rsid w:val="00622014"/>
    <w:rsid w:val="006273E1"/>
    <w:rsid w:val="0063401F"/>
    <w:rsid w:val="00634701"/>
    <w:rsid w:val="006410EB"/>
    <w:rsid w:val="00643926"/>
    <w:rsid w:val="00645739"/>
    <w:rsid w:val="00664106"/>
    <w:rsid w:val="00664538"/>
    <w:rsid w:val="00665355"/>
    <w:rsid w:val="006706C7"/>
    <w:rsid w:val="00676B57"/>
    <w:rsid w:val="00681434"/>
    <w:rsid w:val="006833C1"/>
    <w:rsid w:val="0069172C"/>
    <w:rsid w:val="006950F6"/>
    <w:rsid w:val="00697A75"/>
    <w:rsid w:val="006A1085"/>
    <w:rsid w:val="006C4E91"/>
    <w:rsid w:val="006D4F67"/>
    <w:rsid w:val="006D50ED"/>
    <w:rsid w:val="006E2D4A"/>
    <w:rsid w:val="006E5C45"/>
    <w:rsid w:val="006F1E8A"/>
    <w:rsid w:val="006F3AB3"/>
    <w:rsid w:val="006F4D7B"/>
    <w:rsid w:val="00715B12"/>
    <w:rsid w:val="00725984"/>
    <w:rsid w:val="0073526B"/>
    <w:rsid w:val="00736359"/>
    <w:rsid w:val="00736E0E"/>
    <w:rsid w:val="007528E4"/>
    <w:rsid w:val="00757FFB"/>
    <w:rsid w:val="0076084D"/>
    <w:rsid w:val="007768B0"/>
    <w:rsid w:val="00781D9E"/>
    <w:rsid w:val="00784325"/>
    <w:rsid w:val="0078735E"/>
    <w:rsid w:val="007906BC"/>
    <w:rsid w:val="007920B4"/>
    <w:rsid w:val="00793A29"/>
    <w:rsid w:val="007A1D62"/>
    <w:rsid w:val="007A4D4B"/>
    <w:rsid w:val="007A65E3"/>
    <w:rsid w:val="007B0F0B"/>
    <w:rsid w:val="007B68FD"/>
    <w:rsid w:val="007B7ED6"/>
    <w:rsid w:val="007C00C6"/>
    <w:rsid w:val="007C679E"/>
    <w:rsid w:val="007D1C6E"/>
    <w:rsid w:val="007D2CC3"/>
    <w:rsid w:val="007D7F80"/>
    <w:rsid w:val="007E6579"/>
    <w:rsid w:val="007F0DD9"/>
    <w:rsid w:val="007F6A06"/>
    <w:rsid w:val="00803CBB"/>
    <w:rsid w:val="00807205"/>
    <w:rsid w:val="00823475"/>
    <w:rsid w:val="00831827"/>
    <w:rsid w:val="00832D7B"/>
    <w:rsid w:val="00836025"/>
    <w:rsid w:val="00844209"/>
    <w:rsid w:val="008543AA"/>
    <w:rsid w:val="0086029E"/>
    <w:rsid w:val="00871C0A"/>
    <w:rsid w:val="0087344F"/>
    <w:rsid w:val="008745E9"/>
    <w:rsid w:val="00874836"/>
    <w:rsid w:val="00874E48"/>
    <w:rsid w:val="008750CA"/>
    <w:rsid w:val="00876E9B"/>
    <w:rsid w:val="00880CFC"/>
    <w:rsid w:val="008846A2"/>
    <w:rsid w:val="00890A31"/>
    <w:rsid w:val="00895CDA"/>
    <w:rsid w:val="008B6A27"/>
    <w:rsid w:val="008C183C"/>
    <w:rsid w:val="008C4367"/>
    <w:rsid w:val="008C5CB5"/>
    <w:rsid w:val="008C7DD1"/>
    <w:rsid w:val="008E73FC"/>
    <w:rsid w:val="008F0181"/>
    <w:rsid w:val="008F57C5"/>
    <w:rsid w:val="009037B9"/>
    <w:rsid w:val="00915AC2"/>
    <w:rsid w:val="00916475"/>
    <w:rsid w:val="00934307"/>
    <w:rsid w:val="009419EB"/>
    <w:rsid w:val="009505DB"/>
    <w:rsid w:val="00956E05"/>
    <w:rsid w:val="00961CAA"/>
    <w:rsid w:val="00972AFF"/>
    <w:rsid w:val="0098204F"/>
    <w:rsid w:val="00987CC1"/>
    <w:rsid w:val="00991AB3"/>
    <w:rsid w:val="00993799"/>
    <w:rsid w:val="00993B18"/>
    <w:rsid w:val="00994837"/>
    <w:rsid w:val="00995FD5"/>
    <w:rsid w:val="009A1273"/>
    <w:rsid w:val="009B2C8F"/>
    <w:rsid w:val="009B45EA"/>
    <w:rsid w:val="009C0EA1"/>
    <w:rsid w:val="009C299D"/>
    <w:rsid w:val="009C2B07"/>
    <w:rsid w:val="009C5703"/>
    <w:rsid w:val="009C73B3"/>
    <w:rsid w:val="009D43F0"/>
    <w:rsid w:val="009D7916"/>
    <w:rsid w:val="009E2BD9"/>
    <w:rsid w:val="009E4B53"/>
    <w:rsid w:val="009E62C4"/>
    <w:rsid w:val="009F0A70"/>
    <w:rsid w:val="009F5ECD"/>
    <w:rsid w:val="00A0072C"/>
    <w:rsid w:val="00A01CB2"/>
    <w:rsid w:val="00A04607"/>
    <w:rsid w:val="00A069E7"/>
    <w:rsid w:val="00A11DD0"/>
    <w:rsid w:val="00A23F10"/>
    <w:rsid w:val="00A2506B"/>
    <w:rsid w:val="00A46DD4"/>
    <w:rsid w:val="00A653F4"/>
    <w:rsid w:val="00A84EE9"/>
    <w:rsid w:val="00A96543"/>
    <w:rsid w:val="00A96864"/>
    <w:rsid w:val="00AB388C"/>
    <w:rsid w:val="00AC7116"/>
    <w:rsid w:val="00AD07D7"/>
    <w:rsid w:val="00AD0C34"/>
    <w:rsid w:val="00AD3BB0"/>
    <w:rsid w:val="00AD607A"/>
    <w:rsid w:val="00AE095A"/>
    <w:rsid w:val="00B052E4"/>
    <w:rsid w:val="00B05BBA"/>
    <w:rsid w:val="00B05F08"/>
    <w:rsid w:val="00B0778A"/>
    <w:rsid w:val="00B12D08"/>
    <w:rsid w:val="00B136F7"/>
    <w:rsid w:val="00B21900"/>
    <w:rsid w:val="00B24525"/>
    <w:rsid w:val="00B30147"/>
    <w:rsid w:val="00B310AA"/>
    <w:rsid w:val="00B34ACD"/>
    <w:rsid w:val="00B369CF"/>
    <w:rsid w:val="00B5320D"/>
    <w:rsid w:val="00B572EB"/>
    <w:rsid w:val="00B65840"/>
    <w:rsid w:val="00B828A1"/>
    <w:rsid w:val="00B845BF"/>
    <w:rsid w:val="00B86DA8"/>
    <w:rsid w:val="00B95D40"/>
    <w:rsid w:val="00BA203F"/>
    <w:rsid w:val="00BA47BB"/>
    <w:rsid w:val="00BB3E11"/>
    <w:rsid w:val="00BB420E"/>
    <w:rsid w:val="00BB63E9"/>
    <w:rsid w:val="00BC70EF"/>
    <w:rsid w:val="00BE0A72"/>
    <w:rsid w:val="00BE3BDC"/>
    <w:rsid w:val="00BE4B07"/>
    <w:rsid w:val="00BE4C2F"/>
    <w:rsid w:val="00BE585F"/>
    <w:rsid w:val="00BE615F"/>
    <w:rsid w:val="00BE744D"/>
    <w:rsid w:val="00BF1BBA"/>
    <w:rsid w:val="00BF2D50"/>
    <w:rsid w:val="00BF376D"/>
    <w:rsid w:val="00BF4331"/>
    <w:rsid w:val="00BF5CEC"/>
    <w:rsid w:val="00C01FD9"/>
    <w:rsid w:val="00C030FF"/>
    <w:rsid w:val="00C146E6"/>
    <w:rsid w:val="00C231EB"/>
    <w:rsid w:val="00C34469"/>
    <w:rsid w:val="00C40572"/>
    <w:rsid w:val="00C53E53"/>
    <w:rsid w:val="00C543A2"/>
    <w:rsid w:val="00C54B2B"/>
    <w:rsid w:val="00C57AF0"/>
    <w:rsid w:val="00C60DD9"/>
    <w:rsid w:val="00C63ADB"/>
    <w:rsid w:val="00C77BCE"/>
    <w:rsid w:val="00C828AF"/>
    <w:rsid w:val="00C9075B"/>
    <w:rsid w:val="00CA362A"/>
    <w:rsid w:val="00CA38D6"/>
    <w:rsid w:val="00CA47E5"/>
    <w:rsid w:val="00CA4D0A"/>
    <w:rsid w:val="00CA6AB9"/>
    <w:rsid w:val="00CB1056"/>
    <w:rsid w:val="00CC02F5"/>
    <w:rsid w:val="00CC1C58"/>
    <w:rsid w:val="00CC29C2"/>
    <w:rsid w:val="00CE55A8"/>
    <w:rsid w:val="00D0116A"/>
    <w:rsid w:val="00D02F99"/>
    <w:rsid w:val="00D04B82"/>
    <w:rsid w:val="00D07BFC"/>
    <w:rsid w:val="00D110AE"/>
    <w:rsid w:val="00D14011"/>
    <w:rsid w:val="00D32AB4"/>
    <w:rsid w:val="00D32FF2"/>
    <w:rsid w:val="00D42227"/>
    <w:rsid w:val="00D43EE1"/>
    <w:rsid w:val="00D45D60"/>
    <w:rsid w:val="00D5265B"/>
    <w:rsid w:val="00D57237"/>
    <w:rsid w:val="00D57F43"/>
    <w:rsid w:val="00D65C9E"/>
    <w:rsid w:val="00D66500"/>
    <w:rsid w:val="00D67FC7"/>
    <w:rsid w:val="00D73C52"/>
    <w:rsid w:val="00D75258"/>
    <w:rsid w:val="00D75CD8"/>
    <w:rsid w:val="00D765DA"/>
    <w:rsid w:val="00D80D8C"/>
    <w:rsid w:val="00D92C42"/>
    <w:rsid w:val="00D94F00"/>
    <w:rsid w:val="00D9504E"/>
    <w:rsid w:val="00DA0B8A"/>
    <w:rsid w:val="00DA216D"/>
    <w:rsid w:val="00DA436B"/>
    <w:rsid w:val="00DB3766"/>
    <w:rsid w:val="00DB3927"/>
    <w:rsid w:val="00DC4169"/>
    <w:rsid w:val="00DC53E2"/>
    <w:rsid w:val="00DE0102"/>
    <w:rsid w:val="00DE1EC5"/>
    <w:rsid w:val="00DF1453"/>
    <w:rsid w:val="00DF4DC8"/>
    <w:rsid w:val="00DF6F3F"/>
    <w:rsid w:val="00E078DE"/>
    <w:rsid w:val="00E22D8E"/>
    <w:rsid w:val="00E268C1"/>
    <w:rsid w:val="00E3628C"/>
    <w:rsid w:val="00E43D91"/>
    <w:rsid w:val="00E44CAB"/>
    <w:rsid w:val="00E6593C"/>
    <w:rsid w:val="00E70C67"/>
    <w:rsid w:val="00E77192"/>
    <w:rsid w:val="00EA0F11"/>
    <w:rsid w:val="00EA5790"/>
    <w:rsid w:val="00EB5DB5"/>
    <w:rsid w:val="00EB6E2F"/>
    <w:rsid w:val="00ED12BD"/>
    <w:rsid w:val="00ED42DE"/>
    <w:rsid w:val="00ED4B9A"/>
    <w:rsid w:val="00ED7AB3"/>
    <w:rsid w:val="00EE319C"/>
    <w:rsid w:val="00EE48C8"/>
    <w:rsid w:val="00EE59B4"/>
    <w:rsid w:val="00EE6328"/>
    <w:rsid w:val="00EF085E"/>
    <w:rsid w:val="00F00E35"/>
    <w:rsid w:val="00F04F24"/>
    <w:rsid w:val="00F105A2"/>
    <w:rsid w:val="00F150B1"/>
    <w:rsid w:val="00F2677E"/>
    <w:rsid w:val="00F27193"/>
    <w:rsid w:val="00F360EC"/>
    <w:rsid w:val="00F36A78"/>
    <w:rsid w:val="00F4533E"/>
    <w:rsid w:val="00F4738F"/>
    <w:rsid w:val="00F54F2B"/>
    <w:rsid w:val="00F60077"/>
    <w:rsid w:val="00F64137"/>
    <w:rsid w:val="00F65A84"/>
    <w:rsid w:val="00F74C68"/>
    <w:rsid w:val="00F81138"/>
    <w:rsid w:val="00F8772F"/>
    <w:rsid w:val="00F95EE2"/>
    <w:rsid w:val="00F96DAF"/>
    <w:rsid w:val="00F97B3E"/>
    <w:rsid w:val="00FB063B"/>
    <w:rsid w:val="00FB10C8"/>
    <w:rsid w:val="00FB229A"/>
    <w:rsid w:val="00FB4507"/>
    <w:rsid w:val="00FC67AF"/>
    <w:rsid w:val="00FC7A25"/>
    <w:rsid w:val="00FD10FE"/>
    <w:rsid w:val="00FD2A04"/>
    <w:rsid w:val="00FD3A72"/>
    <w:rsid w:val="00FD6240"/>
    <w:rsid w:val="00FD6ECA"/>
    <w:rsid w:val="00FD7D26"/>
    <w:rsid w:val="00FE2117"/>
    <w:rsid w:val="00FE3340"/>
    <w:rsid w:val="00FF3B57"/>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1BCBA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bs Heading 1,H1"/>
    <w:basedOn w:val="Normal"/>
    <w:next w:val="Normal"/>
    <w:link w:val="Heading1Char"/>
    <w:uiPriority w:val="1"/>
    <w:qFormat/>
    <w:rsid w:val="00DC53E2"/>
    <w:pPr>
      <w:keepNext/>
      <w:numPr>
        <w:numId w:val="4"/>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uiPriority w:val="1"/>
    <w:qFormat/>
    <w:rsid w:val="00DC53E2"/>
    <w:pPr>
      <w:keepNext/>
      <w:numPr>
        <w:ilvl w:val="1"/>
        <w:numId w:val="4"/>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iPriority w:val="1"/>
    <w:qFormat/>
    <w:rsid w:val="00DC53E2"/>
    <w:pPr>
      <w:keepNext/>
      <w:numPr>
        <w:ilvl w:val="2"/>
        <w:numId w:val="4"/>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aliases w:val="Heading Topic X"/>
    <w:basedOn w:val="Normal"/>
    <w:next w:val="Normal"/>
    <w:link w:val="Heading4Char"/>
    <w:uiPriority w:val="1"/>
    <w:qFormat/>
    <w:rsid w:val="00DC53E2"/>
    <w:pPr>
      <w:keepNext/>
      <w:numPr>
        <w:ilvl w:val="3"/>
        <w:numId w:val="4"/>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C77BCE"/>
    <w:rPr>
      <w:color w:val="0000FF"/>
      <w:shd w:val="clear" w:color="auto" w:fill="auto"/>
    </w:rPr>
  </w:style>
  <w:style w:type="paragraph" w:styleId="Header">
    <w:name w:val="header"/>
    <w:basedOn w:val="Normal"/>
    <w:link w:val="HeaderChar"/>
    <w:uiPriority w:val="99"/>
    <w:unhideWhenUsed/>
    <w:rsid w:val="00C7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BCE"/>
  </w:style>
  <w:style w:type="paragraph" w:styleId="Footer">
    <w:name w:val="footer"/>
    <w:basedOn w:val="Normal"/>
    <w:link w:val="FooterChar"/>
    <w:uiPriority w:val="99"/>
    <w:unhideWhenUsed/>
    <w:rsid w:val="00C7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BCE"/>
  </w:style>
  <w:style w:type="paragraph" w:customStyle="1" w:styleId="Pagedecouverture">
    <w:name w:val="Page de couverture"/>
    <w:basedOn w:val="Normal"/>
    <w:next w:val="Normal"/>
    <w:rsid w:val="00C77BCE"/>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C77BC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C77BCE"/>
    <w:rPr>
      <w:rFonts w:ascii="Times New Roman" w:hAnsi="Times New Roman" w:cs="Times New Roman"/>
      <w:sz w:val="24"/>
    </w:rPr>
  </w:style>
  <w:style w:type="paragraph" w:customStyle="1" w:styleId="FooterSensitivity">
    <w:name w:val="Footer Sensitivity"/>
    <w:basedOn w:val="Normal"/>
    <w:link w:val="FooterSensitivityChar"/>
    <w:rsid w:val="00C77BC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C77BCE"/>
    <w:rPr>
      <w:rFonts w:ascii="Times New Roman" w:hAnsi="Times New Roman" w:cs="Times New Roman"/>
      <w:b/>
      <w:sz w:val="32"/>
    </w:rPr>
  </w:style>
  <w:style w:type="paragraph" w:customStyle="1" w:styleId="HeaderCoverPage">
    <w:name w:val="Header Cover Page"/>
    <w:basedOn w:val="Normal"/>
    <w:link w:val="HeaderCoverPageChar"/>
    <w:rsid w:val="00C77BC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C77BCE"/>
    <w:rPr>
      <w:rFonts w:ascii="Times New Roman" w:hAnsi="Times New Roman" w:cs="Times New Roman"/>
      <w:sz w:val="24"/>
    </w:rPr>
  </w:style>
  <w:style w:type="paragraph" w:customStyle="1" w:styleId="HeaderSensitivity">
    <w:name w:val="Header Sensitivity"/>
    <w:basedOn w:val="Normal"/>
    <w:link w:val="HeaderSensitivityChar"/>
    <w:rsid w:val="00C77BC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C77BCE"/>
    <w:rPr>
      <w:rFonts w:ascii="Times New Roman" w:hAnsi="Times New Roman" w:cs="Times New Roman"/>
      <w:b/>
      <w:sz w:val="32"/>
    </w:rPr>
  </w:style>
  <w:style w:type="paragraph" w:customStyle="1" w:styleId="HeaderSensitivityRight">
    <w:name w:val="Header Sensitivity Right"/>
    <w:basedOn w:val="Normal"/>
    <w:link w:val="HeaderSensitivityRightChar"/>
    <w:rsid w:val="0076084D"/>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C77BCE"/>
    <w:rPr>
      <w:rFonts w:ascii="Times New Roman" w:hAnsi="Times New Roman" w:cs="Times New Roman"/>
      <w:sz w:val="28"/>
    </w:rPr>
  </w:style>
  <w:style w:type="character" w:customStyle="1" w:styleId="Heading1Char">
    <w:name w:val="Heading 1 Char"/>
    <w:aliases w:val="bs Heading 1 Char,H1 Char"/>
    <w:basedOn w:val="DefaultParagraphFont"/>
    <w:link w:val="Heading1"/>
    <w:uiPriority w:val="1"/>
    <w:rsid w:val="00DC53E2"/>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uiPriority w:val="1"/>
    <w:rsid w:val="00DC53E2"/>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1"/>
    <w:rsid w:val="00DC53E2"/>
    <w:rPr>
      <w:rFonts w:ascii="Times New Roman" w:eastAsia="Times New Roman" w:hAnsi="Times New Roman" w:cs="Times New Roman"/>
      <w:i/>
      <w:sz w:val="24"/>
      <w:szCs w:val="20"/>
    </w:rPr>
  </w:style>
  <w:style w:type="character" w:customStyle="1" w:styleId="Heading4Char">
    <w:name w:val="Heading 4 Char"/>
    <w:aliases w:val="Heading Topic X Char"/>
    <w:basedOn w:val="DefaultParagraphFont"/>
    <w:link w:val="Heading4"/>
    <w:uiPriority w:val="1"/>
    <w:rsid w:val="00DC53E2"/>
    <w:rPr>
      <w:rFonts w:ascii="Times New Roman" w:eastAsia="Times New Roman" w:hAnsi="Times New Roman" w:cs="Times New Roman"/>
      <w:sz w:val="24"/>
      <w:szCs w:val="20"/>
    </w:rPr>
  </w:style>
  <w:style w:type="table" w:styleId="TableGrid">
    <w:name w:val="Table Grid"/>
    <w:basedOn w:val="TableNormal"/>
    <w:uiPriority w:val="39"/>
    <w:rsid w:val="00DC53E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 2b,Dot pt,F5 List Paragraph,List Paragraph1,No Spacing1,List Paragraph Char Char Char,Indicator Text,Colorful List - Accent 11,Numbered Para 1,Bullet 1,Bullet Points,MAIN CONTENT,List Paragraph11,List Paragraph12,List Paragraph2,L"/>
    <w:basedOn w:val="Normal"/>
    <w:link w:val="ListParagraphChar"/>
    <w:uiPriority w:val="34"/>
    <w:qFormat/>
    <w:rsid w:val="00DC53E2"/>
    <w:pPr>
      <w:spacing w:before="20" w:after="20" w:line="240" w:lineRule="auto"/>
      <w:ind w:left="720"/>
      <w:contextualSpacing/>
    </w:pPr>
  </w:style>
  <w:style w:type="character" w:customStyle="1" w:styleId="ListParagraphChar">
    <w:name w:val="List Paragraph Char"/>
    <w:aliases w:val="Heading 2b Char,Dot pt Char,F5 List Paragraph Char,List Paragraph1 Char,No Spacing1 Char,List Paragraph Char Char Char Char,Indicator Text Char,Colorful List - Accent 11 Char,Numbered Para 1 Char,Bullet 1 Char,Bullet Points Char"/>
    <w:link w:val="ListParagraph"/>
    <w:uiPriority w:val="34"/>
    <w:qFormat/>
    <w:locked/>
    <w:rsid w:val="00DC53E2"/>
  </w:style>
  <w:style w:type="paragraph" w:customStyle="1" w:styleId="p3">
    <w:name w:val="p3"/>
    <w:basedOn w:val="Normal"/>
    <w:rsid w:val="00DC53E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Briefingtext">
    <w:name w:val="Briefing text"/>
    <w:basedOn w:val="Normal"/>
    <w:link w:val="BriefingtextChar"/>
    <w:qFormat/>
    <w:rsid w:val="00DC53E2"/>
    <w:pPr>
      <w:spacing w:after="120" w:line="240" w:lineRule="auto"/>
      <w:jc w:val="both"/>
    </w:pPr>
    <w:rPr>
      <w:rFonts w:ascii="Arial" w:eastAsia="Times New Roman" w:hAnsi="Arial" w:cs="Arial"/>
      <w:szCs w:val="24"/>
    </w:rPr>
  </w:style>
  <w:style w:type="character" w:customStyle="1" w:styleId="BriefingtextChar">
    <w:name w:val="Briefing text Char"/>
    <w:link w:val="Briefingtext"/>
    <w:qFormat/>
    <w:rsid w:val="00DC53E2"/>
    <w:rPr>
      <w:rFonts w:ascii="Arial" w:eastAsia="Times New Roman" w:hAnsi="Arial" w:cs="Arial"/>
      <w:szCs w:val="24"/>
    </w:rPr>
  </w:style>
  <w:style w:type="paragraph" w:customStyle="1" w:styleId="Briefingheading1">
    <w:name w:val="Briefing heading 1"/>
    <w:basedOn w:val="Normal"/>
    <w:next w:val="Briefingtext"/>
    <w:qFormat/>
    <w:rsid w:val="00DC53E2"/>
    <w:pPr>
      <w:keepNext/>
      <w:spacing w:before="120" w:after="120" w:line="240" w:lineRule="auto"/>
      <w:outlineLvl w:val="1"/>
    </w:pPr>
    <w:rPr>
      <w:rFonts w:ascii="Arial" w:eastAsia="Times New Roman" w:hAnsi="Arial" w:cs="Times New Roman"/>
      <w:b/>
      <w:sz w:val="24"/>
      <w:szCs w:val="24"/>
      <w:u w:val="single"/>
      <w:lang w:eastAsia="en-GB"/>
    </w:rPr>
  </w:style>
  <w:style w:type="paragraph" w:customStyle="1" w:styleId="Briefinglist1">
    <w:name w:val="Briefing list 1"/>
    <w:basedOn w:val="Normal"/>
    <w:link w:val="Briefinglist1Char"/>
    <w:qFormat/>
    <w:rsid w:val="00DC53E2"/>
    <w:pPr>
      <w:keepLines/>
      <w:numPr>
        <w:numId w:val="5"/>
      </w:numPr>
      <w:spacing w:after="120" w:line="240" w:lineRule="auto"/>
      <w:jc w:val="both"/>
    </w:pPr>
    <w:rPr>
      <w:rFonts w:ascii="Arial" w:eastAsia="Times New Roman" w:hAnsi="Arial" w:cs="Times New Roman"/>
      <w:szCs w:val="24"/>
      <w:lang w:eastAsia="en-GB"/>
    </w:rPr>
  </w:style>
  <w:style w:type="paragraph" w:customStyle="1" w:styleId="Briefingheading3">
    <w:name w:val="Briefing heading 3"/>
    <w:basedOn w:val="Normal"/>
    <w:next w:val="Briefingtext"/>
    <w:qFormat/>
    <w:rsid w:val="00DC53E2"/>
    <w:pPr>
      <w:keepNext/>
      <w:spacing w:before="120" w:after="120" w:line="240" w:lineRule="auto"/>
      <w:jc w:val="both"/>
      <w:outlineLvl w:val="2"/>
    </w:pPr>
    <w:rPr>
      <w:rFonts w:ascii="Arial" w:eastAsia="Times New Roman" w:hAnsi="Arial" w:cs="Times New Roman"/>
      <w:b/>
      <w:i/>
      <w:szCs w:val="20"/>
      <w:lang w:eastAsia="en-GB"/>
    </w:rPr>
  </w:style>
  <w:style w:type="paragraph" w:styleId="FootnoteText">
    <w:name w:val="footnote text"/>
    <w:aliases w:val="Footnote Text Char1 Char,Footnote Text Char Char Char,Footnote Text Char1 Char Char Char,Footnote Text Char Char Char Char Char,Footnote Text Char1 Char1 Char,Footnote Text Char Char Char1 Char,single space,fn,ft,Fußnote,f,Schriftart: 9 pt"/>
    <w:basedOn w:val="Normal"/>
    <w:link w:val="FootnoteTextChar"/>
    <w:uiPriority w:val="99"/>
    <w:qFormat/>
    <w:rsid w:val="00DC53E2"/>
    <w:pPr>
      <w:spacing w:after="120" w:line="240" w:lineRule="auto"/>
    </w:pPr>
    <w:rPr>
      <w:rFonts w:ascii="Arial" w:eastAsia="Times New Roman" w:hAnsi="Arial" w:cs="Times New Roman"/>
      <w:sz w:val="20"/>
      <w:szCs w:val="20"/>
      <w:lang w:eastAsia="en-GB"/>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fn Char"/>
    <w:basedOn w:val="DefaultParagraphFont"/>
    <w:link w:val="FootnoteText"/>
    <w:uiPriority w:val="99"/>
    <w:qFormat/>
    <w:rsid w:val="00DC53E2"/>
    <w:rPr>
      <w:rFonts w:ascii="Arial" w:eastAsia="Times New Roman" w:hAnsi="Arial" w:cs="Times New Roman"/>
      <w:sz w:val="20"/>
      <w:szCs w:val="20"/>
      <w:lang w:eastAsia="en-GB"/>
    </w:rPr>
  </w:style>
  <w:style w:type="character" w:styleId="FootnoteReference">
    <w:name w:val="footnote reference"/>
    <w:aliases w:val="BVI fnr,Footnote symbol,Footnote reference number,Footnote,Times 10 Point,Exposant 3 Point,Ref,de nota al pie,note TESI,SUPERS,EN Footnote Reference,EN Footnote text,Footnote Reference_LVL6,Footnote Reference_LVL61,Nota,number,FR,Re"/>
    <w:link w:val="Odwo0142anieprzypisu"/>
    <w:uiPriority w:val="99"/>
    <w:qFormat/>
    <w:rsid w:val="00DC53E2"/>
    <w:rPr>
      <w:vertAlign w:val="superscript"/>
    </w:rPr>
  </w:style>
  <w:style w:type="character" w:customStyle="1" w:styleId="Briefinglist1Char">
    <w:name w:val="Briefing list 1 Char"/>
    <w:basedOn w:val="BriefingtextChar"/>
    <w:link w:val="Briefinglist1"/>
    <w:qFormat/>
    <w:rsid w:val="00DC53E2"/>
    <w:rPr>
      <w:rFonts w:ascii="Arial" w:eastAsia="Times New Roman" w:hAnsi="Arial" w:cs="Times New Roman"/>
      <w:szCs w:val="24"/>
      <w:lang w:eastAsia="en-GB"/>
    </w:rPr>
  </w:style>
  <w:style w:type="paragraph" w:customStyle="1" w:styleId="StyleBriefinglist1Bold">
    <w:name w:val="Style Briefing list 1 + Bold"/>
    <w:basedOn w:val="Briefinglist1"/>
    <w:rsid w:val="00DC53E2"/>
    <w:rPr>
      <w:b/>
      <w:bCs/>
    </w:rPr>
  </w:style>
  <w:style w:type="paragraph" w:customStyle="1" w:styleId="Odwo0142anieprzypisu">
    <w:name w:val="Odwo&lt;0142&gt;anie przypisu"/>
    <w:aliases w:val="SUPER,BVI fnr Char1 Char,fr,Footnote Reference_LVL62,Footnote Reference_LVL63,Footnote Reference_LVL64"/>
    <w:basedOn w:val="Normal"/>
    <w:link w:val="FootnoteReference"/>
    <w:uiPriority w:val="99"/>
    <w:rsid w:val="00DC53E2"/>
    <w:pPr>
      <w:spacing w:before="120" w:after="160" w:line="240" w:lineRule="exact"/>
      <w:jc w:val="both"/>
    </w:pPr>
    <w:rPr>
      <w:vertAlign w:val="superscript"/>
    </w:rPr>
  </w:style>
  <w:style w:type="character" w:styleId="CommentReference">
    <w:name w:val="annotation reference"/>
    <w:basedOn w:val="DefaultParagraphFont"/>
    <w:uiPriority w:val="99"/>
    <w:semiHidden/>
    <w:unhideWhenUsed/>
    <w:rsid w:val="00DC53E2"/>
    <w:rPr>
      <w:sz w:val="16"/>
      <w:szCs w:val="16"/>
    </w:rPr>
  </w:style>
  <w:style w:type="paragraph" w:styleId="CommentText">
    <w:name w:val="annotation text"/>
    <w:basedOn w:val="Normal"/>
    <w:link w:val="CommentTextChar"/>
    <w:uiPriority w:val="99"/>
    <w:unhideWhenUsed/>
    <w:rsid w:val="00DC53E2"/>
    <w:pPr>
      <w:spacing w:after="240" w:line="240" w:lineRule="auto"/>
      <w:jc w:val="both"/>
    </w:pPr>
    <w:rPr>
      <w:rFonts w:ascii="Courier New" w:eastAsia="Times New Roman" w:hAnsi="Courier New" w:cs="Times New Roman"/>
      <w:sz w:val="20"/>
      <w:szCs w:val="20"/>
      <w:lang w:eastAsia="en-GB"/>
    </w:rPr>
  </w:style>
  <w:style w:type="character" w:customStyle="1" w:styleId="CommentTextChar">
    <w:name w:val="Comment Text Char"/>
    <w:basedOn w:val="DefaultParagraphFont"/>
    <w:link w:val="CommentText"/>
    <w:uiPriority w:val="99"/>
    <w:rsid w:val="00DC53E2"/>
    <w:rPr>
      <w:rFonts w:ascii="Courier New" w:eastAsia="Times New Roman" w:hAnsi="Courier New" w:cs="Times New Roman"/>
      <w:sz w:val="20"/>
      <w:szCs w:val="20"/>
      <w:lang w:eastAsia="en-GB"/>
    </w:rPr>
  </w:style>
  <w:style w:type="paragraph" w:styleId="BalloonText">
    <w:name w:val="Balloon Text"/>
    <w:basedOn w:val="Normal"/>
    <w:link w:val="BalloonTextChar"/>
    <w:uiPriority w:val="99"/>
    <w:semiHidden/>
    <w:unhideWhenUsed/>
    <w:rsid w:val="00DC5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3E2"/>
    <w:rPr>
      <w:rFonts w:ascii="Segoe UI" w:hAnsi="Segoe UI" w:cs="Segoe UI"/>
      <w:sz w:val="18"/>
      <w:szCs w:val="18"/>
    </w:rPr>
  </w:style>
  <w:style w:type="character" w:styleId="Hyperlink">
    <w:name w:val="Hyperlink"/>
    <w:basedOn w:val="DefaultParagraphFont"/>
    <w:uiPriority w:val="99"/>
    <w:unhideWhenUsed/>
    <w:rsid w:val="00DC53E2"/>
    <w:rPr>
      <w:color w:val="0000FF" w:themeColor="hyperlink"/>
      <w:u w:val="single"/>
    </w:rPr>
  </w:style>
  <w:style w:type="character" w:styleId="Strong">
    <w:name w:val="Strong"/>
    <w:basedOn w:val="DefaultParagraphFont"/>
    <w:uiPriority w:val="22"/>
    <w:qFormat/>
    <w:rsid w:val="00DC53E2"/>
    <w:rPr>
      <w:b/>
      <w:bCs/>
    </w:rPr>
  </w:style>
  <w:style w:type="paragraph" w:styleId="TOCHeading">
    <w:name w:val="TOC Heading"/>
    <w:basedOn w:val="Heading1"/>
    <w:next w:val="Normal"/>
    <w:uiPriority w:val="39"/>
    <w:unhideWhenUsed/>
    <w:qFormat/>
    <w:rsid w:val="00DC53E2"/>
    <w:pPr>
      <w:keepLines/>
      <w:numPr>
        <w:numId w:val="0"/>
      </w:numPr>
      <w:spacing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styleId="TOC2">
    <w:name w:val="toc 2"/>
    <w:basedOn w:val="Normal"/>
    <w:next w:val="Normal"/>
    <w:autoRedefine/>
    <w:uiPriority w:val="39"/>
    <w:unhideWhenUsed/>
    <w:rsid w:val="00DC53E2"/>
    <w:pPr>
      <w:spacing w:before="20" w:after="100" w:line="240" w:lineRule="auto"/>
      <w:ind w:left="220"/>
    </w:pPr>
  </w:style>
  <w:style w:type="paragraph" w:styleId="TOC1">
    <w:name w:val="toc 1"/>
    <w:basedOn w:val="Normal"/>
    <w:next w:val="Normal"/>
    <w:autoRedefine/>
    <w:uiPriority w:val="39"/>
    <w:unhideWhenUsed/>
    <w:rsid w:val="00DC53E2"/>
    <w:pPr>
      <w:spacing w:after="100" w:line="259" w:lineRule="auto"/>
    </w:pPr>
    <w:rPr>
      <w:rFonts w:eastAsiaTheme="minorEastAsia" w:cs="Times New Roman"/>
    </w:rPr>
  </w:style>
  <w:style w:type="paragraph" w:styleId="TOC3">
    <w:name w:val="toc 3"/>
    <w:basedOn w:val="Normal"/>
    <w:next w:val="Normal"/>
    <w:autoRedefine/>
    <w:uiPriority w:val="39"/>
    <w:unhideWhenUsed/>
    <w:rsid w:val="00DC53E2"/>
    <w:pPr>
      <w:spacing w:after="100" w:line="259" w:lineRule="auto"/>
      <w:ind w:left="440"/>
    </w:pPr>
    <w:rPr>
      <w:rFonts w:eastAsiaTheme="minorEastAsia" w:cs="Times New Roman"/>
    </w:rPr>
  </w:style>
  <w:style w:type="paragraph" w:styleId="NormalWeb">
    <w:name w:val="Normal (Web)"/>
    <w:basedOn w:val="Normal"/>
    <w:uiPriority w:val="99"/>
    <w:unhideWhenUsed/>
    <w:rsid w:val="00DC53E2"/>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Emphasis">
    <w:name w:val="Emphasis"/>
    <w:basedOn w:val="DefaultParagraphFont"/>
    <w:uiPriority w:val="20"/>
    <w:qFormat/>
    <w:rsid w:val="00DC53E2"/>
    <w:rPr>
      <w:i/>
      <w:iCs/>
    </w:rPr>
  </w:style>
  <w:style w:type="paragraph" w:customStyle="1" w:styleId="Briefinglist2">
    <w:name w:val="Briefing list 2"/>
    <w:basedOn w:val="Normal"/>
    <w:link w:val="Briefinglist2Char"/>
    <w:rsid w:val="00DC53E2"/>
    <w:pPr>
      <w:keepLines/>
      <w:numPr>
        <w:numId w:val="10"/>
      </w:numPr>
      <w:tabs>
        <w:tab w:val="clear" w:pos="1724"/>
        <w:tab w:val="num" w:pos="709"/>
      </w:tabs>
      <w:spacing w:after="120" w:line="240" w:lineRule="auto"/>
      <w:ind w:left="709" w:hanging="352"/>
      <w:jc w:val="both"/>
    </w:pPr>
    <w:rPr>
      <w:rFonts w:ascii="Arial" w:eastAsia="Times New Roman" w:hAnsi="Arial" w:cs="Arial"/>
      <w:szCs w:val="24"/>
    </w:rPr>
  </w:style>
  <w:style w:type="character" w:customStyle="1" w:styleId="Briefinglist2Char">
    <w:name w:val="Briefing list 2 Char"/>
    <w:basedOn w:val="DefaultParagraphFont"/>
    <w:link w:val="Briefinglist2"/>
    <w:locked/>
    <w:rsid w:val="00DC53E2"/>
    <w:rPr>
      <w:rFonts w:ascii="Arial" w:eastAsia="Times New Roman" w:hAnsi="Arial" w:cs="Arial"/>
      <w:szCs w:val="24"/>
    </w:rPr>
  </w:style>
  <w:style w:type="character" w:styleId="FollowedHyperlink">
    <w:name w:val="FollowedHyperlink"/>
    <w:basedOn w:val="DefaultParagraphFont"/>
    <w:uiPriority w:val="99"/>
    <w:semiHidden/>
    <w:unhideWhenUsed/>
    <w:rsid w:val="00DC53E2"/>
    <w:rPr>
      <w:color w:val="800080" w:themeColor="followedHyperlink"/>
      <w:u w:val="single"/>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uiPriority w:val="99"/>
    <w:rsid w:val="00DC53E2"/>
    <w:pPr>
      <w:spacing w:after="160" w:line="240" w:lineRule="exact"/>
    </w:pPr>
    <w:rPr>
      <w:vertAlign w:val="superscript"/>
    </w:rPr>
  </w:style>
  <w:style w:type="paragraph" w:styleId="CommentSubject">
    <w:name w:val="annotation subject"/>
    <w:basedOn w:val="CommentText"/>
    <w:next w:val="CommentText"/>
    <w:link w:val="CommentSubjectChar"/>
    <w:uiPriority w:val="99"/>
    <w:semiHidden/>
    <w:unhideWhenUsed/>
    <w:rsid w:val="00DC53E2"/>
    <w:pPr>
      <w:spacing w:before="20" w:after="2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C53E2"/>
    <w:rPr>
      <w:rFonts w:ascii="Courier New" w:eastAsia="Times New Roman" w:hAnsi="Courier New" w:cs="Times New Roman"/>
      <w:b/>
      <w:bCs/>
      <w:sz w:val="20"/>
      <w:szCs w:val="20"/>
      <w:lang w:eastAsia="en-GB"/>
    </w:rPr>
  </w:style>
  <w:style w:type="character" w:customStyle="1" w:styleId="normaltextrun">
    <w:name w:val="normaltextrun"/>
    <w:basedOn w:val="DefaultParagraphFont"/>
    <w:rsid w:val="00DC53E2"/>
  </w:style>
  <w:style w:type="paragraph" w:customStyle="1" w:styleId="Default">
    <w:name w:val="Default"/>
    <w:rsid w:val="00DC53E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DC53E2"/>
    <w:pPr>
      <w:spacing w:after="0" w:line="240" w:lineRule="auto"/>
    </w:pPr>
  </w:style>
  <w:style w:type="character" w:customStyle="1" w:styleId="s1">
    <w:name w:val="s1"/>
    <w:basedOn w:val="DefaultParagraphFont"/>
    <w:rsid w:val="00DC53E2"/>
  </w:style>
  <w:style w:type="character" w:customStyle="1" w:styleId="wtoffscreen">
    <w:name w:val="wtoffscreen"/>
    <w:basedOn w:val="DefaultParagraphFont"/>
    <w:rsid w:val="00DC53E2"/>
  </w:style>
  <w:style w:type="paragraph" w:customStyle="1" w:styleId="paragraph">
    <w:name w:val="paragraph"/>
    <w:basedOn w:val="Normal"/>
    <w:rsid w:val="00DC53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C53E2"/>
    <w:pPr>
      <w:spacing w:after="0" w:line="240" w:lineRule="auto"/>
    </w:pPr>
    <w:rPr>
      <w:rFonts w:ascii="Calibri" w:eastAsia="Calibri" w:hAnsi="Calibri" w:cs="Times New Roman"/>
    </w:rPr>
  </w:style>
  <w:style w:type="paragraph" w:customStyle="1" w:styleId="ListNumber1">
    <w:name w:val="List Number 1"/>
    <w:basedOn w:val="Normal"/>
    <w:link w:val="ListNumber1Char"/>
    <w:uiPriority w:val="99"/>
    <w:qFormat/>
    <w:rsid w:val="00DC53E2"/>
    <w:pPr>
      <w:numPr>
        <w:numId w:val="3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uiPriority w:val="99"/>
    <w:qFormat/>
    <w:rsid w:val="00DC53E2"/>
    <w:pPr>
      <w:numPr>
        <w:ilvl w:val="1"/>
        <w:numId w:val="3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uiPriority w:val="99"/>
    <w:qFormat/>
    <w:rsid w:val="00DC53E2"/>
    <w:pPr>
      <w:numPr>
        <w:ilvl w:val="2"/>
        <w:numId w:val="3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uiPriority w:val="99"/>
    <w:qFormat/>
    <w:rsid w:val="00DC53E2"/>
    <w:pPr>
      <w:numPr>
        <w:ilvl w:val="3"/>
        <w:numId w:val="32"/>
      </w:numPr>
      <w:spacing w:after="240" w:line="240" w:lineRule="auto"/>
      <w:jc w:val="both"/>
    </w:pPr>
    <w:rPr>
      <w:rFonts w:ascii="Times New Roman" w:eastAsia="Times New Roman" w:hAnsi="Times New Roman" w:cs="Times New Roman"/>
      <w:sz w:val="24"/>
      <w:szCs w:val="20"/>
    </w:rPr>
  </w:style>
  <w:style w:type="character" w:customStyle="1" w:styleId="ListNumber1Char">
    <w:name w:val="List Number 1 Char"/>
    <w:basedOn w:val="DefaultParagraphFont"/>
    <w:link w:val="ListNumber1"/>
    <w:uiPriority w:val="99"/>
    <w:qFormat/>
    <w:rsid w:val="00DC53E2"/>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DC53E2"/>
    <w:rPr>
      <w:color w:val="605E5C"/>
      <w:shd w:val="clear" w:color="auto" w:fill="E1DFDD"/>
    </w:rPr>
  </w:style>
  <w:style w:type="character" w:customStyle="1" w:styleId="markedcontent">
    <w:name w:val="markedcontent"/>
    <w:basedOn w:val="DefaultParagraphFont"/>
    <w:rsid w:val="00DC53E2"/>
  </w:style>
  <w:style w:type="character" w:customStyle="1" w:styleId="highlight">
    <w:name w:val="highlight"/>
    <w:basedOn w:val="DefaultParagraphFont"/>
    <w:rsid w:val="00DC53E2"/>
  </w:style>
  <w:style w:type="character" w:customStyle="1" w:styleId="UnresolvedMention2">
    <w:name w:val="Unresolved Mention2"/>
    <w:basedOn w:val="DefaultParagraphFont"/>
    <w:uiPriority w:val="99"/>
    <w:semiHidden/>
    <w:unhideWhenUsed/>
    <w:rsid w:val="00D110AE"/>
    <w:rPr>
      <w:color w:val="605E5C"/>
      <w:shd w:val="clear" w:color="auto" w:fill="E1DFDD"/>
    </w:rPr>
  </w:style>
  <w:style w:type="paragraph" w:customStyle="1" w:styleId="Disclaimer">
    <w:name w:val="Disclaimer"/>
    <w:basedOn w:val="Normal"/>
    <w:rsid w:val="0076084D"/>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76084D"/>
    <w:pPr>
      <w:spacing w:after="0"/>
      <w:ind w:left="5103"/>
    </w:pPr>
    <w:rPr>
      <w:rFonts w:ascii="Times New Roman" w:hAnsi="Times New Roman" w:cs="Times New Roman"/>
      <w:sz w:val="28"/>
    </w:rPr>
  </w:style>
  <w:style w:type="paragraph" w:customStyle="1" w:styleId="DateMarking">
    <w:name w:val="DateMarking"/>
    <w:basedOn w:val="Normal"/>
    <w:rsid w:val="0076084D"/>
    <w:pPr>
      <w:spacing w:after="0"/>
      <w:ind w:left="5103"/>
    </w:pPr>
    <w:rPr>
      <w:rFonts w:ascii="Times New Roman" w:hAnsi="Times New Roman" w:cs="Times New Roman"/>
      <w:i/>
      <w:sz w:val="28"/>
    </w:rPr>
  </w:style>
  <w:style w:type="paragraph" w:customStyle="1" w:styleId="ReleasableTo">
    <w:name w:val="ReleasableTo"/>
    <w:basedOn w:val="Normal"/>
    <w:rsid w:val="0076084D"/>
    <w:pPr>
      <w:spacing w:after="0"/>
      <w:ind w:left="5103"/>
    </w:pPr>
    <w:rPr>
      <w:rFonts w:ascii="Times New Roman" w:hAnsi="Times New Roman" w:cs="Times New Roman"/>
      <w:i/>
      <w:sz w:val="28"/>
    </w:rPr>
  </w:style>
  <w:style w:type="paragraph" w:styleId="EndnoteText">
    <w:name w:val="endnote text"/>
    <w:basedOn w:val="Normal"/>
    <w:link w:val="EndnoteTextChar"/>
    <w:uiPriority w:val="99"/>
    <w:semiHidden/>
    <w:unhideWhenUsed/>
    <w:rsid w:val="002B6D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B6D0B"/>
    <w:rPr>
      <w:sz w:val="20"/>
      <w:szCs w:val="20"/>
    </w:rPr>
  </w:style>
  <w:style w:type="character" w:styleId="EndnoteReference">
    <w:name w:val="endnote reference"/>
    <w:basedOn w:val="DefaultParagraphFont"/>
    <w:uiPriority w:val="99"/>
    <w:semiHidden/>
    <w:unhideWhenUsed/>
    <w:rsid w:val="002B6D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47954">
      <w:bodyDiv w:val="1"/>
      <w:marLeft w:val="0"/>
      <w:marRight w:val="0"/>
      <w:marTop w:val="0"/>
      <w:marBottom w:val="0"/>
      <w:divBdr>
        <w:top w:val="none" w:sz="0" w:space="0" w:color="auto"/>
        <w:left w:val="none" w:sz="0" w:space="0" w:color="auto"/>
        <w:bottom w:val="none" w:sz="0" w:space="0" w:color="auto"/>
        <w:right w:val="none" w:sz="0" w:space="0" w:color="auto"/>
      </w:divBdr>
    </w:div>
    <w:div w:id="382338093">
      <w:bodyDiv w:val="1"/>
      <w:marLeft w:val="0"/>
      <w:marRight w:val="0"/>
      <w:marTop w:val="0"/>
      <w:marBottom w:val="0"/>
      <w:divBdr>
        <w:top w:val="none" w:sz="0" w:space="0" w:color="auto"/>
        <w:left w:val="none" w:sz="0" w:space="0" w:color="auto"/>
        <w:bottom w:val="none" w:sz="0" w:space="0" w:color="auto"/>
        <w:right w:val="none" w:sz="0" w:space="0" w:color="auto"/>
      </w:divBdr>
    </w:div>
    <w:div w:id="724330788">
      <w:bodyDiv w:val="1"/>
      <w:marLeft w:val="0"/>
      <w:marRight w:val="0"/>
      <w:marTop w:val="0"/>
      <w:marBottom w:val="0"/>
      <w:divBdr>
        <w:top w:val="none" w:sz="0" w:space="0" w:color="auto"/>
        <w:left w:val="none" w:sz="0" w:space="0" w:color="auto"/>
        <w:bottom w:val="none" w:sz="0" w:space="0" w:color="auto"/>
        <w:right w:val="none" w:sz="0" w:space="0" w:color="auto"/>
      </w:divBdr>
    </w:div>
    <w:div w:id="1325402955">
      <w:bodyDiv w:val="1"/>
      <w:marLeft w:val="0"/>
      <w:marRight w:val="0"/>
      <w:marTop w:val="0"/>
      <w:marBottom w:val="0"/>
      <w:divBdr>
        <w:top w:val="none" w:sz="0" w:space="0" w:color="auto"/>
        <w:left w:val="none" w:sz="0" w:space="0" w:color="auto"/>
        <w:bottom w:val="none" w:sz="0" w:space="0" w:color="auto"/>
        <w:right w:val="none" w:sz="0" w:space="0" w:color="auto"/>
      </w:divBdr>
    </w:div>
    <w:div w:id="1538202232">
      <w:bodyDiv w:val="1"/>
      <w:marLeft w:val="0"/>
      <w:marRight w:val="0"/>
      <w:marTop w:val="0"/>
      <w:marBottom w:val="0"/>
      <w:divBdr>
        <w:top w:val="none" w:sz="0" w:space="0" w:color="auto"/>
        <w:left w:val="none" w:sz="0" w:space="0" w:color="auto"/>
        <w:bottom w:val="none" w:sz="0" w:space="0" w:color="auto"/>
        <w:right w:val="none" w:sz="0" w:space="0" w:color="auto"/>
      </w:divBdr>
    </w:div>
    <w:div w:id="1672489200">
      <w:bodyDiv w:val="1"/>
      <w:marLeft w:val="0"/>
      <w:marRight w:val="0"/>
      <w:marTop w:val="0"/>
      <w:marBottom w:val="0"/>
      <w:divBdr>
        <w:top w:val="none" w:sz="0" w:space="0" w:color="auto"/>
        <w:left w:val="none" w:sz="0" w:space="0" w:color="auto"/>
        <w:bottom w:val="none" w:sz="0" w:space="0" w:color="auto"/>
        <w:right w:val="none" w:sz="0" w:space="0" w:color="auto"/>
      </w:divBdr>
    </w:div>
    <w:div w:id="193346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school-education.ec.europa.eu/en/etwinning" TargetMode="External"/><Relationship Id="rId18" Type="http://schemas.openxmlformats.org/officeDocument/2006/relationships/hyperlink" Target="https://europa.eu/europass/select-language?destination=/node/1" TargetMode="External"/><Relationship Id="rId26" Type="http://schemas.openxmlformats.org/officeDocument/2006/relationships/hyperlink" Target="https://eu-solidarity-ukraine.ec.europa.eu/index_lv" TargetMode="External"/><Relationship Id="rId21" Type="http://schemas.openxmlformats.org/officeDocument/2006/relationships/hyperlink" Target="https://www.erasmus-entrepreneurs.eu/" TargetMode="External"/><Relationship Id="rId34" Type="http://schemas.openxmlformats.org/officeDocument/2006/relationships/hyperlink" Target="https://www.consilium.europa.eu/media/54412/final_declaration-en.pdf" TargetMode="External"/><Relationship Id="rId7" Type="http://schemas.openxmlformats.org/officeDocument/2006/relationships/hyperlink" Target="https://home-affairs.ec.europa.eu/system/files/2022-07/FAQs%20UAMs%20and%20separated%20children%20TPD_en_1.pdf" TargetMode="External"/><Relationship Id="rId12" Type="http://schemas.openxmlformats.org/officeDocument/2006/relationships/hyperlink" Target="https://www.schooleducationgateway.eu/en/pub/latest/news/education-support-ua-refugees.htm" TargetMode="External"/><Relationship Id="rId17" Type="http://schemas.openxmlformats.org/officeDocument/2006/relationships/hyperlink" Target="https://ec.europa.eu/migrantskills/" TargetMode="External"/><Relationship Id="rId25" Type="http://schemas.openxmlformats.org/officeDocument/2006/relationships/hyperlink" Target="https://eu-solidarity-ukraine.ec.europa.eu/index_lv" TargetMode="External"/><Relationship Id="rId33" Type="http://schemas.openxmlformats.org/officeDocument/2006/relationships/hyperlink" Target="https://www.consilium.europa.eu/media/50763/2425-06-21-euco-conclusions-en.pdf" TargetMode="External"/><Relationship Id="rId38" Type="http://schemas.openxmlformats.org/officeDocument/2006/relationships/hyperlink" Target="https://home-affairs.ec.europa.eu/pages/glossary/joint-valletta-action-plan-jvap_en" TargetMode="External"/><Relationship Id="rId2" Type="http://schemas.openxmlformats.org/officeDocument/2006/relationships/hyperlink" Target="https://home-affairs.ec.europa.eu/10-point-plan-stronger-european-coordination-welcoming-people-fleeing-war-ukraine_en" TargetMode="External"/><Relationship Id="rId16" Type="http://schemas.openxmlformats.org/officeDocument/2006/relationships/hyperlink" Target="https://education.ec.europa.eu/document/guidelines-on-fast-track-recognition-of-ukrainian-academic-qualifications" TargetMode="External"/><Relationship Id="rId20" Type="http://schemas.openxmlformats.org/officeDocument/2006/relationships/hyperlink" Target="https://ec.europa.eu/social/main.jsp?catId=1517&amp;langId=lv" TargetMode="External"/><Relationship Id="rId29" Type="http://schemas.openxmlformats.org/officeDocument/2006/relationships/hyperlink" Target="https://presidence-francaise.consilium.europa.eu/en/news/first-step-in-the-gradual-implementation-of-the-european-pact-on-migration-and-asylum-modus-operandi-of-a-voluntary-solidarity-mechanism-1/" TargetMode="External"/><Relationship Id="rId1" Type="http://schemas.openxmlformats.org/officeDocument/2006/relationships/hyperlink" Target="https://home-affairs.ec.europa.eu/system/files/2022-07/Frequently%20asked%20questions%20received%20on%20the%20interpretation%20of%20the%20Temporary%20Protection%20Directive%20and%20Council%20Implementing%20Decision%202022-382_en.pdf" TargetMode="External"/><Relationship Id="rId6" Type="http://schemas.openxmlformats.org/officeDocument/2006/relationships/hyperlink" Target="https://ec.europa.eu/commission/presscorner/detail/en/FS_22_4325" TargetMode="External"/><Relationship Id="rId11" Type="http://schemas.openxmlformats.org/officeDocument/2006/relationships/hyperlink" Target="https://ec.europa.eu/migrant-integration/library-document/supporting-inclusion-displaced-children-ukraine-education_en" TargetMode="External"/><Relationship Id="rId24" Type="http://schemas.openxmlformats.org/officeDocument/2006/relationships/hyperlink" Target="https://webgate.ec.europa.eu/hpf/" TargetMode="External"/><Relationship Id="rId32" Type="http://schemas.openxmlformats.org/officeDocument/2006/relationships/hyperlink" Target="https://ec.europa.eu/info/strategy/priorities-2019-2024/promoting-our-european-way-life/new-pact-migration-and-asylum/skills-and-talent_lv" TargetMode="External"/><Relationship Id="rId37" Type="http://schemas.openxmlformats.org/officeDocument/2006/relationships/hyperlink" Target="https://www.consilium.europa.eu/media/50763/2425-06-21-euco-conclusions-en.pdf" TargetMode="External"/><Relationship Id="rId5" Type="http://schemas.openxmlformats.org/officeDocument/2006/relationships/hyperlink" Target="https://euaa.europa.eu/sites/default/files/publications/2022-05/private-accommodation-persons-displaced-ukraine.pdf" TargetMode="External"/><Relationship Id="rId15" Type="http://schemas.openxmlformats.org/officeDocument/2006/relationships/hyperlink" Target="https://education.ec.europa.eu/document/guidelines-on-fast-track-recognition-of-ukrainian-academic-qualifications" TargetMode="External"/><Relationship Id="rId23" Type="http://schemas.openxmlformats.org/officeDocument/2006/relationships/hyperlink" Target="https://health.ec.europa.eu/publications/report-access-health-care-eu-member-states-implementation-temporary-protection-directive-200155ec_en" TargetMode="External"/><Relationship Id="rId28" Type="http://schemas.openxmlformats.org/officeDocument/2006/relationships/hyperlink" Target="https://presidence-francaise.consilium.europa.eu/en/news/first-step-in-the-gradual-implementation-of-the-european-pact-on-migration-and-asylum-modus-operandi-of-a-voluntary-solidarity-mechanism-1/" TargetMode="External"/><Relationship Id="rId36" Type="http://schemas.openxmlformats.org/officeDocument/2006/relationships/hyperlink" Target="https://ssar-platform.org/support-platform" TargetMode="External"/><Relationship Id="rId10" Type="http://schemas.openxmlformats.org/officeDocument/2006/relationships/hyperlink" Target="https://ec.europa.eu/migrant-integration/library-document/supporting-inclusion-displaced-children-ukraine-education_en" TargetMode="External"/><Relationship Id="rId19" Type="http://schemas.openxmlformats.org/officeDocument/2006/relationships/hyperlink" Target="https://esco.ec.europa.eu/en/news/esco-now-available-ukrainian-language" TargetMode="External"/><Relationship Id="rId31" Type="http://schemas.openxmlformats.org/officeDocument/2006/relationships/hyperlink" Target="https://frontex.europa.eu/media-centre/news/news-release/frontex-fundamental-rights-office-releases-annual-report-Jy2PEC" TargetMode="External"/><Relationship Id="rId4" Type="http://schemas.openxmlformats.org/officeDocument/2006/relationships/hyperlink" Target="https://ec.europa.eu/info/strategy/priorities-2019-2024/stronger-europe-world/eu-solidarity-ukraine/eu-assistance-ukraine/information-people-fleeing-war-ukraine_lv" TargetMode="External"/><Relationship Id="rId9" Type="http://schemas.openxmlformats.org/officeDocument/2006/relationships/hyperlink" Target="https://ec.europa.eu/commission/presscorner/detail/en/IP_22_4462" TargetMode="External"/><Relationship Id="rId14" Type="http://schemas.openxmlformats.org/officeDocument/2006/relationships/hyperlink" Target="https://nushub.org/en/" TargetMode="External"/><Relationship Id="rId22" Type="http://schemas.openxmlformats.org/officeDocument/2006/relationships/hyperlink" Target="https://wegate.eu/" TargetMode="External"/><Relationship Id="rId27" Type="http://schemas.openxmlformats.org/officeDocument/2006/relationships/hyperlink" Target="https://frontex.europa.eu/we-know/migratory-map/" TargetMode="External"/><Relationship Id="rId30" Type="http://schemas.openxmlformats.org/officeDocument/2006/relationships/hyperlink" Target="https://eur-lex.europa.eu/legal-content/LV/TXT/PDF/?uri=CELEX:32021R2303&amp;from=LV" TargetMode="External"/><Relationship Id="rId35" Type="http://schemas.openxmlformats.org/officeDocument/2006/relationships/hyperlink" Target="http://unscr.com/en/resolutions/doc/2254" TargetMode="External"/><Relationship Id="rId8" Type="http://schemas.openxmlformats.org/officeDocument/2006/relationships/hyperlink" Target="https://home-affairs.ec.europa.eu/news/new-anti-trafficking-plan-protect-people-fleeing-war-ukraine-2022-05-11_en" TargetMode="External"/><Relationship Id="rId3" Type="http://schemas.openxmlformats.org/officeDocument/2006/relationships/hyperlink" Target="https://home-affairs.ec.europa.eu/10-point-plan-stronger-european-coordination-welcoming-people-fleeing-war-ukrain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B4D00-8D51-4D42-8DD7-1E17261A8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10485</Words>
  <Characters>71933</Characters>
  <Application>Microsoft Office Word</Application>
  <DocSecurity>0</DocSecurity>
  <Lines>1013</Lines>
  <Paragraphs>199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2022-12-22T13:04:00Z</dcterms:created>
  <dcterms:modified xsi:type="dcterms:W3CDTF">2023-01-12T09:01:00Z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2022-09-28T19:07:14Z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70aaa420-8fa0-4be9-8f88-cfed97636015</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8.1, Build 20220902</vt:lpwstr>
  </property>
  <property fmtid="{D5CDD505-2E9C-101B-9397-08002B2CF9AE}" pid="11" name="DocStatus">
    <vt:lpwstr>Green</vt:lpwstr>
  </property>
  <property fmtid="{D5CDD505-2E9C-101B-9397-08002B2CF9AE}" pid="12" name="Part">
    <vt:lpwstr>1</vt:lpwstr>
  </property>
  <property fmtid="{D5CDD505-2E9C-101B-9397-08002B2CF9AE}" pid="13" name="Total parts">
    <vt:lpwstr>1</vt:lpwstr>
  </property>
  <property fmtid="{D5CDD505-2E9C-101B-9397-08002B2CF9AE}" pid="14" name="CPTemplateID">
    <vt:lpwstr>CP-014</vt:lpwstr>
  </property>
</Properties>
</file>