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4A73" w14:textId="07EE7FB8" w:rsidR="0047629D" w:rsidRPr="0071228C" w:rsidRDefault="00E25B75" w:rsidP="00E25B75">
      <w:pPr>
        <w:pStyle w:val="Pagedecouverture"/>
        <w:rPr>
          <w:noProof/>
        </w:rPr>
      </w:pPr>
      <w:r>
        <w:rPr>
          <w:noProof/>
        </w:rPr>
        <w:pict w14:anchorId="36E86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5C942636-32DF-47F5-A296-ADEDD5F2EA77" style="width:455.25pt;height:441pt">
            <v:imagedata r:id="rId11" o:title=""/>
          </v:shape>
        </w:pict>
      </w:r>
    </w:p>
    <w:p w14:paraId="21B00136" w14:textId="77777777" w:rsidR="0047629D" w:rsidRPr="0071228C" w:rsidRDefault="0047629D" w:rsidP="0047629D">
      <w:pPr>
        <w:rPr>
          <w:noProof/>
        </w:rPr>
        <w:sectPr w:rsidR="0047629D" w:rsidRPr="0071228C" w:rsidSect="00E25B75">
          <w:footerReference w:type="default" r:id="rId12"/>
          <w:footnotePr>
            <w:numRestart w:val="eachSect"/>
          </w:footnotePr>
          <w:pgSz w:w="11907" w:h="16839"/>
          <w:pgMar w:top="1134" w:right="1417" w:bottom="1134" w:left="1417" w:header="709" w:footer="709" w:gutter="0"/>
          <w:pgNumType w:start="0"/>
          <w:cols w:space="720"/>
          <w:docGrid w:linePitch="360"/>
        </w:sectPr>
      </w:pPr>
    </w:p>
    <w:p w14:paraId="782B2983" w14:textId="77777777" w:rsidR="0047629D" w:rsidRPr="0071228C" w:rsidRDefault="0047629D" w:rsidP="005C4F36">
      <w:pPr>
        <w:pStyle w:val="Exposdesmotifstitre"/>
        <w:rPr>
          <w:noProof/>
        </w:rPr>
      </w:pPr>
      <w:bookmarkStart w:id="0" w:name="_GoBack"/>
      <w:bookmarkEnd w:id="0"/>
      <w:r w:rsidRPr="0071228C">
        <w:rPr>
          <w:noProof/>
        </w:rPr>
        <w:lastRenderedPageBreak/>
        <w:t>UZASADNIENIE</w:t>
      </w:r>
    </w:p>
    <w:p w14:paraId="2AE48FEF" w14:textId="77777777" w:rsidR="0047629D" w:rsidRPr="0071228C" w:rsidRDefault="0047629D" w:rsidP="005C4F36">
      <w:pPr>
        <w:pStyle w:val="ManualHeading1"/>
        <w:rPr>
          <w:noProof/>
        </w:rPr>
      </w:pPr>
      <w:r w:rsidRPr="0071228C">
        <w:rPr>
          <w:noProof/>
        </w:rPr>
        <w:t>1.</w:t>
      </w:r>
      <w:r w:rsidRPr="0071228C">
        <w:rPr>
          <w:noProof/>
        </w:rPr>
        <w:tab/>
        <w:t>KONTEKST WNIOSKU</w:t>
      </w:r>
    </w:p>
    <w:p w14:paraId="1D729BB8" w14:textId="34B9016D" w:rsidR="0047629D" w:rsidRPr="0071228C" w:rsidRDefault="0047629D" w:rsidP="005C4F36">
      <w:pPr>
        <w:pStyle w:val="ManualHeading2"/>
        <w:rPr>
          <w:rFonts w:eastAsia="Arial Unicode MS"/>
          <w:noProof/>
        </w:rPr>
      </w:pPr>
      <w:r w:rsidRPr="0071228C">
        <w:rPr>
          <w:noProof/>
          <w:color w:val="000000"/>
          <w:u w:color="000000"/>
          <w:bdr w:val="nil"/>
        </w:rPr>
        <w:t>•</w:t>
      </w:r>
      <w:r w:rsidRPr="0071228C">
        <w:rPr>
          <w:noProof/>
        </w:rPr>
        <w:tab/>
        <w:t>Przyczyny</w:t>
      </w:r>
      <w:r w:rsidR="00CC55C0" w:rsidRPr="0071228C">
        <w:rPr>
          <w:noProof/>
        </w:rPr>
        <w:t xml:space="preserve"> i</w:t>
      </w:r>
      <w:r w:rsidR="00CC55C0">
        <w:rPr>
          <w:noProof/>
        </w:rPr>
        <w:t> </w:t>
      </w:r>
      <w:r w:rsidR="00CC55C0" w:rsidRPr="0071228C">
        <w:rPr>
          <w:noProof/>
        </w:rPr>
        <w:t>cel</w:t>
      </w:r>
      <w:r w:rsidRPr="0071228C">
        <w:rPr>
          <w:noProof/>
        </w:rPr>
        <w:t>e wniosku</w:t>
      </w:r>
    </w:p>
    <w:p w14:paraId="50CC97CB" w14:textId="194AED80" w:rsidR="00D50B74" w:rsidRPr="00F61166" w:rsidRDefault="002821B9" w:rsidP="002821B9">
      <w:pPr>
        <w:pStyle w:val="Default"/>
        <w:jc w:val="both"/>
        <w:rPr>
          <w:noProof/>
          <w:lang w:val="pl-PL"/>
        </w:rPr>
      </w:pPr>
      <w:r w:rsidRPr="00F61166">
        <w:rPr>
          <w:noProof/>
          <w:lang w:val="pl-PL"/>
        </w:rPr>
        <w:t>Unijnemu prawodawstwu dotyczącemu wody przyświeca nadrzędny cel, jakim jest ochrona zdrowia ludzkiego</w:t>
      </w:r>
      <w:r w:rsidR="00CC55C0" w:rsidRPr="00F61166">
        <w:rPr>
          <w:noProof/>
          <w:lang w:val="pl-PL"/>
        </w:rPr>
        <w:t xml:space="preserve"> i</w:t>
      </w:r>
      <w:r w:rsidR="00CC55C0">
        <w:rPr>
          <w:noProof/>
          <w:lang w:val="pl-PL"/>
        </w:rPr>
        <w:t> </w:t>
      </w:r>
      <w:r w:rsidR="00CC55C0" w:rsidRPr="00F61166">
        <w:rPr>
          <w:noProof/>
          <w:lang w:val="pl-PL"/>
        </w:rPr>
        <w:t>śro</w:t>
      </w:r>
      <w:r w:rsidRPr="00F61166">
        <w:rPr>
          <w:noProof/>
          <w:lang w:val="pl-PL"/>
        </w:rPr>
        <w:t>dowiska przed połączonymi skutkami toksycznych lub trwałych zanieczyszczeń. Niniejsza inicjatywa dotyczy dyrektywy 2000/60/WE</w:t>
      </w:r>
      <w:r w:rsidRPr="0071228C">
        <w:rPr>
          <w:rStyle w:val="FootnoteReference"/>
          <w:noProof/>
        </w:rPr>
        <w:footnoteReference w:id="2"/>
      </w:r>
      <w:r w:rsidRPr="00F61166">
        <w:rPr>
          <w:noProof/>
          <w:lang w:val="pl-PL"/>
        </w:rPr>
        <w:t xml:space="preserve"> (ramowej dyrektywy wodnej) oraz powiązanych</w:t>
      </w:r>
      <w:r w:rsidR="00CC55C0" w:rsidRPr="00F61166">
        <w:rPr>
          <w:noProof/>
          <w:lang w:val="pl-PL"/>
        </w:rPr>
        <w:t xml:space="preserve"> z</w:t>
      </w:r>
      <w:r w:rsidR="00CC55C0">
        <w:rPr>
          <w:noProof/>
          <w:lang w:val="pl-PL"/>
        </w:rPr>
        <w:t> </w:t>
      </w:r>
      <w:r w:rsidR="00CC55C0" w:rsidRPr="00F61166">
        <w:rPr>
          <w:noProof/>
          <w:lang w:val="pl-PL"/>
        </w:rPr>
        <w:t>nią</w:t>
      </w:r>
      <w:r w:rsidRPr="00F61166">
        <w:rPr>
          <w:noProof/>
          <w:lang w:val="pl-PL"/>
        </w:rPr>
        <w:t xml:space="preserve"> dwóch dyrektyw szczegółowych: dyrektywy 2006/118/WE</w:t>
      </w:r>
      <w:r w:rsidRPr="0071228C">
        <w:rPr>
          <w:rStyle w:val="FootnoteReference"/>
          <w:noProof/>
        </w:rPr>
        <w:footnoteReference w:id="3"/>
      </w:r>
      <w:r w:rsidRPr="00F61166">
        <w:rPr>
          <w:noProof/>
          <w:lang w:val="pl-PL"/>
        </w:rPr>
        <w:t xml:space="preserve"> (dyrektywa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wód podziemnych)</w:t>
      </w:r>
      <w:r w:rsidR="00CC55C0" w:rsidRPr="00F61166">
        <w:rPr>
          <w:noProof/>
          <w:lang w:val="pl-PL"/>
        </w:rPr>
        <w:t xml:space="preserve"> i</w:t>
      </w:r>
      <w:r w:rsidR="00CC55C0">
        <w:rPr>
          <w:noProof/>
          <w:lang w:val="pl-PL"/>
        </w:rPr>
        <w:t> </w:t>
      </w:r>
      <w:r w:rsidR="00CC55C0" w:rsidRPr="00F61166">
        <w:rPr>
          <w:noProof/>
          <w:lang w:val="pl-PL"/>
        </w:rPr>
        <w:t>dyr</w:t>
      </w:r>
      <w:r w:rsidRPr="00F61166">
        <w:rPr>
          <w:noProof/>
          <w:lang w:val="pl-PL"/>
        </w:rPr>
        <w:t>ektywy 2008/105/WE</w:t>
      </w:r>
      <w:r w:rsidRPr="0071228C">
        <w:rPr>
          <w:rStyle w:val="FootnoteReference"/>
          <w:noProof/>
        </w:rPr>
        <w:footnoteReference w:id="4"/>
      </w:r>
      <w:r w:rsidRPr="00F61166">
        <w:rPr>
          <w:noProof/>
          <w:lang w:val="pl-PL"/>
        </w:rPr>
        <w:t xml:space="preserve"> (dyrektywa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środowiskowych norm jakości), które wspólnie koncentrują się na ochronie wód gruntowych</w:t>
      </w:r>
      <w:r w:rsidR="00CC55C0" w:rsidRPr="00F61166">
        <w:rPr>
          <w:noProof/>
          <w:lang w:val="pl-PL"/>
        </w:rPr>
        <w:t xml:space="preserve"> i</w:t>
      </w:r>
      <w:r w:rsidR="00CC55C0">
        <w:rPr>
          <w:noProof/>
          <w:lang w:val="pl-PL"/>
        </w:rPr>
        <w:t> </w:t>
      </w:r>
      <w:r w:rsidR="00CC55C0" w:rsidRPr="00F61166">
        <w:rPr>
          <w:noProof/>
          <w:lang w:val="pl-PL"/>
        </w:rPr>
        <w:t>pow</w:t>
      </w:r>
      <w:r w:rsidRPr="00F61166">
        <w:rPr>
          <w:noProof/>
          <w:lang w:val="pl-PL"/>
        </w:rPr>
        <w:t>ierzchniowych</w:t>
      </w:r>
      <w:r w:rsidRPr="0071228C">
        <w:rPr>
          <w:rStyle w:val="FootnoteReference"/>
          <w:b/>
          <w:noProof/>
        </w:rPr>
        <w:footnoteReference w:id="5"/>
      </w:r>
      <w:r w:rsidRPr="00F61166">
        <w:rPr>
          <w:noProof/>
          <w:lang w:val="pl-PL"/>
        </w:rPr>
        <w:t>. Uzupełniają one inne istotne przepisy prawodawstwa dotyczącego wody, tj. dyrektywę (UE) 2020/2184 (dyrektywa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wody pitnej)</w:t>
      </w:r>
      <w:r w:rsidRPr="0071228C">
        <w:rPr>
          <w:rStyle w:val="FootnoteReference"/>
          <w:noProof/>
        </w:rPr>
        <w:footnoteReference w:id="6"/>
      </w:r>
      <w:r w:rsidRPr="00F61166">
        <w:rPr>
          <w:noProof/>
          <w:lang w:val="pl-PL"/>
        </w:rPr>
        <w:t>, dyrektywę Rady 91/271/EWG</w:t>
      </w:r>
      <w:r w:rsidRPr="0071228C">
        <w:rPr>
          <w:rStyle w:val="FootnoteReference"/>
          <w:noProof/>
        </w:rPr>
        <w:footnoteReference w:id="7"/>
      </w:r>
      <w:r w:rsidRPr="00F61166">
        <w:rPr>
          <w:noProof/>
          <w:lang w:val="pl-PL"/>
        </w:rPr>
        <w:t xml:space="preserve"> (dyrektywa dotycząca oczyszczania ścieków komunalnych), dyrektywę 2008/56/WE</w:t>
      </w:r>
      <w:r w:rsidRPr="0071228C">
        <w:rPr>
          <w:rStyle w:val="FootnoteReference"/>
          <w:noProof/>
        </w:rPr>
        <w:footnoteReference w:id="8"/>
      </w:r>
      <w:r w:rsidRPr="00F61166">
        <w:rPr>
          <w:noProof/>
          <w:lang w:val="pl-PL"/>
        </w:rPr>
        <w:t xml:space="preserve"> (dyrektywa ramowa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strategii morskiej), dyrektywę 2006/7/WE</w:t>
      </w:r>
      <w:r w:rsidRPr="0071228C">
        <w:rPr>
          <w:rStyle w:val="FootnoteReference"/>
          <w:noProof/>
        </w:rPr>
        <w:footnoteReference w:id="9"/>
      </w:r>
      <w:r w:rsidRPr="00F61166">
        <w:rPr>
          <w:noProof/>
          <w:lang w:val="pl-PL"/>
        </w:rPr>
        <w:t xml:space="preserve"> (dyrektywa dotycząca jakości wody</w:t>
      </w:r>
      <w:r w:rsidR="00CC55C0" w:rsidRPr="00F61166">
        <w:rPr>
          <w:noProof/>
          <w:lang w:val="pl-PL"/>
        </w:rPr>
        <w:t xml:space="preserve"> w</w:t>
      </w:r>
      <w:r w:rsidR="00CC55C0">
        <w:rPr>
          <w:noProof/>
          <w:lang w:val="pl-PL"/>
        </w:rPr>
        <w:t> </w:t>
      </w:r>
      <w:r w:rsidR="00CC55C0" w:rsidRPr="00F61166">
        <w:rPr>
          <w:noProof/>
          <w:lang w:val="pl-PL"/>
        </w:rPr>
        <w:t>kąp</w:t>
      </w:r>
      <w:r w:rsidRPr="00F61166">
        <w:rPr>
          <w:noProof/>
          <w:lang w:val="pl-PL"/>
        </w:rPr>
        <w:t>ieliskach), dyrektywę 2007/60/WE</w:t>
      </w:r>
      <w:r w:rsidRPr="0071228C">
        <w:rPr>
          <w:rStyle w:val="FootnoteReference"/>
          <w:noProof/>
        </w:rPr>
        <w:footnoteReference w:id="10"/>
      </w:r>
      <w:r w:rsidRPr="00F61166">
        <w:rPr>
          <w:noProof/>
          <w:lang w:val="pl-PL"/>
        </w:rPr>
        <w:t xml:space="preserve"> (dyrektywa powodziowa) oraz dyrektywę Rady 91/676/EWG</w:t>
      </w:r>
      <w:r w:rsidRPr="0071228C">
        <w:rPr>
          <w:rStyle w:val="FootnoteReference"/>
          <w:noProof/>
        </w:rPr>
        <w:footnoteReference w:id="11"/>
      </w:r>
      <w:r w:rsidRPr="00F61166">
        <w:rPr>
          <w:noProof/>
          <w:lang w:val="pl-PL"/>
        </w:rPr>
        <w:t xml:space="preserve"> (dyrektywa azotanowa). </w:t>
      </w:r>
    </w:p>
    <w:p w14:paraId="53E81831" w14:textId="77777777" w:rsidR="00D50B74" w:rsidRPr="00F61166" w:rsidRDefault="00D50B74" w:rsidP="002821B9">
      <w:pPr>
        <w:pStyle w:val="Default"/>
        <w:jc w:val="both"/>
        <w:rPr>
          <w:noProof/>
          <w:lang w:val="pl-PL"/>
        </w:rPr>
      </w:pPr>
    </w:p>
    <w:p w14:paraId="09F4FAA7" w14:textId="34CE5966" w:rsidR="00D50B74" w:rsidRPr="00F61166" w:rsidRDefault="00D6787A" w:rsidP="00D50B74">
      <w:pPr>
        <w:pStyle w:val="Default"/>
        <w:jc w:val="both"/>
        <w:rPr>
          <w:noProof/>
          <w:lang w:val="pl-PL"/>
        </w:rPr>
      </w:pPr>
      <w:r w:rsidRPr="00F61166">
        <w:rPr>
          <w:noProof/>
          <w:lang w:val="pl-PL"/>
        </w:rPr>
        <w:t>Prawodawstwo to obejmuje wykazy zanieczyszczeń</w:t>
      </w:r>
      <w:r w:rsidR="00CC55C0" w:rsidRPr="00F61166">
        <w:rPr>
          <w:noProof/>
          <w:lang w:val="pl-PL"/>
        </w:rPr>
        <w:t xml:space="preserve"> i</w:t>
      </w:r>
      <w:r w:rsidR="00CC55C0">
        <w:rPr>
          <w:noProof/>
          <w:lang w:val="pl-PL"/>
        </w:rPr>
        <w:t> </w:t>
      </w:r>
      <w:r w:rsidR="00CC55C0" w:rsidRPr="00F61166">
        <w:rPr>
          <w:noProof/>
          <w:lang w:val="pl-PL"/>
        </w:rPr>
        <w:t>nor</w:t>
      </w:r>
      <w:r w:rsidRPr="00F61166">
        <w:rPr>
          <w:noProof/>
          <w:lang w:val="pl-PL"/>
        </w:rPr>
        <w:t>m jakości oraz zawiera wymogi dotyczące ich regularnego przeglądu</w:t>
      </w:r>
      <w:r w:rsidRPr="0071228C">
        <w:rPr>
          <w:rStyle w:val="FootnoteReference"/>
          <w:b/>
          <w:noProof/>
        </w:rPr>
        <w:footnoteReference w:id="12"/>
      </w:r>
      <w:r w:rsidR="00CC55C0" w:rsidRPr="00F61166">
        <w:rPr>
          <w:noProof/>
          <w:lang w:val="pl-PL"/>
        </w:rPr>
        <w:t>. W</w:t>
      </w:r>
      <w:r w:rsidR="00CC55C0">
        <w:rPr>
          <w:noProof/>
          <w:lang w:val="pl-PL"/>
        </w:rPr>
        <w:t> </w:t>
      </w:r>
      <w:r w:rsidR="00CC55C0" w:rsidRPr="00CC55C0">
        <w:rPr>
          <w:noProof/>
          <w:lang w:val="pl-PL"/>
        </w:rPr>
        <w:t>art</w:t>
      </w:r>
      <w:r w:rsidRPr="00CC55C0">
        <w:rPr>
          <w:noProof/>
          <w:lang w:val="pl-PL"/>
        </w:rPr>
        <w:t>.</w:t>
      </w:r>
      <w:r w:rsidR="00CC55C0" w:rsidRPr="00CC55C0">
        <w:rPr>
          <w:noProof/>
          <w:lang w:val="pl-PL"/>
        </w:rPr>
        <w:t> </w:t>
      </w:r>
      <w:r w:rsidRPr="00CC55C0">
        <w:rPr>
          <w:noProof/>
          <w:lang w:val="pl-PL"/>
        </w:rPr>
        <w:t>1</w:t>
      </w:r>
      <w:r w:rsidRPr="00F61166">
        <w:rPr>
          <w:noProof/>
          <w:lang w:val="pl-PL"/>
        </w:rPr>
        <w:t xml:space="preserve">6 </w:t>
      </w:r>
      <w:r w:rsidRPr="00CC55C0">
        <w:rPr>
          <w:noProof/>
          <w:lang w:val="pl-PL"/>
        </w:rPr>
        <w:t>ust.</w:t>
      </w:r>
      <w:r w:rsidR="00CC55C0" w:rsidRPr="00CC55C0">
        <w:rPr>
          <w:noProof/>
          <w:lang w:val="pl-PL"/>
        </w:rPr>
        <w:t> </w:t>
      </w:r>
      <w:r w:rsidRPr="00CC55C0">
        <w:rPr>
          <w:noProof/>
          <w:lang w:val="pl-PL"/>
        </w:rPr>
        <w:t>4</w:t>
      </w:r>
      <w:r w:rsidRPr="00F61166">
        <w:rPr>
          <w:noProof/>
          <w:lang w:val="pl-PL"/>
        </w:rPr>
        <w:t xml:space="preserve"> ramowej dyrektywy wodnej przewiduje się obowiązek dokonywania przez Komisję regularnego przeglądu,</w:t>
      </w:r>
      <w:r w:rsidR="00CC55C0" w:rsidRPr="00F61166">
        <w:rPr>
          <w:noProof/>
          <w:lang w:val="pl-PL"/>
        </w:rPr>
        <w:t xml:space="preserve"> w</w:t>
      </w:r>
      <w:r w:rsidR="00CC55C0">
        <w:rPr>
          <w:noProof/>
          <w:lang w:val="pl-PL"/>
        </w:rPr>
        <w:t> </w:t>
      </w:r>
      <w:r w:rsidR="00CC55C0" w:rsidRPr="00F61166">
        <w:rPr>
          <w:noProof/>
          <w:lang w:val="pl-PL"/>
        </w:rPr>
        <w:t>ods</w:t>
      </w:r>
      <w:r w:rsidRPr="00F61166">
        <w:rPr>
          <w:noProof/>
          <w:lang w:val="pl-PL"/>
        </w:rPr>
        <w:t>tępach co najmniej czteroletnich, wykazu substancji priorytetowych, które stanowią zagrożenie dla środowiska wodnego, tj. zarówno wód powierzchniowych, jak</w:t>
      </w:r>
      <w:r w:rsidR="00CC55C0" w:rsidRPr="00F61166">
        <w:rPr>
          <w:noProof/>
          <w:lang w:val="pl-PL"/>
        </w:rPr>
        <w:t xml:space="preserve"> i</w:t>
      </w:r>
      <w:r w:rsidR="00CC55C0">
        <w:rPr>
          <w:noProof/>
          <w:lang w:val="pl-PL"/>
        </w:rPr>
        <w:t> </w:t>
      </w:r>
      <w:r w:rsidR="00CC55C0" w:rsidRPr="00F61166">
        <w:rPr>
          <w:noProof/>
          <w:lang w:val="pl-PL"/>
        </w:rPr>
        <w:t>pod</w:t>
      </w:r>
      <w:r w:rsidRPr="00F61166">
        <w:rPr>
          <w:noProof/>
          <w:lang w:val="pl-PL"/>
        </w:rPr>
        <w:t>ziemnych</w:t>
      </w:r>
      <w:r w:rsidR="00CC55C0" w:rsidRPr="00F61166">
        <w:rPr>
          <w:noProof/>
          <w:lang w:val="pl-PL"/>
        </w:rPr>
        <w:t>. W</w:t>
      </w:r>
      <w:r w:rsidR="00CC55C0">
        <w:rPr>
          <w:noProof/>
          <w:lang w:val="pl-PL"/>
        </w:rPr>
        <w:t> </w:t>
      </w:r>
      <w:r w:rsidR="00CC55C0" w:rsidRPr="00F61166">
        <w:rPr>
          <w:noProof/>
          <w:lang w:val="pl-PL"/>
        </w:rPr>
        <w:t>szc</w:t>
      </w:r>
      <w:r w:rsidRPr="00F61166">
        <w:rPr>
          <w:noProof/>
          <w:lang w:val="pl-PL"/>
        </w:rPr>
        <w:t>zególności</w:t>
      </w:r>
      <w:r w:rsidR="00CC55C0" w:rsidRPr="00F61166">
        <w:rPr>
          <w:noProof/>
          <w:lang w:val="pl-PL"/>
        </w:rPr>
        <w:t xml:space="preserve"> w</w:t>
      </w:r>
      <w:r w:rsidR="00CC55C0">
        <w:rPr>
          <w:noProof/>
          <w:lang w:val="pl-PL"/>
        </w:rPr>
        <w:t> </w:t>
      </w:r>
      <w:r w:rsidR="00CC55C0" w:rsidRPr="00F61166">
        <w:rPr>
          <w:noProof/>
          <w:lang w:val="pl-PL"/>
        </w:rPr>
        <w:t>prz</w:t>
      </w:r>
      <w:r w:rsidRPr="00F61166">
        <w:rPr>
          <w:noProof/>
          <w:lang w:val="pl-PL"/>
        </w:rPr>
        <w:t>ypadku wód powierzchniowych</w:t>
      </w:r>
      <w:r w:rsidR="00CC55C0" w:rsidRPr="00F61166">
        <w:rPr>
          <w:noProof/>
          <w:lang w:val="pl-PL"/>
        </w:rPr>
        <w:t xml:space="preserve"> w</w:t>
      </w:r>
      <w:r w:rsidR="00CC55C0">
        <w:rPr>
          <w:noProof/>
          <w:lang w:val="pl-PL"/>
        </w:rPr>
        <w:t> </w:t>
      </w:r>
      <w:r w:rsidR="00CC55C0" w:rsidRPr="00CC55C0">
        <w:rPr>
          <w:noProof/>
          <w:lang w:val="pl-PL"/>
        </w:rPr>
        <w:t>art</w:t>
      </w:r>
      <w:r w:rsidRPr="00CC55C0">
        <w:rPr>
          <w:noProof/>
          <w:lang w:val="pl-PL"/>
        </w:rPr>
        <w:t>.</w:t>
      </w:r>
      <w:r w:rsidR="00CC55C0" w:rsidRPr="00CC55C0">
        <w:rPr>
          <w:noProof/>
          <w:lang w:val="pl-PL"/>
        </w:rPr>
        <w:t> </w:t>
      </w:r>
      <w:r w:rsidRPr="00CC55C0">
        <w:rPr>
          <w:noProof/>
          <w:lang w:val="pl-PL"/>
        </w:rPr>
        <w:t>8</w:t>
      </w:r>
      <w:r w:rsidRPr="00F61166">
        <w:rPr>
          <w:noProof/>
          <w:lang w:val="pl-PL"/>
        </w:rPr>
        <w:t xml:space="preserve"> dyrektywy</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środowiskowych norm jakości przewidziano obowiązek dokonywania przez Komisję przeglądu załącznika X do ramowej dyrektywy wodnej (wykaz substancji priorytetowych), natomiast</w:t>
      </w:r>
      <w:r w:rsidR="00CC55C0" w:rsidRPr="00F61166">
        <w:rPr>
          <w:noProof/>
          <w:lang w:val="pl-PL"/>
        </w:rPr>
        <w:t xml:space="preserve"> w</w:t>
      </w:r>
      <w:r w:rsidR="00CC55C0">
        <w:rPr>
          <w:noProof/>
          <w:lang w:val="pl-PL"/>
        </w:rPr>
        <w:t> </w:t>
      </w:r>
      <w:r w:rsidR="00CC55C0" w:rsidRPr="00F61166">
        <w:rPr>
          <w:noProof/>
          <w:lang w:val="pl-PL"/>
        </w:rPr>
        <w:t>prz</w:t>
      </w:r>
      <w:r w:rsidRPr="00F61166">
        <w:rPr>
          <w:noProof/>
          <w:lang w:val="pl-PL"/>
        </w:rPr>
        <w:t>ypadku wód podziemnych</w:t>
      </w:r>
      <w:r w:rsidR="00CC55C0" w:rsidRPr="00F61166">
        <w:rPr>
          <w:noProof/>
          <w:lang w:val="pl-PL"/>
        </w:rPr>
        <w:t xml:space="preserve"> w</w:t>
      </w:r>
      <w:r w:rsidR="00CC55C0">
        <w:rPr>
          <w:noProof/>
          <w:lang w:val="pl-PL"/>
        </w:rPr>
        <w:t> </w:t>
      </w:r>
      <w:r w:rsidR="00CC55C0" w:rsidRPr="00CC55C0">
        <w:rPr>
          <w:noProof/>
          <w:lang w:val="pl-PL"/>
        </w:rPr>
        <w:t>art</w:t>
      </w:r>
      <w:r w:rsidRPr="00CC55C0">
        <w:rPr>
          <w:noProof/>
          <w:lang w:val="pl-PL"/>
        </w:rPr>
        <w:t>.</w:t>
      </w:r>
      <w:r w:rsidR="00CC55C0" w:rsidRPr="00CC55C0">
        <w:rPr>
          <w:noProof/>
          <w:lang w:val="pl-PL"/>
        </w:rPr>
        <w:t> </w:t>
      </w:r>
      <w:r w:rsidRPr="00CC55C0">
        <w:rPr>
          <w:noProof/>
          <w:lang w:val="pl-PL"/>
        </w:rPr>
        <w:t>1</w:t>
      </w:r>
      <w:r w:rsidRPr="00F61166">
        <w:rPr>
          <w:noProof/>
          <w:lang w:val="pl-PL"/>
        </w:rPr>
        <w:t>0 dyrektywy</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wód podziemnych przewidziano obowiązek dokonywania przez Komisję co sześć lat przeglądu załączników I i II do samej dyrektywy. Wspomniany przegląd oraz ocenę skutków przekazuje się również do Parlamentu Europejskiego</w:t>
      </w:r>
      <w:r w:rsidR="00CC55C0" w:rsidRPr="00F61166">
        <w:rPr>
          <w:noProof/>
          <w:lang w:val="pl-PL"/>
        </w:rPr>
        <w:t xml:space="preserve"> i</w:t>
      </w:r>
      <w:r w:rsidR="00CC55C0">
        <w:rPr>
          <w:noProof/>
          <w:lang w:val="pl-PL"/>
        </w:rPr>
        <w:t> </w:t>
      </w:r>
      <w:r w:rsidR="00CC55C0" w:rsidRPr="00F61166">
        <w:rPr>
          <w:noProof/>
          <w:lang w:val="pl-PL"/>
        </w:rPr>
        <w:t>Rad</w:t>
      </w:r>
      <w:r w:rsidRPr="00F61166">
        <w:rPr>
          <w:noProof/>
          <w:lang w:val="pl-PL"/>
        </w:rPr>
        <w:t>y zgodnie</w:t>
      </w:r>
      <w:r w:rsidR="00CC55C0" w:rsidRPr="00F61166">
        <w:rPr>
          <w:noProof/>
          <w:lang w:val="pl-PL"/>
        </w:rPr>
        <w:t xml:space="preserve"> z</w:t>
      </w:r>
      <w:r w:rsidR="00CC55C0">
        <w:rPr>
          <w:noProof/>
          <w:lang w:val="pl-PL"/>
        </w:rPr>
        <w:t> </w:t>
      </w:r>
      <w:r w:rsidR="00CC55C0" w:rsidRPr="00CC55C0">
        <w:rPr>
          <w:noProof/>
          <w:lang w:val="pl-PL"/>
        </w:rPr>
        <w:t>art</w:t>
      </w:r>
      <w:r w:rsidRPr="00CC55C0">
        <w:rPr>
          <w:noProof/>
          <w:lang w:val="pl-PL"/>
        </w:rPr>
        <w:t>.</w:t>
      </w:r>
      <w:r w:rsidR="00CC55C0" w:rsidRPr="00CC55C0">
        <w:rPr>
          <w:noProof/>
          <w:lang w:val="pl-PL"/>
        </w:rPr>
        <w:t> </w:t>
      </w:r>
      <w:r w:rsidRPr="00CC55C0">
        <w:rPr>
          <w:noProof/>
          <w:lang w:val="pl-PL"/>
        </w:rPr>
        <w:t>8</w:t>
      </w:r>
      <w:r w:rsidRPr="00F61166">
        <w:rPr>
          <w:noProof/>
          <w:lang w:val="pl-PL"/>
        </w:rPr>
        <w:t xml:space="preserve"> dyrektywy</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środowiskowych norm jakości.</w:t>
      </w:r>
    </w:p>
    <w:p w14:paraId="16408CE5" w14:textId="77777777" w:rsidR="00D50B74" w:rsidRPr="00F61166" w:rsidRDefault="00D50B74" w:rsidP="00D50B74">
      <w:pPr>
        <w:pStyle w:val="Default"/>
        <w:jc w:val="both"/>
        <w:rPr>
          <w:noProof/>
          <w:lang w:val="pl-PL"/>
        </w:rPr>
      </w:pPr>
    </w:p>
    <w:p w14:paraId="4569F7D2" w14:textId="2ACE8182" w:rsidR="00D6787A" w:rsidRPr="00F61166" w:rsidRDefault="00D6787A" w:rsidP="002821B9">
      <w:pPr>
        <w:pStyle w:val="Default"/>
        <w:jc w:val="both"/>
        <w:rPr>
          <w:noProof/>
          <w:lang w:val="pl-PL"/>
        </w:rPr>
      </w:pPr>
      <w:r w:rsidRPr="00F61166">
        <w:rPr>
          <w:noProof/>
          <w:lang w:val="pl-PL"/>
        </w:rPr>
        <w:t>Potrzeba aktualizacji wykazów została potwierdzona</w:t>
      </w:r>
      <w:r w:rsidR="00CC55C0" w:rsidRPr="00F61166">
        <w:rPr>
          <w:noProof/>
          <w:lang w:val="pl-PL"/>
        </w:rPr>
        <w:t xml:space="preserve"> w</w:t>
      </w:r>
      <w:r w:rsidR="00CC55C0">
        <w:rPr>
          <w:noProof/>
          <w:lang w:val="pl-PL"/>
        </w:rPr>
        <w:t> </w:t>
      </w:r>
      <w:r w:rsidR="00CC55C0" w:rsidRPr="00F61166">
        <w:rPr>
          <w:noProof/>
          <w:lang w:val="pl-PL"/>
        </w:rPr>
        <w:t>ram</w:t>
      </w:r>
      <w:r w:rsidRPr="00F61166">
        <w:rPr>
          <w:noProof/>
          <w:lang w:val="pl-PL"/>
        </w:rPr>
        <w:t>ach oceny adekwatności</w:t>
      </w:r>
      <w:r w:rsidRPr="0071228C">
        <w:rPr>
          <w:rStyle w:val="FootnoteReference"/>
          <w:b/>
          <w:noProof/>
        </w:rPr>
        <w:footnoteReference w:id="13"/>
      </w:r>
      <w:r w:rsidR="00CC55C0" w:rsidRPr="00F61166">
        <w:rPr>
          <w:noProof/>
          <w:lang w:val="pl-PL"/>
        </w:rPr>
        <w:t xml:space="preserve"> z</w:t>
      </w:r>
      <w:r w:rsidR="00CC55C0">
        <w:rPr>
          <w:noProof/>
          <w:lang w:val="pl-PL"/>
        </w:rPr>
        <w:t> </w:t>
      </w:r>
      <w:r w:rsidR="00CC55C0" w:rsidRPr="00F61166">
        <w:rPr>
          <w:noProof/>
          <w:lang w:val="pl-PL"/>
        </w:rPr>
        <w:t>2</w:t>
      </w:r>
      <w:r w:rsidRPr="00F61166">
        <w:rPr>
          <w:noProof/>
          <w:lang w:val="pl-PL"/>
        </w:rPr>
        <w:t>0</w:t>
      </w:r>
      <w:r w:rsidRPr="00CC55C0">
        <w:rPr>
          <w:noProof/>
          <w:lang w:val="pl-PL"/>
        </w:rPr>
        <w:t>19</w:t>
      </w:r>
      <w:r w:rsidR="00CC55C0" w:rsidRPr="00CC55C0">
        <w:rPr>
          <w:noProof/>
          <w:lang w:val="pl-PL"/>
        </w:rPr>
        <w:t> </w:t>
      </w:r>
      <w:r w:rsidRPr="00CC55C0">
        <w:rPr>
          <w:noProof/>
          <w:lang w:val="pl-PL"/>
        </w:rPr>
        <w:t>r.</w:t>
      </w:r>
      <w:r w:rsidRPr="00F61166">
        <w:rPr>
          <w:noProof/>
          <w:lang w:val="pl-PL"/>
        </w:rPr>
        <w:t>,</w:t>
      </w:r>
      <w:r w:rsidR="00CC55C0" w:rsidRPr="00F61166">
        <w:rPr>
          <w:noProof/>
          <w:lang w:val="pl-PL"/>
        </w:rPr>
        <w:t xml:space="preserve"> w</w:t>
      </w:r>
      <w:r w:rsidR="00CC55C0">
        <w:rPr>
          <w:noProof/>
          <w:lang w:val="pl-PL"/>
        </w:rPr>
        <w:t> </w:t>
      </w:r>
      <w:r w:rsidR="00CC55C0" w:rsidRPr="00F61166">
        <w:rPr>
          <w:noProof/>
          <w:lang w:val="pl-PL"/>
        </w:rPr>
        <w:t>któ</w:t>
      </w:r>
      <w:r w:rsidRPr="00F61166">
        <w:rPr>
          <w:noProof/>
          <w:lang w:val="pl-PL"/>
        </w:rPr>
        <w:t>rej stwierdzono również, że inne ulepszenia przepisów zwiększyłyby ich skuteczność, efektywność</w:t>
      </w:r>
      <w:r w:rsidR="00CC55C0" w:rsidRPr="00F61166">
        <w:rPr>
          <w:noProof/>
          <w:lang w:val="pl-PL"/>
        </w:rPr>
        <w:t xml:space="preserve"> i</w:t>
      </w:r>
      <w:r w:rsidR="00CC55C0">
        <w:rPr>
          <w:noProof/>
          <w:lang w:val="pl-PL"/>
        </w:rPr>
        <w:t> </w:t>
      </w:r>
      <w:r w:rsidR="00CC55C0" w:rsidRPr="00F61166">
        <w:rPr>
          <w:noProof/>
          <w:lang w:val="pl-PL"/>
        </w:rPr>
        <w:t>spó</w:t>
      </w:r>
      <w:r w:rsidRPr="00F61166">
        <w:rPr>
          <w:noProof/>
          <w:lang w:val="pl-PL"/>
        </w:rPr>
        <w:t>jność. Biorąc pod uwagę nadrzędny cel polityki wodnej UE, inicjatywa obejmuje następujące cele ogólne:</w:t>
      </w:r>
    </w:p>
    <w:p w14:paraId="0D5509D6" w14:textId="31A60E9F" w:rsidR="00D6787A" w:rsidRPr="0071228C" w:rsidRDefault="00CC55C0" w:rsidP="00CC55C0">
      <w:pPr>
        <w:pStyle w:val="Point1"/>
        <w:rPr>
          <w:noProof/>
        </w:rPr>
      </w:pPr>
      <w:r>
        <w:rPr>
          <w:noProof/>
        </w:rPr>
        <w:t>1)</w:t>
      </w:r>
      <w:r>
        <w:rPr>
          <w:noProof/>
        </w:rPr>
        <w:tab/>
      </w:r>
      <w:r w:rsidR="00DA5216" w:rsidRPr="0071228C">
        <w:rPr>
          <w:noProof/>
        </w:rPr>
        <w:t>zwiększenie ochrony obywateli Unii</w:t>
      </w:r>
      <w:r w:rsidRPr="0071228C">
        <w:rPr>
          <w:noProof/>
        </w:rPr>
        <w:t xml:space="preserve"> i</w:t>
      </w:r>
      <w:r>
        <w:rPr>
          <w:noProof/>
        </w:rPr>
        <w:t> </w:t>
      </w:r>
      <w:r w:rsidRPr="0071228C">
        <w:rPr>
          <w:noProof/>
        </w:rPr>
        <w:t>eko</w:t>
      </w:r>
      <w:r w:rsidR="00DA5216" w:rsidRPr="0071228C">
        <w:rPr>
          <w:noProof/>
        </w:rPr>
        <w:t>systemów naturalnych zgodnie</w:t>
      </w:r>
      <w:r w:rsidRPr="0071228C">
        <w:rPr>
          <w:noProof/>
        </w:rPr>
        <w:t xml:space="preserve"> z</w:t>
      </w:r>
      <w:r>
        <w:rPr>
          <w:noProof/>
        </w:rPr>
        <w:t> </w:t>
      </w:r>
      <w:r w:rsidRPr="0071228C">
        <w:rPr>
          <w:noProof/>
        </w:rPr>
        <w:t>uni</w:t>
      </w:r>
      <w:r w:rsidR="00DA5216" w:rsidRPr="0071228C">
        <w:rPr>
          <w:noProof/>
        </w:rPr>
        <w:t>jną strategią na rzecz bioróżnorodności 2030</w:t>
      </w:r>
      <w:r w:rsidR="00DA5216" w:rsidRPr="0071228C">
        <w:rPr>
          <w:rStyle w:val="FootnoteReference"/>
          <w:noProof/>
        </w:rPr>
        <w:footnoteReference w:id="14"/>
      </w:r>
      <w:r w:rsidRPr="0071228C">
        <w:rPr>
          <w:noProof/>
        </w:rPr>
        <w:t xml:space="preserve"> i</w:t>
      </w:r>
      <w:r>
        <w:rPr>
          <w:noProof/>
        </w:rPr>
        <w:t> </w:t>
      </w:r>
      <w:r w:rsidRPr="0071228C">
        <w:rPr>
          <w:noProof/>
        </w:rPr>
        <w:t>pla</w:t>
      </w:r>
      <w:r w:rsidR="00DA5216" w:rsidRPr="0071228C">
        <w:rPr>
          <w:noProof/>
        </w:rPr>
        <w:t>nem działania UE na rzecz eliminacji zanieczyszczeń</w:t>
      </w:r>
      <w:r w:rsidR="00DA5216" w:rsidRPr="0071228C">
        <w:rPr>
          <w:rStyle w:val="FootnoteReference"/>
          <w:noProof/>
        </w:rPr>
        <w:footnoteReference w:id="15"/>
      </w:r>
      <w:r w:rsidR="00DA5216" w:rsidRPr="0071228C">
        <w:rPr>
          <w:noProof/>
        </w:rPr>
        <w:t>, które uwzględniono</w:t>
      </w:r>
      <w:r w:rsidRPr="0071228C">
        <w:rPr>
          <w:noProof/>
        </w:rPr>
        <w:t xml:space="preserve"> w</w:t>
      </w:r>
      <w:r>
        <w:rPr>
          <w:noProof/>
        </w:rPr>
        <w:t> </w:t>
      </w:r>
      <w:r w:rsidRPr="0071228C">
        <w:rPr>
          <w:noProof/>
        </w:rPr>
        <w:t>Eur</w:t>
      </w:r>
      <w:r w:rsidR="00DA5216" w:rsidRPr="0071228C">
        <w:rPr>
          <w:noProof/>
        </w:rPr>
        <w:t>opejskim Zielonym Ładzie</w:t>
      </w:r>
      <w:r w:rsidR="00DA5216" w:rsidRPr="0071228C">
        <w:rPr>
          <w:rStyle w:val="FootnoteReference"/>
          <w:noProof/>
        </w:rPr>
        <w:footnoteReference w:id="16"/>
      </w:r>
      <w:r w:rsidR="00DA5216" w:rsidRPr="0071228C">
        <w:rPr>
          <w:noProof/>
        </w:rPr>
        <w:t>;</w:t>
      </w:r>
    </w:p>
    <w:p w14:paraId="1267025B" w14:textId="061D3833" w:rsidR="002821B9" w:rsidRPr="0071228C" w:rsidRDefault="00CC55C0" w:rsidP="00CC55C0">
      <w:pPr>
        <w:pStyle w:val="Point1"/>
        <w:rPr>
          <w:noProof/>
        </w:rPr>
      </w:pPr>
      <w:r>
        <w:rPr>
          <w:noProof/>
        </w:rPr>
        <w:t>2)</w:t>
      </w:r>
      <w:r>
        <w:rPr>
          <w:noProof/>
        </w:rPr>
        <w:tab/>
      </w:r>
      <w:r w:rsidR="00DA5216" w:rsidRPr="0071228C">
        <w:rPr>
          <w:noProof/>
        </w:rPr>
        <w:t>zwiększenie skuteczności</w:t>
      </w:r>
      <w:r w:rsidRPr="0071228C">
        <w:rPr>
          <w:noProof/>
        </w:rPr>
        <w:t xml:space="preserve"> i</w:t>
      </w:r>
      <w:r>
        <w:rPr>
          <w:noProof/>
        </w:rPr>
        <w:t> </w:t>
      </w:r>
      <w:r w:rsidRPr="0071228C">
        <w:rPr>
          <w:noProof/>
        </w:rPr>
        <w:t>zmn</w:t>
      </w:r>
      <w:r w:rsidR="00DA5216" w:rsidRPr="0071228C">
        <w:rPr>
          <w:noProof/>
        </w:rPr>
        <w:t>iejszenie obciążeń administracyjnych wynikających</w:t>
      </w:r>
      <w:r w:rsidRPr="0071228C">
        <w:rPr>
          <w:noProof/>
        </w:rPr>
        <w:t xml:space="preserve"> z</w:t>
      </w:r>
      <w:r>
        <w:rPr>
          <w:noProof/>
        </w:rPr>
        <w:t> </w:t>
      </w:r>
      <w:r w:rsidRPr="0071228C">
        <w:rPr>
          <w:noProof/>
        </w:rPr>
        <w:t>pra</w:t>
      </w:r>
      <w:r w:rsidR="00DA5216" w:rsidRPr="0071228C">
        <w:rPr>
          <w:noProof/>
        </w:rPr>
        <w:t xml:space="preserve">wodawstwa, umożliwienie UE szybszego reagowania na pojawiające się zagrożenia. </w:t>
      </w:r>
    </w:p>
    <w:p w14:paraId="14D20599" w14:textId="0E227AE3" w:rsidR="00DF2075" w:rsidRPr="00F61166" w:rsidRDefault="00782F18" w:rsidP="00AA0600">
      <w:pPr>
        <w:pStyle w:val="Default"/>
        <w:jc w:val="both"/>
        <w:rPr>
          <w:noProof/>
          <w:lang w:val="pl-PL"/>
        </w:rPr>
      </w:pPr>
      <w:r w:rsidRPr="00F61166">
        <w:rPr>
          <w:noProof/>
          <w:lang w:val="pl-PL"/>
        </w:rPr>
        <w:t>Narażenie na substancje chemiczne poprzez wodę pitną może prowadzić do różnych krótko-</w:t>
      </w:r>
      <w:r w:rsidR="00CC55C0" w:rsidRPr="00F61166">
        <w:rPr>
          <w:noProof/>
          <w:lang w:val="pl-PL"/>
        </w:rPr>
        <w:t xml:space="preserve"> i</w:t>
      </w:r>
      <w:r w:rsidR="00CC55C0">
        <w:rPr>
          <w:noProof/>
          <w:lang w:val="pl-PL"/>
        </w:rPr>
        <w:t> </w:t>
      </w:r>
      <w:r w:rsidR="00CC55C0" w:rsidRPr="00F61166">
        <w:rPr>
          <w:noProof/>
          <w:lang w:val="pl-PL"/>
        </w:rPr>
        <w:t>dłu</w:t>
      </w:r>
      <w:r w:rsidRPr="00F61166">
        <w:rPr>
          <w:noProof/>
          <w:lang w:val="pl-PL"/>
        </w:rPr>
        <w:t>goterminowych skutków dla zdrowia. Substancje chemiczne stanowią również zagrożenie dla środowiska wodnego, co przyczynia się do zmian</w:t>
      </w:r>
      <w:r w:rsidR="00CC55C0" w:rsidRPr="00F61166">
        <w:rPr>
          <w:noProof/>
          <w:lang w:val="pl-PL"/>
        </w:rPr>
        <w:t xml:space="preserve"> w</w:t>
      </w:r>
      <w:r w:rsidR="00CC55C0">
        <w:rPr>
          <w:noProof/>
          <w:lang w:val="pl-PL"/>
        </w:rPr>
        <w:t> </w:t>
      </w:r>
      <w:r w:rsidR="00CC55C0" w:rsidRPr="00F61166">
        <w:rPr>
          <w:noProof/>
          <w:lang w:val="pl-PL"/>
        </w:rPr>
        <w:t>gat</w:t>
      </w:r>
      <w:r w:rsidRPr="00F61166">
        <w:rPr>
          <w:noProof/>
          <w:lang w:val="pl-PL"/>
        </w:rPr>
        <w:t>unkach dominujących oraz zmniejszenia lub utraty różnorodności biologicznej. Ustanowienie środowiskowych norm jakości</w:t>
      </w:r>
      <w:r w:rsidR="00CC55C0" w:rsidRPr="00F61166">
        <w:rPr>
          <w:noProof/>
          <w:lang w:val="pl-PL"/>
        </w:rPr>
        <w:t xml:space="preserve"> w</w:t>
      </w:r>
      <w:r w:rsidR="00CC55C0">
        <w:rPr>
          <w:noProof/>
          <w:lang w:val="pl-PL"/>
        </w:rPr>
        <w:t> </w:t>
      </w:r>
      <w:r w:rsidR="00CC55C0" w:rsidRPr="00F61166">
        <w:rPr>
          <w:noProof/>
          <w:lang w:val="pl-PL"/>
        </w:rPr>
        <w:t>odn</w:t>
      </w:r>
      <w:r w:rsidRPr="00F61166">
        <w:rPr>
          <w:noProof/>
          <w:lang w:val="pl-PL"/>
        </w:rPr>
        <w:t>iesieniu do substancji chemicznych</w:t>
      </w:r>
      <w:r w:rsidR="00CC55C0" w:rsidRPr="00F61166">
        <w:rPr>
          <w:noProof/>
          <w:lang w:val="pl-PL"/>
        </w:rPr>
        <w:t xml:space="preserve"> w</w:t>
      </w:r>
      <w:r w:rsidR="00CC55C0">
        <w:rPr>
          <w:noProof/>
          <w:lang w:val="pl-PL"/>
        </w:rPr>
        <w:t> </w:t>
      </w:r>
      <w:r w:rsidR="00CC55C0" w:rsidRPr="00F61166">
        <w:rPr>
          <w:noProof/>
          <w:lang w:val="pl-PL"/>
        </w:rPr>
        <w:t>jed</w:t>
      </w:r>
      <w:r w:rsidRPr="00F61166">
        <w:rPr>
          <w:noProof/>
          <w:lang w:val="pl-PL"/>
        </w:rPr>
        <w:t>nolitych częściach wód</w:t>
      </w:r>
      <w:r w:rsidR="00CC55C0" w:rsidRPr="00F61166">
        <w:rPr>
          <w:noProof/>
          <w:lang w:val="pl-PL"/>
        </w:rPr>
        <w:t xml:space="preserve"> i</w:t>
      </w:r>
      <w:r w:rsidR="00CC55C0">
        <w:rPr>
          <w:noProof/>
          <w:lang w:val="pl-PL"/>
        </w:rPr>
        <w:t> </w:t>
      </w:r>
      <w:r w:rsidR="00CC55C0" w:rsidRPr="00F61166">
        <w:rPr>
          <w:noProof/>
          <w:lang w:val="pl-PL"/>
        </w:rPr>
        <w:t>ich</w:t>
      </w:r>
      <w:r w:rsidRPr="00F61166">
        <w:rPr>
          <w:noProof/>
          <w:lang w:val="pl-PL"/>
        </w:rPr>
        <w:t xml:space="preserve"> kontrola uzupełniają przepisy dotyczące źródeł</w:t>
      </w:r>
      <w:r w:rsidR="00CC55C0" w:rsidRPr="00F61166">
        <w:rPr>
          <w:noProof/>
          <w:lang w:val="pl-PL"/>
        </w:rPr>
        <w:t xml:space="preserve"> i</w:t>
      </w:r>
      <w:r w:rsidR="00CC55C0">
        <w:rPr>
          <w:noProof/>
          <w:lang w:val="pl-PL"/>
        </w:rPr>
        <w:t> </w:t>
      </w:r>
      <w:r w:rsidR="00CC55C0" w:rsidRPr="00F61166">
        <w:rPr>
          <w:noProof/>
          <w:lang w:val="pl-PL"/>
        </w:rPr>
        <w:t>spo</w:t>
      </w:r>
      <w:r w:rsidRPr="00F61166">
        <w:rPr>
          <w:noProof/>
          <w:lang w:val="pl-PL"/>
        </w:rPr>
        <w:t xml:space="preserve">sobów, mając na celu wprowadzanie bardziej rygorystycznych norm produkcji, emisji lub stosowania oraz zmniejszanie kosztów uzdatniania wody pitnej. </w:t>
      </w:r>
    </w:p>
    <w:p w14:paraId="582D7C52" w14:textId="77777777" w:rsidR="006443F6" w:rsidRPr="00F61166" w:rsidRDefault="006443F6" w:rsidP="002821B9">
      <w:pPr>
        <w:pStyle w:val="Default"/>
        <w:jc w:val="both"/>
        <w:rPr>
          <w:noProof/>
          <w:lang w:val="pl-PL"/>
        </w:rPr>
      </w:pPr>
    </w:p>
    <w:p w14:paraId="64074967" w14:textId="376DC4E1" w:rsidR="002821B9" w:rsidRPr="00CC55C0" w:rsidRDefault="002821B9" w:rsidP="002821B9">
      <w:pPr>
        <w:pBdr>
          <w:top w:val="nil"/>
          <w:left w:val="nil"/>
          <w:bottom w:val="nil"/>
          <w:right w:val="nil"/>
          <w:between w:val="nil"/>
          <w:bar w:val="nil"/>
        </w:pBdr>
        <w:spacing w:before="0" w:after="240"/>
        <w:rPr>
          <w:noProof/>
        </w:rPr>
      </w:pPr>
      <w:r w:rsidRPr="0071228C">
        <w:rPr>
          <w:noProof/>
        </w:rPr>
        <w:t>Inicjatywa obejmuje następujące cele szczegółowe</w:t>
      </w:r>
      <w:r w:rsidRPr="00CC55C0">
        <w:rPr>
          <w:noProof/>
        </w:rPr>
        <w:t>:</w:t>
      </w:r>
      <w:r w:rsidR="00CC55C0" w:rsidRPr="00CC55C0">
        <w:rPr>
          <w:noProof/>
        </w:rPr>
        <w:t xml:space="preserve"> </w:t>
      </w:r>
    </w:p>
    <w:p w14:paraId="0697D8AD" w14:textId="25281526" w:rsidR="002821B9" w:rsidRPr="00F61166" w:rsidRDefault="00052C52" w:rsidP="00693AF5">
      <w:pPr>
        <w:pStyle w:val="Default"/>
        <w:numPr>
          <w:ilvl w:val="0"/>
          <w:numId w:val="14"/>
        </w:numPr>
        <w:spacing w:after="27"/>
        <w:jc w:val="both"/>
        <w:rPr>
          <w:noProof/>
          <w:lang w:val="pl-PL"/>
        </w:rPr>
      </w:pPr>
      <w:r w:rsidRPr="00F61166">
        <w:rPr>
          <w:noProof/>
          <w:lang w:val="pl-PL"/>
        </w:rPr>
        <w:t>aktualizacja wykazów zanieczyszczeń mających wpływ na wody powierzchniowe</w:t>
      </w:r>
      <w:r w:rsidR="00CC55C0" w:rsidRPr="00F61166">
        <w:rPr>
          <w:noProof/>
          <w:lang w:val="pl-PL"/>
        </w:rPr>
        <w:t xml:space="preserve"> i</w:t>
      </w:r>
      <w:r w:rsidR="00CC55C0">
        <w:rPr>
          <w:noProof/>
          <w:lang w:val="pl-PL"/>
        </w:rPr>
        <w:t> </w:t>
      </w:r>
      <w:r w:rsidR="00CC55C0" w:rsidRPr="00F61166">
        <w:rPr>
          <w:noProof/>
          <w:lang w:val="pl-PL"/>
        </w:rPr>
        <w:t>pod</w:t>
      </w:r>
      <w:r w:rsidRPr="00F61166">
        <w:rPr>
          <w:noProof/>
          <w:lang w:val="pl-PL"/>
        </w:rPr>
        <w:t>ziemne, polegająca na dodawaniu</w:t>
      </w:r>
      <w:r w:rsidR="00CC55C0" w:rsidRPr="00F61166">
        <w:rPr>
          <w:noProof/>
          <w:lang w:val="pl-PL"/>
        </w:rPr>
        <w:t xml:space="preserve"> i</w:t>
      </w:r>
      <w:r w:rsidR="00CC55C0">
        <w:rPr>
          <w:noProof/>
          <w:lang w:val="pl-PL"/>
        </w:rPr>
        <w:t> </w:t>
      </w:r>
      <w:r w:rsidR="00CC55C0" w:rsidRPr="00F61166">
        <w:rPr>
          <w:noProof/>
          <w:lang w:val="pl-PL"/>
        </w:rPr>
        <w:t>usu</w:t>
      </w:r>
      <w:r w:rsidRPr="00F61166">
        <w:rPr>
          <w:noProof/>
          <w:lang w:val="pl-PL"/>
        </w:rPr>
        <w:t xml:space="preserve">waniu substancji oraz aktualizacji obowiązujących norm jakości; </w:t>
      </w:r>
    </w:p>
    <w:p w14:paraId="0A6019AD" w14:textId="77777777" w:rsidR="002821B9" w:rsidRPr="00F61166" w:rsidRDefault="00052C52" w:rsidP="00693AF5">
      <w:pPr>
        <w:pStyle w:val="Default"/>
        <w:numPr>
          <w:ilvl w:val="0"/>
          <w:numId w:val="14"/>
        </w:numPr>
        <w:spacing w:after="27"/>
        <w:jc w:val="both"/>
        <w:rPr>
          <w:noProof/>
          <w:lang w:val="pl-PL"/>
        </w:rPr>
      </w:pPr>
      <w:r w:rsidRPr="00F61166">
        <w:rPr>
          <w:noProof/>
          <w:lang w:val="pl-PL"/>
        </w:rPr>
        <w:t xml:space="preserve">poprawa monitorowania mieszanin chemicznych, aby lepiej ocenić łączne efekty oraz uwzględnić sezonowe zmiany stężeń substancji zanieczyszczających; </w:t>
      </w:r>
    </w:p>
    <w:p w14:paraId="23C5B780" w14:textId="114F0170" w:rsidR="002821B9" w:rsidRPr="00F61166" w:rsidRDefault="00052C52" w:rsidP="00693AF5">
      <w:pPr>
        <w:pStyle w:val="Default"/>
        <w:numPr>
          <w:ilvl w:val="0"/>
          <w:numId w:val="14"/>
        </w:numPr>
        <w:spacing w:after="27"/>
        <w:jc w:val="both"/>
        <w:rPr>
          <w:noProof/>
          <w:lang w:val="pl-PL"/>
        </w:rPr>
      </w:pPr>
      <w:r w:rsidRPr="00F61166">
        <w:rPr>
          <w:noProof/>
          <w:lang w:val="pl-PL"/>
        </w:rPr>
        <w:t>ujednolicenie,</w:t>
      </w:r>
      <w:r w:rsidR="00CC55C0" w:rsidRPr="00F61166">
        <w:rPr>
          <w:noProof/>
          <w:lang w:val="pl-PL"/>
        </w:rPr>
        <w:t xml:space="preserve"> w</w:t>
      </w:r>
      <w:r w:rsidR="00CC55C0">
        <w:rPr>
          <w:noProof/>
          <w:lang w:val="pl-PL"/>
        </w:rPr>
        <w:t> </w:t>
      </w:r>
      <w:r w:rsidR="00CC55C0" w:rsidRPr="00F61166">
        <w:rPr>
          <w:noProof/>
          <w:lang w:val="pl-PL"/>
        </w:rPr>
        <w:t>sto</w:t>
      </w:r>
      <w:r w:rsidRPr="00F61166">
        <w:rPr>
          <w:noProof/>
          <w:lang w:val="pl-PL"/>
        </w:rPr>
        <w:t>sownych przypadkach, sposobu eliminowania substancji zanieczyszczających</w:t>
      </w:r>
      <w:r w:rsidR="00CC55C0" w:rsidRPr="00F61166">
        <w:rPr>
          <w:noProof/>
          <w:lang w:val="pl-PL"/>
        </w:rPr>
        <w:t xml:space="preserve"> w</w:t>
      </w:r>
      <w:r w:rsidR="00CC55C0">
        <w:rPr>
          <w:noProof/>
          <w:lang w:val="pl-PL"/>
        </w:rPr>
        <w:t> </w:t>
      </w:r>
      <w:r w:rsidR="00CC55C0" w:rsidRPr="00F61166">
        <w:rPr>
          <w:noProof/>
          <w:lang w:val="pl-PL"/>
        </w:rPr>
        <w:t>wod</w:t>
      </w:r>
      <w:r w:rsidRPr="00F61166">
        <w:rPr>
          <w:noProof/>
          <w:lang w:val="pl-PL"/>
        </w:rPr>
        <w:t>ach powierzchniowych</w:t>
      </w:r>
      <w:r w:rsidR="00CC55C0" w:rsidRPr="00F61166">
        <w:rPr>
          <w:noProof/>
          <w:lang w:val="pl-PL"/>
        </w:rPr>
        <w:t xml:space="preserve"> i</w:t>
      </w:r>
      <w:r w:rsidR="00CC55C0">
        <w:rPr>
          <w:noProof/>
          <w:lang w:val="pl-PL"/>
        </w:rPr>
        <w:t> </w:t>
      </w:r>
      <w:r w:rsidR="00CC55C0" w:rsidRPr="00F61166">
        <w:rPr>
          <w:noProof/>
          <w:lang w:val="pl-PL"/>
        </w:rPr>
        <w:t>pod</w:t>
      </w:r>
      <w:r w:rsidRPr="00F61166">
        <w:rPr>
          <w:noProof/>
          <w:lang w:val="pl-PL"/>
        </w:rPr>
        <w:t>ziemnych</w:t>
      </w:r>
      <w:r w:rsidR="00CC55C0" w:rsidRPr="00F61166">
        <w:rPr>
          <w:noProof/>
          <w:lang w:val="pl-PL"/>
        </w:rPr>
        <w:t xml:space="preserve"> w</w:t>
      </w:r>
      <w:r w:rsidR="00CC55C0">
        <w:rPr>
          <w:noProof/>
          <w:lang w:val="pl-PL"/>
        </w:rPr>
        <w:t> </w:t>
      </w:r>
      <w:r w:rsidR="00CC55C0" w:rsidRPr="00F61166">
        <w:rPr>
          <w:noProof/>
          <w:lang w:val="pl-PL"/>
        </w:rPr>
        <w:t>cał</w:t>
      </w:r>
      <w:r w:rsidRPr="00F61166">
        <w:rPr>
          <w:noProof/>
          <w:lang w:val="pl-PL"/>
        </w:rPr>
        <w:t xml:space="preserve">ej UE; </w:t>
      </w:r>
    </w:p>
    <w:p w14:paraId="731D5F12" w14:textId="77777777" w:rsidR="002821B9" w:rsidRPr="00F61166" w:rsidRDefault="00052C52" w:rsidP="00693AF5">
      <w:pPr>
        <w:pStyle w:val="Default"/>
        <w:numPr>
          <w:ilvl w:val="0"/>
          <w:numId w:val="14"/>
        </w:numPr>
        <w:spacing w:after="27"/>
        <w:jc w:val="both"/>
        <w:rPr>
          <w:noProof/>
          <w:lang w:val="pl-PL"/>
        </w:rPr>
      </w:pPr>
      <w:r w:rsidRPr="00F61166">
        <w:rPr>
          <w:noProof/>
          <w:lang w:val="pl-PL"/>
        </w:rPr>
        <w:t xml:space="preserve">zapewnienie możliwości szybszego dostosowania ram prawnych do wyników badań naukowych, aby można było sprawniej reagować na nowo pojawiające się zanieczyszczenia; </w:t>
      </w:r>
    </w:p>
    <w:p w14:paraId="48D530DF" w14:textId="7A674E14" w:rsidR="002821B9" w:rsidRPr="00CC55C0" w:rsidRDefault="00052C52" w:rsidP="00693AF5">
      <w:pPr>
        <w:pStyle w:val="Default"/>
        <w:numPr>
          <w:ilvl w:val="0"/>
          <w:numId w:val="14"/>
        </w:numPr>
        <w:jc w:val="both"/>
        <w:rPr>
          <w:noProof/>
          <w:color w:val="auto"/>
          <w:lang w:val="pl-PL"/>
        </w:rPr>
      </w:pPr>
      <w:r w:rsidRPr="00F61166">
        <w:rPr>
          <w:noProof/>
          <w:lang w:val="pl-PL"/>
        </w:rPr>
        <w:t>poprawa dostępu do danych, ich przejrzystości</w:t>
      </w:r>
      <w:r w:rsidR="00CC55C0" w:rsidRPr="00F61166">
        <w:rPr>
          <w:noProof/>
          <w:lang w:val="pl-PL"/>
        </w:rPr>
        <w:t xml:space="preserve"> i</w:t>
      </w:r>
      <w:r w:rsidR="00CC55C0">
        <w:rPr>
          <w:noProof/>
          <w:lang w:val="pl-PL"/>
        </w:rPr>
        <w:t> </w:t>
      </w:r>
      <w:r w:rsidR="00CC55C0" w:rsidRPr="00F61166">
        <w:rPr>
          <w:noProof/>
          <w:lang w:val="pl-PL"/>
        </w:rPr>
        <w:t>pon</w:t>
      </w:r>
      <w:r w:rsidRPr="00F61166">
        <w:rPr>
          <w:noProof/>
          <w:lang w:val="pl-PL"/>
        </w:rPr>
        <w:t>ownego wykorzystania, aby zwiększyć zgodność, zmniejszyć obciążenie administracyjne</w:t>
      </w:r>
      <w:r w:rsidR="00CC55C0" w:rsidRPr="00F61166">
        <w:rPr>
          <w:noProof/>
          <w:lang w:val="pl-PL"/>
        </w:rPr>
        <w:t xml:space="preserve"> i</w:t>
      </w:r>
      <w:r w:rsidR="00CC55C0">
        <w:rPr>
          <w:noProof/>
          <w:lang w:val="pl-PL"/>
        </w:rPr>
        <w:t> </w:t>
      </w:r>
      <w:r w:rsidR="00CC55C0" w:rsidRPr="00F61166">
        <w:rPr>
          <w:noProof/>
          <w:lang w:val="pl-PL"/>
        </w:rPr>
        <w:t>pop</w:t>
      </w:r>
      <w:r w:rsidRPr="00F61166">
        <w:rPr>
          <w:noProof/>
          <w:lang w:val="pl-PL"/>
        </w:rPr>
        <w:t>rawić spójność</w:t>
      </w:r>
      <w:r w:rsidR="00CC55C0" w:rsidRPr="00F61166">
        <w:rPr>
          <w:noProof/>
          <w:lang w:val="pl-PL"/>
        </w:rPr>
        <w:t xml:space="preserve"> z</w:t>
      </w:r>
      <w:r w:rsidR="00CC55C0">
        <w:rPr>
          <w:noProof/>
          <w:lang w:val="pl-PL"/>
        </w:rPr>
        <w:t> </w:t>
      </w:r>
      <w:r w:rsidR="00CC55C0" w:rsidRPr="00F61166">
        <w:rPr>
          <w:noProof/>
          <w:lang w:val="pl-PL"/>
        </w:rPr>
        <w:t>sze</w:t>
      </w:r>
      <w:r w:rsidRPr="00F61166">
        <w:rPr>
          <w:noProof/>
          <w:lang w:val="pl-PL"/>
        </w:rPr>
        <w:t>rszymi ramami prawnymi UE dotyczącymi chemikaliów</w:t>
      </w:r>
      <w:r w:rsidRPr="00CC55C0">
        <w:rPr>
          <w:noProof/>
          <w:lang w:val="pl-PL"/>
        </w:rPr>
        <w:t>.</w:t>
      </w:r>
      <w:r w:rsidR="00CC55C0" w:rsidRPr="00CC55C0">
        <w:rPr>
          <w:noProof/>
          <w:lang w:val="pl-PL"/>
        </w:rPr>
        <w:t xml:space="preserve"> </w:t>
      </w:r>
    </w:p>
    <w:p w14:paraId="35C0B441" w14:textId="3FFF341A" w:rsidR="00694AA8" w:rsidRPr="0071228C" w:rsidRDefault="00DF2075" w:rsidP="00D50B74">
      <w:pPr>
        <w:rPr>
          <w:noProof/>
        </w:rPr>
      </w:pPr>
      <w:r w:rsidRPr="0071228C">
        <w:rPr>
          <w:noProof/>
        </w:rPr>
        <w:t>Ostatecznym celem inicjatywy jest ustanowienie nowych norm</w:t>
      </w:r>
      <w:r w:rsidR="00CC55C0" w:rsidRPr="0071228C">
        <w:rPr>
          <w:noProof/>
        </w:rPr>
        <w:t xml:space="preserve"> w</w:t>
      </w:r>
      <w:r w:rsidR="00CC55C0">
        <w:rPr>
          <w:noProof/>
        </w:rPr>
        <w:t> </w:t>
      </w:r>
      <w:r w:rsidR="00CC55C0" w:rsidRPr="0071228C">
        <w:rPr>
          <w:noProof/>
        </w:rPr>
        <w:t>odn</w:t>
      </w:r>
      <w:r w:rsidRPr="0071228C">
        <w:rPr>
          <w:noProof/>
        </w:rPr>
        <w:t>iesieniu do szeregu substancji chemicznych potencjalnie niebezpiecznych, aby przeciwdziałać chemicznemu zanieczyszczeniu wód, ułatwić egzekwowanie przepisów</w:t>
      </w:r>
      <w:r w:rsidR="00CC55C0" w:rsidRPr="0071228C">
        <w:rPr>
          <w:noProof/>
        </w:rPr>
        <w:t xml:space="preserve"> w</w:t>
      </w:r>
      <w:r w:rsidR="00CC55C0">
        <w:rPr>
          <w:noProof/>
        </w:rPr>
        <w:t> </w:t>
      </w:r>
      <w:r w:rsidR="00CC55C0" w:rsidRPr="0071228C">
        <w:rPr>
          <w:noProof/>
        </w:rPr>
        <w:t>opa</w:t>
      </w:r>
      <w:r w:rsidRPr="0071228C">
        <w:rPr>
          <w:noProof/>
        </w:rPr>
        <w:t>rciu</w:t>
      </w:r>
      <w:r w:rsidR="00CC55C0" w:rsidRPr="0071228C">
        <w:rPr>
          <w:noProof/>
        </w:rPr>
        <w:t xml:space="preserve"> o</w:t>
      </w:r>
      <w:r w:rsidR="00CC55C0">
        <w:rPr>
          <w:noProof/>
        </w:rPr>
        <w:t> </w:t>
      </w:r>
      <w:r w:rsidR="00CC55C0" w:rsidRPr="0071228C">
        <w:rPr>
          <w:noProof/>
        </w:rPr>
        <w:t>upr</w:t>
      </w:r>
      <w:r w:rsidRPr="0071228C">
        <w:rPr>
          <w:noProof/>
        </w:rPr>
        <w:t>oszczone</w:t>
      </w:r>
      <w:r w:rsidR="00CC55C0" w:rsidRPr="0071228C">
        <w:rPr>
          <w:noProof/>
        </w:rPr>
        <w:t xml:space="preserve"> i</w:t>
      </w:r>
      <w:r w:rsidR="00CC55C0">
        <w:rPr>
          <w:noProof/>
        </w:rPr>
        <w:t> </w:t>
      </w:r>
      <w:r w:rsidR="00CC55C0" w:rsidRPr="0071228C">
        <w:rPr>
          <w:noProof/>
        </w:rPr>
        <w:t>bar</w:t>
      </w:r>
      <w:r w:rsidRPr="0071228C">
        <w:rPr>
          <w:noProof/>
        </w:rPr>
        <w:t>dziej spójne ramy prawne, zapewnić dynamiczne</w:t>
      </w:r>
      <w:r w:rsidR="00CC55C0" w:rsidRPr="0071228C">
        <w:rPr>
          <w:noProof/>
        </w:rPr>
        <w:t xml:space="preserve"> i</w:t>
      </w:r>
      <w:r w:rsidR="00CC55C0">
        <w:rPr>
          <w:noProof/>
        </w:rPr>
        <w:t> </w:t>
      </w:r>
      <w:r w:rsidR="00CC55C0" w:rsidRPr="0071228C">
        <w:rPr>
          <w:noProof/>
        </w:rPr>
        <w:t>akt</w:t>
      </w:r>
      <w:r w:rsidRPr="0071228C">
        <w:rPr>
          <w:noProof/>
        </w:rPr>
        <w:t>ualne informacje na temat stanu wód –</w:t>
      </w:r>
      <w:r w:rsidR="00CC55C0" w:rsidRPr="0071228C">
        <w:rPr>
          <w:noProof/>
        </w:rPr>
        <w:t xml:space="preserve"> w</w:t>
      </w:r>
      <w:r w:rsidR="00CC55C0">
        <w:rPr>
          <w:noProof/>
        </w:rPr>
        <w:t> </w:t>
      </w:r>
      <w:r w:rsidR="00CC55C0" w:rsidRPr="0071228C">
        <w:rPr>
          <w:noProof/>
        </w:rPr>
        <w:t>czy</w:t>
      </w:r>
      <w:r w:rsidRPr="0071228C">
        <w:rPr>
          <w:noProof/>
        </w:rPr>
        <w:t>m pomaga Europejska Agencja Środowiska („EEA”) – oraz stworzyć bardziej elastyczne ramy dotyczące nowych substancji zanieczyszczających. Polegałoby to na szerokim zaangażowaniu zainteresowanych stron, jak również na rzetelnym wsparciu naukowym ze strony Europejskiej Agencji Chemikaliów („ECHA”),</w:t>
      </w:r>
      <w:r w:rsidR="00CC55C0" w:rsidRPr="0071228C">
        <w:rPr>
          <w:noProof/>
        </w:rPr>
        <w:t xml:space="preserve"> w</w:t>
      </w:r>
      <w:r w:rsidR="00CC55C0">
        <w:rPr>
          <w:noProof/>
        </w:rPr>
        <w:t> </w:t>
      </w:r>
      <w:r w:rsidR="00CC55C0" w:rsidRPr="0071228C">
        <w:rPr>
          <w:noProof/>
        </w:rPr>
        <w:t>cel</w:t>
      </w:r>
      <w:r w:rsidRPr="0071228C">
        <w:rPr>
          <w:noProof/>
        </w:rPr>
        <w:t>u zapewnienia maksymalnych synergii</w:t>
      </w:r>
      <w:r w:rsidR="00CC55C0" w:rsidRPr="0071228C">
        <w:rPr>
          <w:noProof/>
        </w:rPr>
        <w:t xml:space="preserve"> i</w:t>
      </w:r>
      <w:r w:rsidR="00CC55C0">
        <w:rPr>
          <w:noProof/>
        </w:rPr>
        <w:t> </w:t>
      </w:r>
      <w:r w:rsidR="00CC55C0" w:rsidRPr="0071228C">
        <w:rPr>
          <w:noProof/>
        </w:rPr>
        <w:t>spó</w:t>
      </w:r>
      <w:r w:rsidRPr="0071228C">
        <w:rPr>
          <w:noProof/>
        </w:rPr>
        <w:t xml:space="preserve">jności przepisów Unii dotyczących substancji chemicznych. </w:t>
      </w:r>
    </w:p>
    <w:p w14:paraId="3CCFE1E7" w14:textId="538C52E2"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t>Spójność</w:t>
      </w:r>
      <w:r w:rsidR="00CC55C0" w:rsidRPr="0071228C">
        <w:rPr>
          <w:noProof/>
        </w:rPr>
        <w:t xml:space="preserve"> z</w:t>
      </w:r>
      <w:r w:rsidR="00CC55C0">
        <w:rPr>
          <w:noProof/>
        </w:rPr>
        <w:t> </w:t>
      </w:r>
      <w:r w:rsidR="00CC55C0" w:rsidRPr="0071228C">
        <w:rPr>
          <w:noProof/>
        </w:rPr>
        <w:t>prz</w:t>
      </w:r>
      <w:r w:rsidRPr="0071228C">
        <w:rPr>
          <w:noProof/>
        </w:rPr>
        <w:t>episami obowiązującymi</w:t>
      </w:r>
      <w:r w:rsidR="00CC55C0" w:rsidRPr="0071228C">
        <w:rPr>
          <w:noProof/>
        </w:rPr>
        <w:t xml:space="preserve"> w</w:t>
      </w:r>
      <w:r w:rsidR="00CC55C0">
        <w:rPr>
          <w:noProof/>
        </w:rPr>
        <w:t> </w:t>
      </w:r>
      <w:r w:rsidR="00CC55C0" w:rsidRPr="0071228C">
        <w:rPr>
          <w:noProof/>
        </w:rPr>
        <w:t>tej</w:t>
      </w:r>
      <w:r w:rsidRPr="0071228C">
        <w:rPr>
          <w:noProof/>
        </w:rPr>
        <w:t xml:space="preserve"> dziedzinie polityki</w:t>
      </w:r>
    </w:p>
    <w:p w14:paraId="0E1A2EEA" w14:textId="2C24BB38" w:rsidR="00DE4378" w:rsidRPr="0071228C" w:rsidRDefault="002821B9" w:rsidP="002821B9">
      <w:pPr>
        <w:pBdr>
          <w:top w:val="nil"/>
          <w:left w:val="nil"/>
          <w:bottom w:val="nil"/>
          <w:right w:val="nil"/>
          <w:between w:val="nil"/>
          <w:bar w:val="nil"/>
        </w:pBdr>
        <w:spacing w:before="0" w:after="240"/>
        <w:rPr>
          <w:noProof/>
        </w:rPr>
      </w:pPr>
      <w:r w:rsidRPr="0071228C">
        <w:rPr>
          <w:noProof/>
        </w:rPr>
        <w:t>Wniosek jest</w:t>
      </w:r>
      <w:r w:rsidR="00CC55C0" w:rsidRPr="0071228C">
        <w:rPr>
          <w:noProof/>
        </w:rPr>
        <w:t xml:space="preserve"> w</w:t>
      </w:r>
      <w:r w:rsidR="00CC55C0">
        <w:rPr>
          <w:noProof/>
        </w:rPr>
        <w:t> </w:t>
      </w:r>
      <w:r w:rsidR="00CC55C0" w:rsidRPr="0071228C">
        <w:rPr>
          <w:noProof/>
        </w:rPr>
        <w:t>peł</w:t>
      </w:r>
      <w:r w:rsidRPr="0071228C">
        <w:rPr>
          <w:noProof/>
        </w:rPr>
        <w:t>ni spójny</w:t>
      </w:r>
      <w:r w:rsidR="00CC55C0" w:rsidRPr="0071228C">
        <w:rPr>
          <w:noProof/>
        </w:rPr>
        <w:t xml:space="preserve"> z</w:t>
      </w:r>
      <w:r w:rsidR="00CC55C0">
        <w:rPr>
          <w:noProof/>
        </w:rPr>
        <w:t> </w:t>
      </w:r>
      <w:r w:rsidR="00CC55C0" w:rsidRPr="0071228C">
        <w:rPr>
          <w:noProof/>
        </w:rPr>
        <w:t>poz</w:t>
      </w:r>
      <w:r w:rsidRPr="0071228C">
        <w:rPr>
          <w:noProof/>
        </w:rPr>
        <w:t>ostałymi przepisami dotyczącymi wody. Jeśli chodzi</w:t>
      </w:r>
      <w:r w:rsidR="00CC55C0" w:rsidRPr="0071228C">
        <w:rPr>
          <w:noProof/>
        </w:rPr>
        <w:t xml:space="preserve"> o</w:t>
      </w:r>
      <w:r w:rsidR="00CC55C0">
        <w:rPr>
          <w:noProof/>
        </w:rPr>
        <w:t> </w:t>
      </w:r>
      <w:r w:rsidR="00CC55C0" w:rsidRPr="0071228C">
        <w:rPr>
          <w:noProof/>
        </w:rPr>
        <w:t>dyr</w:t>
      </w:r>
      <w:r w:rsidRPr="0071228C">
        <w:rPr>
          <w:noProof/>
        </w:rPr>
        <w:t>ektywę dotyczącą oczyszczania ścieków komunalnych,</w:t>
      </w:r>
      <w:r w:rsidR="00CC55C0" w:rsidRPr="0071228C">
        <w:rPr>
          <w:noProof/>
        </w:rPr>
        <w:t xml:space="preserve"> w</w:t>
      </w:r>
      <w:r w:rsidR="00CC55C0">
        <w:rPr>
          <w:noProof/>
        </w:rPr>
        <w:t> </w:t>
      </w:r>
      <w:r w:rsidR="00CC55C0" w:rsidRPr="0071228C">
        <w:rPr>
          <w:noProof/>
        </w:rPr>
        <w:t>odn</w:t>
      </w:r>
      <w:r w:rsidRPr="0071228C">
        <w:rPr>
          <w:noProof/>
        </w:rPr>
        <w:t>iesieniu do której wraz</w:t>
      </w:r>
      <w:r w:rsidR="00CC55C0" w:rsidRPr="0071228C">
        <w:rPr>
          <w:noProof/>
        </w:rPr>
        <w:t xml:space="preserve"> z</w:t>
      </w:r>
      <w:r w:rsidR="00CC55C0">
        <w:rPr>
          <w:noProof/>
        </w:rPr>
        <w:t> </w:t>
      </w:r>
      <w:r w:rsidR="00CC55C0" w:rsidRPr="0071228C">
        <w:rPr>
          <w:noProof/>
        </w:rPr>
        <w:t>nin</w:t>
      </w:r>
      <w:r w:rsidRPr="0071228C">
        <w:rPr>
          <w:noProof/>
        </w:rPr>
        <w:t>iejszym wnioskiem przedstawia się jednocześnie wniosek</w:t>
      </w:r>
      <w:r w:rsidR="00CC55C0" w:rsidRPr="0071228C">
        <w:rPr>
          <w:noProof/>
        </w:rPr>
        <w:t xml:space="preserve"> w</w:t>
      </w:r>
      <w:r w:rsidR="00CC55C0">
        <w:rPr>
          <w:noProof/>
        </w:rPr>
        <w:t> </w:t>
      </w:r>
      <w:r w:rsidR="00CC55C0" w:rsidRPr="0071228C">
        <w:rPr>
          <w:noProof/>
        </w:rPr>
        <w:t>spr</w:t>
      </w:r>
      <w:r w:rsidRPr="0071228C">
        <w:rPr>
          <w:noProof/>
        </w:rPr>
        <w:t>awie zmiany, mikrozanieczyszczenia stanowią kluczowe wyzwanie. Konieczność ich usuwania</w:t>
      </w:r>
      <w:r w:rsidR="00CC55C0" w:rsidRPr="0071228C">
        <w:rPr>
          <w:noProof/>
        </w:rPr>
        <w:t xml:space="preserve"> w</w:t>
      </w:r>
      <w:r w:rsidR="00CC55C0">
        <w:rPr>
          <w:noProof/>
        </w:rPr>
        <w:t> </w:t>
      </w:r>
      <w:r w:rsidR="00CC55C0" w:rsidRPr="0071228C">
        <w:rPr>
          <w:noProof/>
        </w:rPr>
        <w:t>ocz</w:t>
      </w:r>
      <w:r w:rsidRPr="0071228C">
        <w:rPr>
          <w:noProof/>
        </w:rPr>
        <w:t>yszczalniach ścieków powoduje wzrost kosztów oczyszczania,</w:t>
      </w:r>
      <w:r w:rsidR="00CC55C0" w:rsidRPr="0071228C">
        <w:rPr>
          <w:noProof/>
        </w:rPr>
        <w:t xml:space="preserve"> a</w:t>
      </w:r>
      <w:r w:rsidR="00CC55C0">
        <w:rPr>
          <w:noProof/>
        </w:rPr>
        <w:t> </w:t>
      </w:r>
      <w:r w:rsidR="00CC55C0" w:rsidRPr="0071228C">
        <w:rPr>
          <w:noProof/>
        </w:rPr>
        <w:t>ich</w:t>
      </w:r>
      <w:r w:rsidRPr="0071228C">
        <w:rPr>
          <w:noProof/>
        </w:rPr>
        <w:t xml:space="preserve"> usunięcie nie zawsze jest możliwe</w:t>
      </w:r>
      <w:r w:rsidR="00CC55C0" w:rsidRPr="0071228C">
        <w:rPr>
          <w:noProof/>
        </w:rPr>
        <w:t>.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celem niniejszego wniosku jest stymulowanie większej liczby działań na wcześniejszych etapach poprzez ograniczenie emisji</w:t>
      </w:r>
      <w:r w:rsidR="00CC55C0" w:rsidRPr="0071228C">
        <w:rPr>
          <w:noProof/>
        </w:rPr>
        <w:t xml:space="preserve"> u</w:t>
      </w:r>
      <w:r w:rsidR="00CC55C0">
        <w:rPr>
          <w:noProof/>
        </w:rPr>
        <w:t> </w:t>
      </w:r>
      <w:r w:rsidR="00CC55C0" w:rsidRPr="0071228C">
        <w:rPr>
          <w:noProof/>
        </w:rPr>
        <w:t>źró</w:t>
      </w:r>
      <w:r w:rsidRPr="0071228C">
        <w:rPr>
          <w:noProof/>
        </w:rPr>
        <w:t>dła. Oczyszczanie ścieków będzie miało szczególne znaczenie</w:t>
      </w:r>
      <w:r w:rsidR="00CC55C0" w:rsidRPr="0071228C">
        <w:rPr>
          <w:noProof/>
        </w:rPr>
        <w:t xml:space="preserve"> w</w:t>
      </w:r>
      <w:r w:rsidR="00CC55C0">
        <w:rPr>
          <w:noProof/>
        </w:rPr>
        <w:t> </w:t>
      </w:r>
      <w:r w:rsidR="00CC55C0" w:rsidRPr="0071228C">
        <w:rPr>
          <w:noProof/>
        </w:rPr>
        <w:t>prz</w:t>
      </w:r>
      <w:r w:rsidRPr="0071228C">
        <w:rPr>
          <w:noProof/>
        </w:rPr>
        <w:t>ypadku określonych kategorii substancji zanieczyszczających: produktów farmaceutycznych</w:t>
      </w:r>
      <w:r w:rsidR="00CC55C0" w:rsidRPr="0071228C">
        <w:rPr>
          <w:noProof/>
        </w:rPr>
        <w:t xml:space="preserve"> i</w:t>
      </w:r>
      <w:r w:rsidR="00CC55C0">
        <w:rPr>
          <w:noProof/>
        </w:rPr>
        <w:t> </w:t>
      </w:r>
      <w:r w:rsidR="00CC55C0" w:rsidRPr="0071228C">
        <w:rPr>
          <w:noProof/>
        </w:rPr>
        <w:t>sub</w:t>
      </w:r>
      <w:r w:rsidRPr="0071228C">
        <w:rPr>
          <w:noProof/>
        </w:rPr>
        <w:t>stancji zawartych</w:t>
      </w:r>
      <w:r w:rsidR="00CC55C0" w:rsidRPr="0071228C">
        <w:rPr>
          <w:noProof/>
        </w:rPr>
        <w:t xml:space="preserve"> w</w:t>
      </w:r>
      <w:r w:rsidR="00CC55C0">
        <w:rPr>
          <w:noProof/>
        </w:rPr>
        <w:t> </w:t>
      </w:r>
      <w:r w:rsidR="00CC55C0" w:rsidRPr="0071228C">
        <w:rPr>
          <w:noProof/>
        </w:rPr>
        <w:t>pro</w:t>
      </w:r>
      <w:r w:rsidRPr="0071228C">
        <w:rPr>
          <w:noProof/>
        </w:rPr>
        <w:t>duktach higieny osobistej, ponieważ są one odprowadzane głównie</w:t>
      </w:r>
      <w:r w:rsidR="00CC55C0" w:rsidRPr="0071228C">
        <w:rPr>
          <w:noProof/>
        </w:rPr>
        <w:t xml:space="preserve"> w</w:t>
      </w:r>
      <w:r w:rsidR="00CC55C0">
        <w:rPr>
          <w:noProof/>
        </w:rPr>
        <w:t> </w:t>
      </w:r>
      <w:r w:rsidR="00CC55C0" w:rsidRPr="0071228C">
        <w:rPr>
          <w:noProof/>
        </w:rPr>
        <w:t>śro</w:t>
      </w:r>
      <w:r w:rsidRPr="0071228C">
        <w:rPr>
          <w:noProof/>
        </w:rPr>
        <w:t>dowisku miejskim.</w:t>
      </w:r>
    </w:p>
    <w:p w14:paraId="1D86923D" w14:textId="4AD1102B" w:rsidR="00DE4378" w:rsidRPr="0071228C" w:rsidRDefault="00847155" w:rsidP="002821B9">
      <w:pPr>
        <w:pBdr>
          <w:top w:val="nil"/>
          <w:left w:val="nil"/>
          <w:bottom w:val="nil"/>
          <w:right w:val="nil"/>
          <w:between w:val="nil"/>
          <w:bar w:val="nil"/>
        </w:pBdr>
        <w:spacing w:before="0" w:after="240"/>
        <w:rPr>
          <w:noProof/>
        </w:rPr>
      </w:pPr>
      <w:r w:rsidRPr="0071228C">
        <w:rPr>
          <w:noProof/>
        </w:rPr>
        <w:t>Ponadto dzięki unikaniu zanieczyszczania wody wniosek wpłynie korzystnie na możliwość ponownego wykorzystania wody,</w:t>
      </w:r>
      <w:r w:rsidR="00CC55C0" w:rsidRPr="0071228C">
        <w:rPr>
          <w:noProof/>
        </w:rPr>
        <w:t xml:space="preserve"> w</w:t>
      </w:r>
      <w:r w:rsidR="00CC55C0">
        <w:rPr>
          <w:noProof/>
        </w:rPr>
        <w:t> </w:t>
      </w:r>
      <w:r w:rsidR="00CC55C0" w:rsidRPr="0071228C">
        <w:rPr>
          <w:noProof/>
        </w:rPr>
        <w:t>tym</w:t>
      </w:r>
      <w:r w:rsidRPr="0071228C">
        <w:rPr>
          <w:noProof/>
        </w:rPr>
        <w:t xml:space="preserve"> do celów nawadniania, zgodnie</w:t>
      </w:r>
      <w:r w:rsidR="00CC55C0" w:rsidRPr="0071228C">
        <w:rPr>
          <w:noProof/>
        </w:rPr>
        <w:t xml:space="preserve"> z</w:t>
      </w:r>
      <w:r w:rsidR="00CC55C0">
        <w:rPr>
          <w:noProof/>
        </w:rPr>
        <w:t> </w:t>
      </w:r>
      <w:r w:rsidR="00CC55C0" w:rsidRPr="0071228C">
        <w:rPr>
          <w:noProof/>
        </w:rPr>
        <w:t>now</w:t>
      </w:r>
      <w:r w:rsidRPr="0071228C">
        <w:rPr>
          <w:noProof/>
        </w:rPr>
        <w:t>ym rozporządzeniem</w:t>
      </w:r>
      <w:r w:rsidR="00CC55C0" w:rsidRPr="0071228C">
        <w:rPr>
          <w:noProof/>
        </w:rPr>
        <w:t xml:space="preserve"> w</w:t>
      </w:r>
      <w:r w:rsidR="00CC55C0">
        <w:rPr>
          <w:noProof/>
        </w:rPr>
        <w:t> </w:t>
      </w:r>
      <w:r w:rsidR="00CC55C0" w:rsidRPr="0071228C">
        <w:rPr>
          <w:noProof/>
        </w:rPr>
        <w:t>spr</w:t>
      </w:r>
      <w:r w:rsidRPr="0071228C">
        <w:rPr>
          <w:noProof/>
        </w:rPr>
        <w:t>awie minimalnych wymogów dotyczących ponownego wykorzystania wody (rozporządzenie (UE) 2020/741)</w:t>
      </w:r>
      <w:r w:rsidRPr="0071228C">
        <w:rPr>
          <w:rStyle w:val="FootnoteReference"/>
          <w:noProof/>
        </w:rPr>
        <w:footnoteReference w:id="17"/>
      </w:r>
      <w:r w:rsidRPr="0071228C">
        <w:rPr>
          <w:noProof/>
        </w:rPr>
        <w:t>.</w:t>
      </w:r>
    </w:p>
    <w:p w14:paraId="4EA4EFB9" w14:textId="641453E9" w:rsidR="002821B9" w:rsidRPr="0071228C" w:rsidRDefault="002821B9" w:rsidP="002821B9">
      <w:pPr>
        <w:pBdr>
          <w:top w:val="nil"/>
          <w:left w:val="nil"/>
          <w:bottom w:val="nil"/>
          <w:right w:val="nil"/>
          <w:between w:val="nil"/>
          <w:bar w:val="nil"/>
        </w:pBdr>
        <w:spacing w:before="0" w:after="240"/>
        <w:rPr>
          <w:noProof/>
        </w:rPr>
      </w:pPr>
      <w:r w:rsidRPr="0071228C">
        <w:rPr>
          <w:noProof/>
        </w:rPr>
        <w:t>Niniejszy wniosek jest również spójny</w:t>
      </w:r>
      <w:r w:rsidR="00CC55C0" w:rsidRPr="0071228C">
        <w:rPr>
          <w:noProof/>
        </w:rPr>
        <w:t xml:space="preserve"> z</w:t>
      </w:r>
      <w:r w:rsidR="00CC55C0">
        <w:rPr>
          <w:noProof/>
        </w:rPr>
        <w:t> </w:t>
      </w:r>
      <w:r w:rsidR="00CC55C0" w:rsidRPr="0071228C">
        <w:rPr>
          <w:noProof/>
        </w:rPr>
        <w:t>nie</w:t>
      </w:r>
      <w:r w:rsidRPr="0071228C">
        <w:rPr>
          <w:noProof/>
        </w:rPr>
        <w:t>dawno zmienioną dyrektywą</w:t>
      </w:r>
      <w:r w:rsidR="00CC55C0" w:rsidRPr="0071228C">
        <w:rPr>
          <w:noProof/>
        </w:rPr>
        <w:t xml:space="preserve"> w</w:t>
      </w:r>
      <w:r w:rsidR="00CC55C0">
        <w:rPr>
          <w:noProof/>
        </w:rPr>
        <w:t> </w:t>
      </w:r>
      <w:r w:rsidR="00CC55C0" w:rsidRPr="0071228C">
        <w:rPr>
          <w:noProof/>
        </w:rPr>
        <w:t>spr</w:t>
      </w:r>
      <w:r w:rsidRPr="0071228C">
        <w:rPr>
          <w:noProof/>
        </w:rPr>
        <w:t>awie wody pitnej, która ma zostać transponowana we wszystkich państwach członkowskich do stycznia 20</w:t>
      </w:r>
      <w:r w:rsidRPr="00CC55C0">
        <w:rPr>
          <w:noProof/>
        </w:rPr>
        <w:t>23</w:t>
      </w:r>
      <w:r w:rsidR="00CC55C0" w:rsidRPr="00CC55C0">
        <w:rPr>
          <w:noProof/>
        </w:rPr>
        <w:t> </w:t>
      </w:r>
      <w:r w:rsidRPr="00CC55C0">
        <w:rPr>
          <w:noProof/>
        </w:rPr>
        <w:t>r.</w:t>
      </w:r>
      <w:r w:rsidRPr="0071228C">
        <w:rPr>
          <w:noProof/>
        </w:rPr>
        <w:t xml:space="preserve"> Dzięki zajęciu się problemem zanieczyszczenia wód powierzchniowych</w:t>
      </w:r>
      <w:r w:rsidR="00CC55C0" w:rsidRPr="0071228C">
        <w:rPr>
          <w:noProof/>
        </w:rPr>
        <w:t xml:space="preserve"> i</w:t>
      </w:r>
      <w:r w:rsidR="00CC55C0">
        <w:rPr>
          <w:noProof/>
        </w:rPr>
        <w:t> </w:t>
      </w:r>
      <w:r w:rsidR="00CC55C0" w:rsidRPr="0071228C">
        <w:rPr>
          <w:noProof/>
        </w:rPr>
        <w:t>pod</w:t>
      </w:r>
      <w:r w:rsidRPr="0071228C">
        <w:rPr>
          <w:noProof/>
        </w:rPr>
        <w:t>ziemnych niniejszy wniosek zapewni ochronę ważnych źródeł wody pitnej</w:t>
      </w:r>
      <w:r w:rsidR="00CC55C0" w:rsidRPr="0071228C">
        <w:rPr>
          <w:noProof/>
        </w:rPr>
        <w:t xml:space="preserve"> i</w:t>
      </w:r>
      <w:r w:rsidR="00CC55C0">
        <w:rPr>
          <w:noProof/>
        </w:rPr>
        <w:t> </w:t>
      </w:r>
      <w:r w:rsidR="00CC55C0" w:rsidRPr="0071228C">
        <w:rPr>
          <w:noProof/>
        </w:rPr>
        <w:t>obn</w:t>
      </w:r>
      <w:r w:rsidRPr="0071228C">
        <w:rPr>
          <w:noProof/>
        </w:rPr>
        <w:t>iżenie kosztów oczyszczania. Dyrektywa</w:t>
      </w:r>
      <w:r w:rsidR="00CC55C0" w:rsidRPr="0071228C">
        <w:rPr>
          <w:noProof/>
        </w:rPr>
        <w:t xml:space="preserve"> w</w:t>
      </w:r>
      <w:r w:rsidR="00CC55C0">
        <w:rPr>
          <w:noProof/>
        </w:rPr>
        <w:t> </w:t>
      </w:r>
      <w:r w:rsidR="00CC55C0" w:rsidRPr="0071228C">
        <w:rPr>
          <w:noProof/>
        </w:rPr>
        <w:t>spr</w:t>
      </w:r>
      <w:r w:rsidRPr="0071228C">
        <w:rPr>
          <w:noProof/>
        </w:rPr>
        <w:t>awie wody pitnej</w:t>
      </w:r>
      <w:r w:rsidR="00CC55C0" w:rsidRPr="0071228C">
        <w:rPr>
          <w:noProof/>
        </w:rPr>
        <w:t xml:space="preserve"> i</w:t>
      </w:r>
      <w:r w:rsidR="00CC55C0">
        <w:rPr>
          <w:noProof/>
        </w:rPr>
        <w:t> </w:t>
      </w:r>
      <w:r w:rsidR="00CC55C0" w:rsidRPr="0071228C">
        <w:rPr>
          <w:noProof/>
        </w:rPr>
        <w:t>nin</w:t>
      </w:r>
      <w:r w:rsidRPr="0071228C">
        <w:rPr>
          <w:noProof/>
        </w:rPr>
        <w:t>iejszy wniosek dotyczą szeregu substancji zanieczyszczających,</w:t>
      </w:r>
      <w:r w:rsidR="00CC55C0" w:rsidRPr="0071228C">
        <w:rPr>
          <w:noProof/>
        </w:rPr>
        <w:t xml:space="preserve"> w</w:t>
      </w:r>
      <w:r w:rsidR="00CC55C0">
        <w:rPr>
          <w:noProof/>
        </w:rPr>
        <w:t> </w:t>
      </w:r>
      <w:r w:rsidR="00CC55C0" w:rsidRPr="0071228C">
        <w:rPr>
          <w:noProof/>
        </w:rPr>
        <w:t>szc</w:t>
      </w:r>
      <w:r w:rsidRPr="0071228C">
        <w:rPr>
          <w:noProof/>
        </w:rPr>
        <w:t>zególności pestycydów, produktów farmaceutycznych oraz grupy substancji per-</w:t>
      </w:r>
      <w:r w:rsidR="00CC55C0" w:rsidRPr="0071228C">
        <w:rPr>
          <w:noProof/>
        </w:rPr>
        <w:t xml:space="preserve"> i</w:t>
      </w:r>
      <w:r w:rsidR="00CC55C0">
        <w:rPr>
          <w:noProof/>
        </w:rPr>
        <w:t> </w:t>
      </w:r>
      <w:r w:rsidR="00CC55C0" w:rsidRPr="0071228C">
        <w:rPr>
          <w:noProof/>
        </w:rPr>
        <w:t>pol</w:t>
      </w:r>
      <w:r w:rsidRPr="0071228C">
        <w:rPr>
          <w:noProof/>
        </w:rPr>
        <w:t>ifluoroalkilowych (PFAS)</w:t>
      </w:r>
      <w:r w:rsidR="00CC55C0" w:rsidRPr="0071228C">
        <w:rPr>
          <w:noProof/>
        </w:rPr>
        <w:t>. W</w:t>
      </w:r>
      <w:r w:rsidR="00CC55C0">
        <w:rPr>
          <w:noProof/>
        </w:rPr>
        <w:t> </w:t>
      </w:r>
      <w:r w:rsidR="00CC55C0" w:rsidRPr="0071228C">
        <w:rPr>
          <w:noProof/>
        </w:rPr>
        <w:t>odn</w:t>
      </w:r>
      <w:r w:rsidRPr="0071228C">
        <w:rPr>
          <w:noProof/>
        </w:rPr>
        <w:t>iesieniu do PFAS należy zauważyć, że niniejszy wniosek,</w:t>
      </w:r>
      <w:r w:rsidR="00CC55C0" w:rsidRPr="0071228C">
        <w:rPr>
          <w:noProof/>
        </w:rPr>
        <w:t xml:space="preserve"> w</w:t>
      </w:r>
      <w:r w:rsidR="00CC55C0">
        <w:rPr>
          <w:noProof/>
        </w:rPr>
        <w:t> </w:t>
      </w:r>
      <w:r w:rsidR="00CC55C0" w:rsidRPr="0071228C">
        <w:rPr>
          <w:noProof/>
        </w:rPr>
        <w:t>prz</w:t>
      </w:r>
      <w:r w:rsidRPr="0071228C">
        <w:rPr>
          <w:noProof/>
        </w:rPr>
        <w:t>eciwieństwie do zmienionej dyrektywy</w:t>
      </w:r>
      <w:r w:rsidR="00CC55C0" w:rsidRPr="0071228C">
        <w:rPr>
          <w:noProof/>
        </w:rPr>
        <w:t xml:space="preserve"> w</w:t>
      </w:r>
      <w:r w:rsidR="00CC55C0">
        <w:rPr>
          <w:noProof/>
        </w:rPr>
        <w:t> </w:t>
      </w:r>
      <w:r w:rsidR="00CC55C0" w:rsidRPr="0071228C">
        <w:rPr>
          <w:noProof/>
        </w:rPr>
        <w:t>spr</w:t>
      </w:r>
      <w:r w:rsidRPr="0071228C">
        <w:rPr>
          <w:noProof/>
        </w:rPr>
        <w:t>awie wody pitnej, opiera się na najnowszej opinii EFSA na temat PFAS przyjętej</w:t>
      </w:r>
      <w:r w:rsidR="00CC55C0" w:rsidRPr="0071228C">
        <w:rPr>
          <w:noProof/>
        </w:rPr>
        <w:t xml:space="preserve"> w</w:t>
      </w:r>
      <w:r w:rsidR="00CC55C0">
        <w:rPr>
          <w:noProof/>
        </w:rPr>
        <w:t> </w:t>
      </w:r>
      <w:r w:rsidR="00CC55C0" w:rsidRPr="0071228C">
        <w:rPr>
          <w:noProof/>
        </w:rPr>
        <w:t>dni</w:t>
      </w:r>
      <w:r w:rsidRPr="0071228C">
        <w:rPr>
          <w:noProof/>
        </w:rPr>
        <w:t>u 9 lipca 20</w:t>
      </w:r>
      <w:r w:rsidRPr="00CC55C0">
        <w:rPr>
          <w:noProof/>
        </w:rPr>
        <w:t>20</w:t>
      </w:r>
      <w:r w:rsidR="00CC55C0" w:rsidRPr="00CC55C0">
        <w:rPr>
          <w:noProof/>
        </w:rPr>
        <w:t> </w:t>
      </w:r>
      <w:r w:rsidRPr="00CC55C0">
        <w:rPr>
          <w:noProof/>
        </w:rPr>
        <w:t>r.</w:t>
      </w:r>
      <w:r w:rsidRPr="0071228C">
        <w:rPr>
          <w:noProof/>
        </w:rPr>
        <w:t xml:space="preserve"> Podobnie jak dyrektywa</w:t>
      </w:r>
      <w:r w:rsidR="00CC55C0" w:rsidRPr="0071228C">
        <w:rPr>
          <w:noProof/>
        </w:rPr>
        <w:t xml:space="preserve"> w</w:t>
      </w:r>
      <w:r w:rsidR="00CC55C0">
        <w:rPr>
          <w:noProof/>
        </w:rPr>
        <w:t> </w:t>
      </w:r>
      <w:r w:rsidR="00CC55C0" w:rsidRPr="0071228C">
        <w:rPr>
          <w:noProof/>
        </w:rPr>
        <w:t>spr</w:t>
      </w:r>
      <w:r w:rsidRPr="0071228C">
        <w:rPr>
          <w:noProof/>
        </w:rPr>
        <w:t>awie wody pitnej, również niniejszy wniosek uwzględnia mikrodrobiny plastiku, ale nie bezpośrednio, tylko dopiero po opracowaniu metodyki monitorowania. Niniejszy wniosek zostanie uwzględniony</w:t>
      </w:r>
      <w:r w:rsidR="00CC55C0" w:rsidRPr="0071228C">
        <w:rPr>
          <w:noProof/>
        </w:rPr>
        <w:t xml:space="preserve"> w</w:t>
      </w:r>
      <w:r w:rsidR="00CC55C0">
        <w:rPr>
          <w:noProof/>
        </w:rPr>
        <w:t> </w:t>
      </w:r>
      <w:r w:rsidR="00CC55C0" w:rsidRPr="0071228C">
        <w:rPr>
          <w:noProof/>
        </w:rPr>
        <w:t>bie</w:t>
      </w:r>
      <w:r w:rsidRPr="0071228C">
        <w:rPr>
          <w:noProof/>
        </w:rPr>
        <w:t>żącej ocenie dyrektywy dotyczącej jakości wody</w:t>
      </w:r>
      <w:r w:rsidR="00CC55C0" w:rsidRPr="0071228C">
        <w:rPr>
          <w:noProof/>
        </w:rPr>
        <w:t xml:space="preserve"> w</w:t>
      </w:r>
      <w:r w:rsidR="00CC55C0">
        <w:rPr>
          <w:noProof/>
        </w:rPr>
        <w:t> </w:t>
      </w:r>
      <w:r w:rsidR="00CC55C0" w:rsidRPr="0071228C">
        <w:rPr>
          <w:noProof/>
        </w:rPr>
        <w:t>kąp</w:t>
      </w:r>
      <w:r w:rsidRPr="0071228C">
        <w:rPr>
          <w:noProof/>
        </w:rPr>
        <w:t>ieliskach,</w:t>
      </w:r>
      <w:r w:rsidR="00CC55C0" w:rsidRPr="0071228C">
        <w:rPr>
          <w:noProof/>
        </w:rPr>
        <w:t xml:space="preserve"> a</w:t>
      </w:r>
      <w:r w:rsidR="00CC55C0">
        <w:rPr>
          <w:noProof/>
        </w:rPr>
        <w:t> </w:t>
      </w:r>
      <w:r w:rsidR="00CC55C0" w:rsidRPr="0071228C">
        <w:rPr>
          <w:noProof/>
        </w:rPr>
        <w:t>w</w:t>
      </w:r>
      <w:r w:rsidR="00CC55C0">
        <w:rPr>
          <w:noProof/>
        </w:rPr>
        <w:t> </w:t>
      </w:r>
      <w:r w:rsidR="00CC55C0" w:rsidRPr="0071228C">
        <w:rPr>
          <w:noProof/>
        </w:rPr>
        <w:t>prz</w:t>
      </w:r>
      <w:r w:rsidRPr="0071228C">
        <w:rPr>
          <w:noProof/>
        </w:rPr>
        <w:t>ypadku zmiany dyrektywy dotyczącej jakości wody</w:t>
      </w:r>
      <w:r w:rsidR="00CC55C0" w:rsidRPr="0071228C">
        <w:rPr>
          <w:noProof/>
        </w:rPr>
        <w:t xml:space="preserve"> w</w:t>
      </w:r>
      <w:r w:rsidR="00CC55C0">
        <w:rPr>
          <w:noProof/>
        </w:rPr>
        <w:t> </w:t>
      </w:r>
      <w:r w:rsidR="00CC55C0" w:rsidRPr="0071228C">
        <w:rPr>
          <w:noProof/>
        </w:rPr>
        <w:t>kąp</w:t>
      </w:r>
      <w:r w:rsidRPr="0071228C">
        <w:rPr>
          <w:noProof/>
        </w:rPr>
        <w:t>ieliskach, będzie on stanowił część scenariusza odniesienia na potrzeby oceny skutków tej dyrektywy.</w:t>
      </w:r>
    </w:p>
    <w:p w14:paraId="288D6393" w14:textId="0C9F9C67" w:rsidR="002522B4" w:rsidRPr="0071228C" w:rsidRDefault="002522B4" w:rsidP="002821B9">
      <w:pPr>
        <w:pBdr>
          <w:top w:val="nil"/>
          <w:left w:val="nil"/>
          <w:bottom w:val="nil"/>
          <w:right w:val="nil"/>
          <w:between w:val="nil"/>
          <w:bar w:val="nil"/>
        </w:pBdr>
        <w:spacing w:before="0" w:after="240"/>
        <w:rPr>
          <w:noProof/>
        </w:rPr>
      </w:pPr>
      <w:r w:rsidRPr="0071228C">
        <w:rPr>
          <w:noProof/>
        </w:rPr>
        <w:t>Wniosek jest również spójny</w:t>
      </w:r>
      <w:r w:rsidR="00CC55C0" w:rsidRPr="0071228C">
        <w:rPr>
          <w:noProof/>
        </w:rPr>
        <w:t xml:space="preserve"> z</w:t>
      </w:r>
      <w:r w:rsidR="00CC55C0">
        <w:rPr>
          <w:noProof/>
        </w:rPr>
        <w:t> </w:t>
      </w:r>
      <w:r w:rsidR="00CC55C0" w:rsidRPr="0071228C">
        <w:rPr>
          <w:noProof/>
        </w:rPr>
        <w:t>ost</w:t>
      </w:r>
      <w:r w:rsidRPr="0071228C">
        <w:rPr>
          <w:noProof/>
        </w:rPr>
        <w:t>atnimi wnioskami</w:t>
      </w:r>
      <w:r w:rsidRPr="0071228C">
        <w:rPr>
          <w:rStyle w:val="FootnoteReference"/>
          <w:noProof/>
        </w:rPr>
        <w:footnoteReference w:id="18"/>
      </w:r>
      <w:r w:rsidRPr="0071228C">
        <w:rPr>
          <w:noProof/>
        </w:rPr>
        <w:t xml:space="preserve"> Komisji dotyczącymi przeglądu unijnych środków mających na celu ograniczenia zanieczyszczeń pochodzących</w:t>
      </w:r>
      <w:r w:rsidR="00CC55C0" w:rsidRPr="0071228C">
        <w:rPr>
          <w:noProof/>
        </w:rPr>
        <w:t xml:space="preserve"> z</w:t>
      </w:r>
      <w:r w:rsidR="00CC55C0">
        <w:rPr>
          <w:noProof/>
        </w:rPr>
        <w:t> </w:t>
      </w:r>
      <w:r w:rsidR="00CC55C0" w:rsidRPr="0071228C">
        <w:rPr>
          <w:noProof/>
        </w:rPr>
        <w:t>duż</w:t>
      </w:r>
      <w:r w:rsidRPr="0071228C">
        <w:rPr>
          <w:noProof/>
        </w:rPr>
        <w:t>ych instalacji przemysłowych, które to wnioski, oprócz rozszerzenia zakresu dyrektywy</w:t>
      </w:r>
      <w:r w:rsidR="00CC55C0" w:rsidRPr="0071228C">
        <w:rPr>
          <w:noProof/>
        </w:rPr>
        <w:t xml:space="preserve"> w</w:t>
      </w:r>
      <w:r w:rsidR="00CC55C0">
        <w:rPr>
          <w:noProof/>
        </w:rPr>
        <w:t> </w:t>
      </w:r>
      <w:r w:rsidR="00CC55C0" w:rsidRPr="0071228C">
        <w:rPr>
          <w:noProof/>
        </w:rPr>
        <w:t>spr</w:t>
      </w:r>
      <w:r w:rsidRPr="0071228C">
        <w:rPr>
          <w:noProof/>
        </w:rPr>
        <w:t>awie emisji przemysłowych, mają również na celu poprawę zasobooszczędności oraz zapewnienie lepszej kontroli</w:t>
      </w:r>
      <w:r w:rsidR="00CC55C0" w:rsidRPr="0071228C">
        <w:rPr>
          <w:noProof/>
        </w:rPr>
        <w:t xml:space="preserve"> i</w:t>
      </w:r>
      <w:r w:rsidR="00CC55C0">
        <w:rPr>
          <w:noProof/>
        </w:rPr>
        <w:t> </w:t>
      </w:r>
      <w:r w:rsidR="00CC55C0" w:rsidRPr="0071228C">
        <w:rPr>
          <w:noProof/>
        </w:rPr>
        <w:t>wię</w:t>
      </w:r>
      <w:r w:rsidRPr="0071228C">
        <w:rPr>
          <w:noProof/>
        </w:rPr>
        <w:t>kszej integracji wymogów dotyczących wydawania zezwoleń,</w:t>
      </w:r>
      <w:r w:rsidR="00CC55C0" w:rsidRPr="0071228C">
        <w:rPr>
          <w:noProof/>
        </w:rPr>
        <w:t xml:space="preserve"> w</w:t>
      </w:r>
      <w:r w:rsidR="00CC55C0">
        <w:rPr>
          <w:noProof/>
        </w:rPr>
        <w:t> </w:t>
      </w:r>
      <w:r w:rsidR="00CC55C0" w:rsidRPr="0071228C">
        <w:rPr>
          <w:noProof/>
        </w:rPr>
        <w:t>tym</w:t>
      </w:r>
      <w:r w:rsidRPr="0071228C">
        <w:rPr>
          <w:noProof/>
        </w:rPr>
        <w:t xml:space="preserve"> dzięki wyjaśnieniu zasad mających zastosowanie do pośrednich uwolnień substancji zanieczyszczających do wody przez oczyszczalnie ścieków komunalnych. Ponadto celem wniosków jest sprzyjanie innowacjom, aby rozwiązać problem trwałych substancji chemicznych</w:t>
      </w:r>
      <w:r w:rsidR="00CC55C0" w:rsidRPr="0071228C">
        <w:rPr>
          <w:noProof/>
        </w:rPr>
        <w:t xml:space="preserve"> i</w:t>
      </w:r>
      <w:r w:rsidR="00CC55C0">
        <w:rPr>
          <w:noProof/>
        </w:rPr>
        <w:t> </w:t>
      </w:r>
      <w:r w:rsidR="00CC55C0" w:rsidRPr="0071228C">
        <w:rPr>
          <w:noProof/>
        </w:rPr>
        <w:t>sub</w:t>
      </w:r>
      <w:r w:rsidRPr="0071228C">
        <w:rPr>
          <w:noProof/>
        </w:rPr>
        <w:t>stancji niedawno zidentyfikowanych jako potencjalnie niebezpieczne,</w:t>
      </w:r>
      <w:r w:rsidR="00CC55C0" w:rsidRPr="0071228C">
        <w:rPr>
          <w:noProof/>
        </w:rPr>
        <w:t xml:space="preserve"> w</w:t>
      </w:r>
      <w:r w:rsidR="00CC55C0">
        <w:rPr>
          <w:noProof/>
        </w:rPr>
        <w:t> </w:t>
      </w:r>
      <w:r w:rsidR="00CC55C0" w:rsidRPr="0071228C">
        <w:rPr>
          <w:noProof/>
        </w:rPr>
        <w:t>tym</w:t>
      </w:r>
      <w:r w:rsidRPr="0071228C">
        <w:rPr>
          <w:noProof/>
        </w:rPr>
        <w:t xml:space="preserve"> PFAS, mikrodrobin plastiku</w:t>
      </w:r>
      <w:r w:rsidR="00CC55C0" w:rsidRPr="0071228C">
        <w:rPr>
          <w:noProof/>
        </w:rPr>
        <w:t xml:space="preserve"> i</w:t>
      </w:r>
      <w:r w:rsidR="00CC55C0">
        <w:rPr>
          <w:noProof/>
        </w:rPr>
        <w:t> </w:t>
      </w:r>
      <w:r w:rsidR="00CC55C0" w:rsidRPr="0071228C">
        <w:rPr>
          <w:noProof/>
        </w:rPr>
        <w:t>pro</w:t>
      </w:r>
      <w:r w:rsidRPr="0071228C">
        <w:rPr>
          <w:noProof/>
        </w:rPr>
        <w:t>duktów farmaceutycznych. Proces „wymiany informacji”</w:t>
      </w:r>
      <w:r w:rsidR="00CC55C0" w:rsidRPr="0071228C">
        <w:rPr>
          <w:noProof/>
        </w:rPr>
        <w:t xml:space="preserve"> w</w:t>
      </w:r>
      <w:r w:rsidR="00CC55C0">
        <w:rPr>
          <w:noProof/>
        </w:rPr>
        <w:t> </w:t>
      </w:r>
      <w:r w:rsidR="00CC55C0" w:rsidRPr="0071228C">
        <w:rPr>
          <w:noProof/>
        </w:rPr>
        <w:t>ram</w:t>
      </w:r>
      <w:r w:rsidRPr="0071228C">
        <w:rPr>
          <w:noProof/>
        </w:rPr>
        <w:t>ach zmienionej dyrektywy</w:t>
      </w:r>
      <w:r w:rsidR="00CC55C0" w:rsidRPr="0071228C">
        <w:rPr>
          <w:noProof/>
        </w:rPr>
        <w:t xml:space="preserve"> w</w:t>
      </w:r>
      <w:r w:rsidR="00CC55C0">
        <w:rPr>
          <w:noProof/>
        </w:rPr>
        <w:t> </w:t>
      </w:r>
      <w:r w:rsidR="00CC55C0" w:rsidRPr="0071228C">
        <w:rPr>
          <w:noProof/>
        </w:rPr>
        <w:t>spr</w:t>
      </w:r>
      <w:r w:rsidRPr="0071228C">
        <w:rPr>
          <w:noProof/>
        </w:rPr>
        <w:t>awie emisji przemysłowych, mający na celu opracowanie</w:t>
      </w:r>
      <w:r w:rsidR="00CC55C0" w:rsidRPr="0071228C">
        <w:rPr>
          <w:noProof/>
        </w:rPr>
        <w:t xml:space="preserve"> i</w:t>
      </w:r>
      <w:r w:rsidR="00CC55C0">
        <w:rPr>
          <w:noProof/>
        </w:rPr>
        <w:t> </w:t>
      </w:r>
      <w:r w:rsidR="00CC55C0" w:rsidRPr="0071228C">
        <w:rPr>
          <w:noProof/>
        </w:rPr>
        <w:t>prz</w:t>
      </w:r>
      <w:r w:rsidRPr="0071228C">
        <w:rPr>
          <w:noProof/>
        </w:rPr>
        <w:t>egląd dokumentów referencyjnych dotyczących najlepszych dostępnych technik, będzie uwzględniał identyfikację substancji potencjalnie niebezpiecznych na podstawie unijnego prawodawstwa</w:t>
      </w:r>
      <w:r w:rsidR="00CC55C0" w:rsidRPr="0071228C">
        <w:rPr>
          <w:noProof/>
        </w:rPr>
        <w:t xml:space="preserve"> w</w:t>
      </w:r>
      <w:r w:rsidR="00CC55C0">
        <w:rPr>
          <w:noProof/>
        </w:rPr>
        <w:t> </w:t>
      </w:r>
      <w:r w:rsidR="00CC55C0" w:rsidRPr="0071228C">
        <w:rPr>
          <w:noProof/>
        </w:rPr>
        <w:t>dzi</w:t>
      </w:r>
      <w:r w:rsidRPr="0071228C">
        <w:rPr>
          <w:noProof/>
        </w:rPr>
        <w:t>edzinie polityki wodnej,</w:t>
      </w:r>
      <w:r w:rsidR="00CC55C0" w:rsidRPr="0071228C">
        <w:rPr>
          <w:noProof/>
        </w:rPr>
        <w:t xml:space="preserve"> w</w:t>
      </w:r>
      <w:r w:rsidR="00CC55C0">
        <w:rPr>
          <w:noProof/>
        </w:rPr>
        <w:t> </w:t>
      </w:r>
      <w:r w:rsidR="00CC55C0" w:rsidRPr="0071228C">
        <w:rPr>
          <w:noProof/>
        </w:rPr>
        <w:t>tym</w:t>
      </w:r>
      <w:r w:rsidRPr="0071228C">
        <w:rPr>
          <w:noProof/>
        </w:rPr>
        <w:t xml:space="preserve"> substancji umieszczonych na „listach obserwacyjnych” będących zagrożeniem dla wód powierzchniowych</w:t>
      </w:r>
      <w:r w:rsidR="00CC55C0" w:rsidRPr="0071228C">
        <w:rPr>
          <w:noProof/>
        </w:rPr>
        <w:t xml:space="preserve"> i</w:t>
      </w:r>
      <w:r w:rsidR="00CC55C0">
        <w:rPr>
          <w:noProof/>
        </w:rPr>
        <w:t> </w:t>
      </w:r>
      <w:r w:rsidR="00CC55C0" w:rsidRPr="0071228C">
        <w:rPr>
          <w:noProof/>
        </w:rPr>
        <w:t>pod</w:t>
      </w:r>
      <w:r w:rsidRPr="0071228C">
        <w:rPr>
          <w:noProof/>
        </w:rPr>
        <w:t xml:space="preserve">ziemnych, jak również substancji zidentyfikowanych na poziomie UE jako potencjalnie stwarzające znaczne ryzyko dla środowiska wodnego lub za jego pośrednictwem. </w:t>
      </w:r>
    </w:p>
    <w:p w14:paraId="5331D04C" w14:textId="02A12DFA" w:rsidR="0047629D" w:rsidRPr="0071228C" w:rsidRDefault="0047629D" w:rsidP="005C4F36">
      <w:pPr>
        <w:pStyle w:val="ManualHeading2"/>
        <w:rPr>
          <w:rFonts w:eastAsia="Arial Unicode MS"/>
          <w:noProof/>
          <w:szCs w:val="24"/>
        </w:rPr>
      </w:pPr>
      <w:r w:rsidRPr="0071228C">
        <w:rPr>
          <w:noProof/>
          <w:color w:val="000000"/>
          <w:u w:color="000000"/>
          <w:bdr w:val="nil"/>
        </w:rPr>
        <w:t>•</w:t>
      </w:r>
      <w:r w:rsidRPr="0071228C">
        <w:rPr>
          <w:noProof/>
        </w:rPr>
        <w:tab/>
        <w:t>Spójność</w:t>
      </w:r>
      <w:r w:rsidR="00CC55C0" w:rsidRPr="0071228C">
        <w:rPr>
          <w:noProof/>
        </w:rPr>
        <w:t xml:space="preserve"> z</w:t>
      </w:r>
      <w:r w:rsidR="00CC55C0">
        <w:rPr>
          <w:noProof/>
        </w:rPr>
        <w:t> </w:t>
      </w:r>
      <w:r w:rsidR="00CC55C0" w:rsidRPr="0071228C">
        <w:rPr>
          <w:noProof/>
        </w:rPr>
        <w:t>inn</w:t>
      </w:r>
      <w:r w:rsidRPr="0071228C">
        <w:rPr>
          <w:noProof/>
        </w:rPr>
        <w:t>ymi politykami Unii</w:t>
      </w:r>
    </w:p>
    <w:p w14:paraId="3910E1E8" w14:textId="6AB581BD" w:rsidR="002821B9" w:rsidRPr="0071228C" w:rsidRDefault="002821B9" w:rsidP="00D70F64">
      <w:pPr>
        <w:pBdr>
          <w:top w:val="nil"/>
          <w:left w:val="nil"/>
          <w:bottom w:val="nil"/>
          <w:right w:val="nil"/>
          <w:between w:val="nil"/>
          <w:bar w:val="nil"/>
        </w:pBdr>
        <w:spacing w:before="0" w:after="240"/>
        <w:rPr>
          <w:noProof/>
          <w:szCs w:val="24"/>
        </w:rPr>
      </w:pPr>
      <w:r w:rsidRPr="0071228C">
        <w:rPr>
          <w:noProof/>
        </w:rPr>
        <w:t xml:space="preserve">Niniejsza inicjatywa stanowi część programu prac Komisji na </w:t>
      </w:r>
      <w:r w:rsidRPr="00CC55C0">
        <w:rPr>
          <w:noProof/>
        </w:rPr>
        <w:t>rok</w:t>
      </w:r>
      <w:r w:rsidR="00CC55C0" w:rsidRPr="00CC55C0">
        <w:rPr>
          <w:noProof/>
        </w:rPr>
        <w:t> </w:t>
      </w:r>
      <w:r w:rsidRPr="00CC55C0">
        <w:rPr>
          <w:noProof/>
        </w:rPr>
        <w:t>2</w:t>
      </w:r>
      <w:r w:rsidRPr="0071228C">
        <w:rPr>
          <w:noProof/>
        </w:rPr>
        <w:t>022</w:t>
      </w:r>
      <w:r w:rsidR="00CC55C0" w:rsidRPr="0071228C">
        <w:rPr>
          <w:noProof/>
        </w:rPr>
        <w:t xml:space="preserve"> i</w:t>
      </w:r>
      <w:r w:rsidR="00CC55C0">
        <w:rPr>
          <w:noProof/>
        </w:rPr>
        <w:t> </w:t>
      </w:r>
      <w:r w:rsidR="00CC55C0" w:rsidRPr="0071228C">
        <w:rPr>
          <w:noProof/>
        </w:rPr>
        <w:t>klu</w:t>
      </w:r>
      <w:r w:rsidRPr="0071228C">
        <w:rPr>
          <w:noProof/>
        </w:rPr>
        <w:t>czowe działanie</w:t>
      </w:r>
      <w:r w:rsidR="00CC55C0" w:rsidRPr="0071228C">
        <w:rPr>
          <w:noProof/>
        </w:rPr>
        <w:t xml:space="preserve"> w</w:t>
      </w:r>
      <w:r w:rsidR="00CC55C0">
        <w:rPr>
          <w:noProof/>
        </w:rPr>
        <w:t> </w:t>
      </w:r>
      <w:r w:rsidR="00CC55C0" w:rsidRPr="0071228C">
        <w:rPr>
          <w:noProof/>
        </w:rPr>
        <w:t>ram</w:t>
      </w:r>
      <w:r w:rsidRPr="0071228C">
        <w:rPr>
          <w:noProof/>
        </w:rPr>
        <w:t>ach planu działania UE na rzecz eliminacji zanieczyszczeń. Podobnie jak</w:t>
      </w:r>
      <w:r w:rsidR="00CC55C0" w:rsidRPr="0071228C">
        <w:rPr>
          <w:noProof/>
        </w:rPr>
        <w:t xml:space="preserve"> w</w:t>
      </w:r>
      <w:r w:rsidR="00CC55C0">
        <w:rPr>
          <w:noProof/>
        </w:rPr>
        <w:t> </w:t>
      </w:r>
      <w:r w:rsidR="00CC55C0" w:rsidRPr="0071228C">
        <w:rPr>
          <w:noProof/>
        </w:rPr>
        <w:t>prz</w:t>
      </w:r>
      <w:r w:rsidRPr="0071228C">
        <w:rPr>
          <w:noProof/>
        </w:rPr>
        <w:t>ypadku wszystkich inicjatyw</w:t>
      </w:r>
      <w:r w:rsidR="00CC55C0" w:rsidRPr="0071228C">
        <w:rPr>
          <w:noProof/>
        </w:rPr>
        <w:t xml:space="preserve"> w</w:t>
      </w:r>
      <w:r w:rsidR="00CC55C0">
        <w:rPr>
          <w:noProof/>
        </w:rPr>
        <w:t> </w:t>
      </w:r>
      <w:r w:rsidR="00CC55C0" w:rsidRPr="0071228C">
        <w:rPr>
          <w:noProof/>
        </w:rPr>
        <w:t>ram</w:t>
      </w:r>
      <w:r w:rsidRPr="0071228C">
        <w:rPr>
          <w:noProof/>
        </w:rPr>
        <w:t>ach Europejskiego Zielonego Ładu niniejsza inicjatywa ma na celu zapewnienie osiągnięcia celów</w:t>
      </w:r>
      <w:r w:rsidR="00CC55C0" w:rsidRPr="0071228C">
        <w:rPr>
          <w:noProof/>
        </w:rPr>
        <w:t xml:space="preserve"> w</w:t>
      </w:r>
      <w:r w:rsidR="00CC55C0">
        <w:rPr>
          <w:noProof/>
        </w:rPr>
        <w:t> </w:t>
      </w:r>
      <w:r w:rsidR="00CC55C0" w:rsidRPr="0071228C">
        <w:rPr>
          <w:noProof/>
        </w:rPr>
        <w:t>jak</w:t>
      </w:r>
      <w:r w:rsidRPr="0071228C">
        <w:rPr>
          <w:noProof/>
        </w:rPr>
        <w:t xml:space="preserve"> najbardziej skuteczny</w:t>
      </w:r>
      <w:r w:rsidR="00CC55C0" w:rsidRPr="0071228C">
        <w:rPr>
          <w:noProof/>
        </w:rPr>
        <w:t xml:space="preserve"> i</w:t>
      </w:r>
      <w:r w:rsidR="00CC55C0">
        <w:rPr>
          <w:noProof/>
        </w:rPr>
        <w:t> </w:t>
      </w:r>
      <w:r w:rsidR="00CC55C0" w:rsidRPr="0071228C">
        <w:rPr>
          <w:noProof/>
        </w:rPr>
        <w:t>jak</w:t>
      </w:r>
      <w:r w:rsidRPr="0071228C">
        <w:rPr>
          <w:noProof/>
        </w:rPr>
        <w:t xml:space="preserve"> najmniej uciążliwy sposób oraz zgodnie</w:t>
      </w:r>
      <w:r w:rsidR="00CC55C0" w:rsidRPr="0071228C">
        <w:rPr>
          <w:noProof/>
        </w:rPr>
        <w:t xml:space="preserve"> z</w:t>
      </w:r>
      <w:r w:rsidR="00CC55C0">
        <w:rPr>
          <w:noProof/>
        </w:rPr>
        <w:t> </w:t>
      </w:r>
      <w:r w:rsidR="00CC55C0" w:rsidRPr="0071228C">
        <w:rPr>
          <w:noProof/>
        </w:rPr>
        <w:t>zas</w:t>
      </w:r>
      <w:r w:rsidRPr="0071228C">
        <w:rPr>
          <w:noProof/>
        </w:rPr>
        <w:t>adą „nie czyń poważnych szkód”. Służy udoskonaleniu, aktualizacji</w:t>
      </w:r>
      <w:r w:rsidR="00CC55C0" w:rsidRPr="0071228C">
        <w:rPr>
          <w:noProof/>
        </w:rPr>
        <w:t xml:space="preserve"> i</w:t>
      </w:r>
      <w:r w:rsidR="00CC55C0">
        <w:rPr>
          <w:noProof/>
        </w:rPr>
        <w:t> </w:t>
      </w:r>
      <w:r w:rsidR="00CC55C0" w:rsidRPr="0071228C">
        <w:rPr>
          <w:noProof/>
        </w:rPr>
        <w:t>dos</w:t>
      </w:r>
      <w:r w:rsidRPr="0071228C">
        <w:rPr>
          <w:noProof/>
        </w:rPr>
        <w:t>tosowaniu obowiązujących przepisów</w:t>
      </w:r>
      <w:r w:rsidR="00CC55C0" w:rsidRPr="0071228C">
        <w:rPr>
          <w:noProof/>
        </w:rPr>
        <w:t xml:space="preserve"> w</w:t>
      </w:r>
      <w:r w:rsidR="00CC55C0">
        <w:rPr>
          <w:noProof/>
        </w:rPr>
        <w:t> </w:t>
      </w:r>
      <w:r w:rsidR="00CC55C0" w:rsidRPr="0071228C">
        <w:rPr>
          <w:noProof/>
        </w:rPr>
        <w:t>kon</w:t>
      </w:r>
      <w:r w:rsidRPr="0071228C">
        <w:rPr>
          <w:noProof/>
        </w:rPr>
        <w:t>tekście Zielonego Ładu. Niniejsza inicjatywa koncentruje się na określeniu strategii „zero zanieczyszczeń” zakładającej eliminację zanieczyszczeń wody,</w:t>
      </w:r>
      <w:r w:rsidR="00CC55C0" w:rsidRPr="0071228C">
        <w:rPr>
          <w:noProof/>
        </w:rPr>
        <w:t xml:space="preserve"> a</w:t>
      </w:r>
      <w:r w:rsidR="00CC55C0">
        <w:rPr>
          <w:noProof/>
        </w:rPr>
        <w:t> </w:t>
      </w:r>
      <w:r w:rsidR="00CC55C0" w:rsidRPr="0071228C">
        <w:rPr>
          <w:noProof/>
        </w:rPr>
        <w:t>tym</w:t>
      </w:r>
      <w:r w:rsidRPr="0071228C">
        <w:rPr>
          <w:noProof/>
        </w:rPr>
        <w:t xml:space="preserve"> samym na określeniu poziomu ochrony zdrowia ludzi</w:t>
      </w:r>
      <w:r w:rsidR="00CC55C0" w:rsidRPr="0071228C">
        <w:rPr>
          <w:noProof/>
        </w:rPr>
        <w:t xml:space="preserve"> i</w:t>
      </w:r>
      <w:r w:rsidR="00CC55C0">
        <w:rPr>
          <w:noProof/>
        </w:rPr>
        <w:t> </w:t>
      </w:r>
      <w:r w:rsidR="00CC55C0" w:rsidRPr="0071228C">
        <w:rPr>
          <w:noProof/>
        </w:rPr>
        <w:t>eko</w:t>
      </w:r>
      <w:r w:rsidRPr="0071228C">
        <w:rPr>
          <w:noProof/>
        </w:rPr>
        <w:t>systemów naturalnych. Wiele środków niezbędnych do osiągnięcia celu uwzględniono</w:t>
      </w:r>
      <w:r w:rsidR="00CC55C0" w:rsidRPr="0071228C">
        <w:rPr>
          <w:noProof/>
        </w:rPr>
        <w:t xml:space="preserve"> w</w:t>
      </w:r>
      <w:r w:rsidR="00CC55C0">
        <w:rPr>
          <w:noProof/>
        </w:rPr>
        <w:t> </w:t>
      </w:r>
      <w:r w:rsidR="00CC55C0" w:rsidRPr="0071228C">
        <w:rPr>
          <w:noProof/>
        </w:rPr>
        <w:t>inn</w:t>
      </w:r>
      <w:r w:rsidRPr="0071228C">
        <w:rPr>
          <w:noProof/>
        </w:rPr>
        <w:t xml:space="preserve">ych, ściśle powiązanych inicjatywach Europejskiego Zielonego Ładu. Należą do nich: </w:t>
      </w:r>
    </w:p>
    <w:p w14:paraId="57B74324" w14:textId="1A1746BF" w:rsidR="002821B9" w:rsidRPr="00F61166" w:rsidRDefault="002821B9" w:rsidP="00693AF5">
      <w:pPr>
        <w:pStyle w:val="Default"/>
        <w:numPr>
          <w:ilvl w:val="0"/>
          <w:numId w:val="15"/>
        </w:numPr>
        <w:spacing w:after="44"/>
        <w:jc w:val="both"/>
        <w:rPr>
          <w:noProof/>
          <w:lang w:val="pl-PL"/>
        </w:rPr>
      </w:pPr>
      <w:r w:rsidRPr="00F61166">
        <w:rPr>
          <w:noProof/>
          <w:lang w:val="pl-PL"/>
        </w:rPr>
        <w:t>Unijna strategia na rzecz bioróżnorodności 2030 oraz strategia „Od pola do stołu”</w:t>
      </w:r>
      <w:r w:rsidRPr="0071228C">
        <w:rPr>
          <w:rStyle w:val="FootnoteReference"/>
          <w:noProof/>
        </w:rPr>
        <w:footnoteReference w:id="19"/>
      </w:r>
      <w:r w:rsidRPr="00F61166">
        <w:rPr>
          <w:noProof/>
          <w:lang w:val="pl-PL"/>
        </w:rPr>
        <w:t>, których celem jest ograniczenie stosowania pestycydów</w:t>
      </w:r>
      <w:r w:rsidR="00CC55C0" w:rsidRPr="00F61166">
        <w:rPr>
          <w:noProof/>
          <w:lang w:val="pl-PL"/>
        </w:rPr>
        <w:t xml:space="preserve"> i</w:t>
      </w:r>
      <w:r w:rsidR="00CC55C0">
        <w:rPr>
          <w:noProof/>
          <w:lang w:val="pl-PL"/>
        </w:rPr>
        <w:t> </w:t>
      </w:r>
      <w:r w:rsidR="00CC55C0" w:rsidRPr="00F61166">
        <w:rPr>
          <w:noProof/>
          <w:lang w:val="pl-PL"/>
        </w:rPr>
        <w:t>naw</w:t>
      </w:r>
      <w:r w:rsidRPr="00F61166">
        <w:rPr>
          <w:noProof/>
          <w:lang w:val="pl-PL"/>
        </w:rPr>
        <w:t xml:space="preserve">ozów, ograniczenie strat substancji biogennych oraz sprzedaży środków przeciwdrobnoustrojowych </w:t>
      </w:r>
      <w:r w:rsidRPr="00CC55C0">
        <w:rPr>
          <w:noProof/>
          <w:lang w:val="pl-PL"/>
        </w:rPr>
        <w:t>do</w:t>
      </w:r>
      <w:r w:rsidR="00CC55C0" w:rsidRPr="00CC55C0">
        <w:rPr>
          <w:noProof/>
          <w:lang w:val="pl-PL"/>
        </w:rPr>
        <w:t> </w:t>
      </w:r>
      <w:r w:rsidRPr="00CC55C0">
        <w:rPr>
          <w:noProof/>
          <w:lang w:val="pl-PL"/>
        </w:rPr>
        <w:t>2</w:t>
      </w:r>
      <w:r w:rsidRPr="00F61166">
        <w:rPr>
          <w:noProof/>
          <w:lang w:val="pl-PL"/>
        </w:rPr>
        <w:t>0</w:t>
      </w:r>
      <w:r w:rsidRPr="00CC55C0">
        <w:rPr>
          <w:noProof/>
          <w:lang w:val="pl-PL"/>
        </w:rPr>
        <w:t>30</w:t>
      </w:r>
      <w:r w:rsidR="00CC55C0" w:rsidRPr="00CC55C0">
        <w:rPr>
          <w:noProof/>
          <w:lang w:val="pl-PL"/>
        </w:rPr>
        <w:t> </w:t>
      </w:r>
      <w:r w:rsidRPr="00CC55C0">
        <w:rPr>
          <w:noProof/>
          <w:lang w:val="pl-PL"/>
        </w:rPr>
        <w:t>r.</w:t>
      </w:r>
      <w:r w:rsidRPr="00F61166">
        <w:rPr>
          <w:noProof/>
          <w:lang w:val="pl-PL"/>
        </w:rPr>
        <w:t xml:space="preserve"> Ograniczenie stosowania pestycydów zostanie osiągnięte</w:t>
      </w:r>
      <w:r w:rsidR="00CC55C0" w:rsidRPr="00F61166">
        <w:rPr>
          <w:noProof/>
          <w:lang w:val="pl-PL"/>
        </w:rPr>
        <w:t xml:space="preserve"> w</w:t>
      </w:r>
      <w:r w:rsidR="00CC55C0">
        <w:rPr>
          <w:noProof/>
          <w:lang w:val="pl-PL"/>
        </w:rPr>
        <w:t> </w:t>
      </w:r>
      <w:r w:rsidR="00CC55C0" w:rsidRPr="00F61166">
        <w:rPr>
          <w:noProof/>
          <w:lang w:val="pl-PL"/>
        </w:rPr>
        <w:t>zna</w:t>
      </w:r>
      <w:r w:rsidRPr="00F61166">
        <w:rPr>
          <w:noProof/>
          <w:lang w:val="pl-PL"/>
        </w:rPr>
        <w:t>cznym stopniu dzięki wnioskowi</w:t>
      </w:r>
      <w:r w:rsidRPr="0071228C">
        <w:rPr>
          <w:rStyle w:val="FootnoteReference"/>
          <w:noProof/>
        </w:rPr>
        <w:footnoteReference w:id="20"/>
      </w:r>
      <w:r w:rsidRPr="00F61166">
        <w:rPr>
          <w:noProof/>
          <w:lang w:val="pl-PL"/>
        </w:rPr>
        <w:t xml:space="preserve"> Komisji dotyczącemu rozporządzenia Parlamentu Europejskiego</w:t>
      </w:r>
      <w:r w:rsidR="00CC55C0" w:rsidRPr="00F61166">
        <w:rPr>
          <w:noProof/>
          <w:lang w:val="pl-PL"/>
        </w:rPr>
        <w:t xml:space="preserve"> i</w:t>
      </w:r>
      <w:r w:rsidR="00CC55C0">
        <w:rPr>
          <w:noProof/>
          <w:lang w:val="pl-PL"/>
        </w:rPr>
        <w:t> </w:t>
      </w:r>
      <w:r w:rsidR="00CC55C0" w:rsidRPr="00F61166">
        <w:rPr>
          <w:noProof/>
          <w:lang w:val="pl-PL"/>
        </w:rPr>
        <w:t>Rad</w:t>
      </w:r>
      <w:r w:rsidRPr="00F61166">
        <w:rPr>
          <w:noProof/>
          <w:lang w:val="pl-PL"/>
        </w:rPr>
        <w:t>y</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zrównoważonego stosowania środków ochrony roślin</w:t>
      </w:r>
      <w:r w:rsidR="00CC55C0" w:rsidRPr="00F61166">
        <w:rPr>
          <w:noProof/>
          <w:lang w:val="pl-PL"/>
        </w:rPr>
        <w:t xml:space="preserve"> i</w:t>
      </w:r>
      <w:r w:rsidR="00CC55C0">
        <w:rPr>
          <w:noProof/>
          <w:lang w:val="pl-PL"/>
        </w:rPr>
        <w:t> </w:t>
      </w:r>
      <w:r w:rsidR="00CC55C0" w:rsidRPr="00F61166">
        <w:rPr>
          <w:noProof/>
          <w:lang w:val="pl-PL"/>
        </w:rPr>
        <w:t>w</w:t>
      </w:r>
      <w:r w:rsidR="00CC55C0">
        <w:rPr>
          <w:noProof/>
          <w:lang w:val="pl-PL"/>
        </w:rPr>
        <w:t> </w:t>
      </w:r>
      <w:r w:rsidR="00CC55C0" w:rsidRPr="00F61166">
        <w:rPr>
          <w:noProof/>
          <w:lang w:val="pl-PL"/>
        </w:rPr>
        <w:t>spr</w:t>
      </w:r>
      <w:r w:rsidRPr="00F61166">
        <w:rPr>
          <w:noProof/>
          <w:lang w:val="pl-PL"/>
        </w:rPr>
        <w:t xml:space="preserve">awie zmiany rozporządzenia (UE) 2021/2115. Przyszły przegląd rozporządzenia (WE) </w:t>
      </w:r>
      <w:r w:rsidRPr="00CC55C0">
        <w:rPr>
          <w:noProof/>
          <w:lang w:val="pl-PL"/>
        </w:rPr>
        <w:t>nr</w:t>
      </w:r>
      <w:r w:rsidR="00CC55C0" w:rsidRPr="00CC55C0">
        <w:rPr>
          <w:noProof/>
          <w:lang w:val="pl-PL"/>
        </w:rPr>
        <w:t> </w:t>
      </w:r>
      <w:r w:rsidRPr="00CC55C0">
        <w:rPr>
          <w:noProof/>
          <w:lang w:val="pl-PL"/>
        </w:rPr>
        <w:t>1</w:t>
      </w:r>
      <w:r w:rsidRPr="00F61166">
        <w:rPr>
          <w:noProof/>
          <w:lang w:val="pl-PL"/>
        </w:rPr>
        <w:t>107/2009</w:t>
      </w:r>
      <w:r w:rsidRPr="0071228C">
        <w:rPr>
          <w:rStyle w:val="FootnoteReference"/>
          <w:noProof/>
        </w:rPr>
        <w:footnoteReference w:id="21"/>
      </w:r>
      <w:r w:rsidRPr="00F61166">
        <w:rPr>
          <w:noProof/>
          <w:lang w:val="pl-PL"/>
        </w:rPr>
        <w:t xml:space="preserve"> dotyczącego wprowadzania do obrotu środków ochrony roślin mógłby również odegrać znaczącą rolę.</w:t>
      </w:r>
    </w:p>
    <w:p w14:paraId="2C97AF52" w14:textId="5BF61DA8" w:rsidR="002821B9" w:rsidRPr="00F61166" w:rsidRDefault="002821B9" w:rsidP="00693AF5">
      <w:pPr>
        <w:pStyle w:val="Default"/>
        <w:numPr>
          <w:ilvl w:val="0"/>
          <w:numId w:val="15"/>
        </w:numPr>
        <w:spacing w:after="44"/>
        <w:jc w:val="both"/>
        <w:rPr>
          <w:noProof/>
          <w:lang w:val="pl-PL"/>
        </w:rPr>
      </w:pPr>
      <w:r w:rsidRPr="00F61166">
        <w:rPr>
          <w:noProof/>
          <w:lang w:val="pl-PL"/>
        </w:rPr>
        <w:t>Strategia</w:t>
      </w:r>
      <w:r w:rsidR="00CC55C0" w:rsidRPr="00F61166">
        <w:rPr>
          <w:noProof/>
          <w:lang w:val="pl-PL"/>
        </w:rPr>
        <w:t xml:space="preserve"> w</w:t>
      </w:r>
      <w:r w:rsidR="00CC55C0">
        <w:rPr>
          <w:noProof/>
          <w:lang w:val="pl-PL"/>
        </w:rPr>
        <w:t> </w:t>
      </w:r>
      <w:r w:rsidR="00CC55C0" w:rsidRPr="00F61166">
        <w:rPr>
          <w:noProof/>
          <w:lang w:val="pl-PL"/>
        </w:rPr>
        <w:t>dzi</w:t>
      </w:r>
      <w:r w:rsidRPr="00F61166">
        <w:rPr>
          <w:noProof/>
          <w:lang w:val="pl-PL"/>
        </w:rPr>
        <w:t>edzinie tworzyw sztucznych</w:t>
      </w:r>
      <w:r w:rsidRPr="0071228C">
        <w:rPr>
          <w:rStyle w:val="FootnoteReference"/>
          <w:noProof/>
        </w:rPr>
        <w:footnoteReference w:id="22"/>
      </w:r>
      <w:r w:rsidRPr="00F61166">
        <w:rPr>
          <w:noProof/>
          <w:lang w:val="pl-PL"/>
        </w:rPr>
        <w:t xml:space="preserve"> oraz przyszła unijna inicjatywa</w:t>
      </w:r>
      <w:r w:rsidR="00CC55C0" w:rsidRPr="00F61166">
        <w:rPr>
          <w:noProof/>
          <w:lang w:val="pl-PL"/>
        </w:rPr>
        <w:t xml:space="preserve"> w</w:t>
      </w:r>
      <w:r w:rsidR="00CC55C0">
        <w:rPr>
          <w:noProof/>
          <w:lang w:val="pl-PL"/>
        </w:rPr>
        <w:t> </w:t>
      </w:r>
      <w:r w:rsidR="00CC55C0" w:rsidRPr="00F61166">
        <w:rPr>
          <w:noProof/>
          <w:lang w:val="pl-PL"/>
        </w:rPr>
        <w:t>zak</w:t>
      </w:r>
      <w:r w:rsidRPr="00F61166">
        <w:rPr>
          <w:noProof/>
          <w:lang w:val="pl-PL"/>
        </w:rPr>
        <w:t>resie mikrodrobin plastiku, których celem jest realizacja założeń planu działania UE na rzecz eliminacji zanieczyszczeń dotyczących ograniczenia ilości odpadów, odpadów plastikowych</w:t>
      </w:r>
      <w:r w:rsidR="00CC55C0" w:rsidRPr="00F61166">
        <w:rPr>
          <w:noProof/>
          <w:lang w:val="pl-PL"/>
        </w:rPr>
        <w:t xml:space="preserve"> w</w:t>
      </w:r>
      <w:r w:rsidR="00CC55C0">
        <w:rPr>
          <w:noProof/>
          <w:lang w:val="pl-PL"/>
        </w:rPr>
        <w:t> </w:t>
      </w:r>
      <w:r w:rsidR="00CC55C0" w:rsidRPr="00F61166">
        <w:rPr>
          <w:noProof/>
          <w:lang w:val="pl-PL"/>
        </w:rPr>
        <w:t>mor</w:t>
      </w:r>
      <w:r w:rsidRPr="00F61166">
        <w:rPr>
          <w:noProof/>
          <w:lang w:val="pl-PL"/>
        </w:rPr>
        <w:t xml:space="preserve">zu oraz ilości mikrodrobin plastiku uwalnianych do środowiska </w:t>
      </w:r>
      <w:r w:rsidRPr="00CC55C0">
        <w:rPr>
          <w:noProof/>
          <w:lang w:val="pl-PL"/>
        </w:rPr>
        <w:t>do</w:t>
      </w:r>
      <w:r w:rsidR="00CC55C0" w:rsidRPr="00CC55C0">
        <w:rPr>
          <w:noProof/>
          <w:lang w:val="pl-PL"/>
        </w:rPr>
        <w:t> </w:t>
      </w:r>
      <w:r w:rsidRPr="00CC55C0">
        <w:rPr>
          <w:noProof/>
          <w:lang w:val="pl-PL"/>
        </w:rPr>
        <w:t>2</w:t>
      </w:r>
      <w:r w:rsidRPr="00F61166">
        <w:rPr>
          <w:noProof/>
          <w:lang w:val="pl-PL"/>
        </w:rPr>
        <w:t>0</w:t>
      </w:r>
      <w:r w:rsidRPr="00CC55C0">
        <w:rPr>
          <w:noProof/>
          <w:lang w:val="pl-PL"/>
        </w:rPr>
        <w:t>30</w:t>
      </w:r>
      <w:r w:rsidR="00CC55C0" w:rsidRPr="00CC55C0">
        <w:rPr>
          <w:noProof/>
          <w:lang w:val="pl-PL"/>
        </w:rPr>
        <w:t> </w:t>
      </w:r>
      <w:r w:rsidRPr="00CC55C0">
        <w:rPr>
          <w:noProof/>
          <w:lang w:val="pl-PL"/>
        </w:rPr>
        <w:t>r.</w:t>
      </w:r>
      <w:r w:rsidRPr="00F61166">
        <w:rPr>
          <w:noProof/>
          <w:lang w:val="pl-PL"/>
        </w:rPr>
        <w:t xml:space="preserve"> </w:t>
      </w:r>
    </w:p>
    <w:p w14:paraId="522D9E33" w14:textId="1EE194C1" w:rsidR="002821B9" w:rsidRPr="00F61166" w:rsidRDefault="004353C2" w:rsidP="00693AF5">
      <w:pPr>
        <w:pStyle w:val="Default"/>
        <w:numPr>
          <w:ilvl w:val="0"/>
          <w:numId w:val="15"/>
        </w:numPr>
        <w:spacing w:after="44"/>
        <w:jc w:val="both"/>
        <w:rPr>
          <w:noProof/>
          <w:lang w:val="pl-PL"/>
        </w:rPr>
      </w:pPr>
      <w:r w:rsidRPr="00F61166">
        <w:rPr>
          <w:noProof/>
          <w:lang w:val="pl-PL"/>
        </w:rPr>
        <w:t>dyrektywa (UE) 2019/904</w:t>
      </w:r>
      <w:r w:rsidRPr="0071228C">
        <w:rPr>
          <w:rStyle w:val="FootnoteReference"/>
          <w:noProof/>
        </w:rPr>
        <w:footnoteReference w:id="23"/>
      </w:r>
      <w:r w:rsidRPr="00F61166">
        <w:rPr>
          <w:noProof/>
          <w:lang w:val="pl-PL"/>
        </w:rPr>
        <w:t xml:space="preserve"> (dyrektywa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produktów jednorazowego użytku</w:t>
      </w:r>
      <w:r w:rsidR="00CC55C0" w:rsidRPr="00F61166">
        <w:rPr>
          <w:noProof/>
          <w:lang w:val="pl-PL"/>
        </w:rPr>
        <w:t xml:space="preserve"> z</w:t>
      </w:r>
      <w:r w:rsidR="00CC55C0">
        <w:rPr>
          <w:noProof/>
          <w:lang w:val="pl-PL"/>
        </w:rPr>
        <w:t> </w:t>
      </w:r>
      <w:r w:rsidR="00CC55C0" w:rsidRPr="00F61166">
        <w:rPr>
          <w:noProof/>
          <w:lang w:val="pl-PL"/>
        </w:rPr>
        <w:t>two</w:t>
      </w:r>
      <w:r w:rsidRPr="00F61166">
        <w:rPr>
          <w:noProof/>
          <w:lang w:val="pl-PL"/>
        </w:rPr>
        <w:t>rzyw sztucznych), której celem jest ograniczenie stosowania produktów jednorazowego użytku</w:t>
      </w:r>
      <w:r w:rsidR="00CC55C0" w:rsidRPr="00F61166">
        <w:rPr>
          <w:noProof/>
          <w:lang w:val="pl-PL"/>
        </w:rPr>
        <w:t xml:space="preserve"> z</w:t>
      </w:r>
      <w:r w:rsidR="00CC55C0">
        <w:rPr>
          <w:noProof/>
          <w:lang w:val="pl-PL"/>
        </w:rPr>
        <w:t> </w:t>
      </w:r>
      <w:r w:rsidR="00CC55C0" w:rsidRPr="00F61166">
        <w:rPr>
          <w:noProof/>
          <w:lang w:val="pl-PL"/>
        </w:rPr>
        <w:t>two</w:t>
      </w:r>
      <w:r w:rsidRPr="00F61166">
        <w:rPr>
          <w:noProof/>
          <w:lang w:val="pl-PL"/>
        </w:rPr>
        <w:t>rzyw sztucznych, np. przez wprowadzenie obowiązków</w:t>
      </w:r>
      <w:r w:rsidR="00CC55C0" w:rsidRPr="00F61166">
        <w:rPr>
          <w:noProof/>
          <w:lang w:val="pl-PL"/>
        </w:rPr>
        <w:t xml:space="preserve"> w</w:t>
      </w:r>
      <w:r w:rsidR="00CC55C0">
        <w:rPr>
          <w:noProof/>
          <w:lang w:val="pl-PL"/>
        </w:rPr>
        <w:t> </w:t>
      </w:r>
      <w:r w:rsidR="00CC55C0" w:rsidRPr="00F61166">
        <w:rPr>
          <w:noProof/>
          <w:lang w:val="pl-PL"/>
        </w:rPr>
        <w:t>zak</w:t>
      </w:r>
      <w:r w:rsidRPr="00F61166">
        <w:rPr>
          <w:noProof/>
          <w:lang w:val="pl-PL"/>
        </w:rPr>
        <w:t>resie gospodarowania odpadami</w:t>
      </w:r>
      <w:r w:rsidR="00CC55C0" w:rsidRPr="00F61166">
        <w:rPr>
          <w:noProof/>
          <w:lang w:val="pl-PL"/>
        </w:rPr>
        <w:t xml:space="preserve"> i</w:t>
      </w:r>
      <w:r w:rsidR="00CC55C0">
        <w:rPr>
          <w:noProof/>
          <w:lang w:val="pl-PL"/>
        </w:rPr>
        <w:t> </w:t>
      </w:r>
      <w:r w:rsidR="00CC55C0" w:rsidRPr="00F61166">
        <w:rPr>
          <w:noProof/>
          <w:lang w:val="pl-PL"/>
        </w:rPr>
        <w:t>ich</w:t>
      </w:r>
      <w:r w:rsidRPr="00F61166">
        <w:rPr>
          <w:noProof/>
          <w:lang w:val="pl-PL"/>
        </w:rPr>
        <w:t xml:space="preserve"> usuwania dla producentów (w tym systemów rozszerzonej odpowiedzialności producenta);</w:t>
      </w:r>
    </w:p>
    <w:p w14:paraId="3B1AFA52" w14:textId="6A198EA3" w:rsidR="002821B9" w:rsidRPr="00F61166" w:rsidRDefault="002821B9" w:rsidP="00693AF5">
      <w:pPr>
        <w:pStyle w:val="Default"/>
        <w:numPr>
          <w:ilvl w:val="0"/>
          <w:numId w:val="15"/>
        </w:numPr>
        <w:jc w:val="both"/>
        <w:rPr>
          <w:noProof/>
          <w:color w:val="auto"/>
          <w:lang w:val="pl-PL"/>
        </w:rPr>
      </w:pPr>
      <w:r w:rsidRPr="00F61166">
        <w:rPr>
          <w:noProof/>
          <w:lang w:val="pl-PL"/>
        </w:rPr>
        <w:t>Plan działania dotyczący gospodarki</w:t>
      </w:r>
      <w:r w:rsidR="00CC55C0" w:rsidRPr="00F61166">
        <w:rPr>
          <w:noProof/>
          <w:lang w:val="pl-PL"/>
        </w:rPr>
        <w:t xml:space="preserve"> o</w:t>
      </w:r>
      <w:r w:rsidR="00CC55C0">
        <w:rPr>
          <w:noProof/>
          <w:lang w:val="pl-PL"/>
        </w:rPr>
        <w:t> </w:t>
      </w:r>
      <w:r w:rsidR="00CC55C0" w:rsidRPr="00F61166">
        <w:rPr>
          <w:noProof/>
          <w:lang w:val="pl-PL"/>
        </w:rPr>
        <w:t>obi</w:t>
      </w:r>
      <w:r w:rsidRPr="00F61166">
        <w:rPr>
          <w:noProof/>
          <w:lang w:val="pl-PL"/>
        </w:rPr>
        <w:t>egu zamkniętym</w:t>
      </w:r>
      <w:r w:rsidRPr="0071228C">
        <w:rPr>
          <w:rStyle w:val="FootnoteReference"/>
          <w:noProof/>
        </w:rPr>
        <w:footnoteReference w:id="24"/>
      </w:r>
      <w:r w:rsidRPr="00F61166">
        <w:rPr>
          <w:noProof/>
          <w:lang w:val="pl-PL"/>
        </w:rPr>
        <w:t>,</w:t>
      </w:r>
      <w:r w:rsidR="00CC55C0" w:rsidRPr="00F61166">
        <w:rPr>
          <w:noProof/>
          <w:lang w:val="pl-PL"/>
        </w:rPr>
        <w:t xml:space="preserve"> w</w:t>
      </w:r>
      <w:r w:rsidR="00CC55C0">
        <w:rPr>
          <w:noProof/>
          <w:lang w:val="pl-PL"/>
        </w:rPr>
        <w:t> </w:t>
      </w:r>
      <w:r w:rsidR="00CC55C0" w:rsidRPr="00F61166">
        <w:rPr>
          <w:noProof/>
          <w:lang w:val="pl-PL"/>
        </w:rPr>
        <w:t>któ</w:t>
      </w:r>
      <w:r w:rsidRPr="00F61166">
        <w:rPr>
          <w:noProof/>
          <w:lang w:val="pl-PL"/>
        </w:rPr>
        <w:t>rym zapowiedziano</w:t>
      </w:r>
      <w:r w:rsidR="00CC55C0" w:rsidRPr="00F61166">
        <w:rPr>
          <w:noProof/>
          <w:lang w:val="pl-PL"/>
        </w:rPr>
        <w:t xml:space="preserve"> w</w:t>
      </w:r>
      <w:r w:rsidR="00CC55C0">
        <w:rPr>
          <w:noProof/>
          <w:lang w:val="pl-PL"/>
        </w:rPr>
        <w:t> </w:t>
      </w:r>
      <w:r w:rsidR="00CC55C0" w:rsidRPr="00F61166">
        <w:rPr>
          <w:noProof/>
          <w:lang w:val="pl-PL"/>
        </w:rPr>
        <w:t>szc</w:t>
      </w:r>
      <w:r w:rsidRPr="00F61166">
        <w:rPr>
          <w:noProof/>
          <w:lang w:val="pl-PL"/>
        </w:rPr>
        <w:t>zególności środki na rzecz redukcji mikrodrobin plastiku oraz ocenę dyrektywy Rady 86/278/EWG</w:t>
      </w:r>
      <w:r w:rsidRPr="0071228C">
        <w:rPr>
          <w:rStyle w:val="FootnoteReference"/>
          <w:noProof/>
        </w:rPr>
        <w:footnoteReference w:id="25"/>
      </w:r>
      <w:r w:rsidRPr="00F61166">
        <w:rPr>
          <w:noProof/>
          <w:lang w:val="pl-PL"/>
        </w:rPr>
        <w:t xml:space="preserve"> (dyrektywa</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osadów ściekowych) regulującej jakość osadów wykorzystywanych</w:t>
      </w:r>
      <w:r w:rsidR="00CC55C0" w:rsidRPr="00F61166">
        <w:rPr>
          <w:noProof/>
          <w:lang w:val="pl-PL"/>
        </w:rPr>
        <w:t xml:space="preserve"> w</w:t>
      </w:r>
      <w:r w:rsidR="00CC55C0">
        <w:rPr>
          <w:noProof/>
          <w:lang w:val="pl-PL"/>
        </w:rPr>
        <w:t> </w:t>
      </w:r>
      <w:r w:rsidR="00CC55C0" w:rsidRPr="00F61166">
        <w:rPr>
          <w:noProof/>
          <w:color w:val="auto"/>
          <w:lang w:val="pl-PL"/>
        </w:rPr>
        <w:t>rol</w:t>
      </w:r>
      <w:r w:rsidRPr="00F61166">
        <w:rPr>
          <w:noProof/>
          <w:color w:val="auto"/>
          <w:lang w:val="pl-PL"/>
        </w:rPr>
        <w:t>nictwie</w:t>
      </w:r>
      <w:r w:rsidRPr="00F61166">
        <w:rPr>
          <w:noProof/>
          <w:lang w:val="pl-PL"/>
        </w:rPr>
        <w:t>.</w:t>
      </w:r>
    </w:p>
    <w:p w14:paraId="1501F5EE" w14:textId="18AA1578" w:rsidR="002821B9" w:rsidRPr="00F61166" w:rsidRDefault="002821B9" w:rsidP="00693AF5">
      <w:pPr>
        <w:pStyle w:val="Default"/>
        <w:numPr>
          <w:ilvl w:val="0"/>
          <w:numId w:val="15"/>
        </w:numPr>
        <w:jc w:val="both"/>
        <w:rPr>
          <w:noProof/>
          <w:color w:val="auto"/>
          <w:lang w:val="pl-PL"/>
        </w:rPr>
      </w:pPr>
      <w:r w:rsidRPr="00F61166">
        <w:rPr>
          <w:noProof/>
          <w:color w:val="auto"/>
          <w:lang w:val="pl-PL"/>
        </w:rPr>
        <w:t>Strategia</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zak</w:t>
      </w:r>
      <w:r w:rsidRPr="00F61166">
        <w:rPr>
          <w:noProof/>
          <w:color w:val="auto"/>
          <w:lang w:val="pl-PL"/>
        </w:rPr>
        <w:t>resie chemikaliów na rzecz zrównoważoności</w:t>
      </w:r>
      <w:r w:rsidRPr="0071228C">
        <w:rPr>
          <w:rStyle w:val="FootnoteReference"/>
          <w:noProof/>
          <w:color w:val="auto"/>
        </w:rPr>
        <w:footnoteReference w:id="26"/>
      </w:r>
      <w:r w:rsidRPr="00F61166">
        <w:rPr>
          <w:noProof/>
          <w:color w:val="auto"/>
          <w:lang w:val="pl-PL"/>
        </w:rPr>
        <w:t>,</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któ</w:t>
      </w:r>
      <w:r w:rsidRPr="00F61166">
        <w:rPr>
          <w:noProof/>
          <w:color w:val="auto"/>
          <w:lang w:val="pl-PL"/>
        </w:rPr>
        <w:t>rej uznano, że chemikalia są nieodzowne dla dobrobytu współczesnego społeczeństwa, ale także określono cel, jakim jest lepsza ochrona obywateli</w:t>
      </w:r>
      <w:r w:rsidR="00CC55C0" w:rsidRPr="00F61166">
        <w:rPr>
          <w:noProof/>
          <w:color w:val="auto"/>
          <w:lang w:val="pl-PL"/>
        </w:rPr>
        <w:t xml:space="preserve"> i</w:t>
      </w:r>
      <w:r w:rsidR="00CC55C0">
        <w:rPr>
          <w:noProof/>
          <w:color w:val="auto"/>
          <w:lang w:val="pl-PL"/>
        </w:rPr>
        <w:t> </w:t>
      </w:r>
      <w:r w:rsidR="00CC55C0" w:rsidRPr="00F61166">
        <w:rPr>
          <w:noProof/>
          <w:color w:val="auto"/>
          <w:lang w:val="pl-PL"/>
        </w:rPr>
        <w:t>śro</w:t>
      </w:r>
      <w:r w:rsidRPr="00F61166">
        <w:rPr>
          <w:noProof/>
          <w:color w:val="auto"/>
          <w:lang w:val="pl-PL"/>
        </w:rPr>
        <w:t>dowiska przed ewentualnymi niebezpiecznymi właściwościami chemikaliów</w:t>
      </w:r>
      <w:r w:rsidR="00CC55C0" w:rsidRPr="00F61166">
        <w:rPr>
          <w:noProof/>
          <w:color w:val="auto"/>
          <w:lang w:val="pl-PL"/>
        </w:rPr>
        <w:t>. W</w:t>
      </w:r>
      <w:r w:rsidR="00CC55C0">
        <w:rPr>
          <w:noProof/>
          <w:color w:val="auto"/>
          <w:lang w:val="pl-PL"/>
        </w:rPr>
        <w:t> </w:t>
      </w:r>
      <w:r w:rsidR="00CC55C0" w:rsidRPr="00F61166">
        <w:rPr>
          <w:noProof/>
          <w:color w:val="auto"/>
          <w:lang w:val="pl-PL"/>
        </w:rPr>
        <w:t>str</w:t>
      </w:r>
      <w:r w:rsidRPr="00F61166">
        <w:rPr>
          <w:noProof/>
          <w:color w:val="auto"/>
          <w:lang w:val="pl-PL"/>
        </w:rPr>
        <w:t>ategii określono również cel polegający na stosowaniu podejścia opartego na zasadzie „jedna substancja, jedna ocena” poprzez poprawienie skuteczności, efektywności, spójności</w:t>
      </w:r>
      <w:r w:rsidR="00CC55C0" w:rsidRPr="00F61166">
        <w:rPr>
          <w:noProof/>
          <w:color w:val="auto"/>
          <w:lang w:val="pl-PL"/>
        </w:rPr>
        <w:t xml:space="preserve"> i</w:t>
      </w:r>
      <w:r w:rsidR="00CC55C0">
        <w:rPr>
          <w:noProof/>
          <w:color w:val="auto"/>
          <w:lang w:val="pl-PL"/>
        </w:rPr>
        <w:t> </w:t>
      </w:r>
      <w:r w:rsidR="00CC55C0" w:rsidRPr="00F61166">
        <w:rPr>
          <w:noProof/>
          <w:color w:val="auto"/>
          <w:lang w:val="pl-PL"/>
        </w:rPr>
        <w:t>prz</w:t>
      </w:r>
      <w:r w:rsidRPr="00F61166">
        <w:rPr>
          <w:noProof/>
          <w:color w:val="auto"/>
          <w:lang w:val="pl-PL"/>
        </w:rPr>
        <w:t>ejrzystości ocen bezpieczeństwa chemicznego we wszystkich odpowiednich przepisach</w:t>
      </w:r>
      <w:r w:rsidR="00CC55C0" w:rsidRPr="00F61166">
        <w:rPr>
          <w:noProof/>
          <w:color w:val="auto"/>
          <w:lang w:val="pl-PL"/>
        </w:rPr>
        <w:t>. W</w:t>
      </w:r>
      <w:r w:rsidR="00CC55C0">
        <w:rPr>
          <w:noProof/>
          <w:color w:val="auto"/>
          <w:lang w:val="pl-PL"/>
        </w:rPr>
        <w:t> </w:t>
      </w:r>
      <w:r w:rsidR="00CC55C0" w:rsidRPr="00F61166">
        <w:rPr>
          <w:noProof/>
          <w:color w:val="auto"/>
          <w:lang w:val="pl-PL"/>
        </w:rPr>
        <w:t>zwi</w:t>
      </w:r>
      <w:r w:rsidRPr="00F61166">
        <w:rPr>
          <w:noProof/>
          <w:color w:val="auto"/>
          <w:lang w:val="pl-PL"/>
        </w:rPr>
        <w:t>ązku</w:t>
      </w:r>
      <w:r w:rsidR="00CC55C0" w:rsidRPr="00F61166">
        <w:rPr>
          <w:noProof/>
          <w:color w:val="auto"/>
          <w:lang w:val="pl-PL"/>
        </w:rPr>
        <w:t xml:space="preserve"> z</w:t>
      </w:r>
      <w:r w:rsidR="00CC55C0">
        <w:rPr>
          <w:noProof/>
          <w:color w:val="auto"/>
          <w:lang w:val="pl-PL"/>
        </w:rPr>
        <w:t> </w:t>
      </w:r>
      <w:r w:rsidR="00CC55C0" w:rsidRPr="00F61166">
        <w:rPr>
          <w:noProof/>
          <w:color w:val="auto"/>
          <w:lang w:val="pl-PL"/>
        </w:rPr>
        <w:t>tym w</w:t>
      </w:r>
      <w:r w:rsidR="00CC55C0">
        <w:rPr>
          <w:noProof/>
          <w:color w:val="auto"/>
          <w:lang w:val="pl-PL"/>
        </w:rPr>
        <w:t> </w:t>
      </w:r>
      <w:r w:rsidR="00CC55C0" w:rsidRPr="00F61166">
        <w:rPr>
          <w:noProof/>
          <w:color w:val="auto"/>
          <w:lang w:val="pl-PL"/>
        </w:rPr>
        <w:t>ram</w:t>
      </w:r>
      <w:r w:rsidRPr="00F61166">
        <w:rPr>
          <w:noProof/>
          <w:color w:val="auto"/>
          <w:lang w:val="pl-PL"/>
        </w:rPr>
        <w:t>ach niniejszego wniosku powierza się ECHA główną rolę</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zak</w:t>
      </w:r>
      <w:r w:rsidRPr="00F61166">
        <w:rPr>
          <w:noProof/>
          <w:color w:val="auto"/>
          <w:lang w:val="pl-PL"/>
        </w:rPr>
        <w:t>resie wsparcia naukowego</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cel</w:t>
      </w:r>
      <w:r w:rsidRPr="00F61166">
        <w:rPr>
          <w:noProof/>
          <w:color w:val="auto"/>
          <w:lang w:val="pl-PL"/>
        </w:rPr>
        <w:t>u przyszłej identyfikacji substancji zanieczyszczających wodę, jak również</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zak</w:t>
      </w:r>
      <w:r w:rsidRPr="00F61166">
        <w:rPr>
          <w:noProof/>
          <w:color w:val="auto"/>
          <w:lang w:val="pl-PL"/>
        </w:rPr>
        <w:t>resie proponowania odpowiednich norm jakości</w:t>
      </w:r>
      <w:r w:rsidR="00CC55C0" w:rsidRPr="00F61166">
        <w:rPr>
          <w:noProof/>
          <w:color w:val="auto"/>
          <w:lang w:val="pl-PL"/>
        </w:rPr>
        <w:t>. W</w:t>
      </w:r>
      <w:r w:rsidR="00CC55C0">
        <w:rPr>
          <w:noProof/>
          <w:color w:val="auto"/>
          <w:lang w:val="pl-PL"/>
        </w:rPr>
        <w:t> </w:t>
      </w:r>
      <w:r w:rsidR="00CC55C0" w:rsidRPr="00F61166">
        <w:rPr>
          <w:noProof/>
          <w:lang w:val="pl-PL"/>
        </w:rPr>
        <w:t>str</w:t>
      </w:r>
      <w:r w:rsidR="00082295" w:rsidRPr="00F61166">
        <w:rPr>
          <w:noProof/>
          <w:lang w:val="pl-PL"/>
        </w:rPr>
        <w:t>ategicznym</w:t>
      </w:r>
      <w:r w:rsidRPr="00F61166">
        <w:rPr>
          <w:noProof/>
          <w:lang w:val="pl-PL"/>
        </w:rPr>
        <w:t xml:space="preserve"> podejściu UE do substancji farmaceutycznych</w:t>
      </w:r>
      <w:r w:rsidR="00CC55C0" w:rsidRPr="00F61166">
        <w:rPr>
          <w:noProof/>
          <w:lang w:val="pl-PL"/>
        </w:rPr>
        <w:t xml:space="preserve"> w</w:t>
      </w:r>
      <w:r w:rsidR="00CC55C0">
        <w:rPr>
          <w:noProof/>
          <w:lang w:val="pl-PL"/>
        </w:rPr>
        <w:t> </w:t>
      </w:r>
      <w:r w:rsidR="00CC55C0" w:rsidRPr="00F61166">
        <w:rPr>
          <w:noProof/>
          <w:lang w:val="pl-PL"/>
        </w:rPr>
        <w:t>śro</w:t>
      </w:r>
      <w:r w:rsidRPr="00F61166">
        <w:rPr>
          <w:noProof/>
          <w:lang w:val="pl-PL"/>
        </w:rPr>
        <w:t>dowisku</w:t>
      </w:r>
      <w:r w:rsidR="00CC55C0" w:rsidRPr="00F61166">
        <w:rPr>
          <w:noProof/>
          <w:lang w:val="pl-PL"/>
        </w:rPr>
        <w:t xml:space="preserve"> z</w:t>
      </w:r>
      <w:r w:rsidR="00CC55C0">
        <w:rPr>
          <w:noProof/>
          <w:lang w:val="pl-PL"/>
        </w:rPr>
        <w:t> </w:t>
      </w:r>
      <w:r w:rsidR="00CC55C0" w:rsidRPr="00F61166">
        <w:rPr>
          <w:noProof/>
          <w:lang w:val="pl-PL"/>
        </w:rPr>
        <w:t>2</w:t>
      </w:r>
      <w:r w:rsidRPr="00F61166">
        <w:rPr>
          <w:noProof/>
          <w:lang w:val="pl-PL"/>
        </w:rPr>
        <w:t>0</w:t>
      </w:r>
      <w:r w:rsidRPr="00CC55C0">
        <w:rPr>
          <w:noProof/>
          <w:lang w:val="pl-PL"/>
        </w:rPr>
        <w:t>19</w:t>
      </w:r>
      <w:r w:rsidR="00CC55C0" w:rsidRPr="00CC55C0">
        <w:rPr>
          <w:noProof/>
          <w:lang w:val="pl-PL"/>
        </w:rPr>
        <w:t> </w:t>
      </w:r>
      <w:r w:rsidRPr="00CC55C0">
        <w:rPr>
          <w:noProof/>
          <w:lang w:val="pl-PL"/>
        </w:rPr>
        <w:t>r.</w:t>
      </w:r>
      <w:r w:rsidRPr="0071228C">
        <w:rPr>
          <w:rStyle w:val="FootnoteReference"/>
          <w:noProof/>
        </w:rPr>
        <w:footnoteReference w:id="27"/>
      </w:r>
      <w:r w:rsidRPr="00F61166">
        <w:rPr>
          <w:noProof/>
          <w:lang w:val="pl-PL"/>
        </w:rPr>
        <w:t xml:space="preserve"> (wynikającym bezpośrednio</w:t>
      </w:r>
      <w:r w:rsidR="00CC55C0" w:rsidRPr="00F61166">
        <w:rPr>
          <w:noProof/>
          <w:lang w:val="pl-PL"/>
        </w:rPr>
        <w:t xml:space="preserve"> z</w:t>
      </w:r>
      <w:r w:rsidR="00CC55C0">
        <w:rPr>
          <w:noProof/>
          <w:lang w:val="pl-PL"/>
        </w:rPr>
        <w:t> </w:t>
      </w:r>
      <w:r w:rsidR="00CC55C0" w:rsidRPr="00F61166">
        <w:rPr>
          <w:noProof/>
          <w:lang w:val="pl-PL"/>
        </w:rPr>
        <w:t>prz</w:t>
      </w:r>
      <w:r w:rsidRPr="00F61166">
        <w:rPr>
          <w:noProof/>
          <w:lang w:val="pl-PL"/>
        </w:rPr>
        <w:t>eglądu dyrektywy</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środowiskowych norm jakości</w:t>
      </w:r>
      <w:r w:rsidR="00CC55C0" w:rsidRPr="00F61166">
        <w:rPr>
          <w:noProof/>
          <w:lang w:val="pl-PL"/>
        </w:rPr>
        <w:t xml:space="preserve"> z</w:t>
      </w:r>
      <w:r w:rsidR="00CC55C0">
        <w:rPr>
          <w:noProof/>
          <w:lang w:val="pl-PL"/>
        </w:rPr>
        <w:t> </w:t>
      </w:r>
      <w:r w:rsidR="00CC55C0" w:rsidRPr="00F61166">
        <w:rPr>
          <w:noProof/>
          <w:lang w:val="pl-PL"/>
        </w:rPr>
        <w:t>2</w:t>
      </w:r>
      <w:r w:rsidRPr="00F61166">
        <w:rPr>
          <w:noProof/>
          <w:lang w:val="pl-PL"/>
        </w:rPr>
        <w:t>0</w:t>
      </w:r>
      <w:r w:rsidRPr="00CC55C0">
        <w:rPr>
          <w:noProof/>
          <w:lang w:val="pl-PL"/>
        </w:rPr>
        <w:t>13</w:t>
      </w:r>
      <w:r w:rsidR="00CC55C0" w:rsidRPr="00CC55C0">
        <w:rPr>
          <w:noProof/>
          <w:lang w:val="pl-PL"/>
        </w:rPr>
        <w:t> </w:t>
      </w:r>
      <w:r w:rsidRPr="00CC55C0">
        <w:rPr>
          <w:noProof/>
          <w:lang w:val="pl-PL"/>
        </w:rPr>
        <w:t>r.</w:t>
      </w:r>
      <w:r w:rsidRPr="00F61166">
        <w:rPr>
          <w:noProof/>
          <w:lang w:val="pl-PL"/>
        </w:rPr>
        <w:t>) oraz strategii farmaceutycznej dla Europy</w:t>
      </w:r>
      <w:r w:rsidRPr="0071228C">
        <w:rPr>
          <w:rStyle w:val="FootnoteReference"/>
          <w:noProof/>
        </w:rPr>
        <w:footnoteReference w:id="28"/>
      </w:r>
      <w:r w:rsidRPr="00F61166">
        <w:rPr>
          <w:noProof/>
          <w:lang w:val="pl-PL"/>
        </w:rPr>
        <w:t>podkreślono środowiskowe</w:t>
      </w:r>
      <w:r w:rsidR="00CC55C0" w:rsidRPr="00F61166">
        <w:rPr>
          <w:noProof/>
          <w:lang w:val="pl-PL"/>
        </w:rPr>
        <w:t xml:space="preserve"> i</w:t>
      </w:r>
      <w:r w:rsidR="00CC55C0">
        <w:rPr>
          <w:noProof/>
          <w:lang w:val="pl-PL"/>
        </w:rPr>
        <w:t> </w:t>
      </w:r>
      <w:r w:rsidR="00CC55C0" w:rsidRPr="00F61166">
        <w:rPr>
          <w:noProof/>
          <w:lang w:val="pl-PL"/>
        </w:rPr>
        <w:t>pot</w:t>
      </w:r>
      <w:r w:rsidRPr="00F61166">
        <w:rPr>
          <w:noProof/>
          <w:lang w:val="pl-PL"/>
        </w:rPr>
        <w:t>encjalne skutki zdrowotne zanieczyszczenia pozostałościami farmaceutycznych oraz wymieniono szereg działań mających na celu sprostanie tym wyzwaniom. Oczekuje się, że</w:t>
      </w:r>
      <w:r w:rsidR="00CC55C0" w:rsidRPr="00F61166">
        <w:rPr>
          <w:noProof/>
          <w:lang w:val="pl-PL"/>
        </w:rPr>
        <w:t xml:space="preserve"> w</w:t>
      </w:r>
      <w:r w:rsidR="00CC55C0">
        <w:rPr>
          <w:noProof/>
          <w:lang w:val="pl-PL"/>
        </w:rPr>
        <w:t> </w:t>
      </w:r>
      <w:r w:rsidR="00CC55C0" w:rsidRPr="00F61166">
        <w:rPr>
          <w:noProof/>
          <w:lang w:val="pl-PL"/>
        </w:rPr>
        <w:t>wyn</w:t>
      </w:r>
      <w:r w:rsidRPr="00F61166">
        <w:rPr>
          <w:noProof/>
          <w:lang w:val="pl-PL"/>
        </w:rPr>
        <w:t>iku zbliżającego się przeglądu prawodawstwa dotyczącego produktów leczniczych do stosowania</w:t>
      </w:r>
      <w:r w:rsidR="00CC55C0" w:rsidRPr="00F61166">
        <w:rPr>
          <w:noProof/>
          <w:lang w:val="pl-PL"/>
        </w:rPr>
        <w:t xml:space="preserve"> u</w:t>
      </w:r>
      <w:r w:rsidR="00CC55C0">
        <w:rPr>
          <w:noProof/>
          <w:lang w:val="pl-PL"/>
        </w:rPr>
        <w:t> </w:t>
      </w:r>
      <w:r w:rsidR="00CC55C0" w:rsidRPr="00F61166">
        <w:rPr>
          <w:noProof/>
          <w:lang w:val="pl-PL"/>
        </w:rPr>
        <w:t>lud</w:t>
      </w:r>
      <w:r w:rsidRPr="00F61166">
        <w:rPr>
          <w:noProof/>
          <w:lang w:val="pl-PL"/>
        </w:rPr>
        <w:t>zi podjęte zostaną odpowiednie działania następcze</w:t>
      </w:r>
      <w:r w:rsidRPr="00F61166">
        <w:rPr>
          <w:noProof/>
          <w:color w:val="auto"/>
          <w:lang w:val="pl-PL"/>
        </w:rPr>
        <w:t>. Podobnie</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wyn</w:t>
      </w:r>
      <w:r w:rsidRPr="00F61166">
        <w:rPr>
          <w:noProof/>
          <w:color w:val="auto"/>
          <w:lang w:val="pl-PL"/>
        </w:rPr>
        <w:t>iku umieszczenia</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wyk</w:t>
      </w:r>
      <w:r w:rsidRPr="00F61166">
        <w:rPr>
          <w:noProof/>
          <w:color w:val="auto"/>
          <w:lang w:val="pl-PL"/>
        </w:rPr>
        <w:t>azie szeregu środków przeciwdrobnoustrojowych,</w:t>
      </w:r>
      <w:r w:rsidR="00CC55C0" w:rsidRPr="00F61166">
        <w:rPr>
          <w:noProof/>
          <w:color w:val="auto"/>
          <w:lang w:val="pl-PL"/>
        </w:rPr>
        <w:t xml:space="preserve"> a</w:t>
      </w:r>
      <w:r w:rsidR="00CC55C0">
        <w:rPr>
          <w:noProof/>
          <w:color w:val="auto"/>
          <w:lang w:val="pl-PL"/>
        </w:rPr>
        <w:t> </w:t>
      </w:r>
      <w:r w:rsidR="00CC55C0" w:rsidRPr="00F61166">
        <w:rPr>
          <w:noProof/>
          <w:color w:val="auto"/>
          <w:lang w:val="pl-PL"/>
        </w:rPr>
        <w:t>tak</w:t>
      </w:r>
      <w:r w:rsidRPr="00F61166">
        <w:rPr>
          <w:noProof/>
          <w:color w:val="auto"/>
          <w:lang w:val="pl-PL"/>
        </w:rPr>
        <w:t>że metalicznego srebra, wniosek ten jest spójny ze strategią UE</w:t>
      </w:r>
      <w:r w:rsidR="00CC55C0" w:rsidRPr="00F61166">
        <w:rPr>
          <w:noProof/>
          <w:color w:val="auto"/>
          <w:lang w:val="pl-PL"/>
        </w:rPr>
        <w:t xml:space="preserve"> w</w:t>
      </w:r>
      <w:r w:rsidR="00CC55C0">
        <w:rPr>
          <w:noProof/>
          <w:color w:val="auto"/>
          <w:lang w:val="pl-PL"/>
        </w:rPr>
        <w:t> </w:t>
      </w:r>
      <w:r w:rsidR="00CC55C0" w:rsidRPr="00F61166">
        <w:rPr>
          <w:noProof/>
          <w:color w:val="auto"/>
          <w:lang w:val="pl-PL"/>
        </w:rPr>
        <w:t>zak</w:t>
      </w:r>
      <w:r w:rsidRPr="00F61166">
        <w:rPr>
          <w:noProof/>
          <w:color w:val="auto"/>
          <w:lang w:val="pl-PL"/>
        </w:rPr>
        <w:t>resie oporności na środki przeciwdrobnoustrojowe</w:t>
      </w:r>
      <w:r w:rsidRPr="00F61166">
        <w:rPr>
          <w:noProof/>
          <w:lang w:val="pl-PL"/>
        </w:rPr>
        <w:t>.</w:t>
      </w:r>
    </w:p>
    <w:p w14:paraId="074472A6" w14:textId="0FAC50D9" w:rsidR="00D7789A" w:rsidRPr="00F61166" w:rsidRDefault="00D7789A" w:rsidP="00693AF5">
      <w:pPr>
        <w:pStyle w:val="Default"/>
        <w:numPr>
          <w:ilvl w:val="0"/>
          <w:numId w:val="15"/>
        </w:numPr>
        <w:jc w:val="both"/>
        <w:rPr>
          <w:noProof/>
          <w:lang w:val="pl-PL"/>
        </w:rPr>
      </w:pPr>
      <w:r w:rsidRPr="00F61166">
        <w:rPr>
          <w:noProof/>
          <w:lang w:val="pl-PL"/>
        </w:rPr>
        <w:t>Europejska strategia</w:t>
      </w:r>
      <w:r w:rsidR="00CC55C0" w:rsidRPr="00F61166">
        <w:rPr>
          <w:noProof/>
          <w:lang w:val="pl-PL"/>
        </w:rPr>
        <w:t xml:space="preserve"> w</w:t>
      </w:r>
      <w:r w:rsidR="00CC55C0">
        <w:rPr>
          <w:noProof/>
          <w:lang w:val="pl-PL"/>
        </w:rPr>
        <w:t> </w:t>
      </w:r>
      <w:r w:rsidR="00CC55C0" w:rsidRPr="00F61166">
        <w:rPr>
          <w:noProof/>
          <w:lang w:val="pl-PL"/>
        </w:rPr>
        <w:t>zak</w:t>
      </w:r>
      <w:r w:rsidRPr="00F61166">
        <w:rPr>
          <w:noProof/>
          <w:lang w:val="pl-PL"/>
        </w:rPr>
        <w:t>resie danych</w:t>
      </w:r>
      <w:r w:rsidRPr="0071228C">
        <w:rPr>
          <w:rStyle w:val="FootnoteReference"/>
          <w:noProof/>
        </w:rPr>
        <w:footnoteReference w:id="29"/>
      </w:r>
      <w:r w:rsidRPr="00F61166">
        <w:rPr>
          <w:noProof/>
          <w:lang w:val="pl-PL"/>
        </w:rPr>
        <w:t>,</w:t>
      </w:r>
      <w:r w:rsidR="00CC55C0" w:rsidRPr="00F61166">
        <w:rPr>
          <w:noProof/>
          <w:lang w:val="pl-PL"/>
        </w:rPr>
        <w:t xml:space="preserve"> w</w:t>
      </w:r>
      <w:r w:rsidR="00CC55C0">
        <w:rPr>
          <w:noProof/>
          <w:lang w:val="pl-PL"/>
        </w:rPr>
        <w:t> </w:t>
      </w:r>
      <w:r w:rsidR="00CC55C0" w:rsidRPr="00F61166">
        <w:rPr>
          <w:noProof/>
          <w:lang w:val="pl-PL"/>
        </w:rPr>
        <w:t>któ</w:t>
      </w:r>
      <w:r w:rsidRPr="00F61166">
        <w:rPr>
          <w:noProof/>
          <w:lang w:val="pl-PL"/>
        </w:rPr>
        <w:t>rej podkreślono, że dane generowane przez sektor publiczny powinny być udostępniane dla wspólnego dobra, tak aby mogły być odpowiednio wykorzystane, na przykład przez naukowców, inne instytucje publiczne oraz małe</w:t>
      </w:r>
      <w:r w:rsidR="00CC55C0" w:rsidRPr="00F61166">
        <w:rPr>
          <w:noProof/>
          <w:lang w:val="pl-PL"/>
        </w:rPr>
        <w:t xml:space="preserve"> i</w:t>
      </w:r>
      <w:r w:rsidR="00CC55C0">
        <w:rPr>
          <w:noProof/>
          <w:lang w:val="pl-PL"/>
        </w:rPr>
        <w:t> </w:t>
      </w:r>
      <w:r w:rsidR="00CC55C0" w:rsidRPr="00F61166">
        <w:rPr>
          <w:noProof/>
          <w:lang w:val="pl-PL"/>
        </w:rPr>
        <w:t>śre</w:t>
      </w:r>
      <w:r w:rsidRPr="00F61166">
        <w:rPr>
          <w:noProof/>
          <w:lang w:val="pl-PL"/>
        </w:rPr>
        <w:t xml:space="preserve">dnie przedsiębiorstwa (MŚP). </w:t>
      </w:r>
    </w:p>
    <w:p w14:paraId="67EEECD8" w14:textId="4E371075" w:rsidR="009E530A" w:rsidRPr="0071228C" w:rsidRDefault="00511B85" w:rsidP="009E530A">
      <w:pPr>
        <w:pStyle w:val="Default"/>
        <w:numPr>
          <w:ilvl w:val="0"/>
          <w:numId w:val="15"/>
        </w:numPr>
        <w:jc w:val="both"/>
        <w:rPr>
          <w:noProof/>
        </w:rPr>
      </w:pPr>
      <w:r w:rsidRPr="00F61166">
        <w:rPr>
          <w:noProof/>
          <w:lang w:val="pl-PL"/>
        </w:rPr>
        <w:t>Niniejszy wniosek jest również zgodny</w:t>
      </w:r>
      <w:r w:rsidR="00CC55C0" w:rsidRPr="00F61166">
        <w:rPr>
          <w:noProof/>
          <w:lang w:val="pl-PL"/>
        </w:rPr>
        <w:t xml:space="preserve"> z</w:t>
      </w:r>
      <w:r w:rsidR="00CC55C0">
        <w:rPr>
          <w:noProof/>
          <w:lang w:val="pl-PL"/>
        </w:rPr>
        <w:t> </w:t>
      </w:r>
      <w:r w:rsidR="00CC55C0" w:rsidRPr="00F61166">
        <w:rPr>
          <w:noProof/>
          <w:lang w:val="pl-PL"/>
        </w:rPr>
        <w:t>koń</w:t>
      </w:r>
      <w:r w:rsidRPr="00F61166">
        <w:rPr>
          <w:noProof/>
          <w:lang w:val="pl-PL"/>
        </w:rPr>
        <w:t>cowym sprawozdaniem</w:t>
      </w:r>
      <w:r w:rsidR="00CC55C0" w:rsidRPr="00F61166">
        <w:rPr>
          <w:noProof/>
          <w:lang w:val="pl-PL"/>
        </w:rPr>
        <w:t xml:space="preserve"> z</w:t>
      </w:r>
      <w:r w:rsidR="00CC55C0">
        <w:rPr>
          <w:noProof/>
          <w:lang w:val="pl-PL"/>
        </w:rPr>
        <w:t> </w:t>
      </w:r>
      <w:r w:rsidR="00CC55C0" w:rsidRPr="00F61166">
        <w:rPr>
          <w:noProof/>
          <w:lang w:val="pl-PL"/>
        </w:rPr>
        <w:t>Kon</w:t>
      </w:r>
      <w:r w:rsidRPr="00F61166">
        <w:rPr>
          <w:noProof/>
          <w:lang w:val="pl-PL"/>
        </w:rPr>
        <w:t>ferencji</w:t>
      </w:r>
      <w:r w:rsidR="00CC55C0" w:rsidRPr="00F61166">
        <w:rPr>
          <w:noProof/>
          <w:lang w:val="pl-PL"/>
        </w:rPr>
        <w:t xml:space="preserve"> w</w:t>
      </w:r>
      <w:r w:rsidR="00CC55C0">
        <w:rPr>
          <w:noProof/>
          <w:lang w:val="pl-PL"/>
        </w:rPr>
        <w:t> </w:t>
      </w:r>
      <w:r w:rsidR="00CC55C0" w:rsidRPr="00F61166">
        <w:rPr>
          <w:noProof/>
          <w:lang w:val="pl-PL"/>
        </w:rPr>
        <w:t>spr</w:t>
      </w:r>
      <w:r w:rsidRPr="00F61166">
        <w:rPr>
          <w:noProof/>
          <w:lang w:val="pl-PL"/>
        </w:rPr>
        <w:t>awie przyszłości Europy</w:t>
      </w:r>
      <w:r w:rsidR="00CC55C0" w:rsidRPr="00F61166">
        <w:rPr>
          <w:noProof/>
          <w:lang w:val="pl-PL"/>
        </w:rPr>
        <w:t xml:space="preserve"> i</w:t>
      </w:r>
      <w:r w:rsidR="00CC55C0">
        <w:rPr>
          <w:noProof/>
          <w:lang w:val="pl-PL"/>
        </w:rPr>
        <w:t> </w:t>
      </w:r>
      <w:r w:rsidR="00CC55C0" w:rsidRPr="00F61166">
        <w:rPr>
          <w:noProof/>
          <w:lang w:val="pl-PL"/>
        </w:rPr>
        <w:t>zaw</w:t>
      </w:r>
      <w:r w:rsidRPr="00F61166">
        <w:rPr>
          <w:noProof/>
          <w:lang w:val="pl-PL"/>
        </w:rPr>
        <w:t>artymi</w:t>
      </w:r>
      <w:r w:rsidR="00CC55C0" w:rsidRPr="00F61166">
        <w:rPr>
          <w:noProof/>
          <w:lang w:val="pl-PL"/>
        </w:rPr>
        <w:t xml:space="preserve"> w</w:t>
      </w:r>
      <w:r w:rsidR="00CC55C0">
        <w:rPr>
          <w:noProof/>
          <w:lang w:val="pl-PL"/>
        </w:rPr>
        <w:t> </w:t>
      </w:r>
      <w:r w:rsidR="00CC55C0" w:rsidRPr="00F61166">
        <w:rPr>
          <w:noProof/>
          <w:lang w:val="pl-PL"/>
        </w:rPr>
        <w:t>nim</w:t>
      </w:r>
      <w:r w:rsidRPr="00F61166">
        <w:rPr>
          <w:noProof/>
          <w:lang w:val="pl-PL"/>
        </w:rPr>
        <w:t xml:space="preserve"> wyraźnymi zaleceniami obywateli na temat zerowego poziomu zanieczyszczeń,</w:t>
      </w:r>
      <w:r w:rsidR="00CC55C0" w:rsidRPr="00F61166">
        <w:rPr>
          <w:noProof/>
          <w:lang w:val="pl-PL"/>
        </w:rPr>
        <w:t xml:space="preserve"> a</w:t>
      </w:r>
      <w:r w:rsidR="00CC55C0">
        <w:rPr>
          <w:noProof/>
          <w:lang w:val="pl-PL"/>
        </w:rPr>
        <w:t> </w:t>
      </w:r>
      <w:r w:rsidR="00CC55C0" w:rsidRPr="00F61166">
        <w:rPr>
          <w:noProof/>
          <w:lang w:val="pl-PL"/>
        </w:rPr>
        <w:t>w</w:t>
      </w:r>
      <w:r w:rsidR="00CC55C0">
        <w:rPr>
          <w:noProof/>
          <w:lang w:val="pl-PL"/>
        </w:rPr>
        <w:t> </w:t>
      </w:r>
      <w:r w:rsidR="00CC55C0" w:rsidRPr="00F61166">
        <w:rPr>
          <w:noProof/>
          <w:lang w:val="pl-PL"/>
        </w:rPr>
        <w:t>szc</w:t>
      </w:r>
      <w:r w:rsidRPr="00F61166">
        <w:rPr>
          <w:noProof/>
          <w:lang w:val="pl-PL"/>
        </w:rPr>
        <w:t>zególności</w:t>
      </w:r>
      <w:r w:rsidR="00CC55C0" w:rsidRPr="00F61166">
        <w:rPr>
          <w:noProof/>
          <w:lang w:val="pl-PL"/>
        </w:rPr>
        <w:t xml:space="preserve"> z</w:t>
      </w:r>
      <w:r w:rsidR="00CC55C0">
        <w:rPr>
          <w:noProof/>
          <w:lang w:val="pl-PL"/>
        </w:rPr>
        <w:t> </w:t>
      </w:r>
      <w:r w:rsidR="00CC55C0" w:rsidRPr="00F61166">
        <w:rPr>
          <w:noProof/>
          <w:lang w:val="pl-PL"/>
        </w:rPr>
        <w:t>pro</w:t>
      </w:r>
      <w:r w:rsidRPr="00F61166">
        <w:rPr>
          <w:noProof/>
          <w:lang w:val="pl-PL"/>
        </w:rPr>
        <w:t>pozycjami dotyczącymi rozwiązania problemu zanieczyszczeń</w:t>
      </w:r>
      <w:r w:rsidR="00CC55C0" w:rsidRPr="00F61166">
        <w:rPr>
          <w:noProof/>
          <w:lang w:val="pl-PL"/>
        </w:rPr>
        <w:t xml:space="preserve">. </w:t>
      </w:r>
      <w:r w:rsidR="00CC55C0" w:rsidRPr="0071228C">
        <w:rPr>
          <w:noProof/>
        </w:rPr>
        <w:t>W</w:t>
      </w:r>
      <w:r w:rsidR="00CC55C0">
        <w:rPr>
          <w:noProof/>
          <w:lang w:val="pl-PL"/>
        </w:rPr>
        <w:t> </w:t>
      </w:r>
      <w:r w:rsidR="00CC55C0" w:rsidRPr="0071228C">
        <w:rPr>
          <w:noProof/>
        </w:rPr>
        <w:t>tym</w:t>
      </w:r>
      <w:r w:rsidRPr="0071228C">
        <w:rPr>
          <w:noProof/>
        </w:rPr>
        <w:t xml:space="preserve"> kontekście szczególne znaczenie mają następujące ostateczne propozycje:</w:t>
      </w:r>
    </w:p>
    <w:p w14:paraId="5401108E" w14:textId="7AB5085B" w:rsidR="009E530A" w:rsidRPr="00F61166" w:rsidRDefault="009E530A" w:rsidP="000B6D56">
      <w:pPr>
        <w:pStyle w:val="Default"/>
        <w:numPr>
          <w:ilvl w:val="0"/>
          <w:numId w:val="17"/>
        </w:numPr>
        <w:jc w:val="both"/>
        <w:rPr>
          <w:noProof/>
          <w:lang w:val="pl-PL"/>
        </w:rPr>
      </w:pPr>
      <w:r w:rsidRPr="00F61166">
        <w:rPr>
          <w:noProof/>
          <w:lang w:val="pl-PL"/>
        </w:rPr>
        <w:t>Propozycja 1.4: „Znaczne ograniczenie stosowania chemicznych pestycydów</w:t>
      </w:r>
      <w:r w:rsidR="00CC55C0" w:rsidRPr="00F61166">
        <w:rPr>
          <w:noProof/>
          <w:lang w:val="pl-PL"/>
        </w:rPr>
        <w:t xml:space="preserve"> i</w:t>
      </w:r>
      <w:r w:rsidR="00CC55C0">
        <w:rPr>
          <w:noProof/>
          <w:lang w:val="pl-PL"/>
        </w:rPr>
        <w:t> </w:t>
      </w:r>
      <w:r w:rsidR="00CC55C0" w:rsidRPr="00F61166">
        <w:rPr>
          <w:noProof/>
          <w:lang w:val="pl-PL"/>
        </w:rPr>
        <w:t>naw</w:t>
      </w:r>
      <w:r w:rsidRPr="00F61166">
        <w:rPr>
          <w:noProof/>
          <w:lang w:val="pl-PL"/>
        </w:rPr>
        <w:t>ozów, zgodnie</w:t>
      </w:r>
      <w:r w:rsidR="00CC55C0" w:rsidRPr="00F61166">
        <w:rPr>
          <w:noProof/>
          <w:lang w:val="pl-PL"/>
        </w:rPr>
        <w:t xml:space="preserve"> z</w:t>
      </w:r>
      <w:r w:rsidR="00CC55C0">
        <w:rPr>
          <w:noProof/>
          <w:lang w:val="pl-PL"/>
        </w:rPr>
        <w:t> </w:t>
      </w:r>
      <w:r w:rsidR="00CC55C0" w:rsidRPr="00F61166">
        <w:rPr>
          <w:noProof/>
          <w:lang w:val="pl-PL"/>
        </w:rPr>
        <w:t>ist</w:t>
      </w:r>
      <w:r w:rsidRPr="00F61166">
        <w:rPr>
          <w:noProof/>
          <w:lang w:val="pl-PL"/>
        </w:rPr>
        <w:t>niejącymi celami, przy jednoczesnym zapewnieniu bezpieczeństwa żywnościowego</w:t>
      </w:r>
      <w:r w:rsidR="00CC55C0" w:rsidRPr="00F61166">
        <w:rPr>
          <w:noProof/>
          <w:lang w:val="pl-PL"/>
        </w:rPr>
        <w:t xml:space="preserve"> i</w:t>
      </w:r>
      <w:r w:rsidR="00CC55C0">
        <w:rPr>
          <w:noProof/>
          <w:lang w:val="pl-PL"/>
        </w:rPr>
        <w:t> </w:t>
      </w:r>
      <w:r w:rsidR="00CC55C0" w:rsidRPr="00F61166">
        <w:rPr>
          <w:noProof/>
          <w:lang w:val="pl-PL"/>
        </w:rPr>
        <w:t>wsp</w:t>
      </w:r>
      <w:r w:rsidRPr="00F61166">
        <w:rPr>
          <w:noProof/>
          <w:lang w:val="pl-PL"/>
        </w:rPr>
        <w:t>arcia dla badań</w:t>
      </w:r>
      <w:r w:rsidR="00CC55C0" w:rsidRPr="00F61166">
        <w:rPr>
          <w:noProof/>
          <w:lang w:val="pl-PL"/>
        </w:rPr>
        <w:t xml:space="preserve"> w</w:t>
      </w:r>
      <w:r w:rsidR="00CC55C0">
        <w:rPr>
          <w:noProof/>
          <w:lang w:val="pl-PL"/>
        </w:rPr>
        <w:t> </w:t>
      </w:r>
      <w:r w:rsidR="00CC55C0" w:rsidRPr="00F61166">
        <w:rPr>
          <w:noProof/>
          <w:lang w:val="pl-PL"/>
        </w:rPr>
        <w:t>cel</w:t>
      </w:r>
      <w:r w:rsidRPr="00F61166">
        <w:rPr>
          <w:noProof/>
          <w:lang w:val="pl-PL"/>
        </w:rPr>
        <w:t>u opracowania bardziej zrównoważonych</w:t>
      </w:r>
      <w:r w:rsidR="00CC55C0" w:rsidRPr="00F61166">
        <w:rPr>
          <w:noProof/>
          <w:lang w:val="pl-PL"/>
        </w:rPr>
        <w:t xml:space="preserve"> i</w:t>
      </w:r>
      <w:r w:rsidR="00CC55C0">
        <w:rPr>
          <w:noProof/>
          <w:lang w:val="pl-PL"/>
        </w:rPr>
        <w:t> </w:t>
      </w:r>
      <w:r w:rsidR="00CC55C0" w:rsidRPr="00F61166">
        <w:rPr>
          <w:noProof/>
          <w:lang w:val="pl-PL"/>
        </w:rPr>
        <w:t>neu</w:t>
      </w:r>
      <w:r w:rsidRPr="00F61166">
        <w:rPr>
          <w:noProof/>
          <w:lang w:val="pl-PL"/>
        </w:rPr>
        <w:t>tralnych alternatyw”;</w:t>
      </w:r>
    </w:p>
    <w:p w14:paraId="47E4FB9D" w14:textId="3CD59731" w:rsidR="00511B85" w:rsidRPr="00F61166" w:rsidRDefault="009E530A" w:rsidP="000B6D56">
      <w:pPr>
        <w:pStyle w:val="Default"/>
        <w:numPr>
          <w:ilvl w:val="0"/>
          <w:numId w:val="17"/>
        </w:numPr>
        <w:jc w:val="both"/>
        <w:rPr>
          <w:noProof/>
          <w:lang w:val="pl-PL"/>
        </w:rPr>
      </w:pPr>
      <w:r w:rsidRPr="00F61166">
        <w:rPr>
          <w:noProof/>
          <w:lang w:val="pl-PL"/>
        </w:rPr>
        <w:t>Propozycja 2.7: „Ochrona źródeł wody oraz walka</w:t>
      </w:r>
      <w:r w:rsidR="00CC55C0" w:rsidRPr="00F61166">
        <w:rPr>
          <w:noProof/>
          <w:lang w:val="pl-PL"/>
        </w:rPr>
        <w:t xml:space="preserve"> z</w:t>
      </w:r>
      <w:r w:rsidR="00CC55C0">
        <w:rPr>
          <w:noProof/>
          <w:lang w:val="pl-PL"/>
        </w:rPr>
        <w:t> </w:t>
      </w:r>
      <w:r w:rsidR="00CC55C0" w:rsidRPr="00F61166">
        <w:rPr>
          <w:noProof/>
          <w:lang w:val="pl-PL"/>
        </w:rPr>
        <w:t>zan</w:t>
      </w:r>
      <w:r w:rsidRPr="00F61166">
        <w:rPr>
          <w:noProof/>
          <w:lang w:val="pl-PL"/>
        </w:rPr>
        <w:t>ieczyszczeniami rzek</w:t>
      </w:r>
      <w:r w:rsidR="00CC55C0" w:rsidRPr="00F61166">
        <w:rPr>
          <w:noProof/>
          <w:lang w:val="pl-PL"/>
        </w:rPr>
        <w:t xml:space="preserve"> i</w:t>
      </w:r>
      <w:r w:rsidR="00CC55C0">
        <w:rPr>
          <w:noProof/>
          <w:lang w:val="pl-PL"/>
        </w:rPr>
        <w:t> </w:t>
      </w:r>
      <w:r w:rsidR="00CC55C0" w:rsidRPr="00F61166">
        <w:rPr>
          <w:noProof/>
          <w:lang w:val="pl-PL"/>
        </w:rPr>
        <w:t>oce</w:t>
      </w:r>
      <w:r w:rsidRPr="00F61166">
        <w:rPr>
          <w:noProof/>
          <w:lang w:val="pl-PL"/>
        </w:rPr>
        <w:t>anów,</w:t>
      </w:r>
      <w:r w:rsidR="00CC55C0" w:rsidRPr="00F61166">
        <w:rPr>
          <w:noProof/>
          <w:lang w:val="pl-PL"/>
        </w:rPr>
        <w:t xml:space="preserve"> w</w:t>
      </w:r>
      <w:r w:rsidR="00CC55C0">
        <w:rPr>
          <w:noProof/>
          <w:lang w:val="pl-PL"/>
        </w:rPr>
        <w:t> </w:t>
      </w:r>
      <w:r w:rsidR="00CC55C0" w:rsidRPr="00F61166">
        <w:rPr>
          <w:noProof/>
          <w:lang w:val="pl-PL"/>
        </w:rPr>
        <w:t>tym</w:t>
      </w:r>
      <w:r w:rsidRPr="00F61166">
        <w:rPr>
          <w:noProof/>
          <w:lang w:val="pl-PL"/>
        </w:rPr>
        <w:t xml:space="preserve"> poprzez badanie zanieczyszczeń mikrodrobinami plastiku”.</w:t>
      </w:r>
    </w:p>
    <w:p w14:paraId="3695A2AF" w14:textId="77777777" w:rsidR="0047629D" w:rsidRPr="0071228C" w:rsidRDefault="0047629D" w:rsidP="005C4F36">
      <w:pPr>
        <w:pStyle w:val="ManualHeading1"/>
        <w:rPr>
          <w:noProof/>
          <w:szCs w:val="24"/>
        </w:rPr>
      </w:pPr>
      <w:r w:rsidRPr="0071228C">
        <w:rPr>
          <w:noProof/>
        </w:rPr>
        <w:t>2.</w:t>
      </w:r>
      <w:r w:rsidRPr="0071228C">
        <w:rPr>
          <w:noProof/>
        </w:rPr>
        <w:tab/>
        <w:t>PODSTAWA PRAWNA, POMOCNICZOŚĆ I PROPORCJONALNOŚĆ</w:t>
      </w:r>
    </w:p>
    <w:p w14:paraId="258ED597" w14:textId="77777777"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r>
      <w:r w:rsidRPr="0071228C">
        <w:rPr>
          <w:noProof/>
          <w:u w:color="000000"/>
          <w:bdr w:val="nil"/>
        </w:rPr>
        <w:t>Podstawa prawna</w:t>
      </w:r>
    </w:p>
    <w:p w14:paraId="73A4B64D" w14:textId="3AF16A6A" w:rsidR="0047629D" w:rsidRPr="0071228C" w:rsidRDefault="00CF12B3" w:rsidP="005C4F36">
      <w:pPr>
        <w:pBdr>
          <w:top w:val="nil"/>
          <w:left w:val="nil"/>
          <w:bottom w:val="nil"/>
          <w:right w:val="nil"/>
          <w:between w:val="nil"/>
          <w:bar w:val="nil"/>
        </w:pBdr>
        <w:spacing w:before="0" w:after="240"/>
        <w:rPr>
          <w:rFonts w:eastAsia="Arial Unicode MS"/>
          <w:noProof/>
          <w:szCs w:val="24"/>
        </w:rPr>
      </w:pPr>
      <w:r w:rsidRPr="0071228C">
        <w:rPr>
          <w:noProof/>
        </w:rPr>
        <w:t xml:space="preserve">Podstawę prawną wniosku stanowi </w:t>
      </w:r>
      <w:r w:rsidRPr="00CC55C0">
        <w:rPr>
          <w:noProof/>
        </w:rPr>
        <w:t>art.</w:t>
      </w:r>
      <w:r w:rsidR="00CC55C0" w:rsidRPr="00CC55C0">
        <w:rPr>
          <w:noProof/>
        </w:rPr>
        <w:t> </w:t>
      </w:r>
      <w:r w:rsidRPr="00CC55C0">
        <w:rPr>
          <w:noProof/>
        </w:rPr>
        <w:t>1</w:t>
      </w:r>
      <w:r w:rsidRPr="0071228C">
        <w:rPr>
          <w:noProof/>
        </w:rPr>
        <w:t>92 Traktatu</w:t>
      </w:r>
      <w:r w:rsidR="00CC55C0" w:rsidRPr="0071228C">
        <w:rPr>
          <w:noProof/>
        </w:rPr>
        <w:t xml:space="preserve"> o</w:t>
      </w:r>
      <w:r w:rsidR="00CC55C0">
        <w:rPr>
          <w:noProof/>
        </w:rPr>
        <w:t> </w:t>
      </w:r>
      <w:r w:rsidR="00CC55C0" w:rsidRPr="0071228C">
        <w:rPr>
          <w:noProof/>
        </w:rPr>
        <w:t>fun</w:t>
      </w:r>
      <w:r w:rsidRPr="0071228C">
        <w:rPr>
          <w:noProof/>
        </w:rPr>
        <w:t>kcjonowaniu Unii Europejskiej (TFUE).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91</w:t>
      </w:r>
      <w:r w:rsidR="00CC55C0" w:rsidRPr="0071228C">
        <w:rPr>
          <w:noProof/>
        </w:rPr>
        <w:t xml:space="preserve"> i</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 xml:space="preserve">92 </w:t>
      </w:r>
      <w:r w:rsidRPr="00CC55C0">
        <w:rPr>
          <w:noProof/>
        </w:rPr>
        <w:t>ust.</w:t>
      </w:r>
      <w:r w:rsidR="00CC55C0" w:rsidRPr="00CC55C0">
        <w:rPr>
          <w:noProof/>
        </w:rPr>
        <w:t> </w:t>
      </w:r>
      <w:r w:rsidRPr="00CC55C0">
        <w:rPr>
          <w:noProof/>
        </w:rPr>
        <w:t>1</w:t>
      </w:r>
      <w:r w:rsidRPr="0071228C">
        <w:rPr>
          <w:noProof/>
        </w:rPr>
        <w:t xml:space="preserve"> TFUE Unia jest zobowiązana przyczyniać się do zachowania, ochrony</w:t>
      </w:r>
      <w:r w:rsidR="00CC55C0" w:rsidRPr="0071228C">
        <w:rPr>
          <w:noProof/>
        </w:rPr>
        <w:t xml:space="preserve"> i</w:t>
      </w:r>
      <w:r w:rsidR="00CC55C0">
        <w:rPr>
          <w:noProof/>
        </w:rPr>
        <w:t> </w:t>
      </w:r>
      <w:r w:rsidR="00CC55C0" w:rsidRPr="0071228C">
        <w:rPr>
          <w:noProof/>
        </w:rPr>
        <w:t>pop</w:t>
      </w:r>
      <w:r w:rsidRPr="0071228C">
        <w:rPr>
          <w:noProof/>
        </w:rPr>
        <w:t>rawy jakości środowiska; promowania na płaszczyźnie międzynarodowej środków zmierzających do rozwiązywania regionalnych lub światowych problemów środowiska naturalnego; oraz zwalczania zmian klimatu.</w:t>
      </w:r>
    </w:p>
    <w:p w14:paraId="10F2ADDF" w14:textId="77777777"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r>
      <w:r w:rsidRPr="0071228C">
        <w:rPr>
          <w:noProof/>
          <w:u w:color="000000"/>
          <w:bdr w:val="nil"/>
        </w:rPr>
        <w:t xml:space="preserve">Pomocniczość (w przypadku kompetencji niewyłącznych) </w:t>
      </w:r>
    </w:p>
    <w:p w14:paraId="49050E44" w14:textId="4ECB273B" w:rsidR="00CF12B3" w:rsidRPr="0071228C" w:rsidRDefault="00CF12B3" w:rsidP="00CF12B3">
      <w:pPr>
        <w:spacing w:before="0" w:after="160"/>
        <w:rPr>
          <w:rFonts w:eastAsia="Times New Roman"/>
          <w:noProof/>
          <w:szCs w:val="24"/>
        </w:rPr>
      </w:pPr>
      <w:r w:rsidRPr="0071228C">
        <w:rPr>
          <w:noProof/>
        </w:rPr>
        <w:t>Jednolite części wód powierzchniowych</w:t>
      </w:r>
      <w:r w:rsidR="00CC55C0" w:rsidRPr="0071228C">
        <w:rPr>
          <w:noProof/>
        </w:rPr>
        <w:t xml:space="preserve"> i</w:t>
      </w:r>
      <w:r w:rsidR="00CC55C0">
        <w:rPr>
          <w:noProof/>
        </w:rPr>
        <w:t> </w:t>
      </w:r>
      <w:r w:rsidR="00CC55C0" w:rsidRPr="0071228C">
        <w:rPr>
          <w:noProof/>
        </w:rPr>
        <w:t>pod</w:t>
      </w:r>
      <w:r w:rsidRPr="0071228C">
        <w:rPr>
          <w:noProof/>
        </w:rPr>
        <w:t>ziemnych w UE są skażone przez szereg substancji zanieczyszczających. Zanieczyszczenia spływają</w:t>
      </w:r>
      <w:r w:rsidR="00CC55C0" w:rsidRPr="0071228C">
        <w:rPr>
          <w:noProof/>
        </w:rPr>
        <w:t xml:space="preserve"> z</w:t>
      </w:r>
      <w:r w:rsidR="00CC55C0">
        <w:rPr>
          <w:noProof/>
        </w:rPr>
        <w:t> </w:t>
      </w:r>
      <w:r w:rsidR="00CC55C0" w:rsidRPr="0071228C">
        <w:rPr>
          <w:noProof/>
        </w:rPr>
        <w:t>wod</w:t>
      </w:r>
      <w:r w:rsidRPr="0071228C">
        <w:rPr>
          <w:noProof/>
        </w:rPr>
        <w:t>ą</w:t>
      </w:r>
      <w:r w:rsidR="00CC55C0" w:rsidRPr="0071228C">
        <w:rPr>
          <w:noProof/>
        </w:rPr>
        <w:t xml:space="preserve"> i</w:t>
      </w:r>
      <w:r w:rsidR="00CC55C0">
        <w:rPr>
          <w:noProof/>
        </w:rPr>
        <w:t> </w:t>
      </w:r>
      <w:r w:rsidR="00CC55C0" w:rsidRPr="0071228C">
        <w:rPr>
          <w:noProof/>
        </w:rPr>
        <w:t>dos</w:t>
      </w:r>
      <w:r w:rsidRPr="0071228C">
        <w:rPr>
          <w:noProof/>
        </w:rPr>
        <w:t>tają się pod ziemię, przy czym 6</w:t>
      </w:r>
      <w:r w:rsidRPr="00CC55C0">
        <w:rPr>
          <w:noProof/>
        </w:rPr>
        <w:t>0</w:t>
      </w:r>
      <w:r w:rsidR="00CC55C0" w:rsidRPr="00CC55C0">
        <w:rPr>
          <w:noProof/>
        </w:rPr>
        <w:t> </w:t>
      </w:r>
      <w:r w:rsidRPr="00CC55C0">
        <w:rPr>
          <w:noProof/>
        </w:rPr>
        <w:t>%</w:t>
      </w:r>
      <w:r w:rsidRPr="0071228C">
        <w:rPr>
          <w:noProof/>
        </w:rPr>
        <w:t xml:space="preserve"> europejskich obszarów dorzecza stanowią obszary międzynarodowe (dzielone między państwa członkowskie albo między państwo członkowskie</w:t>
      </w:r>
      <w:r w:rsidR="00CC55C0" w:rsidRPr="0071228C">
        <w:rPr>
          <w:noProof/>
        </w:rPr>
        <w:t xml:space="preserve"> i</w:t>
      </w:r>
      <w:r w:rsidR="00CC55C0">
        <w:rPr>
          <w:noProof/>
        </w:rPr>
        <w:t> </w:t>
      </w:r>
      <w:r w:rsidR="00CC55C0" w:rsidRPr="0071228C">
        <w:rPr>
          <w:noProof/>
        </w:rPr>
        <w:t>pań</w:t>
      </w:r>
      <w:r w:rsidRPr="0071228C">
        <w:rPr>
          <w:noProof/>
        </w:rPr>
        <w:t>stwo trzecie)</w:t>
      </w:r>
      <w:r w:rsidR="00CC55C0" w:rsidRPr="0071228C">
        <w:rPr>
          <w:noProof/>
        </w:rPr>
        <w:t>. Z</w:t>
      </w:r>
      <w:r w:rsidR="00CC55C0">
        <w:rPr>
          <w:noProof/>
        </w:rPr>
        <w:t> </w:t>
      </w:r>
      <w:r w:rsidR="00CC55C0" w:rsidRPr="0071228C">
        <w:rPr>
          <w:noProof/>
        </w:rPr>
        <w:t>teg</w:t>
      </w:r>
      <w:r w:rsidRPr="0071228C">
        <w:rPr>
          <w:noProof/>
        </w:rPr>
        <w:t>o powodu współpraca między państwami członkowskimi ma zasadnicze znaczenie, przy czym podjęcie działań na szczeblu UE jest konieczne, aby zaradzić problemowi zanieczyszczeń</w:t>
      </w:r>
      <w:r w:rsidR="00CC55C0" w:rsidRPr="0071228C">
        <w:rPr>
          <w:noProof/>
        </w:rPr>
        <w:t xml:space="preserve"> i</w:t>
      </w:r>
      <w:r w:rsidR="00CC55C0">
        <w:rPr>
          <w:noProof/>
        </w:rPr>
        <w:t> </w:t>
      </w:r>
      <w:r w:rsidR="00CC55C0" w:rsidRPr="0071228C">
        <w:rPr>
          <w:noProof/>
        </w:rPr>
        <w:t>inn</w:t>
      </w:r>
      <w:r w:rsidRPr="0071228C">
        <w:rPr>
          <w:noProof/>
        </w:rPr>
        <w:t>ym transgranicznym skutkom poprzez ustanowienie zharmonizowanych norm</w:t>
      </w:r>
      <w:r w:rsidR="00CC55C0" w:rsidRPr="0071228C">
        <w:rPr>
          <w:noProof/>
        </w:rPr>
        <w:t xml:space="preserve"> i</w:t>
      </w:r>
      <w:r w:rsidR="00CC55C0">
        <w:rPr>
          <w:noProof/>
        </w:rPr>
        <w:t> </w:t>
      </w:r>
      <w:r w:rsidR="00CC55C0" w:rsidRPr="0071228C">
        <w:rPr>
          <w:noProof/>
        </w:rPr>
        <w:t>stw</w:t>
      </w:r>
      <w:r w:rsidRPr="0071228C">
        <w:rPr>
          <w:noProof/>
        </w:rPr>
        <w:t>orzenie zharmonizowanych systemów dotyczących zbierania</w:t>
      </w:r>
      <w:r w:rsidR="00CC55C0" w:rsidRPr="0071228C">
        <w:rPr>
          <w:noProof/>
        </w:rPr>
        <w:t xml:space="preserve"> i</w:t>
      </w:r>
      <w:r w:rsidR="00CC55C0">
        <w:rPr>
          <w:noProof/>
        </w:rPr>
        <w:t> </w:t>
      </w:r>
      <w:r w:rsidR="00CC55C0" w:rsidRPr="0071228C">
        <w:rPr>
          <w:noProof/>
        </w:rPr>
        <w:t>wym</w:t>
      </w:r>
      <w:r w:rsidRPr="0071228C">
        <w:rPr>
          <w:noProof/>
        </w:rPr>
        <w:t xml:space="preserve">iany danych. Bez działań na poziomie UE rozwiązanie problemu zanieczyszczeń byłoby </w:t>
      </w:r>
      <w:bookmarkStart w:id="1" w:name="_Hlk102409341"/>
      <w:r w:rsidRPr="0071228C">
        <w:rPr>
          <w:noProof/>
        </w:rPr>
        <w:t>nadmiernie kosztowne, zwłaszcza dla państw członkowskich położonych</w:t>
      </w:r>
      <w:r w:rsidR="00CC55C0" w:rsidRPr="0071228C">
        <w:rPr>
          <w:noProof/>
        </w:rPr>
        <w:t xml:space="preserve"> w</w:t>
      </w:r>
      <w:r w:rsidR="00CC55C0">
        <w:rPr>
          <w:noProof/>
        </w:rPr>
        <w:t> </w:t>
      </w:r>
      <w:r w:rsidR="00CC55C0" w:rsidRPr="0071228C">
        <w:rPr>
          <w:noProof/>
        </w:rPr>
        <w:t>dol</w:t>
      </w:r>
      <w:r w:rsidRPr="0071228C">
        <w:rPr>
          <w:noProof/>
        </w:rPr>
        <w:t>nym biegu rzek.</w:t>
      </w:r>
      <w:bookmarkEnd w:id="1"/>
      <w:r w:rsidRPr="0071228C">
        <w:rPr>
          <w:noProof/>
        </w:rPr>
        <w:t xml:space="preserve"> </w:t>
      </w:r>
    </w:p>
    <w:p w14:paraId="620120C4" w14:textId="21F48A97" w:rsidR="00690D54" w:rsidRPr="0071228C" w:rsidRDefault="00690D54" w:rsidP="00690D54">
      <w:pPr>
        <w:spacing w:before="0" w:after="160"/>
        <w:rPr>
          <w:rFonts w:eastAsia="Times New Roman"/>
          <w:noProof/>
          <w:szCs w:val="24"/>
        </w:rPr>
      </w:pPr>
      <w:r w:rsidRPr="0071228C">
        <w:rPr>
          <w:noProof/>
        </w:rPr>
        <w:t>W ocenie adekwatności unijnego prawodawstwa dotyczącego wody</w:t>
      </w:r>
      <w:r w:rsidR="00CC55C0" w:rsidRPr="0071228C">
        <w:rPr>
          <w:noProof/>
        </w:rPr>
        <w:t xml:space="preserve"> z</w:t>
      </w:r>
      <w:r w:rsidR="00CC55C0">
        <w:rPr>
          <w:noProof/>
        </w:rPr>
        <w:t> </w:t>
      </w:r>
      <w:r w:rsidR="00CC55C0" w:rsidRPr="0071228C">
        <w:rPr>
          <w:noProof/>
        </w:rPr>
        <w:t>2</w:t>
      </w:r>
      <w:r w:rsidRPr="0071228C">
        <w:rPr>
          <w:noProof/>
        </w:rPr>
        <w:t>0</w:t>
      </w:r>
      <w:r w:rsidRPr="00CC55C0">
        <w:rPr>
          <w:noProof/>
        </w:rPr>
        <w:t>19</w:t>
      </w:r>
      <w:r w:rsidR="00CC55C0" w:rsidRPr="00CC55C0">
        <w:rPr>
          <w:noProof/>
        </w:rPr>
        <w:t> </w:t>
      </w:r>
      <w:r w:rsidRPr="00CC55C0">
        <w:rPr>
          <w:noProof/>
        </w:rPr>
        <w:t>r.</w:t>
      </w:r>
      <w:r w:rsidRPr="0071228C">
        <w:rPr>
          <w:noProof/>
        </w:rPr>
        <w:t xml:space="preserve"> potwierdzono, że ramowa dyrektywa wodna</w:t>
      </w:r>
      <w:r w:rsidR="00CC55C0" w:rsidRPr="0071228C">
        <w:rPr>
          <w:noProof/>
        </w:rPr>
        <w:t xml:space="preserve"> i</w:t>
      </w:r>
      <w:r w:rsidR="00CC55C0">
        <w:rPr>
          <w:noProof/>
        </w:rPr>
        <w:t> </w:t>
      </w:r>
      <w:r w:rsidR="00CC55C0" w:rsidRPr="0071228C">
        <w:rPr>
          <w:noProof/>
        </w:rPr>
        <w:t>jej</w:t>
      </w:r>
      <w:r w:rsidRPr="0071228C">
        <w:rPr>
          <w:noProof/>
        </w:rPr>
        <w:t xml:space="preserve"> dwie dyrektywy szczegółowe przyczyniły się do uruchomienia lub wzmocnienia działań mających na celu rozwiązanie problemu transgranicznych presji na zasoby wodne na poziomie dorzecza, zarówno</w:t>
      </w:r>
      <w:r w:rsidR="00CC55C0" w:rsidRPr="0071228C">
        <w:rPr>
          <w:noProof/>
        </w:rPr>
        <w:t xml:space="preserve"> w</w:t>
      </w:r>
      <w:r w:rsidR="00CC55C0">
        <w:rPr>
          <w:noProof/>
        </w:rPr>
        <w:t> </w:t>
      </w:r>
      <w:r w:rsidR="00CC55C0" w:rsidRPr="0071228C">
        <w:rPr>
          <w:noProof/>
        </w:rPr>
        <w:t>ska</w:t>
      </w:r>
      <w:r w:rsidRPr="0071228C">
        <w:rPr>
          <w:noProof/>
        </w:rPr>
        <w:t>li krajowej, jak</w:t>
      </w:r>
      <w:r w:rsidR="00CC55C0" w:rsidRPr="0071228C">
        <w:rPr>
          <w:noProof/>
        </w:rPr>
        <w:t xml:space="preserve"> i</w:t>
      </w:r>
      <w:r w:rsidR="00CC55C0">
        <w:rPr>
          <w:noProof/>
        </w:rPr>
        <w:t> </w:t>
      </w:r>
      <w:r w:rsidR="00CC55C0" w:rsidRPr="0071228C">
        <w:rPr>
          <w:noProof/>
        </w:rPr>
        <w:t>mię</w:t>
      </w:r>
      <w:r w:rsidRPr="0071228C">
        <w:rPr>
          <w:noProof/>
        </w:rPr>
        <w:t xml:space="preserve">dzynarodowej. </w:t>
      </w:r>
    </w:p>
    <w:p w14:paraId="6052E5C7" w14:textId="784E8E4B" w:rsidR="00690D54" w:rsidRPr="0071228C" w:rsidRDefault="00690D54" w:rsidP="00690D54">
      <w:pPr>
        <w:spacing w:before="0" w:after="160"/>
        <w:rPr>
          <w:rFonts w:eastAsia="Times New Roman"/>
          <w:noProof/>
          <w:szCs w:val="24"/>
        </w:rPr>
      </w:pPr>
      <w:r w:rsidRPr="0071228C">
        <w:rPr>
          <w:noProof/>
        </w:rPr>
        <w:t>W szczególności</w:t>
      </w:r>
      <w:r w:rsidR="00CC55C0" w:rsidRPr="0071228C">
        <w:rPr>
          <w:noProof/>
        </w:rPr>
        <w:t xml:space="preserve"> w</w:t>
      </w:r>
      <w:r w:rsidR="00CC55C0">
        <w:rPr>
          <w:noProof/>
        </w:rPr>
        <w:t> </w:t>
      </w:r>
      <w:r w:rsidR="00CC55C0" w:rsidRPr="0071228C">
        <w:rPr>
          <w:noProof/>
        </w:rPr>
        <w:t>odn</w:t>
      </w:r>
      <w:r w:rsidRPr="0071228C">
        <w:rPr>
          <w:noProof/>
        </w:rPr>
        <w:t>iesieniu do substancji zanieczyszczających</w:t>
      </w:r>
      <w:r w:rsidR="00CC55C0" w:rsidRPr="0071228C">
        <w:rPr>
          <w:noProof/>
        </w:rPr>
        <w:t xml:space="preserve"> w</w:t>
      </w:r>
      <w:r w:rsidR="00CC55C0">
        <w:rPr>
          <w:noProof/>
        </w:rPr>
        <w:t> </w:t>
      </w:r>
      <w:r w:rsidR="00CC55C0" w:rsidRPr="0071228C">
        <w:rPr>
          <w:noProof/>
        </w:rPr>
        <w:t>pra</w:t>
      </w:r>
      <w:r w:rsidRPr="0071228C">
        <w:rPr>
          <w:noProof/>
        </w:rPr>
        <w:t>wodawstwie rozróżnia się substancje uznane za stanowiące zagrożenie na poziomie UE oraz substancje stanowiące zagrożenie na poziomie regionalnym lub krajowym oraz traktuje je</w:t>
      </w:r>
      <w:r w:rsidR="00CC55C0" w:rsidRPr="0071228C">
        <w:rPr>
          <w:noProof/>
        </w:rPr>
        <w:t xml:space="preserve"> w</w:t>
      </w:r>
      <w:r w:rsidR="00CC55C0">
        <w:rPr>
          <w:noProof/>
        </w:rPr>
        <w:t> </w:t>
      </w:r>
      <w:r w:rsidR="00CC55C0" w:rsidRPr="0071228C">
        <w:rPr>
          <w:noProof/>
        </w:rPr>
        <w:t>róż</w:t>
      </w:r>
      <w:r w:rsidRPr="0071228C">
        <w:rPr>
          <w:noProof/>
        </w:rPr>
        <w:t>ny sposób. Celem niniejszej inicjatywy jest ulepszenie sposobu,</w:t>
      </w:r>
      <w:r w:rsidR="00CC55C0" w:rsidRPr="0071228C">
        <w:rPr>
          <w:noProof/>
        </w:rPr>
        <w:t xml:space="preserve"> w</w:t>
      </w:r>
      <w:r w:rsidR="00CC55C0">
        <w:rPr>
          <w:noProof/>
        </w:rPr>
        <w:t> </w:t>
      </w:r>
      <w:r w:rsidR="00CC55C0" w:rsidRPr="0071228C">
        <w:rPr>
          <w:noProof/>
        </w:rPr>
        <w:t>jak</w:t>
      </w:r>
      <w:r w:rsidRPr="0071228C">
        <w:rPr>
          <w:noProof/>
        </w:rPr>
        <w:t>i państwa członkowskie zwalczają substancje stanowiące zagrożenie na poziomie regionalnym lub krajowym.</w:t>
      </w:r>
    </w:p>
    <w:p w14:paraId="6745F6AE" w14:textId="3AD015D8" w:rsidR="00075892" w:rsidRPr="0071228C" w:rsidRDefault="00075892" w:rsidP="00690D54">
      <w:pPr>
        <w:spacing w:before="0" w:after="160"/>
        <w:rPr>
          <w:rFonts w:eastAsia="Times New Roman"/>
          <w:noProof/>
          <w:szCs w:val="24"/>
        </w:rPr>
      </w:pPr>
      <w:r w:rsidRPr="0071228C">
        <w:rPr>
          <w:noProof/>
        </w:rPr>
        <w:t>W przypadku ustanowienia środowiskowych norm jakości UE wprowadza wspólne cele, aby osiągnąć zerowy poziom emisji zanieczyszczeń na podstawie dowodów naukowych, ale pozostawia państwom członkowskim elastyczność</w:t>
      </w:r>
      <w:r w:rsidR="00CC55C0" w:rsidRPr="0071228C">
        <w:rPr>
          <w:noProof/>
        </w:rPr>
        <w:t xml:space="preserve"> w</w:t>
      </w:r>
      <w:r w:rsidR="00CC55C0">
        <w:rPr>
          <w:noProof/>
        </w:rPr>
        <w:t> </w:t>
      </w:r>
      <w:r w:rsidR="00CC55C0" w:rsidRPr="0071228C">
        <w:rPr>
          <w:noProof/>
        </w:rPr>
        <w:t>zak</w:t>
      </w:r>
      <w:r w:rsidRPr="0071228C">
        <w:rPr>
          <w:noProof/>
        </w:rPr>
        <w:t>resie decydowania</w:t>
      </w:r>
      <w:r w:rsidR="00CC55C0" w:rsidRPr="0071228C">
        <w:rPr>
          <w:noProof/>
        </w:rPr>
        <w:t xml:space="preserve"> o</w:t>
      </w:r>
      <w:r w:rsidR="00CC55C0">
        <w:rPr>
          <w:noProof/>
        </w:rPr>
        <w:t> </w:t>
      </w:r>
      <w:r w:rsidR="00CC55C0" w:rsidRPr="0071228C">
        <w:rPr>
          <w:noProof/>
        </w:rPr>
        <w:t>naj</w:t>
      </w:r>
      <w:r w:rsidRPr="0071228C">
        <w:rPr>
          <w:noProof/>
        </w:rPr>
        <w:t>bardziej opłacalnym sposobie osiągnięcia tych celów,</w:t>
      </w:r>
      <w:r w:rsidR="00CC55C0" w:rsidRPr="0071228C">
        <w:rPr>
          <w:noProof/>
        </w:rPr>
        <w:t xml:space="preserve"> z</w:t>
      </w:r>
      <w:r w:rsidR="00CC55C0">
        <w:rPr>
          <w:noProof/>
        </w:rPr>
        <w:t> </w:t>
      </w:r>
      <w:r w:rsidR="00CC55C0" w:rsidRPr="0071228C">
        <w:rPr>
          <w:noProof/>
        </w:rPr>
        <w:t>uwz</w:t>
      </w:r>
      <w:r w:rsidRPr="0071228C">
        <w:rPr>
          <w:noProof/>
        </w:rPr>
        <w:t>ględnieniem odpowiednich przepisów UE dotyczących źródeł zanieczyszczeń</w:t>
      </w:r>
      <w:r w:rsidR="00CC55C0" w:rsidRPr="0071228C">
        <w:rPr>
          <w:noProof/>
        </w:rPr>
        <w:t>. W</w:t>
      </w:r>
      <w:r w:rsidR="00CC55C0">
        <w:rPr>
          <w:noProof/>
        </w:rPr>
        <w:t> </w:t>
      </w:r>
      <w:r w:rsidR="00CC55C0" w:rsidRPr="0071228C">
        <w:rPr>
          <w:noProof/>
        </w:rPr>
        <w:t>ten</w:t>
      </w:r>
      <w:r w:rsidRPr="0071228C">
        <w:rPr>
          <w:noProof/>
        </w:rPr>
        <w:t xml:space="preserve"> sposób (wprowadzając wspólne cele</w:t>
      </w:r>
      <w:r w:rsidR="00CC55C0" w:rsidRPr="0071228C">
        <w:rPr>
          <w:noProof/>
        </w:rPr>
        <w:t xml:space="preserve"> z</w:t>
      </w:r>
      <w:r w:rsidR="00CC55C0">
        <w:rPr>
          <w:noProof/>
        </w:rPr>
        <w:t> </w:t>
      </w:r>
      <w:r w:rsidR="00CC55C0" w:rsidRPr="0071228C">
        <w:rPr>
          <w:noProof/>
        </w:rPr>
        <w:t>ela</w:t>
      </w:r>
      <w:r w:rsidRPr="0071228C">
        <w:rPr>
          <w:noProof/>
        </w:rPr>
        <w:t>stycznością</w:t>
      </w:r>
      <w:r w:rsidR="00CC55C0" w:rsidRPr="0071228C">
        <w:rPr>
          <w:noProof/>
        </w:rPr>
        <w:t xml:space="preserve"> w</w:t>
      </w:r>
      <w:r w:rsidR="00CC55C0">
        <w:rPr>
          <w:noProof/>
        </w:rPr>
        <w:t> </w:t>
      </w:r>
      <w:r w:rsidR="00CC55C0" w:rsidRPr="0071228C">
        <w:rPr>
          <w:noProof/>
        </w:rPr>
        <w:t>ich</w:t>
      </w:r>
      <w:r w:rsidRPr="0071228C">
        <w:rPr>
          <w:noProof/>
        </w:rPr>
        <w:t xml:space="preserve"> osiąganiu) tworzy powiązanie</w:t>
      </w:r>
      <w:r w:rsidR="00CC55C0" w:rsidRPr="0071228C">
        <w:rPr>
          <w:noProof/>
        </w:rPr>
        <w:t xml:space="preserve"> z</w:t>
      </w:r>
      <w:r w:rsidR="00CC55C0">
        <w:rPr>
          <w:noProof/>
        </w:rPr>
        <w:t> </w:t>
      </w:r>
      <w:r w:rsidR="00CC55C0" w:rsidRPr="0071228C">
        <w:rPr>
          <w:noProof/>
        </w:rPr>
        <w:t>pra</w:t>
      </w:r>
      <w:r w:rsidRPr="0071228C">
        <w:rPr>
          <w:noProof/>
        </w:rPr>
        <w:t>wodawstwem dotyczącym źródeł zanieczyszczeń na poziomie UE (takim jak zrównoważone stosowanie pestycydów)</w:t>
      </w:r>
      <w:r w:rsidR="00CC55C0" w:rsidRPr="0071228C">
        <w:rPr>
          <w:noProof/>
        </w:rPr>
        <w:t xml:space="preserve"> i</w:t>
      </w:r>
      <w:r w:rsidR="00CC55C0">
        <w:rPr>
          <w:noProof/>
        </w:rPr>
        <w:t> </w:t>
      </w:r>
      <w:r w:rsidR="00CC55C0" w:rsidRPr="0071228C">
        <w:rPr>
          <w:noProof/>
        </w:rPr>
        <w:t>pom</w:t>
      </w:r>
      <w:r w:rsidRPr="0071228C">
        <w:rPr>
          <w:noProof/>
        </w:rPr>
        <w:t>aga zapewnić skuteczną realizację celów określonych</w:t>
      </w:r>
      <w:r w:rsidR="00CC55C0" w:rsidRPr="0071228C">
        <w:rPr>
          <w:noProof/>
        </w:rPr>
        <w:t xml:space="preserve"> w</w:t>
      </w:r>
      <w:r w:rsidR="00CC55C0">
        <w:rPr>
          <w:noProof/>
        </w:rPr>
        <w:t> </w:t>
      </w:r>
      <w:r w:rsidR="00CC55C0" w:rsidRPr="0071228C">
        <w:rPr>
          <w:noProof/>
        </w:rPr>
        <w:t>tym</w:t>
      </w:r>
      <w:r w:rsidRPr="0071228C">
        <w:rPr>
          <w:noProof/>
        </w:rPr>
        <w:t xml:space="preserve"> prawodawstwie. </w:t>
      </w:r>
    </w:p>
    <w:p w14:paraId="021566ED" w14:textId="77777777"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r>
      <w:r w:rsidRPr="0071228C">
        <w:rPr>
          <w:noProof/>
          <w:u w:color="000000"/>
          <w:bdr w:val="nil"/>
        </w:rPr>
        <w:t>Proporcjonalność</w:t>
      </w:r>
    </w:p>
    <w:p w14:paraId="0A1A534A" w14:textId="7B8F454A" w:rsidR="002821B9" w:rsidRPr="0071228C" w:rsidRDefault="002821B9" w:rsidP="00C15986">
      <w:pPr>
        <w:pBdr>
          <w:top w:val="nil"/>
          <w:left w:val="nil"/>
          <w:bottom w:val="nil"/>
          <w:right w:val="nil"/>
          <w:between w:val="nil"/>
          <w:bar w:val="nil"/>
        </w:pBdr>
        <w:spacing w:before="0" w:after="240"/>
        <w:rPr>
          <w:noProof/>
        </w:rPr>
      </w:pPr>
      <w:r w:rsidRPr="0071228C">
        <w:rPr>
          <w:noProof/>
        </w:rPr>
        <w:t>W ramach wniosku zostają zmienione istniejące wykazy zanieczyszczeń mających wpływ na wody powierzchniowe</w:t>
      </w:r>
      <w:r w:rsidR="00CC55C0" w:rsidRPr="0071228C">
        <w:rPr>
          <w:noProof/>
        </w:rPr>
        <w:t xml:space="preserve"> i</w:t>
      </w:r>
      <w:r w:rsidR="00CC55C0">
        <w:rPr>
          <w:noProof/>
        </w:rPr>
        <w:t> </w:t>
      </w:r>
      <w:r w:rsidR="00CC55C0" w:rsidRPr="0071228C">
        <w:rPr>
          <w:noProof/>
        </w:rPr>
        <w:t>pod</w:t>
      </w:r>
      <w:r w:rsidRPr="0071228C">
        <w:rPr>
          <w:noProof/>
        </w:rPr>
        <w:t>ziemne oraz określone lub zaktualizowane środowiskowe normy jakości, które państwa członkowskie muszą spełnić,</w:t>
      </w:r>
      <w:r w:rsidR="00CC55C0" w:rsidRPr="0071228C">
        <w:rPr>
          <w:noProof/>
        </w:rPr>
        <w:t xml:space="preserve"> z</w:t>
      </w:r>
      <w:r w:rsidR="00CC55C0">
        <w:rPr>
          <w:noProof/>
        </w:rPr>
        <w:t> </w:t>
      </w:r>
      <w:r w:rsidR="00CC55C0" w:rsidRPr="0071228C">
        <w:rPr>
          <w:noProof/>
        </w:rPr>
        <w:t>jed</w:t>
      </w:r>
      <w:r w:rsidRPr="0071228C">
        <w:rPr>
          <w:noProof/>
        </w:rPr>
        <w:t>noczesnym wykorzystaniem</w:t>
      </w:r>
      <w:r w:rsidR="00CC55C0" w:rsidRPr="0071228C">
        <w:rPr>
          <w:noProof/>
        </w:rPr>
        <w:t xml:space="preserve"> w</w:t>
      </w:r>
      <w:r w:rsidR="00CC55C0">
        <w:rPr>
          <w:noProof/>
        </w:rPr>
        <w:t> </w:t>
      </w:r>
      <w:r w:rsidR="00CC55C0" w:rsidRPr="0071228C">
        <w:rPr>
          <w:noProof/>
        </w:rPr>
        <w:t>zna</w:t>
      </w:r>
      <w:r w:rsidRPr="0071228C">
        <w:rPr>
          <w:noProof/>
        </w:rPr>
        <w:t>cznym stopniu innych przepisów UE dotyczących źródeł zanieczyszczeń lub regulujących ich emisje</w:t>
      </w:r>
      <w:r w:rsidR="00CC55C0" w:rsidRPr="0071228C">
        <w:rPr>
          <w:noProof/>
        </w:rPr>
        <w:t xml:space="preserve"> w</w:t>
      </w:r>
      <w:r w:rsidR="00CC55C0">
        <w:rPr>
          <w:noProof/>
        </w:rPr>
        <w:t> </w:t>
      </w:r>
      <w:r w:rsidR="00CC55C0" w:rsidRPr="0071228C">
        <w:rPr>
          <w:noProof/>
        </w:rPr>
        <w:t>tra</w:t>
      </w:r>
      <w:r w:rsidRPr="0071228C">
        <w:rPr>
          <w:noProof/>
        </w:rPr>
        <w:t>kcie produkcji</w:t>
      </w:r>
      <w:r w:rsidR="00CC55C0" w:rsidRPr="0071228C">
        <w:rPr>
          <w:noProof/>
        </w:rPr>
        <w:t xml:space="preserve"> i</w:t>
      </w:r>
      <w:r w:rsidR="00CC55C0">
        <w:rPr>
          <w:noProof/>
        </w:rPr>
        <w:t> </w:t>
      </w:r>
      <w:r w:rsidR="00CC55C0" w:rsidRPr="0071228C">
        <w:rPr>
          <w:noProof/>
        </w:rPr>
        <w:t>uży</w:t>
      </w:r>
      <w:r w:rsidRPr="0071228C">
        <w:rPr>
          <w:noProof/>
        </w:rPr>
        <w:t>tkowania (takich jak ograniczenia</w:t>
      </w:r>
      <w:r w:rsidR="00CC55C0" w:rsidRPr="0071228C">
        <w:rPr>
          <w:noProof/>
        </w:rPr>
        <w:t xml:space="preserve"> w</w:t>
      </w:r>
      <w:r w:rsidR="00CC55C0">
        <w:rPr>
          <w:noProof/>
        </w:rPr>
        <w:t> </w:t>
      </w:r>
      <w:r w:rsidR="00CC55C0" w:rsidRPr="0071228C">
        <w:rPr>
          <w:noProof/>
        </w:rPr>
        <w:t>zak</w:t>
      </w:r>
      <w:r w:rsidRPr="0071228C">
        <w:rPr>
          <w:noProof/>
        </w:rPr>
        <w:t>resie stosowania niektórych substancji</w:t>
      </w:r>
      <w:r w:rsidR="00CC55C0" w:rsidRPr="0071228C">
        <w:rPr>
          <w:noProof/>
        </w:rPr>
        <w:t xml:space="preserve"> w</w:t>
      </w:r>
      <w:r w:rsidR="00CC55C0">
        <w:rPr>
          <w:noProof/>
        </w:rPr>
        <w:t> </w:t>
      </w:r>
      <w:r w:rsidR="00CC55C0" w:rsidRPr="0071228C">
        <w:rPr>
          <w:noProof/>
        </w:rPr>
        <w:t>ram</w:t>
      </w:r>
      <w:r w:rsidRPr="0071228C">
        <w:rPr>
          <w:noProof/>
        </w:rPr>
        <w:t>ach REACH</w:t>
      </w:r>
      <w:r w:rsidRPr="0071228C">
        <w:rPr>
          <w:rStyle w:val="FootnoteReference"/>
          <w:rFonts w:eastAsia="Arial Unicode MS"/>
          <w:noProof/>
          <w:szCs w:val="24"/>
        </w:rPr>
        <w:footnoteReference w:id="30"/>
      </w:r>
      <w:r w:rsidRPr="0071228C">
        <w:rPr>
          <w:noProof/>
        </w:rPr>
        <w:t xml:space="preserve"> lub dopuszczalne wartości emisji określone</w:t>
      </w:r>
      <w:r w:rsidR="00CC55C0" w:rsidRPr="0071228C">
        <w:rPr>
          <w:noProof/>
        </w:rPr>
        <w:t xml:space="preserve"> w</w:t>
      </w:r>
      <w:r w:rsidR="00CC55C0">
        <w:rPr>
          <w:noProof/>
        </w:rPr>
        <w:t> </w:t>
      </w:r>
      <w:r w:rsidR="00CC55C0" w:rsidRPr="0071228C">
        <w:rPr>
          <w:noProof/>
        </w:rPr>
        <w:t>zez</w:t>
      </w:r>
      <w:r w:rsidRPr="0071228C">
        <w:rPr>
          <w:noProof/>
        </w:rPr>
        <w:t>woleniach dla instalacji przemysłowych</w:t>
      </w:r>
      <w:r w:rsidR="00CC55C0" w:rsidRPr="0071228C">
        <w:rPr>
          <w:noProof/>
        </w:rPr>
        <w:t xml:space="preserve"> w</w:t>
      </w:r>
      <w:r w:rsidR="00CC55C0">
        <w:rPr>
          <w:noProof/>
        </w:rPr>
        <w:t> </w:t>
      </w:r>
      <w:r w:rsidR="00CC55C0" w:rsidRPr="0071228C">
        <w:rPr>
          <w:noProof/>
        </w:rPr>
        <w:t>ram</w:t>
      </w:r>
      <w:r w:rsidRPr="0071228C">
        <w:rPr>
          <w:noProof/>
        </w:rPr>
        <w:t>ach dyrektywy</w:t>
      </w:r>
      <w:r w:rsidR="00CC55C0" w:rsidRPr="0071228C">
        <w:rPr>
          <w:noProof/>
        </w:rPr>
        <w:t xml:space="preserve"> w</w:t>
      </w:r>
      <w:r w:rsidR="00CC55C0">
        <w:rPr>
          <w:noProof/>
        </w:rPr>
        <w:t> </w:t>
      </w:r>
      <w:r w:rsidR="00CC55C0" w:rsidRPr="0071228C">
        <w:rPr>
          <w:noProof/>
        </w:rPr>
        <w:t>spr</w:t>
      </w:r>
      <w:r w:rsidRPr="0071228C">
        <w:rPr>
          <w:noProof/>
        </w:rPr>
        <w:t>awie emisji przemysłowych)</w:t>
      </w:r>
      <w:r w:rsidR="00CC55C0" w:rsidRPr="0071228C">
        <w:rPr>
          <w:noProof/>
        </w:rPr>
        <w:t xml:space="preserve"> i</w:t>
      </w:r>
      <w:r w:rsidR="00CC55C0">
        <w:rPr>
          <w:noProof/>
        </w:rPr>
        <w:t> </w:t>
      </w:r>
      <w:r w:rsidR="00CC55C0" w:rsidRPr="0071228C">
        <w:rPr>
          <w:noProof/>
        </w:rPr>
        <w:t>poz</w:t>
      </w:r>
      <w:r w:rsidRPr="0071228C">
        <w:rPr>
          <w:noProof/>
        </w:rPr>
        <w:t>ostawieniem wyboru konkretnych środków państwom członkowskim. Ponieważ każda jednolita część wód w UE charakteryzuje się szczególnymi cechami (klimat, przepływ, warunki geologiczne itp.)</w:t>
      </w:r>
      <w:r w:rsidR="00CC55C0" w:rsidRPr="0071228C">
        <w:rPr>
          <w:noProof/>
        </w:rPr>
        <w:t xml:space="preserve"> i</w:t>
      </w:r>
      <w:r w:rsidR="00CC55C0">
        <w:rPr>
          <w:noProof/>
        </w:rPr>
        <w:t> </w:t>
      </w:r>
      <w:r w:rsidR="00CC55C0" w:rsidRPr="0071228C">
        <w:rPr>
          <w:noProof/>
        </w:rPr>
        <w:t>nie</w:t>
      </w:r>
      <w:r w:rsidRPr="0071228C">
        <w:rPr>
          <w:noProof/>
        </w:rPr>
        <w:t>koniecznie podlega takim samym presjom jak inne jednolite części wód, pozostawienie wyboru środków organom państw członkowskich ds. wody jest prawidłowe</w:t>
      </w:r>
      <w:r w:rsidR="00CC55C0" w:rsidRPr="0071228C">
        <w:rPr>
          <w:noProof/>
        </w:rPr>
        <w:t xml:space="preserve"> z</w:t>
      </w:r>
      <w:r w:rsidR="00CC55C0">
        <w:rPr>
          <w:noProof/>
        </w:rPr>
        <w:t> </w:t>
      </w:r>
      <w:r w:rsidR="00CC55C0" w:rsidRPr="0071228C">
        <w:rPr>
          <w:noProof/>
        </w:rPr>
        <w:t>pun</w:t>
      </w:r>
      <w:r w:rsidRPr="0071228C">
        <w:rPr>
          <w:noProof/>
        </w:rPr>
        <w:t xml:space="preserve">ktu widzenia proporcjonalności. </w:t>
      </w:r>
    </w:p>
    <w:p w14:paraId="2EF9F269" w14:textId="6B0E2171" w:rsidR="002821B9" w:rsidRPr="0071228C" w:rsidRDefault="007C11A8" w:rsidP="00C15986">
      <w:pPr>
        <w:pBdr>
          <w:top w:val="nil"/>
          <w:left w:val="nil"/>
          <w:bottom w:val="nil"/>
          <w:right w:val="nil"/>
          <w:between w:val="nil"/>
          <w:bar w:val="nil"/>
        </w:pBdr>
        <w:spacing w:before="0" w:after="240"/>
        <w:rPr>
          <w:noProof/>
        </w:rPr>
      </w:pPr>
      <w:r w:rsidRPr="0071228C">
        <w:rPr>
          <w:noProof/>
        </w:rPr>
        <w:t>W ocenie adekwatności unijnego prawodawstwa dotyczącego wody</w:t>
      </w:r>
      <w:r w:rsidR="00CC55C0" w:rsidRPr="0071228C">
        <w:rPr>
          <w:noProof/>
        </w:rPr>
        <w:t xml:space="preserve"> z</w:t>
      </w:r>
      <w:r w:rsidR="00CC55C0">
        <w:rPr>
          <w:noProof/>
        </w:rPr>
        <w:t> </w:t>
      </w:r>
      <w:r w:rsidR="00CC55C0" w:rsidRPr="0071228C">
        <w:rPr>
          <w:noProof/>
        </w:rPr>
        <w:t>2</w:t>
      </w:r>
      <w:r w:rsidRPr="0071228C">
        <w:rPr>
          <w:noProof/>
        </w:rPr>
        <w:t>0</w:t>
      </w:r>
      <w:r w:rsidRPr="00CC55C0">
        <w:rPr>
          <w:noProof/>
        </w:rPr>
        <w:t>19</w:t>
      </w:r>
      <w:r w:rsidR="00CC55C0" w:rsidRPr="00CC55C0">
        <w:rPr>
          <w:noProof/>
        </w:rPr>
        <w:t> </w:t>
      </w:r>
      <w:r w:rsidRPr="00CC55C0">
        <w:rPr>
          <w:noProof/>
        </w:rPr>
        <w:t>r.</w:t>
      </w:r>
      <w:r w:rsidRPr="0071228C">
        <w:rPr>
          <w:noProof/>
        </w:rPr>
        <w:t xml:space="preserve"> potwierdzono wartość dodaną ramowej dyrektywy wodnej, dyrektywy</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r w:rsidR="00CC55C0" w:rsidRPr="0071228C">
        <w:rPr>
          <w:noProof/>
        </w:rPr>
        <w:t xml:space="preserve"> i</w:t>
      </w:r>
      <w:r w:rsidR="00CC55C0">
        <w:rPr>
          <w:noProof/>
        </w:rPr>
        <w:t> </w:t>
      </w:r>
      <w:r w:rsidR="00CC55C0" w:rsidRPr="0071228C">
        <w:rPr>
          <w:noProof/>
        </w:rPr>
        <w:t>dyr</w:t>
      </w:r>
      <w:r w:rsidRPr="0071228C">
        <w:rPr>
          <w:noProof/>
        </w:rPr>
        <w:t>ektywy</w:t>
      </w:r>
      <w:r w:rsidR="00CC55C0" w:rsidRPr="0071228C">
        <w:rPr>
          <w:noProof/>
        </w:rPr>
        <w:t xml:space="preserve"> w</w:t>
      </w:r>
      <w:r w:rsidR="00CC55C0">
        <w:rPr>
          <w:noProof/>
        </w:rPr>
        <w:t> </w:t>
      </w:r>
      <w:r w:rsidR="00CC55C0" w:rsidRPr="0071228C">
        <w:rPr>
          <w:noProof/>
        </w:rPr>
        <w:t>spr</w:t>
      </w:r>
      <w:r w:rsidRPr="0071228C">
        <w:rPr>
          <w:noProof/>
        </w:rPr>
        <w:t>awie wód podziemnych</w:t>
      </w:r>
      <w:r w:rsidR="00CC55C0" w:rsidRPr="0071228C">
        <w:rPr>
          <w:noProof/>
        </w:rPr>
        <w:t>. W</w:t>
      </w:r>
      <w:r w:rsidR="00CC55C0">
        <w:rPr>
          <w:noProof/>
        </w:rPr>
        <w:t> </w:t>
      </w:r>
      <w:r w:rsidR="00CC55C0" w:rsidRPr="0071228C">
        <w:rPr>
          <w:noProof/>
        </w:rPr>
        <w:t>oce</w:t>
      </w:r>
      <w:r w:rsidRPr="0071228C">
        <w:rPr>
          <w:noProof/>
        </w:rPr>
        <w:t>nie skutków przeprowadzonej na potrzeby niniejszego wniosku potwierdzono, że substancje, których umieszczenie</w:t>
      </w:r>
      <w:r w:rsidR="00CC55C0" w:rsidRPr="0071228C">
        <w:rPr>
          <w:noProof/>
        </w:rPr>
        <w:t xml:space="preserve"> w</w:t>
      </w:r>
      <w:r w:rsidR="00CC55C0">
        <w:rPr>
          <w:noProof/>
        </w:rPr>
        <w:t> </w:t>
      </w:r>
      <w:r w:rsidR="00CC55C0" w:rsidRPr="0071228C">
        <w:rPr>
          <w:noProof/>
        </w:rPr>
        <w:t>wyk</w:t>
      </w:r>
      <w:r w:rsidRPr="0071228C">
        <w:rPr>
          <w:noProof/>
        </w:rPr>
        <w:t>azie substancji zanieczyszczających wraz</w:t>
      </w:r>
      <w:r w:rsidR="00CC55C0" w:rsidRPr="0071228C">
        <w:rPr>
          <w:noProof/>
        </w:rPr>
        <w:t xml:space="preserve"> z</w:t>
      </w:r>
      <w:r w:rsidR="00CC55C0">
        <w:rPr>
          <w:noProof/>
        </w:rPr>
        <w:t> </w:t>
      </w:r>
      <w:r w:rsidR="00CC55C0" w:rsidRPr="0071228C">
        <w:rPr>
          <w:noProof/>
        </w:rPr>
        <w:t>ogó</w:t>
      </w:r>
      <w:r w:rsidRPr="0071228C">
        <w:rPr>
          <w:noProof/>
        </w:rPr>
        <w:t>lnounijnymi normami jakości jest obecnie rozważane, stanowią zagrożenie na poziomie UE. Wskazano niewielką liczbę wymienionych już substancji, które przestano uznawać za problem ogólnounijny, ale które mogą ewentualnie nadal wymagać eliminacji na poziomie krajowym</w:t>
      </w:r>
      <w:r w:rsidR="00CC55C0" w:rsidRPr="0071228C">
        <w:rPr>
          <w:noProof/>
        </w:rPr>
        <w:t>. W</w:t>
      </w:r>
      <w:r w:rsidR="00CC55C0">
        <w:rPr>
          <w:noProof/>
        </w:rPr>
        <w:t> </w:t>
      </w:r>
      <w:r w:rsidR="00CC55C0" w:rsidRPr="0071228C">
        <w:rPr>
          <w:noProof/>
        </w:rPr>
        <w:t>nin</w:t>
      </w:r>
      <w:r w:rsidRPr="0071228C">
        <w:rPr>
          <w:noProof/>
        </w:rPr>
        <w:t>iejszym wniosku ustanawia się procedurę umożliwiającą Komisji Europejskiej rozwiązanie problemu niespójności</w:t>
      </w:r>
      <w:r w:rsidR="00CC55C0" w:rsidRPr="0071228C">
        <w:rPr>
          <w:noProof/>
        </w:rPr>
        <w:t xml:space="preserve"> w</w:t>
      </w:r>
      <w:r w:rsidR="00CC55C0">
        <w:rPr>
          <w:noProof/>
        </w:rPr>
        <w:t> </w:t>
      </w:r>
      <w:r w:rsidR="00CC55C0" w:rsidRPr="0071228C">
        <w:rPr>
          <w:noProof/>
        </w:rPr>
        <w:t>spo</w:t>
      </w:r>
      <w:r w:rsidRPr="0071228C">
        <w:rPr>
          <w:noProof/>
        </w:rPr>
        <w:t>sobie podejmowania przez państwa członkowskie decyzji dotyczących substancji, które należy regulować na poziomie krajowym, oraz norm jakości, które należy dla nich ustanowić.</w:t>
      </w:r>
    </w:p>
    <w:p w14:paraId="45D57D47" w14:textId="77777777"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r>
      <w:r w:rsidRPr="0071228C">
        <w:rPr>
          <w:noProof/>
          <w:u w:color="000000"/>
          <w:bdr w:val="nil"/>
        </w:rPr>
        <w:t>Wybór instrumentu</w:t>
      </w:r>
    </w:p>
    <w:p w14:paraId="2A33E0E7" w14:textId="77777777" w:rsidR="00342156" w:rsidRPr="0071228C" w:rsidRDefault="00342156" w:rsidP="005C4F36">
      <w:pPr>
        <w:pBdr>
          <w:top w:val="nil"/>
          <w:left w:val="nil"/>
          <w:bottom w:val="nil"/>
          <w:right w:val="nil"/>
          <w:between w:val="nil"/>
          <w:bar w:val="nil"/>
        </w:pBdr>
        <w:spacing w:before="0" w:after="240"/>
        <w:rPr>
          <w:noProof/>
          <w:szCs w:val="24"/>
        </w:rPr>
      </w:pPr>
      <w:r w:rsidRPr="0071228C">
        <w:rPr>
          <w:noProof/>
        </w:rPr>
        <w:t>Inicjatywa przyjmuje formę dyrektywy, ponieważ jest to najbardziej odpowiedni instrument prawny do wprowadzenia zmian do obowiązujących, odpowiednich dyrektyw.</w:t>
      </w:r>
    </w:p>
    <w:p w14:paraId="2347C075" w14:textId="7ED07878" w:rsidR="0047629D" w:rsidRPr="0071228C" w:rsidRDefault="00342156" w:rsidP="005C4F36">
      <w:pPr>
        <w:pBdr>
          <w:top w:val="nil"/>
          <w:left w:val="nil"/>
          <w:bottom w:val="nil"/>
          <w:right w:val="nil"/>
          <w:between w:val="nil"/>
          <w:bar w:val="nil"/>
        </w:pBdr>
        <w:spacing w:before="0" w:after="240"/>
        <w:rPr>
          <w:rFonts w:eastAsia="Arial Unicode MS"/>
          <w:noProof/>
          <w:szCs w:val="24"/>
        </w:rPr>
      </w:pPr>
      <w:r w:rsidRPr="0071228C">
        <w:rPr>
          <w:noProof/>
        </w:rPr>
        <w:t>Dyrektywa zobowiązuje państwa członkowskie do transpozycji przepisów do ich krajowych systemów prawa materialnego</w:t>
      </w:r>
      <w:r w:rsidR="00CC55C0" w:rsidRPr="0071228C">
        <w:rPr>
          <w:noProof/>
        </w:rPr>
        <w:t xml:space="preserve"> i</w:t>
      </w:r>
      <w:r w:rsidR="00CC55C0">
        <w:rPr>
          <w:noProof/>
        </w:rPr>
        <w:t> </w:t>
      </w:r>
      <w:r w:rsidR="00CC55C0" w:rsidRPr="0071228C">
        <w:rPr>
          <w:noProof/>
        </w:rPr>
        <w:t>pro</w:t>
      </w:r>
      <w:r w:rsidRPr="0071228C">
        <w:rPr>
          <w:noProof/>
        </w:rPr>
        <w:t xml:space="preserve">cesowego oraz wdrożenia środków, które umożliwią osiągnięcie celów. Jest to podejście, które daje państwom członkowskim większą swobodę niż rozporządzenie, ponieważ pozostawia im wybór najodpowiedniejszych sposobów osiągnięcia uzgodnionych zobowiązań opartych na wynikach. </w:t>
      </w:r>
    </w:p>
    <w:p w14:paraId="12AF075F" w14:textId="77777777" w:rsidR="0047629D" w:rsidRPr="0071228C" w:rsidRDefault="0047629D" w:rsidP="005C4F36">
      <w:pPr>
        <w:pStyle w:val="ManualHeading1"/>
        <w:rPr>
          <w:noProof/>
          <w:szCs w:val="24"/>
        </w:rPr>
      </w:pPr>
      <w:r w:rsidRPr="0071228C">
        <w:rPr>
          <w:noProof/>
        </w:rPr>
        <w:t>3.</w:t>
      </w:r>
      <w:r w:rsidRPr="0071228C">
        <w:rPr>
          <w:noProof/>
        </w:rPr>
        <w:tab/>
        <w:t>WYNIKI OCEN EX POST, KONSULTACJI Z ZAINTERESOWANYMI STRONAMI I OCEN SKUTKÓW</w:t>
      </w:r>
    </w:p>
    <w:p w14:paraId="5FBA8A32" w14:textId="77777777" w:rsidR="0047629D" w:rsidRPr="0071228C" w:rsidRDefault="0047629D" w:rsidP="005C4F36">
      <w:pPr>
        <w:pStyle w:val="ManualHeading2"/>
        <w:rPr>
          <w:rFonts w:eastAsia="Arial Unicode MS"/>
          <w:noProof/>
          <w:szCs w:val="24"/>
          <w:u w:color="000000"/>
          <w:bdr w:val="nil"/>
        </w:rPr>
      </w:pPr>
      <w:r w:rsidRPr="0071228C">
        <w:rPr>
          <w:noProof/>
          <w:u w:color="000000"/>
          <w:bdr w:val="nil"/>
        </w:rPr>
        <w:t>•</w:t>
      </w:r>
      <w:r w:rsidRPr="0071228C">
        <w:rPr>
          <w:noProof/>
        </w:rPr>
        <w:tab/>
      </w:r>
      <w:r w:rsidRPr="0071228C">
        <w:rPr>
          <w:noProof/>
          <w:u w:color="000000"/>
          <w:bdr w:val="nil"/>
        </w:rPr>
        <w:t>Oceny ex post/oceny adekwatności obowiązującego prawodawstwa</w:t>
      </w:r>
    </w:p>
    <w:p w14:paraId="12549355" w14:textId="27226AAB" w:rsidR="00674DC4" w:rsidRPr="0071228C" w:rsidRDefault="002821B9" w:rsidP="00ED7B21">
      <w:pPr>
        <w:rPr>
          <w:noProof/>
          <w:szCs w:val="24"/>
        </w:rPr>
      </w:pPr>
      <w:r w:rsidRPr="0071228C">
        <w:rPr>
          <w:noProof/>
        </w:rPr>
        <w:t>W 20</w:t>
      </w:r>
      <w:r w:rsidRPr="00CC55C0">
        <w:rPr>
          <w:noProof/>
        </w:rPr>
        <w:t>19</w:t>
      </w:r>
      <w:r w:rsidR="00CC55C0" w:rsidRPr="00CC55C0">
        <w:rPr>
          <w:noProof/>
        </w:rPr>
        <w:t> </w:t>
      </w:r>
      <w:r w:rsidRPr="00CC55C0">
        <w:rPr>
          <w:noProof/>
        </w:rPr>
        <w:t>r.</w:t>
      </w:r>
      <w:r w:rsidRPr="0071228C">
        <w:rPr>
          <w:noProof/>
        </w:rPr>
        <w:t xml:space="preserve"> zakończono ocenę adekwatności unijnego prawodawstwa dotyczącego wody obejmującą ramową dyrektywę wodną, dyrektywę</w:t>
      </w:r>
      <w:r w:rsidR="00CC55C0" w:rsidRPr="0071228C">
        <w:rPr>
          <w:noProof/>
        </w:rPr>
        <w:t xml:space="preserve"> w</w:t>
      </w:r>
      <w:r w:rsidR="00CC55C0">
        <w:rPr>
          <w:noProof/>
        </w:rPr>
        <w:t> </w:t>
      </w:r>
      <w:r w:rsidR="00CC55C0" w:rsidRPr="0071228C">
        <w:rPr>
          <w:noProof/>
        </w:rPr>
        <w:t>spr</w:t>
      </w:r>
      <w:r w:rsidRPr="0071228C">
        <w:rPr>
          <w:noProof/>
        </w:rPr>
        <w:t>awie środowiskowych norm jakości, dyrektywę</w:t>
      </w:r>
      <w:r w:rsidR="00CC55C0" w:rsidRPr="0071228C">
        <w:rPr>
          <w:noProof/>
        </w:rPr>
        <w:t xml:space="preserve"> w</w:t>
      </w:r>
      <w:r w:rsidR="00CC55C0">
        <w:rPr>
          <w:noProof/>
        </w:rPr>
        <w:t> </w:t>
      </w:r>
      <w:r w:rsidR="00CC55C0" w:rsidRPr="0071228C">
        <w:rPr>
          <w:noProof/>
        </w:rPr>
        <w:t>spr</w:t>
      </w:r>
      <w:r w:rsidRPr="0071228C">
        <w:rPr>
          <w:noProof/>
        </w:rPr>
        <w:t>awie wód podziemnych</w:t>
      </w:r>
      <w:r w:rsidR="00CC55C0" w:rsidRPr="0071228C">
        <w:rPr>
          <w:noProof/>
        </w:rPr>
        <w:t xml:space="preserve"> i</w:t>
      </w:r>
      <w:r w:rsidR="00CC55C0">
        <w:rPr>
          <w:noProof/>
        </w:rPr>
        <w:t> </w:t>
      </w:r>
      <w:r w:rsidR="00CC55C0" w:rsidRPr="0071228C">
        <w:rPr>
          <w:noProof/>
        </w:rPr>
        <w:t>dyr</w:t>
      </w:r>
      <w:r w:rsidRPr="0071228C">
        <w:rPr>
          <w:noProof/>
        </w:rPr>
        <w:t>ektywę powodziową</w:t>
      </w:r>
      <w:r w:rsidR="00CC55C0" w:rsidRPr="0071228C">
        <w:rPr>
          <w:noProof/>
        </w:rPr>
        <w:t>. W</w:t>
      </w:r>
      <w:r w:rsidR="00CC55C0">
        <w:rPr>
          <w:noProof/>
        </w:rPr>
        <w:t> </w:t>
      </w:r>
      <w:r w:rsidR="00CC55C0" w:rsidRPr="0071228C">
        <w:rPr>
          <w:noProof/>
        </w:rPr>
        <w:t>wyn</w:t>
      </w:r>
      <w:r w:rsidRPr="0071228C">
        <w:rPr>
          <w:noProof/>
        </w:rPr>
        <w:t>iku oceny adekwatności stwierdzono, że chociaż prawodawstwo jest</w:t>
      </w:r>
      <w:r w:rsidR="00CC55C0" w:rsidRPr="0071228C">
        <w:rPr>
          <w:noProof/>
        </w:rPr>
        <w:t xml:space="preserve"> w</w:t>
      </w:r>
      <w:r w:rsidR="00CC55C0">
        <w:rPr>
          <w:noProof/>
        </w:rPr>
        <w:t> </w:t>
      </w:r>
      <w:r w:rsidR="00CC55C0" w:rsidRPr="0071228C">
        <w:rPr>
          <w:noProof/>
        </w:rPr>
        <w:t>duż</w:t>
      </w:r>
      <w:r w:rsidRPr="0071228C">
        <w:rPr>
          <w:noProof/>
        </w:rPr>
        <w:t>ej mierze adekwatne do zakładanych celów, istnieje możliwość poprawy</w:t>
      </w:r>
      <w:r w:rsidR="00CC55C0" w:rsidRPr="0071228C">
        <w:rPr>
          <w:noProof/>
        </w:rPr>
        <w:t xml:space="preserve"> w</w:t>
      </w:r>
      <w:r w:rsidR="00CC55C0">
        <w:rPr>
          <w:noProof/>
        </w:rPr>
        <w:t> </w:t>
      </w:r>
      <w:r w:rsidR="00CC55C0" w:rsidRPr="0071228C">
        <w:rPr>
          <w:noProof/>
        </w:rPr>
        <w:t>odn</w:t>
      </w:r>
      <w:r w:rsidRPr="0071228C">
        <w:rPr>
          <w:noProof/>
        </w:rPr>
        <w:t>iesieniu do zwalczania zanieczyszczeń chemicznych</w:t>
      </w:r>
      <w:r w:rsidR="00CC55C0" w:rsidRPr="0071228C">
        <w:rPr>
          <w:noProof/>
        </w:rPr>
        <w:t>. W</w:t>
      </w:r>
      <w:r w:rsidR="00CC55C0">
        <w:rPr>
          <w:noProof/>
        </w:rPr>
        <w:t> </w:t>
      </w:r>
      <w:r w:rsidR="00CC55C0" w:rsidRPr="0071228C">
        <w:rPr>
          <w:noProof/>
        </w:rPr>
        <w:t>oce</w:t>
      </w:r>
      <w:r w:rsidRPr="0071228C">
        <w:rPr>
          <w:noProof/>
        </w:rPr>
        <w:t>nie adekwatności wykazano, że istnieją trzy powody, dla których osiągnięto jedynie ograniczony postęp</w:t>
      </w:r>
      <w:r w:rsidR="00CC55C0" w:rsidRPr="0071228C">
        <w:rPr>
          <w:noProof/>
        </w:rPr>
        <w:t xml:space="preserve"> w</w:t>
      </w:r>
      <w:r w:rsidR="00CC55C0">
        <w:rPr>
          <w:noProof/>
        </w:rPr>
        <w:t> </w:t>
      </w:r>
      <w:r w:rsidR="00CC55C0" w:rsidRPr="0071228C">
        <w:rPr>
          <w:noProof/>
        </w:rPr>
        <w:t>rea</w:t>
      </w:r>
      <w:r w:rsidRPr="0071228C">
        <w:rPr>
          <w:noProof/>
        </w:rPr>
        <w:t xml:space="preserve">lizacji ogólnych celów prawodawstwa: </w:t>
      </w:r>
    </w:p>
    <w:p w14:paraId="51A4DE52" w14:textId="7A36C4F1" w:rsidR="00674DC4" w:rsidRPr="0071228C" w:rsidRDefault="00B8356D" w:rsidP="002A2DB0">
      <w:pPr>
        <w:rPr>
          <w:noProof/>
          <w:szCs w:val="24"/>
        </w:rPr>
      </w:pPr>
      <w:r w:rsidRPr="0071228C">
        <w:rPr>
          <w:noProof/>
        </w:rPr>
        <w:t>niewystarczające uwzględnienie celów</w:t>
      </w:r>
      <w:r w:rsidR="00CC55C0" w:rsidRPr="0071228C">
        <w:rPr>
          <w:noProof/>
        </w:rPr>
        <w:t xml:space="preserve"> w</w:t>
      </w:r>
      <w:r w:rsidR="00CC55C0">
        <w:rPr>
          <w:noProof/>
        </w:rPr>
        <w:t> </w:t>
      </w:r>
      <w:r w:rsidR="00CC55C0" w:rsidRPr="0071228C">
        <w:rPr>
          <w:noProof/>
        </w:rPr>
        <w:t>zak</w:t>
      </w:r>
      <w:r w:rsidRPr="0071228C">
        <w:rPr>
          <w:noProof/>
        </w:rPr>
        <w:t>resie wody</w:t>
      </w:r>
      <w:r w:rsidR="00CC55C0" w:rsidRPr="0071228C">
        <w:rPr>
          <w:noProof/>
        </w:rPr>
        <w:t xml:space="preserve"> w</w:t>
      </w:r>
      <w:r w:rsidR="00CC55C0">
        <w:rPr>
          <w:noProof/>
        </w:rPr>
        <w:t> </w:t>
      </w:r>
      <w:r w:rsidR="00CC55C0" w:rsidRPr="0071228C">
        <w:rPr>
          <w:noProof/>
        </w:rPr>
        <w:t>inn</w:t>
      </w:r>
      <w:r w:rsidRPr="0071228C">
        <w:rPr>
          <w:noProof/>
        </w:rPr>
        <w:t xml:space="preserve">ych odpowiednich obszarach polityki; </w:t>
      </w:r>
    </w:p>
    <w:p w14:paraId="3CF1E3B4" w14:textId="69F6A73A" w:rsidR="00674DC4" w:rsidRPr="0071228C" w:rsidRDefault="001210EA" w:rsidP="002A2DB0">
      <w:pPr>
        <w:rPr>
          <w:noProof/>
          <w:szCs w:val="24"/>
        </w:rPr>
      </w:pPr>
      <w:r w:rsidRPr="0071228C">
        <w:rPr>
          <w:noProof/>
        </w:rPr>
        <w:t>niewystarczające inwestycje</w:t>
      </w:r>
      <w:r w:rsidR="00CC55C0" w:rsidRPr="0071228C">
        <w:rPr>
          <w:noProof/>
        </w:rPr>
        <w:t xml:space="preserve"> w</w:t>
      </w:r>
      <w:r w:rsidR="00CC55C0">
        <w:rPr>
          <w:noProof/>
        </w:rPr>
        <w:t> </w:t>
      </w:r>
      <w:r w:rsidR="00CC55C0" w:rsidRPr="0071228C">
        <w:rPr>
          <w:noProof/>
        </w:rPr>
        <w:t>pań</w:t>
      </w:r>
      <w:r w:rsidRPr="0071228C">
        <w:rPr>
          <w:noProof/>
        </w:rPr>
        <w:t>stwach członkowskich rzecz projektów</w:t>
      </w:r>
      <w:r w:rsidR="00CC55C0" w:rsidRPr="0071228C">
        <w:rPr>
          <w:noProof/>
        </w:rPr>
        <w:t xml:space="preserve"> i</w:t>
      </w:r>
      <w:r w:rsidR="00CC55C0">
        <w:rPr>
          <w:noProof/>
        </w:rPr>
        <w:t> </w:t>
      </w:r>
      <w:r w:rsidR="00CC55C0" w:rsidRPr="0071228C">
        <w:rPr>
          <w:noProof/>
        </w:rPr>
        <w:t>pro</w:t>
      </w:r>
      <w:r w:rsidRPr="0071228C">
        <w:rPr>
          <w:noProof/>
        </w:rPr>
        <w:t>gramów związanych</w:t>
      </w:r>
      <w:r w:rsidR="00CC55C0" w:rsidRPr="0071228C">
        <w:rPr>
          <w:noProof/>
        </w:rPr>
        <w:t xml:space="preserve"> z</w:t>
      </w:r>
      <w:r w:rsidR="00CC55C0">
        <w:rPr>
          <w:noProof/>
        </w:rPr>
        <w:t> </w:t>
      </w:r>
      <w:r w:rsidR="00CC55C0" w:rsidRPr="0071228C">
        <w:rPr>
          <w:noProof/>
        </w:rPr>
        <w:t>wod</w:t>
      </w:r>
      <w:r w:rsidRPr="0071228C">
        <w:rPr>
          <w:noProof/>
        </w:rPr>
        <w:t xml:space="preserve">ą; </w:t>
      </w:r>
    </w:p>
    <w:p w14:paraId="26B94A28" w14:textId="6EDAECB8" w:rsidR="00674DC4" w:rsidRPr="0071228C" w:rsidRDefault="001210EA" w:rsidP="002A2DB0">
      <w:pPr>
        <w:rPr>
          <w:noProof/>
          <w:szCs w:val="24"/>
        </w:rPr>
      </w:pPr>
      <w:r w:rsidRPr="0071228C">
        <w:rPr>
          <w:noProof/>
        </w:rPr>
        <w:t>niewystarczające działania</w:t>
      </w:r>
      <w:r w:rsidR="00CC55C0" w:rsidRPr="0071228C">
        <w:rPr>
          <w:noProof/>
        </w:rPr>
        <w:t xml:space="preserve"> w</w:t>
      </w:r>
      <w:r w:rsidR="00CC55C0">
        <w:rPr>
          <w:noProof/>
        </w:rPr>
        <w:t> </w:t>
      </w:r>
      <w:r w:rsidR="00CC55C0" w:rsidRPr="0071228C">
        <w:rPr>
          <w:noProof/>
        </w:rPr>
        <w:t>obs</w:t>
      </w:r>
      <w:r w:rsidRPr="0071228C">
        <w:rPr>
          <w:noProof/>
        </w:rPr>
        <w:t xml:space="preserve">zarze wdrażania. </w:t>
      </w:r>
    </w:p>
    <w:p w14:paraId="2D5EAB3C" w14:textId="54497F4E" w:rsidR="002821B9" w:rsidRPr="0071228C" w:rsidRDefault="002821B9" w:rsidP="00ED7B21">
      <w:pPr>
        <w:rPr>
          <w:noProof/>
          <w:szCs w:val="24"/>
        </w:rPr>
      </w:pPr>
      <w:r w:rsidRPr="0071228C">
        <w:rPr>
          <w:noProof/>
        </w:rPr>
        <w:t>Jeżeli chodzi</w:t>
      </w:r>
      <w:r w:rsidR="00CC55C0" w:rsidRPr="0071228C">
        <w:rPr>
          <w:noProof/>
        </w:rPr>
        <w:t xml:space="preserve"> o</w:t>
      </w:r>
      <w:r w:rsidR="00CC55C0">
        <w:rPr>
          <w:noProof/>
        </w:rPr>
        <w:t> </w:t>
      </w:r>
      <w:r w:rsidR="00CC55C0" w:rsidRPr="0071228C">
        <w:rPr>
          <w:noProof/>
        </w:rPr>
        <w:t>wdr</w:t>
      </w:r>
      <w:r w:rsidRPr="0071228C">
        <w:rPr>
          <w:noProof/>
        </w:rPr>
        <w:t>ażanie, podkreślono szereg braków</w:t>
      </w:r>
      <w:r w:rsidR="00CC55C0" w:rsidRPr="0071228C">
        <w:rPr>
          <w:noProof/>
        </w:rPr>
        <w:t xml:space="preserve"> w</w:t>
      </w:r>
      <w:r w:rsidR="00CC55C0">
        <w:rPr>
          <w:noProof/>
        </w:rPr>
        <w:t> </w:t>
      </w:r>
      <w:r w:rsidR="00CC55C0" w:rsidRPr="0071228C">
        <w:rPr>
          <w:noProof/>
        </w:rPr>
        <w:t>odn</w:t>
      </w:r>
      <w:r w:rsidRPr="0071228C">
        <w:rPr>
          <w:noProof/>
        </w:rPr>
        <w:t>iesieniu do zanieczyszczenia chemicznego: duże zróżnicowanie norm jakości</w:t>
      </w:r>
      <w:r w:rsidR="00CC55C0" w:rsidRPr="0071228C">
        <w:rPr>
          <w:noProof/>
        </w:rPr>
        <w:t xml:space="preserve"> w</w:t>
      </w:r>
      <w:r w:rsidR="00CC55C0">
        <w:rPr>
          <w:noProof/>
        </w:rPr>
        <w:t> </w:t>
      </w:r>
      <w:r w:rsidR="00CC55C0" w:rsidRPr="0071228C">
        <w:rPr>
          <w:noProof/>
        </w:rPr>
        <w:t>prz</w:t>
      </w:r>
      <w:r w:rsidRPr="0071228C">
        <w:rPr>
          <w:noProof/>
        </w:rPr>
        <w:t>ypadku zanieczyszczeń stanowiących zagrożenie na poziomie krajowym, obciążenie administracyjne związane ze sprawozdawczością, brak szczegółowości</w:t>
      </w:r>
      <w:r w:rsidR="00CC55C0" w:rsidRPr="0071228C">
        <w:rPr>
          <w:noProof/>
        </w:rPr>
        <w:t xml:space="preserve"> i</w:t>
      </w:r>
      <w:r w:rsidR="00CC55C0">
        <w:rPr>
          <w:noProof/>
        </w:rPr>
        <w:t> </w:t>
      </w:r>
      <w:r w:rsidR="00CC55C0" w:rsidRPr="0071228C">
        <w:rPr>
          <w:noProof/>
        </w:rPr>
        <w:t>ter</w:t>
      </w:r>
      <w:r w:rsidRPr="0071228C">
        <w:rPr>
          <w:noProof/>
        </w:rPr>
        <w:t>minowości przekazywanych informacji oraz zasobochłonny</w:t>
      </w:r>
      <w:r w:rsidR="00CC55C0" w:rsidRPr="0071228C">
        <w:rPr>
          <w:noProof/>
        </w:rPr>
        <w:t xml:space="preserve"> i</w:t>
      </w:r>
      <w:r w:rsidR="00CC55C0">
        <w:rPr>
          <w:noProof/>
        </w:rPr>
        <w:t> </w:t>
      </w:r>
      <w:r w:rsidR="00CC55C0" w:rsidRPr="0071228C">
        <w:rPr>
          <w:noProof/>
        </w:rPr>
        <w:t>cza</w:t>
      </w:r>
      <w:r w:rsidRPr="0071228C">
        <w:rPr>
          <w:noProof/>
        </w:rPr>
        <w:t>sochłonny proces aktualizacji wykazów zanieczyszczeń</w:t>
      </w:r>
      <w:r w:rsidR="00CC55C0" w:rsidRPr="0071228C">
        <w:rPr>
          <w:noProof/>
        </w:rPr>
        <w:t>. W</w:t>
      </w:r>
      <w:r w:rsidR="00CC55C0">
        <w:rPr>
          <w:noProof/>
        </w:rPr>
        <w:t> </w:t>
      </w:r>
      <w:r w:rsidR="00CC55C0" w:rsidRPr="0071228C">
        <w:rPr>
          <w:noProof/>
        </w:rPr>
        <w:t>nin</w:t>
      </w:r>
      <w:r w:rsidRPr="0071228C">
        <w:rPr>
          <w:noProof/>
        </w:rPr>
        <w:t>iejszym wniosku uwzględniono te braki. Ponadto uwzględniono</w:t>
      </w:r>
      <w:r w:rsidR="00CC55C0" w:rsidRPr="0071228C">
        <w:rPr>
          <w:noProof/>
        </w:rPr>
        <w:t xml:space="preserve"> w</w:t>
      </w:r>
      <w:r w:rsidR="00CC55C0">
        <w:rPr>
          <w:noProof/>
        </w:rPr>
        <w:t> </w:t>
      </w:r>
      <w:r w:rsidR="00CC55C0" w:rsidRPr="0071228C">
        <w:rPr>
          <w:noProof/>
        </w:rPr>
        <w:t>nim</w:t>
      </w:r>
      <w:r w:rsidRPr="0071228C">
        <w:rPr>
          <w:noProof/>
        </w:rPr>
        <w:t xml:space="preserve"> istotne ustalenia</w:t>
      </w:r>
      <w:r w:rsidR="00CC55C0" w:rsidRPr="0071228C">
        <w:rPr>
          <w:noProof/>
        </w:rPr>
        <w:t xml:space="preserve"> z</w:t>
      </w:r>
      <w:r w:rsidR="00CC55C0">
        <w:rPr>
          <w:noProof/>
        </w:rPr>
        <w:t> </w:t>
      </w:r>
      <w:r w:rsidR="00CC55C0" w:rsidRPr="0071228C">
        <w:rPr>
          <w:noProof/>
        </w:rPr>
        <w:t>prz</w:t>
      </w:r>
      <w:r w:rsidRPr="0071228C">
        <w:rPr>
          <w:noProof/>
        </w:rPr>
        <w:t>eprowadzonej</w:t>
      </w:r>
      <w:r w:rsidR="00CC55C0" w:rsidRPr="0071228C">
        <w:rPr>
          <w:noProof/>
        </w:rPr>
        <w:t xml:space="preserve"> w</w:t>
      </w:r>
      <w:r w:rsidR="00CC55C0">
        <w:rPr>
          <w:noProof/>
        </w:rPr>
        <w:t> </w:t>
      </w:r>
      <w:r w:rsidR="00CC55C0" w:rsidRPr="0071228C">
        <w:rPr>
          <w:noProof/>
        </w:rPr>
        <w:t>2</w:t>
      </w:r>
      <w:r w:rsidRPr="0071228C">
        <w:rPr>
          <w:noProof/>
        </w:rPr>
        <w:t>0</w:t>
      </w:r>
      <w:r w:rsidRPr="00CC55C0">
        <w:rPr>
          <w:noProof/>
        </w:rPr>
        <w:t>19</w:t>
      </w:r>
      <w:r w:rsidR="00CC55C0" w:rsidRPr="00CC55C0">
        <w:rPr>
          <w:noProof/>
        </w:rPr>
        <w:t> </w:t>
      </w:r>
      <w:r w:rsidRPr="00CC55C0">
        <w:rPr>
          <w:noProof/>
        </w:rPr>
        <w:t>r.</w:t>
      </w:r>
      <w:r w:rsidRPr="0071228C">
        <w:rPr>
          <w:noProof/>
        </w:rPr>
        <w:t xml:space="preserve"> ocenie adekwatności najważniejszych przepisów dotyczących chemikaliów</w:t>
      </w:r>
      <w:r w:rsidRPr="0071228C">
        <w:rPr>
          <w:rStyle w:val="FootnoteReference"/>
          <w:noProof/>
          <w:szCs w:val="24"/>
        </w:rPr>
        <w:footnoteReference w:id="31"/>
      </w:r>
      <w:r w:rsidRPr="0071228C">
        <w:rPr>
          <w:noProof/>
        </w:rPr>
        <w:t xml:space="preserve"> oraz zobowiązania podjęte</w:t>
      </w:r>
      <w:r w:rsidR="00CC55C0" w:rsidRPr="0071228C">
        <w:rPr>
          <w:noProof/>
        </w:rPr>
        <w:t xml:space="preserve"> w</w:t>
      </w:r>
      <w:r w:rsidR="00CC55C0">
        <w:rPr>
          <w:noProof/>
        </w:rPr>
        <w:t> </w:t>
      </w:r>
      <w:r w:rsidR="00CC55C0" w:rsidRPr="0071228C">
        <w:rPr>
          <w:noProof/>
        </w:rPr>
        <w:t>ram</w:t>
      </w:r>
      <w:r w:rsidRPr="0071228C">
        <w:rPr>
          <w:noProof/>
        </w:rPr>
        <w:t>ach strategii</w:t>
      </w:r>
      <w:r w:rsidR="00CC55C0" w:rsidRPr="0071228C">
        <w:rPr>
          <w:noProof/>
        </w:rPr>
        <w:t xml:space="preserve"> w</w:t>
      </w:r>
      <w:r w:rsidR="00CC55C0">
        <w:rPr>
          <w:noProof/>
        </w:rPr>
        <w:t> </w:t>
      </w:r>
      <w:r w:rsidR="00CC55C0" w:rsidRPr="0071228C">
        <w:rPr>
          <w:noProof/>
        </w:rPr>
        <w:t>zak</w:t>
      </w:r>
      <w:r w:rsidRPr="0071228C">
        <w:rPr>
          <w:noProof/>
        </w:rPr>
        <w:t>resie chemikaliów na rzecz zrównoważoności</w:t>
      </w:r>
      <w:r w:rsidR="00CC55C0" w:rsidRPr="0071228C">
        <w:rPr>
          <w:noProof/>
        </w:rPr>
        <w:t>. W</w:t>
      </w:r>
      <w:r w:rsidR="00CC55C0">
        <w:rPr>
          <w:noProof/>
        </w:rPr>
        <w:t> </w:t>
      </w:r>
      <w:r w:rsidR="00CC55C0" w:rsidRPr="0071228C">
        <w:rPr>
          <w:noProof/>
        </w:rPr>
        <w:t>szc</w:t>
      </w:r>
      <w:r w:rsidRPr="0071228C">
        <w:rPr>
          <w:noProof/>
        </w:rPr>
        <w:t>zególności niniejszy wniosek stanowi krok</w:t>
      </w:r>
      <w:r w:rsidR="00CC55C0" w:rsidRPr="0071228C">
        <w:rPr>
          <w:noProof/>
        </w:rPr>
        <w:t xml:space="preserve"> w</w:t>
      </w:r>
      <w:r w:rsidR="00CC55C0">
        <w:rPr>
          <w:noProof/>
        </w:rPr>
        <w:t> </w:t>
      </w:r>
      <w:r w:rsidR="00CC55C0" w:rsidRPr="0071228C">
        <w:rPr>
          <w:noProof/>
        </w:rPr>
        <w:t>kie</w:t>
      </w:r>
      <w:r w:rsidRPr="0071228C">
        <w:rPr>
          <w:noProof/>
        </w:rPr>
        <w:t>runku bardziej holistycznego monitorowania (mieszanin) dzięki wprowadzeniu stosowania metod opartych na skutkach,</w:t>
      </w:r>
      <w:r w:rsidR="00CC55C0" w:rsidRPr="0071228C">
        <w:rPr>
          <w:noProof/>
        </w:rPr>
        <w:t xml:space="preserve"> a</w:t>
      </w:r>
      <w:r w:rsidR="00CC55C0">
        <w:rPr>
          <w:noProof/>
        </w:rPr>
        <w:t> </w:t>
      </w:r>
      <w:r w:rsidR="00CC55C0" w:rsidRPr="0071228C">
        <w:rPr>
          <w:noProof/>
        </w:rPr>
        <w:t>tak</w:t>
      </w:r>
      <w:r w:rsidRPr="0071228C">
        <w:rPr>
          <w:noProof/>
        </w:rPr>
        <w:t>że zawiera przepisy mające na celu poprawę terminowości, skuteczności</w:t>
      </w:r>
      <w:r w:rsidR="00CC55C0" w:rsidRPr="0071228C">
        <w:rPr>
          <w:noProof/>
        </w:rPr>
        <w:t xml:space="preserve"> i</w:t>
      </w:r>
      <w:r w:rsidR="00CC55C0">
        <w:rPr>
          <w:noProof/>
        </w:rPr>
        <w:t> </w:t>
      </w:r>
      <w:r w:rsidR="00CC55C0" w:rsidRPr="0071228C">
        <w:rPr>
          <w:noProof/>
        </w:rPr>
        <w:t>spó</w:t>
      </w:r>
      <w:r w:rsidRPr="0071228C">
        <w:rPr>
          <w:noProof/>
        </w:rPr>
        <w:t>jności oceny zagrożeń</w:t>
      </w:r>
      <w:r w:rsidR="00CC55C0" w:rsidRPr="0071228C">
        <w:rPr>
          <w:noProof/>
        </w:rPr>
        <w:t xml:space="preserve"> i</w:t>
      </w:r>
      <w:r w:rsidR="00CC55C0">
        <w:rPr>
          <w:noProof/>
        </w:rPr>
        <w:t> </w:t>
      </w:r>
      <w:r w:rsidR="00CC55C0" w:rsidRPr="0071228C">
        <w:rPr>
          <w:noProof/>
        </w:rPr>
        <w:t>ryz</w:t>
      </w:r>
      <w:r w:rsidRPr="0071228C">
        <w:rPr>
          <w:noProof/>
        </w:rPr>
        <w:t>yka (na przykład dzięki ułatwieniu wymiany danych</w:t>
      </w:r>
      <w:r w:rsidR="00CC55C0" w:rsidRPr="0071228C">
        <w:rPr>
          <w:noProof/>
        </w:rPr>
        <w:t xml:space="preserve"> i</w:t>
      </w:r>
      <w:r w:rsidR="00CC55C0">
        <w:rPr>
          <w:noProof/>
        </w:rPr>
        <w:t> </w:t>
      </w:r>
      <w:r w:rsidR="00CC55C0" w:rsidRPr="0071228C">
        <w:rPr>
          <w:noProof/>
        </w:rPr>
        <w:t>zas</w:t>
      </w:r>
      <w:r w:rsidRPr="0071228C">
        <w:rPr>
          <w:noProof/>
        </w:rPr>
        <w:t>tosowaniu podejścia opartego na zasadzie „jedna substancja, jedna ocena”).</w:t>
      </w:r>
    </w:p>
    <w:p w14:paraId="23DBFA4F" w14:textId="189B081B" w:rsidR="00F95EEA" w:rsidRPr="0071228C" w:rsidRDefault="00F95EEA" w:rsidP="002A2DB0">
      <w:pPr>
        <w:rPr>
          <w:b/>
          <w:noProof/>
        </w:rPr>
      </w:pPr>
      <w:r w:rsidRPr="0071228C">
        <w:rPr>
          <w:b/>
          <w:noProof/>
        </w:rPr>
        <w:t>Sprawność regulacyjna</w:t>
      </w:r>
      <w:r w:rsidR="00CC55C0" w:rsidRPr="0071228C">
        <w:rPr>
          <w:b/>
          <w:noProof/>
        </w:rPr>
        <w:t xml:space="preserve"> i</w:t>
      </w:r>
      <w:r w:rsidR="00CC55C0">
        <w:rPr>
          <w:b/>
          <w:noProof/>
        </w:rPr>
        <w:t> </w:t>
      </w:r>
      <w:r w:rsidR="00CC55C0" w:rsidRPr="0071228C">
        <w:rPr>
          <w:b/>
          <w:noProof/>
        </w:rPr>
        <w:t>upr</w:t>
      </w:r>
      <w:r w:rsidRPr="0071228C">
        <w:rPr>
          <w:b/>
          <w:noProof/>
        </w:rPr>
        <w:t>oszczenie (REFIT)</w:t>
      </w:r>
    </w:p>
    <w:p w14:paraId="491E768D" w14:textId="133CAF4D" w:rsidR="00F95EEA" w:rsidRPr="0071228C" w:rsidRDefault="00F95EEA" w:rsidP="00F95EEA">
      <w:pPr>
        <w:rPr>
          <w:noProof/>
        </w:rPr>
      </w:pPr>
      <w:r w:rsidRPr="0071228C">
        <w:rPr>
          <w:noProof/>
        </w:rPr>
        <w:t>W ocenie skutków rozważono warianty dotyczące uproszczenia</w:t>
      </w:r>
      <w:r w:rsidR="00CC55C0" w:rsidRPr="0071228C">
        <w:rPr>
          <w:noProof/>
        </w:rPr>
        <w:t xml:space="preserve"> i</w:t>
      </w:r>
      <w:r w:rsidR="00CC55C0">
        <w:rPr>
          <w:noProof/>
        </w:rPr>
        <w:t> </w:t>
      </w:r>
      <w:r w:rsidR="00CC55C0" w:rsidRPr="0071228C">
        <w:rPr>
          <w:noProof/>
        </w:rPr>
        <w:t>zmn</w:t>
      </w:r>
      <w:r w:rsidRPr="0071228C">
        <w:rPr>
          <w:noProof/>
        </w:rPr>
        <w:t>iejszenia obciążeń. Usunięcie substancji</w:t>
      </w:r>
      <w:r w:rsidR="00CC55C0" w:rsidRPr="0071228C">
        <w:rPr>
          <w:noProof/>
        </w:rPr>
        <w:t xml:space="preserve"> z</w:t>
      </w:r>
      <w:r w:rsidR="00CC55C0">
        <w:rPr>
          <w:noProof/>
        </w:rPr>
        <w:t> </w:t>
      </w:r>
      <w:r w:rsidR="00CC55C0" w:rsidRPr="0071228C">
        <w:rPr>
          <w:noProof/>
        </w:rPr>
        <w:t>wyk</w:t>
      </w:r>
      <w:r w:rsidRPr="0071228C">
        <w:rPr>
          <w:noProof/>
        </w:rPr>
        <w:t>azu zanieczyszczeń wód powierzchniowych stanowi ograniczone zmniejszenie obciążenia, podobnie jak zmiana terminu przeglądu listy obserwacyjnej na co trzy lata,</w:t>
      </w:r>
      <w:r w:rsidR="00CC55C0" w:rsidRPr="0071228C">
        <w:rPr>
          <w:noProof/>
        </w:rPr>
        <w:t xml:space="preserve"> a</w:t>
      </w:r>
      <w:r w:rsidR="00CC55C0">
        <w:rPr>
          <w:noProof/>
        </w:rPr>
        <w:t> </w:t>
      </w:r>
      <w:r w:rsidR="00CC55C0" w:rsidRPr="0071228C">
        <w:rPr>
          <w:noProof/>
        </w:rPr>
        <w:t>nie</w:t>
      </w:r>
      <w:r w:rsidRPr="0071228C">
        <w:rPr>
          <w:noProof/>
        </w:rPr>
        <w:t xml:space="preserve"> co dwa, oraz weryfikacja wykazu zanieczyszczeń wód powierzchniowych</w:t>
      </w:r>
      <w:r w:rsidR="00CC55C0" w:rsidRPr="0071228C">
        <w:rPr>
          <w:noProof/>
        </w:rPr>
        <w:t xml:space="preserve"> i</w:t>
      </w:r>
      <w:r w:rsidR="00CC55C0">
        <w:rPr>
          <w:noProof/>
        </w:rPr>
        <w:t> </w:t>
      </w:r>
      <w:r w:rsidR="00CC55C0" w:rsidRPr="0071228C">
        <w:rPr>
          <w:noProof/>
        </w:rPr>
        <w:t>pod</w:t>
      </w:r>
      <w:r w:rsidRPr="0071228C">
        <w:rPr>
          <w:noProof/>
        </w:rPr>
        <w:t>ziemnych</w:t>
      </w:r>
      <w:r w:rsidR="00CC55C0" w:rsidRPr="0071228C">
        <w:rPr>
          <w:noProof/>
        </w:rPr>
        <w:t xml:space="preserve"> w</w:t>
      </w:r>
      <w:r w:rsidR="00CC55C0">
        <w:rPr>
          <w:noProof/>
        </w:rPr>
        <w:t> </w:t>
      </w:r>
      <w:r w:rsidR="00CC55C0" w:rsidRPr="0071228C">
        <w:rPr>
          <w:noProof/>
        </w:rPr>
        <w:t>dro</w:t>
      </w:r>
      <w:r w:rsidRPr="0071228C">
        <w:rPr>
          <w:noProof/>
        </w:rPr>
        <w:t>dze aktów delegowanych,</w:t>
      </w:r>
      <w:r w:rsidR="00CC55C0" w:rsidRPr="0071228C">
        <w:rPr>
          <w:noProof/>
        </w:rPr>
        <w:t xml:space="preserve"> a</w:t>
      </w:r>
      <w:r w:rsidR="00CC55C0">
        <w:rPr>
          <w:noProof/>
        </w:rPr>
        <w:t> </w:t>
      </w:r>
      <w:r w:rsidR="00CC55C0" w:rsidRPr="0071228C">
        <w:rPr>
          <w:noProof/>
        </w:rPr>
        <w:t>nie w</w:t>
      </w:r>
      <w:r w:rsidR="00CC55C0">
        <w:rPr>
          <w:noProof/>
        </w:rPr>
        <w:t> </w:t>
      </w:r>
      <w:r w:rsidR="00CC55C0" w:rsidRPr="0071228C">
        <w:rPr>
          <w:noProof/>
        </w:rPr>
        <w:t>dro</w:t>
      </w:r>
      <w:r w:rsidRPr="0071228C">
        <w:rPr>
          <w:noProof/>
        </w:rPr>
        <w:t>dze procedury współdecyzji. Stworzenie mechanizmu automatycznego dostarczania danych na podstawie ramowej dyrektywy wodnej</w:t>
      </w:r>
      <w:r w:rsidR="00CC55C0" w:rsidRPr="0071228C">
        <w:rPr>
          <w:noProof/>
        </w:rPr>
        <w:t xml:space="preserve"> i</w:t>
      </w:r>
      <w:r w:rsidR="00CC55C0">
        <w:rPr>
          <w:noProof/>
        </w:rPr>
        <w:t> </w:t>
      </w:r>
      <w:r w:rsidR="00CC55C0" w:rsidRPr="0071228C">
        <w:rPr>
          <w:noProof/>
        </w:rPr>
        <w:t>dyr</w:t>
      </w:r>
      <w:r w:rsidRPr="0071228C">
        <w:rPr>
          <w:noProof/>
        </w:rPr>
        <w:t>ektywy</w:t>
      </w:r>
      <w:r w:rsidR="00CC55C0" w:rsidRPr="0071228C">
        <w:rPr>
          <w:noProof/>
        </w:rPr>
        <w:t xml:space="preserve"> w</w:t>
      </w:r>
      <w:r w:rsidR="00CC55C0">
        <w:rPr>
          <w:noProof/>
        </w:rPr>
        <w:t> </w:t>
      </w:r>
      <w:r w:rsidR="00CC55C0" w:rsidRPr="0071228C">
        <w:rPr>
          <w:noProof/>
        </w:rPr>
        <w:t>spr</w:t>
      </w:r>
      <w:r w:rsidRPr="0071228C">
        <w:rPr>
          <w:noProof/>
        </w:rPr>
        <w:t xml:space="preserve">awie środowiskowych norm jakości zmniejszy obciążenie państw członkowskich związane ze sprawozdawczością, podobnie jak zniesienie obowiązku składania sprawozdania okresowego dotyczącego programu środków na podstawie </w:t>
      </w:r>
      <w:r w:rsidRPr="00CC55C0">
        <w:rPr>
          <w:noProof/>
        </w:rPr>
        <w:t>art.</w:t>
      </w:r>
      <w:r w:rsidR="00CC55C0" w:rsidRPr="00CC55C0">
        <w:rPr>
          <w:noProof/>
        </w:rPr>
        <w:t> </w:t>
      </w:r>
      <w:r w:rsidRPr="00CC55C0">
        <w:rPr>
          <w:noProof/>
        </w:rPr>
        <w:t>1</w:t>
      </w:r>
      <w:r w:rsidRPr="0071228C">
        <w:rPr>
          <w:noProof/>
        </w:rPr>
        <w:t xml:space="preserve">5 </w:t>
      </w:r>
      <w:r w:rsidRPr="00CC55C0">
        <w:rPr>
          <w:noProof/>
        </w:rPr>
        <w:t>ust.</w:t>
      </w:r>
      <w:r w:rsidR="00CC55C0" w:rsidRPr="00CC55C0">
        <w:rPr>
          <w:noProof/>
        </w:rPr>
        <w:t> </w:t>
      </w:r>
      <w:r w:rsidRPr="00CC55C0">
        <w:rPr>
          <w:noProof/>
        </w:rPr>
        <w:t>3</w:t>
      </w:r>
      <w:r w:rsidRPr="0071228C">
        <w:rPr>
          <w:noProof/>
        </w:rPr>
        <w:t xml:space="preserve"> ramowej dyrektywy wodnej. Udoskonalenie istniejących wytycznych dotyczących metod opartych na skutkach oraz opracowanie zharmonizowanej metodyki monitorowania mikrodrobin plastiku uprości pracę państw członkowskich</w:t>
      </w:r>
      <w:r w:rsidR="00CC55C0" w:rsidRPr="0071228C">
        <w:rPr>
          <w:noProof/>
        </w:rPr>
        <w:t xml:space="preserve"> w</w:t>
      </w:r>
      <w:r w:rsidR="00CC55C0">
        <w:rPr>
          <w:noProof/>
        </w:rPr>
        <w:t> </w:t>
      </w:r>
      <w:r w:rsidR="00CC55C0" w:rsidRPr="0071228C">
        <w:rPr>
          <w:noProof/>
        </w:rPr>
        <w:t>tyc</w:t>
      </w:r>
      <w:r w:rsidRPr="0071228C">
        <w:rPr>
          <w:noProof/>
        </w:rPr>
        <w:t>h obszarach.</w:t>
      </w:r>
    </w:p>
    <w:p w14:paraId="30B6CE80" w14:textId="7596434C" w:rsidR="00F95EEA" w:rsidRPr="0071228C" w:rsidRDefault="00F95EEA" w:rsidP="00F95EEA">
      <w:pPr>
        <w:rPr>
          <w:noProof/>
        </w:rPr>
      </w:pPr>
      <w:r w:rsidRPr="0071228C">
        <w:rPr>
          <w:noProof/>
        </w:rPr>
        <w:t>Przy opracowywaniu oceny skutków zastosowano podstawowe cechy testu MŚP,</w:t>
      </w:r>
      <w:r w:rsidR="00CC55C0" w:rsidRPr="0071228C">
        <w:rPr>
          <w:noProof/>
        </w:rPr>
        <w:t xml:space="preserve"> a</w:t>
      </w:r>
      <w:r w:rsidR="00CC55C0">
        <w:rPr>
          <w:noProof/>
        </w:rPr>
        <w:t> </w:t>
      </w:r>
      <w:r w:rsidR="00CC55C0" w:rsidRPr="0071228C">
        <w:rPr>
          <w:noProof/>
        </w:rPr>
        <w:t>wyn</w:t>
      </w:r>
      <w:r w:rsidRPr="0071228C">
        <w:rPr>
          <w:noProof/>
        </w:rPr>
        <w:t>iki odnotowano</w:t>
      </w:r>
      <w:r w:rsidR="00CC55C0" w:rsidRPr="0071228C">
        <w:rPr>
          <w:noProof/>
        </w:rPr>
        <w:t xml:space="preserve"> w</w:t>
      </w:r>
      <w:r w:rsidR="00CC55C0">
        <w:rPr>
          <w:noProof/>
        </w:rPr>
        <w:t> </w:t>
      </w:r>
      <w:r w:rsidR="00CC55C0" w:rsidRPr="0071228C">
        <w:rPr>
          <w:noProof/>
        </w:rPr>
        <w:t>szc</w:t>
      </w:r>
      <w:r w:rsidRPr="0071228C">
        <w:rPr>
          <w:noProof/>
        </w:rPr>
        <w:t>zególności</w:t>
      </w:r>
      <w:r w:rsidR="00CC55C0" w:rsidRPr="0071228C">
        <w:rPr>
          <w:noProof/>
        </w:rPr>
        <w:t xml:space="preserve"> w</w:t>
      </w:r>
      <w:r w:rsidR="00CC55C0">
        <w:rPr>
          <w:noProof/>
        </w:rPr>
        <w:t> </w:t>
      </w:r>
      <w:r w:rsidR="00CC55C0" w:rsidRPr="0071228C">
        <w:rPr>
          <w:noProof/>
        </w:rPr>
        <w:t>sek</w:t>
      </w:r>
      <w:r w:rsidRPr="0071228C">
        <w:rPr>
          <w:noProof/>
        </w:rPr>
        <w:t>cji 6. Działalność MŚP wiąże się generowaniem</w:t>
      </w:r>
      <w:r w:rsidR="00CC55C0" w:rsidRPr="0071228C">
        <w:rPr>
          <w:noProof/>
        </w:rPr>
        <w:t xml:space="preserve"> i</w:t>
      </w:r>
      <w:r w:rsidR="00CC55C0">
        <w:rPr>
          <w:noProof/>
        </w:rPr>
        <w:t> </w:t>
      </w:r>
      <w:r w:rsidR="00CC55C0" w:rsidRPr="0071228C">
        <w:rPr>
          <w:noProof/>
        </w:rPr>
        <w:t>sto</w:t>
      </w:r>
      <w:r w:rsidRPr="0071228C">
        <w:rPr>
          <w:noProof/>
        </w:rPr>
        <w:t>sowaniem istotnych substancji zanieczyszczających. Należy zauważyć, że dokładna identyfikacja</w:t>
      </w:r>
      <w:r w:rsidR="00CC55C0" w:rsidRPr="0071228C">
        <w:rPr>
          <w:noProof/>
        </w:rPr>
        <w:t xml:space="preserve"> i</w:t>
      </w:r>
      <w:r w:rsidR="00CC55C0">
        <w:rPr>
          <w:noProof/>
        </w:rPr>
        <w:t> </w:t>
      </w:r>
      <w:r w:rsidR="00CC55C0" w:rsidRPr="0071228C">
        <w:rPr>
          <w:noProof/>
        </w:rPr>
        <w:t>okr</w:t>
      </w:r>
      <w:r w:rsidRPr="0071228C">
        <w:rPr>
          <w:noProof/>
        </w:rPr>
        <w:t xml:space="preserve">eślenie ilościowe skutków jest zasadniczo niemożliwe ze względu na fakt, że oddziaływanie będzie zależało od środków, które państwa członkowskie wprowadzą, aby osiągnąć cele prawodawstwa. </w:t>
      </w:r>
    </w:p>
    <w:p w14:paraId="701CBEB7" w14:textId="77777777" w:rsidR="00F95EEA" w:rsidRPr="0071228C" w:rsidRDefault="00F95EEA" w:rsidP="002A2DB0">
      <w:pPr>
        <w:rPr>
          <w:b/>
          <w:noProof/>
        </w:rPr>
      </w:pPr>
      <w:r w:rsidRPr="0071228C">
        <w:rPr>
          <w:b/>
          <w:noProof/>
        </w:rPr>
        <w:t>Opinia Rady ds. Kontroli Regulacyjnej</w:t>
      </w:r>
    </w:p>
    <w:p w14:paraId="19CD77DB" w14:textId="7C34DDF8" w:rsidR="00F95EEA" w:rsidRPr="0071228C" w:rsidRDefault="00F95EEA" w:rsidP="00F95EEA">
      <w:pPr>
        <w:autoSpaceDE w:val="0"/>
        <w:autoSpaceDN w:val="0"/>
        <w:adjustRightInd w:val="0"/>
        <w:spacing w:before="0" w:after="0"/>
        <w:rPr>
          <w:noProof/>
          <w:szCs w:val="24"/>
        </w:rPr>
      </w:pPr>
      <w:r w:rsidRPr="0071228C">
        <w:rPr>
          <w:noProof/>
        </w:rPr>
        <w:t>W dniu 24 czerwca 20</w:t>
      </w:r>
      <w:r w:rsidRPr="00CC55C0">
        <w:rPr>
          <w:noProof/>
        </w:rPr>
        <w:t>22</w:t>
      </w:r>
      <w:r w:rsidR="00CC55C0" w:rsidRPr="00CC55C0">
        <w:rPr>
          <w:noProof/>
        </w:rPr>
        <w:t> </w:t>
      </w:r>
      <w:r w:rsidRPr="00CC55C0">
        <w:rPr>
          <w:noProof/>
        </w:rPr>
        <w:t>r.</w:t>
      </w:r>
      <w:r w:rsidRPr="0071228C">
        <w:rPr>
          <w:noProof/>
        </w:rPr>
        <w:t xml:space="preserve"> Rada ds. Kontroli Regulacyjnej wydała pozytywną opinię</w:t>
      </w:r>
      <w:r w:rsidR="00CC55C0" w:rsidRPr="0071228C">
        <w:rPr>
          <w:noProof/>
        </w:rPr>
        <w:t xml:space="preserve"> z</w:t>
      </w:r>
      <w:r w:rsidR="00CC55C0">
        <w:rPr>
          <w:noProof/>
        </w:rPr>
        <w:t> </w:t>
      </w:r>
      <w:r w:rsidR="00CC55C0" w:rsidRPr="0071228C">
        <w:rPr>
          <w:noProof/>
        </w:rPr>
        <w:t>zas</w:t>
      </w:r>
      <w:r w:rsidRPr="0071228C">
        <w:rPr>
          <w:noProof/>
        </w:rPr>
        <w:t>trzeżeniami. Rada zwróciła się</w:t>
      </w:r>
      <w:r w:rsidR="00CC55C0" w:rsidRPr="0071228C">
        <w:rPr>
          <w:noProof/>
        </w:rPr>
        <w:t xml:space="preserve"> z</w:t>
      </w:r>
      <w:r w:rsidR="00CC55C0">
        <w:rPr>
          <w:noProof/>
        </w:rPr>
        <w:t> </w:t>
      </w:r>
      <w:r w:rsidR="00CC55C0" w:rsidRPr="0071228C">
        <w:rPr>
          <w:noProof/>
        </w:rPr>
        <w:t>wni</w:t>
      </w:r>
      <w:r w:rsidRPr="0071228C">
        <w:rPr>
          <w:noProof/>
        </w:rPr>
        <w:t>oskiem</w:t>
      </w:r>
      <w:r w:rsidR="00CC55C0" w:rsidRPr="0071228C">
        <w:rPr>
          <w:noProof/>
        </w:rPr>
        <w:t xml:space="preserve"> o</w:t>
      </w:r>
      <w:r w:rsidR="00CC55C0">
        <w:rPr>
          <w:noProof/>
        </w:rPr>
        <w:t> </w:t>
      </w:r>
      <w:r w:rsidR="00CC55C0" w:rsidRPr="0071228C">
        <w:rPr>
          <w:noProof/>
        </w:rPr>
        <w:t>wpr</w:t>
      </w:r>
      <w:r w:rsidRPr="0071228C">
        <w:rPr>
          <w:noProof/>
        </w:rPr>
        <w:t>owadzenie zmian</w:t>
      </w:r>
      <w:r w:rsidR="00CC55C0" w:rsidRPr="0071228C">
        <w:rPr>
          <w:noProof/>
        </w:rPr>
        <w:t xml:space="preserve"> w</w:t>
      </w:r>
      <w:r w:rsidR="00CC55C0">
        <w:rPr>
          <w:noProof/>
        </w:rPr>
        <w:t> </w:t>
      </w:r>
      <w:r w:rsidR="00CC55C0" w:rsidRPr="0071228C">
        <w:rPr>
          <w:noProof/>
        </w:rPr>
        <w:t>cel</w:t>
      </w:r>
      <w:r w:rsidRPr="0071228C">
        <w:rPr>
          <w:noProof/>
        </w:rPr>
        <w:t>u skorygowania</w:t>
      </w:r>
      <w:r w:rsidR="00CC55C0" w:rsidRPr="0071228C">
        <w:rPr>
          <w:noProof/>
        </w:rPr>
        <w:t xml:space="preserve"> w</w:t>
      </w:r>
      <w:r w:rsidR="00CC55C0">
        <w:rPr>
          <w:noProof/>
        </w:rPr>
        <w:t> </w:t>
      </w:r>
      <w:r w:rsidR="00CC55C0" w:rsidRPr="0071228C">
        <w:rPr>
          <w:noProof/>
        </w:rPr>
        <w:t>szc</w:t>
      </w:r>
      <w:r w:rsidRPr="0071228C">
        <w:rPr>
          <w:noProof/>
        </w:rPr>
        <w:t>zególności trzech aspektów: 1) opracowanie wariantów, które uznano za zbyt złożone</w:t>
      </w:r>
      <w:r w:rsidR="00CC55C0" w:rsidRPr="0071228C">
        <w:rPr>
          <w:noProof/>
        </w:rPr>
        <w:t xml:space="preserve"> i</w:t>
      </w:r>
      <w:r w:rsidR="00CC55C0">
        <w:rPr>
          <w:noProof/>
        </w:rPr>
        <w:t> </w:t>
      </w:r>
      <w:r w:rsidR="00CC55C0" w:rsidRPr="0071228C">
        <w:rPr>
          <w:noProof/>
        </w:rPr>
        <w:t>nie</w:t>
      </w:r>
      <w:r w:rsidRPr="0071228C">
        <w:rPr>
          <w:noProof/>
        </w:rPr>
        <w:t>przedstawiające</w:t>
      </w:r>
      <w:r w:rsidR="00CC55C0" w:rsidRPr="0071228C">
        <w:rPr>
          <w:noProof/>
        </w:rPr>
        <w:t xml:space="preserve"> w</w:t>
      </w:r>
      <w:r w:rsidR="00CC55C0">
        <w:rPr>
          <w:noProof/>
        </w:rPr>
        <w:t> </w:t>
      </w:r>
      <w:r w:rsidR="00CC55C0" w:rsidRPr="0071228C">
        <w:rPr>
          <w:noProof/>
        </w:rPr>
        <w:t>jas</w:t>
      </w:r>
      <w:r w:rsidRPr="0071228C">
        <w:rPr>
          <w:noProof/>
        </w:rPr>
        <w:t>ny sposób kluczowych wyborów politycznych; 2) skutki dla MŚP</w:t>
      </w:r>
      <w:r w:rsidR="00CC55C0" w:rsidRPr="0071228C">
        <w:rPr>
          <w:noProof/>
        </w:rPr>
        <w:t xml:space="preserve"> i</w:t>
      </w:r>
      <w:r w:rsidR="00CC55C0">
        <w:rPr>
          <w:noProof/>
        </w:rPr>
        <w:t> </w:t>
      </w:r>
      <w:r w:rsidR="00CC55C0" w:rsidRPr="0071228C">
        <w:rPr>
          <w:noProof/>
        </w:rPr>
        <w:t>oby</w:t>
      </w:r>
      <w:r w:rsidRPr="0071228C">
        <w:rPr>
          <w:noProof/>
        </w:rPr>
        <w:t>wateli, które uznano za niedostatecznie przeanalizowane, przy czym</w:t>
      </w:r>
      <w:r w:rsidR="00CC55C0" w:rsidRPr="0071228C">
        <w:rPr>
          <w:noProof/>
        </w:rPr>
        <w:t xml:space="preserve"> w</w:t>
      </w:r>
      <w:r w:rsidR="00CC55C0">
        <w:rPr>
          <w:noProof/>
        </w:rPr>
        <w:t> </w:t>
      </w:r>
      <w:r w:rsidR="00CC55C0" w:rsidRPr="0071228C">
        <w:rPr>
          <w:noProof/>
        </w:rPr>
        <w:t>spr</w:t>
      </w:r>
      <w:r w:rsidRPr="0071228C">
        <w:rPr>
          <w:noProof/>
        </w:rPr>
        <w:t>awozdaniu nie oceniono sposobu,</w:t>
      </w:r>
      <w:r w:rsidR="00CC55C0" w:rsidRPr="0071228C">
        <w:rPr>
          <w:noProof/>
        </w:rPr>
        <w:t xml:space="preserve"> w</w:t>
      </w:r>
      <w:r w:rsidR="00CC55C0">
        <w:rPr>
          <w:noProof/>
        </w:rPr>
        <w:t> </w:t>
      </w:r>
      <w:r w:rsidR="00CC55C0" w:rsidRPr="0071228C">
        <w:rPr>
          <w:noProof/>
        </w:rPr>
        <w:t>jak</w:t>
      </w:r>
      <w:r w:rsidRPr="0071228C">
        <w:rPr>
          <w:noProof/>
        </w:rPr>
        <w:t>i może to wpłynąć na poszczególne państwa członkowskie; 3) uznano, że sprawozdanie nie zawiera jasnych informacji na temat skali spodziewanych skutków, krytycznej oceny zasadności ilustracyjnych szacunków korzyści</w:t>
      </w:r>
      <w:r w:rsidR="00CC55C0" w:rsidRPr="0071228C">
        <w:rPr>
          <w:noProof/>
        </w:rPr>
        <w:t xml:space="preserve"> i</w:t>
      </w:r>
      <w:r w:rsidR="00CC55C0">
        <w:rPr>
          <w:noProof/>
        </w:rPr>
        <w:t> </w:t>
      </w:r>
      <w:r w:rsidR="00CC55C0" w:rsidRPr="0071228C">
        <w:rPr>
          <w:noProof/>
        </w:rPr>
        <w:t>kos</w:t>
      </w:r>
      <w:r w:rsidRPr="0071228C">
        <w:rPr>
          <w:noProof/>
        </w:rPr>
        <w:t>ztów ani ich znaczenia dla inicjatywy,</w:t>
      </w:r>
      <w:r w:rsidR="00CC55C0" w:rsidRPr="0071228C">
        <w:rPr>
          <w:noProof/>
        </w:rPr>
        <w:t xml:space="preserve"> a</w:t>
      </w:r>
      <w:r w:rsidR="00CC55C0">
        <w:rPr>
          <w:noProof/>
        </w:rPr>
        <w:t> </w:t>
      </w:r>
      <w:r w:rsidR="00CC55C0" w:rsidRPr="0071228C">
        <w:rPr>
          <w:noProof/>
        </w:rPr>
        <w:t>jed</w:t>
      </w:r>
      <w:r w:rsidRPr="0071228C">
        <w:rPr>
          <w:noProof/>
        </w:rPr>
        <w:t>nocześnie uznano, że porównanie wariantów nie zostało oparte na ich skuteczności, efektywności</w:t>
      </w:r>
      <w:r w:rsidR="00CC55C0" w:rsidRPr="0071228C">
        <w:rPr>
          <w:noProof/>
        </w:rPr>
        <w:t xml:space="preserve"> i</w:t>
      </w:r>
      <w:r w:rsidR="00CC55C0">
        <w:rPr>
          <w:noProof/>
        </w:rPr>
        <w:t> </w:t>
      </w:r>
      <w:r w:rsidR="00CC55C0" w:rsidRPr="0071228C">
        <w:rPr>
          <w:noProof/>
        </w:rPr>
        <w:t>spó</w:t>
      </w:r>
      <w:r w:rsidRPr="0071228C">
        <w:rPr>
          <w:noProof/>
        </w:rPr>
        <w:t>jności.</w:t>
      </w:r>
    </w:p>
    <w:p w14:paraId="7A7BCC52" w14:textId="762ED959" w:rsidR="00F95EEA" w:rsidRPr="0071228C" w:rsidRDefault="00F95EEA" w:rsidP="00F95EEA">
      <w:pPr>
        <w:rPr>
          <w:noProof/>
        </w:rPr>
      </w:pPr>
      <w:r w:rsidRPr="0071228C">
        <w:rPr>
          <w:noProof/>
        </w:rPr>
        <w:t>W odpowiedzi na to warianty strategiczne zostały uproszczone poprzez zmniejszenie ich liczby</w:t>
      </w:r>
      <w:r w:rsidR="00CC55C0" w:rsidRPr="0071228C">
        <w:rPr>
          <w:noProof/>
        </w:rPr>
        <w:t xml:space="preserve"> i</w:t>
      </w:r>
      <w:r w:rsidR="00CC55C0">
        <w:rPr>
          <w:noProof/>
        </w:rPr>
        <w:t> </w:t>
      </w:r>
      <w:r w:rsidR="00CC55C0" w:rsidRPr="0071228C">
        <w:rPr>
          <w:noProof/>
        </w:rPr>
        <w:t>agr</w:t>
      </w:r>
      <w:r w:rsidRPr="0071228C">
        <w:rPr>
          <w:noProof/>
        </w:rPr>
        <w:t>egację. Skutki dla MŚP zostały szerzej omówione</w:t>
      </w:r>
      <w:r w:rsidR="00CC55C0" w:rsidRPr="0071228C">
        <w:rPr>
          <w:noProof/>
        </w:rPr>
        <w:t xml:space="preserve"> w</w:t>
      </w:r>
      <w:r w:rsidR="00CC55C0">
        <w:rPr>
          <w:noProof/>
        </w:rPr>
        <w:t> </w:t>
      </w:r>
      <w:r w:rsidR="00CC55C0" w:rsidRPr="0071228C">
        <w:rPr>
          <w:noProof/>
        </w:rPr>
        <w:t>cał</w:t>
      </w:r>
      <w:r w:rsidRPr="0071228C">
        <w:rPr>
          <w:noProof/>
        </w:rPr>
        <w:t>ym tekście, podobnie jak informacje na temat wpływu na konsumentów</w:t>
      </w:r>
      <w:r w:rsidR="00CC55C0" w:rsidRPr="0071228C">
        <w:rPr>
          <w:noProof/>
        </w:rPr>
        <w:t xml:space="preserve"> i</w:t>
      </w:r>
      <w:r w:rsidR="00CC55C0">
        <w:rPr>
          <w:noProof/>
        </w:rPr>
        <w:t> </w:t>
      </w:r>
      <w:r w:rsidR="00CC55C0" w:rsidRPr="0071228C">
        <w:rPr>
          <w:noProof/>
        </w:rPr>
        <w:t>pań</w:t>
      </w:r>
      <w:r w:rsidRPr="0071228C">
        <w:rPr>
          <w:noProof/>
        </w:rPr>
        <w:t>stwa członkowskie. Wyjaśniono interpretację danych dotyczących kosztów</w:t>
      </w:r>
      <w:r w:rsidR="00CC55C0" w:rsidRPr="0071228C">
        <w:rPr>
          <w:noProof/>
        </w:rPr>
        <w:t xml:space="preserve"> i</w:t>
      </w:r>
      <w:r w:rsidR="00CC55C0">
        <w:rPr>
          <w:noProof/>
        </w:rPr>
        <w:t> </w:t>
      </w:r>
      <w:r w:rsidR="00CC55C0" w:rsidRPr="0071228C">
        <w:rPr>
          <w:noProof/>
        </w:rPr>
        <w:t>kor</w:t>
      </w:r>
      <w:r w:rsidRPr="0071228C">
        <w:rPr>
          <w:noProof/>
        </w:rPr>
        <w:t>zyści, aby uniknąć wrażenia, że mogą one być interpretowane jako związane wyłącznie</w:t>
      </w:r>
      <w:r w:rsidR="00CC55C0" w:rsidRPr="0071228C">
        <w:rPr>
          <w:noProof/>
        </w:rPr>
        <w:t xml:space="preserve"> z</w:t>
      </w:r>
      <w:r w:rsidR="00CC55C0">
        <w:rPr>
          <w:noProof/>
        </w:rPr>
        <w:t> </w:t>
      </w:r>
      <w:r w:rsidR="00CC55C0" w:rsidRPr="0071228C">
        <w:rPr>
          <w:noProof/>
        </w:rPr>
        <w:t>nin</w:t>
      </w:r>
      <w:r w:rsidRPr="0071228C">
        <w:rPr>
          <w:noProof/>
        </w:rPr>
        <w:t>iejszą inicjatywą. Tekst dotyczący zasady „jedno więcej – jedno mniej” został zakończony. Ponadto do tekstu dołączono ocenę skuteczności, efektywności</w:t>
      </w:r>
      <w:r w:rsidR="00CC55C0" w:rsidRPr="0071228C">
        <w:rPr>
          <w:noProof/>
        </w:rPr>
        <w:t xml:space="preserve"> i</w:t>
      </w:r>
      <w:r w:rsidR="00CC55C0">
        <w:rPr>
          <w:noProof/>
        </w:rPr>
        <w:t> </w:t>
      </w:r>
      <w:r w:rsidR="00CC55C0" w:rsidRPr="0071228C">
        <w:rPr>
          <w:noProof/>
        </w:rPr>
        <w:t>spó</w:t>
      </w:r>
      <w:r w:rsidRPr="0071228C">
        <w:rPr>
          <w:noProof/>
        </w:rPr>
        <w:t>jności wariantów.</w:t>
      </w:r>
    </w:p>
    <w:p w14:paraId="7A5A55BB" w14:textId="63366C35"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Konsultacje</w:t>
      </w:r>
      <w:r w:rsidR="00CC55C0" w:rsidRPr="0071228C">
        <w:rPr>
          <w:noProof/>
          <w:u w:color="000000"/>
          <w:bdr w:val="nil"/>
        </w:rPr>
        <w:t xml:space="preserve"> z</w:t>
      </w:r>
      <w:r w:rsidR="00CC55C0">
        <w:rPr>
          <w:noProof/>
          <w:u w:color="000000"/>
          <w:bdr w:val="nil"/>
        </w:rPr>
        <w:t> </w:t>
      </w:r>
      <w:r w:rsidR="00CC55C0" w:rsidRPr="0071228C">
        <w:rPr>
          <w:noProof/>
          <w:u w:color="000000"/>
          <w:bdr w:val="nil"/>
        </w:rPr>
        <w:t>zai</w:t>
      </w:r>
      <w:r w:rsidRPr="0071228C">
        <w:rPr>
          <w:noProof/>
          <w:u w:color="000000"/>
          <w:bdr w:val="nil"/>
        </w:rPr>
        <w:t>nteresowanymi stronami</w:t>
      </w:r>
    </w:p>
    <w:p w14:paraId="7697CF28" w14:textId="1BE7480B" w:rsidR="00674DC4" w:rsidRPr="0071228C" w:rsidRDefault="002821B9" w:rsidP="005C4F36">
      <w:pPr>
        <w:pBdr>
          <w:top w:val="nil"/>
          <w:left w:val="nil"/>
          <w:bottom w:val="nil"/>
          <w:right w:val="nil"/>
          <w:between w:val="nil"/>
          <w:bar w:val="nil"/>
        </w:pBdr>
        <w:spacing w:before="0" w:after="240"/>
        <w:rPr>
          <w:noProof/>
        </w:rPr>
      </w:pPr>
      <w:r w:rsidRPr="0071228C">
        <w:rPr>
          <w:noProof/>
        </w:rPr>
        <w:t>W celu wsparcia przygotowania niniejszego wniosku przeprowadzono szeroko zakrojone konsultacje</w:t>
      </w:r>
      <w:r w:rsidR="00CC55C0" w:rsidRPr="0071228C">
        <w:rPr>
          <w:noProof/>
        </w:rPr>
        <w:t xml:space="preserve"> z</w:t>
      </w:r>
      <w:r w:rsidR="00CC55C0">
        <w:rPr>
          <w:noProof/>
        </w:rPr>
        <w:t> </w:t>
      </w:r>
      <w:r w:rsidR="00CC55C0" w:rsidRPr="0071228C">
        <w:rPr>
          <w:noProof/>
        </w:rPr>
        <w:t>zai</w:t>
      </w:r>
      <w:r w:rsidRPr="0071228C">
        <w:rPr>
          <w:noProof/>
        </w:rPr>
        <w:t>nteresowanymi stronami</w:t>
      </w:r>
      <w:r w:rsidR="00CC55C0" w:rsidRPr="0071228C">
        <w:rPr>
          <w:noProof/>
        </w:rPr>
        <w:t>. W</w:t>
      </w:r>
      <w:r w:rsidR="00CC55C0">
        <w:rPr>
          <w:noProof/>
        </w:rPr>
        <w:t> </w:t>
      </w:r>
      <w:r w:rsidR="00CC55C0" w:rsidRPr="0071228C">
        <w:rPr>
          <w:noProof/>
        </w:rPr>
        <w:t>opa</w:t>
      </w:r>
      <w:r w:rsidRPr="0071228C">
        <w:rPr>
          <w:noProof/>
        </w:rPr>
        <w:t>rciu</w:t>
      </w:r>
      <w:r w:rsidR="00CC55C0" w:rsidRPr="0071228C">
        <w:rPr>
          <w:noProof/>
        </w:rPr>
        <w:t xml:space="preserve"> o</w:t>
      </w:r>
      <w:r w:rsidR="00CC55C0">
        <w:rPr>
          <w:noProof/>
        </w:rPr>
        <w:t> </w:t>
      </w:r>
      <w:r w:rsidR="00CC55C0" w:rsidRPr="0071228C">
        <w:rPr>
          <w:noProof/>
        </w:rPr>
        <w:t>wyt</w:t>
      </w:r>
      <w:r w:rsidRPr="0071228C">
        <w:rPr>
          <w:noProof/>
        </w:rPr>
        <w:t>yczne Komisji dotyczące lepszego stanowienia prawa</w:t>
      </w:r>
      <w:r w:rsidR="00CC55C0" w:rsidRPr="0071228C">
        <w:rPr>
          <w:noProof/>
        </w:rPr>
        <w:t xml:space="preserve"> w</w:t>
      </w:r>
      <w:r w:rsidR="00CC55C0">
        <w:rPr>
          <w:noProof/>
        </w:rPr>
        <w:t> </w:t>
      </w:r>
      <w:r w:rsidR="00CC55C0" w:rsidRPr="0071228C">
        <w:rPr>
          <w:noProof/>
        </w:rPr>
        <w:t>2</w:t>
      </w:r>
      <w:r w:rsidRPr="0071228C">
        <w:rPr>
          <w:noProof/>
        </w:rPr>
        <w:t>0</w:t>
      </w:r>
      <w:r w:rsidRPr="00CC55C0">
        <w:rPr>
          <w:noProof/>
        </w:rPr>
        <w:t>21</w:t>
      </w:r>
      <w:r w:rsidR="00CC55C0" w:rsidRPr="00CC55C0">
        <w:rPr>
          <w:noProof/>
        </w:rPr>
        <w:t> </w:t>
      </w:r>
      <w:r w:rsidRPr="00CC55C0">
        <w:rPr>
          <w:noProof/>
        </w:rPr>
        <w:t>r.</w:t>
      </w:r>
      <w:r w:rsidRPr="0071228C">
        <w:rPr>
          <w:noProof/>
        </w:rPr>
        <w:t xml:space="preserve"> przeprowadzono zarówno otwarte konsultacje publiczne, jak</w:t>
      </w:r>
      <w:r w:rsidR="00CC55C0" w:rsidRPr="0071228C">
        <w:rPr>
          <w:noProof/>
        </w:rPr>
        <w:t xml:space="preserve"> i</w:t>
      </w:r>
      <w:r w:rsidR="00CC55C0">
        <w:rPr>
          <w:noProof/>
        </w:rPr>
        <w:t> </w:t>
      </w:r>
      <w:r w:rsidR="00CC55C0" w:rsidRPr="0071228C">
        <w:rPr>
          <w:noProof/>
        </w:rPr>
        <w:t>bad</w:t>
      </w:r>
      <w:r w:rsidRPr="0071228C">
        <w:rPr>
          <w:noProof/>
        </w:rPr>
        <w:t>anie skierowane do ekspertów, przy czym wyniki uwzględniono</w:t>
      </w:r>
      <w:r w:rsidR="00CC55C0" w:rsidRPr="0071228C">
        <w:rPr>
          <w:noProof/>
        </w:rPr>
        <w:t xml:space="preserve"> w</w:t>
      </w:r>
      <w:r w:rsidR="00CC55C0">
        <w:rPr>
          <w:noProof/>
        </w:rPr>
        <w:t> </w:t>
      </w:r>
      <w:r w:rsidR="00CC55C0" w:rsidRPr="0071228C">
        <w:rPr>
          <w:noProof/>
        </w:rPr>
        <w:t>oce</w:t>
      </w:r>
      <w:r w:rsidRPr="0071228C">
        <w:rPr>
          <w:noProof/>
        </w:rPr>
        <w:t>nie skutków niniejszego wniosku. Stała sieć państw członkowskich</w:t>
      </w:r>
      <w:r w:rsidR="00CC55C0" w:rsidRPr="0071228C">
        <w:rPr>
          <w:noProof/>
        </w:rPr>
        <w:t xml:space="preserve"> i</w:t>
      </w:r>
      <w:r w:rsidR="00CC55C0">
        <w:rPr>
          <w:noProof/>
        </w:rPr>
        <w:t> </w:t>
      </w:r>
      <w:r w:rsidR="00CC55C0" w:rsidRPr="0071228C">
        <w:rPr>
          <w:noProof/>
        </w:rPr>
        <w:t>zai</w:t>
      </w:r>
      <w:r w:rsidRPr="0071228C">
        <w:rPr>
          <w:noProof/>
        </w:rPr>
        <w:t>nteresowanych stron wspierających wdrażanie ramowej dyrektywy wodnej</w:t>
      </w:r>
      <w:r w:rsidR="00CC55C0" w:rsidRPr="0071228C">
        <w:rPr>
          <w:noProof/>
        </w:rPr>
        <w:t xml:space="preserve"> i</w:t>
      </w:r>
      <w:r w:rsidR="00CC55C0">
        <w:rPr>
          <w:noProof/>
        </w:rPr>
        <w:t> </w:t>
      </w:r>
      <w:r w:rsidR="00CC55C0" w:rsidRPr="0071228C">
        <w:rPr>
          <w:noProof/>
        </w:rPr>
        <w:t>jej</w:t>
      </w:r>
      <w:r w:rsidRPr="0071228C">
        <w:rPr>
          <w:noProof/>
        </w:rPr>
        <w:t xml:space="preserve"> dyrektyw szczegółowych była</w:t>
      </w:r>
      <w:r w:rsidR="00CC55C0" w:rsidRPr="0071228C">
        <w:rPr>
          <w:noProof/>
        </w:rPr>
        <w:t xml:space="preserve"> w</w:t>
      </w:r>
      <w:r w:rsidR="00CC55C0">
        <w:rPr>
          <w:noProof/>
        </w:rPr>
        <w:t> </w:t>
      </w:r>
      <w:r w:rsidR="00CC55C0" w:rsidRPr="0071228C">
        <w:rPr>
          <w:noProof/>
        </w:rPr>
        <w:t>peł</w:t>
      </w:r>
      <w:r w:rsidRPr="0071228C">
        <w:rPr>
          <w:noProof/>
        </w:rPr>
        <w:t>ni informowana,</w:t>
      </w:r>
      <w:r w:rsidR="00CC55C0" w:rsidRPr="0071228C">
        <w:rPr>
          <w:noProof/>
        </w:rPr>
        <w:t xml:space="preserve"> a</w:t>
      </w:r>
      <w:r w:rsidR="00CC55C0">
        <w:rPr>
          <w:noProof/>
        </w:rPr>
        <w:t> </w:t>
      </w:r>
      <w:r w:rsidR="00CC55C0" w:rsidRPr="0071228C">
        <w:rPr>
          <w:noProof/>
        </w:rPr>
        <w:t>w</w:t>
      </w:r>
      <w:r w:rsidR="00CC55C0">
        <w:rPr>
          <w:noProof/>
        </w:rPr>
        <w:t> </w:t>
      </w:r>
      <w:r w:rsidR="00CC55C0" w:rsidRPr="0071228C">
        <w:rPr>
          <w:noProof/>
        </w:rPr>
        <w:t>szc</w:t>
      </w:r>
      <w:r w:rsidRPr="0071228C">
        <w:rPr>
          <w:noProof/>
        </w:rPr>
        <w:t>zególności przeprowadzono szerokie konsultacje</w:t>
      </w:r>
      <w:r w:rsidR="00CC55C0" w:rsidRPr="0071228C">
        <w:rPr>
          <w:noProof/>
        </w:rPr>
        <w:t xml:space="preserve"> z</w:t>
      </w:r>
      <w:r w:rsidR="00CC55C0">
        <w:rPr>
          <w:noProof/>
        </w:rPr>
        <w:t> </w:t>
      </w:r>
      <w:r w:rsidR="00CC55C0" w:rsidRPr="0071228C">
        <w:rPr>
          <w:noProof/>
        </w:rPr>
        <w:t>gru</w:t>
      </w:r>
      <w:r w:rsidRPr="0071228C">
        <w:rPr>
          <w:noProof/>
        </w:rPr>
        <w:t>pami roboczymi ds. chemikaliów</w:t>
      </w:r>
      <w:r w:rsidR="00CC55C0" w:rsidRPr="0071228C">
        <w:rPr>
          <w:noProof/>
        </w:rPr>
        <w:t xml:space="preserve"> i</w:t>
      </w:r>
      <w:r w:rsidR="00CC55C0">
        <w:rPr>
          <w:noProof/>
        </w:rPr>
        <w:t> </w:t>
      </w:r>
      <w:r w:rsidR="00CC55C0" w:rsidRPr="0071228C">
        <w:rPr>
          <w:noProof/>
        </w:rPr>
        <w:t>wód</w:t>
      </w:r>
      <w:r w:rsidRPr="0071228C">
        <w:rPr>
          <w:noProof/>
        </w:rPr>
        <w:t xml:space="preserve"> gruntowych. </w:t>
      </w:r>
    </w:p>
    <w:p w14:paraId="38F324D9" w14:textId="52278D8E" w:rsidR="002821B9" w:rsidRPr="0071228C" w:rsidRDefault="00E12E7F" w:rsidP="005C4F36">
      <w:pPr>
        <w:pBdr>
          <w:top w:val="nil"/>
          <w:left w:val="nil"/>
          <w:bottom w:val="nil"/>
          <w:right w:val="nil"/>
          <w:between w:val="nil"/>
          <w:bar w:val="nil"/>
        </w:pBdr>
        <w:spacing w:before="0" w:after="240"/>
        <w:rPr>
          <w:noProof/>
        </w:rPr>
      </w:pPr>
      <w:r w:rsidRPr="0071228C">
        <w:rPr>
          <w:noProof/>
        </w:rPr>
        <w:t>W odniesieniu do poszczególnych substancji</w:t>
      </w:r>
      <w:r w:rsidR="00CC55C0" w:rsidRPr="0071228C">
        <w:rPr>
          <w:noProof/>
        </w:rPr>
        <w:t xml:space="preserve"> i</w:t>
      </w:r>
      <w:r w:rsidR="00CC55C0">
        <w:rPr>
          <w:noProof/>
        </w:rPr>
        <w:t> </w:t>
      </w:r>
      <w:r w:rsidR="00CC55C0" w:rsidRPr="0071228C">
        <w:rPr>
          <w:noProof/>
        </w:rPr>
        <w:t>gru</w:t>
      </w:r>
      <w:r w:rsidRPr="0071228C">
        <w:rPr>
          <w:noProof/>
        </w:rPr>
        <w:t>p substancji wskazanych do umieszczenia</w:t>
      </w:r>
      <w:r w:rsidR="00CC55C0" w:rsidRPr="0071228C">
        <w:rPr>
          <w:noProof/>
        </w:rPr>
        <w:t xml:space="preserve"> w</w:t>
      </w:r>
      <w:r w:rsidR="00CC55C0">
        <w:rPr>
          <w:noProof/>
        </w:rPr>
        <w:t> </w:t>
      </w:r>
      <w:r w:rsidR="00CC55C0" w:rsidRPr="0071228C">
        <w:rPr>
          <w:noProof/>
        </w:rPr>
        <w:t>wyk</w:t>
      </w:r>
      <w:r w:rsidRPr="0071228C">
        <w:rPr>
          <w:noProof/>
        </w:rPr>
        <w:t>azie jako substancje zanieczyszczające wody powierzchniowe, Wspólne Centrum Badawcze Komisji (JRC), wspierane przez podgrupy ekspertów</w:t>
      </w:r>
      <w:r w:rsidR="00CC55C0" w:rsidRPr="0071228C">
        <w:rPr>
          <w:noProof/>
        </w:rPr>
        <w:t xml:space="preserve"> z</w:t>
      </w:r>
      <w:r w:rsidR="00CC55C0">
        <w:rPr>
          <w:noProof/>
        </w:rPr>
        <w:t> </w:t>
      </w:r>
      <w:r w:rsidR="00CC55C0" w:rsidRPr="0071228C">
        <w:rPr>
          <w:noProof/>
        </w:rPr>
        <w:t>pań</w:t>
      </w:r>
      <w:r w:rsidRPr="0071228C">
        <w:rPr>
          <w:noProof/>
        </w:rPr>
        <w:t>stw członkowskich</w:t>
      </w:r>
      <w:r w:rsidR="00CC55C0" w:rsidRPr="0071228C">
        <w:rPr>
          <w:noProof/>
        </w:rPr>
        <w:t xml:space="preserve"> i</w:t>
      </w:r>
      <w:r w:rsidR="00CC55C0">
        <w:rPr>
          <w:noProof/>
        </w:rPr>
        <w:t> </w:t>
      </w:r>
      <w:r w:rsidR="00CC55C0" w:rsidRPr="0071228C">
        <w:rPr>
          <w:noProof/>
        </w:rPr>
        <w:t>zai</w:t>
      </w:r>
      <w:r w:rsidRPr="0071228C">
        <w:rPr>
          <w:noProof/>
        </w:rPr>
        <w:t>nteresowanych stron, przygotowało obszerną dokumentację techniczną. Ponadto</w:t>
      </w:r>
      <w:r w:rsidR="00CC55C0" w:rsidRPr="0071228C">
        <w:rPr>
          <w:noProof/>
        </w:rPr>
        <w:t xml:space="preserve"> w</w:t>
      </w:r>
      <w:r w:rsidR="00CC55C0">
        <w:rPr>
          <w:noProof/>
        </w:rPr>
        <w:t> </w:t>
      </w:r>
      <w:r w:rsidR="00CC55C0" w:rsidRPr="0071228C">
        <w:rPr>
          <w:noProof/>
        </w:rPr>
        <w:t>ram</w:t>
      </w:r>
      <w:r w:rsidRPr="0071228C">
        <w:rPr>
          <w:noProof/>
        </w:rPr>
        <w:t>ach przeglądu dokonanego przez Komitet Naukowy ds. Zagrożeń dla Zdrowia</w:t>
      </w:r>
      <w:r w:rsidR="00CC55C0" w:rsidRPr="0071228C">
        <w:rPr>
          <w:noProof/>
        </w:rPr>
        <w:t xml:space="preserve"> i</w:t>
      </w:r>
      <w:r w:rsidR="00CC55C0">
        <w:rPr>
          <w:noProof/>
        </w:rPr>
        <w:t> </w:t>
      </w:r>
      <w:r w:rsidR="00CC55C0" w:rsidRPr="0071228C">
        <w:rPr>
          <w:noProof/>
        </w:rPr>
        <w:t>Śro</w:t>
      </w:r>
      <w:r w:rsidRPr="0071228C">
        <w:rPr>
          <w:noProof/>
        </w:rPr>
        <w:t>dowiska oraz Pojawiających się Zagrożeń opublikowano wstępne opinie (z zachowaniem czterotygodniowego okresu na zgłaszanie uwag), przy czym wyniki uwzględniono</w:t>
      </w:r>
      <w:r w:rsidR="00CC55C0" w:rsidRPr="0071228C">
        <w:rPr>
          <w:noProof/>
        </w:rPr>
        <w:t xml:space="preserve"> w</w:t>
      </w:r>
      <w:r w:rsidR="00CC55C0">
        <w:rPr>
          <w:noProof/>
        </w:rPr>
        <w:t> </w:t>
      </w:r>
      <w:r w:rsidR="00CC55C0" w:rsidRPr="0071228C">
        <w:rPr>
          <w:noProof/>
        </w:rPr>
        <w:t>opi</w:t>
      </w:r>
      <w:r w:rsidRPr="0071228C">
        <w:rPr>
          <w:noProof/>
        </w:rPr>
        <w:t>nii Komitetu. Przegląd szeregu substancji nie został jeszcze zakończony</w:t>
      </w:r>
      <w:r w:rsidR="00CC55C0" w:rsidRPr="0071228C">
        <w:rPr>
          <w:noProof/>
        </w:rPr>
        <w:t>.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proponowane wartości oznaczono jako „podlegające potwierdzeniu</w:t>
      </w:r>
      <w:r w:rsidR="00CC55C0" w:rsidRPr="0071228C">
        <w:rPr>
          <w:noProof/>
        </w:rPr>
        <w:t xml:space="preserve"> w</w:t>
      </w:r>
      <w:r w:rsidR="00CC55C0">
        <w:rPr>
          <w:noProof/>
        </w:rPr>
        <w:t> </w:t>
      </w:r>
      <w:r w:rsidR="00CC55C0" w:rsidRPr="0071228C">
        <w:rPr>
          <w:noProof/>
        </w:rPr>
        <w:t>świ</w:t>
      </w:r>
      <w:r w:rsidRPr="0071228C">
        <w:rPr>
          <w:noProof/>
        </w:rPr>
        <w:t>etle opinii,</w:t>
      </w:r>
      <w:r w:rsidR="00CC55C0" w:rsidRPr="0071228C">
        <w:rPr>
          <w:noProof/>
        </w:rPr>
        <w:t xml:space="preserve"> o</w:t>
      </w:r>
      <w:r w:rsidR="00CC55C0">
        <w:rPr>
          <w:noProof/>
        </w:rPr>
        <w:t> </w:t>
      </w:r>
      <w:r w:rsidR="00CC55C0" w:rsidRPr="0071228C">
        <w:rPr>
          <w:noProof/>
        </w:rPr>
        <w:t>któ</w:t>
      </w:r>
      <w:r w:rsidRPr="0071228C">
        <w:rPr>
          <w:noProof/>
        </w:rPr>
        <w:t>rą zwrócono się do Komitetu Naukowego ds. Zagrożeń dla Zdrowia</w:t>
      </w:r>
      <w:r w:rsidR="00CC55C0" w:rsidRPr="0071228C">
        <w:rPr>
          <w:noProof/>
        </w:rPr>
        <w:t xml:space="preserve"> i</w:t>
      </w:r>
      <w:r w:rsidR="00CC55C0">
        <w:rPr>
          <w:noProof/>
        </w:rPr>
        <w:t> </w:t>
      </w:r>
      <w:r w:rsidR="00CC55C0" w:rsidRPr="0071228C">
        <w:rPr>
          <w:noProof/>
        </w:rPr>
        <w:t>Śro</w:t>
      </w:r>
      <w:r w:rsidRPr="0071228C">
        <w:rPr>
          <w:noProof/>
        </w:rPr>
        <w:t>dowiska oraz Pojawiających się Zagrożeń”. Wszystkie ostatecznie zaproponowane wartości będą</w:t>
      </w:r>
      <w:r w:rsidR="00CC55C0" w:rsidRPr="0071228C">
        <w:rPr>
          <w:noProof/>
        </w:rPr>
        <w:t xml:space="preserve"> w</w:t>
      </w:r>
      <w:r w:rsidR="00CC55C0">
        <w:rPr>
          <w:noProof/>
        </w:rPr>
        <w:t> </w:t>
      </w:r>
      <w:r w:rsidR="00CC55C0" w:rsidRPr="0071228C">
        <w:rPr>
          <w:noProof/>
        </w:rPr>
        <w:t>peł</w:t>
      </w:r>
      <w:r w:rsidRPr="0071228C">
        <w:rPr>
          <w:noProof/>
        </w:rPr>
        <w:t>ni spójne</w:t>
      </w:r>
      <w:r w:rsidR="00CC55C0" w:rsidRPr="0071228C">
        <w:rPr>
          <w:noProof/>
        </w:rPr>
        <w:t xml:space="preserve"> z</w:t>
      </w:r>
      <w:r w:rsidR="00CC55C0">
        <w:rPr>
          <w:noProof/>
        </w:rPr>
        <w:t> </w:t>
      </w:r>
      <w:r w:rsidR="00CC55C0" w:rsidRPr="0071228C">
        <w:rPr>
          <w:noProof/>
        </w:rPr>
        <w:t>opi</w:t>
      </w:r>
      <w:r w:rsidRPr="0071228C">
        <w:rPr>
          <w:noProof/>
        </w:rPr>
        <w:t xml:space="preserve">niami naukowymi. </w:t>
      </w:r>
    </w:p>
    <w:p w14:paraId="62D96149" w14:textId="4A1DA847"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Gromadzenie</w:t>
      </w:r>
      <w:r w:rsidR="00CC55C0" w:rsidRPr="0071228C">
        <w:rPr>
          <w:noProof/>
          <w:u w:color="000000"/>
          <w:bdr w:val="nil"/>
        </w:rPr>
        <w:t xml:space="preserve"> i</w:t>
      </w:r>
      <w:r w:rsidR="00CC55C0">
        <w:rPr>
          <w:noProof/>
          <w:u w:color="000000"/>
          <w:bdr w:val="nil"/>
        </w:rPr>
        <w:t> </w:t>
      </w:r>
      <w:r w:rsidR="00CC55C0" w:rsidRPr="0071228C">
        <w:rPr>
          <w:noProof/>
          <w:u w:color="000000"/>
          <w:bdr w:val="nil"/>
        </w:rPr>
        <w:t>wyk</w:t>
      </w:r>
      <w:r w:rsidRPr="0071228C">
        <w:rPr>
          <w:noProof/>
          <w:u w:color="000000"/>
          <w:bdr w:val="nil"/>
        </w:rPr>
        <w:t>orzystanie wiedzy eksperckiej</w:t>
      </w:r>
    </w:p>
    <w:p w14:paraId="48762029" w14:textId="715BB4F7" w:rsidR="0047629D" w:rsidRPr="0071228C" w:rsidRDefault="00290AB6" w:rsidP="00ED7B21">
      <w:pPr>
        <w:pStyle w:val="Text1"/>
        <w:ind w:left="0"/>
        <w:rPr>
          <w:rFonts w:eastAsia="Arial Unicode MS"/>
          <w:noProof/>
        </w:rPr>
      </w:pPr>
      <w:r w:rsidRPr="0071228C">
        <w:rPr>
          <w:noProof/>
        </w:rPr>
        <w:t>JRC zapewniło wewnętrzną wiedzę ekspercką,</w:t>
      </w:r>
      <w:r w:rsidR="00CC55C0" w:rsidRPr="0071228C">
        <w:rPr>
          <w:noProof/>
        </w:rPr>
        <w:t xml:space="preserve"> w</w:t>
      </w:r>
      <w:r w:rsidR="00CC55C0">
        <w:rPr>
          <w:noProof/>
        </w:rPr>
        <w:t> </w:t>
      </w:r>
      <w:r w:rsidR="00CC55C0" w:rsidRPr="0071228C">
        <w:rPr>
          <w:noProof/>
        </w:rPr>
        <w:t>szc</w:t>
      </w:r>
      <w:r w:rsidRPr="0071228C">
        <w:rPr>
          <w:noProof/>
        </w:rPr>
        <w:t>zególności</w:t>
      </w:r>
      <w:r w:rsidR="00CC55C0" w:rsidRPr="0071228C">
        <w:rPr>
          <w:noProof/>
        </w:rPr>
        <w:t xml:space="preserve"> w</w:t>
      </w:r>
      <w:r w:rsidR="00CC55C0">
        <w:rPr>
          <w:noProof/>
        </w:rPr>
        <w:t> </w:t>
      </w:r>
      <w:r w:rsidR="00CC55C0" w:rsidRPr="0071228C">
        <w:rPr>
          <w:noProof/>
        </w:rPr>
        <w:t>zak</w:t>
      </w:r>
      <w:r w:rsidRPr="0071228C">
        <w:rPr>
          <w:noProof/>
        </w:rPr>
        <w:t>resie wyboru substancji zanieczyszczających wody powierzchniowe</w:t>
      </w:r>
      <w:r w:rsidR="00CC55C0" w:rsidRPr="0071228C">
        <w:rPr>
          <w:noProof/>
        </w:rPr>
        <w:t xml:space="preserve"> i</w:t>
      </w:r>
      <w:r w:rsidR="00CC55C0">
        <w:rPr>
          <w:noProof/>
        </w:rPr>
        <w:t> </w:t>
      </w:r>
      <w:r w:rsidR="00CC55C0" w:rsidRPr="0071228C">
        <w:rPr>
          <w:noProof/>
        </w:rPr>
        <w:t>ust</w:t>
      </w:r>
      <w:r w:rsidRPr="0071228C">
        <w:rPr>
          <w:noProof/>
        </w:rPr>
        <w:t>alenia środowiskowych norm jakości. Zewnętrzną techniczną wiedzę ekspercką,</w:t>
      </w:r>
      <w:r w:rsidR="00CC55C0" w:rsidRPr="0071228C">
        <w:rPr>
          <w:noProof/>
        </w:rPr>
        <w:t xml:space="preserve"> w</w:t>
      </w:r>
      <w:r w:rsidR="00CC55C0">
        <w:rPr>
          <w:noProof/>
        </w:rPr>
        <w:t> </w:t>
      </w:r>
      <w:r w:rsidR="00CC55C0" w:rsidRPr="0071228C">
        <w:rPr>
          <w:noProof/>
        </w:rPr>
        <w:t>tym</w:t>
      </w:r>
      <w:r w:rsidRPr="0071228C">
        <w:rPr>
          <w:noProof/>
        </w:rPr>
        <w:t xml:space="preserve"> na temat substancji zanieczyszczających wody podziemne, zapewnili eksperci</w:t>
      </w:r>
      <w:r w:rsidR="00CC55C0" w:rsidRPr="0071228C">
        <w:rPr>
          <w:noProof/>
        </w:rPr>
        <w:t xml:space="preserve"> z</w:t>
      </w:r>
      <w:r w:rsidR="00CC55C0">
        <w:rPr>
          <w:noProof/>
        </w:rPr>
        <w:t> </w:t>
      </w:r>
      <w:r w:rsidR="00CC55C0" w:rsidRPr="0071228C">
        <w:rPr>
          <w:noProof/>
        </w:rPr>
        <w:t>gru</w:t>
      </w:r>
      <w:r w:rsidRPr="0071228C">
        <w:rPr>
          <w:noProof/>
        </w:rPr>
        <w:t>p roboczych ds. chemikaliów</w:t>
      </w:r>
      <w:r w:rsidR="00CC55C0" w:rsidRPr="0071228C">
        <w:rPr>
          <w:noProof/>
        </w:rPr>
        <w:t xml:space="preserve"> i</w:t>
      </w:r>
      <w:r w:rsidR="00CC55C0">
        <w:rPr>
          <w:noProof/>
        </w:rPr>
        <w:t> </w:t>
      </w:r>
      <w:r w:rsidR="00CC55C0" w:rsidRPr="0071228C">
        <w:rPr>
          <w:noProof/>
        </w:rPr>
        <w:t>wód</w:t>
      </w:r>
      <w:r w:rsidRPr="0071228C">
        <w:rPr>
          <w:noProof/>
        </w:rPr>
        <w:t xml:space="preserve"> podziemnych. Ocenę skutków przeprowadzoną przez Komisję poparto badaniem przygotowanym przez konsultantów zewnętrznych, którzy dokonali przeglądu skutków gospodarczych, społecznych</w:t>
      </w:r>
      <w:r w:rsidR="00CC55C0" w:rsidRPr="0071228C">
        <w:rPr>
          <w:noProof/>
        </w:rPr>
        <w:t xml:space="preserve"> i</w:t>
      </w:r>
      <w:r w:rsidR="00CC55C0">
        <w:rPr>
          <w:noProof/>
        </w:rPr>
        <w:t> </w:t>
      </w:r>
      <w:r w:rsidR="00CC55C0" w:rsidRPr="0071228C">
        <w:rPr>
          <w:noProof/>
        </w:rPr>
        <w:t>śro</w:t>
      </w:r>
      <w:r w:rsidRPr="0071228C">
        <w:rPr>
          <w:noProof/>
        </w:rPr>
        <w:t>dowiskowych szeregu potencjalnych wariantów strategicznych, biorąc pod uwagę przewidywane skutki istniejących</w:t>
      </w:r>
      <w:r w:rsidR="00CC55C0" w:rsidRPr="0071228C">
        <w:rPr>
          <w:noProof/>
        </w:rPr>
        <w:t xml:space="preserve"> i</w:t>
      </w:r>
      <w:r w:rsidR="00CC55C0">
        <w:rPr>
          <w:noProof/>
        </w:rPr>
        <w:t> </w:t>
      </w:r>
      <w:r w:rsidR="00CC55C0" w:rsidRPr="0071228C">
        <w:rPr>
          <w:noProof/>
        </w:rPr>
        <w:t>pla</w:t>
      </w:r>
      <w:r w:rsidRPr="0071228C">
        <w:rPr>
          <w:noProof/>
        </w:rPr>
        <w:t>nowanych polityk na szczeblu UE oraz wkład zainteresowanych stron. Dokumentacja JRC dotycząca substancji, sprawozdania grupy roboczej ds. wód gruntowych, sprawozdanie</w:t>
      </w:r>
      <w:r w:rsidR="00CC55C0" w:rsidRPr="0071228C">
        <w:rPr>
          <w:noProof/>
        </w:rPr>
        <w:t xml:space="preserve"> z</w:t>
      </w:r>
      <w:r w:rsidR="00CC55C0">
        <w:rPr>
          <w:noProof/>
        </w:rPr>
        <w:t> </w:t>
      </w:r>
      <w:r w:rsidR="00CC55C0" w:rsidRPr="0071228C">
        <w:rPr>
          <w:noProof/>
        </w:rPr>
        <w:t>bad</w:t>
      </w:r>
      <w:r w:rsidRPr="0071228C">
        <w:rPr>
          <w:noProof/>
        </w:rPr>
        <w:t>ań przeprowadzonych przez konsultantów oraz sprawozdania</w:t>
      </w:r>
      <w:r w:rsidR="00CC55C0" w:rsidRPr="0071228C">
        <w:rPr>
          <w:noProof/>
        </w:rPr>
        <w:t xml:space="preserve"> z</w:t>
      </w:r>
      <w:r w:rsidR="00CC55C0">
        <w:rPr>
          <w:noProof/>
        </w:rPr>
        <w:t> </w:t>
      </w:r>
      <w:r w:rsidR="00CC55C0" w:rsidRPr="0071228C">
        <w:rPr>
          <w:noProof/>
        </w:rPr>
        <w:t>war</w:t>
      </w:r>
      <w:r w:rsidRPr="0071228C">
        <w:rPr>
          <w:noProof/>
        </w:rPr>
        <w:t>sztatów dla zainteresowanych stron są dostępne</w:t>
      </w:r>
      <w:r w:rsidR="00CC55C0" w:rsidRPr="0071228C">
        <w:rPr>
          <w:noProof/>
        </w:rPr>
        <w:t xml:space="preserve"> w</w:t>
      </w:r>
      <w:r w:rsidR="00CC55C0">
        <w:rPr>
          <w:noProof/>
        </w:rPr>
        <w:t> </w:t>
      </w:r>
      <w:r w:rsidR="00CC55C0" w:rsidRPr="0071228C">
        <w:rPr>
          <w:noProof/>
        </w:rPr>
        <w:t>Cen</w:t>
      </w:r>
      <w:r w:rsidRPr="0071228C">
        <w:rPr>
          <w:noProof/>
        </w:rPr>
        <w:t>trum zasobów dotyczących komunikacji</w:t>
      </w:r>
      <w:r w:rsidR="00CC55C0" w:rsidRPr="0071228C">
        <w:rPr>
          <w:noProof/>
        </w:rPr>
        <w:t xml:space="preserve"> i</w:t>
      </w:r>
      <w:r w:rsidR="00CC55C0">
        <w:rPr>
          <w:noProof/>
        </w:rPr>
        <w:t> </w:t>
      </w:r>
      <w:r w:rsidR="00CC55C0" w:rsidRPr="0071228C">
        <w:rPr>
          <w:noProof/>
        </w:rPr>
        <w:t>inf</w:t>
      </w:r>
      <w:r w:rsidRPr="0071228C">
        <w:rPr>
          <w:noProof/>
        </w:rPr>
        <w:t>ormacji dla organów administracji, przedsiębiorstw</w:t>
      </w:r>
      <w:r w:rsidR="00CC55C0" w:rsidRPr="0071228C">
        <w:rPr>
          <w:noProof/>
        </w:rPr>
        <w:t xml:space="preserve"> i</w:t>
      </w:r>
      <w:r w:rsidR="00CC55C0">
        <w:rPr>
          <w:noProof/>
        </w:rPr>
        <w:t> </w:t>
      </w:r>
      <w:r w:rsidR="00CC55C0" w:rsidRPr="0071228C">
        <w:rPr>
          <w:noProof/>
        </w:rPr>
        <w:t>oby</w:t>
      </w:r>
      <w:r w:rsidRPr="0071228C">
        <w:rPr>
          <w:noProof/>
        </w:rPr>
        <w:t>wateli</w:t>
      </w:r>
      <w:r w:rsidRPr="0071228C">
        <w:rPr>
          <w:rStyle w:val="FootnoteReference"/>
          <w:noProof/>
          <w:lang w:eastAsia="en-GB"/>
        </w:rPr>
        <w:footnoteReference w:id="32"/>
      </w:r>
      <w:r w:rsidRPr="0071228C">
        <w:rPr>
          <w:noProof/>
        </w:rPr>
        <w:t>.</w:t>
      </w:r>
    </w:p>
    <w:p w14:paraId="76BC9B49" w14:textId="77777777" w:rsidR="00663424" w:rsidRPr="0071228C" w:rsidRDefault="00663424" w:rsidP="00663424">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Ocena skutków</w:t>
      </w:r>
    </w:p>
    <w:p w14:paraId="3C9E29EB" w14:textId="2065D633" w:rsidR="000A5ED7" w:rsidRPr="0071228C" w:rsidRDefault="002821B9" w:rsidP="00C63E77">
      <w:pPr>
        <w:pBdr>
          <w:top w:val="nil"/>
          <w:left w:val="nil"/>
          <w:bottom w:val="nil"/>
          <w:right w:val="nil"/>
          <w:between w:val="nil"/>
          <w:bar w:val="nil"/>
        </w:pBdr>
        <w:spacing w:before="0" w:after="240"/>
        <w:rPr>
          <w:noProof/>
        </w:rPr>
      </w:pPr>
      <w:r w:rsidRPr="0071228C">
        <w:rPr>
          <w:noProof/>
        </w:rPr>
        <w:t>W ramach oceny skutków przeanalizowano trzy grupy wariantów, tj. warianty dotyczące wód powierzchniowych, warianty dotyczące wód podziemnych oraz warianty przekrojowe</w:t>
      </w:r>
      <w:r w:rsidR="00CC55C0" w:rsidRPr="0071228C">
        <w:rPr>
          <w:noProof/>
        </w:rPr>
        <w:t>. W</w:t>
      </w:r>
      <w:r w:rsidR="00CC55C0">
        <w:rPr>
          <w:noProof/>
        </w:rPr>
        <w:t> </w:t>
      </w:r>
      <w:r w:rsidR="00CC55C0" w:rsidRPr="0071228C">
        <w:rPr>
          <w:noProof/>
        </w:rPr>
        <w:t>prz</w:t>
      </w:r>
      <w:r w:rsidRPr="0071228C">
        <w:rPr>
          <w:noProof/>
        </w:rPr>
        <w:t>ypadku wód powierzchniowych oceniono wpływ wprowadzenia szeregu substancji (spośród poddanych przeglądowi produktów farmaceutycznych, pestycydów, chemikaliów przemysłowych</w:t>
      </w:r>
      <w:r w:rsidR="00CC55C0" w:rsidRPr="0071228C">
        <w:rPr>
          <w:noProof/>
        </w:rPr>
        <w:t xml:space="preserve"> i</w:t>
      </w:r>
      <w:r w:rsidR="00CC55C0">
        <w:rPr>
          <w:noProof/>
        </w:rPr>
        <w:t> </w:t>
      </w:r>
      <w:r w:rsidR="00CC55C0" w:rsidRPr="0071228C">
        <w:rPr>
          <w:noProof/>
        </w:rPr>
        <w:t>met</w:t>
      </w:r>
      <w:r w:rsidRPr="0071228C">
        <w:rPr>
          <w:noProof/>
        </w:rPr>
        <w:t>ali) do wykazu substancji priorytetowych,</w:t>
      </w:r>
      <w:r w:rsidR="00CC55C0" w:rsidRPr="0071228C">
        <w:rPr>
          <w:noProof/>
        </w:rPr>
        <w:t xml:space="preserve"> a</w:t>
      </w:r>
      <w:r w:rsidR="00CC55C0">
        <w:rPr>
          <w:noProof/>
        </w:rPr>
        <w:t> </w:t>
      </w:r>
      <w:r w:rsidR="00CC55C0" w:rsidRPr="0071228C">
        <w:rPr>
          <w:noProof/>
        </w:rPr>
        <w:t>tym</w:t>
      </w:r>
      <w:r w:rsidRPr="0071228C">
        <w:rPr>
          <w:noProof/>
        </w:rPr>
        <w:t xml:space="preserve"> samym ustanowienia dla nich środowiskowych norm jakości</w:t>
      </w:r>
      <w:r w:rsidR="00CC55C0" w:rsidRPr="0071228C">
        <w:rPr>
          <w:noProof/>
        </w:rPr>
        <w:t xml:space="preserve"> w</w:t>
      </w:r>
      <w:r w:rsidR="00CC55C0">
        <w:rPr>
          <w:noProof/>
        </w:rPr>
        <w:t> </w:t>
      </w:r>
      <w:r w:rsidR="00CC55C0" w:rsidRPr="0071228C">
        <w:rPr>
          <w:noProof/>
        </w:rPr>
        <w:t>cał</w:t>
      </w:r>
      <w:r w:rsidRPr="0071228C">
        <w:rPr>
          <w:noProof/>
        </w:rPr>
        <w:t>ej UE</w:t>
      </w:r>
      <w:r w:rsidR="00CC55C0" w:rsidRPr="0071228C">
        <w:rPr>
          <w:noProof/>
        </w:rPr>
        <w:t>. W</w:t>
      </w:r>
      <w:r w:rsidR="00CC55C0">
        <w:rPr>
          <w:noProof/>
        </w:rPr>
        <w:t> </w:t>
      </w:r>
      <w:r w:rsidR="00CC55C0" w:rsidRPr="0071228C">
        <w:rPr>
          <w:noProof/>
        </w:rPr>
        <w:t>prz</w:t>
      </w:r>
      <w:r w:rsidRPr="0071228C">
        <w:rPr>
          <w:noProof/>
        </w:rPr>
        <w:t>ypadku szeregu istniejących substancji priorytetowych dokonano przeglądu wpływu zmiany ich środowiskowych norm jakości (na podstawie nowych dowodów naukowych)</w:t>
      </w:r>
      <w:r w:rsidR="00CC55C0" w:rsidRPr="0071228C">
        <w:rPr>
          <w:noProof/>
        </w:rPr>
        <w:t>. W</w:t>
      </w:r>
      <w:r w:rsidR="00CC55C0">
        <w:rPr>
          <w:noProof/>
        </w:rPr>
        <w:t> </w:t>
      </w:r>
      <w:r w:rsidR="00CC55C0" w:rsidRPr="0071228C">
        <w:rPr>
          <w:noProof/>
        </w:rPr>
        <w:t>prz</w:t>
      </w:r>
      <w:r w:rsidRPr="0071228C">
        <w:rPr>
          <w:noProof/>
        </w:rPr>
        <w:t>ypadku niektórych innych istniejących substancji priorytetowych zbadano wpływ usunięcia ich</w:t>
      </w:r>
      <w:r w:rsidR="00CC55C0" w:rsidRPr="0071228C">
        <w:rPr>
          <w:noProof/>
        </w:rPr>
        <w:t xml:space="preserve"> z</w:t>
      </w:r>
      <w:r w:rsidR="00CC55C0">
        <w:rPr>
          <w:noProof/>
        </w:rPr>
        <w:t> </w:t>
      </w:r>
      <w:r w:rsidR="00CC55C0" w:rsidRPr="0071228C">
        <w:rPr>
          <w:noProof/>
        </w:rPr>
        <w:t>wyk</w:t>
      </w:r>
      <w:r w:rsidRPr="0071228C">
        <w:rPr>
          <w:noProof/>
        </w:rPr>
        <w:t>azu</w:t>
      </w:r>
      <w:r w:rsidR="00CC55C0" w:rsidRPr="0071228C">
        <w:rPr>
          <w:noProof/>
        </w:rPr>
        <w:t>. W</w:t>
      </w:r>
      <w:r w:rsidR="00CC55C0">
        <w:rPr>
          <w:noProof/>
        </w:rPr>
        <w:t> </w:t>
      </w:r>
      <w:r w:rsidR="00CC55C0" w:rsidRPr="0071228C">
        <w:rPr>
          <w:noProof/>
        </w:rPr>
        <w:t>prz</w:t>
      </w:r>
      <w:r w:rsidRPr="0071228C">
        <w:rPr>
          <w:noProof/>
        </w:rPr>
        <w:t>ypadku wód gruntowych</w:t>
      </w:r>
      <w:r w:rsidR="00CC55C0" w:rsidRPr="0071228C">
        <w:rPr>
          <w:noProof/>
        </w:rPr>
        <w:t xml:space="preserve"> w</w:t>
      </w:r>
      <w:r w:rsidR="00CC55C0">
        <w:rPr>
          <w:noProof/>
        </w:rPr>
        <w:t> </w:t>
      </w:r>
      <w:r w:rsidR="00CC55C0" w:rsidRPr="0071228C">
        <w:rPr>
          <w:noProof/>
        </w:rPr>
        <w:t>oce</w:t>
      </w:r>
      <w:r w:rsidRPr="0071228C">
        <w:rPr>
          <w:noProof/>
        </w:rPr>
        <w:t>nie skutków dokonano oceny wpływu wprowadzenia do wykazu określonych (grup) substancji,</w:t>
      </w:r>
      <w:r w:rsidR="00CC55C0" w:rsidRPr="0071228C">
        <w:rPr>
          <w:noProof/>
        </w:rPr>
        <w:t xml:space="preserve"> a</w:t>
      </w:r>
      <w:r w:rsidR="00CC55C0">
        <w:rPr>
          <w:noProof/>
        </w:rPr>
        <w:t> </w:t>
      </w:r>
      <w:r w:rsidR="00CC55C0" w:rsidRPr="0071228C">
        <w:rPr>
          <w:noProof/>
        </w:rPr>
        <w:t>mia</w:t>
      </w:r>
      <w:r w:rsidRPr="0071228C">
        <w:rPr>
          <w:noProof/>
        </w:rPr>
        <w:t>nowicie PFAS, innych niż znaczące metabolitów pestycydów (nrM)</w:t>
      </w:r>
      <w:r w:rsidR="00CC55C0" w:rsidRPr="0071228C">
        <w:rPr>
          <w:noProof/>
        </w:rPr>
        <w:t xml:space="preserve"> i</w:t>
      </w:r>
      <w:r w:rsidR="00CC55C0">
        <w:rPr>
          <w:noProof/>
        </w:rPr>
        <w:t> </w:t>
      </w:r>
      <w:r w:rsidR="00CC55C0" w:rsidRPr="0071228C">
        <w:rPr>
          <w:noProof/>
        </w:rPr>
        <w:t>pro</w:t>
      </w:r>
      <w:r w:rsidRPr="0071228C">
        <w:rPr>
          <w:noProof/>
        </w:rPr>
        <w:t>duktów farmaceutycznych. Ponadto</w:t>
      </w:r>
      <w:r w:rsidR="00CC55C0" w:rsidRPr="0071228C">
        <w:rPr>
          <w:noProof/>
        </w:rPr>
        <w:t xml:space="preserve"> w</w:t>
      </w:r>
      <w:r w:rsidR="00CC55C0">
        <w:rPr>
          <w:noProof/>
        </w:rPr>
        <w:t> </w:t>
      </w:r>
      <w:r w:rsidR="00CC55C0" w:rsidRPr="0071228C">
        <w:rPr>
          <w:noProof/>
        </w:rPr>
        <w:t>ram</w:t>
      </w:r>
      <w:r w:rsidRPr="0071228C">
        <w:rPr>
          <w:noProof/>
        </w:rPr>
        <w:t>ach oceny skutków dokonano przeglądu szeregu wariantów mających na celu poprawę cyfryzacji, usprawnienie administracji</w:t>
      </w:r>
      <w:r w:rsidR="00CC55C0" w:rsidRPr="0071228C">
        <w:rPr>
          <w:noProof/>
        </w:rPr>
        <w:t xml:space="preserve"> i</w:t>
      </w:r>
      <w:r w:rsidR="00CC55C0">
        <w:rPr>
          <w:noProof/>
        </w:rPr>
        <w:t> </w:t>
      </w:r>
      <w:r w:rsidR="00CC55C0" w:rsidRPr="0071228C">
        <w:rPr>
          <w:noProof/>
        </w:rPr>
        <w:t>zar</w:t>
      </w:r>
      <w:r w:rsidRPr="0071228C">
        <w:rPr>
          <w:noProof/>
        </w:rPr>
        <w:t>ządzanie ryzykiem</w:t>
      </w:r>
      <w:r w:rsidR="00CC55C0" w:rsidRPr="0071228C">
        <w:rPr>
          <w:noProof/>
        </w:rPr>
        <w:t xml:space="preserve"> w</w:t>
      </w:r>
      <w:r w:rsidR="00CC55C0">
        <w:rPr>
          <w:noProof/>
        </w:rPr>
        <w:t> </w:t>
      </w:r>
      <w:r w:rsidR="00CC55C0" w:rsidRPr="0071228C">
        <w:rPr>
          <w:noProof/>
        </w:rPr>
        <w:t>zak</w:t>
      </w:r>
      <w:r w:rsidRPr="0071228C">
        <w:rPr>
          <w:noProof/>
        </w:rPr>
        <w:t xml:space="preserve">resie zanieczyszczeń wody. </w:t>
      </w:r>
    </w:p>
    <w:p w14:paraId="1ABAF384" w14:textId="2E92469B" w:rsidR="000A5ED7" w:rsidRPr="0071228C" w:rsidRDefault="00F10F71" w:rsidP="000A5ED7">
      <w:pPr>
        <w:pBdr>
          <w:top w:val="nil"/>
          <w:left w:val="nil"/>
          <w:bottom w:val="nil"/>
          <w:right w:val="nil"/>
          <w:between w:val="nil"/>
          <w:bar w:val="nil"/>
        </w:pBdr>
        <w:spacing w:before="0" w:after="240"/>
        <w:rPr>
          <w:noProof/>
        </w:rPr>
      </w:pPr>
      <w:r w:rsidRPr="0071228C">
        <w:rPr>
          <w:noProof/>
        </w:rPr>
        <w:t>Do głównych źródeł zanieczyszczeń zidentyfikowanymi substancjami należą procesy produkcji chemicznej (emisje bezpośrednie, które powstają</w:t>
      </w:r>
      <w:r w:rsidR="00CC55C0" w:rsidRPr="0071228C">
        <w:rPr>
          <w:noProof/>
        </w:rPr>
        <w:t xml:space="preserve"> w</w:t>
      </w:r>
      <w:r w:rsidR="00CC55C0">
        <w:rPr>
          <w:noProof/>
        </w:rPr>
        <w:t> </w:t>
      </w:r>
      <w:r w:rsidR="00CC55C0" w:rsidRPr="0071228C">
        <w:rPr>
          <w:noProof/>
        </w:rPr>
        <w:t>wyn</w:t>
      </w:r>
      <w:r w:rsidRPr="0071228C">
        <w:rPr>
          <w:noProof/>
        </w:rPr>
        <w:t>iku produkcji drewna, masy celulozowej, stali, spalania, tekstyliów, tworzyw sztucznych itp.); przepływy zrzutów ścieków obejmujące produkty farmaceutyczne</w:t>
      </w:r>
      <w:r w:rsidR="00CC55C0" w:rsidRPr="0071228C">
        <w:rPr>
          <w:noProof/>
        </w:rPr>
        <w:t xml:space="preserve"> i</w:t>
      </w:r>
      <w:r w:rsidR="00CC55C0">
        <w:rPr>
          <w:noProof/>
        </w:rPr>
        <w:t> </w:t>
      </w:r>
      <w:r w:rsidR="00CC55C0" w:rsidRPr="0071228C">
        <w:rPr>
          <w:noProof/>
        </w:rPr>
        <w:t>che</w:t>
      </w:r>
      <w:r w:rsidRPr="0071228C">
        <w:rPr>
          <w:noProof/>
        </w:rPr>
        <w:t>mikalia jako popłuczyny po tkaninach, produkty konsumenckie, środki czystości, produkty higieny osobistej; pośrednie zrzuty wynikające ze stosowania</w:t>
      </w:r>
      <w:r w:rsidR="00CC55C0" w:rsidRPr="0071228C">
        <w:rPr>
          <w:noProof/>
        </w:rPr>
        <w:t xml:space="preserve"> w</w:t>
      </w:r>
      <w:r w:rsidR="00CC55C0">
        <w:rPr>
          <w:noProof/>
        </w:rPr>
        <w:t> </w:t>
      </w:r>
      <w:r w:rsidR="00CC55C0" w:rsidRPr="0071228C">
        <w:rPr>
          <w:noProof/>
        </w:rPr>
        <w:t>rol</w:t>
      </w:r>
      <w:r w:rsidRPr="0071228C">
        <w:rPr>
          <w:noProof/>
        </w:rPr>
        <w:t>nictwie pestycydów, produktów biobójczych</w:t>
      </w:r>
      <w:r w:rsidR="00CC55C0" w:rsidRPr="0071228C">
        <w:rPr>
          <w:noProof/>
        </w:rPr>
        <w:t xml:space="preserve"> i</w:t>
      </w:r>
      <w:r w:rsidR="00CC55C0">
        <w:rPr>
          <w:noProof/>
        </w:rPr>
        <w:t> </w:t>
      </w:r>
      <w:r w:rsidR="00CC55C0" w:rsidRPr="0071228C">
        <w:rPr>
          <w:noProof/>
        </w:rPr>
        <w:t>far</w:t>
      </w:r>
      <w:r w:rsidRPr="0071228C">
        <w:rPr>
          <w:noProof/>
        </w:rPr>
        <w:t>maceutycznych; substancje chemiczne stosowane przy budowie dróg; osadzanie się rtęci</w:t>
      </w:r>
      <w:r w:rsidR="00CC55C0" w:rsidRPr="0071228C">
        <w:rPr>
          <w:noProof/>
        </w:rPr>
        <w:t xml:space="preserve"> z</w:t>
      </w:r>
      <w:r w:rsidR="00CC55C0">
        <w:rPr>
          <w:noProof/>
        </w:rPr>
        <w:t> </w:t>
      </w:r>
      <w:r w:rsidR="00CC55C0" w:rsidRPr="0071228C">
        <w:rPr>
          <w:noProof/>
        </w:rPr>
        <w:t>ins</w:t>
      </w:r>
      <w:r w:rsidRPr="0071228C">
        <w:rPr>
          <w:noProof/>
        </w:rPr>
        <w:t>talacji energetycznego spalania paliw kopalnych oraz osadzanie się PFAS</w:t>
      </w:r>
      <w:r w:rsidR="00CC55C0" w:rsidRPr="0071228C">
        <w:rPr>
          <w:noProof/>
        </w:rPr>
        <w:t xml:space="preserve"> z</w:t>
      </w:r>
      <w:r w:rsidR="00CC55C0">
        <w:rPr>
          <w:noProof/>
        </w:rPr>
        <w:t> </w:t>
      </w:r>
      <w:r w:rsidR="00CC55C0" w:rsidRPr="0071228C">
        <w:rPr>
          <w:noProof/>
        </w:rPr>
        <w:t>pia</w:t>
      </w:r>
      <w:r w:rsidRPr="0071228C">
        <w:rPr>
          <w:noProof/>
        </w:rPr>
        <w:t>n gaśniczych. Wszystkie te źródła</w:t>
      </w:r>
      <w:r w:rsidR="00CC55C0" w:rsidRPr="0071228C">
        <w:rPr>
          <w:noProof/>
        </w:rPr>
        <w:t xml:space="preserve"> i</w:t>
      </w:r>
      <w:r w:rsidR="00CC55C0">
        <w:rPr>
          <w:noProof/>
        </w:rPr>
        <w:t> </w:t>
      </w:r>
      <w:r w:rsidR="00CC55C0" w:rsidRPr="0071228C">
        <w:rPr>
          <w:noProof/>
        </w:rPr>
        <w:t>dro</w:t>
      </w:r>
      <w:r w:rsidRPr="0071228C">
        <w:rPr>
          <w:noProof/>
        </w:rPr>
        <w:t>gi przemieszczania się substancji zanieczyszczających podlegają prawodawstwu,</w:t>
      </w:r>
      <w:r w:rsidR="00CC55C0" w:rsidRPr="0071228C">
        <w:rPr>
          <w:noProof/>
        </w:rPr>
        <w:t xml:space="preserve"> w</w:t>
      </w:r>
      <w:r w:rsidR="00CC55C0">
        <w:rPr>
          <w:noProof/>
        </w:rPr>
        <w:t> </w:t>
      </w:r>
      <w:r w:rsidR="00CC55C0" w:rsidRPr="0071228C">
        <w:rPr>
          <w:noProof/>
        </w:rPr>
        <w:t>tym</w:t>
      </w:r>
      <w:r w:rsidRPr="0071228C">
        <w:rPr>
          <w:noProof/>
        </w:rPr>
        <w:t xml:space="preserve"> przepisom dyrektywy 2010/75/WE</w:t>
      </w:r>
      <w:r w:rsidR="00CC55C0" w:rsidRPr="0071228C">
        <w:rPr>
          <w:noProof/>
        </w:rPr>
        <w:t xml:space="preserve"> w</w:t>
      </w:r>
      <w:r w:rsidR="00CC55C0">
        <w:rPr>
          <w:noProof/>
        </w:rPr>
        <w:t> </w:t>
      </w:r>
      <w:r w:rsidR="00CC55C0" w:rsidRPr="0071228C">
        <w:rPr>
          <w:noProof/>
        </w:rPr>
        <w:t>spr</w:t>
      </w:r>
      <w:r w:rsidRPr="0071228C">
        <w:rPr>
          <w:noProof/>
        </w:rPr>
        <w:t>awie emisji przemysłowych (w trakcie przeglądu), dyrektywy 91/271/EWG dotyczącej oczyszczania ścieków komunalnych (w trakcie przeglądu), dyrektywy 2009/128/WE</w:t>
      </w:r>
      <w:r w:rsidR="00CC55C0" w:rsidRPr="0071228C">
        <w:rPr>
          <w:noProof/>
        </w:rPr>
        <w:t xml:space="preserve"> w</w:t>
      </w:r>
      <w:r w:rsidR="00CC55C0">
        <w:rPr>
          <w:noProof/>
        </w:rPr>
        <w:t> </w:t>
      </w:r>
      <w:r w:rsidR="00CC55C0" w:rsidRPr="0071228C">
        <w:rPr>
          <w:noProof/>
        </w:rPr>
        <w:t>spr</w:t>
      </w:r>
      <w:r w:rsidRPr="0071228C">
        <w:rPr>
          <w:noProof/>
        </w:rPr>
        <w:t>awie zrównoważonego stosowania pestycydów (w trakcie przeglądu), dyrektywy 2001/83/WE</w:t>
      </w:r>
      <w:r w:rsidR="00CC55C0" w:rsidRPr="0071228C">
        <w:rPr>
          <w:noProof/>
        </w:rPr>
        <w:t xml:space="preserve"> w</w:t>
      </w:r>
      <w:r w:rsidR="00CC55C0">
        <w:rPr>
          <w:noProof/>
        </w:rPr>
        <w:t> </w:t>
      </w:r>
      <w:r w:rsidR="00CC55C0" w:rsidRPr="0071228C">
        <w:rPr>
          <w:noProof/>
        </w:rPr>
        <w:t>spr</w:t>
      </w:r>
      <w:r w:rsidRPr="0071228C">
        <w:rPr>
          <w:noProof/>
        </w:rPr>
        <w:t>awie produktów leczniczych stosowanych</w:t>
      </w:r>
      <w:r w:rsidR="00CC55C0" w:rsidRPr="0071228C">
        <w:rPr>
          <w:noProof/>
        </w:rPr>
        <w:t xml:space="preserve"> u</w:t>
      </w:r>
      <w:r w:rsidR="00CC55C0">
        <w:rPr>
          <w:noProof/>
        </w:rPr>
        <w:t> </w:t>
      </w:r>
      <w:r w:rsidR="00CC55C0" w:rsidRPr="0071228C">
        <w:rPr>
          <w:noProof/>
        </w:rPr>
        <w:t>lud</w:t>
      </w:r>
      <w:r w:rsidRPr="0071228C">
        <w:rPr>
          <w:noProof/>
        </w:rPr>
        <w:t>zi, rozporządzenia (UE) 2019/6</w:t>
      </w:r>
      <w:r w:rsidR="00CC55C0" w:rsidRPr="0071228C">
        <w:rPr>
          <w:noProof/>
        </w:rPr>
        <w:t xml:space="preserve"> w</w:t>
      </w:r>
      <w:r w:rsidR="00CC55C0">
        <w:rPr>
          <w:noProof/>
        </w:rPr>
        <w:t> </w:t>
      </w:r>
      <w:r w:rsidR="00CC55C0" w:rsidRPr="0071228C">
        <w:rPr>
          <w:noProof/>
        </w:rPr>
        <w:t>spr</w:t>
      </w:r>
      <w:r w:rsidRPr="0071228C">
        <w:rPr>
          <w:noProof/>
        </w:rPr>
        <w:t xml:space="preserve">awie weterynaryjnych produktów leczniczych, rozporządzenia REACH </w:t>
      </w:r>
      <w:r w:rsidRPr="00CC55C0">
        <w:rPr>
          <w:noProof/>
        </w:rPr>
        <w:t>nr</w:t>
      </w:r>
      <w:r w:rsidR="00CC55C0" w:rsidRPr="00CC55C0">
        <w:rPr>
          <w:noProof/>
        </w:rPr>
        <w:t> </w:t>
      </w:r>
      <w:r w:rsidRPr="00CC55C0">
        <w:rPr>
          <w:noProof/>
        </w:rPr>
        <w:t>1</w:t>
      </w:r>
      <w:r w:rsidRPr="0071228C">
        <w:rPr>
          <w:noProof/>
        </w:rPr>
        <w:t xml:space="preserve">907/2006, rozporządzenia (WE) </w:t>
      </w:r>
      <w:r w:rsidRPr="00CC55C0">
        <w:rPr>
          <w:noProof/>
        </w:rPr>
        <w:t>nr</w:t>
      </w:r>
      <w:r w:rsidR="00CC55C0" w:rsidRPr="00CC55C0">
        <w:rPr>
          <w:noProof/>
        </w:rPr>
        <w:t> </w:t>
      </w:r>
      <w:r w:rsidRPr="00CC55C0">
        <w:rPr>
          <w:noProof/>
        </w:rPr>
        <w:t>1</w:t>
      </w:r>
      <w:r w:rsidRPr="0071228C">
        <w:rPr>
          <w:noProof/>
        </w:rPr>
        <w:t>107/2009</w:t>
      </w:r>
      <w:r w:rsidR="00CC55C0" w:rsidRPr="0071228C">
        <w:rPr>
          <w:noProof/>
        </w:rPr>
        <w:t xml:space="preserve"> w</w:t>
      </w:r>
      <w:r w:rsidR="00CC55C0">
        <w:rPr>
          <w:noProof/>
        </w:rPr>
        <w:t> </w:t>
      </w:r>
      <w:r w:rsidR="00CC55C0" w:rsidRPr="0071228C">
        <w:rPr>
          <w:noProof/>
        </w:rPr>
        <w:t>spr</w:t>
      </w:r>
      <w:r w:rsidRPr="0071228C">
        <w:rPr>
          <w:noProof/>
        </w:rPr>
        <w:t xml:space="preserve">awie środków ochrony roślin, rozporządzenia (UE) </w:t>
      </w:r>
      <w:r w:rsidRPr="00CC55C0">
        <w:rPr>
          <w:noProof/>
        </w:rPr>
        <w:t>nr</w:t>
      </w:r>
      <w:r w:rsidR="00CC55C0" w:rsidRPr="00CC55C0">
        <w:rPr>
          <w:noProof/>
        </w:rPr>
        <w:t> </w:t>
      </w:r>
      <w:r w:rsidRPr="00CC55C0">
        <w:rPr>
          <w:noProof/>
        </w:rPr>
        <w:t>5</w:t>
      </w:r>
      <w:r w:rsidRPr="0071228C">
        <w:rPr>
          <w:noProof/>
        </w:rPr>
        <w:t>28/2012</w:t>
      </w:r>
      <w:r w:rsidR="00CC55C0" w:rsidRPr="0071228C">
        <w:rPr>
          <w:noProof/>
        </w:rPr>
        <w:t xml:space="preserve"> w</w:t>
      </w:r>
      <w:r w:rsidR="00CC55C0">
        <w:rPr>
          <w:noProof/>
        </w:rPr>
        <w:t> </w:t>
      </w:r>
      <w:r w:rsidR="00CC55C0" w:rsidRPr="0071228C">
        <w:rPr>
          <w:noProof/>
        </w:rPr>
        <w:t>spr</w:t>
      </w:r>
      <w:r w:rsidRPr="0071228C">
        <w:rPr>
          <w:noProof/>
        </w:rPr>
        <w:t xml:space="preserve">awie produktów biobójczych; oraz rozporządzenia (WE) </w:t>
      </w:r>
      <w:r w:rsidRPr="00CC55C0">
        <w:rPr>
          <w:noProof/>
        </w:rPr>
        <w:t>nr</w:t>
      </w:r>
      <w:r w:rsidR="00CC55C0" w:rsidRPr="00CC55C0">
        <w:rPr>
          <w:noProof/>
        </w:rPr>
        <w:t> </w:t>
      </w:r>
      <w:r w:rsidRPr="00CC55C0">
        <w:rPr>
          <w:noProof/>
        </w:rPr>
        <w:t>1</w:t>
      </w:r>
      <w:r w:rsidRPr="0071228C">
        <w:rPr>
          <w:noProof/>
        </w:rPr>
        <w:t>223/2009 dotyczącego produktów kosmetycznych. Dzięki ustanowieniu maksymalnych dopuszczalnych stężeń granicznych dla tych substancji niniejszy wniosek ma na celu wzmocnienie skutków</w:t>
      </w:r>
      <w:r w:rsidR="00CC55C0" w:rsidRPr="0071228C">
        <w:rPr>
          <w:noProof/>
        </w:rPr>
        <w:t xml:space="preserve"> i</w:t>
      </w:r>
      <w:r w:rsidR="00CC55C0">
        <w:rPr>
          <w:noProof/>
        </w:rPr>
        <w:t> </w:t>
      </w:r>
      <w:r w:rsidR="00CC55C0" w:rsidRPr="0071228C">
        <w:rPr>
          <w:noProof/>
        </w:rPr>
        <w:t>wdr</w:t>
      </w:r>
      <w:r w:rsidRPr="0071228C">
        <w:rPr>
          <w:noProof/>
        </w:rPr>
        <w:t>ożenie przepisów UE dotyczących źródeł</w:t>
      </w:r>
      <w:r w:rsidR="00CC55C0" w:rsidRPr="0071228C">
        <w:rPr>
          <w:noProof/>
        </w:rPr>
        <w:t xml:space="preserve"> i</w:t>
      </w:r>
      <w:r w:rsidR="00CC55C0">
        <w:rPr>
          <w:noProof/>
        </w:rPr>
        <w:t> </w:t>
      </w:r>
      <w:r w:rsidR="00CC55C0" w:rsidRPr="0071228C">
        <w:rPr>
          <w:noProof/>
        </w:rPr>
        <w:t>sce</w:t>
      </w:r>
      <w:r w:rsidRPr="0071228C">
        <w:rPr>
          <w:noProof/>
        </w:rPr>
        <w:t>nariuszy oraz, tam gdzie jest to wymagane</w:t>
      </w:r>
      <w:r w:rsidR="00CC55C0" w:rsidRPr="0071228C">
        <w:rPr>
          <w:noProof/>
        </w:rPr>
        <w:t xml:space="preserve"> w</w:t>
      </w:r>
      <w:r w:rsidR="00CC55C0">
        <w:rPr>
          <w:noProof/>
        </w:rPr>
        <w:t> </w:t>
      </w:r>
      <w:r w:rsidR="00CC55C0" w:rsidRPr="0071228C">
        <w:rPr>
          <w:noProof/>
        </w:rPr>
        <w:t>cel</w:t>
      </w:r>
      <w:r w:rsidRPr="0071228C">
        <w:rPr>
          <w:noProof/>
        </w:rPr>
        <w:t xml:space="preserve">u ochrony zdrowia lub środowiska – przyspieszanie przyjęcia bardziej rygorystycznych środków dotyczących źródeł/sposobów na poziomie państwa członkowskiego. </w:t>
      </w:r>
    </w:p>
    <w:p w14:paraId="111CCBF3" w14:textId="2F3F4D41" w:rsidR="00334340" w:rsidRPr="0071228C" w:rsidRDefault="002821B9" w:rsidP="000A5ED7">
      <w:pPr>
        <w:pBdr>
          <w:top w:val="nil"/>
          <w:left w:val="nil"/>
          <w:bottom w:val="nil"/>
          <w:right w:val="nil"/>
          <w:between w:val="nil"/>
          <w:bar w:val="nil"/>
        </w:pBdr>
        <w:spacing w:before="0" w:after="240"/>
        <w:rPr>
          <w:rFonts w:ascii="Calibri" w:eastAsia="Calibri" w:hAnsi="Calibri" w:cs="Calibri"/>
          <w:noProof/>
          <w:color w:val="1F497D"/>
          <w:sz w:val="22"/>
        </w:rPr>
      </w:pPr>
      <w:r w:rsidRPr="0071228C">
        <w:rPr>
          <w:noProof/>
        </w:rPr>
        <w:t>Warianty przeanalizowano pod kątem ich kosztów</w:t>
      </w:r>
      <w:r w:rsidR="00CC55C0" w:rsidRPr="0071228C">
        <w:rPr>
          <w:noProof/>
        </w:rPr>
        <w:t xml:space="preserve"> i</w:t>
      </w:r>
      <w:r w:rsidR="00CC55C0">
        <w:rPr>
          <w:noProof/>
        </w:rPr>
        <w:t> </w:t>
      </w:r>
      <w:r w:rsidR="00CC55C0" w:rsidRPr="0071228C">
        <w:rPr>
          <w:noProof/>
        </w:rPr>
        <w:t>kor</w:t>
      </w:r>
      <w:r w:rsidRPr="0071228C">
        <w:rPr>
          <w:noProof/>
        </w:rPr>
        <w:t>zyści środowiskowych, społecznych</w:t>
      </w:r>
      <w:r w:rsidR="00CC55C0" w:rsidRPr="0071228C">
        <w:rPr>
          <w:noProof/>
        </w:rPr>
        <w:t xml:space="preserve"> i</w:t>
      </w:r>
      <w:r w:rsidR="00CC55C0">
        <w:rPr>
          <w:noProof/>
        </w:rPr>
        <w:t> </w:t>
      </w:r>
      <w:r w:rsidR="00CC55C0" w:rsidRPr="0071228C">
        <w:rPr>
          <w:noProof/>
        </w:rPr>
        <w:t>eko</w:t>
      </w:r>
      <w:r w:rsidRPr="0071228C">
        <w:rPr>
          <w:noProof/>
        </w:rPr>
        <w:t>nomicznych,</w:t>
      </w:r>
      <w:r w:rsidR="00CC55C0" w:rsidRPr="0071228C">
        <w:rPr>
          <w:noProof/>
        </w:rPr>
        <w:t xml:space="preserve"> w</w:t>
      </w:r>
      <w:r w:rsidR="00CC55C0">
        <w:rPr>
          <w:noProof/>
        </w:rPr>
        <w:t> </w:t>
      </w:r>
      <w:r w:rsidR="00CC55C0" w:rsidRPr="0071228C">
        <w:rPr>
          <w:noProof/>
        </w:rPr>
        <w:t>wyn</w:t>
      </w:r>
      <w:r w:rsidRPr="0071228C">
        <w:rPr>
          <w:noProof/>
        </w:rPr>
        <w:t>iku czego utworzono następujący pakiet preferowanych wariantów:</w:t>
      </w:r>
    </w:p>
    <w:tbl>
      <w:tblPr>
        <w:tblW w:w="9134" w:type="dxa"/>
        <w:tblInd w:w="108" w:type="dxa"/>
        <w:tblCellMar>
          <w:left w:w="0" w:type="dxa"/>
          <w:right w:w="0" w:type="dxa"/>
        </w:tblCellMar>
        <w:tblLook w:val="04A0" w:firstRow="1" w:lastRow="0" w:firstColumn="1" w:lastColumn="0" w:noHBand="0" w:noVBand="1"/>
      </w:tblPr>
      <w:tblGrid>
        <w:gridCol w:w="3157"/>
        <w:gridCol w:w="1033"/>
        <w:gridCol w:w="4944"/>
      </w:tblGrid>
      <w:tr w:rsidR="00334340" w:rsidRPr="0071228C" w14:paraId="6BF4F35A" w14:textId="77777777" w:rsidTr="00334340">
        <w:tc>
          <w:tcPr>
            <w:tcW w:w="9134" w:type="dxa"/>
            <w:gridSpan w:val="3"/>
            <w:tcBorders>
              <w:top w:val="single" w:sz="8" w:space="0" w:color="005962"/>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18C8D736" w14:textId="77777777" w:rsidR="00334340" w:rsidRPr="0071228C" w:rsidRDefault="00334340" w:rsidP="00334340">
            <w:pPr>
              <w:keepNext/>
              <w:spacing w:before="40" w:after="40"/>
              <w:jc w:val="center"/>
              <w:rPr>
                <w:rFonts w:eastAsia="Calibri"/>
                <w:b/>
                <w:bCs/>
                <w:noProof/>
                <w:color w:val="FFFFFF"/>
                <w:sz w:val="20"/>
                <w:szCs w:val="20"/>
              </w:rPr>
            </w:pPr>
            <w:r w:rsidRPr="0071228C">
              <w:rPr>
                <w:rFonts w:ascii="Calibri" w:hAnsi="Calibri"/>
                <w:b/>
                <w:noProof/>
                <w:color w:val="FFFFFF"/>
                <w:sz w:val="20"/>
              </w:rPr>
              <w:t>Wody powierzchniowe</w:t>
            </w:r>
          </w:p>
        </w:tc>
      </w:tr>
      <w:tr w:rsidR="00334340" w:rsidRPr="0071228C" w14:paraId="5E53227E"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F28C180" w14:textId="77777777" w:rsidR="00334340" w:rsidRPr="0071228C" w:rsidRDefault="00334340" w:rsidP="00334340">
            <w:pPr>
              <w:keepNext/>
              <w:spacing w:before="40" w:after="40"/>
              <w:jc w:val="left"/>
              <w:rPr>
                <w:rFonts w:ascii="Calibri" w:eastAsia="Calibri" w:hAnsi="Calibri" w:cs="Calibri"/>
                <w:b/>
                <w:bCs/>
                <w:noProof/>
                <w:sz w:val="18"/>
                <w:szCs w:val="18"/>
              </w:rPr>
            </w:pPr>
            <w:r w:rsidRPr="0071228C">
              <w:rPr>
                <w:rFonts w:ascii="Calibri" w:hAnsi="Calibri"/>
                <w:b/>
                <w:noProof/>
                <w:sz w:val="18"/>
                <w:u w:val="single"/>
              </w:rPr>
              <w:t>Wariant 1:</w:t>
            </w:r>
            <w:r w:rsidRPr="0071228C">
              <w:rPr>
                <w:rFonts w:ascii="Calibri" w:hAnsi="Calibri"/>
                <w:b/>
                <w:noProof/>
                <w:sz w:val="18"/>
              </w:rPr>
              <w:t xml:space="preserve"> Dodanie do wykazu substancji priorytetowych jako pojedynczej substancji wraz ze środowiskową normą jakości ustalaną indywidualnie</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9942471" w14:textId="77777777" w:rsidR="00663424" w:rsidRPr="0071228C" w:rsidRDefault="00663424" w:rsidP="00663424">
            <w:pPr>
              <w:keepNext/>
              <w:spacing w:before="40" w:after="40"/>
              <w:jc w:val="left"/>
              <w:rPr>
                <w:rFonts w:ascii="Calibri" w:eastAsia="Calibri" w:hAnsi="Calibri" w:cs="Calibri"/>
                <w:b/>
                <w:bCs/>
                <w:noProof/>
                <w:sz w:val="18"/>
                <w:szCs w:val="18"/>
              </w:rPr>
            </w:pPr>
            <w:r w:rsidRPr="0071228C">
              <w:rPr>
                <w:rFonts w:ascii="Calibri" w:hAnsi="Calibri"/>
                <w:b/>
                <w:noProof/>
                <w:sz w:val="18"/>
              </w:rPr>
              <w:t>23pojedyncze substancje:</w:t>
            </w:r>
          </w:p>
          <w:p w14:paraId="5346CDD4" w14:textId="77777777" w:rsidR="00334340" w:rsidRPr="0071228C" w:rsidRDefault="00663424" w:rsidP="00FA7305">
            <w:pPr>
              <w:keepNext/>
              <w:spacing w:before="40" w:after="40"/>
              <w:rPr>
                <w:rFonts w:ascii="Calibri" w:eastAsia="Calibri" w:hAnsi="Calibri" w:cs="Calibri"/>
                <w:b/>
                <w:bCs/>
                <w:noProof/>
                <w:sz w:val="18"/>
                <w:szCs w:val="18"/>
              </w:rPr>
            </w:pPr>
            <w:r w:rsidRPr="0071228C">
              <w:rPr>
                <w:rFonts w:ascii="Calibri" w:hAnsi="Calibri"/>
                <w:noProof/>
                <w:sz w:val="18"/>
              </w:rPr>
              <w:t>17-β-estradiol (E2); acetamipryd; azytromycyna; bifentryna; bisfenol A; karbamazepina; klarytromycyna; klotianidyna; deltametryna; diklofenak; erytromycyna; esfenwalerat; estron (E1); etynyloestradiol (EE2); glifosat; ibuprofen; imidaklopryd; nikosulfuron; permetryna; tiaklopryd; tiametoksam; triklosan, srebro.</w:t>
            </w:r>
          </w:p>
        </w:tc>
      </w:tr>
      <w:tr w:rsidR="00334340" w:rsidRPr="0071228C" w14:paraId="5A4547AB"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65F2BDE" w14:textId="77777777" w:rsidR="00334340" w:rsidRPr="0071228C" w:rsidRDefault="00334340" w:rsidP="004723CD">
            <w:pPr>
              <w:spacing w:before="40" w:after="40"/>
              <w:jc w:val="left"/>
              <w:rPr>
                <w:rFonts w:ascii="Calibri" w:eastAsia="Calibri" w:hAnsi="Calibri" w:cs="Calibri"/>
                <w:noProof/>
                <w:sz w:val="18"/>
                <w:szCs w:val="18"/>
              </w:rPr>
            </w:pPr>
            <w:r w:rsidRPr="0071228C">
              <w:rPr>
                <w:rFonts w:ascii="Calibri" w:hAnsi="Calibri"/>
                <w:b/>
                <w:noProof/>
                <w:sz w:val="18"/>
                <w:u w:val="single"/>
              </w:rPr>
              <w:t>Wariant 2:</w:t>
            </w:r>
            <w:r w:rsidRPr="0071228C">
              <w:rPr>
                <w:rFonts w:ascii="Calibri" w:hAnsi="Calibri"/>
                <w:b/>
                <w:noProof/>
                <w:sz w:val="18"/>
              </w:rPr>
              <w:t xml:space="preserve"> Dodanie do wykazu substancji priorytetowych jako grupy substancji ze środowiskową normą jakości ustaloną dla „sumy”</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C22B34B" w14:textId="77777777" w:rsidR="00334340" w:rsidRPr="0071228C" w:rsidRDefault="00334340" w:rsidP="004723CD">
            <w:pPr>
              <w:spacing w:before="40" w:after="40"/>
              <w:jc w:val="left"/>
              <w:rPr>
                <w:rFonts w:ascii="Calibri" w:eastAsia="Calibri" w:hAnsi="Calibri" w:cs="Calibri"/>
                <w:b/>
                <w:bCs/>
                <w:i/>
                <w:iCs/>
                <w:noProof/>
                <w:sz w:val="18"/>
                <w:szCs w:val="18"/>
              </w:rPr>
            </w:pPr>
            <w:r w:rsidRPr="0071228C">
              <w:rPr>
                <w:rFonts w:ascii="Calibri" w:hAnsi="Calibri"/>
                <w:noProof/>
                <w:sz w:val="18"/>
              </w:rPr>
              <w:t xml:space="preserve">PFAS (suma 24 wymienionych substancji) </w:t>
            </w:r>
          </w:p>
        </w:tc>
      </w:tr>
      <w:tr w:rsidR="00334340" w:rsidRPr="0071228C" w14:paraId="353BF3EE"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EDB5C0A" w14:textId="77777777"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u w:val="single"/>
              </w:rPr>
              <w:t>Wariant 3:</w:t>
            </w:r>
            <w:r w:rsidRPr="0071228C">
              <w:rPr>
                <w:rFonts w:ascii="Calibri" w:hAnsi="Calibri"/>
                <w:noProof/>
                <w:sz w:val="18"/>
              </w:rPr>
              <w:t xml:space="preserve"> </w:t>
            </w:r>
            <w:r w:rsidRPr="0071228C">
              <w:rPr>
                <w:rFonts w:ascii="Calibri" w:hAnsi="Calibri"/>
                <w:b/>
                <w:noProof/>
                <w:sz w:val="18"/>
              </w:rPr>
              <w:t>Zmiana istniejących środowiskowych norm jakości</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066BB35" w14:textId="2D7762DD"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rPr>
              <w:t xml:space="preserve">na bardziej rygorystyczne </w:t>
            </w:r>
            <w:r w:rsidRPr="00CC55C0">
              <w:rPr>
                <w:rFonts w:ascii="Calibri" w:hAnsi="Calibri"/>
                <w:b/>
                <w:noProof/>
                <w:sz w:val="18"/>
              </w:rPr>
              <w:t>dla</w:t>
            </w:r>
            <w:r w:rsidR="00CC55C0" w:rsidRPr="00CC55C0">
              <w:rPr>
                <w:rFonts w:ascii="Calibri" w:hAnsi="Calibri"/>
                <w:b/>
                <w:noProof/>
                <w:sz w:val="18"/>
              </w:rPr>
              <w:t> </w:t>
            </w:r>
            <w:r w:rsidRPr="00CC55C0">
              <w:rPr>
                <w:rFonts w:ascii="Calibri" w:hAnsi="Calibri"/>
                <w:b/>
                <w:noProof/>
                <w:sz w:val="18"/>
              </w:rPr>
              <w:t>1</w:t>
            </w:r>
            <w:r w:rsidRPr="0071228C">
              <w:rPr>
                <w:rFonts w:ascii="Calibri" w:hAnsi="Calibri"/>
                <w:b/>
                <w:noProof/>
                <w:sz w:val="18"/>
              </w:rPr>
              <w:t>4 substancji:</w:t>
            </w:r>
          </w:p>
          <w:p w14:paraId="7028B658" w14:textId="77777777"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chloropiryfos; cypermetryna; dikofol; dioksyny; diuron; fluoranten; heksabromocyklododekan (HBCDD); heksachlorobutadien; rtęć; nikiel; nonylofenol; WWA; PBDE; tributylocyna;</w:t>
            </w:r>
          </w:p>
          <w:p w14:paraId="64E842DB" w14:textId="3E71AC6A" w:rsidR="00334340" w:rsidRPr="0071228C" w:rsidRDefault="00334340" w:rsidP="000A5ED7">
            <w:pPr>
              <w:keepNext/>
              <w:spacing w:before="40" w:after="40"/>
              <w:rPr>
                <w:rFonts w:ascii="Calibri" w:eastAsia="Calibri" w:hAnsi="Calibri" w:cs="Calibri"/>
                <w:b/>
                <w:bCs/>
                <w:noProof/>
                <w:sz w:val="18"/>
                <w:szCs w:val="18"/>
              </w:rPr>
            </w:pPr>
            <w:r w:rsidRPr="0071228C">
              <w:rPr>
                <w:rFonts w:ascii="Calibri" w:hAnsi="Calibri"/>
                <w:b/>
                <w:noProof/>
                <w:sz w:val="18"/>
              </w:rPr>
              <w:t xml:space="preserve">na mniej rygorystyczne </w:t>
            </w:r>
            <w:r w:rsidRPr="00CC55C0">
              <w:rPr>
                <w:rFonts w:ascii="Calibri" w:hAnsi="Calibri"/>
                <w:b/>
                <w:noProof/>
                <w:sz w:val="18"/>
              </w:rPr>
              <w:t>dla</w:t>
            </w:r>
            <w:r w:rsidR="00CC55C0" w:rsidRPr="00CC55C0">
              <w:rPr>
                <w:rFonts w:ascii="Calibri" w:hAnsi="Calibri"/>
                <w:b/>
                <w:noProof/>
                <w:sz w:val="18"/>
              </w:rPr>
              <w:t> </w:t>
            </w:r>
            <w:r w:rsidRPr="00CC55C0">
              <w:rPr>
                <w:rFonts w:ascii="Calibri" w:hAnsi="Calibri"/>
                <w:b/>
                <w:noProof/>
                <w:sz w:val="18"/>
              </w:rPr>
              <w:t>2</w:t>
            </w:r>
            <w:r w:rsidRPr="0071228C">
              <w:rPr>
                <w:rFonts w:ascii="Calibri" w:hAnsi="Calibri"/>
                <w:b/>
                <w:noProof/>
                <w:sz w:val="18"/>
              </w:rPr>
              <w:t xml:space="preserve"> substancji:</w:t>
            </w:r>
          </w:p>
          <w:p w14:paraId="3D59B32F" w14:textId="6A7E4E87" w:rsidR="00334340" w:rsidRPr="0071228C" w:rsidRDefault="00334340" w:rsidP="00082295">
            <w:pPr>
              <w:spacing w:before="40" w:after="40"/>
              <w:rPr>
                <w:rFonts w:ascii="Calibri" w:eastAsia="Calibri" w:hAnsi="Calibri" w:cs="Calibri"/>
                <w:noProof/>
                <w:sz w:val="18"/>
                <w:szCs w:val="18"/>
              </w:rPr>
            </w:pPr>
            <w:r w:rsidRPr="0071228C">
              <w:rPr>
                <w:rFonts w:ascii="Calibri" w:hAnsi="Calibri"/>
                <w:noProof/>
                <w:sz w:val="18"/>
              </w:rPr>
              <w:t xml:space="preserve">heptachlor/epoksyd heptachloru; </w:t>
            </w:r>
            <w:r w:rsidR="00082295">
              <w:rPr>
                <w:rFonts w:ascii="Calibri" w:hAnsi="Calibri"/>
                <w:noProof/>
                <w:sz w:val="18"/>
              </w:rPr>
              <w:t>h</w:t>
            </w:r>
            <w:r w:rsidRPr="0071228C">
              <w:rPr>
                <w:rFonts w:ascii="Calibri" w:hAnsi="Calibri"/>
                <w:noProof/>
                <w:sz w:val="18"/>
              </w:rPr>
              <w:t>eksachlorobenzen</w:t>
            </w:r>
          </w:p>
        </w:tc>
      </w:tr>
      <w:tr w:rsidR="00334340" w:rsidRPr="0071228C" w14:paraId="7B6B2CDD"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809D3D7" w14:textId="77777777"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u w:val="single"/>
              </w:rPr>
              <w:t>Wariant 4:</w:t>
            </w:r>
            <w:r w:rsidRPr="0071228C">
              <w:rPr>
                <w:rFonts w:ascii="Calibri" w:hAnsi="Calibri"/>
                <w:b/>
                <w:noProof/>
                <w:sz w:val="18"/>
              </w:rPr>
              <w:t xml:space="preserve"> Odrzucenie</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10CBE8" w14:textId="77777777" w:rsidR="00334340" w:rsidRPr="0071228C" w:rsidRDefault="00334340" w:rsidP="000A5ED7">
            <w:pPr>
              <w:spacing w:before="40" w:after="40"/>
              <w:rPr>
                <w:rFonts w:ascii="Calibri" w:eastAsia="Calibri" w:hAnsi="Calibri" w:cs="Calibri"/>
                <w:noProof/>
                <w:sz w:val="18"/>
                <w:szCs w:val="18"/>
              </w:rPr>
            </w:pPr>
            <w:r w:rsidRPr="0071228C">
              <w:rPr>
                <w:rFonts w:ascii="Calibri" w:hAnsi="Calibri"/>
                <w:b/>
                <w:noProof/>
                <w:sz w:val="18"/>
              </w:rPr>
              <w:t xml:space="preserve">4 substancje: </w:t>
            </w:r>
            <w:r w:rsidRPr="0071228C">
              <w:rPr>
                <w:rFonts w:ascii="Calibri" w:hAnsi="Calibri"/>
                <w:noProof/>
                <w:sz w:val="18"/>
              </w:rPr>
              <w:t>alachlor; tetrachlorek węgla; chlorfenwinfos; symazyna;</w:t>
            </w:r>
          </w:p>
        </w:tc>
      </w:tr>
      <w:tr w:rsidR="00334340" w:rsidRPr="0071228C" w14:paraId="2CDF2BC7"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59A51338" w14:textId="77777777" w:rsidR="00334340" w:rsidRPr="0071228C" w:rsidRDefault="00334340" w:rsidP="00334340">
            <w:pPr>
              <w:keepNext/>
              <w:spacing w:before="40" w:after="40"/>
              <w:jc w:val="center"/>
              <w:rPr>
                <w:rFonts w:ascii="Calibri" w:eastAsia="Calibri" w:hAnsi="Calibri" w:cs="Calibri"/>
                <w:b/>
                <w:bCs/>
                <w:noProof/>
                <w:color w:val="FFFFFF"/>
                <w:sz w:val="20"/>
                <w:szCs w:val="20"/>
              </w:rPr>
            </w:pPr>
            <w:r w:rsidRPr="0071228C">
              <w:rPr>
                <w:rFonts w:ascii="Calibri" w:hAnsi="Calibri"/>
                <w:b/>
                <w:noProof/>
                <w:color w:val="FFFFFF"/>
                <w:sz w:val="20"/>
              </w:rPr>
              <w:t>Wody podziemne</w:t>
            </w:r>
          </w:p>
        </w:tc>
      </w:tr>
      <w:tr w:rsidR="00334340" w:rsidRPr="0071228C" w14:paraId="77219B8A"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089F425E" w14:textId="7095C99C" w:rsidR="00334340" w:rsidRPr="0071228C" w:rsidRDefault="00334340" w:rsidP="00334340">
            <w:pPr>
              <w:spacing w:before="40" w:after="40"/>
              <w:ind w:left="33"/>
              <w:jc w:val="left"/>
              <w:rPr>
                <w:rFonts w:ascii="Calibri" w:eastAsia="Calibri" w:hAnsi="Calibri" w:cs="Calibri"/>
                <w:b/>
                <w:bCs/>
                <w:noProof/>
                <w:sz w:val="18"/>
                <w:szCs w:val="18"/>
              </w:rPr>
            </w:pPr>
            <w:r w:rsidRPr="0071228C">
              <w:rPr>
                <w:rFonts w:ascii="Calibri" w:hAnsi="Calibri"/>
                <w:b/>
                <w:noProof/>
                <w:sz w:val="18"/>
                <w:u w:val="single"/>
              </w:rPr>
              <w:t>Wariant 1:</w:t>
            </w:r>
            <w:r w:rsidRPr="0071228C">
              <w:rPr>
                <w:rFonts w:ascii="Calibri" w:hAnsi="Calibri"/>
                <w:b/>
                <w:noProof/>
                <w:sz w:val="18"/>
              </w:rPr>
              <w:t xml:space="preserve"> Dodanie do załącznika I</w:t>
            </w:r>
            <w:r w:rsidR="00CC55C0" w:rsidRPr="0071228C">
              <w:rPr>
                <w:rFonts w:ascii="Calibri" w:hAnsi="Calibri"/>
                <w:b/>
                <w:noProof/>
                <w:sz w:val="18"/>
              </w:rPr>
              <w:t xml:space="preserve"> z</w:t>
            </w:r>
            <w:r w:rsidR="00CC55C0">
              <w:rPr>
                <w:rFonts w:ascii="Calibri" w:hAnsi="Calibri"/>
                <w:b/>
                <w:noProof/>
                <w:sz w:val="18"/>
              </w:rPr>
              <w:t> </w:t>
            </w:r>
            <w:r w:rsidR="00CC55C0" w:rsidRPr="0071228C">
              <w:rPr>
                <w:rFonts w:ascii="Calibri" w:hAnsi="Calibri"/>
                <w:b/>
                <w:noProof/>
                <w:sz w:val="18"/>
              </w:rPr>
              <w:t>nor</w:t>
            </w:r>
            <w:r w:rsidRPr="0071228C">
              <w:rPr>
                <w:rFonts w:ascii="Calibri" w:hAnsi="Calibri"/>
                <w:b/>
                <w:noProof/>
                <w:sz w:val="18"/>
              </w:rPr>
              <w:t>mą jakości wód gruntowych ustaloną indywidualnie</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0C1D827" w14:textId="1F3B54FB" w:rsidR="00334340" w:rsidRPr="0071228C" w:rsidRDefault="00334340" w:rsidP="000A5ED7">
            <w:pPr>
              <w:spacing w:before="40" w:after="40"/>
              <w:rPr>
                <w:rFonts w:ascii="Calibri" w:eastAsia="Calibri" w:hAnsi="Calibri" w:cs="Calibri"/>
                <w:noProof/>
                <w:sz w:val="18"/>
                <w:szCs w:val="18"/>
              </w:rPr>
            </w:pPr>
            <w:r w:rsidRPr="0071228C">
              <w:rPr>
                <w:rFonts w:ascii="Calibri" w:hAnsi="Calibri"/>
                <w:b/>
                <w:noProof/>
                <w:sz w:val="18"/>
              </w:rPr>
              <w:t xml:space="preserve"> 2 substancje farmaceutyczne:</w:t>
            </w:r>
            <w:r w:rsidRPr="0071228C">
              <w:rPr>
                <w:rFonts w:ascii="Calibri" w:hAnsi="Calibri"/>
                <w:noProof/>
                <w:sz w:val="18"/>
              </w:rPr>
              <w:t xml:space="preserve"> karbamazepina</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sul</w:t>
            </w:r>
            <w:r w:rsidRPr="0071228C">
              <w:rPr>
                <w:rFonts w:ascii="Calibri" w:hAnsi="Calibri"/>
                <w:noProof/>
                <w:sz w:val="18"/>
              </w:rPr>
              <w:t xml:space="preserve">fametoksazol </w:t>
            </w:r>
          </w:p>
          <w:p w14:paraId="078E3F5E" w14:textId="77777777"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Wszystkie inne niż znaczące metabolity pestycydów, dla których indywidualna norma jakości wód gruntowych wynosi 0,1 µg/l</w:t>
            </w:r>
          </w:p>
        </w:tc>
      </w:tr>
      <w:tr w:rsidR="00334340" w:rsidRPr="0071228C" w14:paraId="50A0EC3C"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F58E548" w14:textId="479DE077" w:rsidR="00334340" w:rsidRPr="0071228C" w:rsidRDefault="00334340" w:rsidP="004723CD">
            <w:pPr>
              <w:spacing w:before="40" w:after="40"/>
              <w:jc w:val="left"/>
              <w:rPr>
                <w:rFonts w:ascii="Calibri" w:eastAsia="Calibri" w:hAnsi="Calibri" w:cs="Calibri"/>
                <w:b/>
                <w:bCs/>
                <w:noProof/>
                <w:sz w:val="18"/>
                <w:szCs w:val="18"/>
                <w:u w:val="single"/>
              </w:rPr>
            </w:pPr>
            <w:r w:rsidRPr="0071228C">
              <w:rPr>
                <w:rFonts w:ascii="Calibri" w:hAnsi="Calibri"/>
                <w:b/>
                <w:noProof/>
                <w:sz w:val="18"/>
                <w:u w:val="single"/>
              </w:rPr>
              <w:t>Wariant 2:</w:t>
            </w:r>
            <w:r w:rsidRPr="0071228C">
              <w:rPr>
                <w:rFonts w:ascii="Calibri" w:hAnsi="Calibri"/>
                <w:b/>
                <w:noProof/>
                <w:sz w:val="18"/>
              </w:rPr>
              <w:t xml:space="preserve"> Dodanie do załącznika I</w:t>
            </w:r>
            <w:r w:rsidR="00CC55C0" w:rsidRPr="0071228C">
              <w:rPr>
                <w:rFonts w:ascii="Calibri" w:hAnsi="Calibri"/>
                <w:b/>
                <w:noProof/>
                <w:sz w:val="18"/>
              </w:rPr>
              <w:t xml:space="preserve"> z</w:t>
            </w:r>
            <w:r w:rsidR="00CC55C0">
              <w:rPr>
                <w:rFonts w:ascii="Calibri" w:hAnsi="Calibri"/>
                <w:b/>
                <w:noProof/>
                <w:sz w:val="18"/>
              </w:rPr>
              <w:t> </w:t>
            </w:r>
            <w:r w:rsidR="00CC55C0" w:rsidRPr="0071228C">
              <w:rPr>
                <w:rFonts w:ascii="Calibri" w:hAnsi="Calibri"/>
                <w:b/>
                <w:noProof/>
                <w:sz w:val="18"/>
              </w:rPr>
              <w:t>nor</w:t>
            </w:r>
            <w:r w:rsidRPr="0071228C">
              <w:rPr>
                <w:rFonts w:ascii="Calibri" w:hAnsi="Calibri"/>
                <w:b/>
                <w:noProof/>
                <w:sz w:val="18"/>
              </w:rPr>
              <w:t>mą jakości wód gruntowych ustaloną dla „sumy”</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060E793" w14:textId="77777777" w:rsidR="00334340" w:rsidRPr="0071228C" w:rsidRDefault="00334340" w:rsidP="004723CD">
            <w:pPr>
              <w:spacing w:before="40" w:after="40"/>
              <w:jc w:val="left"/>
              <w:rPr>
                <w:rFonts w:ascii="Calibri" w:eastAsia="Calibri" w:hAnsi="Calibri" w:cs="Calibri"/>
                <w:noProof/>
                <w:sz w:val="18"/>
                <w:szCs w:val="18"/>
              </w:rPr>
            </w:pPr>
            <w:r w:rsidRPr="0071228C">
              <w:rPr>
                <w:rFonts w:ascii="Calibri" w:hAnsi="Calibri"/>
                <w:noProof/>
                <w:sz w:val="18"/>
              </w:rPr>
              <w:t>PFAS (suma 24 wymienionych substancji)</w:t>
            </w:r>
          </w:p>
        </w:tc>
      </w:tr>
      <w:tr w:rsidR="00334340" w:rsidRPr="0071228C" w14:paraId="24D2432D"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4893A11F" w14:textId="77777777" w:rsidR="00334340" w:rsidRPr="0071228C" w:rsidRDefault="00334340" w:rsidP="00334340">
            <w:pPr>
              <w:spacing w:before="40" w:after="40"/>
              <w:ind w:left="33"/>
              <w:jc w:val="left"/>
              <w:rPr>
                <w:rFonts w:ascii="Calibri" w:eastAsia="Calibri" w:hAnsi="Calibri" w:cs="Calibri"/>
                <w:b/>
                <w:bCs/>
                <w:noProof/>
                <w:sz w:val="18"/>
                <w:szCs w:val="18"/>
              </w:rPr>
            </w:pPr>
            <w:r w:rsidRPr="0071228C">
              <w:rPr>
                <w:rFonts w:ascii="Calibri" w:hAnsi="Calibri"/>
                <w:b/>
                <w:noProof/>
                <w:sz w:val="18"/>
                <w:u w:val="single"/>
              </w:rPr>
              <w:t>Wariant 3:</w:t>
            </w:r>
            <w:r w:rsidRPr="0071228C">
              <w:rPr>
                <w:rFonts w:ascii="Calibri" w:hAnsi="Calibri"/>
                <w:b/>
                <w:noProof/>
                <w:sz w:val="18"/>
              </w:rPr>
              <w:t xml:space="preserve"> Dodanie do załącznika II</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2990E9B" w14:textId="77777777" w:rsidR="00334340" w:rsidRPr="0071228C" w:rsidRDefault="00334340" w:rsidP="00334340">
            <w:pPr>
              <w:spacing w:before="40" w:after="40"/>
              <w:jc w:val="left"/>
              <w:rPr>
                <w:rFonts w:ascii="Calibri" w:eastAsia="Calibri" w:hAnsi="Calibri" w:cs="Calibri"/>
                <w:noProof/>
                <w:sz w:val="18"/>
                <w:szCs w:val="18"/>
              </w:rPr>
            </w:pPr>
            <w:r w:rsidRPr="0071228C">
              <w:rPr>
                <w:rFonts w:ascii="Calibri" w:hAnsi="Calibri"/>
                <w:b/>
                <w:noProof/>
                <w:sz w:val="18"/>
              </w:rPr>
              <w:t>1 substancja:</w:t>
            </w:r>
            <w:r w:rsidRPr="0071228C">
              <w:rPr>
                <w:rFonts w:ascii="Calibri" w:hAnsi="Calibri"/>
                <w:noProof/>
                <w:sz w:val="18"/>
              </w:rPr>
              <w:t xml:space="preserve"> prymidon </w:t>
            </w:r>
          </w:p>
        </w:tc>
      </w:tr>
      <w:tr w:rsidR="00334340" w:rsidRPr="0071228C" w14:paraId="782DDA30"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3167DA48" w14:textId="5FAF42BF" w:rsidR="00334340" w:rsidRPr="0071228C" w:rsidRDefault="00334340" w:rsidP="00334340">
            <w:pPr>
              <w:keepNext/>
              <w:spacing w:before="40" w:after="40"/>
              <w:jc w:val="center"/>
              <w:rPr>
                <w:rFonts w:ascii="Calibri" w:eastAsia="Calibri" w:hAnsi="Calibri" w:cs="Calibri"/>
                <w:b/>
                <w:bCs/>
                <w:noProof/>
                <w:color w:val="FFFFFF"/>
                <w:sz w:val="20"/>
                <w:szCs w:val="20"/>
              </w:rPr>
            </w:pPr>
            <w:r w:rsidRPr="0071228C">
              <w:rPr>
                <w:rFonts w:ascii="Calibri" w:hAnsi="Calibri"/>
                <w:b/>
                <w:noProof/>
                <w:color w:val="FFFFFF"/>
                <w:sz w:val="20"/>
              </w:rPr>
              <w:t>Transformacja cyfrowa, usprawnienie administracji</w:t>
            </w:r>
            <w:r w:rsidR="00CC55C0" w:rsidRPr="0071228C">
              <w:rPr>
                <w:rFonts w:ascii="Calibri" w:hAnsi="Calibri"/>
                <w:b/>
                <w:noProof/>
                <w:color w:val="FFFFFF"/>
                <w:sz w:val="20"/>
              </w:rPr>
              <w:t xml:space="preserve"> i</w:t>
            </w:r>
            <w:r w:rsidR="00CC55C0">
              <w:rPr>
                <w:rFonts w:ascii="Calibri" w:hAnsi="Calibri"/>
                <w:b/>
                <w:noProof/>
                <w:color w:val="FFFFFF"/>
                <w:sz w:val="20"/>
              </w:rPr>
              <w:t> </w:t>
            </w:r>
            <w:r w:rsidR="00CC55C0" w:rsidRPr="0071228C">
              <w:rPr>
                <w:rFonts w:ascii="Calibri" w:hAnsi="Calibri"/>
                <w:b/>
                <w:noProof/>
                <w:color w:val="FFFFFF"/>
                <w:sz w:val="20"/>
              </w:rPr>
              <w:t>lep</w:t>
            </w:r>
            <w:r w:rsidRPr="0071228C">
              <w:rPr>
                <w:rFonts w:ascii="Calibri" w:hAnsi="Calibri"/>
                <w:b/>
                <w:noProof/>
                <w:color w:val="FFFFFF"/>
                <w:sz w:val="20"/>
              </w:rPr>
              <w:t>sze zarządzanie ryzykiem</w:t>
            </w:r>
          </w:p>
        </w:tc>
      </w:tr>
      <w:tr w:rsidR="00334340" w:rsidRPr="0071228C" w14:paraId="25F58D54"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12186212" w14:textId="6D1A6E9C"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u w:val="single"/>
              </w:rPr>
              <w:t>Wariant 1:</w:t>
            </w:r>
            <w:r w:rsidRPr="0071228C">
              <w:rPr>
                <w:rFonts w:ascii="Calibri" w:hAnsi="Calibri"/>
                <w:b/>
                <w:noProof/>
                <w:sz w:val="18"/>
              </w:rPr>
              <w:t xml:space="preserve"> Zapewnienie wytycznych</w:t>
            </w:r>
            <w:r w:rsidR="00CC55C0" w:rsidRPr="0071228C">
              <w:rPr>
                <w:rFonts w:ascii="Calibri" w:hAnsi="Calibri"/>
                <w:b/>
                <w:noProof/>
                <w:sz w:val="18"/>
              </w:rPr>
              <w:t xml:space="preserve"> i</w:t>
            </w:r>
            <w:r w:rsidR="00CC55C0">
              <w:rPr>
                <w:rFonts w:ascii="Calibri" w:hAnsi="Calibri"/>
                <w:b/>
                <w:noProof/>
                <w:sz w:val="18"/>
              </w:rPr>
              <w:t> </w:t>
            </w:r>
            <w:r w:rsidR="00CC55C0" w:rsidRPr="0071228C">
              <w:rPr>
                <w:rFonts w:ascii="Calibri" w:hAnsi="Calibri"/>
                <w:b/>
                <w:noProof/>
                <w:sz w:val="18"/>
              </w:rPr>
              <w:t>por</w:t>
            </w:r>
            <w:r w:rsidRPr="0071228C">
              <w:rPr>
                <w:rFonts w:ascii="Calibri" w:hAnsi="Calibri"/>
                <w:b/>
                <w:noProof/>
                <w:sz w:val="18"/>
              </w:rPr>
              <w:t>ad</w:t>
            </w:r>
            <w:r w:rsidR="00CC55C0" w:rsidRPr="0071228C">
              <w:rPr>
                <w:rFonts w:ascii="Calibri" w:hAnsi="Calibri"/>
                <w:b/>
                <w:noProof/>
                <w:sz w:val="18"/>
              </w:rPr>
              <w:t xml:space="preserve"> w</w:t>
            </w:r>
            <w:r w:rsidR="00CC55C0">
              <w:rPr>
                <w:rFonts w:ascii="Calibri" w:hAnsi="Calibri"/>
                <w:b/>
                <w:noProof/>
                <w:sz w:val="18"/>
              </w:rPr>
              <w:t> </w:t>
            </w:r>
            <w:r w:rsidR="00CC55C0" w:rsidRPr="0071228C">
              <w:rPr>
                <w:rFonts w:ascii="Calibri" w:hAnsi="Calibri"/>
                <w:b/>
                <w:noProof/>
                <w:sz w:val="18"/>
              </w:rPr>
              <w:t>zak</w:t>
            </w:r>
            <w:r w:rsidRPr="0071228C">
              <w:rPr>
                <w:rFonts w:ascii="Calibri" w:hAnsi="Calibri"/>
                <w:b/>
                <w:noProof/>
                <w:sz w:val="18"/>
              </w:rPr>
              <w:t xml:space="preserve">resie monitorowania </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C76FF1D"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b</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25ECAE" w14:textId="6F104E2A"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Udoskonalenie istniejących wytycznych dotyczących metody opartej na skutkach</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cel</w:t>
            </w:r>
            <w:r w:rsidRPr="0071228C">
              <w:rPr>
                <w:rFonts w:ascii="Calibri" w:hAnsi="Calibri"/>
                <w:noProof/>
                <w:sz w:val="18"/>
              </w:rPr>
              <w:t xml:space="preserve">u poprawy monitorowania grup/mieszanin zanieczyszczeń poprzez zastosowanie metod opartych na skutkach. </w:t>
            </w:r>
          </w:p>
        </w:tc>
      </w:tr>
      <w:tr w:rsidR="00334340" w:rsidRPr="0071228C" w14:paraId="409046C9"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583B993E"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172D58A"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c</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2D76C5D5" w14:textId="759835AA"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Opracowanie zharmonizowanej normy pomiaru oraz wytycznych dotyczących mikrodrobin plastiku</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wod</w:t>
            </w:r>
            <w:r w:rsidRPr="0071228C">
              <w:rPr>
                <w:rFonts w:ascii="Calibri" w:hAnsi="Calibri"/>
                <w:noProof/>
                <w:sz w:val="18"/>
              </w:rPr>
              <w:t>zie jako podstawy dla sprawozdawczości państw członkowskich</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prz</w:t>
            </w:r>
            <w:r w:rsidRPr="0071228C">
              <w:rPr>
                <w:rFonts w:ascii="Calibri" w:hAnsi="Calibri"/>
                <w:noProof/>
                <w:sz w:val="18"/>
              </w:rPr>
              <w:t>yszłego wykazu</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ram</w:t>
            </w:r>
            <w:r w:rsidRPr="0071228C">
              <w:rPr>
                <w:rFonts w:ascii="Calibri" w:hAnsi="Calibri"/>
                <w:noProof/>
                <w:sz w:val="18"/>
              </w:rPr>
              <w:t>ach dyrektywy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środowiskowych norm jakości</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dyr</w:t>
            </w:r>
            <w:r w:rsidRPr="0071228C">
              <w:rPr>
                <w:rFonts w:ascii="Calibri" w:hAnsi="Calibri"/>
                <w:noProof/>
                <w:sz w:val="18"/>
              </w:rPr>
              <w:t>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wód podziemnych.</w:t>
            </w:r>
          </w:p>
        </w:tc>
      </w:tr>
      <w:tr w:rsidR="00334340" w:rsidRPr="0071228C" w14:paraId="39928E53"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79F85A28" w14:textId="77777777"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u w:val="single"/>
              </w:rPr>
              <w:t>Wariant 2:</w:t>
            </w:r>
            <w:r w:rsidRPr="0071228C">
              <w:rPr>
                <w:rFonts w:ascii="Calibri" w:hAnsi="Calibri"/>
                <w:b/>
                <w:noProof/>
                <w:sz w:val="18"/>
              </w:rPr>
              <w:t xml:space="preserve"> Ustanowienie/zmiana obowiązkowych praktyk monitorowania</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7A79D7A"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a</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4512F5C" w14:textId="06631EE6"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Włączenie do zakresu dyrektywy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środowiskowych norm jakości obowiązku stosowania metod opartych na skutkach do celów monitorowania estrogenów.</w:t>
            </w:r>
          </w:p>
        </w:tc>
      </w:tr>
      <w:tr w:rsidR="00334340" w:rsidRPr="0071228C" w14:paraId="0D6FA8BA"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466ADEF1"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F7A6C2"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b</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3C526D6" w14:textId="2E700928"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Ustanowienie obowiązkowej listy obserwacyjnej wód podziemnych analogicznej do listy obserwacyjnej wód powierzchniowych</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wod</w:t>
            </w:r>
            <w:r w:rsidRPr="0071228C">
              <w:rPr>
                <w:rFonts w:ascii="Calibri" w:hAnsi="Calibri"/>
                <w:noProof/>
                <w:sz w:val="18"/>
              </w:rPr>
              <w:t>y pitnej oraz przedstawienie wytycznych dotyczących monitorowania substancji umieszczonych</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wyk</w:t>
            </w:r>
            <w:r w:rsidRPr="0071228C">
              <w:rPr>
                <w:rFonts w:ascii="Calibri" w:hAnsi="Calibri"/>
                <w:noProof/>
                <w:sz w:val="18"/>
              </w:rPr>
              <w:t>azie.</w:t>
            </w:r>
          </w:p>
        </w:tc>
      </w:tr>
      <w:tr w:rsidR="00334340" w:rsidRPr="0071228C" w14:paraId="2DF87A52"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0FA897E7"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51D83276"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c</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E14C5E3" w14:textId="25EE8FCC"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Usprawnienie cyklu monitorowania</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prz</w:t>
            </w:r>
            <w:r w:rsidRPr="0071228C">
              <w:rPr>
                <w:rFonts w:ascii="Calibri" w:hAnsi="Calibri"/>
                <w:noProof/>
                <w:sz w:val="18"/>
              </w:rPr>
              <w:t>eglądu listy obserwacyjnej wód powierzchniowych, aby więcej czasu można było przeznaczyć na przetwarzanie danych przed przystąpieniem do przeglądu listy.</w:t>
            </w:r>
          </w:p>
        </w:tc>
      </w:tr>
      <w:tr w:rsidR="00334340" w:rsidRPr="0071228C" w14:paraId="52A3DB06"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0796226" w14:textId="44998B86" w:rsidR="00334340" w:rsidRPr="0071228C" w:rsidRDefault="00334340" w:rsidP="00334340">
            <w:pPr>
              <w:spacing w:before="40" w:after="40"/>
              <w:jc w:val="left"/>
              <w:rPr>
                <w:rFonts w:ascii="Calibri" w:eastAsia="Calibri" w:hAnsi="Calibri" w:cs="Calibri"/>
                <w:b/>
                <w:bCs/>
                <w:noProof/>
                <w:sz w:val="18"/>
                <w:szCs w:val="18"/>
              </w:rPr>
            </w:pPr>
            <w:r w:rsidRPr="0071228C">
              <w:rPr>
                <w:rFonts w:ascii="Calibri" w:hAnsi="Calibri"/>
                <w:b/>
                <w:noProof/>
                <w:sz w:val="18"/>
                <w:u w:val="single"/>
              </w:rPr>
              <w:t>Wariant 3:</w:t>
            </w:r>
            <w:r w:rsidRPr="0071228C">
              <w:rPr>
                <w:rFonts w:ascii="Calibri" w:hAnsi="Calibri"/>
                <w:b/>
                <w:noProof/>
                <w:sz w:val="18"/>
              </w:rPr>
              <w:t xml:space="preserve"> Ujednolicenie sprawozdawczości</w:t>
            </w:r>
            <w:r w:rsidR="00CC55C0" w:rsidRPr="0071228C">
              <w:rPr>
                <w:rFonts w:ascii="Calibri" w:hAnsi="Calibri"/>
                <w:b/>
                <w:noProof/>
                <w:sz w:val="18"/>
              </w:rPr>
              <w:t xml:space="preserve"> i</w:t>
            </w:r>
            <w:r w:rsidR="00CC55C0">
              <w:rPr>
                <w:rFonts w:ascii="Calibri" w:hAnsi="Calibri"/>
                <w:b/>
                <w:noProof/>
                <w:sz w:val="18"/>
              </w:rPr>
              <w:t> </w:t>
            </w:r>
            <w:r w:rsidR="00CC55C0" w:rsidRPr="0071228C">
              <w:rPr>
                <w:rFonts w:ascii="Calibri" w:hAnsi="Calibri"/>
                <w:b/>
                <w:noProof/>
                <w:sz w:val="18"/>
              </w:rPr>
              <w:t>kla</w:t>
            </w:r>
            <w:r w:rsidRPr="0071228C">
              <w:rPr>
                <w:rFonts w:ascii="Calibri" w:hAnsi="Calibri"/>
                <w:b/>
                <w:noProof/>
                <w:sz w:val="18"/>
              </w:rPr>
              <w:t>syfikacji</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BB714C9"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a</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9A539B5" w14:textId="6A49D0FB"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Ustanowienie mechanizmu zautomatyzowanego dostarczania danych na potrzeby dyrektywy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środowiskowych norm jakości</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ram</w:t>
            </w:r>
            <w:r w:rsidRPr="0071228C">
              <w:rPr>
                <w:rFonts w:ascii="Calibri" w:hAnsi="Calibri"/>
                <w:noProof/>
                <w:sz w:val="18"/>
              </w:rPr>
              <w:t>owej dyrektywy wodnej</w:t>
            </w:r>
            <w:r w:rsidR="00CC55C0" w:rsidRPr="0071228C">
              <w:rPr>
                <w:rFonts w:ascii="Calibri" w:hAnsi="Calibri"/>
                <w:noProof/>
                <w:sz w:val="18"/>
              </w:rPr>
              <w:t xml:space="preserve"> z</w:t>
            </w:r>
            <w:r w:rsidR="00CC55C0">
              <w:rPr>
                <w:rFonts w:ascii="Calibri" w:hAnsi="Calibri"/>
                <w:noProof/>
                <w:sz w:val="18"/>
              </w:rPr>
              <w:t> </w:t>
            </w:r>
            <w:r w:rsidR="00CC55C0" w:rsidRPr="0071228C">
              <w:rPr>
                <w:rFonts w:ascii="Calibri" w:hAnsi="Calibri"/>
                <w:noProof/>
                <w:sz w:val="18"/>
              </w:rPr>
              <w:t>myś</w:t>
            </w:r>
            <w:r w:rsidRPr="0071228C">
              <w:rPr>
                <w:rFonts w:ascii="Calibri" w:hAnsi="Calibri"/>
                <w:noProof/>
                <w:sz w:val="18"/>
              </w:rPr>
              <w:t>lą</w:t>
            </w:r>
            <w:r w:rsidR="00CC55C0" w:rsidRPr="0071228C">
              <w:rPr>
                <w:rFonts w:ascii="Calibri" w:hAnsi="Calibri"/>
                <w:noProof/>
                <w:sz w:val="18"/>
              </w:rPr>
              <w:t xml:space="preserve"> o</w:t>
            </w:r>
            <w:r w:rsidR="00CC55C0">
              <w:rPr>
                <w:rFonts w:ascii="Calibri" w:hAnsi="Calibri"/>
                <w:noProof/>
                <w:sz w:val="18"/>
              </w:rPr>
              <w:t> </w:t>
            </w:r>
            <w:r w:rsidR="00CC55C0" w:rsidRPr="0071228C">
              <w:rPr>
                <w:rFonts w:ascii="Calibri" w:hAnsi="Calibri"/>
                <w:noProof/>
                <w:sz w:val="18"/>
              </w:rPr>
              <w:t>zap</w:t>
            </w:r>
            <w:r w:rsidRPr="0071228C">
              <w:rPr>
                <w:rFonts w:ascii="Calibri" w:hAnsi="Calibri"/>
                <w:noProof/>
                <w:sz w:val="18"/>
              </w:rPr>
              <w:t>ewnieniu łatwego dostępu</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kró</w:t>
            </w:r>
            <w:r w:rsidRPr="0071228C">
              <w:rPr>
                <w:rFonts w:ascii="Calibri" w:hAnsi="Calibri"/>
                <w:noProof/>
                <w:sz w:val="18"/>
              </w:rPr>
              <w:t>tkich odstępach czasu do danych dotyczących monitorowania/statusu, aby usprawnić obecną sprawozdawczość</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zmn</w:t>
            </w:r>
            <w:r w:rsidRPr="0071228C">
              <w:rPr>
                <w:rFonts w:ascii="Calibri" w:hAnsi="Calibri"/>
                <w:noProof/>
                <w:sz w:val="18"/>
              </w:rPr>
              <w:t>iejszyć związany</w:t>
            </w:r>
            <w:r w:rsidR="00CC55C0" w:rsidRPr="0071228C">
              <w:rPr>
                <w:rFonts w:ascii="Calibri" w:hAnsi="Calibri"/>
                <w:noProof/>
                <w:sz w:val="18"/>
              </w:rPr>
              <w:t xml:space="preserve"> z</w:t>
            </w:r>
            <w:r w:rsidR="00CC55C0">
              <w:rPr>
                <w:rFonts w:ascii="Calibri" w:hAnsi="Calibri"/>
                <w:noProof/>
                <w:sz w:val="18"/>
              </w:rPr>
              <w:t> </w:t>
            </w:r>
            <w:r w:rsidR="00CC55C0" w:rsidRPr="0071228C">
              <w:rPr>
                <w:rFonts w:ascii="Calibri" w:hAnsi="Calibri"/>
                <w:noProof/>
                <w:sz w:val="18"/>
              </w:rPr>
              <w:t>nią</w:t>
            </w:r>
            <w:r w:rsidRPr="0071228C">
              <w:rPr>
                <w:rFonts w:ascii="Calibri" w:hAnsi="Calibri"/>
                <w:noProof/>
                <w:sz w:val="18"/>
              </w:rPr>
              <w:t xml:space="preserve"> nakład pracy oraz umożliwić dostęp do pierwotnych danych</w:t>
            </w:r>
            <w:r w:rsidR="00CC55C0" w:rsidRPr="0071228C">
              <w:rPr>
                <w:rFonts w:ascii="Calibri" w:hAnsi="Calibri"/>
                <w:noProof/>
                <w:sz w:val="18"/>
              </w:rPr>
              <w:t xml:space="preserve"> z</w:t>
            </w:r>
            <w:r w:rsidR="00CC55C0">
              <w:rPr>
                <w:rFonts w:ascii="Calibri" w:hAnsi="Calibri"/>
                <w:noProof/>
                <w:sz w:val="18"/>
              </w:rPr>
              <w:t> </w:t>
            </w:r>
            <w:r w:rsidR="00CC55C0" w:rsidRPr="0071228C">
              <w:rPr>
                <w:rFonts w:ascii="Calibri" w:hAnsi="Calibri"/>
                <w:noProof/>
                <w:sz w:val="18"/>
              </w:rPr>
              <w:t>mon</w:t>
            </w:r>
            <w:r w:rsidRPr="0071228C">
              <w:rPr>
                <w:rFonts w:ascii="Calibri" w:hAnsi="Calibri"/>
                <w:noProof/>
                <w:sz w:val="18"/>
              </w:rPr>
              <w:t>itorowania.</w:t>
            </w:r>
          </w:p>
        </w:tc>
      </w:tr>
      <w:tr w:rsidR="00334340" w:rsidRPr="0071228C" w14:paraId="2CCDA259"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73166233"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CC22362" w14:textId="77777777" w:rsidR="00334340" w:rsidRPr="0071228C" w:rsidRDefault="00334340" w:rsidP="00334340">
            <w:pPr>
              <w:spacing w:before="40" w:after="40"/>
              <w:jc w:val="center"/>
              <w:rPr>
                <w:rFonts w:ascii="Calibri" w:eastAsia="Calibri" w:hAnsi="Calibri" w:cs="Calibri"/>
                <w:noProof/>
                <w:sz w:val="18"/>
                <w:szCs w:val="18"/>
              </w:rPr>
            </w:pPr>
            <w:r w:rsidRPr="0071228C">
              <w:rPr>
                <w:rFonts w:ascii="Calibri" w:hAnsi="Calibri"/>
                <w:noProof/>
                <w:sz w:val="18"/>
              </w:rPr>
              <w:t>b</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ED42CF5" w14:textId="07ACCCC9" w:rsidR="00334340" w:rsidRPr="0071228C" w:rsidRDefault="00334340" w:rsidP="000A5ED7">
            <w:pPr>
              <w:spacing w:before="40" w:after="40"/>
              <w:rPr>
                <w:rFonts w:ascii="Calibri" w:eastAsia="Calibri" w:hAnsi="Calibri" w:cs="Calibri"/>
                <w:noProof/>
                <w:sz w:val="18"/>
                <w:szCs w:val="18"/>
              </w:rPr>
            </w:pPr>
            <w:r w:rsidRPr="0071228C">
              <w:rPr>
                <w:rFonts w:ascii="Calibri" w:hAnsi="Calibri"/>
                <w:noProof/>
                <w:sz w:val="18"/>
              </w:rPr>
              <w:t>Wprowadzenie repozytorium środowiskowych norm jakości dotyczących zanieczyszczeń specyficznych dla dorzecza</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pos</w:t>
            </w:r>
            <w:r w:rsidRPr="0071228C">
              <w:rPr>
                <w:rFonts w:ascii="Calibri" w:hAnsi="Calibri"/>
                <w:noProof/>
                <w:sz w:val="18"/>
              </w:rPr>
              <w:t>taci załącznika do dyrektywy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środowiskowych norm jakości oraz objęcie zanieczyszczeń specyficznych dla dorzecza oceną stanu chemicznego wód powierzchniowych.</w:t>
            </w:r>
          </w:p>
        </w:tc>
      </w:tr>
      <w:tr w:rsidR="00334340" w:rsidRPr="0071228C" w14:paraId="23B9465A"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67DA072C" w14:textId="3EFE7DD1" w:rsidR="00334340" w:rsidRPr="0071228C" w:rsidRDefault="00334340" w:rsidP="00334340">
            <w:pPr>
              <w:spacing w:before="40" w:after="40"/>
              <w:ind w:left="33"/>
              <w:jc w:val="left"/>
              <w:rPr>
                <w:rFonts w:ascii="Calibri" w:eastAsia="Calibri" w:hAnsi="Calibri" w:cs="Calibri"/>
                <w:b/>
                <w:bCs/>
                <w:noProof/>
                <w:sz w:val="18"/>
                <w:szCs w:val="18"/>
              </w:rPr>
            </w:pPr>
            <w:r w:rsidRPr="0071228C">
              <w:rPr>
                <w:rFonts w:ascii="Calibri" w:hAnsi="Calibri"/>
                <w:b/>
                <w:noProof/>
                <w:sz w:val="18"/>
                <w:u w:val="single"/>
              </w:rPr>
              <w:t>Wariant 4:</w:t>
            </w:r>
            <w:r w:rsidRPr="0071228C">
              <w:rPr>
                <w:rFonts w:ascii="Calibri" w:hAnsi="Calibri"/>
                <w:b/>
                <w:noProof/>
                <w:sz w:val="18"/>
              </w:rPr>
              <w:t xml:space="preserve"> Aspekty legislacyjne</w:t>
            </w:r>
            <w:r w:rsidR="00CC55C0" w:rsidRPr="0071228C">
              <w:rPr>
                <w:rFonts w:ascii="Calibri" w:hAnsi="Calibri"/>
                <w:b/>
                <w:noProof/>
                <w:sz w:val="18"/>
              </w:rPr>
              <w:t xml:space="preserve"> i</w:t>
            </w:r>
            <w:r w:rsidR="00CC55C0">
              <w:rPr>
                <w:rFonts w:ascii="Calibri" w:hAnsi="Calibri"/>
                <w:b/>
                <w:noProof/>
                <w:sz w:val="18"/>
              </w:rPr>
              <w:t> </w:t>
            </w:r>
            <w:r w:rsidR="00CC55C0" w:rsidRPr="0071228C">
              <w:rPr>
                <w:rFonts w:ascii="Calibri" w:hAnsi="Calibri"/>
                <w:b/>
                <w:noProof/>
                <w:sz w:val="18"/>
              </w:rPr>
              <w:t>adm</w:t>
            </w:r>
            <w:r w:rsidRPr="0071228C">
              <w:rPr>
                <w:rFonts w:ascii="Calibri" w:hAnsi="Calibri"/>
                <w:b/>
                <w:noProof/>
                <w:sz w:val="18"/>
              </w:rPr>
              <w:t>inistracyjne</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25210D5" w14:textId="77777777" w:rsidR="00334340" w:rsidRPr="0071228C" w:rsidRDefault="00334340" w:rsidP="00437E25">
            <w:pPr>
              <w:spacing w:before="0" w:after="40"/>
              <w:jc w:val="center"/>
              <w:rPr>
                <w:rFonts w:ascii="Calibri" w:hAnsi="Calibri" w:cs="Calibri"/>
                <w:bCs/>
                <w:noProof/>
                <w:sz w:val="18"/>
                <w:szCs w:val="18"/>
              </w:rPr>
            </w:pPr>
            <w:r w:rsidRPr="0071228C">
              <w:rPr>
                <w:rFonts w:ascii="Calibri" w:hAnsi="Calibri"/>
                <w:noProof/>
                <w:sz w:val="18"/>
              </w:rPr>
              <w:t>a</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15C79CC" w14:textId="38A9C05D" w:rsidR="00334340" w:rsidRPr="0071228C" w:rsidRDefault="00334340" w:rsidP="000A5ED7">
            <w:pPr>
              <w:spacing w:before="40" w:after="40"/>
              <w:ind w:left="13"/>
              <w:rPr>
                <w:rFonts w:ascii="Calibri" w:eastAsia="Calibri" w:hAnsi="Calibri" w:cs="Calibri"/>
                <w:noProof/>
                <w:sz w:val="18"/>
                <w:szCs w:val="18"/>
              </w:rPr>
            </w:pPr>
            <w:r w:rsidRPr="0071228C">
              <w:rPr>
                <w:rFonts w:ascii="Calibri" w:hAnsi="Calibri"/>
                <w:noProof/>
                <w:sz w:val="18"/>
              </w:rPr>
              <w:t>Zastosowanie dyrektywy</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spr</w:t>
            </w:r>
            <w:r w:rsidRPr="0071228C">
              <w:rPr>
                <w:rFonts w:ascii="Calibri" w:hAnsi="Calibri"/>
                <w:noProof/>
                <w:sz w:val="18"/>
              </w:rPr>
              <w:t>awie środowiskowych norm jakości zamiast ramowej dyrektywy wodnej</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cel</w:t>
            </w:r>
            <w:r w:rsidRPr="0071228C">
              <w:rPr>
                <w:rFonts w:ascii="Calibri" w:hAnsi="Calibri"/>
                <w:noProof/>
                <w:sz w:val="18"/>
              </w:rPr>
              <w:t>u określenia wykazu substancji priorytetowych oraz aktualizacja wykazów zanieczyszczeń</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wod</w:t>
            </w:r>
            <w:r w:rsidRPr="0071228C">
              <w:rPr>
                <w:rFonts w:ascii="Calibri" w:hAnsi="Calibri"/>
                <w:noProof/>
                <w:sz w:val="18"/>
              </w:rPr>
              <w:t>ach powierzchniowych</w:t>
            </w:r>
            <w:r w:rsidR="00CC55C0" w:rsidRPr="0071228C">
              <w:rPr>
                <w:rFonts w:ascii="Calibri" w:hAnsi="Calibri"/>
                <w:noProof/>
                <w:sz w:val="18"/>
              </w:rPr>
              <w:t xml:space="preserve"> i</w:t>
            </w:r>
            <w:r w:rsidR="00CC55C0">
              <w:rPr>
                <w:rFonts w:ascii="Calibri" w:hAnsi="Calibri"/>
                <w:noProof/>
                <w:sz w:val="18"/>
              </w:rPr>
              <w:t> </w:t>
            </w:r>
            <w:r w:rsidR="00CC55C0" w:rsidRPr="0071228C">
              <w:rPr>
                <w:rFonts w:ascii="Calibri" w:hAnsi="Calibri"/>
                <w:noProof/>
                <w:sz w:val="18"/>
              </w:rPr>
              <w:t>pod</w:t>
            </w:r>
            <w:r w:rsidRPr="0071228C">
              <w:rPr>
                <w:rFonts w:ascii="Calibri" w:hAnsi="Calibri"/>
                <w:noProof/>
                <w:sz w:val="18"/>
              </w:rPr>
              <w:t>ziemnych</w:t>
            </w:r>
            <w:r w:rsidR="00CC55C0" w:rsidRPr="0071228C">
              <w:rPr>
                <w:rFonts w:ascii="Calibri" w:hAnsi="Calibri"/>
                <w:noProof/>
                <w:sz w:val="18"/>
              </w:rPr>
              <w:t xml:space="preserve"> w</w:t>
            </w:r>
            <w:r w:rsidR="00CC55C0">
              <w:rPr>
                <w:rFonts w:ascii="Calibri" w:hAnsi="Calibri"/>
                <w:noProof/>
                <w:sz w:val="18"/>
              </w:rPr>
              <w:t> </w:t>
            </w:r>
            <w:r w:rsidR="00CC55C0" w:rsidRPr="0071228C">
              <w:rPr>
                <w:rFonts w:ascii="Calibri" w:hAnsi="Calibri"/>
                <w:noProof/>
                <w:sz w:val="18"/>
              </w:rPr>
              <w:t>dro</w:t>
            </w:r>
            <w:r w:rsidRPr="0071228C">
              <w:rPr>
                <w:rFonts w:ascii="Calibri" w:hAnsi="Calibri"/>
                <w:noProof/>
                <w:sz w:val="18"/>
              </w:rPr>
              <w:t>dze procedury komitetowej lub aktów delegowanych.</w:t>
            </w:r>
          </w:p>
        </w:tc>
      </w:tr>
      <w:tr w:rsidR="00334340" w:rsidRPr="0071228C" w14:paraId="0F839218"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15CCA9DD"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79D3B7B" w14:textId="77777777" w:rsidR="00334340" w:rsidRPr="0071228C" w:rsidRDefault="00334340" w:rsidP="00437E25">
            <w:pPr>
              <w:spacing w:before="0" w:after="40"/>
              <w:jc w:val="center"/>
              <w:rPr>
                <w:rFonts w:ascii="Calibri" w:hAnsi="Calibri" w:cs="Calibri"/>
                <w:noProof/>
                <w:sz w:val="18"/>
                <w:szCs w:val="18"/>
              </w:rPr>
            </w:pPr>
            <w:r w:rsidRPr="0071228C">
              <w:rPr>
                <w:rFonts w:ascii="Calibri" w:hAnsi="Calibri"/>
                <w:noProof/>
                <w:sz w:val="18"/>
              </w:rPr>
              <w:t>b</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5FFC05E" w14:textId="72D87F36" w:rsidR="00334340" w:rsidRPr="0071228C" w:rsidRDefault="00334340" w:rsidP="009853E3">
            <w:pPr>
              <w:rPr>
                <w:rFonts w:asciiTheme="minorHAnsi" w:hAnsiTheme="minorHAnsi" w:cstheme="minorHAnsi"/>
                <w:noProof/>
                <w:sz w:val="18"/>
                <w:szCs w:val="18"/>
              </w:rPr>
            </w:pPr>
            <w:r w:rsidRPr="0071228C">
              <w:rPr>
                <w:rFonts w:asciiTheme="minorHAnsi" w:hAnsiTheme="minorHAnsi"/>
                <w:noProof/>
                <w:sz w:val="18"/>
              </w:rPr>
              <w:t>Zmiana statusu aldryny, dieldryny, endryny, izodryny, DDT, tetrachloroetylenu</w:t>
            </w:r>
            <w:r w:rsidR="00CC55C0" w:rsidRPr="0071228C">
              <w:rPr>
                <w:rFonts w:asciiTheme="minorHAnsi" w:hAnsiTheme="minorHAnsi"/>
                <w:noProof/>
                <w:sz w:val="18"/>
              </w:rPr>
              <w:t xml:space="preserve"> i</w:t>
            </w:r>
            <w:r w:rsidR="00CC55C0">
              <w:rPr>
                <w:rFonts w:asciiTheme="minorHAnsi" w:hAnsiTheme="minorHAnsi"/>
                <w:noProof/>
                <w:sz w:val="18"/>
              </w:rPr>
              <w:t> </w:t>
            </w:r>
            <w:r w:rsidR="00CC55C0" w:rsidRPr="0071228C">
              <w:rPr>
                <w:rFonts w:asciiTheme="minorHAnsi" w:hAnsiTheme="minorHAnsi"/>
                <w:noProof/>
                <w:sz w:val="18"/>
              </w:rPr>
              <w:t>tró</w:t>
            </w:r>
            <w:r w:rsidRPr="0071228C">
              <w:rPr>
                <w:rFonts w:asciiTheme="minorHAnsi" w:hAnsiTheme="minorHAnsi"/>
                <w:noProof/>
                <w:sz w:val="18"/>
              </w:rPr>
              <w:t>jchloroetylenu z „innych zanieczyszczeń” na status substancji priorytetowych.</w:t>
            </w:r>
          </w:p>
        </w:tc>
      </w:tr>
      <w:tr w:rsidR="00334340" w:rsidRPr="0071228C" w14:paraId="28161B05"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4588622F" w14:textId="77777777" w:rsidR="00334340" w:rsidRPr="0071228C" w:rsidRDefault="00334340" w:rsidP="00334340">
            <w:pPr>
              <w:spacing w:before="0" w:after="0"/>
              <w:jc w:val="left"/>
              <w:rPr>
                <w:rFonts w:ascii="Calibri" w:eastAsia="Calibri" w:hAnsi="Calibri" w:cs="Calibri"/>
                <w:b/>
                <w:bCs/>
                <w:noProof/>
                <w:sz w:val="18"/>
                <w:szCs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C2B7925" w14:textId="77777777" w:rsidR="00334340" w:rsidRPr="0071228C" w:rsidRDefault="00334340" w:rsidP="00437E25">
            <w:pPr>
              <w:spacing w:before="0" w:after="40"/>
              <w:jc w:val="center"/>
              <w:rPr>
                <w:rFonts w:ascii="Calibri" w:hAnsi="Calibri" w:cs="Calibri"/>
                <w:bCs/>
                <w:noProof/>
                <w:sz w:val="18"/>
                <w:szCs w:val="18"/>
              </w:rPr>
            </w:pPr>
            <w:r w:rsidRPr="0071228C">
              <w:rPr>
                <w:rFonts w:ascii="Calibri" w:hAnsi="Calibri"/>
                <w:noProof/>
                <w:sz w:val="18"/>
              </w:rPr>
              <w:t>c</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AD352A3" w14:textId="23A6E3B1" w:rsidR="00334340" w:rsidRPr="0071228C" w:rsidRDefault="00334340" w:rsidP="009853E3">
            <w:pPr>
              <w:rPr>
                <w:rFonts w:asciiTheme="minorHAnsi" w:hAnsiTheme="minorHAnsi" w:cstheme="minorHAnsi"/>
                <w:noProof/>
                <w:sz w:val="18"/>
                <w:szCs w:val="18"/>
              </w:rPr>
            </w:pPr>
            <w:r w:rsidRPr="0071228C">
              <w:rPr>
                <w:rFonts w:asciiTheme="minorHAnsi" w:hAnsiTheme="minorHAnsi"/>
                <w:noProof/>
                <w:sz w:val="18"/>
              </w:rPr>
              <w:t>Zmiana statusu 1,2-dichloroetanu, fluorantenu, ołowiu, etoksylatów oktylofenolu</w:t>
            </w:r>
            <w:r w:rsidR="00CC55C0" w:rsidRPr="0071228C">
              <w:rPr>
                <w:rFonts w:asciiTheme="minorHAnsi" w:hAnsiTheme="minorHAnsi"/>
                <w:noProof/>
                <w:sz w:val="18"/>
              </w:rPr>
              <w:t xml:space="preserve"> i</w:t>
            </w:r>
            <w:r w:rsidR="00CC55C0">
              <w:rPr>
                <w:rFonts w:asciiTheme="minorHAnsi" w:hAnsiTheme="minorHAnsi"/>
                <w:noProof/>
                <w:sz w:val="18"/>
              </w:rPr>
              <w:t> </w:t>
            </w:r>
            <w:r w:rsidR="00CC55C0" w:rsidRPr="0071228C">
              <w:rPr>
                <w:rFonts w:asciiTheme="minorHAnsi" w:hAnsiTheme="minorHAnsi"/>
                <w:noProof/>
                <w:sz w:val="18"/>
              </w:rPr>
              <w:t>pen</w:t>
            </w:r>
            <w:r w:rsidRPr="0071228C">
              <w:rPr>
                <w:rFonts w:asciiTheme="minorHAnsi" w:hAnsiTheme="minorHAnsi"/>
                <w:noProof/>
                <w:sz w:val="18"/>
              </w:rPr>
              <w:t>tachlorofenolu na status priorytetowych substancji niebezpiecznych.</w:t>
            </w:r>
          </w:p>
        </w:tc>
      </w:tr>
    </w:tbl>
    <w:p w14:paraId="7317668E" w14:textId="77777777" w:rsidR="009B2C6D" w:rsidRPr="0071228C" w:rsidRDefault="009B2C6D" w:rsidP="009B2C6D">
      <w:pPr>
        <w:tabs>
          <w:tab w:val="left" w:pos="2064"/>
        </w:tabs>
        <w:spacing w:before="0" w:after="0"/>
        <w:jc w:val="left"/>
        <w:rPr>
          <w:noProof/>
        </w:rPr>
      </w:pPr>
    </w:p>
    <w:p w14:paraId="63C64A53" w14:textId="29A72D75" w:rsidR="002821B9" w:rsidRPr="0071228C" w:rsidRDefault="002821B9" w:rsidP="009B2C6D">
      <w:pPr>
        <w:tabs>
          <w:tab w:val="left" w:pos="2064"/>
        </w:tabs>
        <w:spacing w:before="0" w:after="0"/>
        <w:rPr>
          <w:noProof/>
        </w:rPr>
      </w:pPr>
      <w:r w:rsidRPr="0071228C">
        <w:rPr>
          <w:noProof/>
        </w:rPr>
        <w:t>Proponowany pakiet środków na rzecz wody zapewnia utrzymanie proporcjonalności zmian legislacyjnych</w:t>
      </w:r>
      <w:r w:rsidR="00CC55C0" w:rsidRPr="0071228C">
        <w:rPr>
          <w:noProof/>
        </w:rPr>
        <w:t xml:space="preserve"> i</w:t>
      </w:r>
      <w:r w:rsidR="00CC55C0">
        <w:rPr>
          <w:noProof/>
        </w:rPr>
        <w:t> </w:t>
      </w:r>
      <w:r w:rsidR="00CC55C0" w:rsidRPr="0071228C">
        <w:rPr>
          <w:noProof/>
        </w:rPr>
        <w:t>wię</w:t>
      </w:r>
      <w:r w:rsidRPr="0071228C">
        <w:rPr>
          <w:noProof/>
        </w:rPr>
        <w:t>ksze korzyści gospodarcze, społeczne</w:t>
      </w:r>
      <w:r w:rsidR="00CC55C0" w:rsidRPr="0071228C">
        <w:rPr>
          <w:noProof/>
        </w:rPr>
        <w:t xml:space="preserve"> i</w:t>
      </w:r>
      <w:r w:rsidR="00CC55C0">
        <w:rPr>
          <w:noProof/>
        </w:rPr>
        <w:t> </w:t>
      </w:r>
      <w:r w:rsidR="00CC55C0" w:rsidRPr="0071228C">
        <w:rPr>
          <w:noProof/>
        </w:rPr>
        <w:t>śro</w:t>
      </w:r>
      <w:r w:rsidRPr="0071228C">
        <w:rPr>
          <w:noProof/>
        </w:rPr>
        <w:t>dowiskowe</w:t>
      </w:r>
      <w:r w:rsidR="00CC55C0" w:rsidRPr="0071228C">
        <w:rPr>
          <w:noProof/>
        </w:rPr>
        <w:t xml:space="preserve"> w</w:t>
      </w:r>
      <w:r w:rsidR="00CC55C0">
        <w:rPr>
          <w:noProof/>
        </w:rPr>
        <w:t> </w:t>
      </w:r>
      <w:r w:rsidR="00CC55C0" w:rsidRPr="0071228C">
        <w:rPr>
          <w:noProof/>
        </w:rPr>
        <w:t>sto</w:t>
      </w:r>
      <w:r w:rsidRPr="0071228C">
        <w:rPr>
          <w:noProof/>
        </w:rPr>
        <w:t xml:space="preserve">sunku do odpowiadających im kosztów oraz koncentrowanie się tych środków na problemach, które najlepiej rozwiązać na szczeblu UE. </w:t>
      </w:r>
    </w:p>
    <w:p w14:paraId="491E2BFE" w14:textId="06AE350E" w:rsidR="002821B9" w:rsidRPr="00CC55C0" w:rsidRDefault="002821B9" w:rsidP="002821B9">
      <w:pPr>
        <w:rPr>
          <w:noProof/>
        </w:rPr>
      </w:pPr>
      <w:r w:rsidRPr="0071228C">
        <w:rPr>
          <w:noProof/>
        </w:rPr>
        <w:t>Ilościowe określenie kosztów –</w:t>
      </w:r>
      <w:r w:rsidR="00CC55C0" w:rsidRPr="0071228C">
        <w:rPr>
          <w:noProof/>
        </w:rPr>
        <w:t xml:space="preserve"> a</w:t>
      </w:r>
      <w:r w:rsidR="00CC55C0">
        <w:rPr>
          <w:noProof/>
        </w:rPr>
        <w:t> </w:t>
      </w:r>
      <w:r w:rsidR="00CC55C0" w:rsidRPr="0071228C">
        <w:rPr>
          <w:noProof/>
        </w:rPr>
        <w:t>zwł</w:t>
      </w:r>
      <w:r w:rsidRPr="0071228C">
        <w:rPr>
          <w:noProof/>
        </w:rPr>
        <w:t>aszcza korzyści – tej inicjatywy jest trudne, biorąc pod uwagę jej interakcję</w:t>
      </w:r>
      <w:r w:rsidR="00CC55C0" w:rsidRPr="0071228C">
        <w:rPr>
          <w:noProof/>
        </w:rPr>
        <w:t xml:space="preserve"> z</w:t>
      </w:r>
      <w:r w:rsidR="00CC55C0">
        <w:rPr>
          <w:noProof/>
        </w:rPr>
        <w:t> </w:t>
      </w:r>
      <w:r w:rsidR="00CC55C0" w:rsidRPr="0071228C">
        <w:rPr>
          <w:noProof/>
        </w:rPr>
        <w:t>inn</w:t>
      </w:r>
      <w:r w:rsidRPr="0071228C">
        <w:rPr>
          <w:noProof/>
        </w:rPr>
        <w:t>ymi inicjatywami strategicznymi (i zależność od nich)</w:t>
      </w:r>
      <w:r w:rsidR="00CC55C0" w:rsidRPr="0071228C">
        <w:rPr>
          <w:noProof/>
        </w:rPr>
        <w:t xml:space="preserve"> w</w:t>
      </w:r>
      <w:r w:rsidR="00CC55C0">
        <w:rPr>
          <w:noProof/>
        </w:rPr>
        <w:t> </w:t>
      </w:r>
      <w:r w:rsidR="00CC55C0" w:rsidRPr="0071228C">
        <w:rPr>
          <w:noProof/>
        </w:rPr>
        <w:t>zak</w:t>
      </w:r>
      <w:r w:rsidRPr="0071228C">
        <w:rPr>
          <w:noProof/>
        </w:rPr>
        <w:t>resie odniesieniu do ogólnounijnych środków. Ponadto państwa członkowskie mogą</w:t>
      </w:r>
      <w:r w:rsidR="00CC55C0" w:rsidRPr="0071228C">
        <w:rPr>
          <w:noProof/>
        </w:rPr>
        <w:t xml:space="preserve"> w</w:t>
      </w:r>
      <w:r w:rsidR="00CC55C0">
        <w:rPr>
          <w:noProof/>
        </w:rPr>
        <w:t> </w:t>
      </w:r>
      <w:r w:rsidR="00CC55C0" w:rsidRPr="0071228C">
        <w:rPr>
          <w:noProof/>
        </w:rPr>
        <w:t>duż</w:t>
      </w:r>
      <w:r w:rsidRPr="0071228C">
        <w:rPr>
          <w:noProof/>
        </w:rPr>
        <w:t>ej mierze wybierać środki, które wdrażają</w:t>
      </w:r>
      <w:r w:rsidR="00CC55C0" w:rsidRPr="0071228C">
        <w:rPr>
          <w:noProof/>
        </w:rPr>
        <w:t xml:space="preserve"> w</w:t>
      </w:r>
      <w:r w:rsidR="00CC55C0">
        <w:rPr>
          <w:noProof/>
        </w:rPr>
        <w:t> </w:t>
      </w:r>
      <w:r w:rsidR="00CC55C0" w:rsidRPr="0071228C">
        <w:rPr>
          <w:noProof/>
        </w:rPr>
        <w:t>cel</w:t>
      </w:r>
      <w:r w:rsidRPr="0071228C">
        <w:rPr>
          <w:noProof/>
        </w:rPr>
        <w:t>u osiągnięcia zgodności: będą się więc one różnić</w:t>
      </w:r>
      <w:r w:rsidR="00CC55C0" w:rsidRPr="0071228C">
        <w:rPr>
          <w:noProof/>
        </w:rPr>
        <w:t xml:space="preserve"> w</w:t>
      </w:r>
      <w:r w:rsidR="00CC55C0">
        <w:rPr>
          <w:noProof/>
        </w:rPr>
        <w:t> </w:t>
      </w:r>
      <w:r w:rsidR="00CC55C0" w:rsidRPr="0071228C">
        <w:rPr>
          <w:noProof/>
        </w:rPr>
        <w:t>zal</w:t>
      </w:r>
      <w:r w:rsidRPr="0071228C">
        <w:rPr>
          <w:noProof/>
        </w:rPr>
        <w:t>eżności od warunków krajowych/lokalnych</w:t>
      </w:r>
      <w:r w:rsidRPr="00CC55C0">
        <w:rPr>
          <w:noProof/>
        </w:rPr>
        <w:t>.</w:t>
      </w:r>
      <w:r w:rsidR="00CC55C0" w:rsidRPr="00CC55C0">
        <w:rPr>
          <w:noProof/>
        </w:rPr>
        <w:t xml:space="preserve"> </w:t>
      </w:r>
    </w:p>
    <w:p w14:paraId="258A80F2" w14:textId="43435E3A" w:rsidR="00C079ED" w:rsidRPr="0071228C" w:rsidRDefault="002821B9" w:rsidP="002821B9">
      <w:pPr>
        <w:rPr>
          <w:noProof/>
        </w:rPr>
      </w:pPr>
      <w:r w:rsidRPr="0071228C">
        <w:rPr>
          <w:noProof/>
        </w:rPr>
        <w:t>Oczekuje się, że</w:t>
      </w:r>
      <w:r w:rsidR="00CC55C0" w:rsidRPr="0071228C">
        <w:rPr>
          <w:noProof/>
        </w:rPr>
        <w:t xml:space="preserve"> w</w:t>
      </w:r>
      <w:r w:rsidR="00CC55C0">
        <w:rPr>
          <w:noProof/>
        </w:rPr>
        <w:t> </w:t>
      </w:r>
      <w:r w:rsidR="00CC55C0" w:rsidRPr="0071228C">
        <w:rPr>
          <w:noProof/>
        </w:rPr>
        <w:t>prz</w:t>
      </w:r>
      <w:r w:rsidRPr="0071228C">
        <w:rPr>
          <w:noProof/>
        </w:rPr>
        <w:t>ypadku wód powierzchniowych koszty bezpośrednie będą znaczne, na przykład</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umi</w:t>
      </w:r>
      <w:r w:rsidRPr="0071228C">
        <w:rPr>
          <w:noProof/>
        </w:rPr>
        <w:t>eszczeniem ibuprofenu, glifosatu, PFAS</w:t>
      </w:r>
      <w:r w:rsidR="00CC55C0" w:rsidRPr="0071228C">
        <w:rPr>
          <w:noProof/>
        </w:rPr>
        <w:t xml:space="preserve"> i</w:t>
      </w:r>
      <w:r w:rsidR="00CC55C0">
        <w:rPr>
          <w:noProof/>
        </w:rPr>
        <w:t> </w:t>
      </w:r>
      <w:r w:rsidR="00CC55C0" w:rsidRPr="0071228C">
        <w:rPr>
          <w:noProof/>
        </w:rPr>
        <w:t>bis</w:t>
      </w:r>
      <w:r w:rsidRPr="0071228C">
        <w:rPr>
          <w:noProof/>
        </w:rPr>
        <w:t>fenolu A</w:t>
      </w:r>
      <w:r w:rsidR="00CC55C0" w:rsidRPr="0071228C">
        <w:rPr>
          <w:noProof/>
        </w:rPr>
        <w:t xml:space="preserve"> w</w:t>
      </w:r>
      <w:r w:rsidR="00CC55C0">
        <w:rPr>
          <w:noProof/>
        </w:rPr>
        <w:t> </w:t>
      </w:r>
      <w:r w:rsidR="00CC55C0" w:rsidRPr="0071228C">
        <w:rPr>
          <w:noProof/>
        </w:rPr>
        <w:t>wyk</w:t>
      </w:r>
      <w:r w:rsidRPr="0071228C">
        <w:rPr>
          <w:noProof/>
        </w:rPr>
        <w:t>azie substancji priorytetowych,</w:t>
      </w:r>
      <w:r w:rsidR="00CC55C0" w:rsidRPr="0071228C">
        <w:rPr>
          <w:noProof/>
        </w:rPr>
        <w:t xml:space="preserve"> a</w:t>
      </w:r>
      <w:r w:rsidR="00CC55C0">
        <w:rPr>
          <w:noProof/>
        </w:rPr>
        <w:t> </w:t>
      </w:r>
      <w:r w:rsidR="00CC55C0" w:rsidRPr="0071228C">
        <w:rPr>
          <w:noProof/>
        </w:rPr>
        <w:t>tak</w:t>
      </w:r>
      <w:r w:rsidRPr="0071228C">
        <w:rPr>
          <w:noProof/>
        </w:rPr>
        <w:t>że</w:t>
      </w:r>
      <w:r w:rsidR="00CC55C0" w:rsidRPr="0071228C">
        <w:rPr>
          <w:noProof/>
        </w:rPr>
        <w:t xml:space="preserve"> w</w:t>
      </w:r>
      <w:r w:rsidR="00CC55C0">
        <w:rPr>
          <w:noProof/>
        </w:rPr>
        <w:t> </w:t>
      </w:r>
      <w:r w:rsidR="00CC55C0" w:rsidRPr="0071228C">
        <w:rPr>
          <w:noProof/>
        </w:rPr>
        <w:t>zwi</w:t>
      </w:r>
      <w:r w:rsidRPr="0071228C">
        <w:rPr>
          <w:noProof/>
        </w:rPr>
        <w:t>ązku ze zmianą środowiskowych norm jakości dotyczących wielopierścieniowych węglowodorów aromatycznych (WWA), rtęci</w:t>
      </w:r>
      <w:r w:rsidR="00CC55C0" w:rsidRPr="0071228C">
        <w:rPr>
          <w:noProof/>
        </w:rPr>
        <w:t xml:space="preserve"> i</w:t>
      </w:r>
      <w:r w:rsidR="00CC55C0">
        <w:rPr>
          <w:noProof/>
        </w:rPr>
        <w:t> </w:t>
      </w:r>
      <w:r w:rsidR="00CC55C0" w:rsidRPr="0071228C">
        <w:rPr>
          <w:noProof/>
        </w:rPr>
        <w:t>nik</w:t>
      </w:r>
      <w:r w:rsidRPr="0071228C">
        <w:rPr>
          <w:noProof/>
        </w:rPr>
        <w:t>lu. Może to prowadzić do powstania kosztów związanych</w:t>
      </w:r>
      <w:r w:rsidR="00CC55C0" w:rsidRPr="0071228C">
        <w:rPr>
          <w:noProof/>
        </w:rPr>
        <w:t xml:space="preserve"> z</w:t>
      </w:r>
      <w:r w:rsidR="00CC55C0">
        <w:rPr>
          <w:noProof/>
        </w:rPr>
        <w:t> </w:t>
      </w:r>
      <w:r w:rsidR="00CC55C0" w:rsidRPr="0071228C">
        <w:rPr>
          <w:noProof/>
        </w:rPr>
        <w:t>roz</w:t>
      </w:r>
      <w:r w:rsidRPr="0071228C">
        <w:rPr>
          <w:noProof/>
        </w:rPr>
        <w:t>wojem produktów</w:t>
      </w:r>
      <w:r w:rsidR="00CC55C0" w:rsidRPr="0071228C">
        <w:rPr>
          <w:noProof/>
        </w:rPr>
        <w:t xml:space="preserve"> w</w:t>
      </w:r>
      <w:r w:rsidR="00CC55C0">
        <w:rPr>
          <w:noProof/>
        </w:rPr>
        <w:t> </w:t>
      </w:r>
      <w:r w:rsidR="00CC55C0" w:rsidRPr="0071228C">
        <w:rPr>
          <w:noProof/>
        </w:rPr>
        <w:t>prz</w:t>
      </w:r>
      <w:r w:rsidRPr="0071228C">
        <w:rPr>
          <w:noProof/>
        </w:rPr>
        <w:t>ypadku przemysłu</w:t>
      </w:r>
      <w:r w:rsidR="00CC55C0" w:rsidRPr="0071228C">
        <w:rPr>
          <w:noProof/>
        </w:rPr>
        <w:t xml:space="preserve"> i</w:t>
      </w:r>
      <w:r w:rsidR="00CC55C0">
        <w:rPr>
          <w:noProof/>
        </w:rPr>
        <w:t> </w:t>
      </w:r>
      <w:r w:rsidR="00CC55C0" w:rsidRPr="0071228C">
        <w:rPr>
          <w:noProof/>
        </w:rPr>
        <w:t>kos</w:t>
      </w:r>
      <w:r w:rsidRPr="0071228C">
        <w:rPr>
          <w:noProof/>
        </w:rPr>
        <w:t>ztów zastąpienia</w:t>
      </w:r>
      <w:r w:rsidR="00CC55C0" w:rsidRPr="0071228C">
        <w:rPr>
          <w:noProof/>
        </w:rPr>
        <w:t xml:space="preserve"> w</w:t>
      </w:r>
      <w:r w:rsidR="00CC55C0">
        <w:rPr>
          <w:noProof/>
        </w:rPr>
        <w:t> </w:t>
      </w:r>
      <w:r w:rsidR="00CC55C0" w:rsidRPr="0071228C">
        <w:rPr>
          <w:noProof/>
        </w:rPr>
        <w:t>prz</w:t>
      </w:r>
      <w:r w:rsidRPr="0071228C">
        <w:rPr>
          <w:noProof/>
        </w:rPr>
        <w:t>ypadku użytkowników tych substancji,</w:t>
      </w:r>
      <w:r w:rsidR="00CC55C0" w:rsidRPr="0071228C">
        <w:rPr>
          <w:noProof/>
        </w:rPr>
        <w:t xml:space="preserve"> w</w:t>
      </w:r>
      <w:r w:rsidR="00CC55C0">
        <w:rPr>
          <w:noProof/>
        </w:rPr>
        <w:t> </w:t>
      </w:r>
      <w:r w:rsidR="00CC55C0" w:rsidRPr="0071228C">
        <w:rPr>
          <w:noProof/>
        </w:rPr>
        <w:t>tym w</w:t>
      </w:r>
      <w:r w:rsidR="00CC55C0">
        <w:rPr>
          <w:noProof/>
        </w:rPr>
        <w:t> </w:t>
      </w:r>
      <w:r w:rsidR="00CC55C0" w:rsidRPr="0071228C">
        <w:rPr>
          <w:noProof/>
        </w:rPr>
        <w:t>sek</w:t>
      </w:r>
      <w:r w:rsidRPr="0071228C">
        <w:rPr>
          <w:noProof/>
        </w:rPr>
        <w:t xml:space="preserve">torze rolnym. </w:t>
      </w:r>
    </w:p>
    <w:p w14:paraId="4D819D4E" w14:textId="27EDD790" w:rsidR="002821B9" w:rsidRPr="0071228C" w:rsidRDefault="002821B9" w:rsidP="002821B9">
      <w:pPr>
        <w:rPr>
          <w:noProof/>
        </w:rPr>
      </w:pPr>
      <w:r w:rsidRPr="0071228C">
        <w:rPr>
          <w:noProof/>
        </w:rPr>
        <w:t>W odniesieniu do wód podziemnych największe koszty powstaną prawdopodobnie</w:t>
      </w:r>
      <w:r w:rsidR="00CC55C0" w:rsidRPr="0071228C">
        <w:rPr>
          <w:noProof/>
        </w:rPr>
        <w:t xml:space="preserve"> w</w:t>
      </w:r>
      <w:r w:rsidR="00CC55C0">
        <w:rPr>
          <w:noProof/>
        </w:rPr>
        <w:t> </w:t>
      </w:r>
      <w:r w:rsidR="00CC55C0" w:rsidRPr="0071228C">
        <w:rPr>
          <w:noProof/>
        </w:rPr>
        <w:t>wyn</w:t>
      </w:r>
      <w:r w:rsidRPr="0071228C">
        <w:rPr>
          <w:noProof/>
        </w:rPr>
        <w:t>iku dodania norm jakości</w:t>
      </w:r>
      <w:r w:rsidR="00CC55C0" w:rsidRPr="0071228C">
        <w:rPr>
          <w:noProof/>
        </w:rPr>
        <w:t xml:space="preserve"> w</w:t>
      </w:r>
      <w:r w:rsidR="00CC55C0">
        <w:rPr>
          <w:noProof/>
        </w:rPr>
        <w:t> </w:t>
      </w:r>
      <w:r w:rsidR="00CC55C0" w:rsidRPr="0071228C">
        <w:rPr>
          <w:noProof/>
        </w:rPr>
        <w:t>odn</w:t>
      </w:r>
      <w:r w:rsidRPr="0071228C">
        <w:rPr>
          <w:noProof/>
        </w:rPr>
        <w:t>iesieniu do PFAS. Koszty mogą być związane</w:t>
      </w:r>
      <w:r w:rsidR="00CC55C0" w:rsidRPr="0071228C">
        <w:rPr>
          <w:noProof/>
        </w:rPr>
        <w:t xml:space="preserve"> z</w:t>
      </w:r>
      <w:r w:rsidR="00CC55C0">
        <w:rPr>
          <w:noProof/>
        </w:rPr>
        <w:t> </w:t>
      </w:r>
      <w:r w:rsidR="00CC55C0" w:rsidRPr="0071228C">
        <w:rPr>
          <w:noProof/>
        </w:rPr>
        <w:t>ogr</w:t>
      </w:r>
      <w:r w:rsidRPr="0071228C">
        <w:rPr>
          <w:noProof/>
        </w:rPr>
        <w:t>aniczeniem stosowania pestycydów lub chemikaliów przemysłowych, na przykład</w:t>
      </w:r>
      <w:r w:rsidR="00CC55C0" w:rsidRPr="0071228C">
        <w:rPr>
          <w:noProof/>
        </w:rPr>
        <w:t xml:space="preserve"> w</w:t>
      </w:r>
      <w:r w:rsidR="00CC55C0">
        <w:rPr>
          <w:noProof/>
        </w:rPr>
        <w:t> </w:t>
      </w:r>
      <w:r w:rsidR="00CC55C0" w:rsidRPr="0071228C">
        <w:rPr>
          <w:noProof/>
        </w:rPr>
        <w:t>cel</w:t>
      </w:r>
      <w:r w:rsidRPr="0071228C">
        <w:rPr>
          <w:noProof/>
        </w:rPr>
        <w:t>u zagospodarowania skażonych ustabilizowanych komunalnych odpadów ściekowych</w:t>
      </w:r>
      <w:r w:rsidR="00CC55C0" w:rsidRPr="0071228C">
        <w:rPr>
          <w:noProof/>
        </w:rPr>
        <w:t xml:space="preserve"> i</w:t>
      </w:r>
      <w:r w:rsidR="00CC55C0">
        <w:rPr>
          <w:noProof/>
        </w:rPr>
        <w:t> </w:t>
      </w:r>
      <w:r w:rsidR="00CC55C0" w:rsidRPr="0071228C">
        <w:rPr>
          <w:noProof/>
        </w:rPr>
        <w:t>zin</w:t>
      </w:r>
      <w:r w:rsidRPr="0071228C">
        <w:rPr>
          <w:noProof/>
        </w:rPr>
        <w:t>tensyfikowania oczyszczania ścieków. Koszty preferowanych wariantów dotyczących transformacji cyfrowej, usprawnienia administracji</w:t>
      </w:r>
      <w:r w:rsidR="00CC55C0" w:rsidRPr="0071228C">
        <w:rPr>
          <w:noProof/>
        </w:rPr>
        <w:t xml:space="preserve"> i</w:t>
      </w:r>
      <w:r w:rsidR="00CC55C0">
        <w:rPr>
          <w:noProof/>
        </w:rPr>
        <w:t> </w:t>
      </w:r>
      <w:r w:rsidR="00CC55C0" w:rsidRPr="0071228C">
        <w:rPr>
          <w:noProof/>
        </w:rPr>
        <w:t>lep</w:t>
      </w:r>
      <w:r w:rsidRPr="0071228C">
        <w:rPr>
          <w:noProof/>
        </w:rPr>
        <w:t>szego zarządzania ryzykiem mają charakter administracyjny – początkowo koszty te wystąpiłyby na poziomie UE</w:t>
      </w:r>
      <w:r w:rsidR="00CC55C0" w:rsidRPr="0071228C">
        <w:rPr>
          <w:noProof/>
        </w:rPr>
        <w:t xml:space="preserve"> i</w:t>
      </w:r>
      <w:r w:rsidR="00CC55C0">
        <w:rPr>
          <w:noProof/>
        </w:rPr>
        <w:t> </w:t>
      </w:r>
      <w:r w:rsidR="00CC55C0" w:rsidRPr="0071228C">
        <w:rPr>
          <w:noProof/>
        </w:rPr>
        <w:t>ogó</w:t>
      </w:r>
      <w:r w:rsidRPr="0071228C">
        <w:rPr>
          <w:noProof/>
        </w:rPr>
        <w:t>lnie byłyby niskie,</w:t>
      </w:r>
      <w:r w:rsidR="00CC55C0" w:rsidRPr="0071228C">
        <w:rPr>
          <w:noProof/>
        </w:rPr>
        <w:t xml:space="preserve"> z</w:t>
      </w:r>
      <w:r w:rsidR="00CC55C0">
        <w:rPr>
          <w:noProof/>
        </w:rPr>
        <w:t> </w:t>
      </w:r>
      <w:r w:rsidR="00CC55C0" w:rsidRPr="0071228C">
        <w:rPr>
          <w:noProof/>
        </w:rPr>
        <w:t>wyj</w:t>
      </w:r>
      <w:r w:rsidRPr="0071228C">
        <w:rPr>
          <w:noProof/>
        </w:rPr>
        <w:t>ątkiem mechanizmu zautomatyzowanego dostarczania danych. Kosztów nie można przypisać wyłącznie niniejszej inicjatywie ze względu na nieuniknione interakcje</w:t>
      </w:r>
      <w:r w:rsidR="00CC55C0" w:rsidRPr="0071228C">
        <w:rPr>
          <w:noProof/>
        </w:rPr>
        <w:t xml:space="preserve"> i</w:t>
      </w:r>
      <w:r w:rsidR="00CC55C0">
        <w:rPr>
          <w:noProof/>
        </w:rPr>
        <w:t> </w:t>
      </w:r>
      <w:r w:rsidR="00CC55C0" w:rsidRPr="0071228C">
        <w:rPr>
          <w:noProof/>
        </w:rPr>
        <w:t>syn</w:t>
      </w:r>
      <w:r w:rsidRPr="0071228C">
        <w:rPr>
          <w:noProof/>
        </w:rPr>
        <w:t>ergie</w:t>
      </w:r>
      <w:r w:rsidR="00CC55C0" w:rsidRPr="0071228C">
        <w:rPr>
          <w:noProof/>
        </w:rPr>
        <w:t xml:space="preserve"> z</w:t>
      </w:r>
      <w:r w:rsidR="00CC55C0">
        <w:rPr>
          <w:noProof/>
        </w:rPr>
        <w:t> </w:t>
      </w:r>
      <w:r w:rsidR="00CC55C0" w:rsidRPr="0071228C">
        <w:rPr>
          <w:noProof/>
        </w:rPr>
        <w:t>wie</w:t>
      </w:r>
      <w:r w:rsidRPr="0071228C">
        <w:rPr>
          <w:noProof/>
        </w:rPr>
        <w:t>loma innymi politykami UE dotyczącymi tych samych substancji. Koszty powodowane przez zanieczyszczenia są przeważnie internalizowane za pośrednictwem dyrektywy</w:t>
      </w:r>
      <w:r w:rsidR="00CC55C0" w:rsidRPr="0071228C">
        <w:rPr>
          <w:noProof/>
        </w:rPr>
        <w:t xml:space="preserve"> w</w:t>
      </w:r>
      <w:r w:rsidR="00CC55C0">
        <w:rPr>
          <w:noProof/>
        </w:rPr>
        <w:t> </w:t>
      </w:r>
      <w:r w:rsidR="00CC55C0" w:rsidRPr="0071228C">
        <w:rPr>
          <w:noProof/>
        </w:rPr>
        <w:t>spr</w:t>
      </w:r>
      <w:r w:rsidRPr="0071228C">
        <w:rPr>
          <w:noProof/>
        </w:rPr>
        <w:t>awie emisji przemysłowych</w:t>
      </w:r>
      <w:r w:rsidR="00CC55C0" w:rsidRPr="0071228C">
        <w:rPr>
          <w:noProof/>
        </w:rPr>
        <w:t xml:space="preserve"> i</w:t>
      </w:r>
      <w:r w:rsidR="00CC55C0">
        <w:rPr>
          <w:noProof/>
        </w:rPr>
        <w:t> </w:t>
      </w:r>
      <w:r w:rsidR="00CC55C0" w:rsidRPr="0071228C">
        <w:rPr>
          <w:noProof/>
        </w:rPr>
        <w:t>dyr</w:t>
      </w:r>
      <w:r w:rsidRPr="0071228C">
        <w:rPr>
          <w:noProof/>
        </w:rPr>
        <w:t>ektywy dotyczącej oczyszczania ścieków komunalnych, przyszłego zakazu stosowania wszystkich PFAS</w:t>
      </w:r>
      <w:r w:rsidR="00CC55C0" w:rsidRPr="0071228C">
        <w:rPr>
          <w:noProof/>
        </w:rPr>
        <w:t xml:space="preserve"> z</w:t>
      </w:r>
      <w:r w:rsidR="00CC55C0">
        <w:rPr>
          <w:noProof/>
        </w:rPr>
        <w:t> </w:t>
      </w:r>
      <w:r w:rsidR="00CC55C0" w:rsidRPr="0071228C">
        <w:rPr>
          <w:noProof/>
        </w:rPr>
        <w:t>wyj</w:t>
      </w:r>
      <w:r w:rsidRPr="0071228C">
        <w:rPr>
          <w:noProof/>
        </w:rPr>
        <w:t>ątkiem zastosowań niezbędnych, wdrożenia nadchodzącej inicjatywy</w:t>
      </w:r>
      <w:r w:rsidR="00CC55C0" w:rsidRPr="0071228C">
        <w:rPr>
          <w:noProof/>
        </w:rPr>
        <w:t xml:space="preserve"> w</w:t>
      </w:r>
      <w:r w:rsidR="00CC55C0">
        <w:rPr>
          <w:noProof/>
        </w:rPr>
        <w:t> </w:t>
      </w:r>
      <w:r w:rsidR="00CC55C0" w:rsidRPr="0071228C">
        <w:rPr>
          <w:noProof/>
        </w:rPr>
        <w:t>spr</w:t>
      </w:r>
      <w:r w:rsidRPr="0071228C">
        <w:rPr>
          <w:noProof/>
        </w:rPr>
        <w:t>awie mikrodrobin plastiku</w:t>
      </w:r>
      <w:r w:rsidR="00CC55C0" w:rsidRPr="0071228C">
        <w:rPr>
          <w:noProof/>
        </w:rPr>
        <w:t xml:space="preserve"> i</w:t>
      </w:r>
      <w:r w:rsidR="00CC55C0">
        <w:rPr>
          <w:noProof/>
        </w:rPr>
        <w:t> </w:t>
      </w:r>
      <w:r w:rsidR="00CC55C0" w:rsidRPr="0071228C">
        <w:rPr>
          <w:noProof/>
        </w:rPr>
        <w:t>inn</w:t>
      </w:r>
      <w:r w:rsidRPr="0071228C">
        <w:rPr>
          <w:noProof/>
        </w:rPr>
        <w:t>ych. Przykładowo zmiana dyrektywy dotyczącej oczyszczania ścieków komunalnych przyczyni się do zdynamizowania modernizacji wielu oczyszczalni ścieków oraz wprowadzenia rozszerzonej odpowiedzialności producenta</w:t>
      </w:r>
      <w:r w:rsidR="00CC55C0" w:rsidRPr="0071228C">
        <w:rPr>
          <w:noProof/>
        </w:rPr>
        <w:t xml:space="preserve"> w</w:t>
      </w:r>
      <w:r w:rsidR="00CC55C0">
        <w:rPr>
          <w:noProof/>
        </w:rPr>
        <w:t> </w:t>
      </w:r>
      <w:r w:rsidR="00CC55C0" w:rsidRPr="0071228C">
        <w:rPr>
          <w:noProof/>
        </w:rPr>
        <w:t>zak</w:t>
      </w:r>
      <w:r w:rsidRPr="0071228C">
        <w:rPr>
          <w:noProof/>
        </w:rPr>
        <w:t>resie pokrywania kosztów, co znacznie ograniczy ładunek mikrozanieczyszczeń wprowadzanych do wód powierzchniowych</w:t>
      </w:r>
      <w:r w:rsidR="00CC55C0" w:rsidRPr="0071228C">
        <w:rPr>
          <w:noProof/>
        </w:rPr>
        <w:t xml:space="preserve"> i</w:t>
      </w:r>
      <w:r w:rsidR="00CC55C0">
        <w:rPr>
          <w:noProof/>
        </w:rPr>
        <w:t> </w:t>
      </w:r>
      <w:r w:rsidR="00CC55C0" w:rsidRPr="0071228C">
        <w:rPr>
          <w:noProof/>
        </w:rPr>
        <w:t>gru</w:t>
      </w:r>
      <w:r w:rsidRPr="0071228C">
        <w:rPr>
          <w:noProof/>
        </w:rPr>
        <w:t>ntowych.</w:t>
      </w:r>
    </w:p>
    <w:p w14:paraId="007C8791" w14:textId="599CBA0B" w:rsidR="009B2C6D" w:rsidRPr="0071228C" w:rsidRDefault="002821B9" w:rsidP="00D65389">
      <w:pPr>
        <w:pBdr>
          <w:top w:val="nil"/>
          <w:left w:val="nil"/>
          <w:bottom w:val="nil"/>
          <w:right w:val="nil"/>
          <w:between w:val="nil"/>
          <w:bar w:val="nil"/>
        </w:pBdr>
        <w:spacing w:before="0" w:after="240"/>
        <w:rPr>
          <w:noProof/>
        </w:rPr>
      </w:pPr>
      <w:r w:rsidRPr="0071228C">
        <w:rPr>
          <w:noProof/>
        </w:rPr>
        <w:t>Proponowana inicjatywa przyczyni się do zmniejszenia stężeń substancji</w:t>
      </w:r>
      <w:r w:rsidR="00CC55C0" w:rsidRPr="0071228C">
        <w:rPr>
          <w:noProof/>
        </w:rPr>
        <w:t xml:space="preserve"> o</w:t>
      </w:r>
      <w:r w:rsidR="00CC55C0">
        <w:rPr>
          <w:noProof/>
        </w:rPr>
        <w:t> </w:t>
      </w:r>
      <w:r w:rsidR="00CC55C0" w:rsidRPr="0071228C">
        <w:rPr>
          <w:noProof/>
        </w:rPr>
        <w:t>ost</w:t>
      </w:r>
      <w:r w:rsidRPr="0071228C">
        <w:rPr>
          <w:noProof/>
        </w:rPr>
        <w:t>rej toksyczności lub trwałych substancji chemicznych</w:t>
      </w:r>
      <w:r w:rsidR="00CC55C0" w:rsidRPr="0071228C">
        <w:rPr>
          <w:noProof/>
        </w:rPr>
        <w:t xml:space="preserve"> w</w:t>
      </w:r>
      <w:r w:rsidR="00CC55C0">
        <w:rPr>
          <w:noProof/>
        </w:rPr>
        <w:t> </w:t>
      </w:r>
      <w:r w:rsidR="00CC55C0" w:rsidRPr="0071228C">
        <w:rPr>
          <w:noProof/>
        </w:rPr>
        <w:t>wod</w:t>
      </w:r>
      <w:r w:rsidRPr="0071228C">
        <w:rPr>
          <w:noProof/>
        </w:rPr>
        <w:t>zie. Przyczyni się również do zwiększenia wartości ekosystemów wodnych</w:t>
      </w:r>
      <w:r w:rsidR="00CC55C0" w:rsidRPr="0071228C">
        <w:rPr>
          <w:noProof/>
        </w:rPr>
        <w:t xml:space="preserve"> i</w:t>
      </w:r>
      <w:r w:rsidR="00CC55C0">
        <w:rPr>
          <w:noProof/>
        </w:rPr>
        <w:t> </w:t>
      </w:r>
      <w:r w:rsidR="00CC55C0" w:rsidRPr="0071228C">
        <w:rPr>
          <w:noProof/>
        </w:rPr>
        <w:t>świ</w:t>
      </w:r>
      <w:r w:rsidRPr="0071228C">
        <w:rPr>
          <w:noProof/>
        </w:rPr>
        <w:t>adczonych przez nie usług. Korzyści obejmują zatem zmniejszenie wpływu na zdrowie ludzi, przyrodę, owady zapylające</w:t>
      </w:r>
      <w:r w:rsidR="00CC55C0" w:rsidRPr="0071228C">
        <w:rPr>
          <w:noProof/>
        </w:rPr>
        <w:t xml:space="preserve"> i</w:t>
      </w:r>
      <w:r w:rsidR="00CC55C0">
        <w:rPr>
          <w:noProof/>
        </w:rPr>
        <w:t> </w:t>
      </w:r>
      <w:r w:rsidR="00CC55C0" w:rsidRPr="0071228C">
        <w:rPr>
          <w:noProof/>
        </w:rPr>
        <w:t>rol</w:t>
      </w:r>
      <w:r w:rsidRPr="0071228C">
        <w:rPr>
          <w:noProof/>
        </w:rPr>
        <w:t>nictwo,</w:t>
      </w:r>
      <w:r w:rsidR="00CC55C0" w:rsidRPr="0071228C">
        <w:rPr>
          <w:noProof/>
        </w:rPr>
        <w:t xml:space="preserve"> a</w:t>
      </w:r>
      <w:r w:rsidR="00CC55C0">
        <w:rPr>
          <w:noProof/>
        </w:rPr>
        <w:t> </w:t>
      </w:r>
      <w:r w:rsidR="00CC55C0" w:rsidRPr="0071228C">
        <w:rPr>
          <w:noProof/>
        </w:rPr>
        <w:t>tak</w:t>
      </w:r>
      <w:r w:rsidRPr="0071228C">
        <w:rPr>
          <w:noProof/>
        </w:rPr>
        <w:t>że zaoszczędzenie kosztów uzdatniania wody. Łatwy dostęp do danych</w:t>
      </w:r>
      <w:r w:rsidR="00CC55C0" w:rsidRPr="0071228C">
        <w:rPr>
          <w:noProof/>
        </w:rPr>
        <w:t xml:space="preserve"> z</w:t>
      </w:r>
      <w:r w:rsidR="00CC55C0">
        <w:rPr>
          <w:noProof/>
        </w:rPr>
        <w:t> </w:t>
      </w:r>
      <w:r w:rsidR="00CC55C0" w:rsidRPr="0071228C">
        <w:rPr>
          <w:noProof/>
        </w:rPr>
        <w:t>mon</w:t>
      </w:r>
      <w:r w:rsidRPr="0071228C">
        <w:rPr>
          <w:noProof/>
        </w:rPr>
        <w:t>itorowania stanu chemicznego</w:t>
      </w:r>
      <w:r w:rsidR="00CC55C0" w:rsidRPr="0071228C">
        <w:rPr>
          <w:noProof/>
        </w:rPr>
        <w:t xml:space="preserve"> i</w:t>
      </w:r>
      <w:r w:rsidR="00CC55C0">
        <w:rPr>
          <w:noProof/>
        </w:rPr>
        <w:t> </w:t>
      </w:r>
      <w:r w:rsidR="00CC55C0" w:rsidRPr="0071228C">
        <w:rPr>
          <w:noProof/>
        </w:rPr>
        <w:t>moż</w:t>
      </w:r>
      <w:r w:rsidRPr="0071228C">
        <w:rPr>
          <w:noProof/>
        </w:rPr>
        <w:t>liwość ich ponownego wykorzystania wpłyną na znaczną poprawę spójności oceny bezpieczeństwa</w:t>
      </w:r>
      <w:r w:rsidR="00CC55C0" w:rsidRPr="0071228C">
        <w:rPr>
          <w:noProof/>
        </w:rPr>
        <w:t xml:space="preserve"> i</w:t>
      </w:r>
      <w:r w:rsidR="00CC55C0">
        <w:rPr>
          <w:noProof/>
        </w:rPr>
        <w:t> </w:t>
      </w:r>
      <w:r w:rsidR="00CC55C0" w:rsidRPr="0071228C">
        <w:rPr>
          <w:noProof/>
        </w:rPr>
        <w:t>będ</w:t>
      </w:r>
      <w:r w:rsidRPr="0071228C">
        <w:rPr>
          <w:noProof/>
        </w:rPr>
        <w:t>ą ważnym krokiem</w:t>
      </w:r>
      <w:r w:rsidR="00CC55C0" w:rsidRPr="0071228C">
        <w:rPr>
          <w:noProof/>
        </w:rPr>
        <w:t xml:space="preserve"> w</w:t>
      </w:r>
      <w:r w:rsidR="00CC55C0">
        <w:rPr>
          <w:noProof/>
        </w:rPr>
        <w:t> </w:t>
      </w:r>
      <w:r w:rsidR="00CC55C0" w:rsidRPr="0071228C">
        <w:rPr>
          <w:noProof/>
        </w:rPr>
        <w:t>kie</w:t>
      </w:r>
      <w:r w:rsidRPr="0071228C">
        <w:rPr>
          <w:noProof/>
        </w:rPr>
        <w:t>runku stosowania podejścia opartego na zasadzie „jedna substancja, jedna ocena”, do którego zobowiązano się</w:t>
      </w:r>
      <w:r w:rsidR="00CC55C0" w:rsidRPr="0071228C">
        <w:rPr>
          <w:noProof/>
        </w:rPr>
        <w:t xml:space="preserve"> w</w:t>
      </w:r>
      <w:r w:rsidR="00CC55C0">
        <w:rPr>
          <w:noProof/>
        </w:rPr>
        <w:t> </w:t>
      </w:r>
      <w:r w:rsidR="00CC55C0" w:rsidRPr="0071228C">
        <w:rPr>
          <w:noProof/>
        </w:rPr>
        <w:t>Eur</w:t>
      </w:r>
      <w:r w:rsidRPr="0071228C">
        <w:rPr>
          <w:noProof/>
        </w:rPr>
        <w:t>opejskim Zielonym Ładzie.</w:t>
      </w:r>
    </w:p>
    <w:p w14:paraId="44696B11" w14:textId="77777777" w:rsidR="00F95EEA" w:rsidRPr="0071228C" w:rsidRDefault="00F95EEA" w:rsidP="002A2DB0">
      <w:pPr>
        <w:pBdr>
          <w:top w:val="nil"/>
          <w:left w:val="nil"/>
          <w:bottom w:val="nil"/>
          <w:right w:val="nil"/>
          <w:between w:val="nil"/>
          <w:bar w:val="nil"/>
        </w:pBdr>
        <w:spacing w:before="0" w:after="240"/>
        <w:rPr>
          <w:noProof/>
        </w:rPr>
      </w:pPr>
      <w:r w:rsidRPr="0071228C">
        <w:rPr>
          <w:noProof/>
        </w:rPr>
        <w:t>Cele zrównoważonego rozwoju</w:t>
      </w:r>
    </w:p>
    <w:p w14:paraId="1B3D3728" w14:textId="6C51A4C8" w:rsidR="00F95EEA" w:rsidRPr="0071228C" w:rsidRDefault="00F95EEA" w:rsidP="00F95EEA">
      <w:pPr>
        <w:pBdr>
          <w:top w:val="nil"/>
          <w:left w:val="nil"/>
          <w:bottom w:val="nil"/>
          <w:right w:val="nil"/>
          <w:between w:val="nil"/>
          <w:bar w:val="nil"/>
        </w:pBdr>
        <w:spacing w:before="0" w:after="240"/>
        <w:rPr>
          <w:noProof/>
        </w:rPr>
      </w:pPr>
      <w:r w:rsidRPr="0071228C">
        <w:rPr>
          <w:noProof/>
        </w:rPr>
        <w:t xml:space="preserve">Wniosek ma pozytywny wpływ na osiągnięcie celów zrównoważonego rozwoju </w:t>
      </w:r>
      <w:r w:rsidRPr="00CC55C0">
        <w:rPr>
          <w:noProof/>
        </w:rPr>
        <w:t>nr</w:t>
      </w:r>
      <w:r w:rsidR="00CC55C0" w:rsidRPr="00CC55C0">
        <w:rPr>
          <w:noProof/>
        </w:rPr>
        <w:t> </w:t>
      </w:r>
      <w:r w:rsidRPr="00CC55C0">
        <w:rPr>
          <w:noProof/>
        </w:rPr>
        <w:t>6</w:t>
      </w:r>
      <w:r w:rsidRPr="0071228C">
        <w:rPr>
          <w:noProof/>
        </w:rPr>
        <w:t xml:space="preserve"> (Czysta woda</w:t>
      </w:r>
      <w:r w:rsidR="00CC55C0" w:rsidRPr="0071228C">
        <w:rPr>
          <w:noProof/>
        </w:rPr>
        <w:t xml:space="preserve"> i</w:t>
      </w:r>
      <w:r w:rsidR="00CC55C0">
        <w:rPr>
          <w:noProof/>
        </w:rPr>
        <w:t> </w:t>
      </w:r>
      <w:r w:rsidR="00CC55C0" w:rsidRPr="0071228C">
        <w:rPr>
          <w:noProof/>
        </w:rPr>
        <w:t>war</w:t>
      </w:r>
      <w:r w:rsidRPr="0071228C">
        <w:rPr>
          <w:noProof/>
        </w:rPr>
        <w:t>unki sanitarne), 12 (Odpowiedzialna konsumpcja</w:t>
      </w:r>
      <w:r w:rsidR="00CC55C0" w:rsidRPr="0071228C">
        <w:rPr>
          <w:noProof/>
        </w:rPr>
        <w:t xml:space="preserve"> i</w:t>
      </w:r>
      <w:r w:rsidR="00CC55C0">
        <w:rPr>
          <w:noProof/>
        </w:rPr>
        <w:t> </w:t>
      </w:r>
      <w:r w:rsidR="00CC55C0" w:rsidRPr="0071228C">
        <w:rPr>
          <w:noProof/>
        </w:rPr>
        <w:t>pro</w:t>
      </w:r>
      <w:r w:rsidRPr="0071228C">
        <w:rPr>
          <w:noProof/>
        </w:rPr>
        <w:t>dukcja)</w:t>
      </w:r>
      <w:r w:rsidR="00CC55C0" w:rsidRPr="0071228C">
        <w:rPr>
          <w:noProof/>
        </w:rPr>
        <w:t xml:space="preserve"> i</w:t>
      </w:r>
      <w:r w:rsidR="00CC55C0">
        <w:rPr>
          <w:noProof/>
        </w:rPr>
        <w:t> </w:t>
      </w:r>
      <w:r w:rsidR="00CC55C0" w:rsidRPr="0071228C">
        <w:rPr>
          <w:noProof/>
        </w:rPr>
        <w:t>1</w:t>
      </w:r>
      <w:r w:rsidRPr="0071228C">
        <w:rPr>
          <w:noProof/>
        </w:rPr>
        <w:t xml:space="preserve">4 (Życie pod wodą) W odniesieniu do celu zrównoważonego rozwoju </w:t>
      </w:r>
      <w:r w:rsidRPr="00CC55C0">
        <w:rPr>
          <w:noProof/>
        </w:rPr>
        <w:t>nr</w:t>
      </w:r>
      <w:r w:rsidR="00CC55C0" w:rsidRPr="00CC55C0">
        <w:rPr>
          <w:noProof/>
        </w:rPr>
        <w:t> </w:t>
      </w:r>
      <w:r w:rsidRPr="00CC55C0">
        <w:rPr>
          <w:noProof/>
        </w:rPr>
        <w:t>6</w:t>
      </w:r>
      <w:r w:rsidRPr="0071228C">
        <w:rPr>
          <w:noProof/>
        </w:rPr>
        <w:t xml:space="preserve"> oczekuje się niższych poziomów zanieczyszczenia źródeł wody pitnej, lepszej jakości chemicznej wód powierzchniowych</w:t>
      </w:r>
      <w:r w:rsidR="00CC55C0" w:rsidRPr="0071228C">
        <w:rPr>
          <w:noProof/>
        </w:rPr>
        <w:t xml:space="preserve"> i</w:t>
      </w:r>
      <w:r w:rsidR="00CC55C0">
        <w:rPr>
          <w:noProof/>
        </w:rPr>
        <w:t> </w:t>
      </w:r>
      <w:r w:rsidR="00CC55C0" w:rsidRPr="0071228C">
        <w:rPr>
          <w:noProof/>
        </w:rPr>
        <w:t>pod</w:t>
      </w:r>
      <w:r w:rsidRPr="0071228C">
        <w:rPr>
          <w:noProof/>
        </w:rPr>
        <w:t>ziemnych,</w:t>
      </w:r>
      <w:r w:rsidR="00CC55C0" w:rsidRPr="0071228C">
        <w:rPr>
          <w:noProof/>
        </w:rPr>
        <w:t xml:space="preserve"> a</w:t>
      </w:r>
      <w:r w:rsidR="00CC55C0">
        <w:rPr>
          <w:noProof/>
        </w:rPr>
        <w:t> </w:t>
      </w:r>
      <w:r w:rsidR="00CC55C0" w:rsidRPr="0071228C">
        <w:rPr>
          <w:noProof/>
        </w:rPr>
        <w:t>udz</w:t>
      </w:r>
      <w:r w:rsidRPr="0071228C">
        <w:rPr>
          <w:noProof/>
        </w:rPr>
        <w:t>iał jednolitych części wód</w:t>
      </w:r>
      <w:r w:rsidR="00CC55C0" w:rsidRPr="0071228C">
        <w:rPr>
          <w:noProof/>
        </w:rPr>
        <w:t xml:space="preserve"> o</w:t>
      </w:r>
      <w:r w:rsidR="00CC55C0">
        <w:rPr>
          <w:noProof/>
        </w:rPr>
        <w:t> </w:t>
      </w:r>
      <w:r w:rsidR="00CC55C0" w:rsidRPr="0071228C">
        <w:rPr>
          <w:noProof/>
        </w:rPr>
        <w:t>dob</w:t>
      </w:r>
      <w:r w:rsidRPr="0071228C">
        <w:rPr>
          <w:noProof/>
        </w:rPr>
        <w:t>rej jakości środowiska powinien</w:t>
      </w:r>
      <w:r w:rsidR="00CC55C0" w:rsidRPr="0071228C">
        <w:rPr>
          <w:noProof/>
        </w:rPr>
        <w:t xml:space="preserve"> z</w:t>
      </w:r>
      <w:r w:rsidR="00CC55C0">
        <w:rPr>
          <w:noProof/>
        </w:rPr>
        <w:t> </w:t>
      </w:r>
      <w:r w:rsidR="00CC55C0" w:rsidRPr="0071228C">
        <w:rPr>
          <w:noProof/>
        </w:rPr>
        <w:t>cza</w:t>
      </w:r>
      <w:r w:rsidRPr="0071228C">
        <w:rPr>
          <w:noProof/>
        </w:rPr>
        <w:t>sem wzrosnąć, ponieważ państwa członkowskie przyjmą</w:t>
      </w:r>
      <w:r w:rsidR="00CC55C0" w:rsidRPr="0071228C">
        <w:rPr>
          <w:noProof/>
        </w:rPr>
        <w:t xml:space="preserve"> i</w:t>
      </w:r>
      <w:r w:rsidR="00CC55C0">
        <w:rPr>
          <w:noProof/>
        </w:rPr>
        <w:t> </w:t>
      </w:r>
      <w:r w:rsidR="00CC55C0" w:rsidRPr="0071228C">
        <w:rPr>
          <w:noProof/>
        </w:rPr>
        <w:t>wdr</w:t>
      </w:r>
      <w:r w:rsidRPr="0071228C">
        <w:rPr>
          <w:noProof/>
        </w:rPr>
        <w:t>ożą środki mające na celu zmniejszenie stężenia zanieczyszczeń</w:t>
      </w:r>
      <w:r w:rsidR="00CC55C0" w:rsidRPr="0071228C">
        <w:rPr>
          <w:noProof/>
        </w:rPr>
        <w:t>. W</w:t>
      </w:r>
      <w:r w:rsidR="00CC55C0">
        <w:rPr>
          <w:noProof/>
        </w:rPr>
        <w:t> </w:t>
      </w:r>
      <w:r w:rsidR="00CC55C0" w:rsidRPr="0071228C">
        <w:rPr>
          <w:noProof/>
        </w:rPr>
        <w:t>odn</w:t>
      </w:r>
      <w:r w:rsidRPr="0071228C">
        <w:rPr>
          <w:noProof/>
        </w:rPr>
        <w:t xml:space="preserve">iesieniu do celu zrównoważonego rozwoju </w:t>
      </w:r>
      <w:r w:rsidRPr="00CC55C0">
        <w:rPr>
          <w:noProof/>
        </w:rPr>
        <w:t>nr</w:t>
      </w:r>
      <w:r w:rsidR="00CC55C0" w:rsidRPr="00CC55C0">
        <w:rPr>
          <w:noProof/>
        </w:rPr>
        <w:t> </w:t>
      </w:r>
      <w:r w:rsidRPr="00CC55C0">
        <w:rPr>
          <w:noProof/>
        </w:rPr>
        <w:t>1</w:t>
      </w:r>
      <w:r w:rsidRPr="0071228C">
        <w:rPr>
          <w:noProof/>
        </w:rPr>
        <w:t>2 oczekuje się, że środki wprowadzone zarówno na szczeblu UE (na przykład</w:t>
      </w:r>
      <w:r w:rsidR="00CC55C0" w:rsidRPr="0071228C">
        <w:rPr>
          <w:noProof/>
        </w:rPr>
        <w:t xml:space="preserve"> w</w:t>
      </w:r>
      <w:r w:rsidR="00CC55C0">
        <w:rPr>
          <w:noProof/>
        </w:rPr>
        <w:t> </w:t>
      </w:r>
      <w:r w:rsidR="00CC55C0" w:rsidRPr="0071228C">
        <w:rPr>
          <w:noProof/>
        </w:rPr>
        <w:t>ram</w:t>
      </w:r>
      <w:r w:rsidRPr="0071228C">
        <w:rPr>
          <w:noProof/>
        </w:rPr>
        <w:t>ach inicjatywy na rzecz zrównoważonej produkcji lub przyszły zakaz stosowania wszystkich PFAS</w:t>
      </w:r>
      <w:r w:rsidR="00CC55C0" w:rsidRPr="0071228C">
        <w:rPr>
          <w:noProof/>
        </w:rPr>
        <w:t xml:space="preserve"> z</w:t>
      </w:r>
      <w:r w:rsidR="00CC55C0">
        <w:rPr>
          <w:noProof/>
        </w:rPr>
        <w:t> </w:t>
      </w:r>
      <w:r w:rsidR="00CC55C0" w:rsidRPr="0071228C">
        <w:rPr>
          <w:noProof/>
        </w:rPr>
        <w:t>wyj</w:t>
      </w:r>
      <w:r w:rsidRPr="0071228C">
        <w:rPr>
          <w:noProof/>
        </w:rPr>
        <w:t>ątkiem zastosowań niezbędnych), jak i na poziomie państw członkowskich doprowadzą do stosowania</w:t>
      </w:r>
      <w:r w:rsidR="00CC55C0" w:rsidRPr="0071228C">
        <w:rPr>
          <w:noProof/>
        </w:rPr>
        <w:t xml:space="preserve"> w</w:t>
      </w:r>
      <w:r w:rsidR="00CC55C0">
        <w:rPr>
          <w:noProof/>
        </w:rPr>
        <w:t> </w:t>
      </w:r>
      <w:r w:rsidR="00CC55C0" w:rsidRPr="0071228C">
        <w:rPr>
          <w:noProof/>
        </w:rPr>
        <w:t>pro</w:t>
      </w:r>
      <w:r w:rsidRPr="0071228C">
        <w:rPr>
          <w:noProof/>
        </w:rPr>
        <w:t>duktach innych, mniej toksycznych składników. Ponadto</w:t>
      </w:r>
      <w:r w:rsidR="00CC55C0" w:rsidRPr="0071228C">
        <w:rPr>
          <w:noProof/>
        </w:rPr>
        <w:t xml:space="preserve"> w</w:t>
      </w:r>
      <w:r w:rsidR="00CC55C0">
        <w:rPr>
          <w:noProof/>
        </w:rPr>
        <w:t> </w:t>
      </w:r>
      <w:r w:rsidR="00CC55C0" w:rsidRPr="0071228C">
        <w:rPr>
          <w:noProof/>
        </w:rPr>
        <w:t>odn</w:t>
      </w:r>
      <w:r w:rsidRPr="0071228C">
        <w:rPr>
          <w:noProof/>
        </w:rPr>
        <w:t xml:space="preserve">iesieniu do celu zrównoważonego rozwoju </w:t>
      </w:r>
      <w:r w:rsidRPr="00CC55C0">
        <w:rPr>
          <w:noProof/>
        </w:rPr>
        <w:t>nr</w:t>
      </w:r>
      <w:r w:rsidR="00CC55C0" w:rsidRPr="00CC55C0">
        <w:rPr>
          <w:noProof/>
        </w:rPr>
        <w:t> </w:t>
      </w:r>
      <w:r w:rsidRPr="00CC55C0">
        <w:rPr>
          <w:noProof/>
        </w:rPr>
        <w:t>1</w:t>
      </w:r>
      <w:r w:rsidRPr="0071228C">
        <w:rPr>
          <w:noProof/>
        </w:rPr>
        <w:t>4 należy zwrócić uwagę na bezpośredni wpływ na jednolite części wód przejściowych</w:t>
      </w:r>
      <w:r w:rsidR="00CC55C0" w:rsidRPr="0071228C">
        <w:rPr>
          <w:noProof/>
        </w:rPr>
        <w:t xml:space="preserve"> i</w:t>
      </w:r>
      <w:r w:rsidR="00CC55C0">
        <w:rPr>
          <w:noProof/>
        </w:rPr>
        <w:t> </w:t>
      </w:r>
      <w:r w:rsidR="00CC55C0" w:rsidRPr="0071228C">
        <w:rPr>
          <w:noProof/>
        </w:rPr>
        <w:t>mor</w:t>
      </w:r>
      <w:r w:rsidRPr="0071228C">
        <w:rPr>
          <w:noProof/>
        </w:rPr>
        <w:t>skich (1 mila morska od brzegu), które są objęte ramową dyrektywą wodną. Ponadto woda słodka, która dociera rzekami do mórz</w:t>
      </w:r>
      <w:r w:rsidR="00CC55C0" w:rsidRPr="0071228C">
        <w:rPr>
          <w:noProof/>
        </w:rPr>
        <w:t xml:space="preserve"> i</w:t>
      </w:r>
      <w:r w:rsidR="00CC55C0">
        <w:rPr>
          <w:noProof/>
        </w:rPr>
        <w:t> </w:t>
      </w:r>
      <w:r w:rsidR="00CC55C0" w:rsidRPr="0071228C">
        <w:rPr>
          <w:noProof/>
        </w:rPr>
        <w:t>oce</w:t>
      </w:r>
      <w:r w:rsidRPr="0071228C">
        <w:rPr>
          <w:noProof/>
        </w:rPr>
        <w:t>anów, będzie stopniowo zawierać mniejsze stężenia substancji regulowanych</w:t>
      </w:r>
      <w:r w:rsidR="00CC55C0" w:rsidRPr="0071228C">
        <w:rPr>
          <w:noProof/>
        </w:rPr>
        <w:t xml:space="preserve"> w</w:t>
      </w:r>
      <w:r w:rsidR="00CC55C0">
        <w:rPr>
          <w:noProof/>
        </w:rPr>
        <w:t> </w:t>
      </w:r>
      <w:r w:rsidR="00CC55C0" w:rsidRPr="0071228C">
        <w:rPr>
          <w:noProof/>
        </w:rPr>
        <w:t>ram</w:t>
      </w:r>
      <w:r w:rsidRPr="0071228C">
        <w:rPr>
          <w:noProof/>
        </w:rPr>
        <w:t>ach niniejszej inicjatywy.</w:t>
      </w:r>
    </w:p>
    <w:p w14:paraId="1679BF84" w14:textId="5B21592A" w:rsidR="00F95EEA" w:rsidRPr="0071228C" w:rsidRDefault="00F95EEA" w:rsidP="002A2DB0">
      <w:pPr>
        <w:pBdr>
          <w:top w:val="nil"/>
          <w:left w:val="nil"/>
          <w:bottom w:val="nil"/>
          <w:right w:val="nil"/>
          <w:between w:val="nil"/>
          <w:bar w:val="nil"/>
        </w:pBdr>
        <w:spacing w:before="0" w:after="240"/>
        <w:rPr>
          <w:noProof/>
        </w:rPr>
      </w:pPr>
      <w:r w:rsidRPr="0071228C">
        <w:rPr>
          <w:noProof/>
        </w:rPr>
        <w:t>Ocena spójności</w:t>
      </w:r>
      <w:r w:rsidR="00CC55C0" w:rsidRPr="0071228C">
        <w:rPr>
          <w:noProof/>
        </w:rPr>
        <w:t xml:space="preserve"> z</w:t>
      </w:r>
      <w:r w:rsidR="00CC55C0">
        <w:rPr>
          <w:noProof/>
        </w:rPr>
        <w:t> </w:t>
      </w:r>
      <w:r w:rsidR="00CC55C0" w:rsidRPr="0071228C">
        <w:rPr>
          <w:noProof/>
        </w:rPr>
        <w:t>cel</w:t>
      </w:r>
      <w:r w:rsidRPr="0071228C">
        <w:rPr>
          <w:noProof/>
        </w:rPr>
        <w:t>em neutralności klimatycznej oraz zasada „efektywność energetyczna przede wszystkim”</w:t>
      </w:r>
    </w:p>
    <w:p w14:paraId="57B4F774" w14:textId="339F8707" w:rsidR="00F95EEA" w:rsidRPr="0071228C" w:rsidRDefault="00F95EEA" w:rsidP="00F95EEA">
      <w:pPr>
        <w:pBdr>
          <w:top w:val="nil"/>
          <w:left w:val="nil"/>
          <w:bottom w:val="nil"/>
          <w:right w:val="nil"/>
          <w:between w:val="nil"/>
          <w:bar w:val="nil"/>
        </w:pBdr>
        <w:spacing w:before="0" w:after="240"/>
        <w:rPr>
          <w:noProof/>
        </w:rPr>
      </w:pPr>
      <w:r w:rsidRPr="0071228C">
        <w:rPr>
          <w:noProof/>
        </w:rPr>
        <w:t>Wniosek jest spójny</w:t>
      </w:r>
      <w:r w:rsidR="00CC55C0" w:rsidRPr="0071228C">
        <w:rPr>
          <w:noProof/>
        </w:rPr>
        <w:t xml:space="preserve"> z</w:t>
      </w:r>
      <w:r w:rsidR="00CC55C0">
        <w:rPr>
          <w:noProof/>
        </w:rPr>
        <w:t> </w:t>
      </w:r>
      <w:r w:rsidR="00CC55C0" w:rsidRPr="0071228C">
        <w:rPr>
          <w:noProof/>
        </w:rPr>
        <w:t>uni</w:t>
      </w:r>
      <w:r w:rsidRPr="0071228C">
        <w:rPr>
          <w:noProof/>
        </w:rPr>
        <w:t>jnym celem neutralności klimatycznej zawartym</w:t>
      </w:r>
      <w:r w:rsidR="00CC55C0" w:rsidRPr="0071228C">
        <w:rPr>
          <w:noProof/>
        </w:rPr>
        <w:t xml:space="preserve"> w</w:t>
      </w:r>
      <w:r w:rsidR="00CC55C0">
        <w:rPr>
          <w:noProof/>
        </w:rPr>
        <w:t> </w:t>
      </w:r>
      <w:r w:rsidR="00CC55C0" w:rsidRPr="0071228C">
        <w:rPr>
          <w:noProof/>
        </w:rPr>
        <w:t>Eur</w:t>
      </w:r>
      <w:r w:rsidRPr="0071228C">
        <w:rPr>
          <w:noProof/>
        </w:rPr>
        <w:t>opejskim prawie</w:t>
      </w:r>
      <w:r w:rsidR="00CC55C0" w:rsidRPr="0071228C">
        <w:rPr>
          <w:noProof/>
        </w:rPr>
        <w:t xml:space="preserve"> o</w:t>
      </w:r>
      <w:r w:rsidR="00CC55C0">
        <w:rPr>
          <w:noProof/>
        </w:rPr>
        <w:t> </w:t>
      </w:r>
      <w:r w:rsidR="00CC55C0" w:rsidRPr="0071228C">
        <w:rPr>
          <w:noProof/>
        </w:rPr>
        <w:t>kli</w:t>
      </w:r>
      <w:r w:rsidRPr="0071228C">
        <w:rPr>
          <w:noProof/>
        </w:rPr>
        <w:t>macie oraz celami Unii wyznaczonymi na lata 2030</w:t>
      </w:r>
      <w:r w:rsidR="00CC55C0" w:rsidRPr="0071228C">
        <w:rPr>
          <w:noProof/>
        </w:rPr>
        <w:t xml:space="preserve"> i</w:t>
      </w:r>
      <w:r w:rsidR="00CC55C0">
        <w:rPr>
          <w:noProof/>
        </w:rPr>
        <w:t> </w:t>
      </w:r>
      <w:r w:rsidR="00CC55C0" w:rsidRPr="0071228C">
        <w:rPr>
          <w:noProof/>
        </w:rPr>
        <w:t>2</w:t>
      </w:r>
      <w:r w:rsidRPr="0071228C">
        <w:rPr>
          <w:noProof/>
        </w:rPr>
        <w:t>050. Najbardziej znaczący wpływ wniosku na działania na rzecz łagodzenia zmiany klimatu wynika</w:t>
      </w:r>
      <w:r w:rsidR="00CC55C0" w:rsidRPr="0071228C">
        <w:rPr>
          <w:noProof/>
        </w:rPr>
        <w:t xml:space="preserve"> z</w:t>
      </w:r>
      <w:r w:rsidR="00CC55C0">
        <w:rPr>
          <w:noProof/>
        </w:rPr>
        <w:t> </w:t>
      </w:r>
      <w:r w:rsidR="00CC55C0" w:rsidRPr="0071228C">
        <w:rPr>
          <w:noProof/>
        </w:rPr>
        <w:t>usu</w:t>
      </w:r>
      <w:r w:rsidRPr="0071228C">
        <w:rPr>
          <w:noProof/>
        </w:rPr>
        <w:t>wania substancji</w:t>
      </w:r>
      <w:r w:rsidR="00CC55C0" w:rsidRPr="0071228C">
        <w:rPr>
          <w:noProof/>
        </w:rPr>
        <w:t xml:space="preserve"> w</w:t>
      </w:r>
      <w:r w:rsidR="00CC55C0">
        <w:rPr>
          <w:noProof/>
        </w:rPr>
        <w:t> </w:t>
      </w:r>
      <w:r w:rsidR="00CC55C0" w:rsidRPr="0071228C">
        <w:rPr>
          <w:noProof/>
        </w:rPr>
        <w:t>ocz</w:t>
      </w:r>
      <w:r w:rsidRPr="0071228C">
        <w:rPr>
          <w:noProof/>
        </w:rPr>
        <w:t>yszczalniach ścieków, które jest procesem energochłonny</w:t>
      </w:r>
      <w:r w:rsidR="00CC55C0" w:rsidRPr="00CC55C0">
        <w:rPr>
          <w:noProof/>
        </w:rPr>
        <w:t>. W</w:t>
      </w:r>
      <w:r w:rsidR="00CC55C0">
        <w:rPr>
          <w:noProof/>
        </w:rPr>
        <w:t> </w:t>
      </w:r>
      <w:r w:rsidR="00CC55C0" w:rsidRPr="0071228C">
        <w:rPr>
          <w:noProof/>
        </w:rPr>
        <w:t>zal</w:t>
      </w:r>
      <w:r w:rsidRPr="0071228C">
        <w:rPr>
          <w:noProof/>
        </w:rPr>
        <w:t>eżności od środków wprowadzonych przez państwa członkowskie</w:t>
      </w:r>
      <w:r w:rsidR="00CC55C0" w:rsidRPr="0071228C">
        <w:rPr>
          <w:noProof/>
        </w:rPr>
        <w:t xml:space="preserve"> w</w:t>
      </w:r>
      <w:r w:rsidR="00CC55C0">
        <w:rPr>
          <w:noProof/>
        </w:rPr>
        <w:t> </w:t>
      </w:r>
      <w:r w:rsidR="00CC55C0" w:rsidRPr="0071228C">
        <w:rPr>
          <w:noProof/>
        </w:rPr>
        <w:t>cel</w:t>
      </w:r>
      <w:r w:rsidRPr="0071228C">
        <w:rPr>
          <w:noProof/>
        </w:rPr>
        <w:t>u ograniczenia lub stopniowego wyeliminowania obecności substancji</w:t>
      </w:r>
      <w:r w:rsidR="00CC55C0" w:rsidRPr="0071228C">
        <w:rPr>
          <w:noProof/>
        </w:rPr>
        <w:t xml:space="preserve"> w</w:t>
      </w:r>
      <w:r w:rsidR="00CC55C0">
        <w:rPr>
          <w:noProof/>
        </w:rPr>
        <w:t> </w:t>
      </w:r>
      <w:r w:rsidR="00CC55C0" w:rsidRPr="0071228C">
        <w:rPr>
          <w:noProof/>
        </w:rPr>
        <w:t>wod</w:t>
      </w:r>
      <w:r w:rsidRPr="0071228C">
        <w:rPr>
          <w:noProof/>
        </w:rPr>
        <w:t>zie, wpływ powinien być pozytywny (w przypadku gdy substancje zwalcza się</w:t>
      </w:r>
      <w:r w:rsidR="00CC55C0" w:rsidRPr="0071228C">
        <w:rPr>
          <w:noProof/>
        </w:rPr>
        <w:t xml:space="preserve"> u</w:t>
      </w:r>
      <w:r w:rsidR="00CC55C0">
        <w:rPr>
          <w:noProof/>
        </w:rPr>
        <w:t> </w:t>
      </w:r>
      <w:r w:rsidR="00CC55C0" w:rsidRPr="0071228C">
        <w:rPr>
          <w:noProof/>
        </w:rPr>
        <w:t>źró</w:t>
      </w:r>
      <w:r w:rsidRPr="0071228C">
        <w:rPr>
          <w:noProof/>
        </w:rPr>
        <w:t>dła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nie trzeba usuwać ich ze ścieków), neutralny (w przypadku zastąpienia substancji substytutami, które wymagają takiego samego nakładu</w:t>
      </w:r>
      <w:r w:rsidR="00CC55C0" w:rsidRPr="0071228C">
        <w:rPr>
          <w:noProof/>
        </w:rPr>
        <w:t xml:space="preserve"> w</w:t>
      </w:r>
      <w:r w:rsidR="00CC55C0">
        <w:rPr>
          <w:noProof/>
        </w:rPr>
        <w:t> </w:t>
      </w:r>
      <w:r w:rsidR="00CC55C0" w:rsidRPr="0071228C">
        <w:rPr>
          <w:noProof/>
        </w:rPr>
        <w:t>zak</w:t>
      </w:r>
      <w:r w:rsidRPr="0071228C">
        <w:rPr>
          <w:noProof/>
        </w:rPr>
        <w:t>resie usuwania</w:t>
      </w:r>
      <w:r w:rsidR="00CC55C0" w:rsidRPr="0071228C">
        <w:rPr>
          <w:noProof/>
        </w:rPr>
        <w:t xml:space="preserve"> w</w:t>
      </w:r>
      <w:r w:rsidR="00CC55C0">
        <w:rPr>
          <w:noProof/>
        </w:rPr>
        <w:t> </w:t>
      </w:r>
      <w:r w:rsidR="00CC55C0" w:rsidRPr="0071228C">
        <w:rPr>
          <w:noProof/>
        </w:rPr>
        <w:t>ocz</w:t>
      </w:r>
      <w:r w:rsidRPr="0071228C">
        <w:rPr>
          <w:noProof/>
        </w:rPr>
        <w:t>yszczalniach ścieków) lub negatywny, jeśli państwa członkowskie zdecydują się</w:t>
      </w:r>
      <w:r w:rsidR="00CC55C0" w:rsidRPr="0071228C">
        <w:rPr>
          <w:noProof/>
        </w:rPr>
        <w:t xml:space="preserve"> w</w:t>
      </w:r>
      <w:r w:rsidR="00CC55C0">
        <w:rPr>
          <w:noProof/>
        </w:rPr>
        <w:t> </w:t>
      </w:r>
      <w:r w:rsidR="00CC55C0" w:rsidRPr="0071228C">
        <w:rPr>
          <w:noProof/>
        </w:rPr>
        <w:t>prz</w:t>
      </w:r>
      <w:r w:rsidRPr="0071228C">
        <w:rPr>
          <w:noProof/>
        </w:rPr>
        <w:t>eważającej mierze opierać się na oczyszczaniu ścieków. Ten ostatni scenariusz jest jednak mało prawdopodobny, ponieważ interwencja</w:t>
      </w:r>
      <w:r w:rsidR="00CC55C0" w:rsidRPr="0071228C">
        <w:rPr>
          <w:noProof/>
        </w:rPr>
        <w:t xml:space="preserve"> u</w:t>
      </w:r>
      <w:r w:rsidR="00CC55C0">
        <w:rPr>
          <w:noProof/>
        </w:rPr>
        <w:t> </w:t>
      </w:r>
      <w:r w:rsidR="00CC55C0" w:rsidRPr="0071228C">
        <w:rPr>
          <w:noProof/>
        </w:rPr>
        <w:t>źró</w:t>
      </w:r>
      <w:r w:rsidRPr="0071228C">
        <w:rPr>
          <w:noProof/>
        </w:rPr>
        <w:t>dła jest na ogół tańsza</w:t>
      </w:r>
      <w:r w:rsidR="00CC55C0" w:rsidRPr="0071228C">
        <w:rPr>
          <w:noProof/>
        </w:rPr>
        <w:t xml:space="preserve"> i</w:t>
      </w:r>
      <w:r w:rsidR="00CC55C0">
        <w:rPr>
          <w:noProof/>
        </w:rPr>
        <w:t> </w:t>
      </w:r>
      <w:r w:rsidR="00CC55C0" w:rsidRPr="0071228C">
        <w:rPr>
          <w:noProof/>
        </w:rPr>
        <w:t>bar</w:t>
      </w:r>
      <w:r w:rsidRPr="0071228C">
        <w:rPr>
          <w:noProof/>
        </w:rPr>
        <w:t>dziej skuteczna. Ponadto zmiana dyrektywy dotyczącej oczyszczania ścieków komunalnych wiąże się</w:t>
      </w:r>
      <w:r w:rsidR="00CC55C0" w:rsidRPr="0071228C">
        <w:rPr>
          <w:noProof/>
        </w:rPr>
        <w:t xml:space="preserve"> z</w:t>
      </w:r>
      <w:r w:rsidR="00CC55C0">
        <w:rPr>
          <w:noProof/>
        </w:rPr>
        <w:t> </w:t>
      </w:r>
      <w:r w:rsidR="00CC55C0" w:rsidRPr="0071228C">
        <w:rPr>
          <w:noProof/>
        </w:rPr>
        <w:t>wym</w:t>
      </w:r>
      <w:r w:rsidRPr="0071228C">
        <w:rPr>
          <w:noProof/>
        </w:rPr>
        <w:t>ogiem osiągnięcia neutralności klimatycznej</w:t>
      </w:r>
      <w:r w:rsidR="00CC55C0" w:rsidRPr="0071228C">
        <w:rPr>
          <w:noProof/>
        </w:rPr>
        <w:t xml:space="preserve"> w</w:t>
      </w:r>
      <w:r w:rsidR="00CC55C0">
        <w:rPr>
          <w:noProof/>
        </w:rPr>
        <w:t> </w:t>
      </w:r>
      <w:r w:rsidR="00CC55C0" w:rsidRPr="0071228C">
        <w:rPr>
          <w:noProof/>
        </w:rPr>
        <w:t>ram</w:t>
      </w:r>
      <w:r w:rsidRPr="0071228C">
        <w:rPr>
          <w:noProof/>
        </w:rPr>
        <w:t xml:space="preserve">ach planów oczyszczania ścieków </w:t>
      </w:r>
      <w:r w:rsidRPr="00CC55C0">
        <w:rPr>
          <w:noProof/>
        </w:rPr>
        <w:t>do</w:t>
      </w:r>
      <w:r w:rsidR="00CC55C0" w:rsidRPr="00CC55C0">
        <w:rPr>
          <w:noProof/>
        </w:rPr>
        <w:t> </w:t>
      </w:r>
      <w:r w:rsidRPr="00CC55C0">
        <w:rPr>
          <w:noProof/>
        </w:rPr>
        <w:t>2</w:t>
      </w:r>
      <w:r w:rsidRPr="0071228C">
        <w:rPr>
          <w:noProof/>
        </w:rPr>
        <w:t>0</w:t>
      </w:r>
      <w:r w:rsidRPr="00CC55C0">
        <w:rPr>
          <w:noProof/>
        </w:rPr>
        <w:t>40</w:t>
      </w:r>
      <w:r w:rsidR="00CC55C0" w:rsidRPr="00CC55C0">
        <w:rPr>
          <w:noProof/>
        </w:rPr>
        <w:t> </w:t>
      </w:r>
      <w:r w:rsidRPr="00CC55C0">
        <w:rPr>
          <w:noProof/>
        </w:rPr>
        <w:t>r.</w:t>
      </w:r>
      <w:r w:rsidRPr="0071228C">
        <w:rPr>
          <w:noProof/>
        </w:rPr>
        <w:t>, co wyklucza negatywne skutki netto niniejszego wniosku poprzez zintensyfikowane oczyszczanie.</w:t>
      </w:r>
    </w:p>
    <w:p w14:paraId="54860870" w14:textId="1B4A8870" w:rsidR="00F95EEA" w:rsidRPr="0071228C" w:rsidRDefault="00F95EEA" w:rsidP="00F95EEA">
      <w:pPr>
        <w:pBdr>
          <w:top w:val="nil"/>
          <w:left w:val="nil"/>
          <w:bottom w:val="nil"/>
          <w:right w:val="nil"/>
          <w:between w:val="nil"/>
          <w:bar w:val="nil"/>
        </w:pBdr>
        <w:spacing w:before="0" w:after="240"/>
        <w:rPr>
          <w:noProof/>
        </w:rPr>
      </w:pPr>
      <w:r w:rsidRPr="0071228C">
        <w:rPr>
          <w:noProof/>
        </w:rPr>
        <w:t>W niniejszym wniosku uwzględniono zasadę „efektywność energetyczna przede wszystkim”, przedstawioną</w:t>
      </w:r>
      <w:r w:rsidR="00CC55C0" w:rsidRPr="0071228C">
        <w:rPr>
          <w:noProof/>
        </w:rPr>
        <w:t xml:space="preserve"> w</w:t>
      </w:r>
      <w:r w:rsidR="00CC55C0">
        <w:rPr>
          <w:noProof/>
        </w:rPr>
        <w:t> </w:t>
      </w:r>
      <w:r w:rsidR="00CC55C0" w:rsidRPr="0071228C">
        <w:rPr>
          <w:noProof/>
        </w:rPr>
        <w:t>wer</w:t>
      </w:r>
      <w:r w:rsidRPr="0071228C">
        <w:rPr>
          <w:noProof/>
        </w:rPr>
        <w:t>sji przekształconej dyrektywy</w:t>
      </w:r>
      <w:r w:rsidR="00CC55C0" w:rsidRPr="0071228C">
        <w:rPr>
          <w:noProof/>
        </w:rPr>
        <w:t xml:space="preserve"> w</w:t>
      </w:r>
      <w:r w:rsidR="00CC55C0">
        <w:rPr>
          <w:noProof/>
        </w:rPr>
        <w:t> </w:t>
      </w:r>
      <w:r w:rsidR="00CC55C0" w:rsidRPr="0071228C">
        <w:rPr>
          <w:noProof/>
        </w:rPr>
        <w:t>spr</w:t>
      </w:r>
      <w:r w:rsidRPr="0071228C">
        <w:rPr>
          <w:noProof/>
        </w:rPr>
        <w:t>awie efektywności energetycznej. Podobnie jak</w:t>
      </w:r>
      <w:r w:rsidR="00CC55C0" w:rsidRPr="0071228C">
        <w:rPr>
          <w:noProof/>
        </w:rPr>
        <w:t xml:space="preserve"> w</w:t>
      </w:r>
      <w:r w:rsidR="00CC55C0">
        <w:rPr>
          <w:noProof/>
        </w:rPr>
        <w:t> </w:t>
      </w:r>
      <w:r w:rsidR="00CC55C0" w:rsidRPr="0071228C">
        <w:rPr>
          <w:noProof/>
        </w:rPr>
        <w:t>prz</w:t>
      </w:r>
      <w:r w:rsidRPr="0071228C">
        <w:rPr>
          <w:noProof/>
        </w:rPr>
        <w:t>ypadku oceny spójności</w:t>
      </w:r>
      <w:r w:rsidR="00CC55C0" w:rsidRPr="0071228C">
        <w:rPr>
          <w:noProof/>
        </w:rPr>
        <w:t xml:space="preserve"> z</w:t>
      </w:r>
      <w:r w:rsidR="00CC55C0">
        <w:rPr>
          <w:noProof/>
        </w:rPr>
        <w:t> </w:t>
      </w:r>
      <w:r w:rsidR="00CC55C0" w:rsidRPr="0071228C">
        <w:rPr>
          <w:noProof/>
        </w:rPr>
        <w:t>cel</w:t>
      </w:r>
      <w:r w:rsidRPr="0071228C">
        <w:rPr>
          <w:noProof/>
        </w:rPr>
        <w:t>em neutralności klimatycznej można oczekiwać, że</w:t>
      </w:r>
      <w:r w:rsidR="00CC55C0" w:rsidRPr="0071228C">
        <w:rPr>
          <w:noProof/>
        </w:rPr>
        <w:t xml:space="preserve"> w</w:t>
      </w:r>
      <w:r w:rsidR="00CC55C0">
        <w:rPr>
          <w:noProof/>
        </w:rPr>
        <w:t> </w:t>
      </w:r>
      <w:r w:rsidR="00CC55C0" w:rsidRPr="0071228C">
        <w:rPr>
          <w:noProof/>
        </w:rPr>
        <w:t>poł</w:t>
      </w:r>
      <w:r w:rsidRPr="0071228C">
        <w:rPr>
          <w:noProof/>
        </w:rPr>
        <w:t>ączeniu ze zmianą dyrektywy dotyczącej oczyszczania ścieków komunalnych, warianty strategiczne będą co najmniej neutralne pod względem efektywności energetycznej.</w:t>
      </w:r>
    </w:p>
    <w:p w14:paraId="34FE8EB9" w14:textId="252E5E44" w:rsidR="0047629D" w:rsidRPr="0071228C" w:rsidRDefault="00D65389" w:rsidP="00D65389">
      <w:pPr>
        <w:pBdr>
          <w:top w:val="nil"/>
          <w:left w:val="nil"/>
          <w:bottom w:val="nil"/>
          <w:right w:val="nil"/>
          <w:between w:val="nil"/>
          <w:bar w:val="nil"/>
        </w:pBdr>
        <w:spacing w:before="0" w:after="240"/>
        <w:rPr>
          <w:rFonts w:eastAsia="Arial Unicode MS"/>
          <w:noProof/>
        </w:rPr>
      </w:pPr>
      <w:r w:rsidRPr="0071228C">
        <w:rPr>
          <w:noProof/>
        </w:rPr>
        <w:t>W dniu 24 czerwca 20</w:t>
      </w:r>
      <w:r w:rsidRPr="00CC55C0">
        <w:rPr>
          <w:noProof/>
        </w:rPr>
        <w:t>22</w:t>
      </w:r>
      <w:r w:rsidR="00CC55C0" w:rsidRPr="00CC55C0">
        <w:rPr>
          <w:noProof/>
        </w:rPr>
        <w:t> </w:t>
      </w:r>
      <w:r w:rsidRPr="00CC55C0">
        <w:rPr>
          <w:noProof/>
        </w:rPr>
        <w:t>r.</w:t>
      </w:r>
      <w:r w:rsidRPr="0071228C">
        <w:rPr>
          <w:noProof/>
        </w:rPr>
        <w:t xml:space="preserve"> Rada ds. Kontroli Regulacyjnej wydała pozytywną opinię</w:t>
      </w:r>
      <w:r w:rsidR="00CC55C0" w:rsidRPr="0071228C">
        <w:rPr>
          <w:noProof/>
        </w:rPr>
        <w:t xml:space="preserve"> z</w:t>
      </w:r>
      <w:r w:rsidR="00CC55C0">
        <w:rPr>
          <w:noProof/>
        </w:rPr>
        <w:t> </w:t>
      </w:r>
      <w:r w:rsidR="00CC55C0" w:rsidRPr="0071228C">
        <w:rPr>
          <w:noProof/>
        </w:rPr>
        <w:t>zas</w:t>
      </w:r>
      <w:r w:rsidRPr="0071228C">
        <w:rPr>
          <w:noProof/>
        </w:rPr>
        <w:t>trzeżeniami</w:t>
      </w:r>
      <w:r w:rsidRPr="0071228C">
        <w:rPr>
          <w:rStyle w:val="FootnoteReference"/>
          <w:noProof/>
        </w:rPr>
        <w:footnoteReference w:id="33"/>
      </w:r>
      <w:r w:rsidRPr="0071228C">
        <w:rPr>
          <w:noProof/>
        </w:rPr>
        <w:t xml:space="preserve">. </w:t>
      </w:r>
      <w:r w:rsidRPr="0071228C">
        <w:rPr>
          <w:noProof/>
        </w:rPr>
        <w:cr/>
      </w:r>
    </w:p>
    <w:p w14:paraId="24B62779" w14:textId="77777777"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Prawa podstawowe</w:t>
      </w:r>
    </w:p>
    <w:p w14:paraId="7B1525BE" w14:textId="77777777" w:rsidR="002821B9" w:rsidRPr="0071228C" w:rsidRDefault="002821B9" w:rsidP="005C4F36">
      <w:pPr>
        <w:pBdr>
          <w:top w:val="nil"/>
          <w:left w:val="nil"/>
          <w:bottom w:val="nil"/>
          <w:right w:val="nil"/>
          <w:between w:val="nil"/>
          <w:bar w:val="nil"/>
        </w:pBdr>
        <w:spacing w:before="0" w:after="240"/>
        <w:rPr>
          <w:noProof/>
        </w:rPr>
      </w:pPr>
      <w:r w:rsidRPr="0071228C">
        <w:rPr>
          <w:noProof/>
        </w:rPr>
        <w:t>Wniosek nie ma skutków dla ochrony praw podstawowych.</w:t>
      </w:r>
    </w:p>
    <w:p w14:paraId="7555F397" w14:textId="77777777" w:rsidR="0047629D" w:rsidRPr="0071228C" w:rsidRDefault="0047629D" w:rsidP="005C4F36">
      <w:pPr>
        <w:pStyle w:val="ManualHeading1"/>
        <w:rPr>
          <w:noProof/>
        </w:rPr>
      </w:pPr>
      <w:r w:rsidRPr="0071228C">
        <w:rPr>
          <w:noProof/>
        </w:rPr>
        <w:t>4.</w:t>
      </w:r>
      <w:r w:rsidRPr="0071228C">
        <w:rPr>
          <w:noProof/>
        </w:rPr>
        <w:tab/>
        <w:t>WPŁYW NA BUDŻET</w:t>
      </w:r>
    </w:p>
    <w:p w14:paraId="7D6ED493" w14:textId="364901CC" w:rsidR="00384304" w:rsidRPr="0071228C" w:rsidRDefault="00384304" w:rsidP="005C4F36">
      <w:pPr>
        <w:pBdr>
          <w:top w:val="nil"/>
          <w:left w:val="nil"/>
          <w:bottom w:val="nil"/>
          <w:right w:val="nil"/>
          <w:between w:val="nil"/>
          <w:bar w:val="nil"/>
        </w:pBdr>
        <w:spacing w:before="0" w:after="240"/>
        <w:rPr>
          <w:noProof/>
        </w:rPr>
      </w:pPr>
      <w:r w:rsidRPr="0071228C">
        <w:rPr>
          <w:noProof/>
        </w:rPr>
        <w:t>Załączona ocena skutków finansowych dotyczy pakietu „zero zanieczyszczeń”,</w:t>
      </w:r>
      <w:r w:rsidR="00CC55C0" w:rsidRPr="0071228C">
        <w:rPr>
          <w:noProof/>
        </w:rPr>
        <w:t xml:space="preserve"> w</w:t>
      </w:r>
      <w:r w:rsidR="00CC55C0">
        <w:rPr>
          <w:noProof/>
        </w:rPr>
        <w:t> </w:t>
      </w:r>
      <w:r w:rsidR="00CC55C0" w:rsidRPr="0071228C">
        <w:rPr>
          <w:noProof/>
        </w:rPr>
        <w:t>tym</w:t>
      </w:r>
      <w:r w:rsidRPr="0071228C">
        <w:rPr>
          <w:noProof/>
        </w:rPr>
        <w:t xml:space="preserve"> niniejszego wniosku, wniosku dotyczącego zmiany dyrektywy dotyczącej oczyszczania ścieków komunalnych oraz dyrektywy</w:t>
      </w:r>
      <w:r w:rsidR="00CC55C0" w:rsidRPr="0071228C">
        <w:rPr>
          <w:noProof/>
        </w:rPr>
        <w:t xml:space="preserve"> w</w:t>
      </w:r>
      <w:r w:rsidR="00CC55C0">
        <w:rPr>
          <w:noProof/>
        </w:rPr>
        <w:t> </w:t>
      </w:r>
      <w:r w:rsidR="00CC55C0" w:rsidRPr="0071228C">
        <w:rPr>
          <w:noProof/>
        </w:rPr>
        <w:t>spr</w:t>
      </w:r>
      <w:r w:rsidRPr="0071228C">
        <w:rPr>
          <w:noProof/>
        </w:rPr>
        <w:t>awie jakości powietrza</w:t>
      </w:r>
      <w:r w:rsidR="00CC55C0" w:rsidRPr="0071228C">
        <w:rPr>
          <w:noProof/>
        </w:rPr>
        <w:t>. W</w:t>
      </w:r>
      <w:r w:rsidR="00CC55C0">
        <w:rPr>
          <w:noProof/>
        </w:rPr>
        <w:t> </w:t>
      </w:r>
      <w:r w:rsidR="00CC55C0" w:rsidRPr="0071228C">
        <w:rPr>
          <w:noProof/>
        </w:rPr>
        <w:t>zał</w:t>
      </w:r>
      <w:r w:rsidRPr="0071228C">
        <w:rPr>
          <w:noProof/>
        </w:rPr>
        <w:t>ączonej ocenie skutków finansowych przedstawiono wpływ na budżet oraz wymagane zasoby ludzkie</w:t>
      </w:r>
      <w:r w:rsidR="00CC55C0" w:rsidRPr="0071228C">
        <w:rPr>
          <w:noProof/>
        </w:rPr>
        <w:t xml:space="preserve"> i</w:t>
      </w:r>
      <w:r w:rsidR="00CC55C0">
        <w:rPr>
          <w:noProof/>
        </w:rPr>
        <w:t> </w:t>
      </w:r>
      <w:r w:rsidR="00CC55C0" w:rsidRPr="0071228C">
        <w:rPr>
          <w:noProof/>
        </w:rPr>
        <w:t>adm</w:t>
      </w:r>
      <w:r w:rsidRPr="0071228C">
        <w:rPr>
          <w:noProof/>
        </w:rPr>
        <w:t>inistracyjne. Wniosek będzie miał wpływ na budżet Komisji, Europejskiej Agencji Środowiska (EEA)</w:t>
      </w:r>
      <w:r w:rsidR="00CC55C0" w:rsidRPr="0071228C">
        <w:rPr>
          <w:noProof/>
        </w:rPr>
        <w:t xml:space="preserve"> i</w:t>
      </w:r>
      <w:r w:rsidR="00CC55C0">
        <w:rPr>
          <w:noProof/>
        </w:rPr>
        <w:t> </w:t>
      </w:r>
      <w:r w:rsidR="00CC55C0" w:rsidRPr="0071228C">
        <w:rPr>
          <w:noProof/>
        </w:rPr>
        <w:t>Eur</w:t>
      </w:r>
      <w:r w:rsidRPr="0071228C">
        <w:rPr>
          <w:noProof/>
        </w:rPr>
        <w:t>opejskiej Agencji Chemikaliów (ECHA), jeżeli chodzi</w:t>
      </w:r>
      <w:r w:rsidR="00CC55C0" w:rsidRPr="0071228C">
        <w:rPr>
          <w:noProof/>
        </w:rPr>
        <w:t xml:space="preserve"> o</w:t>
      </w:r>
      <w:r w:rsidR="00CC55C0">
        <w:rPr>
          <w:noProof/>
        </w:rPr>
        <w:t> </w:t>
      </w:r>
      <w:r w:rsidR="00CC55C0" w:rsidRPr="0071228C">
        <w:rPr>
          <w:noProof/>
        </w:rPr>
        <w:t>wym</w:t>
      </w:r>
      <w:r w:rsidRPr="0071228C">
        <w:rPr>
          <w:noProof/>
        </w:rPr>
        <w:t>agane zasoby ludzkie</w:t>
      </w:r>
      <w:r w:rsidR="00CC55C0" w:rsidRPr="0071228C">
        <w:rPr>
          <w:noProof/>
        </w:rPr>
        <w:t xml:space="preserve"> i</w:t>
      </w:r>
      <w:r w:rsidR="00CC55C0">
        <w:rPr>
          <w:noProof/>
        </w:rPr>
        <w:t> </w:t>
      </w:r>
      <w:r w:rsidR="00CC55C0" w:rsidRPr="0071228C">
        <w:rPr>
          <w:noProof/>
        </w:rPr>
        <w:t>adm</w:t>
      </w:r>
      <w:r w:rsidRPr="0071228C">
        <w:rPr>
          <w:noProof/>
        </w:rPr>
        <w:t xml:space="preserve">inistracyjne. </w:t>
      </w:r>
    </w:p>
    <w:p w14:paraId="1FDDFAD3" w14:textId="55D57477" w:rsidR="00B321C1" w:rsidRPr="0071228C" w:rsidRDefault="00384304" w:rsidP="005C4F36">
      <w:pPr>
        <w:pBdr>
          <w:top w:val="nil"/>
          <w:left w:val="nil"/>
          <w:bottom w:val="nil"/>
          <w:right w:val="nil"/>
          <w:between w:val="nil"/>
          <w:bar w:val="nil"/>
        </w:pBdr>
        <w:spacing w:before="0" w:after="240"/>
        <w:rPr>
          <w:noProof/>
        </w:rPr>
      </w:pPr>
      <w:r w:rsidRPr="0071228C">
        <w:rPr>
          <w:noProof/>
        </w:rPr>
        <w:t>Nakład pracy Komisji</w:t>
      </w:r>
      <w:r w:rsidR="00CC55C0" w:rsidRPr="0071228C">
        <w:rPr>
          <w:noProof/>
        </w:rPr>
        <w:t xml:space="preserve"> w</w:t>
      </w:r>
      <w:r w:rsidR="00CC55C0">
        <w:rPr>
          <w:noProof/>
        </w:rPr>
        <w:t> </w:t>
      </w:r>
      <w:r w:rsidR="00CC55C0" w:rsidRPr="0071228C">
        <w:rPr>
          <w:noProof/>
        </w:rPr>
        <w:t>zak</w:t>
      </w:r>
      <w:r w:rsidRPr="0071228C">
        <w:rPr>
          <w:noProof/>
        </w:rPr>
        <w:t>resie wdrażania</w:t>
      </w:r>
      <w:r w:rsidR="00CC55C0" w:rsidRPr="0071228C">
        <w:rPr>
          <w:noProof/>
        </w:rPr>
        <w:t xml:space="preserve"> i</w:t>
      </w:r>
      <w:r w:rsidR="00CC55C0">
        <w:rPr>
          <w:noProof/>
        </w:rPr>
        <w:t> </w:t>
      </w:r>
      <w:r w:rsidR="00CC55C0" w:rsidRPr="0071228C">
        <w:rPr>
          <w:noProof/>
        </w:rPr>
        <w:t>egz</w:t>
      </w:r>
      <w:r w:rsidRPr="0071228C">
        <w:rPr>
          <w:noProof/>
        </w:rPr>
        <w:t>ekwowania przepisów nieznacznie wzrośnie</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umi</w:t>
      </w:r>
      <w:r w:rsidRPr="0071228C">
        <w:rPr>
          <w:noProof/>
        </w:rPr>
        <w:t>eszczeniem większej liczby substancji</w:t>
      </w:r>
      <w:r w:rsidR="00CC55C0" w:rsidRPr="0071228C">
        <w:rPr>
          <w:noProof/>
        </w:rPr>
        <w:t xml:space="preserve"> w</w:t>
      </w:r>
      <w:r w:rsidR="00CC55C0">
        <w:rPr>
          <w:noProof/>
        </w:rPr>
        <w:t> </w:t>
      </w:r>
      <w:r w:rsidR="00CC55C0" w:rsidRPr="0071228C">
        <w:rPr>
          <w:noProof/>
        </w:rPr>
        <w:t>wyk</w:t>
      </w:r>
      <w:r w:rsidRPr="0071228C">
        <w:rPr>
          <w:noProof/>
        </w:rPr>
        <w:t>azie oraz dążeniem do harmonizacji norm jakości</w:t>
      </w:r>
      <w:r w:rsidR="00CC55C0" w:rsidRPr="0071228C">
        <w:rPr>
          <w:noProof/>
        </w:rPr>
        <w:t xml:space="preserve"> i</w:t>
      </w:r>
      <w:r w:rsidR="00CC55C0">
        <w:rPr>
          <w:noProof/>
        </w:rPr>
        <w:t> </w:t>
      </w:r>
      <w:r w:rsidR="00CC55C0" w:rsidRPr="0071228C">
        <w:rPr>
          <w:noProof/>
        </w:rPr>
        <w:t>war</w:t>
      </w:r>
      <w:r w:rsidRPr="0071228C">
        <w:rPr>
          <w:noProof/>
        </w:rPr>
        <w:t>tości progowych</w:t>
      </w:r>
      <w:r w:rsidR="00CC55C0" w:rsidRPr="0071228C">
        <w:rPr>
          <w:noProof/>
        </w:rPr>
        <w:t xml:space="preserve"> w</w:t>
      </w:r>
      <w:r w:rsidR="00CC55C0">
        <w:rPr>
          <w:noProof/>
        </w:rPr>
        <w:t> </w:t>
      </w:r>
      <w:r w:rsidR="00CC55C0" w:rsidRPr="0071228C">
        <w:rPr>
          <w:noProof/>
        </w:rPr>
        <w:t>odn</w:t>
      </w:r>
      <w:r w:rsidRPr="0071228C">
        <w:rPr>
          <w:noProof/>
        </w:rPr>
        <w:t xml:space="preserve">iesieniu do substancji stanowiących zagrożenie na poziomie krajowym. </w:t>
      </w:r>
    </w:p>
    <w:p w14:paraId="21EC2807" w14:textId="7D49393A" w:rsidR="00B321C1" w:rsidRPr="00CC55C0" w:rsidRDefault="00B321C1" w:rsidP="005C4F36">
      <w:pPr>
        <w:pBdr>
          <w:top w:val="nil"/>
          <w:left w:val="nil"/>
          <w:bottom w:val="nil"/>
          <w:right w:val="nil"/>
          <w:between w:val="nil"/>
          <w:bar w:val="nil"/>
        </w:pBdr>
        <w:spacing w:before="0" w:after="240"/>
        <w:rPr>
          <w:noProof/>
        </w:rPr>
      </w:pPr>
      <w:r w:rsidRPr="0071228C">
        <w:rPr>
          <w:noProof/>
        </w:rPr>
        <w:t>Komisja będzie korzystać ponadto ze zmian przydziału zadań naukowych ECHA, która będzie konsekwentnie wspierać Komisję</w:t>
      </w:r>
      <w:r w:rsidR="00CC55C0" w:rsidRPr="0071228C">
        <w:rPr>
          <w:noProof/>
        </w:rPr>
        <w:t xml:space="preserve"> w</w:t>
      </w:r>
      <w:r w:rsidR="00CC55C0">
        <w:rPr>
          <w:noProof/>
        </w:rPr>
        <w:t> </w:t>
      </w:r>
      <w:r w:rsidR="00CC55C0" w:rsidRPr="0071228C">
        <w:rPr>
          <w:noProof/>
        </w:rPr>
        <w:t>ust</w:t>
      </w:r>
      <w:r w:rsidRPr="0071228C">
        <w:rPr>
          <w:noProof/>
        </w:rPr>
        <w:t>alaniu priorytetów dla substancji</w:t>
      </w:r>
      <w:r w:rsidR="00CC55C0" w:rsidRPr="0071228C">
        <w:rPr>
          <w:noProof/>
        </w:rPr>
        <w:t xml:space="preserve"> i</w:t>
      </w:r>
      <w:r w:rsidR="00CC55C0">
        <w:rPr>
          <w:noProof/>
        </w:rPr>
        <w:t> </w:t>
      </w:r>
      <w:r w:rsidR="00CC55C0" w:rsidRPr="0071228C">
        <w:rPr>
          <w:noProof/>
        </w:rPr>
        <w:t>mie</w:t>
      </w:r>
      <w:r w:rsidRPr="0071228C">
        <w:rPr>
          <w:noProof/>
        </w:rPr>
        <w:t>szanin, określaniu norm jakości</w:t>
      </w:r>
      <w:r w:rsidR="00CC55C0" w:rsidRPr="0071228C">
        <w:rPr>
          <w:noProof/>
        </w:rPr>
        <w:t xml:space="preserve"> i</w:t>
      </w:r>
      <w:r w:rsidR="00CC55C0">
        <w:rPr>
          <w:noProof/>
        </w:rPr>
        <w:t> </w:t>
      </w:r>
      <w:r w:rsidR="00CC55C0" w:rsidRPr="0071228C">
        <w:rPr>
          <w:noProof/>
        </w:rPr>
        <w:t>war</w:t>
      </w:r>
      <w:r w:rsidRPr="0071228C">
        <w:rPr>
          <w:noProof/>
        </w:rPr>
        <w:t>tości progowych, wskazywaniu właściwych metod analitycznych</w:t>
      </w:r>
      <w:r w:rsidR="00CC55C0" w:rsidRPr="0071228C">
        <w:rPr>
          <w:noProof/>
        </w:rPr>
        <w:t xml:space="preserve"> i</w:t>
      </w:r>
      <w:r w:rsidR="00CC55C0">
        <w:rPr>
          <w:noProof/>
        </w:rPr>
        <w:t> </w:t>
      </w:r>
      <w:r w:rsidR="00CC55C0" w:rsidRPr="0071228C">
        <w:rPr>
          <w:noProof/>
        </w:rPr>
        <w:t>oce</w:t>
      </w:r>
      <w:r w:rsidRPr="0071228C">
        <w:rPr>
          <w:noProof/>
        </w:rPr>
        <w:t>nie odpowiednich danych</w:t>
      </w:r>
      <w:r w:rsidR="00CC55C0" w:rsidRPr="0071228C">
        <w:rPr>
          <w:noProof/>
        </w:rPr>
        <w:t xml:space="preserve"> z</w:t>
      </w:r>
      <w:r w:rsidR="00CC55C0">
        <w:rPr>
          <w:noProof/>
        </w:rPr>
        <w:t> </w:t>
      </w:r>
      <w:r w:rsidR="00CC55C0" w:rsidRPr="0071228C">
        <w:rPr>
          <w:noProof/>
        </w:rPr>
        <w:t>mon</w:t>
      </w:r>
      <w:r w:rsidRPr="0071228C">
        <w:rPr>
          <w:noProof/>
        </w:rPr>
        <w:t>itorowania. Wsparcie naukowe ze strony ECHA wiązałoby się</w:t>
      </w:r>
      <w:r w:rsidR="00CC55C0" w:rsidRPr="0071228C">
        <w:rPr>
          <w:noProof/>
        </w:rPr>
        <w:t xml:space="preserve"> z</w:t>
      </w:r>
      <w:r w:rsidR="00CC55C0">
        <w:rPr>
          <w:noProof/>
        </w:rPr>
        <w:t> </w:t>
      </w:r>
      <w:r w:rsidR="00CC55C0" w:rsidRPr="0071228C">
        <w:rPr>
          <w:noProof/>
        </w:rPr>
        <w:t>zat</w:t>
      </w:r>
      <w:r w:rsidRPr="0071228C">
        <w:rPr>
          <w:noProof/>
        </w:rPr>
        <w:t>rudnieniem pracowników odpowiadającym jedenastu ekwiwalentom pełnego czasu pracy</w:t>
      </w:r>
      <w:r w:rsidRPr="00CC55C0">
        <w:rPr>
          <w:noProof/>
        </w:rPr>
        <w:t>.</w:t>
      </w:r>
      <w:r w:rsidR="00CC55C0" w:rsidRPr="00CC55C0">
        <w:rPr>
          <w:noProof/>
        </w:rPr>
        <w:t xml:space="preserve"> </w:t>
      </w:r>
    </w:p>
    <w:p w14:paraId="7BC850EF" w14:textId="42B8178E" w:rsidR="00B321C1" w:rsidRPr="00CC55C0" w:rsidRDefault="00384304" w:rsidP="005C4F36">
      <w:pPr>
        <w:pBdr>
          <w:top w:val="nil"/>
          <w:left w:val="nil"/>
          <w:bottom w:val="nil"/>
          <w:right w:val="nil"/>
          <w:between w:val="nil"/>
          <w:bar w:val="nil"/>
        </w:pBdr>
        <w:spacing w:before="0" w:after="240"/>
        <w:rPr>
          <w:noProof/>
        </w:rPr>
      </w:pPr>
      <w:r w:rsidRPr="0071228C">
        <w:rPr>
          <w:noProof/>
        </w:rPr>
        <w:t>Obciążenie pracą w EEA wzrośnie</w:t>
      </w:r>
      <w:r w:rsidR="00CC55C0" w:rsidRPr="0071228C">
        <w:rPr>
          <w:noProof/>
        </w:rPr>
        <w:t xml:space="preserve"> w</w:t>
      </w:r>
      <w:r w:rsidR="00CC55C0">
        <w:rPr>
          <w:noProof/>
        </w:rPr>
        <w:t> </w:t>
      </w:r>
      <w:r w:rsidR="00CC55C0" w:rsidRPr="0071228C">
        <w:rPr>
          <w:noProof/>
        </w:rPr>
        <w:t>zwi</w:t>
      </w:r>
      <w:r w:rsidRPr="0071228C">
        <w:rPr>
          <w:noProof/>
        </w:rPr>
        <w:t>ązku ze intensywniejszą</w:t>
      </w:r>
      <w:r w:rsidR="00CC55C0" w:rsidRPr="0071228C">
        <w:rPr>
          <w:noProof/>
        </w:rPr>
        <w:t xml:space="preserve"> i</w:t>
      </w:r>
      <w:r w:rsidR="00CC55C0">
        <w:rPr>
          <w:noProof/>
        </w:rPr>
        <w:t> </w:t>
      </w:r>
      <w:r w:rsidR="00CC55C0" w:rsidRPr="0071228C">
        <w:rPr>
          <w:noProof/>
        </w:rPr>
        <w:t>czę</w:t>
      </w:r>
      <w:r w:rsidRPr="0071228C">
        <w:rPr>
          <w:noProof/>
        </w:rPr>
        <w:t>stszą sprawozdawczością wymaganą od państw członkowskich oraz niewielkim wzrostem liczby wymienionych substancji, co wiąże się</w:t>
      </w:r>
      <w:r w:rsidR="00CC55C0" w:rsidRPr="0071228C">
        <w:rPr>
          <w:noProof/>
        </w:rPr>
        <w:t xml:space="preserve"> z</w:t>
      </w:r>
      <w:r w:rsidR="00CC55C0">
        <w:rPr>
          <w:noProof/>
        </w:rPr>
        <w:t> </w:t>
      </w:r>
      <w:r w:rsidR="00CC55C0" w:rsidRPr="0071228C">
        <w:rPr>
          <w:noProof/>
        </w:rPr>
        <w:t>zat</w:t>
      </w:r>
      <w:r w:rsidRPr="0071228C">
        <w:rPr>
          <w:noProof/>
        </w:rPr>
        <w:t>rudnieniem łącznie dodatkowych pracowników</w:t>
      </w:r>
      <w:r w:rsidR="00CC55C0" w:rsidRPr="0071228C">
        <w:rPr>
          <w:noProof/>
        </w:rPr>
        <w:t xml:space="preserve"> w</w:t>
      </w:r>
      <w:r w:rsidR="00CC55C0">
        <w:rPr>
          <w:noProof/>
        </w:rPr>
        <w:t> </w:t>
      </w:r>
      <w:r w:rsidR="00CC55C0" w:rsidRPr="0071228C">
        <w:rPr>
          <w:noProof/>
        </w:rPr>
        <w:t>wym</w:t>
      </w:r>
      <w:r w:rsidRPr="0071228C">
        <w:rPr>
          <w:noProof/>
        </w:rPr>
        <w:t>iarze czterech ekwiwalentów pełnego czasu pracy pomimo już zatrudnionych pracowników</w:t>
      </w:r>
      <w:r w:rsidR="00CC55C0" w:rsidRPr="0071228C">
        <w:rPr>
          <w:noProof/>
        </w:rPr>
        <w:t xml:space="preserve"> w</w:t>
      </w:r>
      <w:r w:rsidR="00CC55C0">
        <w:rPr>
          <w:noProof/>
        </w:rPr>
        <w:t> </w:t>
      </w:r>
      <w:r w:rsidR="00CC55C0" w:rsidRPr="0071228C">
        <w:rPr>
          <w:noProof/>
        </w:rPr>
        <w:t>wym</w:t>
      </w:r>
      <w:r w:rsidRPr="0071228C">
        <w:rPr>
          <w:noProof/>
        </w:rPr>
        <w:t>iarze trzech</w:t>
      </w:r>
      <w:r w:rsidR="00CC55C0" w:rsidRPr="0071228C">
        <w:rPr>
          <w:noProof/>
        </w:rPr>
        <w:t xml:space="preserve"> i</w:t>
      </w:r>
      <w:r w:rsidR="00CC55C0">
        <w:rPr>
          <w:noProof/>
        </w:rPr>
        <w:t> </w:t>
      </w:r>
      <w:r w:rsidR="00CC55C0" w:rsidRPr="0071228C">
        <w:rPr>
          <w:noProof/>
        </w:rPr>
        <w:t>pół</w:t>
      </w:r>
      <w:r w:rsidRPr="0071228C">
        <w:rPr>
          <w:noProof/>
        </w:rPr>
        <w:t xml:space="preserve"> ekwiwalentu pełnego czasu pracy</w:t>
      </w:r>
      <w:r w:rsidRPr="00CC55C0">
        <w:rPr>
          <w:noProof/>
        </w:rPr>
        <w:t>.</w:t>
      </w:r>
      <w:r w:rsidR="00CC55C0" w:rsidRPr="00CC55C0">
        <w:rPr>
          <w:noProof/>
        </w:rPr>
        <w:t xml:space="preserve"> </w:t>
      </w:r>
    </w:p>
    <w:p w14:paraId="4ED5CA19" w14:textId="77777777" w:rsidR="0047629D" w:rsidRPr="0071228C" w:rsidRDefault="0047629D" w:rsidP="005C4F36">
      <w:pPr>
        <w:pStyle w:val="ManualHeading1"/>
        <w:rPr>
          <w:noProof/>
        </w:rPr>
      </w:pPr>
      <w:r w:rsidRPr="0071228C">
        <w:rPr>
          <w:noProof/>
        </w:rPr>
        <w:t>5.</w:t>
      </w:r>
      <w:r w:rsidRPr="0071228C">
        <w:rPr>
          <w:noProof/>
        </w:rPr>
        <w:tab/>
        <w:t>ELEMENTY FAKULTATYWNE</w:t>
      </w:r>
    </w:p>
    <w:p w14:paraId="7AB702DC" w14:textId="2E908B01"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Plany wdrożenia</w:t>
      </w:r>
      <w:r w:rsidR="00CC55C0" w:rsidRPr="0071228C">
        <w:rPr>
          <w:noProof/>
          <w:u w:color="000000"/>
          <w:bdr w:val="nil"/>
        </w:rPr>
        <w:t xml:space="preserve"> i</w:t>
      </w:r>
      <w:r w:rsidR="00CC55C0">
        <w:rPr>
          <w:noProof/>
          <w:u w:color="000000"/>
          <w:bdr w:val="nil"/>
        </w:rPr>
        <w:t> </w:t>
      </w:r>
      <w:r w:rsidR="00CC55C0" w:rsidRPr="0071228C">
        <w:rPr>
          <w:noProof/>
          <w:u w:color="000000"/>
          <w:bdr w:val="nil"/>
        </w:rPr>
        <w:t>mon</w:t>
      </w:r>
      <w:r w:rsidRPr="0071228C">
        <w:rPr>
          <w:noProof/>
          <w:u w:color="000000"/>
          <w:bdr w:val="nil"/>
        </w:rPr>
        <w:t>itorowanie, ocena</w:t>
      </w:r>
      <w:r w:rsidR="00CC55C0" w:rsidRPr="0071228C">
        <w:rPr>
          <w:noProof/>
          <w:u w:color="000000"/>
          <w:bdr w:val="nil"/>
        </w:rPr>
        <w:t xml:space="preserve"> i</w:t>
      </w:r>
      <w:r w:rsidR="00CC55C0">
        <w:rPr>
          <w:noProof/>
          <w:u w:color="000000"/>
          <w:bdr w:val="nil"/>
        </w:rPr>
        <w:t> </w:t>
      </w:r>
      <w:r w:rsidR="00CC55C0" w:rsidRPr="0071228C">
        <w:rPr>
          <w:noProof/>
          <w:u w:color="000000"/>
          <w:bdr w:val="nil"/>
        </w:rPr>
        <w:t>spr</w:t>
      </w:r>
      <w:r w:rsidRPr="0071228C">
        <w:rPr>
          <w:noProof/>
          <w:u w:color="000000"/>
          <w:bdr w:val="nil"/>
        </w:rPr>
        <w:t>awozdania</w:t>
      </w:r>
    </w:p>
    <w:p w14:paraId="59F5B3B2" w14:textId="78B790F4" w:rsidR="00751547" w:rsidRPr="0071228C" w:rsidRDefault="00751547" w:rsidP="00751547">
      <w:pPr>
        <w:pBdr>
          <w:top w:val="nil"/>
          <w:left w:val="nil"/>
          <w:bottom w:val="nil"/>
          <w:right w:val="nil"/>
          <w:between w:val="nil"/>
          <w:bar w:val="nil"/>
        </w:pBdr>
        <w:spacing w:before="0" w:after="240"/>
        <w:rPr>
          <w:noProof/>
        </w:rPr>
      </w:pPr>
      <w:r w:rsidRPr="0071228C">
        <w:rPr>
          <w:noProof/>
        </w:rPr>
        <w:t>Plany gospodarowania wodami</w:t>
      </w:r>
      <w:r w:rsidR="00CC55C0" w:rsidRPr="0071228C">
        <w:rPr>
          <w:noProof/>
        </w:rPr>
        <w:t xml:space="preserve"> w</w:t>
      </w:r>
      <w:r w:rsidR="00CC55C0">
        <w:rPr>
          <w:noProof/>
        </w:rPr>
        <w:t> </w:t>
      </w:r>
      <w:r w:rsidR="00CC55C0" w:rsidRPr="0071228C">
        <w:rPr>
          <w:noProof/>
        </w:rPr>
        <w:t>dor</w:t>
      </w:r>
      <w:r w:rsidRPr="0071228C">
        <w:rPr>
          <w:noProof/>
        </w:rPr>
        <w:t>zeczu, które są przekazywane Komisji co sześć lat, oraz dobrowolne składanie sprawozdań drogą elektroniczną do EEA</w:t>
      </w:r>
      <w:r w:rsidR="00CC55C0" w:rsidRPr="0071228C">
        <w:rPr>
          <w:noProof/>
        </w:rPr>
        <w:t xml:space="preserve"> w</w:t>
      </w:r>
      <w:r w:rsidR="00CC55C0">
        <w:rPr>
          <w:noProof/>
        </w:rPr>
        <w:t> </w:t>
      </w:r>
      <w:r w:rsidR="00CC55C0" w:rsidRPr="0071228C">
        <w:rPr>
          <w:noProof/>
        </w:rPr>
        <w:t>ram</w:t>
      </w:r>
      <w:r w:rsidRPr="0071228C">
        <w:rPr>
          <w:noProof/>
        </w:rPr>
        <w:t>ach wspólnej strategii wdrażania pozostaną kluczowym źródłem informacji służącym weryfikacji skutecznego wdrażania wniosku,</w:t>
      </w:r>
      <w:r w:rsidR="00CC55C0" w:rsidRPr="0071228C">
        <w:rPr>
          <w:noProof/>
        </w:rPr>
        <w:t xml:space="preserve"> w</w:t>
      </w:r>
      <w:r w:rsidR="00CC55C0">
        <w:rPr>
          <w:noProof/>
        </w:rPr>
        <w:t> </w:t>
      </w:r>
      <w:r w:rsidR="00CC55C0" w:rsidRPr="0071228C">
        <w:rPr>
          <w:noProof/>
        </w:rPr>
        <w:t>szc</w:t>
      </w:r>
      <w:r w:rsidRPr="0071228C">
        <w:rPr>
          <w:noProof/>
        </w:rPr>
        <w:t>zególności zgodności</w:t>
      </w:r>
      <w:r w:rsidR="00CC55C0" w:rsidRPr="0071228C">
        <w:rPr>
          <w:noProof/>
        </w:rPr>
        <w:t xml:space="preserve"> z</w:t>
      </w:r>
      <w:r w:rsidR="00CC55C0">
        <w:rPr>
          <w:noProof/>
        </w:rPr>
        <w:t> </w:t>
      </w:r>
      <w:r w:rsidR="00CC55C0" w:rsidRPr="0071228C">
        <w:rPr>
          <w:noProof/>
        </w:rPr>
        <w:t>now</w:t>
      </w:r>
      <w:r w:rsidRPr="0071228C">
        <w:rPr>
          <w:noProof/>
        </w:rPr>
        <w:t>ymi lub zmienionymi normami jakości dla wód powierzchniowych</w:t>
      </w:r>
      <w:r w:rsidR="00CC55C0" w:rsidRPr="0071228C">
        <w:rPr>
          <w:noProof/>
        </w:rPr>
        <w:t xml:space="preserve"> i</w:t>
      </w:r>
      <w:r w:rsidR="00CC55C0">
        <w:rPr>
          <w:noProof/>
        </w:rPr>
        <w:t> </w:t>
      </w:r>
      <w:r w:rsidR="00CC55C0" w:rsidRPr="0071228C">
        <w:rPr>
          <w:noProof/>
        </w:rPr>
        <w:t>pod</w:t>
      </w:r>
      <w:r w:rsidRPr="0071228C">
        <w:rPr>
          <w:noProof/>
        </w:rPr>
        <w:t xml:space="preserve">ziemnych. </w:t>
      </w:r>
    </w:p>
    <w:p w14:paraId="41FBA495" w14:textId="761C5A30" w:rsidR="0089465E" w:rsidRPr="0071228C" w:rsidRDefault="006938DE" w:rsidP="00751547">
      <w:pPr>
        <w:pBdr>
          <w:top w:val="nil"/>
          <w:left w:val="nil"/>
          <w:bottom w:val="nil"/>
          <w:right w:val="nil"/>
          <w:between w:val="nil"/>
          <w:bar w:val="nil"/>
        </w:pBdr>
        <w:spacing w:before="0" w:after="240"/>
        <w:rPr>
          <w:noProof/>
        </w:rPr>
      </w:pPr>
      <w:r w:rsidRPr="0071228C">
        <w:rPr>
          <w:noProof/>
        </w:rPr>
        <w:t>Udoskonalone mechanizmy listy obserwacyjnej, które zobowiązują państwa członkowskie do monitorowania nowo pojawiających się zanieczyszczeń, umożliwią Komisji, we współpracy z ECHA</w:t>
      </w:r>
      <w:r w:rsidR="00CC55C0" w:rsidRPr="0071228C">
        <w:rPr>
          <w:noProof/>
        </w:rPr>
        <w:t xml:space="preserve"> i</w:t>
      </w:r>
      <w:r w:rsidR="00CC55C0">
        <w:rPr>
          <w:noProof/>
        </w:rPr>
        <w:t> </w:t>
      </w:r>
      <w:r w:rsidR="00CC55C0" w:rsidRPr="0071228C">
        <w:rPr>
          <w:noProof/>
        </w:rPr>
        <w:t>pań</w:t>
      </w:r>
      <w:r w:rsidRPr="0071228C">
        <w:rPr>
          <w:noProof/>
        </w:rPr>
        <w:t>stwami członkowskimi, ustalenie, czy istnieje konieczność wprowadzenia dodatkowych lub bardziej restrykcyjnych norm jakości. Ponadto bardziej regularne przekazywanie aktualnych danych</w:t>
      </w:r>
      <w:r w:rsidR="00CC55C0" w:rsidRPr="0071228C">
        <w:rPr>
          <w:noProof/>
        </w:rPr>
        <w:t xml:space="preserve"> z</w:t>
      </w:r>
      <w:r w:rsidR="00CC55C0">
        <w:rPr>
          <w:noProof/>
        </w:rPr>
        <w:t> </w:t>
      </w:r>
      <w:r w:rsidR="00CC55C0" w:rsidRPr="0071228C">
        <w:rPr>
          <w:noProof/>
        </w:rPr>
        <w:t>mon</w:t>
      </w:r>
      <w:r w:rsidRPr="0071228C">
        <w:rPr>
          <w:noProof/>
        </w:rPr>
        <w:t>itorowania oraz ich analiza przez EEA umożliwi instytucjom Unii, państwom członkowskim</w:t>
      </w:r>
      <w:r w:rsidR="00CC55C0" w:rsidRPr="0071228C">
        <w:rPr>
          <w:noProof/>
        </w:rPr>
        <w:t xml:space="preserve"> i</w:t>
      </w:r>
      <w:r w:rsidR="00CC55C0">
        <w:rPr>
          <w:noProof/>
        </w:rPr>
        <w:t> </w:t>
      </w:r>
      <w:r w:rsidR="00CC55C0" w:rsidRPr="0071228C">
        <w:rPr>
          <w:noProof/>
        </w:rPr>
        <w:t>ogó</w:t>
      </w:r>
      <w:r w:rsidRPr="0071228C">
        <w:rPr>
          <w:noProof/>
        </w:rPr>
        <w:t>łowi społeczeństwa uzyskanie dokładniejszego</w:t>
      </w:r>
      <w:r w:rsidR="00CC55C0" w:rsidRPr="0071228C">
        <w:rPr>
          <w:noProof/>
        </w:rPr>
        <w:t xml:space="preserve"> i</w:t>
      </w:r>
      <w:r w:rsidR="00CC55C0">
        <w:rPr>
          <w:noProof/>
        </w:rPr>
        <w:t> </w:t>
      </w:r>
      <w:r w:rsidR="00CC55C0" w:rsidRPr="0071228C">
        <w:rPr>
          <w:noProof/>
        </w:rPr>
        <w:t>bar</w:t>
      </w:r>
      <w:r w:rsidRPr="0071228C">
        <w:rPr>
          <w:noProof/>
        </w:rPr>
        <w:t>dziej aktualnego obrazu stanu jednolitych części wód powierzchniowych</w:t>
      </w:r>
      <w:r w:rsidR="00CC55C0" w:rsidRPr="0071228C">
        <w:rPr>
          <w:noProof/>
        </w:rPr>
        <w:t xml:space="preserve"> i</w:t>
      </w:r>
      <w:r w:rsidR="00CC55C0">
        <w:rPr>
          <w:noProof/>
        </w:rPr>
        <w:t> </w:t>
      </w:r>
      <w:r w:rsidR="00CC55C0" w:rsidRPr="0071228C">
        <w:rPr>
          <w:noProof/>
        </w:rPr>
        <w:t>pod</w:t>
      </w:r>
      <w:r w:rsidRPr="0071228C">
        <w:rPr>
          <w:noProof/>
        </w:rPr>
        <w:t xml:space="preserve">ziemnych w UE. </w:t>
      </w:r>
    </w:p>
    <w:p w14:paraId="6DE5B7B3" w14:textId="65951997" w:rsidR="00781F4C" w:rsidRPr="0071228C" w:rsidRDefault="00781F4C" w:rsidP="00751547">
      <w:pPr>
        <w:pBdr>
          <w:top w:val="nil"/>
          <w:left w:val="nil"/>
          <w:bottom w:val="nil"/>
          <w:right w:val="nil"/>
          <w:between w:val="nil"/>
          <w:bar w:val="nil"/>
        </w:pBdr>
        <w:spacing w:before="0" w:after="240"/>
        <w:rPr>
          <w:noProof/>
        </w:rPr>
      </w:pPr>
      <w:r w:rsidRPr="0071228C">
        <w:rPr>
          <w:noProof/>
        </w:rPr>
        <w:t>Dzięki synergiom</w:t>
      </w:r>
      <w:r w:rsidR="00CC55C0" w:rsidRPr="0071228C">
        <w:rPr>
          <w:noProof/>
        </w:rPr>
        <w:t xml:space="preserve"> z</w:t>
      </w:r>
      <w:r w:rsidR="00CC55C0">
        <w:rPr>
          <w:noProof/>
        </w:rPr>
        <w:t> </w:t>
      </w:r>
      <w:r w:rsidR="00CC55C0" w:rsidRPr="0071228C">
        <w:rPr>
          <w:noProof/>
        </w:rPr>
        <w:t>ule</w:t>
      </w:r>
      <w:r w:rsidRPr="0071228C">
        <w:rPr>
          <w:noProof/>
        </w:rPr>
        <w:t>pszonym Europejskim Rejestrem Uwalniania</w:t>
      </w:r>
      <w:r w:rsidR="00CC55C0" w:rsidRPr="0071228C">
        <w:rPr>
          <w:noProof/>
        </w:rPr>
        <w:t xml:space="preserve"> i</w:t>
      </w:r>
      <w:r w:rsidR="00CC55C0">
        <w:rPr>
          <w:noProof/>
        </w:rPr>
        <w:t> </w:t>
      </w:r>
      <w:r w:rsidR="00CC55C0" w:rsidRPr="0071228C">
        <w:rPr>
          <w:noProof/>
        </w:rPr>
        <w:t>Tra</w:t>
      </w:r>
      <w:r w:rsidRPr="0071228C">
        <w:rPr>
          <w:noProof/>
        </w:rPr>
        <w:t>nsferu Zanieczyszczeń, który ma zostać zastąpiony przez nową elektroniczną bazę danych online, tj. „Europejski Portal Emisji Przemysłowych”, wykazy emisji, obecnie zgłaszane tylko co sześć lat, zostaną zastąpione przez znacznie bardziej regularny</w:t>
      </w:r>
      <w:r w:rsidR="00CC55C0" w:rsidRPr="0071228C">
        <w:rPr>
          <w:noProof/>
        </w:rPr>
        <w:t xml:space="preserve"> i</w:t>
      </w:r>
      <w:r w:rsidR="00CC55C0">
        <w:rPr>
          <w:noProof/>
        </w:rPr>
        <w:t> </w:t>
      </w:r>
      <w:r w:rsidR="00CC55C0" w:rsidRPr="0071228C">
        <w:rPr>
          <w:noProof/>
        </w:rPr>
        <w:t>spó</w:t>
      </w:r>
      <w:r w:rsidRPr="0071228C">
        <w:rPr>
          <w:noProof/>
        </w:rPr>
        <w:t>jny przegląd całkowitych uwolnień zanieczyszczeń</w:t>
      </w:r>
      <w:r w:rsidR="00CC55C0" w:rsidRPr="0071228C">
        <w:rPr>
          <w:noProof/>
        </w:rPr>
        <w:t xml:space="preserve"> w</w:t>
      </w:r>
      <w:r w:rsidR="00CC55C0">
        <w:rPr>
          <w:noProof/>
        </w:rPr>
        <w:t> </w:t>
      </w:r>
      <w:r w:rsidR="00CC55C0" w:rsidRPr="0071228C">
        <w:rPr>
          <w:noProof/>
        </w:rPr>
        <w:t>pos</w:t>
      </w:r>
      <w:r w:rsidRPr="0071228C">
        <w:rPr>
          <w:noProof/>
        </w:rPr>
        <w:t>zczególnych sektorach. Umożliwi to państwom członkowskim skoncentrowanie swoich działań</w:t>
      </w:r>
      <w:r w:rsidR="00CC55C0" w:rsidRPr="0071228C">
        <w:rPr>
          <w:noProof/>
        </w:rPr>
        <w:t xml:space="preserve"> w</w:t>
      </w:r>
      <w:r w:rsidR="00CC55C0">
        <w:rPr>
          <w:noProof/>
        </w:rPr>
        <w:t> </w:t>
      </w:r>
      <w:r w:rsidR="00CC55C0" w:rsidRPr="0071228C">
        <w:rPr>
          <w:noProof/>
        </w:rPr>
        <w:t>zak</w:t>
      </w:r>
      <w:r w:rsidRPr="0071228C">
        <w:rPr>
          <w:noProof/>
        </w:rPr>
        <w:t xml:space="preserve">resie wdrażania. </w:t>
      </w:r>
    </w:p>
    <w:p w14:paraId="20C54A7C" w14:textId="44EE0139" w:rsidR="006938DE" w:rsidRPr="00CC55C0" w:rsidRDefault="00DC4564" w:rsidP="006938DE">
      <w:pPr>
        <w:pBdr>
          <w:top w:val="nil"/>
          <w:left w:val="nil"/>
          <w:bottom w:val="nil"/>
          <w:right w:val="nil"/>
          <w:between w:val="nil"/>
          <w:bar w:val="nil"/>
        </w:pBdr>
        <w:spacing w:before="0" w:after="240"/>
        <w:rPr>
          <w:noProof/>
        </w:rPr>
      </w:pPr>
      <w:r w:rsidRPr="0071228C">
        <w:rPr>
          <w:noProof/>
        </w:rPr>
        <w:t>W świetle postępu naukowo-technicznego załączniki do dyrektywy</w:t>
      </w:r>
      <w:r w:rsidR="00CC55C0" w:rsidRPr="0071228C">
        <w:rPr>
          <w:noProof/>
        </w:rPr>
        <w:t xml:space="preserve"> w</w:t>
      </w:r>
      <w:r w:rsidR="00CC55C0">
        <w:rPr>
          <w:noProof/>
        </w:rPr>
        <w:t> </w:t>
      </w:r>
      <w:r w:rsidR="00CC55C0" w:rsidRPr="0071228C">
        <w:rPr>
          <w:noProof/>
        </w:rPr>
        <w:t>spr</w:t>
      </w:r>
      <w:r w:rsidRPr="0071228C">
        <w:rPr>
          <w:noProof/>
        </w:rPr>
        <w:t>awie wód powierzchniowych</w:t>
      </w:r>
      <w:r w:rsidR="00CC55C0" w:rsidRPr="0071228C">
        <w:rPr>
          <w:noProof/>
        </w:rPr>
        <w:t xml:space="preserve"> i</w:t>
      </w:r>
      <w:r w:rsidR="00CC55C0">
        <w:rPr>
          <w:noProof/>
        </w:rPr>
        <w:t> </w:t>
      </w:r>
      <w:r w:rsidR="00CC55C0" w:rsidRPr="0071228C">
        <w:rPr>
          <w:noProof/>
        </w:rPr>
        <w:t>dyr</w:t>
      </w:r>
      <w:r w:rsidRPr="0071228C">
        <w:rPr>
          <w:noProof/>
        </w:rPr>
        <w:t>ektywy</w:t>
      </w:r>
      <w:r w:rsidR="00CC55C0" w:rsidRPr="0071228C">
        <w:rPr>
          <w:noProof/>
        </w:rPr>
        <w:t xml:space="preserve"> w</w:t>
      </w:r>
      <w:r w:rsidR="00CC55C0">
        <w:rPr>
          <w:noProof/>
        </w:rPr>
        <w:t> </w:t>
      </w:r>
      <w:r w:rsidR="00CC55C0" w:rsidRPr="0071228C">
        <w:rPr>
          <w:noProof/>
        </w:rPr>
        <w:t>spr</w:t>
      </w:r>
      <w:r w:rsidRPr="0071228C">
        <w:rPr>
          <w:noProof/>
        </w:rPr>
        <w:t>awie wód podziemnych będą regularnie poddawane przeglądowi. Bardziej elastyczne procedury przyjmowania norm jakości dla substancji potencjalnie niebezpiecznych</w:t>
      </w:r>
      <w:r w:rsidR="00CC55C0" w:rsidRPr="0071228C">
        <w:rPr>
          <w:noProof/>
        </w:rPr>
        <w:t xml:space="preserve"> w</w:t>
      </w:r>
      <w:r w:rsidR="00CC55C0">
        <w:rPr>
          <w:noProof/>
        </w:rPr>
        <w:t> </w:t>
      </w:r>
      <w:r w:rsidR="00CC55C0" w:rsidRPr="0071228C">
        <w:rPr>
          <w:noProof/>
        </w:rPr>
        <w:t>poł</w:t>
      </w:r>
      <w:r w:rsidRPr="0071228C">
        <w:rPr>
          <w:noProof/>
        </w:rPr>
        <w:t>ączeniu</w:t>
      </w:r>
      <w:r w:rsidR="00CC55C0" w:rsidRPr="0071228C">
        <w:rPr>
          <w:noProof/>
        </w:rPr>
        <w:t xml:space="preserve"> z</w:t>
      </w:r>
      <w:r w:rsidR="00CC55C0">
        <w:rPr>
          <w:noProof/>
        </w:rPr>
        <w:t> </w:t>
      </w:r>
      <w:r w:rsidR="00CC55C0" w:rsidRPr="0071228C">
        <w:rPr>
          <w:noProof/>
        </w:rPr>
        <w:t>prz</w:t>
      </w:r>
      <w:r w:rsidRPr="0071228C">
        <w:rPr>
          <w:noProof/>
        </w:rPr>
        <w:t>yznaną EEA centralną rolą</w:t>
      </w:r>
      <w:r w:rsidR="00CC55C0" w:rsidRPr="0071228C">
        <w:rPr>
          <w:noProof/>
        </w:rPr>
        <w:t xml:space="preserve"> w</w:t>
      </w:r>
      <w:r w:rsidR="00CC55C0">
        <w:rPr>
          <w:noProof/>
        </w:rPr>
        <w:t> </w:t>
      </w:r>
      <w:r w:rsidR="00CC55C0" w:rsidRPr="0071228C">
        <w:rPr>
          <w:noProof/>
        </w:rPr>
        <w:t>zak</w:t>
      </w:r>
      <w:r w:rsidRPr="0071228C">
        <w:rPr>
          <w:noProof/>
        </w:rPr>
        <w:t>resie analizy bardziej regularnych danych</w:t>
      </w:r>
      <w:r w:rsidR="00CC55C0" w:rsidRPr="0071228C">
        <w:rPr>
          <w:noProof/>
        </w:rPr>
        <w:t xml:space="preserve"> z</w:t>
      </w:r>
      <w:r w:rsidR="00CC55C0">
        <w:rPr>
          <w:noProof/>
        </w:rPr>
        <w:t> </w:t>
      </w:r>
      <w:r w:rsidR="00CC55C0" w:rsidRPr="0071228C">
        <w:rPr>
          <w:noProof/>
        </w:rPr>
        <w:t>mon</w:t>
      </w:r>
      <w:r w:rsidRPr="0071228C">
        <w:rPr>
          <w:noProof/>
        </w:rPr>
        <w:t>itorowania oraz rolą ECHA</w:t>
      </w:r>
      <w:r w:rsidR="00CC55C0" w:rsidRPr="0071228C">
        <w:rPr>
          <w:noProof/>
        </w:rPr>
        <w:t xml:space="preserve"> w</w:t>
      </w:r>
      <w:r w:rsidR="00CC55C0">
        <w:rPr>
          <w:noProof/>
        </w:rPr>
        <w:t> </w:t>
      </w:r>
      <w:r w:rsidR="00CC55C0" w:rsidRPr="0071228C">
        <w:rPr>
          <w:noProof/>
        </w:rPr>
        <w:t>zak</w:t>
      </w:r>
      <w:r w:rsidRPr="0071228C">
        <w:rPr>
          <w:noProof/>
        </w:rPr>
        <w:t>resie stałego wsparcia naukowego umożliwią dokonanie bardziej dogłębnej oceny dokładności obecnych norm oraz potrzeby wprowadzenia nowych, tak aby szybko zwalczyć nowo pojawiające się zanieczyszczenia. Udział obu agencji jest zgodny</w:t>
      </w:r>
      <w:r w:rsidR="00CC55C0" w:rsidRPr="0071228C">
        <w:rPr>
          <w:noProof/>
        </w:rPr>
        <w:t xml:space="preserve"> z</w:t>
      </w:r>
      <w:r w:rsidR="00CC55C0">
        <w:rPr>
          <w:noProof/>
        </w:rPr>
        <w:t> </w:t>
      </w:r>
      <w:r w:rsidR="00CC55C0" w:rsidRPr="0071228C">
        <w:rPr>
          <w:noProof/>
        </w:rPr>
        <w:t>cel</w:t>
      </w:r>
      <w:r w:rsidRPr="0071228C">
        <w:rPr>
          <w:noProof/>
        </w:rPr>
        <w:t>em strategii</w:t>
      </w:r>
      <w:r w:rsidR="00CC55C0" w:rsidRPr="0071228C">
        <w:rPr>
          <w:noProof/>
        </w:rPr>
        <w:t xml:space="preserve"> w</w:t>
      </w:r>
      <w:r w:rsidR="00CC55C0">
        <w:rPr>
          <w:noProof/>
        </w:rPr>
        <w:t> </w:t>
      </w:r>
      <w:r w:rsidR="00CC55C0" w:rsidRPr="0071228C">
        <w:rPr>
          <w:noProof/>
        </w:rPr>
        <w:t>zak</w:t>
      </w:r>
      <w:r w:rsidRPr="0071228C">
        <w:rPr>
          <w:noProof/>
        </w:rPr>
        <w:t>resie chemikaliów na rzecz zrównoważoności, jakim jest wdrożenie podejścia opartego na zasadzie „jedna substancja, jedna ocena”, skutkującego bardziej wydajnymi, skutecznymi</w:t>
      </w:r>
      <w:r w:rsidR="00CC55C0" w:rsidRPr="0071228C">
        <w:rPr>
          <w:noProof/>
        </w:rPr>
        <w:t xml:space="preserve"> i</w:t>
      </w:r>
      <w:r w:rsidR="00CC55C0">
        <w:rPr>
          <w:noProof/>
        </w:rPr>
        <w:t> </w:t>
      </w:r>
      <w:r w:rsidR="00CC55C0" w:rsidRPr="0071228C">
        <w:rPr>
          <w:noProof/>
        </w:rPr>
        <w:t>spó</w:t>
      </w:r>
      <w:r w:rsidRPr="0071228C">
        <w:rPr>
          <w:noProof/>
        </w:rPr>
        <w:t>jnymi ocenami bezpieczeństwa chemicznego we wszystkich odpowiednich przepisach UE, co</w:t>
      </w:r>
      <w:r w:rsidR="00CC55C0" w:rsidRPr="0071228C">
        <w:rPr>
          <w:noProof/>
        </w:rPr>
        <w:t xml:space="preserve"> z</w:t>
      </w:r>
      <w:r w:rsidR="00CC55C0">
        <w:rPr>
          <w:noProof/>
        </w:rPr>
        <w:t> </w:t>
      </w:r>
      <w:r w:rsidR="00CC55C0" w:rsidRPr="0071228C">
        <w:rPr>
          <w:noProof/>
        </w:rPr>
        <w:t>kol</w:t>
      </w:r>
      <w:r w:rsidRPr="0071228C">
        <w:rPr>
          <w:noProof/>
        </w:rPr>
        <w:t>ei prowadzi do zastosowania skuteczniejszych</w:t>
      </w:r>
      <w:r w:rsidR="00CC55C0" w:rsidRPr="0071228C">
        <w:rPr>
          <w:noProof/>
        </w:rPr>
        <w:t xml:space="preserve"> i</w:t>
      </w:r>
      <w:r w:rsidR="00CC55C0">
        <w:rPr>
          <w:noProof/>
        </w:rPr>
        <w:t> </w:t>
      </w:r>
      <w:r w:rsidR="00CC55C0" w:rsidRPr="0071228C">
        <w:rPr>
          <w:noProof/>
        </w:rPr>
        <w:t>bar</w:t>
      </w:r>
      <w:r w:rsidRPr="0071228C">
        <w:rPr>
          <w:noProof/>
        </w:rPr>
        <w:t>dziej przekrojowych środków wykonawczych oraz wniosków dotyczących nowych norm</w:t>
      </w:r>
      <w:r w:rsidRPr="00CC55C0">
        <w:rPr>
          <w:noProof/>
        </w:rPr>
        <w:t>.</w:t>
      </w:r>
      <w:r w:rsidR="00CC55C0" w:rsidRPr="00CC55C0">
        <w:rPr>
          <w:noProof/>
        </w:rPr>
        <w:t xml:space="preserve"> </w:t>
      </w:r>
    </w:p>
    <w:p w14:paraId="4BC745A5" w14:textId="751D52BE" w:rsidR="0047629D" w:rsidRPr="0071228C" w:rsidRDefault="00DC4564" w:rsidP="005C4F36">
      <w:pPr>
        <w:pBdr>
          <w:top w:val="nil"/>
          <w:left w:val="nil"/>
          <w:bottom w:val="nil"/>
          <w:right w:val="nil"/>
          <w:between w:val="nil"/>
          <w:bar w:val="nil"/>
        </w:pBdr>
        <w:spacing w:before="0" w:after="240"/>
        <w:rPr>
          <w:rFonts w:eastAsia="Arial Unicode MS"/>
          <w:noProof/>
        </w:rPr>
      </w:pPr>
      <w:r w:rsidRPr="0071228C">
        <w:rPr>
          <w:noProof/>
        </w:rPr>
        <w:t>Analiza bardziej regularnie pozyskiwanych danych dotyczących monitorowania</w:t>
      </w:r>
      <w:r w:rsidR="00CC55C0" w:rsidRPr="0071228C">
        <w:rPr>
          <w:noProof/>
        </w:rPr>
        <w:t xml:space="preserve"> i</w:t>
      </w:r>
      <w:r w:rsidR="00CC55C0">
        <w:rPr>
          <w:noProof/>
        </w:rPr>
        <w:t> </w:t>
      </w:r>
      <w:r w:rsidR="00CC55C0" w:rsidRPr="0071228C">
        <w:rPr>
          <w:noProof/>
        </w:rPr>
        <w:t>sta</w:t>
      </w:r>
      <w:r w:rsidRPr="0071228C">
        <w:rPr>
          <w:noProof/>
        </w:rPr>
        <w:t>tusu zostanie skutecznie wykorzystana</w:t>
      </w:r>
      <w:r w:rsidR="00CC55C0" w:rsidRPr="0071228C">
        <w:rPr>
          <w:noProof/>
        </w:rPr>
        <w:t xml:space="preserve"> w</w:t>
      </w:r>
      <w:r w:rsidR="00CC55C0">
        <w:rPr>
          <w:noProof/>
        </w:rPr>
        <w:t> </w:t>
      </w:r>
      <w:r w:rsidR="00CC55C0" w:rsidRPr="0071228C">
        <w:rPr>
          <w:noProof/>
        </w:rPr>
        <w:t>sze</w:t>
      </w:r>
      <w:r w:rsidRPr="0071228C">
        <w:rPr>
          <w:noProof/>
        </w:rPr>
        <w:t>rzej zakrojonych ramach monitorowania realizacji</w:t>
      </w:r>
      <w:r w:rsidR="00CC55C0" w:rsidRPr="0071228C">
        <w:rPr>
          <w:noProof/>
        </w:rPr>
        <w:t xml:space="preserve"> i</w:t>
      </w:r>
      <w:r w:rsidR="00CC55C0">
        <w:rPr>
          <w:noProof/>
        </w:rPr>
        <w:t> </w:t>
      </w:r>
      <w:r w:rsidR="00CC55C0" w:rsidRPr="0071228C">
        <w:rPr>
          <w:noProof/>
        </w:rPr>
        <w:t>per</w:t>
      </w:r>
      <w:r w:rsidRPr="0071228C">
        <w:rPr>
          <w:noProof/>
        </w:rPr>
        <w:t xml:space="preserve">spektywy zerowego poziomu emisji zanieczyszczeń, które będą publikowane co dwa lata począwszy </w:t>
      </w:r>
      <w:r w:rsidRPr="00CC55C0">
        <w:rPr>
          <w:noProof/>
        </w:rPr>
        <w:t>od</w:t>
      </w:r>
      <w:r w:rsidR="00CC55C0" w:rsidRPr="00CC55C0">
        <w:rPr>
          <w:noProof/>
        </w:rPr>
        <w:t> </w:t>
      </w:r>
      <w:r w:rsidRPr="00CC55C0">
        <w:rPr>
          <w:noProof/>
        </w:rPr>
        <w:t>2</w:t>
      </w:r>
      <w:r w:rsidRPr="0071228C">
        <w:rPr>
          <w:noProof/>
        </w:rPr>
        <w:t>0</w:t>
      </w:r>
      <w:r w:rsidRPr="00CC55C0">
        <w:rPr>
          <w:noProof/>
        </w:rPr>
        <w:t>22</w:t>
      </w:r>
      <w:r w:rsidR="00CC55C0" w:rsidRPr="00CC55C0">
        <w:rPr>
          <w:noProof/>
        </w:rPr>
        <w:t> </w:t>
      </w:r>
      <w:r w:rsidRPr="00CC55C0">
        <w:rPr>
          <w:noProof/>
        </w:rPr>
        <w:t>r.</w:t>
      </w:r>
      <w:r w:rsidRPr="0071228C">
        <w:rPr>
          <w:noProof/>
        </w:rPr>
        <w:t xml:space="preserve"> Pomoże to ocenić skutki ograniczenia zanieczyszczenia jednolitych części wód</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wdr</w:t>
      </w:r>
      <w:r w:rsidRPr="0071228C">
        <w:rPr>
          <w:noProof/>
        </w:rPr>
        <w:t>ożeniem szerszego zestawu zharmonizowanych norm jakości</w:t>
      </w:r>
      <w:r w:rsidR="00CC55C0" w:rsidRPr="0071228C">
        <w:rPr>
          <w:noProof/>
        </w:rPr>
        <w:t xml:space="preserve"> w</w:t>
      </w:r>
      <w:r w:rsidR="00CC55C0">
        <w:rPr>
          <w:noProof/>
        </w:rPr>
        <w:t> </w:t>
      </w:r>
      <w:r w:rsidR="00CC55C0" w:rsidRPr="0071228C">
        <w:rPr>
          <w:noProof/>
        </w:rPr>
        <w:t>cał</w:t>
      </w:r>
      <w:r w:rsidRPr="0071228C">
        <w:rPr>
          <w:noProof/>
        </w:rPr>
        <w:t xml:space="preserve">ej UE. </w:t>
      </w:r>
    </w:p>
    <w:p w14:paraId="36C7B989" w14:textId="77777777"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 xml:space="preserve">Dokumenty wyjaśniające </w:t>
      </w:r>
    </w:p>
    <w:p w14:paraId="27259A82" w14:textId="43803A3D" w:rsidR="0047629D" w:rsidRPr="00CC55C0" w:rsidRDefault="0094629E" w:rsidP="005C4F36">
      <w:pPr>
        <w:pBdr>
          <w:top w:val="nil"/>
          <w:left w:val="nil"/>
          <w:bottom w:val="nil"/>
          <w:right w:val="nil"/>
          <w:between w:val="nil"/>
          <w:bar w:val="nil"/>
        </w:pBdr>
        <w:spacing w:before="0" w:after="240"/>
        <w:rPr>
          <w:rFonts w:eastAsia="Arial Unicode MS"/>
          <w:noProof/>
        </w:rPr>
      </w:pPr>
      <w:r w:rsidRPr="0071228C">
        <w:rPr>
          <w:noProof/>
        </w:rPr>
        <w:t>Wniosek wiąże się</w:t>
      </w:r>
      <w:r w:rsidR="00CC55C0" w:rsidRPr="0071228C">
        <w:rPr>
          <w:noProof/>
        </w:rPr>
        <w:t xml:space="preserve"> z</w:t>
      </w:r>
      <w:r w:rsidR="00CC55C0">
        <w:rPr>
          <w:noProof/>
        </w:rPr>
        <w:t> </w:t>
      </w:r>
      <w:r w:rsidR="00CC55C0" w:rsidRPr="0071228C">
        <w:rPr>
          <w:noProof/>
        </w:rPr>
        <w:t>kon</w:t>
      </w:r>
      <w:r w:rsidRPr="0071228C">
        <w:rPr>
          <w:noProof/>
        </w:rPr>
        <w:t>iecznością przedstawienia dokumentów wyjaśniających, ponieważ mają one kluczowe znaczenie dla oceny zgodności</w:t>
      </w:r>
      <w:r w:rsidR="00CC55C0" w:rsidRPr="0071228C">
        <w:rPr>
          <w:noProof/>
        </w:rPr>
        <w:t xml:space="preserve"> i</w:t>
      </w:r>
      <w:r w:rsidR="00CC55C0">
        <w:rPr>
          <w:noProof/>
        </w:rPr>
        <w:t> </w:t>
      </w:r>
      <w:r w:rsidR="00CC55C0" w:rsidRPr="0071228C">
        <w:rPr>
          <w:noProof/>
        </w:rPr>
        <w:t>spr</w:t>
      </w:r>
      <w:r w:rsidRPr="0071228C">
        <w:rPr>
          <w:noProof/>
        </w:rPr>
        <w:t>awdzenia, czy teksty transponujące odzwierciedlają literę</w:t>
      </w:r>
      <w:r w:rsidR="00CC55C0" w:rsidRPr="0071228C">
        <w:rPr>
          <w:noProof/>
        </w:rPr>
        <w:t xml:space="preserve"> i</w:t>
      </w:r>
      <w:r w:rsidR="00CC55C0">
        <w:rPr>
          <w:noProof/>
        </w:rPr>
        <w:t> </w:t>
      </w:r>
      <w:r w:rsidR="00CC55C0" w:rsidRPr="0071228C">
        <w:rPr>
          <w:noProof/>
        </w:rPr>
        <w:t>duc</w:t>
      </w:r>
      <w:r w:rsidRPr="0071228C">
        <w:rPr>
          <w:noProof/>
        </w:rPr>
        <w:t>ha dyrektywy. Jest to ważne</w:t>
      </w:r>
      <w:r w:rsidR="00CC55C0" w:rsidRPr="0071228C">
        <w:rPr>
          <w:noProof/>
        </w:rPr>
        <w:t xml:space="preserve"> i</w:t>
      </w:r>
      <w:r w:rsidR="00CC55C0">
        <w:rPr>
          <w:noProof/>
        </w:rPr>
        <w:t> </w:t>
      </w:r>
      <w:r w:rsidR="00CC55C0" w:rsidRPr="0071228C">
        <w:rPr>
          <w:noProof/>
        </w:rPr>
        <w:t>kon</w:t>
      </w:r>
      <w:r w:rsidRPr="0071228C">
        <w:rPr>
          <w:noProof/>
        </w:rPr>
        <w:t>ieczne, ponieważ wniosek obejmuje zmiany</w:t>
      </w:r>
      <w:r w:rsidR="00CC55C0" w:rsidRPr="0071228C">
        <w:rPr>
          <w:noProof/>
        </w:rPr>
        <w:t xml:space="preserve"> w</w:t>
      </w:r>
      <w:r w:rsidR="00CC55C0">
        <w:rPr>
          <w:noProof/>
        </w:rPr>
        <w:t> </w:t>
      </w:r>
      <w:r w:rsidR="00CC55C0" w:rsidRPr="0071228C">
        <w:rPr>
          <w:noProof/>
        </w:rPr>
        <w:t>trz</w:t>
      </w:r>
      <w:r w:rsidRPr="0071228C">
        <w:rPr>
          <w:noProof/>
        </w:rPr>
        <w:t>ech dyrektywach, które mogą być transponowane</w:t>
      </w:r>
      <w:r w:rsidR="00CC55C0" w:rsidRPr="0071228C">
        <w:rPr>
          <w:noProof/>
        </w:rPr>
        <w:t xml:space="preserve"> w</w:t>
      </w:r>
      <w:r w:rsidR="00CC55C0">
        <w:rPr>
          <w:noProof/>
        </w:rPr>
        <w:t> </w:t>
      </w:r>
      <w:r w:rsidR="00CC55C0" w:rsidRPr="0071228C">
        <w:rPr>
          <w:noProof/>
        </w:rPr>
        <w:t>róż</w:t>
      </w:r>
      <w:r w:rsidRPr="0071228C">
        <w:rPr>
          <w:noProof/>
        </w:rPr>
        <w:t>nych aktach prawa krajowego. Ponadto, ponieważ celem wniosku jest przede wszystkim zmiana istniejących norm jakości lub wprowadzenie nowych, dokładną weryfikację można ułatwić dzięki dokumentom wyjaśniającym</w:t>
      </w:r>
      <w:r w:rsidRPr="00CC55C0">
        <w:rPr>
          <w:noProof/>
        </w:rPr>
        <w:t>.</w:t>
      </w:r>
      <w:r w:rsidR="00CC55C0" w:rsidRPr="00CC55C0">
        <w:rPr>
          <w:noProof/>
        </w:rPr>
        <w:t xml:space="preserve"> </w:t>
      </w:r>
    </w:p>
    <w:p w14:paraId="68A5299E" w14:textId="77777777" w:rsidR="0047629D" w:rsidRPr="0071228C" w:rsidRDefault="0047629D" w:rsidP="005C4F36">
      <w:pPr>
        <w:pStyle w:val="ManualHeading2"/>
        <w:rPr>
          <w:rFonts w:eastAsia="Arial Unicode MS"/>
          <w:noProof/>
          <w:u w:color="000000"/>
          <w:bdr w:val="nil"/>
        </w:rPr>
      </w:pPr>
      <w:r w:rsidRPr="0071228C">
        <w:rPr>
          <w:noProof/>
          <w:u w:color="000000"/>
          <w:bdr w:val="nil"/>
        </w:rPr>
        <w:t>•</w:t>
      </w:r>
      <w:r w:rsidRPr="0071228C">
        <w:rPr>
          <w:noProof/>
        </w:rPr>
        <w:tab/>
      </w:r>
      <w:r w:rsidRPr="0071228C">
        <w:rPr>
          <w:noProof/>
          <w:u w:color="000000"/>
          <w:bdr w:val="nil"/>
        </w:rPr>
        <w:t>Szczegółowe objaśnienia poszczególnych przepisów wniosku</w:t>
      </w:r>
    </w:p>
    <w:p w14:paraId="233A7BAD" w14:textId="2993D0BD" w:rsidR="005C53E6" w:rsidRPr="0071228C" w:rsidRDefault="005C53E6" w:rsidP="005C53E6">
      <w:pPr>
        <w:pStyle w:val="ListNumber"/>
        <w:rPr>
          <w:rFonts w:eastAsia="Arial Unicode MS"/>
          <w:noProof/>
        </w:rPr>
      </w:pPr>
      <w:r w:rsidRPr="0071228C">
        <w:rPr>
          <w:noProof/>
        </w:rPr>
        <w:t>Zmiany</w:t>
      </w:r>
      <w:r w:rsidR="00CC55C0" w:rsidRPr="0071228C">
        <w:rPr>
          <w:noProof/>
        </w:rPr>
        <w:t xml:space="preserve"> w</w:t>
      </w:r>
      <w:r w:rsidR="00CC55C0">
        <w:rPr>
          <w:noProof/>
        </w:rPr>
        <w:t> </w:t>
      </w:r>
      <w:r w:rsidR="00CC55C0" w:rsidRPr="0071228C">
        <w:rPr>
          <w:noProof/>
        </w:rPr>
        <w:t>dyr</w:t>
      </w:r>
      <w:r w:rsidRPr="0071228C">
        <w:rPr>
          <w:noProof/>
        </w:rPr>
        <w:t>ektywie 2000/60/WE</w:t>
      </w:r>
    </w:p>
    <w:p w14:paraId="15A75732" w14:textId="22B86755"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1</w:t>
      </w:r>
      <w:r w:rsidRPr="0071228C">
        <w:rPr>
          <w:noProof/>
        </w:rPr>
        <w:t xml:space="preserve">, </w:t>
      </w:r>
      <w:r w:rsidRPr="00CC55C0">
        <w:rPr>
          <w:b/>
          <w:noProof/>
        </w:rPr>
        <w:t>art.</w:t>
      </w:r>
      <w:r w:rsidR="00CC55C0" w:rsidRPr="00CC55C0">
        <w:rPr>
          <w:b/>
          <w:noProof/>
        </w:rPr>
        <w:t> </w:t>
      </w:r>
      <w:r w:rsidRPr="00CC55C0">
        <w:rPr>
          <w:b/>
          <w:noProof/>
        </w:rPr>
        <w:t>7</w:t>
      </w:r>
      <w:r w:rsidRPr="0071228C">
        <w:rPr>
          <w:b/>
          <w:noProof/>
        </w:rPr>
        <w:t xml:space="preserve"> </w:t>
      </w:r>
      <w:r w:rsidRPr="00CC55C0">
        <w:rPr>
          <w:b/>
          <w:noProof/>
        </w:rPr>
        <w:t>ust.</w:t>
      </w:r>
      <w:r w:rsidR="00CC55C0" w:rsidRPr="00CC55C0">
        <w:rPr>
          <w:b/>
          <w:noProof/>
        </w:rPr>
        <w:t> </w:t>
      </w:r>
      <w:r w:rsidRPr="00CC55C0">
        <w:rPr>
          <w:b/>
          <w:noProof/>
        </w:rPr>
        <w:t>2</w:t>
      </w:r>
      <w:r w:rsidRPr="0071228C">
        <w:rPr>
          <w:noProof/>
        </w:rPr>
        <w:t xml:space="preserve">, </w:t>
      </w:r>
      <w:r w:rsidRPr="00CC55C0">
        <w:rPr>
          <w:b/>
          <w:noProof/>
        </w:rPr>
        <w:t>art.</w:t>
      </w:r>
      <w:r w:rsidR="00CC55C0" w:rsidRPr="00CC55C0">
        <w:rPr>
          <w:b/>
          <w:noProof/>
        </w:rPr>
        <w:t> </w:t>
      </w:r>
      <w:r w:rsidRPr="00CC55C0">
        <w:rPr>
          <w:b/>
          <w:noProof/>
        </w:rPr>
        <w:t>1</w:t>
      </w:r>
      <w:r w:rsidRPr="0071228C">
        <w:rPr>
          <w:b/>
          <w:noProof/>
        </w:rPr>
        <w:t xml:space="preserve">1 </w:t>
      </w:r>
      <w:r w:rsidRPr="00CC55C0">
        <w:rPr>
          <w:b/>
          <w:noProof/>
        </w:rPr>
        <w:t>ust.</w:t>
      </w:r>
      <w:r w:rsidR="00CC55C0" w:rsidRPr="00CC55C0">
        <w:rPr>
          <w:b/>
          <w:noProof/>
        </w:rPr>
        <w:t> </w:t>
      </w:r>
      <w:r w:rsidRPr="00CC55C0">
        <w:rPr>
          <w:b/>
          <w:noProof/>
        </w:rPr>
        <w:t>3</w:t>
      </w:r>
      <w:r w:rsidRPr="0071228C">
        <w:rPr>
          <w:b/>
          <w:noProof/>
        </w:rPr>
        <w:t xml:space="preserve"> </w:t>
      </w:r>
      <w:r w:rsidRPr="00CC55C0">
        <w:rPr>
          <w:b/>
          <w:noProof/>
        </w:rPr>
        <w:t>lit.</w:t>
      </w:r>
      <w:r w:rsidR="00CC55C0" w:rsidRPr="00CC55C0">
        <w:rPr>
          <w:b/>
          <w:noProof/>
        </w:rPr>
        <w:t> </w:t>
      </w:r>
      <w:r w:rsidRPr="00CC55C0">
        <w:rPr>
          <w:b/>
          <w:noProof/>
        </w:rPr>
        <w:t>k)</w:t>
      </w:r>
      <w:r w:rsidRPr="0071228C">
        <w:rPr>
          <w:noProof/>
        </w:rPr>
        <w:t xml:space="preserve">, </w:t>
      </w:r>
      <w:r w:rsidRPr="00CC55C0">
        <w:rPr>
          <w:b/>
          <w:noProof/>
        </w:rPr>
        <w:t>art.</w:t>
      </w:r>
      <w:r w:rsidR="00CC55C0" w:rsidRPr="00CC55C0">
        <w:rPr>
          <w:b/>
          <w:noProof/>
        </w:rPr>
        <w:t> </w:t>
      </w:r>
      <w:r w:rsidRPr="00CC55C0">
        <w:rPr>
          <w:b/>
          <w:noProof/>
        </w:rPr>
        <w:t>4</w:t>
      </w:r>
      <w:r w:rsidRPr="0071228C">
        <w:rPr>
          <w:b/>
          <w:noProof/>
        </w:rPr>
        <w:t xml:space="preserve"> </w:t>
      </w:r>
      <w:r w:rsidRPr="00CC55C0">
        <w:rPr>
          <w:b/>
          <w:noProof/>
        </w:rPr>
        <w:t>ust.</w:t>
      </w:r>
      <w:r w:rsidR="00CC55C0" w:rsidRPr="00CC55C0">
        <w:rPr>
          <w:b/>
          <w:noProof/>
        </w:rPr>
        <w:t> </w:t>
      </w:r>
      <w:r w:rsidRPr="00CC55C0">
        <w:rPr>
          <w:b/>
          <w:noProof/>
        </w:rPr>
        <w:t>1</w:t>
      </w:r>
      <w:r w:rsidRPr="0071228C">
        <w:rPr>
          <w:noProof/>
        </w:rPr>
        <w:t xml:space="preserve"> oraz </w:t>
      </w:r>
      <w:r w:rsidRPr="0071228C">
        <w:rPr>
          <w:b/>
          <w:noProof/>
        </w:rPr>
        <w:t>załączniku V (</w:t>
      </w:r>
      <w:r w:rsidRPr="00CC55C0">
        <w:rPr>
          <w:b/>
          <w:noProof/>
        </w:rPr>
        <w:t>pkt</w:t>
      </w:r>
      <w:r w:rsidR="00CC55C0" w:rsidRPr="00CC55C0">
        <w:rPr>
          <w:b/>
          <w:noProof/>
        </w:rPr>
        <w:t> </w:t>
      </w:r>
      <w:r w:rsidRPr="00CC55C0">
        <w:rPr>
          <w:b/>
          <w:noProof/>
        </w:rPr>
        <w:t>1</w:t>
      </w:r>
      <w:r w:rsidRPr="0071228C">
        <w:rPr>
          <w:b/>
          <w:noProof/>
        </w:rPr>
        <w:t>.4.3, 2.3.2</w:t>
      </w:r>
      <w:r w:rsidR="00CC55C0" w:rsidRPr="0071228C">
        <w:rPr>
          <w:b/>
          <w:noProof/>
        </w:rPr>
        <w:t xml:space="preserve"> i</w:t>
      </w:r>
      <w:r w:rsidR="00CC55C0">
        <w:rPr>
          <w:b/>
          <w:noProof/>
        </w:rPr>
        <w:t> </w:t>
      </w:r>
      <w:r w:rsidR="00CC55C0" w:rsidRPr="0071228C">
        <w:rPr>
          <w:b/>
          <w:noProof/>
        </w:rPr>
        <w:t>2</w:t>
      </w:r>
      <w:r w:rsidRPr="0071228C">
        <w:rPr>
          <w:b/>
          <w:noProof/>
        </w:rPr>
        <w:t xml:space="preserve">.4.5) </w:t>
      </w:r>
      <w:r w:rsidRPr="0071228C">
        <w:rPr>
          <w:noProof/>
        </w:rPr>
        <w:t xml:space="preserve">i </w:t>
      </w:r>
      <w:r w:rsidRPr="0071228C">
        <w:rPr>
          <w:b/>
          <w:noProof/>
        </w:rPr>
        <w:t>VII (</w:t>
      </w:r>
      <w:r w:rsidRPr="00CC55C0">
        <w:rPr>
          <w:b/>
          <w:noProof/>
        </w:rPr>
        <w:t>pkt</w:t>
      </w:r>
      <w:r w:rsidR="00CC55C0" w:rsidRPr="00CC55C0">
        <w:rPr>
          <w:b/>
          <w:noProof/>
        </w:rPr>
        <w:t> </w:t>
      </w:r>
      <w:r w:rsidRPr="00CC55C0">
        <w:rPr>
          <w:b/>
          <w:noProof/>
        </w:rPr>
        <w:t>7</w:t>
      </w:r>
      <w:r w:rsidRPr="0071228C">
        <w:rPr>
          <w:b/>
          <w:noProof/>
        </w:rPr>
        <w:t xml:space="preserve">.7) </w:t>
      </w:r>
      <w:r w:rsidRPr="0071228C">
        <w:rPr>
          <w:noProof/>
        </w:rPr>
        <w:t>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uwzględnienia proponowanego uchylenia </w:t>
      </w:r>
      <w:r w:rsidRPr="00CC55C0">
        <w:rPr>
          <w:noProof/>
        </w:rPr>
        <w:t>art.</w:t>
      </w:r>
      <w:r w:rsidR="00CC55C0" w:rsidRPr="00CC55C0">
        <w:rPr>
          <w:noProof/>
        </w:rPr>
        <w:t> </w:t>
      </w:r>
      <w:r w:rsidRPr="00CC55C0">
        <w:rPr>
          <w:noProof/>
        </w:rPr>
        <w:t>1</w:t>
      </w:r>
      <w:r w:rsidRPr="0071228C">
        <w:rPr>
          <w:noProof/>
        </w:rPr>
        <w:t>6</w:t>
      </w:r>
      <w:r w:rsidR="00CC55C0" w:rsidRPr="0071228C">
        <w:rPr>
          <w:noProof/>
        </w:rPr>
        <w:t xml:space="preserve"> i</w:t>
      </w:r>
      <w:r w:rsidR="00CC55C0">
        <w:rPr>
          <w:noProof/>
        </w:rPr>
        <w:t> </w:t>
      </w:r>
      <w:r w:rsidR="00CC55C0" w:rsidRPr="0071228C">
        <w:rPr>
          <w:noProof/>
        </w:rPr>
        <w:t>1</w:t>
      </w:r>
      <w:r w:rsidRPr="0071228C">
        <w:rPr>
          <w:noProof/>
        </w:rPr>
        <w:t xml:space="preserve">7 (zob. poniżej). </w:t>
      </w:r>
    </w:p>
    <w:p w14:paraId="4FC8C73F" w14:textId="1616F762" w:rsidR="005C53E6" w:rsidRPr="0071228C" w:rsidRDefault="005C53E6" w:rsidP="005C53E6">
      <w:pPr>
        <w:rPr>
          <w:rFonts w:eastAsia="Arial Unicode MS"/>
          <w:noProof/>
        </w:rPr>
      </w:pPr>
      <w:r w:rsidRPr="0071228C">
        <w:rPr>
          <w:noProof/>
        </w:rPr>
        <w:t xml:space="preserve">W </w:t>
      </w:r>
      <w:r w:rsidRPr="00CC55C0">
        <w:rPr>
          <w:b/>
          <w:noProof/>
        </w:rPr>
        <w:t>art.</w:t>
      </w:r>
      <w:r w:rsidR="00CC55C0" w:rsidRPr="00CC55C0">
        <w:rPr>
          <w:b/>
          <w:noProof/>
        </w:rPr>
        <w:t> </w:t>
      </w:r>
      <w:r w:rsidRPr="00CC55C0">
        <w:rPr>
          <w:b/>
          <w:noProof/>
        </w:rPr>
        <w:t>2</w:t>
      </w:r>
      <w:r w:rsidRPr="0071228C">
        <w:rPr>
          <w:noProof/>
        </w:rPr>
        <w:t xml:space="preserve"> dotyczącym definicji wprowadza się zmiany</w:t>
      </w:r>
      <w:r w:rsidR="00CC55C0" w:rsidRPr="0071228C">
        <w:rPr>
          <w:noProof/>
        </w:rPr>
        <w:t xml:space="preserve"> w</w:t>
      </w:r>
      <w:r w:rsidR="00CC55C0">
        <w:rPr>
          <w:noProof/>
        </w:rPr>
        <w:t> </w:t>
      </w:r>
      <w:r w:rsidR="00CC55C0" w:rsidRPr="0071228C">
        <w:rPr>
          <w:noProof/>
        </w:rPr>
        <w:t>cel</w:t>
      </w:r>
      <w:r w:rsidRPr="0071228C">
        <w:rPr>
          <w:noProof/>
        </w:rPr>
        <w:t>u aktualizacji definicji „dobrego stanu chemicznego wód powierzchniowych”, „substancji priorytetowych” i „środowiskowych norm jakości” oraz wprowadzenia definicji „priorytetowych substancji niebezpiecznych” i „substancji zanieczyszczających specyficznych dla dorzeczy”. Zmiany te są niezbędne, aby: 1) uwzględnić wniosek dotyczący zastąpienia obecnej procedury współdecyzji przy przyjmowaniu środowiskowych norm jakości aktami delegowanymi; 2) rozszerzyć zakres pojęcia „stan chemiczny”, aby objąć nim również „substancje zanieczyszczające specyficzne dla dorzeczy”, które dotychczas stanowiły część definicji „stanu ekologicznego”</w:t>
      </w:r>
      <w:r w:rsidR="00CC55C0" w:rsidRPr="0071228C">
        <w:rPr>
          <w:noProof/>
        </w:rPr>
        <w:t xml:space="preserve"> w</w:t>
      </w:r>
      <w:r w:rsidR="00CC55C0">
        <w:rPr>
          <w:noProof/>
        </w:rPr>
        <w:t> </w:t>
      </w:r>
      <w:r w:rsidR="00CC55C0" w:rsidRPr="0071228C">
        <w:rPr>
          <w:noProof/>
        </w:rPr>
        <w:t>ram</w:t>
      </w:r>
      <w:r w:rsidRPr="0071228C">
        <w:rPr>
          <w:noProof/>
        </w:rPr>
        <w:t>ach załącznika V; 3) uwzględnić ewentualne przyszłe wartości progowe oparte na skutkach jako część definicji „środowiskowych norm jakości”.</w:t>
      </w:r>
    </w:p>
    <w:p w14:paraId="64908A8F" w14:textId="5786BF8D" w:rsidR="005C53E6" w:rsidRPr="0071228C" w:rsidRDefault="005C53E6" w:rsidP="005C53E6">
      <w:pPr>
        <w:rPr>
          <w:rFonts w:eastAsia="Arial Unicode MS"/>
          <w:noProof/>
        </w:rPr>
      </w:pPr>
      <w:r w:rsidRPr="0071228C">
        <w:rPr>
          <w:noProof/>
        </w:rPr>
        <w:t xml:space="preserve">W </w:t>
      </w:r>
      <w:r w:rsidRPr="00CC55C0">
        <w:rPr>
          <w:b/>
          <w:noProof/>
        </w:rPr>
        <w:t>art.</w:t>
      </w:r>
      <w:r w:rsidR="00CC55C0" w:rsidRPr="00CC55C0">
        <w:rPr>
          <w:b/>
          <w:noProof/>
        </w:rPr>
        <w:t> </w:t>
      </w:r>
      <w:r w:rsidRPr="00CC55C0">
        <w:rPr>
          <w:b/>
          <w:noProof/>
        </w:rPr>
        <w:t>3</w:t>
      </w:r>
      <w:r w:rsidRPr="0071228C">
        <w:rPr>
          <w:noProof/>
        </w:rPr>
        <w:t xml:space="preserve"> dotyczącym koordynacji administracyjnej</w:t>
      </w:r>
      <w:r w:rsidR="00CC55C0" w:rsidRPr="0071228C">
        <w:rPr>
          <w:noProof/>
        </w:rPr>
        <w:t xml:space="preserve"> w</w:t>
      </w:r>
      <w:r w:rsidR="00CC55C0">
        <w:rPr>
          <w:noProof/>
        </w:rPr>
        <w:t> </w:t>
      </w:r>
      <w:r w:rsidR="00CC55C0" w:rsidRPr="0071228C">
        <w:rPr>
          <w:noProof/>
        </w:rPr>
        <w:t>obr</w:t>
      </w:r>
      <w:r w:rsidRPr="0071228C">
        <w:rPr>
          <w:noProof/>
        </w:rPr>
        <w:t>ębie obszarów dorzeczy wprowadza się zmiany do celów wprowadzenia obowiązku,</w:t>
      </w:r>
      <w:r w:rsidR="00CC55C0" w:rsidRPr="0071228C">
        <w:rPr>
          <w:noProof/>
        </w:rPr>
        <w:t xml:space="preserve"> w</w:t>
      </w:r>
      <w:r w:rsidR="00CC55C0">
        <w:rPr>
          <w:noProof/>
        </w:rPr>
        <w:t> </w:t>
      </w:r>
      <w:r w:rsidR="00CC55C0" w:rsidRPr="0071228C">
        <w:rPr>
          <w:noProof/>
        </w:rPr>
        <w:t>prz</w:t>
      </w:r>
      <w:r w:rsidRPr="0071228C">
        <w:rPr>
          <w:noProof/>
        </w:rPr>
        <w:t>ypadku wystąpienia wyjątkowych okoliczności pochodzenia naturalnego lub sił wyższych,</w:t>
      </w:r>
      <w:r w:rsidR="00CC55C0" w:rsidRPr="0071228C">
        <w:rPr>
          <w:noProof/>
        </w:rPr>
        <w:t xml:space="preserve"> w</w:t>
      </w:r>
      <w:r w:rsidR="00CC55C0">
        <w:rPr>
          <w:noProof/>
        </w:rPr>
        <w:t> </w:t>
      </w:r>
      <w:r w:rsidR="00CC55C0" w:rsidRPr="0071228C">
        <w:rPr>
          <w:noProof/>
        </w:rPr>
        <w:t>szc</w:t>
      </w:r>
      <w:r w:rsidRPr="0071228C">
        <w:rPr>
          <w:noProof/>
        </w:rPr>
        <w:t>zególności ekstremalnych powodzi, długiej suszy lub znaczących przypadkowych zanieczyszczeń, wzajemnego ostrzegania przez właściwe władze wszystkich potencjalnie dotkniętych części wód,</w:t>
      </w:r>
      <w:r w:rsidR="00CC55C0" w:rsidRPr="0071228C">
        <w:rPr>
          <w:noProof/>
        </w:rPr>
        <w:t xml:space="preserve"> w</w:t>
      </w:r>
      <w:r w:rsidR="00CC55C0">
        <w:rPr>
          <w:noProof/>
        </w:rPr>
        <w:t> </w:t>
      </w:r>
      <w:r w:rsidR="00CC55C0" w:rsidRPr="0071228C">
        <w:rPr>
          <w:noProof/>
        </w:rPr>
        <w:t>tym w</w:t>
      </w:r>
      <w:r w:rsidR="00CC55C0">
        <w:rPr>
          <w:noProof/>
        </w:rPr>
        <w:t> </w:t>
      </w:r>
      <w:r w:rsidR="00CC55C0" w:rsidRPr="0071228C">
        <w:rPr>
          <w:noProof/>
        </w:rPr>
        <w:t>pań</w:t>
      </w:r>
      <w:r w:rsidRPr="0071228C">
        <w:rPr>
          <w:noProof/>
        </w:rPr>
        <w:t>stwach członkowskich położonych</w:t>
      </w:r>
      <w:r w:rsidR="00CC55C0" w:rsidRPr="0071228C">
        <w:rPr>
          <w:noProof/>
        </w:rPr>
        <w:t xml:space="preserve"> w</w:t>
      </w:r>
      <w:r w:rsidR="00CC55C0">
        <w:rPr>
          <w:noProof/>
        </w:rPr>
        <w:t> </w:t>
      </w:r>
      <w:r w:rsidR="00CC55C0" w:rsidRPr="0071228C">
        <w:rPr>
          <w:noProof/>
        </w:rPr>
        <w:t>dol</w:t>
      </w:r>
      <w:r w:rsidRPr="0071228C">
        <w:rPr>
          <w:noProof/>
        </w:rPr>
        <w:t>nym biegu rzeki,</w:t>
      </w:r>
      <w:r w:rsidR="00CC55C0" w:rsidRPr="0071228C">
        <w:rPr>
          <w:noProof/>
        </w:rPr>
        <w:t xml:space="preserve"> i</w:t>
      </w:r>
      <w:r w:rsidR="00CC55C0">
        <w:rPr>
          <w:noProof/>
        </w:rPr>
        <w:t> </w:t>
      </w:r>
      <w:r w:rsidR="00CC55C0" w:rsidRPr="0071228C">
        <w:rPr>
          <w:noProof/>
        </w:rPr>
        <w:t>ich</w:t>
      </w:r>
      <w:r w:rsidRPr="0071228C">
        <w:rPr>
          <w:noProof/>
        </w:rPr>
        <w:t xml:space="preserve"> współpracy</w:t>
      </w:r>
      <w:r w:rsidR="00CC55C0" w:rsidRPr="0071228C">
        <w:rPr>
          <w:noProof/>
        </w:rPr>
        <w:t xml:space="preserve"> w</w:t>
      </w:r>
      <w:r w:rsidR="00CC55C0">
        <w:rPr>
          <w:noProof/>
        </w:rPr>
        <w:t> </w:t>
      </w:r>
      <w:r w:rsidR="00CC55C0" w:rsidRPr="0071228C">
        <w:rPr>
          <w:noProof/>
        </w:rPr>
        <w:t>cel</w:t>
      </w:r>
      <w:r w:rsidRPr="0071228C">
        <w:rPr>
          <w:noProof/>
        </w:rPr>
        <w:t>u zminimalizowania szkód</w:t>
      </w:r>
      <w:r w:rsidR="00CC55C0" w:rsidRPr="0071228C">
        <w:rPr>
          <w:noProof/>
        </w:rPr>
        <w:t xml:space="preserve"> i</w:t>
      </w:r>
      <w:r w:rsidR="00CC55C0">
        <w:rPr>
          <w:noProof/>
        </w:rPr>
        <w:t> </w:t>
      </w:r>
      <w:r w:rsidR="00CC55C0" w:rsidRPr="0071228C">
        <w:rPr>
          <w:noProof/>
        </w:rPr>
        <w:t>usu</w:t>
      </w:r>
      <w:r w:rsidRPr="0071228C">
        <w:rPr>
          <w:noProof/>
        </w:rPr>
        <w:t xml:space="preserve">nięcia skutków. </w:t>
      </w:r>
    </w:p>
    <w:p w14:paraId="18208584" w14:textId="5B9830B0" w:rsidR="005C53E6" w:rsidRPr="0071228C" w:rsidRDefault="005C53E6" w:rsidP="005C53E6">
      <w:pPr>
        <w:rPr>
          <w:rFonts w:eastAsia="Arial Unicode MS"/>
          <w:noProof/>
        </w:rPr>
      </w:pPr>
      <w:r w:rsidRPr="0071228C">
        <w:rPr>
          <w:noProof/>
        </w:rPr>
        <w:t xml:space="preserve">Oprócz wyżej wymienionych dostosowań uwzględniających uchylenie </w:t>
      </w:r>
      <w:r w:rsidRPr="00CC55C0">
        <w:rPr>
          <w:noProof/>
        </w:rPr>
        <w:t>art.</w:t>
      </w:r>
      <w:r w:rsidR="00CC55C0" w:rsidRPr="00CC55C0">
        <w:rPr>
          <w:noProof/>
        </w:rPr>
        <w:t> </w:t>
      </w:r>
      <w:r w:rsidRPr="00CC55C0">
        <w:rPr>
          <w:noProof/>
        </w:rPr>
        <w:t>1</w:t>
      </w:r>
      <w:r w:rsidRPr="0071228C">
        <w:rPr>
          <w:noProof/>
        </w:rPr>
        <w:t>6,</w:t>
      </w:r>
      <w:r w:rsidR="00CC55C0" w:rsidRPr="0071228C">
        <w:rPr>
          <w:noProof/>
        </w:rPr>
        <w:t xml:space="preserve"> </w:t>
      </w:r>
      <w:r w:rsidR="00CC55C0" w:rsidRPr="00CC55C0">
        <w:rPr>
          <w:noProof/>
        </w:rPr>
        <w:t>w</w:t>
      </w:r>
      <w:r w:rsidR="00CC55C0">
        <w:rPr>
          <w:noProof/>
        </w:rPr>
        <w:t> </w:t>
      </w:r>
      <w:r w:rsidR="00CC55C0" w:rsidRPr="00CC55C0">
        <w:rPr>
          <w:b/>
          <w:noProof/>
        </w:rPr>
        <w:t>art</w:t>
      </w:r>
      <w:r w:rsidRPr="00CC55C0">
        <w:rPr>
          <w:b/>
          <w:noProof/>
        </w:rPr>
        <w:t>.</w:t>
      </w:r>
      <w:r w:rsidR="00CC55C0" w:rsidRPr="00CC55C0">
        <w:rPr>
          <w:b/>
          <w:noProof/>
        </w:rPr>
        <w:t> </w:t>
      </w:r>
      <w:r w:rsidRPr="00CC55C0">
        <w:rPr>
          <w:b/>
          <w:noProof/>
        </w:rPr>
        <w:t>4</w:t>
      </w:r>
      <w:r w:rsidRPr="0071228C">
        <w:rPr>
          <w:noProof/>
        </w:rPr>
        <w:t xml:space="preserve"> dotyczącym celów wprowadza się zmiany</w:t>
      </w:r>
      <w:r w:rsidR="00CC55C0" w:rsidRPr="0071228C">
        <w:rPr>
          <w:noProof/>
        </w:rPr>
        <w:t xml:space="preserve"> w</w:t>
      </w:r>
      <w:r w:rsidR="00CC55C0">
        <w:rPr>
          <w:noProof/>
        </w:rPr>
        <w:t> </w:t>
      </w:r>
      <w:r w:rsidR="00CC55C0" w:rsidRPr="0071228C">
        <w:rPr>
          <w:noProof/>
        </w:rPr>
        <w:t>cel</w:t>
      </w:r>
      <w:r w:rsidRPr="0071228C">
        <w:rPr>
          <w:noProof/>
        </w:rPr>
        <w:t xml:space="preserve">u zapewnienia, aby </w:t>
      </w:r>
      <w:r w:rsidRPr="00CC55C0">
        <w:rPr>
          <w:noProof/>
        </w:rPr>
        <w:t>lit.</w:t>
      </w:r>
      <w:r w:rsidR="00CC55C0" w:rsidRPr="00CC55C0">
        <w:rPr>
          <w:noProof/>
        </w:rPr>
        <w:t> </w:t>
      </w:r>
      <w:r w:rsidRPr="00CC55C0">
        <w:rPr>
          <w:noProof/>
        </w:rPr>
        <w:t>a)</w:t>
      </w:r>
      <w:r w:rsidRPr="0071228C">
        <w:rPr>
          <w:noProof/>
        </w:rPr>
        <w:t xml:space="preserve"> ppkt (iv) tego artykułu zawierała wyraźne zobowiązanie państw członkowskich do stopniowego redukowania substancji zanieczyszczających specyficznych dla dorzeczy,</w:t>
      </w:r>
      <w:r w:rsidR="00CC55C0" w:rsidRPr="0071228C">
        <w:rPr>
          <w:noProof/>
        </w:rPr>
        <w:t xml:space="preserve"> a</w:t>
      </w:r>
      <w:r w:rsidR="00CC55C0">
        <w:rPr>
          <w:noProof/>
        </w:rPr>
        <w:t> </w:t>
      </w:r>
      <w:r w:rsidR="00CC55C0" w:rsidRPr="0071228C">
        <w:rPr>
          <w:noProof/>
        </w:rPr>
        <w:t>nie</w:t>
      </w:r>
      <w:r w:rsidRPr="0071228C">
        <w:rPr>
          <w:noProof/>
        </w:rPr>
        <w:t xml:space="preserve"> tylko zanieczyszczeń substancjami priorytetowymi. </w:t>
      </w:r>
    </w:p>
    <w:p w14:paraId="32AECC35" w14:textId="0AD40D56" w:rsidR="005C53E6" w:rsidRPr="0071228C" w:rsidRDefault="005C53E6" w:rsidP="005C53E6">
      <w:pPr>
        <w:rPr>
          <w:rFonts w:eastAsia="Arial Unicode MS"/>
          <w:noProof/>
        </w:rPr>
      </w:pPr>
      <w:r w:rsidRPr="0071228C">
        <w:rPr>
          <w:noProof/>
        </w:rPr>
        <w:t xml:space="preserve">W </w:t>
      </w:r>
      <w:r w:rsidRPr="00CC55C0">
        <w:rPr>
          <w:b/>
          <w:noProof/>
        </w:rPr>
        <w:t>art.</w:t>
      </w:r>
      <w:r w:rsidR="00CC55C0" w:rsidRPr="00CC55C0">
        <w:rPr>
          <w:b/>
          <w:noProof/>
        </w:rPr>
        <w:t> </w:t>
      </w:r>
      <w:r w:rsidRPr="00CC55C0">
        <w:rPr>
          <w:b/>
          <w:noProof/>
        </w:rPr>
        <w:t>8</w:t>
      </w:r>
      <w:r w:rsidRPr="0071228C">
        <w:rPr>
          <w:b/>
          <w:noProof/>
        </w:rPr>
        <w:t xml:space="preserve"> </w:t>
      </w:r>
      <w:r w:rsidRPr="00CC55C0">
        <w:rPr>
          <w:b/>
          <w:noProof/>
        </w:rPr>
        <w:t>ust.</w:t>
      </w:r>
      <w:r w:rsidR="00CC55C0" w:rsidRPr="00CC55C0">
        <w:rPr>
          <w:b/>
          <w:noProof/>
        </w:rPr>
        <w:t> </w:t>
      </w:r>
      <w:r w:rsidRPr="00CC55C0">
        <w:rPr>
          <w:b/>
          <w:noProof/>
        </w:rPr>
        <w:t>3</w:t>
      </w:r>
      <w:r w:rsidRPr="0071228C">
        <w:rPr>
          <w:b/>
          <w:noProof/>
        </w:rPr>
        <w:t xml:space="preserve"> </w:t>
      </w:r>
      <w:r w:rsidRPr="0071228C">
        <w:rPr>
          <w:noProof/>
        </w:rPr>
        <w:t>dotyczącym metod analitycznych</w:t>
      </w:r>
      <w:r w:rsidR="00CC55C0" w:rsidRPr="0071228C">
        <w:rPr>
          <w:noProof/>
        </w:rPr>
        <w:t xml:space="preserve"> i</w:t>
      </w:r>
      <w:r w:rsidR="00CC55C0">
        <w:rPr>
          <w:noProof/>
        </w:rPr>
        <w:t> </w:t>
      </w:r>
      <w:r w:rsidR="00CC55C0" w:rsidRPr="0071228C">
        <w:rPr>
          <w:noProof/>
        </w:rPr>
        <w:t>mon</w:t>
      </w:r>
      <w:r w:rsidRPr="0071228C">
        <w:rPr>
          <w:noProof/>
        </w:rPr>
        <w:t>itorowania stanu wód wprowadza się zmiany</w:t>
      </w:r>
      <w:r w:rsidR="00CC55C0" w:rsidRPr="0071228C">
        <w:rPr>
          <w:noProof/>
        </w:rPr>
        <w:t xml:space="preserve"> w</w:t>
      </w:r>
      <w:r w:rsidR="00CC55C0">
        <w:rPr>
          <w:noProof/>
        </w:rPr>
        <w:t> </w:t>
      </w:r>
      <w:r w:rsidR="00CC55C0" w:rsidRPr="0071228C">
        <w:rPr>
          <w:noProof/>
        </w:rPr>
        <w:t>cel</w:t>
      </w:r>
      <w:r w:rsidRPr="0071228C">
        <w:rPr>
          <w:noProof/>
        </w:rPr>
        <w:t>u dostosowania procedury komitetowej do traktatu lizbońskiego przez zastąpienie dawnej „procedury regulacyjnej połączonej</w:t>
      </w:r>
      <w:r w:rsidR="00CC55C0" w:rsidRPr="0071228C">
        <w:rPr>
          <w:noProof/>
        </w:rPr>
        <w:t xml:space="preserve"> z</w:t>
      </w:r>
      <w:r w:rsidR="00CC55C0">
        <w:rPr>
          <w:noProof/>
        </w:rPr>
        <w:t> </w:t>
      </w:r>
      <w:r w:rsidR="00CC55C0" w:rsidRPr="0071228C">
        <w:rPr>
          <w:noProof/>
        </w:rPr>
        <w:t>kon</w:t>
      </w:r>
      <w:r w:rsidRPr="0071228C">
        <w:rPr>
          <w:noProof/>
        </w:rPr>
        <w:t>trolą” „procedurą sprawdzającą” określoną</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1. Ponadto</w:t>
      </w:r>
      <w:r w:rsidR="00CC55C0" w:rsidRPr="0071228C">
        <w:rPr>
          <w:noProof/>
        </w:rPr>
        <w:t xml:space="preserve"> w</w:t>
      </w:r>
      <w:r w:rsidR="00CC55C0">
        <w:rPr>
          <w:noProof/>
        </w:rPr>
        <w:t> </w:t>
      </w:r>
      <w:r w:rsidR="00CC55C0" w:rsidRPr="0071228C">
        <w:rPr>
          <w:noProof/>
        </w:rPr>
        <w:t>tym</w:t>
      </w:r>
      <w:r w:rsidRPr="0071228C">
        <w:rPr>
          <w:noProof/>
        </w:rPr>
        <w:t xml:space="preserve"> samym ustępie wprowadzono nowe uprawnienie, aby umożliwić przyjęcie aktów wykonawczych</w:t>
      </w:r>
      <w:r w:rsidR="00CC55C0" w:rsidRPr="0071228C">
        <w:rPr>
          <w:noProof/>
        </w:rPr>
        <w:t xml:space="preserve"> w</w:t>
      </w:r>
      <w:r w:rsidR="00CC55C0">
        <w:rPr>
          <w:noProof/>
        </w:rPr>
        <w:t> </w:t>
      </w:r>
      <w:r w:rsidR="00CC55C0" w:rsidRPr="0071228C">
        <w:rPr>
          <w:noProof/>
        </w:rPr>
        <w:t>cel</w:t>
      </w:r>
      <w:r w:rsidRPr="0071228C">
        <w:rPr>
          <w:noProof/>
        </w:rPr>
        <w:t>u określenia dalszych szczegółów odnoszących się do nowych obowiązków udostępniania EEA danych</w:t>
      </w:r>
      <w:r w:rsidR="00CC55C0" w:rsidRPr="0071228C">
        <w:rPr>
          <w:noProof/>
        </w:rPr>
        <w:t xml:space="preserve"> z</w:t>
      </w:r>
      <w:r w:rsidR="00CC55C0">
        <w:rPr>
          <w:noProof/>
        </w:rPr>
        <w:t> </w:t>
      </w:r>
      <w:r w:rsidR="00CC55C0" w:rsidRPr="0071228C">
        <w:rPr>
          <w:noProof/>
        </w:rPr>
        <w:t>mon</w:t>
      </w:r>
      <w:r w:rsidRPr="0071228C">
        <w:rPr>
          <w:noProof/>
        </w:rPr>
        <w:t>itorowania,</w:t>
      </w:r>
      <w:r w:rsidR="00CC55C0" w:rsidRPr="0071228C">
        <w:rPr>
          <w:noProof/>
        </w:rPr>
        <w:t xml:space="preserve"> a</w:t>
      </w:r>
      <w:r w:rsidR="00CC55C0">
        <w:rPr>
          <w:noProof/>
        </w:rPr>
        <w:t> </w:t>
      </w:r>
      <w:r w:rsidR="00CC55C0" w:rsidRPr="0071228C">
        <w:rPr>
          <w:noProof/>
        </w:rPr>
        <w:t>tak</w:t>
      </w:r>
      <w:r w:rsidRPr="0071228C">
        <w:rPr>
          <w:noProof/>
        </w:rPr>
        <w:t xml:space="preserve">że bardziej regularnego udostępniania danych dotyczących statusu na podstawie </w:t>
      </w:r>
      <w:r w:rsidRPr="0071228C">
        <w:rPr>
          <w:b/>
          <w:noProof/>
        </w:rPr>
        <w:t xml:space="preserve">nowych </w:t>
      </w:r>
      <w:r w:rsidRPr="00CC55C0">
        <w:rPr>
          <w:b/>
          <w:noProof/>
        </w:rPr>
        <w:t>ust.</w:t>
      </w:r>
      <w:r w:rsidR="00CC55C0" w:rsidRPr="00CC55C0">
        <w:rPr>
          <w:b/>
          <w:noProof/>
        </w:rPr>
        <w:t> </w:t>
      </w:r>
      <w:r w:rsidRPr="00CC55C0">
        <w:rPr>
          <w:b/>
          <w:noProof/>
        </w:rPr>
        <w:t>4</w:t>
      </w:r>
      <w:r w:rsidR="00CC55C0" w:rsidRPr="0071228C">
        <w:rPr>
          <w:b/>
          <w:noProof/>
        </w:rPr>
        <w:t xml:space="preserve"> i</w:t>
      </w:r>
      <w:r w:rsidR="00CC55C0">
        <w:rPr>
          <w:b/>
          <w:noProof/>
        </w:rPr>
        <w:t> </w:t>
      </w:r>
      <w:r w:rsidR="00CC55C0" w:rsidRPr="0071228C">
        <w:rPr>
          <w:b/>
          <w:noProof/>
        </w:rPr>
        <w:t>5</w:t>
      </w:r>
      <w:r w:rsidRPr="0071228C">
        <w:rPr>
          <w:noProof/>
        </w:rPr>
        <w:t>. Zmiany te są</w:t>
      </w:r>
      <w:r w:rsidR="00CC55C0" w:rsidRPr="0071228C">
        <w:rPr>
          <w:noProof/>
        </w:rPr>
        <w:t xml:space="preserve"> w</w:t>
      </w:r>
      <w:r w:rsidR="00CC55C0">
        <w:rPr>
          <w:noProof/>
        </w:rPr>
        <w:t> </w:t>
      </w:r>
      <w:r w:rsidR="00CC55C0" w:rsidRPr="0071228C">
        <w:rPr>
          <w:noProof/>
        </w:rPr>
        <w:t>peł</w:t>
      </w:r>
      <w:r w:rsidRPr="0071228C">
        <w:rPr>
          <w:noProof/>
        </w:rPr>
        <w:t>ni zgodne</w:t>
      </w:r>
      <w:r w:rsidR="00CC55C0" w:rsidRPr="0071228C">
        <w:rPr>
          <w:noProof/>
        </w:rPr>
        <w:t xml:space="preserve"> z</w:t>
      </w:r>
      <w:r w:rsidR="00CC55C0">
        <w:rPr>
          <w:noProof/>
        </w:rPr>
        <w:t> </w:t>
      </w:r>
      <w:r w:rsidR="00CC55C0" w:rsidRPr="0071228C">
        <w:rPr>
          <w:noProof/>
        </w:rPr>
        <w:t>ist</w:t>
      </w:r>
      <w:r w:rsidRPr="0071228C">
        <w:rPr>
          <w:noProof/>
        </w:rPr>
        <w:t>niejącymi obowiązkami wynikającymi</w:t>
      </w:r>
      <w:r w:rsidR="00CC55C0" w:rsidRPr="0071228C">
        <w:rPr>
          <w:noProof/>
        </w:rPr>
        <w:t xml:space="preserve"> z</w:t>
      </w:r>
      <w:r w:rsidR="00CC55C0">
        <w:rPr>
          <w:noProof/>
        </w:rPr>
        <w:t> </w:t>
      </w:r>
      <w:r w:rsidR="00CC55C0" w:rsidRPr="0071228C">
        <w:rPr>
          <w:noProof/>
        </w:rPr>
        <w:t>dyr</w:t>
      </w:r>
      <w:r w:rsidRPr="0071228C">
        <w:rPr>
          <w:noProof/>
        </w:rPr>
        <w:t>ektywy 2007/2/WE (INSPIRE), na mocy której państwa członkowskie są zobowiązane do publicznego udostępniania zbiorów danych przestrzennych,</w:t>
      </w:r>
      <w:r w:rsidR="00CC55C0" w:rsidRPr="0071228C">
        <w:rPr>
          <w:noProof/>
        </w:rPr>
        <w:t xml:space="preserve"> w</w:t>
      </w:r>
      <w:r w:rsidR="00CC55C0">
        <w:rPr>
          <w:noProof/>
        </w:rPr>
        <w:t> </w:t>
      </w:r>
      <w:r w:rsidR="00CC55C0" w:rsidRPr="0071228C">
        <w:rPr>
          <w:noProof/>
        </w:rPr>
        <w:t>tym</w:t>
      </w:r>
      <w:r w:rsidRPr="0071228C">
        <w:rPr>
          <w:noProof/>
        </w:rPr>
        <w:t xml:space="preserve"> dotyczących lokalizacji</w:t>
      </w:r>
      <w:r w:rsidR="00CC55C0" w:rsidRPr="0071228C">
        <w:rPr>
          <w:noProof/>
        </w:rPr>
        <w:t xml:space="preserve"> i</w:t>
      </w:r>
      <w:r w:rsidR="00CC55C0">
        <w:rPr>
          <w:noProof/>
        </w:rPr>
        <w:t> </w:t>
      </w:r>
      <w:r w:rsidR="00CC55C0" w:rsidRPr="0071228C">
        <w:rPr>
          <w:noProof/>
        </w:rPr>
        <w:t>fun</w:t>
      </w:r>
      <w:r w:rsidRPr="0071228C">
        <w:rPr>
          <w:noProof/>
        </w:rPr>
        <w:t>kcjonowania urządzeń do monitorowania środowiska, powiązanych pomiarów emisji oraz stanu zasobów środowiska (powietrza, wody, gleby)</w:t>
      </w:r>
      <w:r w:rsidR="00CC55C0" w:rsidRPr="0071228C">
        <w:rPr>
          <w:noProof/>
        </w:rPr>
        <w:t>. W</w:t>
      </w:r>
      <w:r w:rsidR="00CC55C0">
        <w:rPr>
          <w:noProof/>
        </w:rPr>
        <w:t> </w:t>
      </w:r>
      <w:r w:rsidR="00CC55C0" w:rsidRPr="0071228C">
        <w:rPr>
          <w:noProof/>
        </w:rPr>
        <w:t>cel</w:t>
      </w:r>
      <w:r w:rsidRPr="0071228C">
        <w:rPr>
          <w:noProof/>
        </w:rPr>
        <w:t>u zmniejszenia obciążenia administracyjnego należy nadal usprawniać rozpowszechnianie danych zgodnie</w:t>
      </w:r>
      <w:r w:rsidR="00CC55C0" w:rsidRPr="0071228C">
        <w:rPr>
          <w:noProof/>
        </w:rPr>
        <w:t xml:space="preserve"> z</w:t>
      </w:r>
      <w:r w:rsidR="00CC55C0">
        <w:rPr>
          <w:noProof/>
        </w:rPr>
        <w:t> </w:t>
      </w:r>
      <w:r w:rsidR="00CC55C0" w:rsidRPr="0071228C">
        <w:rPr>
          <w:noProof/>
        </w:rPr>
        <w:t>eur</w:t>
      </w:r>
      <w:r w:rsidRPr="0071228C">
        <w:rPr>
          <w:noProof/>
        </w:rPr>
        <w:t>opejską strategią cyfrową, dyrektywą (UE) 2019/1024</w:t>
      </w:r>
      <w:r w:rsidR="00CC55C0" w:rsidRPr="0071228C">
        <w:rPr>
          <w:noProof/>
        </w:rPr>
        <w:t xml:space="preserve"> w</w:t>
      </w:r>
      <w:r w:rsidR="00CC55C0">
        <w:rPr>
          <w:noProof/>
        </w:rPr>
        <w:t> </w:t>
      </w:r>
      <w:r w:rsidR="00CC55C0" w:rsidRPr="0071228C">
        <w:rPr>
          <w:noProof/>
        </w:rPr>
        <w:t>spr</w:t>
      </w:r>
      <w:r w:rsidRPr="0071228C">
        <w:rPr>
          <w:noProof/>
        </w:rPr>
        <w:t>awie otwartych danych oraz podejściem opartym na zasadzie „jedna substancja jedna ocena”</w:t>
      </w:r>
      <w:r w:rsidR="00CC55C0" w:rsidRPr="0071228C">
        <w:rPr>
          <w:noProof/>
        </w:rPr>
        <w:t xml:space="preserve"> w</w:t>
      </w:r>
      <w:r w:rsidR="00CC55C0">
        <w:rPr>
          <w:noProof/>
        </w:rPr>
        <w:t> </w:t>
      </w:r>
      <w:r w:rsidR="00CC55C0" w:rsidRPr="0071228C">
        <w:rPr>
          <w:noProof/>
        </w:rPr>
        <w:t>ram</w:t>
      </w:r>
      <w:r w:rsidRPr="0071228C">
        <w:rPr>
          <w:noProof/>
        </w:rPr>
        <w:t>ach strategii</w:t>
      </w:r>
      <w:r w:rsidR="00CC55C0" w:rsidRPr="0071228C">
        <w:rPr>
          <w:noProof/>
        </w:rPr>
        <w:t xml:space="preserve"> w</w:t>
      </w:r>
      <w:r w:rsidR="00CC55C0">
        <w:rPr>
          <w:noProof/>
        </w:rPr>
        <w:t> </w:t>
      </w:r>
      <w:r w:rsidR="00CC55C0" w:rsidRPr="0071228C">
        <w:rPr>
          <w:noProof/>
        </w:rPr>
        <w:t>zak</w:t>
      </w:r>
      <w:r w:rsidRPr="0071228C">
        <w:rPr>
          <w:noProof/>
        </w:rPr>
        <w:t xml:space="preserve">resie chemikaliów na rzecz zrównoważoności. </w:t>
      </w:r>
    </w:p>
    <w:p w14:paraId="76DCCA05" w14:textId="10551F2F" w:rsidR="005C53E6" w:rsidRPr="0071228C" w:rsidRDefault="005C53E6" w:rsidP="005C53E6">
      <w:pPr>
        <w:rPr>
          <w:rFonts w:eastAsia="Arial Unicode MS"/>
          <w:noProof/>
        </w:rPr>
      </w:pPr>
      <w:r w:rsidRPr="0071228C">
        <w:rPr>
          <w:noProof/>
        </w:rPr>
        <w:t xml:space="preserve">W </w:t>
      </w:r>
      <w:r w:rsidRPr="00CC55C0">
        <w:rPr>
          <w:b/>
          <w:noProof/>
        </w:rPr>
        <w:t>art.</w:t>
      </w:r>
      <w:r w:rsidR="00CC55C0" w:rsidRPr="00CC55C0">
        <w:rPr>
          <w:b/>
          <w:noProof/>
        </w:rPr>
        <w:t> </w:t>
      </w:r>
      <w:r w:rsidRPr="00CC55C0">
        <w:rPr>
          <w:b/>
          <w:noProof/>
        </w:rPr>
        <w:t>1</w:t>
      </w:r>
      <w:r w:rsidRPr="0071228C">
        <w:rPr>
          <w:b/>
          <w:noProof/>
        </w:rPr>
        <w:t>0</w:t>
      </w:r>
      <w:r w:rsidRPr="0071228C">
        <w:rPr>
          <w:noProof/>
        </w:rPr>
        <w:t xml:space="preserve"> dotyczącym podejścia łączonego do punktowych</w:t>
      </w:r>
      <w:r w:rsidR="00CC55C0" w:rsidRPr="0071228C">
        <w:rPr>
          <w:noProof/>
        </w:rPr>
        <w:t xml:space="preserve"> i</w:t>
      </w:r>
      <w:r w:rsidR="00CC55C0">
        <w:rPr>
          <w:noProof/>
        </w:rPr>
        <w:t> </w:t>
      </w:r>
      <w:r w:rsidR="00CC55C0" w:rsidRPr="0071228C">
        <w:rPr>
          <w:noProof/>
        </w:rPr>
        <w:t>roz</w:t>
      </w:r>
      <w:r w:rsidRPr="0071228C">
        <w:rPr>
          <w:noProof/>
        </w:rPr>
        <w:t>proszonych źródeł zanieczyszczeń wprowadza się zmiany</w:t>
      </w:r>
      <w:r w:rsidR="00CC55C0" w:rsidRPr="0071228C">
        <w:rPr>
          <w:noProof/>
        </w:rPr>
        <w:t xml:space="preserve"> w</w:t>
      </w:r>
      <w:r w:rsidR="00CC55C0">
        <w:rPr>
          <w:noProof/>
        </w:rPr>
        <w:t> </w:t>
      </w:r>
      <w:r w:rsidR="00CC55C0" w:rsidRPr="0071228C">
        <w:rPr>
          <w:noProof/>
        </w:rPr>
        <w:t>cel</w:t>
      </w:r>
      <w:r w:rsidRPr="0071228C">
        <w:rPr>
          <w:noProof/>
        </w:rPr>
        <w:t>u zaktualizowania odniesień do różnych dyrektyw dotyczących punktowych</w:t>
      </w:r>
      <w:r w:rsidR="00CC55C0" w:rsidRPr="0071228C">
        <w:rPr>
          <w:noProof/>
        </w:rPr>
        <w:t xml:space="preserve"> i</w:t>
      </w:r>
      <w:r w:rsidR="00CC55C0">
        <w:rPr>
          <w:noProof/>
        </w:rPr>
        <w:t> </w:t>
      </w:r>
      <w:r w:rsidR="00CC55C0" w:rsidRPr="0071228C">
        <w:rPr>
          <w:noProof/>
        </w:rPr>
        <w:t>roz</w:t>
      </w:r>
      <w:r w:rsidRPr="0071228C">
        <w:rPr>
          <w:noProof/>
        </w:rPr>
        <w:t>proszonych źródeł zanieczyszczeń (po ich uchyleniu</w:t>
      </w:r>
      <w:r w:rsidR="00CC55C0" w:rsidRPr="0071228C">
        <w:rPr>
          <w:noProof/>
        </w:rPr>
        <w:t xml:space="preserve"> i</w:t>
      </w:r>
      <w:r w:rsidR="00CC55C0">
        <w:rPr>
          <w:noProof/>
        </w:rPr>
        <w:t> </w:t>
      </w:r>
      <w:r w:rsidR="00CC55C0" w:rsidRPr="0071228C">
        <w:rPr>
          <w:noProof/>
        </w:rPr>
        <w:t>zas</w:t>
      </w:r>
      <w:r w:rsidRPr="0071228C">
        <w:rPr>
          <w:noProof/>
        </w:rPr>
        <w:t xml:space="preserve">tąpieniu). </w:t>
      </w:r>
    </w:p>
    <w:p w14:paraId="0F3F0793" w14:textId="70DC42B3" w:rsidR="00C87F96" w:rsidRPr="0071228C" w:rsidRDefault="00C87F96" w:rsidP="005C53E6">
      <w:pPr>
        <w:rPr>
          <w:rFonts w:eastAsia="Arial Unicode MS"/>
          <w:noProof/>
        </w:rPr>
      </w:pPr>
      <w:r w:rsidRPr="0071228C">
        <w:rPr>
          <w:noProof/>
        </w:rPr>
        <w:t xml:space="preserve">W </w:t>
      </w:r>
      <w:r w:rsidRPr="00CC55C0">
        <w:rPr>
          <w:b/>
          <w:noProof/>
        </w:rPr>
        <w:t>art.</w:t>
      </w:r>
      <w:r w:rsidR="00CC55C0" w:rsidRPr="00CC55C0">
        <w:rPr>
          <w:b/>
          <w:noProof/>
        </w:rPr>
        <w:t> </w:t>
      </w:r>
      <w:r w:rsidRPr="00CC55C0">
        <w:rPr>
          <w:b/>
          <w:noProof/>
        </w:rPr>
        <w:t>1</w:t>
      </w:r>
      <w:r w:rsidRPr="0071228C">
        <w:rPr>
          <w:b/>
          <w:noProof/>
        </w:rPr>
        <w:t>2</w:t>
      </w:r>
      <w:r w:rsidRPr="0071228C">
        <w:rPr>
          <w:noProof/>
        </w:rPr>
        <w:t xml:space="preserve"> dotyczącym kwestii, którymi nie może zająć się jedno państwo członkowskie, wprowadza się zmiany</w:t>
      </w:r>
      <w:r w:rsidR="00CC55C0" w:rsidRPr="0071228C">
        <w:rPr>
          <w:noProof/>
        </w:rPr>
        <w:t xml:space="preserve"> w</w:t>
      </w:r>
      <w:r w:rsidR="00CC55C0">
        <w:rPr>
          <w:noProof/>
        </w:rPr>
        <w:t> </w:t>
      </w:r>
      <w:r w:rsidR="00CC55C0" w:rsidRPr="0071228C">
        <w:rPr>
          <w:noProof/>
        </w:rPr>
        <w:t>cel</w:t>
      </w:r>
      <w:r w:rsidRPr="0071228C">
        <w:rPr>
          <w:noProof/>
        </w:rPr>
        <w:t>u wzmocnienia</w:t>
      </w:r>
      <w:r w:rsidR="00CC55C0" w:rsidRPr="0071228C">
        <w:rPr>
          <w:noProof/>
        </w:rPr>
        <w:t xml:space="preserve"> i</w:t>
      </w:r>
      <w:r w:rsidR="00CC55C0">
        <w:rPr>
          <w:noProof/>
        </w:rPr>
        <w:t> </w:t>
      </w:r>
      <w:r w:rsidR="00CC55C0" w:rsidRPr="0071228C">
        <w:rPr>
          <w:noProof/>
        </w:rPr>
        <w:t>sfo</w:t>
      </w:r>
      <w:r w:rsidRPr="0071228C">
        <w:rPr>
          <w:noProof/>
        </w:rPr>
        <w:t xml:space="preserve">rmalizowania procedury współpracy między państwami członkowskimi. </w:t>
      </w:r>
    </w:p>
    <w:p w14:paraId="0012394B" w14:textId="6C09AB62" w:rsidR="005C53E6" w:rsidRPr="0071228C" w:rsidRDefault="005C53E6" w:rsidP="005C53E6">
      <w:pPr>
        <w:rPr>
          <w:noProof/>
        </w:rPr>
      </w:pPr>
      <w:r w:rsidRPr="0071228C">
        <w:rPr>
          <w:noProof/>
        </w:rPr>
        <w:t xml:space="preserve">Uchyla się </w:t>
      </w:r>
      <w:r w:rsidRPr="00CC55C0">
        <w:rPr>
          <w:b/>
          <w:noProof/>
        </w:rPr>
        <w:t>art.</w:t>
      </w:r>
      <w:r w:rsidR="00CC55C0" w:rsidRPr="00CC55C0">
        <w:rPr>
          <w:b/>
          <w:noProof/>
        </w:rPr>
        <w:t> </w:t>
      </w:r>
      <w:r w:rsidRPr="00CC55C0">
        <w:rPr>
          <w:b/>
          <w:noProof/>
        </w:rPr>
        <w:t>1</w:t>
      </w:r>
      <w:r w:rsidRPr="0071228C">
        <w:rPr>
          <w:b/>
          <w:noProof/>
        </w:rPr>
        <w:t xml:space="preserve">5 </w:t>
      </w:r>
      <w:r w:rsidRPr="00CC55C0">
        <w:rPr>
          <w:b/>
          <w:noProof/>
        </w:rPr>
        <w:t>ust.</w:t>
      </w:r>
      <w:r w:rsidR="00CC55C0" w:rsidRPr="00CC55C0">
        <w:rPr>
          <w:b/>
          <w:noProof/>
        </w:rPr>
        <w:t> </w:t>
      </w:r>
      <w:r w:rsidRPr="00CC55C0">
        <w:rPr>
          <w:b/>
          <w:noProof/>
        </w:rPr>
        <w:t>3</w:t>
      </w:r>
      <w:r w:rsidRPr="0071228C">
        <w:rPr>
          <w:noProof/>
        </w:rPr>
        <w:t xml:space="preserve"> dotyczący składania trzyletnich okresowych sprawozdań</w:t>
      </w:r>
      <w:r w:rsidR="00CC55C0" w:rsidRPr="0071228C">
        <w:rPr>
          <w:noProof/>
        </w:rPr>
        <w:t xml:space="preserve"> z</w:t>
      </w:r>
      <w:r w:rsidR="00CC55C0">
        <w:rPr>
          <w:noProof/>
        </w:rPr>
        <w:t> </w:t>
      </w:r>
      <w:r w:rsidR="00CC55C0" w:rsidRPr="0071228C">
        <w:rPr>
          <w:noProof/>
        </w:rPr>
        <w:t>pos</w:t>
      </w:r>
      <w:r w:rsidRPr="0071228C">
        <w:rPr>
          <w:noProof/>
        </w:rPr>
        <w:t>tępów</w:t>
      </w:r>
      <w:r w:rsidR="00CC55C0" w:rsidRPr="0071228C">
        <w:rPr>
          <w:noProof/>
        </w:rPr>
        <w:t xml:space="preserve"> w</w:t>
      </w:r>
      <w:r w:rsidR="00CC55C0">
        <w:rPr>
          <w:noProof/>
        </w:rPr>
        <w:t> </w:t>
      </w:r>
      <w:r w:rsidR="00CC55C0" w:rsidRPr="0071228C">
        <w:rPr>
          <w:noProof/>
        </w:rPr>
        <w:t>rea</w:t>
      </w:r>
      <w:r w:rsidRPr="0071228C">
        <w:rPr>
          <w:noProof/>
        </w:rPr>
        <w:t>lizacji programów środków, ponieważ wynikające</w:t>
      </w:r>
      <w:r w:rsidR="00CC55C0" w:rsidRPr="0071228C">
        <w:rPr>
          <w:noProof/>
        </w:rPr>
        <w:t xml:space="preserve"> z</w:t>
      </w:r>
      <w:r w:rsidR="00CC55C0">
        <w:rPr>
          <w:noProof/>
        </w:rPr>
        <w:t> </w:t>
      </w:r>
      <w:r w:rsidR="00CC55C0" w:rsidRPr="0071228C">
        <w:rPr>
          <w:noProof/>
        </w:rPr>
        <w:t>teg</w:t>
      </w:r>
      <w:r w:rsidRPr="0071228C">
        <w:rPr>
          <w:noProof/>
        </w:rPr>
        <w:t>o obciążenie administracyjne uważa się za nieproporcjonalne</w:t>
      </w:r>
      <w:r w:rsidR="00CC55C0" w:rsidRPr="0071228C">
        <w:rPr>
          <w:noProof/>
        </w:rPr>
        <w:t xml:space="preserve"> w</w:t>
      </w:r>
      <w:r w:rsidR="00CC55C0">
        <w:rPr>
          <w:noProof/>
        </w:rPr>
        <w:t> </w:t>
      </w:r>
      <w:r w:rsidR="00CC55C0" w:rsidRPr="0071228C">
        <w:rPr>
          <w:noProof/>
        </w:rPr>
        <w:t>por</w:t>
      </w:r>
      <w:r w:rsidRPr="0071228C">
        <w:rPr>
          <w:noProof/>
        </w:rPr>
        <w:t>ównaniu</w:t>
      </w:r>
      <w:r w:rsidR="00CC55C0" w:rsidRPr="0071228C">
        <w:rPr>
          <w:noProof/>
        </w:rPr>
        <w:t xml:space="preserve"> z</w:t>
      </w:r>
      <w:r w:rsidR="00CC55C0">
        <w:rPr>
          <w:noProof/>
        </w:rPr>
        <w:t> </w:t>
      </w:r>
      <w:r w:rsidR="00CC55C0" w:rsidRPr="0071228C">
        <w:rPr>
          <w:noProof/>
        </w:rPr>
        <w:t>kor</w:t>
      </w:r>
      <w:r w:rsidRPr="0071228C">
        <w:rPr>
          <w:noProof/>
        </w:rPr>
        <w:t>zyściami</w:t>
      </w:r>
      <w:r w:rsidR="00CC55C0" w:rsidRPr="0071228C">
        <w:rPr>
          <w:noProof/>
        </w:rPr>
        <w:t xml:space="preserve"> w</w:t>
      </w:r>
      <w:r w:rsidR="00CC55C0">
        <w:rPr>
          <w:noProof/>
        </w:rPr>
        <w:t> </w:t>
      </w:r>
      <w:r w:rsidR="00CC55C0" w:rsidRPr="0071228C">
        <w:rPr>
          <w:noProof/>
        </w:rPr>
        <w:t>pos</w:t>
      </w:r>
      <w:r w:rsidRPr="0071228C">
        <w:rPr>
          <w:noProof/>
        </w:rPr>
        <w:t>taci lepszej kontroli</w:t>
      </w:r>
      <w:r w:rsidR="00CC55C0" w:rsidRPr="0071228C">
        <w:rPr>
          <w:noProof/>
        </w:rPr>
        <w:t xml:space="preserve"> i</w:t>
      </w:r>
      <w:r w:rsidR="00CC55C0">
        <w:rPr>
          <w:noProof/>
        </w:rPr>
        <w:t> </w:t>
      </w:r>
      <w:r w:rsidR="00CC55C0" w:rsidRPr="0071228C">
        <w:rPr>
          <w:noProof/>
        </w:rPr>
        <w:t>ste</w:t>
      </w:r>
      <w:r w:rsidRPr="0071228C">
        <w:rPr>
          <w:noProof/>
        </w:rPr>
        <w:t xml:space="preserve">rowania procesem wdrażania. </w:t>
      </w:r>
    </w:p>
    <w:p w14:paraId="562CB023" w14:textId="494D7128" w:rsidR="005C53E6" w:rsidRPr="0071228C" w:rsidRDefault="005C53E6" w:rsidP="005C53E6">
      <w:pPr>
        <w:rPr>
          <w:noProof/>
        </w:rPr>
      </w:pPr>
      <w:r w:rsidRPr="0071228C">
        <w:rPr>
          <w:noProof/>
        </w:rPr>
        <w:t xml:space="preserve">Uchyla się </w:t>
      </w:r>
      <w:r w:rsidRPr="00CC55C0">
        <w:rPr>
          <w:b/>
          <w:noProof/>
        </w:rPr>
        <w:t>art.</w:t>
      </w:r>
      <w:r w:rsidR="00CC55C0" w:rsidRPr="00CC55C0">
        <w:rPr>
          <w:b/>
          <w:noProof/>
        </w:rPr>
        <w:t> </w:t>
      </w:r>
      <w:r w:rsidRPr="00CC55C0">
        <w:rPr>
          <w:b/>
          <w:noProof/>
        </w:rPr>
        <w:t>1</w:t>
      </w:r>
      <w:r w:rsidRPr="0071228C">
        <w:rPr>
          <w:b/>
          <w:noProof/>
        </w:rPr>
        <w:t>6</w:t>
      </w:r>
      <w:r w:rsidR="00CC55C0" w:rsidRPr="0071228C">
        <w:rPr>
          <w:b/>
          <w:noProof/>
        </w:rPr>
        <w:t xml:space="preserve"> i</w:t>
      </w:r>
      <w:r w:rsidR="00CC55C0">
        <w:rPr>
          <w:b/>
          <w:noProof/>
        </w:rPr>
        <w:t> </w:t>
      </w:r>
      <w:r w:rsidR="00CC55C0" w:rsidRPr="0071228C">
        <w:rPr>
          <w:b/>
          <w:noProof/>
        </w:rPr>
        <w:t>1</w:t>
      </w:r>
      <w:r w:rsidRPr="0071228C">
        <w:rPr>
          <w:b/>
          <w:noProof/>
        </w:rPr>
        <w:t>7</w:t>
      </w:r>
      <w:r w:rsidRPr="0071228C">
        <w:rPr>
          <w:noProof/>
        </w:rPr>
        <w:t xml:space="preserve"> dotyczące procedury, zgodnie</w:t>
      </w:r>
      <w:r w:rsidR="00CC55C0" w:rsidRPr="0071228C">
        <w:rPr>
          <w:noProof/>
        </w:rPr>
        <w:t xml:space="preserve"> z</w:t>
      </w:r>
      <w:r w:rsidR="00CC55C0">
        <w:rPr>
          <w:noProof/>
        </w:rPr>
        <w:t> </w:t>
      </w:r>
      <w:r w:rsidR="00CC55C0" w:rsidRPr="0071228C">
        <w:rPr>
          <w:noProof/>
        </w:rPr>
        <w:t>któ</w:t>
      </w:r>
      <w:r w:rsidRPr="0071228C">
        <w:rPr>
          <w:noProof/>
        </w:rPr>
        <w:t>rą Komisja była zobowiązana do opracowania wniosków ustawodawczych</w:t>
      </w:r>
      <w:r w:rsidR="00CC55C0" w:rsidRPr="0071228C">
        <w:rPr>
          <w:noProof/>
        </w:rPr>
        <w:t xml:space="preserve"> w</w:t>
      </w:r>
      <w:r w:rsidR="00CC55C0">
        <w:rPr>
          <w:noProof/>
        </w:rPr>
        <w:t> </w:t>
      </w:r>
      <w:r w:rsidR="00CC55C0" w:rsidRPr="0071228C">
        <w:rPr>
          <w:noProof/>
        </w:rPr>
        <w:t>spr</w:t>
      </w:r>
      <w:r w:rsidRPr="0071228C">
        <w:rPr>
          <w:noProof/>
        </w:rPr>
        <w:t>awie umieszczenia</w:t>
      </w:r>
      <w:r w:rsidR="00CC55C0" w:rsidRPr="0071228C">
        <w:rPr>
          <w:noProof/>
        </w:rPr>
        <w:t xml:space="preserve"> w</w:t>
      </w:r>
      <w:r w:rsidR="00CC55C0">
        <w:rPr>
          <w:noProof/>
        </w:rPr>
        <w:t> </w:t>
      </w:r>
      <w:r w:rsidR="00CC55C0" w:rsidRPr="0071228C">
        <w:rPr>
          <w:noProof/>
        </w:rPr>
        <w:t>wyk</w:t>
      </w:r>
      <w:r w:rsidRPr="0071228C">
        <w:rPr>
          <w:noProof/>
        </w:rPr>
        <w:t>azie</w:t>
      </w:r>
      <w:r w:rsidR="00CC55C0" w:rsidRPr="0071228C">
        <w:rPr>
          <w:noProof/>
        </w:rPr>
        <w:t xml:space="preserve"> i</w:t>
      </w:r>
      <w:r w:rsidR="00CC55C0">
        <w:rPr>
          <w:noProof/>
        </w:rPr>
        <w:t> </w:t>
      </w:r>
      <w:r w:rsidR="00CC55C0" w:rsidRPr="0071228C">
        <w:rPr>
          <w:noProof/>
        </w:rPr>
        <w:t>wsk</w:t>
      </w:r>
      <w:r w:rsidRPr="0071228C">
        <w:rPr>
          <w:noProof/>
        </w:rPr>
        <w:t>azania środowiskowych norm jakości dla jednolitych części wód powierzchniowych</w:t>
      </w:r>
      <w:r w:rsidR="00CC55C0" w:rsidRPr="0071228C">
        <w:rPr>
          <w:noProof/>
        </w:rPr>
        <w:t xml:space="preserve"> i</w:t>
      </w:r>
      <w:r w:rsidR="00CC55C0">
        <w:rPr>
          <w:noProof/>
        </w:rPr>
        <w:t> </w:t>
      </w:r>
      <w:r w:rsidR="00CC55C0" w:rsidRPr="0071228C">
        <w:rPr>
          <w:noProof/>
        </w:rPr>
        <w:t>pod</w:t>
      </w:r>
      <w:r w:rsidRPr="0071228C">
        <w:rPr>
          <w:noProof/>
        </w:rPr>
        <w:t xml:space="preserve">ziemnych, ponieważ stały się one nieaktualne. </w:t>
      </w:r>
    </w:p>
    <w:p w14:paraId="0B6E09E8" w14:textId="53498323" w:rsidR="005C53E6" w:rsidRPr="0071228C" w:rsidRDefault="005C53E6" w:rsidP="005C53E6">
      <w:pPr>
        <w:rPr>
          <w:b/>
          <w:noProof/>
        </w:rPr>
      </w:pPr>
      <w:r w:rsidRPr="0071228C">
        <w:rPr>
          <w:noProof/>
        </w:rPr>
        <w:t xml:space="preserve">W </w:t>
      </w:r>
      <w:r w:rsidRPr="00CC55C0">
        <w:rPr>
          <w:b/>
          <w:noProof/>
        </w:rPr>
        <w:t>art.</w:t>
      </w:r>
      <w:r w:rsidR="00CC55C0" w:rsidRPr="00CC55C0">
        <w:rPr>
          <w:b/>
          <w:noProof/>
        </w:rPr>
        <w:t> </w:t>
      </w:r>
      <w:r w:rsidRPr="00CC55C0">
        <w:rPr>
          <w:b/>
          <w:noProof/>
        </w:rPr>
        <w:t>1</w:t>
      </w:r>
      <w:r w:rsidRPr="0071228C">
        <w:rPr>
          <w:b/>
          <w:noProof/>
        </w:rPr>
        <w:t xml:space="preserve">8 </w:t>
      </w:r>
      <w:r w:rsidRPr="00CC55C0">
        <w:rPr>
          <w:b/>
          <w:noProof/>
        </w:rPr>
        <w:t>ust.</w:t>
      </w:r>
      <w:r w:rsidR="00CC55C0" w:rsidRPr="00CC55C0">
        <w:rPr>
          <w:b/>
          <w:noProof/>
        </w:rPr>
        <w:t> </w:t>
      </w:r>
      <w:r w:rsidRPr="00CC55C0">
        <w:rPr>
          <w:b/>
          <w:noProof/>
        </w:rPr>
        <w:t>2</w:t>
      </w:r>
      <w:r w:rsidRPr="0071228C">
        <w:rPr>
          <w:b/>
          <w:noProof/>
        </w:rPr>
        <w:t xml:space="preserve"> </w:t>
      </w:r>
      <w:r w:rsidRPr="00CC55C0">
        <w:rPr>
          <w:b/>
          <w:noProof/>
        </w:rPr>
        <w:t>lit.</w:t>
      </w:r>
      <w:r w:rsidR="00CC55C0" w:rsidRPr="00CC55C0">
        <w:rPr>
          <w:b/>
          <w:noProof/>
        </w:rPr>
        <w:t> </w:t>
      </w:r>
      <w:r w:rsidRPr="00CC55C0">
        <w:rPr>
          <w:b/>
          <w:noProof/>
        </w:rPr>
        <w:t>e)</w:t>
      </w:r>
      <w:r w:rsidRPr="0071228C">
        <w:rPr>
          <w:b/>
          <w:noProof/>
        </w:rPr>
        <w:t xml:space="preserve"> </w:t>
      </w:r>
      <w:r w:rsidRPr="0071228C">
        <w:rPr>
          <w:noProof/>
        </w:rPr>
        <w:t>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uwzględnienia proponowanego uchylenia </w:t>
      </w:r>
      <w:r w:rsidRPr="00CC55C0">
        <w:rPr>
          <w:noProof/>
        </w:rPr>
        <w:t>art.</w:t>
      </w:r>
      <w:r w:rsidR="00CC55C0" w:rsidRPr="00CC55C0">
        <w:rPr>
          <w:noProof/>
        </w:rPr>
        <w:t> </w:t>
      </w:r>
      <w:r w:rsidRPr="00CC55C0">
        <w:rPr>
          <w:noProof/>
        </w:rPr>
        <w:t>1</w:t>
      </w:r>
      <w:r w:rsidRPr="0071228C">
        <w:rPr>
          <w:noProof/>
        </w:rPr>
        <w:t>6, natomiast</w:t>
      </w:r>
      <w:r w:rsidR="00CC55C0" w:rsidRPr="0071228C">
        <w:rPr>
          <w:noProof/>
        </w:rPr>
        <w:t xml:space="preserve"> w</w:t>
      </w:r>
      <w:r w:rsidR="00CC55C0">
        <w:rPr>
          <w:noProof/>
        </w:rPr>
        <w:t> </w:t>
      </w:r>
      <w:r w:rsidR="00CC55C0" w:rsidRPr="00CC55C0">
        <w:rPr>
          <w:b/>
          <w:noProof/>
        </w:rPr>
        <w:t>art</w:t>
      </w:r>
      <w:r w:rsidRPr="00CC55C0">
        <w:rPr>
          <w:b/>
          <w:noProof/>
        </w:rPr>
        <w:t>.</w:t>
      </w:r>
      <w:r w:rsidR="00CC55C0" w:rsidRPr="00CC55C0">
        <w:rPr>
          <w:b/>
          <w:noProof/>
        </w:rPr>
        <w:t> </w:t>
      </w:r>
      <w:r w:rsidRPr="00CC55C0">
        <w:rPr>
          <w:b/>
          <w:noProof/>
        </w:rPr>
        <w:t>1</w:t>
      </w:r>
      <w:r w:rsidRPr="0071228C">
        <w:rPr>
          <w:b/>
          <w:noProof/>
        </w:rPr>
        <w:t xml:space="preserve">8 </w:t>
      </w:r>
      <w:r w:rsidRPr="00CC55C0">
        <w:rPr>
          <w:b/>
          <w:noProof/>
        </w:rPr>
        <w:t>ust.</w:t>
      </w:r>
      <w:r w:rsidR="00CC55C0" w:rsidRPr="00CC55C0">
        <w:rPr>
          <w:b/>
          <w:noProof/>
        </w:rPr>
        <w:t> </w:t>
      </w:r>
      <w:r w:rsidRPr="00CC55C0">
        <w:rPr>
          <w:b/>
          <w:noProof/>
        </w:rPr>
        <w:t>4</w:t>
      </w:r>
      <w:r w:rsidRPr="0071228C">
        <w:rPr>
          <w:noProof/>
        </w:rPr>
        <w:t xml:space="preserve"> 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uwzględnienia proponowanego uchylenia </w:t>
      </w:r>
      <w:r w:rsidRPr="00CC55C0">
        <w:rPr>
          <w:noProof/>
        </w:rPr>
        <w:t>art.</w:t>
      </w:r>
      <w:r w:rsidR="00CC55C0" w:rsidRPr="00CC55C0">
        <w:rPr>
          <w:noProof/>
        </w:rPr>
        <w:t> </w:t>
      </w:r>
      <w:r w:rsidRPr="00CC55C0">
        <w:rPr>
          <w:noProof/>
        </w:rPr>
        <w:t>1</w:t>
      </w:r>
      <w:r w:rsidRPr="0071228C">
        <w:rPr>
          <w:noProof/>
        </w:rPr>
        <w:t xml:space="preserve">5 </w:t>
      </w:r>
      <w:r w:rsidRPr="00CC55C0">
        <w:rPr>
          <w:noProof/>
        </w:rPr>
        <w:t>ust.</w:t>
      </w:r>
      <w:r w:rsidR="00CC55C0" w:rsidRPr="00CC55C0">
        <w:rPr>
          <w:noProof/>
        </w:rPr>
        <w:t> </w:t>
      </w:r>
      <w:r w:rsidRPr="00CC55C0">
        <w:rPr>
          <w:noProof/>
        </w:rPr>
        <w:t>3</w:t>
      </w:r>
      <w:r w:rsidRPr="0071228C">
        <w:rPr>
          <w:noProof/>
        </w:rPr>
        <w:t xml:space="preserve">. </w:t>
      </w:r>
    </w:p>
    <w:p w14:paraId="177ECC92" w14:textId="15BE6161"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2</w:t>
      </w:r>
      <w:r w:rsidRPr="0071228C">
        <w:rPr>
          <w:b/>
          <w:noProof/>
        </w:rPr>
        <w:t>0</w:t>
      </w:r>
      <w:r w:rsidRPr="0071228C">
        <w:rPr>
          <w:noProof/>
        </w:rPr>
        <w:t xml:space="preserve"> dotyczącym dostosowań technicznych wprowadza się zmiany</w:t>
      </w:r>
      <w:r w:rsidR="00CC55C0" w:rsidRPr="0071228C">
        <w:rPr>
          <w:noProof/>
        </w:rPr>
        <w:t xml:space="preserve"> w</w:t>
      </w:r>
      <w:r w:rsidR="00CC55C0">
        <w:rPr>
          <w:noProof/>
        </w:rPr>
        <w:t> </w:t>
      </w:r>
      <w:r w:rsidR="00CC55C0" w:rsidRPr="0071228C">
        <w:rPr>
          <w:noProof/>
        </w:rPr>
        <w:t>cel</w:t>
      </w:r>
      <w:r w:rsidRPr="0071228C">
        <w:rPr>
          <w:noProof/>
        </w:rPr>
        <w:t>u: 1) zastąpienia dotychczasowej procedury regulacyjnej połączonej</w:t>
      </w:r>
      <w:r w:rsidR="00CC55C0" w:rsidRPr="0071228C">
        <w:rPr>
          <w:noProof/>
        </w:rPr>
        <w:t xml:space="preserve"> z</w:t>
      </w:r>
      <w:r w:rsidR="00CC55C0">
        <w:rPr>
          <w:noProof/>
        </w:rPr>
        <w:t> </w:t>
      </w:r>
      <w:r w:rsidR="00CC55C0" w:rsidRPr="0071228C">
        <w:rPr>
          <w:noProof/>
        </w:rPr>
        <w:t>kon</w:t>
      </w:r>
      <w:r w:rsidRPr="0071228C">
        <w:rPr>
          <w:noProof/>
        </w:rPr>
        <w:t>trolą</w:t>
      </w:r>
      <w:r w:rsidR="00CC55C0" w:rsidRPr="0071228C">
        <w:rPr>
          <w:noProof/>
        </w:rPr>
        <w:t xml:space="preserve"> w</w:t>
      </w:r>
      <w:r w:rsidR="00CC55C0">
        <w:rPr>
          <w:noProof/>
        </w:rPr>
        <w:t> </w:t>
      </w:r>
      <w:r w:rsidR="00CC55C0" w:rsidRPr="0071228C">
        <w:rPr>
          <w:noProof/>
        </w:rPr>
        <w:t>zak</w:t>
      </w:r>
      <w:r w:rsidRPr="0071228C">
        <w:rPr>
          <w:noProof/>
        </w:rPr>
        <w:t>resie zmiany załączników I i III procedurą przyjmowania aktów delegowanych; 2) zastąpienia dotychczasowej procedury regulacyjnej</w:t>
      </w:r>
      <w:r w:rsidR="00CC55C0" w:rsidRPr="0071228C">
        <w:rPr>
          <w:noProof/>
        </w:rPr>
        <w:t xml:space="preserve"> w</w:t>
      </w:r>
      <w:r w:rsidR="00CC55C0">
        <w:rPr>
          <w:noProof/>
        </w:rPr>
        <w:t> </w:t>
      </w:r>
      <w:r w:rsidR="00CC55C0" w:rsidRPr="0071228C">
        <w:rPr>
          <w:noProof/>
        </w:rPr>
        <w:t>zak</w:t>
      </w:r>
      <w:r w:rsidRPr="0071228C">
        <w:rPr>
          <w:noProof/>
        </w:rPr>
        <w:t>resie przyjmowania wytycznych dotyczących wdrażania załączników II i V oraz ustalania formatów przekazywania</w:t>
      </w:r>
      <w:r w:rsidR="00CC55C0" w:rsidRPr="0071228C">
        <w:rPr>
          <w:noProof/>
        </w:rPr>
        <w:t xml:space="preserve"> i</w:t>
      </w:r>
      <w:r w:rsidR="00CC55C0">
        <w:rPr>
          <w:noProof/>
        </w:rPr>
        <w:t> </w:t>
      </w:r>
      <w:r w:rsidR="00CC55C0" w:rsidRPr="0071228C">
        <w:rPr>
          <w:noProof/>
        </w:rPr>
        <w:t>prz</w:t>
      </w:r>
      <w:r w:rsidRPr="0071228C">
        <w:rPr>
          <w:noProof/>
        </w:rPr>
        <w:t xml:space="preserve">etwarzania danych procedurą sprawdzającą. </w:t>
      </w:r>
    </w:p>
    <w:p w14:paraId="767AB4DC" w14:textId="6E2B5BE2" w:rsidR="005C53E6" w:rsidRPr="0071228C" w:rsidRDefault="005C53E6" w:rsidP="005C53E6">
      <w:pPr>
        <w:rPr>
          <w:noProof/>
        </w:rPr>
      </w:pPr>
      <w:r w:rsidRPr="0071228C">
        <w:rPr>
          <w:noProof/>
        </w:rPr>
        <w:t xml:space="preserve">W </w:t>
      </w:r>
      <w:r w:rsidRPr="0071228C">
        <w:rPr>
          <w:b/>
          <w:noProof/>
        </w:rPr>
        <w:t xml:space="preserve">nowym </w:t>
      </w:r>
      <w:r w:rsidRPr="00CC55C0">
        <w:rPr>
          <w:b/>
          <w:noProof/>
        </w:rPr>
        <w:t>art.</w:t>
      </w:r>
      <w:r w:rsidR="00CC55C0" w:rsidRPr="00CC55C0">
        <w:rPr>
          <w:b/>
          <w:noProof/>
        </w:rPr>
        <w:t> </w:t>
      </w:r>
      <w:r w:rsidRPr="00CC55C0">
        <w:rPr>
          <w:b/>
          <w:noProof/>
        </w:rPr>
        <w:t>2</w:t>
      </w:r>
      <w:r w:rsidRPr="0071228C">
        <w:rPr>
          <w:b/>
          <w:noProof/>
        </w:rPr>
        <w:t>0a</w:t>
      </w:r>
      <w:r w:rsidRPr="0071228C">
        <w:rPr>
          <w:noProof/>
        </w:rPr>
        <w:t xml:space="preserve"> wprowadza się przepisy dotyczące procedury przyjmowania aktów delegowanych zgodnie</w:t>
      </w:r>
      <w:r w:rsidR="00CC55C0" w:rsidRPr="0071228C">
        <w:rPr>
          <w:noProof/>
        </w:rPr>
        <w:t xml:space="preserve"> z</w:t>
      </w:r>
      <w:r w:rsidR="00CC55C0">
        <w:rPr>
          <w:noProof/>
        </w:rPr>
        <w:t> </w:t>
      </w:r>
      <w:r w:rsidR="00CC55C0" w:rsidRPr="0071228C">
        <w:rPr>
          <w:noProof/>
        </w:rPr>
        <w:t>tra</w:t>
      </w:r>
      <w:r w:rsidRPr="0071228C">
        <w:rPr>
          <w:noProof/>
        </w:rPr>
        <w:t xml:space="preserve">ktatem lizbońskim. </w:t>
      </w:r>
    </w:p>
    <w:p w14:paraId="5C79421F" w14:textId="65C38F0F" w:rsidR="005C53E6" w:rsidRPr="0071228C" w:rsidRDefault="005C53E6" w:rsidP="005C53E6">
      <w:pPr>
        <w:rPr>
          <w:noProof/>
        </w:rPr>
      </w:pPr>
      <w:r w:rsidRPr="0071228C">
        <w:rPr>
          <w:noProof/>
        </w:rPr>
        <w:t>Celem wprowadzenia zmiany</w:t>
      </w:r>
      <w:r w:rsidR="00CC55C0" w:rsidRPr="0071228C">
        <w:rPr>
          <w:noProof/>
        </w:rPr>
        <w:t xml:space="preserve"> w</w:t>
      </w:r>
      <w:r w:rsidR="00CC55C0">
        <w:rPr>
          <w:noProof/>
        </w:rPr>
        <w:t> </w:t>
      </w:r>
      <w:r w:rsidR="00CC55C0" w:rsidRPr="00CC55C0">
        <w:rPr>
          <w:b/>
          <w:noProof/>
        </w:rPr>
        <w:t>art</w:t>
      </w:r>
      <w:r w:rsidRPr="00CC55C0">
        <w:rPr>
          <w:b/>
          <w:noProof/>
        </w:rPr>
        <w:t>.</w:t>
      </w:r>
      <w:r w:rsidR="00CC55C0" w:rsidRPr="00CC55C0">
        <w:rPr>
          <w:b/>
          <w:noProof/>
        </w:rPr>
        <w:t> </w:t>
      </w:r>
      <w:r w:rsidRPr="00CC55C0">
        <w:rPr>
          <w:b/>
          <w:noProof/>
        </w:rPr>
        <w:t>2</w:t>
      </w:r>
      <w:r w:rsidRPr="0071228C">
        <w:rPr>
          <w:b/>
          <w:noProof/>
        </w:rPr>
        <w:t>1</w:t>
      </w:r>
      <w:r w:rsidRPr="0071228C">
        <w:rPr>
          <w:noProof/>
        </w:rPr>
        <w:t xml:space="preserve"> dotyczącym procedury komitetowej jest zastąpienie odniesienia do dawnej „decyzji dotyczącej procedury komitetowej” mającym obecnie zastosowanie „rozporządzeniem dotyczącym procedury komitetowej”. </w:t>
      </w:r>
    </w:p>
    <w:p w14:paraId="32EA962D" w14:textId="6F4FC0CE" w:rsidR="005C53E6" w:rsidRPr="00CC55C0"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2</w:t>
      </w:r>
      <w:r w:rsidRPr="0071228C">
        <w:rPr>
          <w:b/>
          <w:noProof/>
        </w:rPr>
        <w:t>2</w:t>
      </w:r>
      <w:r w:rsidRPr="0071228C">
        <w:rPr>
          <w:noProof/>
        </w:rPr>
        <w:t xml:space="preserve"> dotyczącym uchylenia</w:t>
      </w:r>
      <w:r w:rsidR="00CC55C0" w:rsidRPr="0071228C">
        <w:rPr>
          <w:noProof/>
        </w:rPr>
        <w:t xml:space="preserve"> i</w:t>
      </w:r>
      <w:r w:rsidR="00CC55C0">
        <w:rPr>
          <w:noProof/>
        </w:rPr>
        <w:t> </w:t>
      </w:r>
      <w:r w:rsidR="00CC55C0" w:rsidRPr="0071228C">
        <w:rPr>
          <w:noProof/>
        </w:rPr>
        <w:t>prz</w:t>
      </w:r>
      <w:r w:rsidRPr="0071228C">
        <w:rPr>
          <w:noProof/>
        </w:rPr>
        <w:t>episów przejściowych wprowadza się zmiany</w:t>
      </w:r>
      <w:r w:rsidR="00CC55C0" w:rsidRPr="0071228C">
        <w:rPr>
          <w:noProof/>
        </w:rPr>
        <w:t xml:space="preserve"> w</w:t>
      </w:r>
      <w:r w:rsidR="00CC55C0">
        <w:rPr>
          <w:noProof/>
        </w:rPr>
        <w:t> </w:t>
      </w:r>
      <w:r w:rsidR="00CC55C0" w:rsidRPr="0071228C">
        <w:rPr>
          <w:noProof/>
        </w:rPr>
        <w:t>cel</w:t>
      </w:r>
      <w:r w:rsidRPr="0071228C">
        <w:rPr>
          <w:noProof/>
        </w:rPr>
        <w:t>u aktualizacji odniesień</w:t>
      </w:r>
      <w:r w:rsidR="00CC55C0" w:rsidRPr="0071228C">
        <w:rPr>
          <w:noProof/>
        </w:rPr>
        <w:t xml:space="preserve"> z</w:t>
      </w:r>
      <w:r w:rsidR="00CC55C0">
        <w:rPr>
          <w:noProof/>
        </w:rPr>
        <w:t> </w:t>
      </w:r>
      <w:r w:rsidR="00CC55C0" w:rsidRPr="0071228C">
        <w:rPr>
          <w:noProof/>
        </w:rPr>
        <w:t>uwz</w:t>
      </w:r>
      <w:r w:rsidRPr="0071228C">
        <w:rPr>
          <w:noProof/>
        </w:rPr>
        <w:t>ględnieniem proponowanych zmian</w:t>
      </w:r>
      <w:r w:rsidR="00CC55C0" w:rsidRPr="0071228C">
        <w:rPr>
          <w:noProof/>
        </w:rPr>
        <w:t xml:space="preserve"> w</w:t>
      </w:r>
      <w:r w:rsidR="00CC55C0">
        <w:rPr>
          <w:noProof/>
        </w:rPr>
        <w:t> </w:t>
      </w:r>
      <w:r w:rsidR="00CC55C0" w:rsidRPr="0071228C">
        <w:rPr>
          <w:noProof/>
        </w:rPr>
        <w:t>odp</w:t>
      </w:r>
      <w:r w:rsidRPr="0071228C">
        <w:rPr>
          <w:noProof/>
        </w:rPr>
        <w:t>owiednich załącznikach do dyrektyw 2000/60/WE</w:t>
      </w:r>
      <w:r w:rsidR="00CC55C0" w:rsidRPr="0071228C">
        <w:rPr>
          <w:noProof/>
        </w:rPr>
        <w:t xml:space="preserve"> i</w:t>
      </w:r>
      <w:r w:rsidR="00CC55C0">
        <w:rPr>
          <w:noProof/>
        </w:rPr>
        <w:t> </w:t>
      </w:r>
      <w:r w:rsidR="00CC55C0" w:rsidRPr="0071228C">
        <w:rPr>
          <w:noProof/>
        </w:rPr>
        <w:t>2</w:t>
      </w:r>
      <w:r w:rsidRPr="0071228C">
        <w:rPr>
          <w:noProof/>
        </w:rPr>
        <w:t>008/105/WE</w:t>
      </w:r>
      <w:r w:rsidRPr="00CC55C0">
        <w:rPr>
          <w:noProof/>
        </w:rPr>
        <w:t>.</w:t>
      </w:r>
      <w:r w:rsidR="00CC55C0" w:rsidRPr="00CC55C0">
        <w:rPr>
          <w:noProof/>
        </w:rPr>
        <w:t xml:space="preserve"> </w:t>
      </w:r>
    </w:p>
    <w:p w14:paraId="6C8FF9F0" w14:textId="2F465F8D" w:rsidR="005C53E6" w:rsidRPr="0071228C" w:rsidRDefault="005C53E6" w:rsidP="005C53E6">
      <w:pPr>
        <w:rPr>
          <w:noProof/>
        </w:rPr>
      </w:pPr>
      <w:r w:rsidRPr="0071228C">
        <w:rPr>
          <w:noProof/>
        </w:rPr>
        <w:t xml:space="preserve">Oprócz wyżej wymienionych dostosowań uwzględniających uchylenie </w:t>
      </w:r>
      <w:r w:rsidRPr="00CC55C0">
        <w:rPr>
          <w:noProof/>
        </w:rPr>
        <w:t>art.</w:t>
      </w:r>
      <w:r w:rsidR="00CC55C0" w:rsidRPr="00CC55C0">
        <w:rPr>
          <w:noProof/>
        </w:rPr>
        <w:t> </w:t>
      </w:r>
      <w:r w:rsidRPr="00CC55C0">
        <w:rPr>
          <w:noProof/>
        </w:rPr>
        <w:t>1</w:t>
      </w:r>
      <w:r w:rsidRPr="0071228C">
        <w:rPr>
          <w:noProof/>
        </w:rPr>
        <w:t>6</w:t>
      </w:r>
      <w:r w:rsidR="00CC55C0" w:rsidRPr="0071228C">
        <w:rPr>
          <w:noProof/>
        </w:rPr>
        <w:t xml:space="preserve"> w</w:t>
      </w:r>
      <w:r w:rsidR="00CC55C0">
        <w:rPr>
          <w:noProof/>
        </w:rPr>
        <w:t> </w:t>
      </w:r>
      <w:r w:rsidR="00CC55C0" w:rsidRPr="0071228C">
        <w:rPr>
          <w:b/>
          <w:noProof/>
        </w:rPr>
        <w:t>zał</w:t>
      </w:r>
      <w:r w:rsidRPr="0071228C">
        <w:rPr>
          <w:b/>
          <w:noProof/>
        </w:rPr>
        <w:t>ączniku V</w:t>
      </w:r>
      <w:r w:rsidRPr="0071228C">
        <w:rPr>
          <w:noProof/>
        </w:rPr>
        <w:t xml:space="preserve"> wprowadza się zmiany, aby: 1) usunąć zanieczyszczenia specyficzne dla dorzecza</w:t>
      </w:r>
      <w:r w:rsidR="00CC55C0" w:rsidRPr="0071228C">
        <w:rPr>
          <w:noProof/>
        </w:rPr>
        <w:t xml:space="preserve"> z</w:t>
      </w:r>
      <w:r w:rsidR="00CC55C0">
        <w:rPr>
          <w:noProof/>
        </w:rPr>
        <w:t> </w:t>
      </w:r>
      <w:r w:rsidR="00CC55C0" w:rsidRPr="0071228C">
        <w:rPr>
          <w:noProof/>
        </w:rPr>
        <w:t>def</w:t>
      </w:r>
      <w:r w:rsidRPr="0071228C">
        <w:rPr>
          <w:noProof/>
        </w:rPr>
        <w:t>inicji stanu ekologicznego</w:t>
      </w:r>
      <w:r w:rsidR="00CC55C0" w:rsidRPr="0071228C">
        <w:rPr>
          <w:noProof/>
        </w:rPr>
        <w:t xml:space="preserve"> i</w:t>
      </w:r>
      <w:r w:rsidR="00CC55C0">
        <w:rPr>
          <w:noProof/>
        </w:rPr>
        <w:t> </w:t>
      </w:r>
      <w:r w:rsidR="00CC55C0" w:rsidRPr="0071228C">
        <w:rPr>
          <w:noProof/>
        </w:rPr>
        <w:t>włą</w:t>
      </w:r>
      <w:r w:rsidRPr="0071228C">
        <w:rPr>
          <w:noProof/>
        </w:rPr>
        <w:t>czyć je do definicji stanu chemicznego</w:t>
      </w:r>
      <w:r w:rsidR="00CC55C0" w:rsidRPr="0071228C">
        <w:rPr>
          <w:noProof/>
        </w:rPr>
        <w:t xml:space="preserve"> w</w:t>
      </w:r>
      <w:r w:rsidR="00CC55C0">
        <w:rPr>
          <w:noProof/>
        </w:rPr>
        <w:t> </w:t>
      </w:r>
      <w:r w:rsidR="00CC55C0" w:rsidRPr="0071228C">
        <w:rPr>
          <w:noProof/>
        </w:rPr>
        <w:t>cel</w:t>
      </w:r>
      <w:r w:rsidRPr="0071228C">
        <w:rPr>
          <w:noProof/>
        </w:rPr>
        <w:t>u zapewnienia, aby monitorowanie zarówno substancji priorytetowych, jak</w:t>
      </w:r>
      <w:r w:rsidR="00CC55C0" w:rsidRPr="0071228C">
        <w:rPr>
          <w:noProof/>
        </w:rPr>
        <w:t xml:space="preserve"> i</w:t>
      </w:r>
      <w:r w:rsidR="00CC55C0">
        <w:rPr>
          <w:noProof/>
        </w:rPr>
        <w:t> </w:t>
      </w:r>
      <w:r w:rsidR="00CC55C0" w:rsidRPr="0071228C">
        <w:rPr>
          <w:noProof/>
        </w:rPr>
        <w:t>sub</w:t>
      </w:r>
      <w:r w:rsidRPr="0071228C">
        <w:rPr>
          <w:noProof/>
        </w:rPr>
        <w:t>stancji zanieczyszczających specyficznych dla dorzeczy było prowadzone nie tylko tam, gdzie zanieczyszczenia te są odprowadzane do wód, ale również tam, gdzie odkładają się</w:t>
      </w:r>
      <w:r w:rsidR="00CC55C0" w:rsidRPr="0071228C">
        <w:rPr>
          <w:noProof/>
        </w:rPr>
        <w:t xml:space="preserve"> z</w:t>
      </w:r>
      <w:r w:rsidR="00CC55C0">
        <w:rPr>
          <w:noProof/>
        </w:rPr>
        <w:t> </w:t>
      </w:r>
      <w:r w:rsidR="00CC55C0" w:rsidRPr="0071228C">
        <w:rPr>
          <w:noProof/>
        </w:rPr>
        <w:t>pow</w:t>
      </w:r>
      <w:r w:rsidRPr="0071228C">
        <w:rPr>
          <w:noProof/>
        </w:rPr>
        <w:t>ietrza; 2) przyznać Komisji uprawnienia do przyjmowania wyników interkalibracji</w:t>
      </w:r>
      <w:r w:rsidR="00CC55C0" w:rsidRPr="0071228C">
        <w:rPr>
          <w:noProof/>
        </w:rPr>
        <w:t xml:space="preserve"> w</w:t>
      </w:r>
      <w:r w:rsidR="00CC55C0">
        <w:rPr>
          <w:noProof/>
        </w:rPr>
        <w:t> </w:t>
      </w:r>
      <w:r w:rsidR="00CC55C0" w:rsidRPr="0071228C">
        <w:rPr>
          <w:noProof/>
        </w:rPr>
        <w:t>dro</w:t>
      </w:r>
      <w:r w:rsidRPr="0071228C">
        <w:rPr>
          <w:noProof/>
        </w:rPr>
        <w:t>dze aktów delegowanych; 3) umożliwić państwom członkowskim korzystanie</w:t>
      </w:r>
      <w:r w:rsidR="00CC55C0" w:rsidRPr="0071228C">
        <w:rPr>
          <w:noProof/>
        </w:rPr>
        <w:t xml:space="preserve"> z</w:t>
      </w:r>
      <w:r w:rsidR="00CC55C0">
        <w:rPr>
          <w:noProof/>
        </w:rPr>
        <w:t> </w:t>
      </w:r>
      <w:r w:rsidR="00CC55C0" w:rsidRPr="0071228C">
        <w:rPr>
          <w:noProof/>
        </w:rPr>
        <w:t>now</w:t>
      </w:r>
      <w:r w:rsidRPr="0071228C">
        <w:rPr>
          <w:noProof/>
        </w:rPr>
        <w:t>ych technik monitorowania, takich jak obserwacja Ziemi</w:t>
      </w:r>
      <w:r w:rsidR="00CC55C0" w:rsidRPr="0071228C">
        <w:rPr>
          <w:noProof/>
        </w:rPr>
        <w:t xml:space="preserve"> i</w:t>
      </w:r>
      <w:r w:rsidR="00CC55C0">
        <w:rPr>
          <w:noProof/>
        </w:rPr>
        <w:t> </w:t>
      </w:r>
      <w:r w:rsidR="00CC55C0" w:rsidRPr="0071228C">
        <w:rPr>
          <w:noProof/>
        </w:rPr>
        <w:t>tel</w:t>
      </w:r>
      <w:r w:rsidRPr="0071228C">
        <w:rPr>
          <w:noProof/>
        </w:rPr>
        <w:t xml:space="preserve">edetekcja. </w:t>
      </w:r>
    </w:p>
    <w:p w14:paraId="6A7451DD" w14:textId="34E53C4C" w:rsidR="007875BE" w:rsidRPr="0071228C" w:rsidRDefault="007875BE" w:rsidP="005C53E6">
      <w:pPr>
        <w:rPr>
          <w:noProof/>
        </w:rPr>
      </w:pPr>
      <w:r w:rsidRPr="0071228C">
        <w:rPr>
          <w:noProof/>
        </w:rPr>
        <w:t xml:space="preserve">W </w:t>
      </w:r>
      <w:r w:rsidRPr="0071228C">
        <w:rPr>
          <w:b/>
          <w:noProof/>
        </w:rPr>
        <w:t>załączniku VIII</w:t>
      </w:r>
      <w:r w:rsidRPr="0071228C">
        <w:rPr>
          <w:noProof/>
        </w:rPr>
        <w:t xml:space="preserve"> dotyczącym wskaźnikowego wykazu najważniejszych zanieczyszczeń wprowadza się zmiany</w:t>
      </w:r>
      <w:r w:rsidR="00CC55C0" w:rsidRPr="0071228C">
        <w:rPr>
          <w:noProof/>
        </w:rPr>
        <w:t xml:space="preserve"> w</w:t>
      </w:r>
      <w:r w:rsidR="00CC55C0">
        <w:rPr>
          <w:noProof/>
        </w:rPr>
        <w:t> </w:t>
      </w:r>
      <w:r w:rsidR="00CC55C0" w:rsidRPr="0071228C">
        <w:rPr>
          <w:noProof/>
        </w:rPr>
        <w:t>cel</w:t>
      </w:r>
      <w:r w:rsidRPr="0071228C">
        <w:rPr>
          <w:noProof/>
        </w:rPr>
        <w:t>u włączenia mikrodrobin plastiku</w:t>
      </w:r>
      <w:r w:rsidR="00CC55C0" w:rsidRPr="0071228C">
        <w:rPr>
          <w:noProof/>
        </w:rPr>
        <w:t xml:space="preserve"> i</w:t>
      </w:r>
      <w:r w:rsidR="00CC55C0">
        <w:rPr>
          <w:noProof/>
        </w:rPr>
        <w:t> </w:t>
      </w:r>
      <w:r w:rsidR="00CC55C0" w:rsidRPr="0071228C">
        <w:rPr>
          <w:noProof/>
        </w:rPr>
        <w:t>gen</w:t>
      </w:r>
      <w:r w:rsidRPr="0071228C">
        <w:rPr>
          <w:noProof/>
        </w:rPr>
        <w:t xml:space="preserve">ów oporności na środki przeciwdrobnoustrojowe. </w:t>
      </w:r>
    </w:p>
    <w:p w14:paraId="0B7577DC" w14:textId="56186670" w:rsidR="005C53E6" w:rsidRPr="0071228C" w:rsidRDefault="005C53E6" w:rsidP="005C53E6">
      <w:pPr>
        <w:rPr>
          <w:noProof/>
        </w:rPr>
      </w:pPr>
      <w:r w:rsidRPr="0071228C">
        <w:rPr>
          <w:noProof/>
        </w:rPr>
        <w:t xml:space="preserve">Uchyla się </w:t>
      </w:r>
      <w:r w:rsidRPr="0071228C">
        <w:rPr>
          <w:b/>
          <w:noProof/>
        </w:rPr>
        <w:t>załącznik X</w:t>
      </w:r>
      <w:r w:rsidRPr="0071228C">
        <w:rPr>
          <w:noProof/>
        </w:rPr>
        <w:t>, ponieważ zawarty</w:t>
      </w:r>
      <w:r w:rsidR="00CC55C0" w:rsidRPr="0071228C">
        <w:rPr>
          <w:noProof/>
        </w:rPr>
        <w:t xml:space="preserve"> w</w:t>
      </w:r>
      <w:r w:rsidR="00CC55C0">
        <w:rPr>
          <w:noProof/>
        </w:rPr>
        <w:t> </w:t>
      </w:r>
      <w:r w:rsidR="00CC55C0" w:rsidRPr="0071228C">
        <w:rPr>
          <w:noProof/>
        </w:rPr>
        <w:t>nim</w:t>
      </w:r>
      <w:r w:rsidRPr="0071228C">
        <w:rPr>
          <w:noProof/>
        </w:rPr>
        <w:t xml:space="preserve"> wykaz zastępuje się wykazem określonym</w:t>
      </w:r>
      <w:r w:rsidR="00CC55C0" w:rsidRPr="0071228C">
        <w:rPr>
          <w:noProof/>
        </w:rPr>
        <w:t xml:space="preserve"> w</w:t>
      </w:r>
      <w:r w:rsidR="00CC55C0">
        <w:rPr>
          <w:noProof/>
        </w:rPr>
        <w:t> </w:t>
      </w:r>
      <w:r w:rsidR="00CC55C0" w:rsidRPr="0071228C">
        <w:rPr>
          <w:noProof/>
        </w:rPr>
        <w:t>czę</w:t>
      </w:r>
      <w:r w:rsidRPr="0071228C">
        <w:rPr>
          <w:noProof/>
        </w:rPr>
        <w:t xml:space="preserve">ści A załącznika I do dyrektywy 2008/105/WE. </w:t>
      </w:r>
    </w:p>
    <w:p w14:paraId="3483EDF7" w14:textId="41ACC1E0" w:rsidR="00B161DA" w:rsidRPr="0071228C" w:rsidRDefault="00B161DA" w:rsidP="00B161DA">
      <w:pPr>
        <w:pStyle w:val="ListNumber"/>
        <w:rPr>
          <w:noProof/>
        </w:rPr>
      </w:pPr>
      <w:r w:rsidRPr="0071228C">
        <w:rPr>
          <w:noProof/>
        </w:rPr>
        <w:t>Zmiany</w:t>
      </w:r>
      <w:r w:rsidR="00CC55C0" w:rsidRPr="0071228C">
        <w:rPr>
          <w:noProof/>
        </w:rPr>
        <w:t xml:space="preserve"> w</w:t>
      </w:r>
      <w:r w:rsidR="00CC55C0">
        <w:rPr>
          <w:noProof/>
        </w:rPr>
        <w:t> </w:t>
      </w:r>
      <w:r w:rsidR="00CC55C0" w:rsidRPr="0071228C">
        <w:rPr>
          <w:noProof/>
        </w:rPr>
        <w:t>dyr</w:t>
      </w:r>
      <w:r w:rsidRPr="0071228C">
        <w:rPr>
          <w:noProof/>
        </w:rPr>
        <w:t>ektywie 2006/118/WE</w:t>
      </w:r>
      <w:r w:rsidR="00CC55C0" w:rsidRPr="0071228C">
        <w:rPr>
          <w:noProof/>
        </w:rPr>
        <w:t xml:space="preserve"> w</w:t>
      </w:r>
      <w:r w:rsidR="00CC55C0">
        <w:rPr>
          <w:noProof/>
        </w:rPr>
        <w:t> </w:t>
      </w:r>
      <w:r w:rsidR="00CC55C0" w:rsidRPr="0071228C">
        <w:rPr>
          <w:noProof/>
        </w:rPr>
        <w:t>spr</w:t>
      </w:r>
      <w:r w:rsidRPr="0071228C">
        <w:rPr>
          <w:noProof/>
        </w:rPr>
        <w:t>awie wód podziemnych</w:t>
      </w:r>
    </w:p>
    <w:p w14:paraId="444CFBAA" w14:textId="11A60C8D" w:rsidR="00B161DA" w:rsidRPr="0071228C" w:rsidRDefault="00B161DA" w:rsidP="00B161DA">
      <w:pPr>
        <w:rPr>
          <w:noProof/>
        </w:rPr>
      </w:pPr>
      <w:r w:rsidRPr="0071228C">
        <w:rPr>
          <w:noProof/>
        </w:rPr>
        <w:t xml:space="preserve">W </w:t>
      </w:r>
      <w:r w:rsidR="00082295" w:rsidRPr="0071228C">
        <w:rPr>
          <w:b/>
          <w:noProof/>
        </w:rPr>
        <w:t>tytule</w:t>
      </w:r>
      <w:r w:rsidR="00082295" w:rsidRPr="0071228C">
        <w:rPr>
          <w:noProof/>
        </w:rPr>
        <w:t xml:space="preserve"> wprowadza</w:t>
      </w:r>
      <w:r w:rsidRPr="0071228C">
        <w:rPr>
          <w:noProof/>
        </w:rPr>
        <w:t xml:space="preserve"> się zmiany, aby doprecyzować, że dyrektywa ta dotyczy jedynie zanieczyszczenia,</w:t>
      </w:r>
      <w:r w:rsidR="00CC55C0" w:rsidRPr="0071228C">
        <w:rPr>
          <w:noProof/>
        </w:rPr>
        <w:t xml:space="preserve"> a</w:t>
      </w:r>
      <w:r w:rsidR="00CC55C0">
        <w:rPr>
          <w:noProof/>
        </w:rPr>
        <w:t> </w:t>
      </w:r>
      <w:r w:rsidR="00CC55C0" w:rsidRPr="0071228C">
        <w:rPr>
          <w:noProof/>
        </w:rPr>
        <w:t>nie</w:t>
      </w:r>
      <w:r w:rsidRPr="0071228C">
        <w:rPr>
          <w:noProof/>
        </w:rPr>
        <w:t xml:space="preserve"> stanu ilościowego wód podziemnych. </w:t>
      </w:r>
    </w:p>
    <w:p w14:paraId="585F87EA" w14:textId="2DCC8437" w:rsidR="00CF71C5" w:rsidRPr="00CC55C0" w:rsidRDefault="00CF71C5" w:rsidP="00B161DA">
      <w:pPr>
        <w:rPr>
          <w:noProof/>
        </w:rPr>
      </w:pPr>
      <w:r w:rsidRPr="0071228C">
        <w:rPr>
          <w:noProof/>
        </w:rPr>
        <w:t xml:space="preserve">W </w:t>
      </w:r>
      <w:r w:rsidRPr="00CC55C0">
        <w:rPr>
          <w:b/>
          <w:noProof/>
        </w:rPr>
        <w:t>art.</w:t>
      </w:r>
      <w:r w:rsidR="00CC55C0" w:rsidRPr="00CC55C0">
        <w:rPr>
          <w:b/>
          <w:noProof/>
        </w:rPr>
        <w:t> </w:t>
      </w:r>
      <w:r w:rsidRPr="00CC55C0">
        <w:rPr>
          <w:b/>
          <w:noProof/>
        </w:rPr>
        <w:t>1</w:t>
      </w:r>
      <w:r w:rsidRPr="0071228C">
        <w:rPr>
          <w:b/>
          <w:noProof/>
        </w:rPr>
        <w:t xml:space="preserve"> </w:t>
      </w:r>
      <w:r w:rsidRPr="0071228C">
        <w:rPr>
          <w:noProof/>
        </w:rPr>
        <w:t>dotyczącym celu dyrektywy 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usunięcia odniesienia do </w:t>
      </w:r>
      <w:r w:rsidRPr="00CC55C0">
        <w:rPr>
          <w:noProof/>
        </w:rPr>
        <w:t>art.</w:t>
      </w:r>
      <w:r w:rsidR="00CC55C0" w:rsidRPr="00CC55C0">
        <w:rPr>
          <w:noProof/>
        </w:rPr>
        <w:t> </w:t>
      </w:r>
      <w:r w:rsidRPr="00CC55C0">
        <w:rPr>
          <w:noProof/>
        </w:rPr>
        <w:t>1</w:t>
      </w:r>
      <w:r w:rsidRPr="0071228C">
        <w:rPr>
          <w:noProof/>
        </w:rPr>
        <w:t>7 ramowej dyrektywy wodnej, ponieważ stanowił on podstawę do przyjęcia samej dyrektywy</w:t>
      </w:r>
      <w:r w:rsidR="00CC55C0" w:rsidRPr="0071228C">
        <w:rPr>
          <w:noProof/>
        </w:rPr>
        <w:t xml:space="preserve"> w</w:t>
      </w:r>
      <w:r w:rsidR="00CC55C0">
        <w:rPr>
          <w:noProof/>
        </w:rPr>
        <w:t> </w:t>
      </w:r>
      <w:r w:rsidR="00CC55C0" w:rsidRPr="0071228C">
        <w:rPr>
          <w:noProof/>
        </w:rPr>
        <w:t>spr</w:t>
      </w:r>
      <w:r w:rsidRPr="0071228C">
        <w:rPr>
          <w:noProof/>
        </w:rPr>
        <w:t>awie wód podziemnych,</w:t>
      </w:r>
      <w:r w:rsidR="00CC55C0" w:rsidRPr="0071228C">
        <w:rPr>
          <w:noProof/>
        </w:rPr>
        <w:t xml:space="preserve"> a</w:t>
      </w:r>
      <w:r w:rsidR="00CC55C0">
        <w:rPr>
          <w:noProof/>
        </w:rPr>
        <w:t> </w:t>
      </w:r>
      <w:r w:rsidR="00CC55C0" w:rsidRPr="0071228C">
        <w:rPr>
          <w:noProof/>
        </w:rPr>
        <w:t>zat</w:t>
      </w:r>
      <w:r w:rsidRPr="0071228C">
        <w:rPr>
          <w:noProof/>
        </w:rPr>
        <w:t>em nie jest aktualny</w:t>
      </w:r>
      <w:r w:rsidRPr="00CC55C0">
        <w:rPr>
          <w:noProof/>
        </w:rPr>
        <w:t>.</w:t>
      </w:r>
      <w:r w:rsidR="00CC55C0" w:rsidRPr="00CC55C0">
        <w:rPr>
          <w:noProof/>
        </w:rPr>
        <w:t xml:space="preserve"> </w:t>
      </w:r>
    </w:p>
    <w:p w14:paraId="63EE1012" w14:textId="361A650E" w:rsidR="00CF71C5" w:rsidRPr="00CC55C0" w:rsidRDefault="00CF71C5" w:rsidP="00B161DA">
      <w:pPr>
        <w:rPr>
          <w:noProof/>
        </w:rPr>
      </w:pPr>
      <w:r w:rsidRPr="0071228C">
        <w:rPr>
          <w:noProof/>
        </w:rPr>
        <w:t xml:space="preserve">W </w:t>
      </w:r>
      <w:r w:rsidRPr="00CC55C0">
        <w:rPr>
          <w:b/>
          <w:noProof/>
        </w:rPr>
        <w:t>art.</w:t>
      </w:r>
      <w:r w:rsidR="00CC55C0" w:rsidRPr="00CC55C0">
        <w:rPr>
          <w:b/>
          <w:noProof/>
        </w:rPr>
        <w:t> </w:t>
      </w:r>
      <w:r w:rsidRPr="00CC55C0">
        <w:rPr>
          <w:b/>
          <w:noProof/>
        </w:rPr>
        <w:t>2</w:t>
      </w:r>
      <w:r w:rsidRPr="0071228C">
        <w:rPr>
          <w:noProof/>
        </w:rPr>
        <w:t xml:space="preserve"> dotyczącym definicji wprowadza się zmiany</w:t>
      </w:r>
      <w:r w:rsidR="00CC55C0" w:rsidRPr="0071228C">
        <w:rPr>
          <w:noProof/>
        </w:rPr>
        <w:t xml:space="preserve"> w</w:t>
      </w:r>
      <w:r w:rsidR="00CC55C0">
        <w:rPr>
          <w:noProof/>
        </w:rPr>
        <w:t> </w:t>
      </w:r>
      <w:r w:rsidR="00CC55C0" w:rsidRPr="0071228C">
        <w:rPr>
          <w:noProof/>
        </w:rPr>
        <w:t>cel</w:t>
      </w:r>
      <w:r w:rsidRPr="0071228C">
        <w:rPr>
          <w:noProof/>
        </w:rPr>
        <w:t>u włączenia definicji wartości progowych ustalonych na poziomie UE obok wartości ustalonych na poziomie państw członkowskich</w:t>
      </w:r>
      <w:r w:rsidRPr="00CC55C0">
        <w:rPr>
          <w:noProof/>
        </w:rPr>
        <w:t>.</w:t>
      </w:r>
      <w:r w:rsidR="00CC55C0" w:rsidRPr="00CC55C0">
        <w:rPr>
          <w:noProof/>
        </w:rPr>
        <w:t xml:space="preserve"> </w:t>
      </w:r>
    </w:p>
    <w:p w14:paraId="3EEB6A3D" w14:textId="76817707" w:rsidR="0003263F" w:rsidRPr="0071228C" w:rsidRDefault="0003263F" w:rsidP="00B161DA">
      <w:pPr>
        <w:rPr>
          <w:noProof/>
        </w:rPr>
      </w:pPr>
      <w:r w:rsidRPr="0071228C">
        <w:rPr>
          <w:noProof/>
        </w:rPr>
        <w:t xml:space="preserve">W </w:t>
      </w:r>
      <w:r w:rsidRPr="00CC55C0">
        <w:rPr>
          <w:b/>
          <w:noProof/>
        </w:rPr>
        <w:t>art.</w:t>
      </w:r>
      <w:r w:rsidR="00CC55C0" w:rsidRPr="00CC55C0">
        <w:rPr>
          <w:b/>
          <w:noProof/>
        </w:rPr>
        <w:t> </w:t>
      </w:r>
      <w:r w:rsidRPr="00CC55C0">
        <w:rPr>
          <w:b/>
          <w:noProof/>
        </w:rPr>
        <w:t>3</w:t>
      </w:r>
      <w:r w:rsidRPr="0071228C">
        <w:rPr>
          <w:noProof/>
        </w:rPr>
        <w:t xml:space="preserve"> dotyczącym kryteriów oceny stanu chemicznego wód podziemnych 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uwzględnienia nowej definicji „wartości progowych ustalonych na poziomie UE”. </w:t>
      </w:r>
    </w:p>
    <w:p w14:paraId="68578EFC" w14:textId="459CDF4E" w:rsidR="0003263F" w:rsidRPr="00CC55C0" w:rsidRDefault="0003263F" w:rsidP="00B161DA">
      <w:pPr>
        <w:rPr>
          <w:noProof/>
        </w:rPr>
      </w:pPr>
      <w:r w:rsidRPr="0071228C">
        <w:rPr>
          <w:noProof/>
        </w:rPr>
        <w:t xml:space="preserve">W </w:t>
      </w:r>
      <w:r w:rsidRPr="00CC55C0">
        <w:rPr>
          <w:b/>
          <w:noProof/>
        </w:rPr>
        <w:t>art.</w:t>
      </w:r>
      <w:r w:rsidR="00CC55C0" w:rsidRPr="00CC55C0">
        <w:rPr>
          <w:b/>
          <w:noProof/>
        </w:rPr>
        <w:t> </w:t>
      </w:r>
      <w:r w:rsidRPr="00CC55C0">
        <w:rPr>
          <w:b/>
          <w:noProof/>
        </w:rPr>
        <w:t>4</w:t>
      </w:r>
      <w:r w:rsidRPr="0071228C">
        <w:rPr>
          <w:noProof/>
        </w:rPr>
        <w:t xml:space="preserve"> dotyczącym procedury oceny stanu chemicznego wód podziemnych zmiany wprowadza się</w:t>
      </w:r>
      <w:r w:rsidR="00CC55C0" w:rsidRPr="0071228C">
        <w:rPr>
          <w:noProof/>
        </w:rPr>
        <w:t xml:space="preserve"> z</w:t>
      </w:r>
      <w:r w:rsidR="00CC55C0">
        <w:rPr>
          <w:noProof/>
        </w:rPr>
        <w:t> </w:t>
      </w:r>
      <w:r w:rsidR="00CC55C0" w:rsidRPr="0071228C">
        <w:rPr>
          <w:noProof/>
        </w:rPr>
        <w:t>teg</w:t>
      </w:r>
      <w:r w:rsidRPr="0071228C">
        <w:rPr>
          <w:noProof/>
        </w:rPr>
        <w:t>o samego powodu, co</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00CC55C0" w:rsidRPr="00CC55C0">
        <w:rPr>
          <w:noProof/>
        </w:rPr>
        <w:t xml:space="preserve"> </w:t>
      </w:r>
    </w:p>
    <w:p w14:paraId="021537D0" w14:textId="4F0C4DF0" w:rsidR="00B161DA" w:rsidRPr="00CC55C0" w:rsidRDefault="00B161DA" w:rsidP="00B161DA">
      <w:pPr>
        <w:rPr>
          <w:noProof/>
        </w:rPr>
      </w:pPr>
      <w:r w:rsidRPr="0071228C">
        <w:rPr>
          <w:noProof/>
        </w:rPr>
        <w:t xml:space="preserve">Dodaje się </w:t>
      </w:r>
      <w:r w:rsidRPr="0071228C">
        <w:rPr>
          <w:b/>
          <w:noProof/>
        </w:rPr>
        <w:t xml:space="preserve">nowy </w:t>
      </w:r>
      <w:r w:rsidRPr="00CC55C0">
        <w:rPr>
          <w:b/>
          <w:noProof/>
        </w:rPr>
        <w:t>art.</w:t>
      </w:r>
      <w:r w:rsidR="00CC55C0" w:rsidRPr="00CC55C0">
        <w:rPr>
          <w:b/>
          <w:noProof/>
        </w:rPr>
        <w:t> </w:t>
      </w:r>
      <w:r w:rsidRPr="00CC55C0">
        <w:rPr>
          <w:b/>
          <w:noProof/>
        </w:rPr>
        <w:t>6</w:t>
      </w:r>
      <w:r w:rsidRPr="0071228C">
        <w:rPr>
          <w:b/>
          <w:noProof/>
        </w:rPr>
        <w:t>a</w:t>
      </w:r>
      <w:r w:rsidRPr="0071228C">
        <w:rPr>
          <w:noProof/>
        </w:rPr>
        <w:t>, aby wprowadzić obowiązek stosowania „mechanizmu listy obserwacyjnej” jednolitych części wód podziemnych zgodnie</w:t>
      </w:r>
      <w:r w:rsidR="00CC55C0" w:rsidRPr="0071228C">
        <w:rPr>
          <w:noProof/>
        </w:rPr>
        <w:t xml:space="preserve"> z</w:t>
      </w:r>
      <w:r w:rsidR="00CC55C0">
        <w:rPr>
          <w:noProof/>
        </w:rPr>
        <w:t> </w:t>
      </w:r>
      <w:r w:rsidR="00CC55C0" w:rsidRPr="0071228C">
        <w:rPr>
          <w:noProof/>
        </w:rPr>
        <w:t>prz</w:t>
      </w:r>
      <w:r w:rsidRPr="0071228C">
        <w:rPr>
          <w:noProof/>
        </w:rPr>
        <w:t>episem ustanowionym</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b dyrektywy</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r w:rsidR="00CC55C0" w:rsidRPr="0071228C">
        <w:rPr>
          <w:noProof/>
        </w:rPr>
        <w:t>. W</w:t>
      </w:r>
      <w:r w:rsidR="00CC55C0">
        <w:rPr>
          <w:noProof/>
        </w:rPr>
        <w:t> </w:t>
      </w:r>
      <w:r w:rsidR="00CC55C0" w:rsidRPr="0071228C">
        <w:rPr>
          <w:noProof/>
        </w:rPr>
        <w:t>ram</w:t>
      </w:r>
      <w:r w:rsidRPr="0071228C">
        <w:rPr>
          <w:noProof/>
        </w:rPr>
        <w:t>ach tego mechanizmu ustanawia się trzyletni proces,</w:t>
      </w:r>
      <w:r w:rsidR="00CC55C0" w:rsidRPr="0071228C">
        <w:rPr>
          <w:noProof/>
        </w:rPr>
        <w:t xml:space="preserve"> w</w:t>
      </w:r>
      <w:r w:rsidR="00CC55C0">
        <w:rPr>
          <w:noProof/>
        </w:rPr>
        <w:t> </w:t>
      </w:r>
      <w:r w:rsidR="00CC55C0" w:rsidRPr="0071228C">
        <w:rPr>
          <w:noProof/>
        </w:rPr>
        <w:t>ram</w:t>
      </w:r>
      <w:r w:rsidRPr="0071228C">
        <w:rPr>
          <w:noProof/>
        </w:rPr>
        <w:t>ach którego Komisja, przy udziale ECHA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ści</w:t>
      </w:r>
      <w:r w:rsidRPr="0071228C">
        <w:rPr>
          <w:noProof/>
        </w:rPr>
        <w:t>słej konsultacji</w:t>
      </w:r>
      <w:r w:rsidR="00CC55C0" w:rsidRPr="0071228C">
        <w:rPr>
          <w:noProof/>
        </w:rPr>
        <w:t xml:space="preserve"> z</w:t>
      </w:r>
      <w:r w:rsidR="00CC55C0">
        <w:rPr>
          <w:noProof/>
        </w:rPr>
        <w:t> </w:t>
      </w:r>
      <w:r w:rsidR="00CC55C0" w:rsidRPr="0071228C">
        <w:rPr>
          <w:noProof/>
        </w:rPr>
        <w:t>pań</w:t>
      </w:r>
      <w:r w:rsidRPr="0071228C">
        <w:rPr>
          <w:noProof/>
        </w:rPr>
        <w:t>stwami członkowskimi, nadaje priorytet monitorowaniu substancji</w:t>
      </w:r>
      <w:r w:rsidR="00CC55C0" w:rsidRPr="0071228C">
        <w:rPr>
          <w:noProof/>
        </w:rPr>
        <w:t xml:space="preserve"> w</w:t>
      </w:r>
      <w:r w:rsidR="00CC55C0">
        <w:rPr>
          <w:noProof/>
        </w:rPr>
        <w:t> </w:t>
      </w:r>
      <w:r w:rsidR="00CC55C0" w:rsidRPr="0071228C">
        <w:rPr>
          <w:noProof/>
        </w:rPr>
        <w:t>wod</w:t>
      </w:r>
      <w:r w:rsidRPr="0071228C">
        <w:rPr>
          <w:noProof/>
        </w:rPr>
        <w:t>ach podziemnych. Uzyskane</w:t>
      </w:r>
      <w:r w:rsidR="00CC55C0" w:rsidRPr="0071228C">
        <w:rPr>
          <w:noProof/>
        </w:rPr>
        <w:t xml:space="preserve"> w</w:t>
      </w:r>
      <w:r w:rsidR="00CC55C0">
        <w:rPr>
          <w:noProof/>
        </w:rPr>
        <w:t> </w:t>
      </w:r>
      <w:r w:rsidR="00CC55C0" w:rsidRPr="0071228C">
        <w:rPr>
          <w:noProof/>
        </w:rPr>
        <w:t>ten</w:t>
      </w:r>
      <w:r w:rsidRPr="0071228C">
        <w:rPr>
          <w:noProof/>
        </w:rPr>
        <w:t xml:space="preserve"> sposób informacje zostaną wykorzystane</w:t>
      </w:r>
      <w:r w:rsidR="00CC55C0" w:rsidRPr="0071228C">
        <w:rPr>
          <w:noProof/>
        </w:rPr>
        <w:t xml:space="preserve"> w</w:t>
      </w:r>
      <w:r w:rsidR="00CC55C0">
        <w:rPr>
          <w:noProof/>
        </w:rPr>
        <w:t> </w:t>
      </w:r>
      <w:r w:rsidR="00CC55C0" w:rsidRPr="0071228C">
        <w:rPr>
          <w:noProof/>
        </w:rPr>
        <w:t>prz</w:t>
      </w:r>
      <w:r w:rsidRPr="0071228C">
        <w:rPr>
          <w:noProof/>
        </w:rPr>
        <w:t>eprowadzanym co sześć lat przeglądzie norm jakości</w:t>
      </w:r>
      <w:r w:rsidR="00CC55C0" w:rsidRPr="0071228C">
        <w:rPr>
          <w:noProof/>
        </w:rPr>
        <w:t xml:space="preserve"> w</w:t>
      </w:r>
      <w:r w:rsidR="00CC55C0">
        <w:rPr>
          <w:noProof/>
        </w:rPr>
        <w:t> </w:t>
      </w:r>
      <w:r w:rsidR="00CC55C0" w:rsidRPr="0071228C">
        <w:rPr>
          <w:noProof/>
        </w:rPr>
        <w:t>cel</w:t>
      </w:r>
      <w:r w:rsidRPr="0071228C">
        <w:rPr>
          <w:noProof/>
        </w:rPr>
        <w:t>u ich włączenia do załącznika I</w:t>
      </w:r>
      <w:r w:rsidR="00CC55C0" w:rsidRPr="0071228C">
        <w:rPr>
          <w:noProof/>
        </w:rPr>
        <w:t>. W</w:t>
      </w:r>
      <w:r w:rsidR="00CC55C0">
        <w:rPr>
          <w:noProof/>
        </w:rPr>
        <w:t> </w:t>
      </w:r>
      <w:r w:rsidR="00CC55C0" w:rsidRPr="0071228C">
        <w:rPr>
          <w:noProof/>
        </w:rPr>
        <w:t>prz</w:t>
      </w:r>
      <w:r w:rsidRPr="0071228C">
        <w:rPr>
          <w:noProof/>
        </w:rPr>
        <w:t>episie tym zawarto również zobowiązanie ECHA do publicznego udostępnienia sprawozdań naukowych przygotowanych</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lis</w:t>
      </w:r>
      <w:r w:rsidRPr="0071228C">
        <w:rPr>
          <w:noProof/>
        </w:rPr>
        <w:t>tą obserwacyjną</w:t>
      </w:r>
      <w:r w:rsidRPr="00CC55C0">
        <w:rPr>
          <w:noProof/>
        </w:rPr>
        <w:t>.</w:t>
      </w:r>
      <w:r w:rsidR="00CC55C0" w:rsidRPr="00CC55C0">
        <w:rPr>
          <w:noProof/>
        </w:rPr>
        <w:t xml:space="preserve"> </w:t>
      </w:r>
    </w:p>
    <w:p w14:paraId="030AC703" w14:textId="71F03A37" w:rsidR="00B161DA" w:rsidRPr="0071228C" w:rsidRDefault="00B161DA" w:rsidP="00B161DA">
      <w:pPr>
        <w:rPr>
          <w:noProof/>
        </w:rPr>
      </w:pPr>
      <w:r w:rsidRPr="0071228C">
        <w:rPr>
          <w:noProof/>
        </w:rPr>
        <w:t xml:space="preserve">W </w:t>
      </w:r>
      <w:r w:rsidRPr="00CC55C0">
        <w:rPr>
          <w:b/>
          <w:noProof/>
        </w:rPr>
        <w:t>art.</w:t>
      </w:r>
      <w:r w:rsidR="00CC55C0" w:rsidRPr="00CC55C0">
        <w:rPr>
          <w:b/>
          <w:noProof/>
        </w:rPr>
        <w:t> </w:t>
      </w:r>
      <w:r w:rsidRPr="00CC55C0">
        <w:rPr>
          <w:b/>
          <w:noProof/>
        </w:rPr>
        <w:t>8</w:t>
      </w:r>
      <w:r w:rsidRPr="0071228C">
        <w:rPr>
          <w:noProof/>
        </w:rPr>
        <w:t xml:space="preserve"> dotyczącym dostosowań technicznych wprowadza się zmiany</w:t>
      </w:r>
      <w:r w:rsidR="00CC55C0" w:rsidRPr="0071228C">
        <w:rPr>
          <w:noProof/>
        </w:rPr>
        <w:t xml:space="preserve"> w</w:t>
      </w:r>
      <w:r w:rsidR="00CC55C0">
        <w:rPr>
          <w:noProof/>
        </w:rPr>
        <w:t> </w:t>
      </w:r>
      <w:r w:rsidR="00CC55C0" w:rsidRPr="0071228C">
        <w:rPr>
          <w:noProof/>
        </w:rPr>
        <w:t>cel</w:t>
      </w:r>
      <w:r w:rsidRPr="0071228C">
        <w:rPr>
          <w:noProof/>
        </w:rPr>
        <w:t>u: 1) zastąpienia procedury przyjmowania aktów wykonawczych procedurą przyjmowania aktów delegowanych do celów dostosowania części A i C załącznika II oraz załączników III i IV do postępu naukowo-technicznego; 2) przyznania Komisji przekazanych uprawnień do umieszczania</w:t>
      </w:r>
      <w:r w:rsidR="00CC55C0" w:rsidRPr="0071228C">
        <w:rPr>
          <w:noProof/>
        </w:rPr>
        <w:t xml:space="preserve"> w</w:t>
      </w:r>
      <w:r w:rsidR="00CC55C0">
        <w:rPr>
          <w:noProof/>
        </w:rPr>
        <w:t> </w:t>
      </w:r>
      <w:r w:rsidR="00CC55C0" w:rsidRPr="0071228C">
        <w:rPr>
          <w:noProof/>
        </w:rPr>
        <w:t>wyk</w:t>
      </w:r>
      <w:r w:rsidRPr="0071228C">
        <w:rPr>
          <w:noProof/>
        </w:rPr>
        <w:t>azie znajdującym się</w:t>
      </w:r>
      <w:r w:rsidR="00CC55C0" w:rsidRPr="0071228C">
        <w:rPr>
          <w:noProof/>
        </w:rPr>
        <w:t xml:space="preserve"> w</w:t>
      </w:r>
      <w:r w:rsidR="00CC55C0">
        <w:rPr>
          <w:noProof/>
        </w:rPr>
        <w:t> </w:t>
      </w:r>
      <w:r w:rsidR="00CC55C0" w:rsidRPr="0071228C">
        <w:rPr>
          <w:noProof/>
        </w:rPr>
        <w:t>zał</w:t>
      </w:r>
      <w:r w:rsidRPr="0071228C">
        <w:rPr>
          <w:noProof/>
        </w:rPr>
        <w:t>ączniku I nowych zanieczyszczeń wód podziemnych oraz ustanawiania dla nich nowych ogólnounijnych norm jakości,</w:t>
      </w:r>
      <w:r w:rsidR="00CC55C0" w:rsidRPr="0071228C">
        <w:rPr>
          <w:noProof/>
        </w:rPr>
        <w:t xml:space="preserve"> a</w:t>
      </w:r>
      <w:r w:rsidR="00CC55C0">
        <w:rPr>
          <w:noProof/>
        </w:rPr>
        <w:t> </w:t>
      </w:r>
      <w:r w:rsidR="00CC55C0" w:rsidRPr="0071228C">
        <w:rPr>
          <w:noProof/>
        </w:rPr>
        <w:t>tak</w:t>
      </w:r>
      <w:r w:rsidRPr="0071228C">
        <w:rPr>
          <w:noProof/>
        </w:rPr>
        <w:t>że do umieszczania</w:t>
      </w:r>
      <w:r w:rsidR="00CC55C0" w:rsidRPr="0071228C">
        <w:rPr>
          <w:noProof/>
        </w:rPr>
        <w:t xml:space="preserve"> w</w:t>
      </w:r>
      <w:r w:rsidR="00CC55C0">
        <w:rPr>
          <w:noProof/>
        </w:rPr>
        <w:t> </w:t>
      </w:r>
      <w:r w:rsidR="00CC55C0" w:rsidRPr="0071228C">
        <w:rPr>
          <w:noProof/>
        </w:rPr>
        <w:t>wyk</w:t>
      </w:r>
      <w:r w:rsidRPr="0071228C">
        <w:rPr>
          <w:noProof/>
        </w:rPr>
        <w:t>azie znajdującym się</w:t>
      </w:r>
      <w:r w:rsidR="00CC55C0" w:rsidRPr="0071228C">
        <w:rPr>
          <w:noProof/>
        </w:rPr>
        <w:t xml:space="preserve"> w</w:t>
      </w:r>
      <w:r w:rsidR="00CC55C0">
        <w:rPr>
          <w:noProof/>
        </w:rPr>
        <w:t> </w:t>
      </w:r>
      <w:r w:rsidR="00CC55C0" w:rsidRPr="0071228C">
        <w:rPr>
          <w:noProof/>
        </w:rPr>
        <w:t>czę</w:t>
      </w:r>
      <w:r w:rsidRPr="0071228C">
        <w:rPr>
          <w:noProof/>
        </w:rPr>
        <w:t>ści B załącznika II zanieczyszczeń,</w:t>
      </w:r>
      <w:r w:rsidR="00CC55C0" w:rsidRPr="0071228C">
        <w:rPr>
          <w:noProof/>
        </w:rPr>
        <w:t xml:space="preserve"> w</w:t>
      </w:r>
      <w:r w:rsidR="00CC55C0">
        <w:rPr>
          <w:noProof/>
        </w:rPr>
        <w:t> </w:t>
      </w:r>
      <w:r w:rsidR="00CC55C0" w:rsidRPr="0071228C">
        <w:rPr>
          <w:noProof/>
        </w:rPr>
        <w:t>odn</w:t>
      </w:r>
      <w:r w:rsidRPr="0071228C">
        <w:rPr>
          <w:noProof/>
        </w:rPr>
        <w:t>iesieniu do których państwa członkowskie są zobowiązane do rozważenia czy należy ustalić krajowe wartości progowe; 3) przyznania Komisji przekazanych uprawnień do ustalania,</w:t>
      </w:r>
      <w:r w:rsidR="00CC55C0" w:rsidRPr="0071228C">
        <w:rPr>
          <w:noProof/>
        </w:rPr>
        <w:t xml:space="preserve"> w</w:t>
      </w:r>
      <w:r w:rsidR="00CC55C0">
        <w:rPr>
          <w:noProof/>
        </w:rPr>
        <w:t> </w:t>
      </w:r>
      <w:r w:rsidR="00CC55C0" w:rsidRPr="0071228C">
        <w:rPr>
          <w:noProof/>
        </w:rPr>
        <w:t>raz</w:t>
      </w:r>
      <w:r w:rsidRPr="0071228C">
        <w:rPr>
          <w:noProof/>
        </w:rPr>
        <w:t>ie potrzeby, nawet</w:t>
      </w:r>
      <w:r w:rsidR="00CC55C0" w:rsidRPr="0071228C">
        <w:rPr>
          <w:noProof/>
        </w:rPr>
        <w:t xml:space="preserve"> w</w:t>
      </w:r>
      <w:r w:rsidR="00CC55C0">
        <w:rPr>
          <w:noProof/>
        </w:rPr>
        <w:t> </w:t>
      </w:r>
      <w:r w:rsidR="00CC55C0" w:rsidRPr="0071228C">
        <w:rPr>
          <w:noProof/>
        </w:rPr>
        <w:t>odn</w:t>
      </w:r>
      <w:r w:rsidRPr="0071228C">
        <w:rPr>
          <w:noProof/>
        </w:rPr>
        <w:t>iesieniu do zanieczyszczeń lub grup zanieczyszczeń, które nie stanowią problemu ogólnounijnego, wartości progowych na poziomie UE,</w:t>
      </w:r>
      <w:r w:rsidR="00CC55C0" w:rsidRPr="0071228C">
        <w:rPr>
          <w:noProof/>
        </w:rPr>
        <w:t xml:space="preserve"> w</w:t>
      </w:r>
      <w:r w:rsidR="00CC55C0">
        <w:rPr>
          <w:noProof/>
        </w:rPr>
        <w:t> </w:t>
      </w:r>
      <w:r w:rsidR="00CC55C0" w:rsidRPr="0071228C">
        <w:rPr>
          <w:noProof/>
        </w:rPr>
        <w:t>cel</w:t>
      </w:r>
      <w:r w:rsidRPr="0071228C">
        <w:rPr>
          <w:noProof/>
        </w:rPr>
        <w:t>u zwiększenia poziomu ochrony zdrowia ludzkiego</w:t>
      </w:r>
      <w:r w:rsidR="00CC55C0" w:rsidRPr="0071228C">
        <w:rPr>
          <w:noProof/>
        </w:rPr>
        <w:t xml:space="preserve"> i</w:t>
      </w:r>
      <w:r w:rsidR="00CC55C0">
        <w:rPr>
          <w:noProof/>
        </w:rPr>
        <w:t> </w:t>
      </w:r>
      <w:r w:rsidR="00CC55C0" w:rsidRPr="0071228C">
        <w:rPr>
          <w:noProof/>
        </w:rPr>
        <w:t>śro</w:t>
      </w:r>
      <w:r w:rsidRPr="0071228C">
        <w:rPr>
          <w:noProof/>
        </w:rPr>
        <w:t>dowiska oraz osiągnięcia bardziej zharmonizowanego wdrażania; 4) doprecyzowania głównej roli ECHA</w:t>
      </w:r>
      <w:r w:rsidR="00CC55C0" w:rsidRPr="0071228C">
        <w:rPr>
          <w:noProof/>
        </w:rPr>
        <w:t xml:space="preserve"> w</w:t>
      </w:r>
      <w:r w:rsidR="00CC55C0">
        <w:rPr>
          <w:noProof/>
        </w:rPr>
        <w:t> </w:t>
      </w:r>
      <w:r w:rsidR="00CC55C0" w:rsidRPr="0071228C">
        <w:rPr>
          <w:noProof/>
        </w:rPr>
        <w:t>tyc</w:t>
      </w:r>
      <w:r w:rsidRPr="0071228C">
        <w:rPr>
          <w:noProof/>
        </w:rPr>
        <w:t>h ramach oraz obowiązku ECHA</w:t>
      </w:r>
      <w:r w:rsidR="00CC55C0" w:rsidRPr="0071228C">
        <w:rPr>
          <w:noProof/>
        </w:rPr>
        <w:t xml:space="preserve"> w</w:t>
      </w:r>
      <w:r w:rsidR="00CC55C0">
        <w:rPr>
          <w:noProof/>
        </w:rPr>
        <w:t> </w:t>
      </w:r>
      <w:r w:rsidR="00CC55C0" w:rsidRPr="0071228C">
        <w:rPr>
          <w:noProof/>
        </w:rPr>
        <w:t>zak</w:t>
      </w:r>
      <w:r w:rsidRPr="0071228C">
        <w:rPr>
          <w:noProof/>
        </w:rPr>
        <w:t xml:space="preserve">resie publicznego udostępniania sprawozdań naukowych dotyczących potencjalnych zmian. </w:t>
      </w:r>
    </w:p>
    <w:p w14:paraId="4F816428" w14:textId="13C9E236" w:rsidR="00B161DA" w:rsidRPr="0071228C" w:rsidRDefault="00B161DA" w:rsidP="00B161DA">
      <w:pPr>
        <w:rPr>
          <w:noProof/>
        </w:rPr>
      </w:pPr>
      <w:r w:rsidRPr="0071228C">
        <w:rPr>
          <w:noProof/>
        </w:rPr>
        <w:t xml:space="preserve">Dodaje się </w:t>
      </w:r>
      <w:r w:rsidRPr="0071228C">
        <w:rPr>
          <w:b/>
          <w:noProof/>
        </w:rPr>
        <w:t xml:space="preserve">nowy </w:t>
      </w:r>
      <w:r w:rsidRPr="00CC55C0">
        <w:rPr>
          <w:b/>
          <w:noProof/>
        </w:rPr>
        <w:t>art.</w:t>
      </w:r>
      <w:r w:rsidR="00CC55C0" w:rsidRPr="00CC55C0">
        <w:rPr>
          <w:b/>
          <w:noProof/>
        </w:rPr>
        <w:t> </w:t>
      </w:r>
      <w:r w:rsidRPr="00CC55C0">
        <w:rPr>
          <w:b/>
          <w:noProof/>
        </w:rPr>
        <w:t>8</w:t>
      </w:r>
      <w:r w:rsidRPr="0071228C">
        <w:rPr>
          <w:b/>
          <w:noProof/>
        </w:rPr>
        <w:t>a</w:t>
      </w:r>
      <w:r w:rsidR="00CC55C0" w:rsidRPr="0071228C">
        <w:rPr>
          <w:noProof/>
        </w:rPr>
        <w:t xml:space="preserve"> w</w:t>
      </w:r>
      <w:r w:rsidR="00CC55C0">
        <w:rPr>
          <w:noProof/>
        </w:rPr>
        <w:t> </w:t>
      </w:r>
      <w:r w:rsidR="00CC55C0" w:rsidRPr="0071228C">
        <w:rPr>
          <w:noProof/>
        </w:rPr>
        <w:t>cel</w:t>
      </w:r>
      <w:r w:rsidRPr="0071228C">
        <w:rPr>
          <w:noProof/>
        </w:rPr>
        <w:t>u wprowadzenia przepisów dotyczących procedury przyjmowania aktów delegowanych zgodnie</w:t>
      </w:r>
      <w:r w:rsidR="00CC55C0" w:rsidRPr="0071228C">
        <w:rPr>
          <w:noProof/>
        </w:rPr>
        <w:t xml:space="preserve"> z</w:t>
      </w:r>
      <w:r w:rsidR="00CC55C0">
        <w:rPr>
          <w:noProof/>
        </w:rPr>
        <w:t> </w:t>
      </w:r>
      <w:r w:rsidR="00CC55C0" w:rsidRPr="0071228C">
        <w:rPr>
          <w:noProof/>
        </w:rPr>
        <w:t>tra</w:t>
      </w:r>
      <w:r w:rsidRPr="0071228C">
        <w:rPr>
          <w:noProof/>
        </w:rPr>
        <w:t>ktatem lizbońskim.</w:t>
      </w:r>
    </w:p>
    <w:p w14:paraId="31EC277F" w14:textId="634C0A10" w:rsidR="00B161DA" w:rsidRPr="00CC55C0" w:rsidRDefault="00B161DA" w:rsidP="00B161DA">
      <w:pPr>
        <w:rPr>
          <w:noProof/>
        </w:rPr>
      </w:pPr>
      <w:r w:rsidRPr="0071228C">
        <w:rPr>
          <w:noProof/>
        </w:rPr>
        <w:t xml:space="preserve">W </w:t>
      </w:r>
      <w:r w:rsidRPr="00CC55C0">
        <w:rPr>
          <w:b/>
          <w:noProof/>
        </w:rPr>
        <w:t>art.</w:t>
      </w:r>
      <w:r w:rsidR="00CC55C0" w:rsidRPr="00CC55C0">
        <w:rPr>
          <w:b/>
          <w:noProof/>
        </w:rPr>
        <w:t> </w:t>
      </w:r>
      <w:r w:rsidRPr="00CC55C0">
        <w:rPr>
          <w:b/>
          <w:noProof/>
        </w:rPr>
        <w:t>9</w:t>
      </w:r>
      <w:r w:rsidRPr="0071228C">
        <w:rPr>
          <w:noProof/>
        </w:rPr>
        <w:t xml:space="preserve"> dotyczącym procedury komitetowej wprowadza się zmiany, aby zastąpić poprzednią „decyzję dotyczącą procedury komitetowej” nowszym „rozporządzeniem dotyczącym procedury komitetowej”</w:t>
      </w:r>
      <w:r w:rsidRPr="00CC55C0">
        <w:rPr>
          <w:noProof/>
        </w:rPr>
        <w:t>.</w:t>
      </w:r>
      <w:r w:rsidR="00CC55C0" w:rsidRPr="00CC55C0">
        <w:rPr>
          <w:noProof/>
        </w:rPr>
        <w:t xml:space="preserve"> </w:t>
      </w:r>
    </w:p>
    <w:p w14:paraId="4BB40495" w14:textId="55553DA1" w:rsidR="00B161DA" w:rsidRPr="0071228C" w:rsidRDefault="00B161DA" w:rsidP="00B161DA">
      <w:pPr>
        <w:rPr>
          <w:noProof/>
        </w:rPr>
      </w:pPr>
      <w:r w:rsidRPr="0071228C">
        <w:rPr>
          <w:noProof/>
        </w:rPr>
        <w:t xml:space="preserve">Uchyla się </w:t>
      </w:r>
      <w:r w:rsidRPr="00CC55C0">
        <w:rPr>
          <w:b/>
          <w:noProof/>
        </w:rPr>
        <w:t>art.</w:t>
      </w:r>
      <w:r w:rsidR="00CC55C0" w:rsidRPr="00CC55C0">
        <w:rPr>
          <w:b/>
          <w:noProof/>
        </w:rPr>
        <w:t> </w:t>
      </w:r>
      <w:r w:rsidRPr="00CC55C0">
        <w:rPr>
          <w:b/>
          <w:noProof/>
        </w:rPr>
        <w:t>1</w:t>
      </w:r>
      <w:r w:rsidRPr="0071228C">
        <w:rPr>
          <w:b/>
          <w:noProof/>
        </w:rPr>
        <w:t>0</w:t>
      </w:r>
      <w:r w:rsidRPr="0071228C">
        <w:rPr>
          <w:noProof/>
        </w:rPr>
        <w:t xml:space="preserve"> dotyczący przeglądu załączników I i II</w:t>
      </w:r>
      <w:r w:rsidR="00CC55C0" w:rsidRPr="0071228C">
        <w:rPr>
          <w:noProof/>
        </w:rPr>
        <w:t xml:space="preserve"> w</w:t>
      </w:r>
      <w:r w:rsidR="00CC55C0">
        <w:rPr>
          <w:noProof/>
        </w:rPr>
        <w:t> </w:t>
      </w:r>
      <w:r w:rsidR="00CC55C0" w:rsidRPr="0071228C">
        <w:rPr>
          <w:noProof/>
        </w:rPr>
        <w:t>dro</w:t>
      </w:r>
      <w:r w:rsidRPr="0071228C">
        <w:rPr>
          <w:noProof/>
        </w:rPr>
        <w:t>dze procedury współdecyzji, aby uwzględnić nową procedurę przyjmowania aktów delegowanych określoną</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00CC55C0" w:rsidRPr="0071228C">
        <w:rPr>
          <w:noProof/>
        </w:rPr>
        <w:t xml:space="preserve"> i</w:t>
      </w:r>
      <w:r w:rsidR="00CC55C0">
        <w:rPr>
          <w:noProof/>
        </w:rPr>
        <w:t> </w:t>
      </w:r>
      <w:r w:rsidR="00CC55C0" w:rsidRPr="0071228C">
        <w:rPr>
          <w:noProof/>
        </w:rPr>
        <w:t>8</w:t>
      </w:r>
      <w:r w:rsidRPr="0071228C">
        <w:rPr>
          <w:noProof/>
        </w:rPr>
        <w:t xml:space="preserve">a. </w:t>
      </w:r>
    </w:p>
    <w:p w14:paraId="5420B2FA" w14:textId="136A7062" w:rsidR="00B161DA" w:rsidRPr="0071228C" w:rsidRDefault="00B161DA" w:rsidP="00B161DA">
      <w:pPr>
        <w:rPr>
          <w:noProof/>
        </w:rPr>
      </w:pPr>
      <w:r w:rsidRPr="0071228C">
        <w:rPr>
          <w:noProof/>
        </w:rPr>
        <w:t xml:space="preserve">W </w:t>
      </w:r>
      <w:r w:rsidRPr="0071228C">
        <w:rPr>
          <w:b/>
          <w:noProof/>
        </w:rPr>
        <w:t>załączniku I</w:t>
      </w:r>
      <w:r w:rsidRPr="0071228C">
        <w:rPr>
          <w:noProof/>
        </w:rPr>
        <w:t xml:space="preserve"> dotyczącym norm jakości</w:t>
      </w:r>
      <w:r w:rsidR="00CC55C0" w:rsidRPr="0071228C">
        <w:rPr>
          <w:noProof/>
        </w:rPr>
        <w:t xml:space="preserve"> w</w:t>
      </w:r>
      <w:r w:rsidR="00CC55C0">
        <w:rPr>
          <w:noProof/>
        </w:rPr>
        <w:t> </w:t>
      </w:r>
      <w:r w:rsidR="00CC55C0" w:rsidRPr="0071228C">
        <w:rPr>
          <w:noProof/>
        </w:rPr>
        <w:t>odn</w:t>
      </w:r>
      <w:r w:rsidRPr="0071228C">
        <w:rPr>
          <w:noProof/>
        </w:rPr>
        <w:t>iesieniu do zanieczyszczeń wód podziemnych</w:t>
      </w:r>
      <w:r w:rsidR="00CC55C0" w:rsidRPr="0071228C">
        <w:rPr>
          <w:noProof/>
        </w:rPr>
        <w:t xml:space="preserve"> w</w:t>
      </w:r>
      <w:r w:rsidR="00CC55C0">
        <w:rPr>
          <w:noProof/>
        </w:rPr>
        <w:t> </w:t>
      </w:r>
      <w:r w:rsidR="00CC55C0" w:rsidRPr="0071228C">
        <w:rPr>
          <w:noProof/>
        </w:rPr>
        <w:t>cał</w:t>
      </w:r>
      <w:r w:rsidRPr="0071228C">
        <w:rPr>
          <w:noProof/>
        </w:rPr>
        <w:t>ej UE wprowadza się zmiany</w:t>
      </w:r>
      <w:r w:rsidR="00CC55C0" w:rsidRPr="0071228C">
        <w:rPr>
          <w:noProof/>
        </w:rPr>
        <w:t xml:space="preserve"> w</w:t>
      </w:r>
      <w:r w:rsidR="00CC55C0">
        <w:rPr>
          <w:noProof/>
        </w:rPr>
        <w:t> </w:t>
      </w:r>
      <w:r w:rsidR="00CC55C0" w:rsidRPr="0071228C">
        <w:rPr>
          <w:noProof/>
        </w:rPr>
        <w:t>cel</w:t>
      </w:r>
      <w:r w:rsidRPr="0071228C">
        <w:rPr>
          <w:noProof/>
        </w:rPr>
        <w:t>u dodania nowych zanieczyszczeń wód podziemnych</w:t>
      </w:r>
      <w:r w:rsidR="00CC55C0" w:rsidRPr="0071228C">
        <w:rPr>
          <w:noProof/>
        </w:rPr>
        <w:t xml:space="preserve"> i</w:t>
      </w:r>
      <w:r w:rsidR="00CC55C0">
        <w:rPr>
          <w:noProof/>
        </w:rPr>
        <w:t> </w:t>
      </w:r>
      <w:r w:rsidR="00CC55C0" w:rsidRPr="0071228C">
        <w:rPr>
          <w:noProof/>
        </w:rPr>
        <w:t>zwi</w:t>
      </w:r>
      <w:r w:rsidRPr="0071228C">
        <w:rPr>
          <w:noProof/>
        </w:rPr>
        <w:t>ązanych</w:t>
      </w:r>
      <w:r w:rsidR="00CC55C0" w:rsidRPr="0071228C">
        <w:rPr>
          <w:noProof/>
        </w:rPr>
        <w:t xml:space="preserve"> z</w:t>
      </w:r>
      <w:r w:rsidR="00CC55C0">
        <w:rPr>
          <w:noProof/>
        </w:rPr>
        <w:t> </w:t>
      </w:r>
      <w:r w:rsidR="00CC55C0" w:rsidRPr="0071228C">
        <w:rPr>
          <w:noProof/>
        </w:rPr>
        <w:t>nim</w:t>
      </w:r>
      <w:r w:rsidRPr="0071228C">
        <w:rPr>
          <w:noProof/>
        </w:rPr>
        <w:t>i norm jakości</w:t>
      </w:r>
      <w:r w:rsidR="00CC55C0" w:rsidRPr="0071228C">
        <w:rPr>
          <w:noProof/>
        </w:rPr>
        <w:t xml:space="preserve"> w</w:t>
      </w:r>
      <w:r w:rsidR="00CC55C0">
        <w:rPr>
          <w:noProof/>
        </w:rPr>
        <w:t> </w:t>
      </w:r>
      <w:r w:rsidR="00CC55C0" w:rsidRPr="0071228C">
        <w:rPr>
          <w:noProof/>
        </w:rPr>
        <w:t>odn</w:t>
      </w:r>
      <w:r w:rsidRPr="0071228C">
        <w:rPr>
          <w:noProof/>
        </w:rPr>
        <w:t>iesieniu do określonych substancji per-</w:t>
      </w:r>
      <w:r w:rsidR="00CC55C0" w:rsidRPr="0071228C">
        <w:rPr>
          <w:noProof/>
        </w:rPr>
        <w:t xml:space="preserve"> i</w:t>
      </w:r>
      <w:r w:rsidR="00CC55C0">
        <w:rPr>
          <w:noProof/>
        </w:rPr>
        <w:t> </w:t>
      </w:r>
      <w:r w:rsidR="00CC55C0" w:rsidRPr="0071228C">
        <w:rPr>
          <w:noProof/>
        </w:rPr>
        <w:t>pol</w:t>
      </w:r>
      <w:r w:rsidRPr="0071228C">
        <w:rPr>
          <w:noProof/>
        </w:rPr>
        <w:t>ifluoroalkilowych (PFAS), produktów farmaceutycznych</w:t>
      </w:r>
      <w:r w:rsidR="00CC55C0" w:rsidRPr="0071228C">
        <w:rPr>
          <w:noProof/>
        </w:rPr>
        <w:t xml:space="preserve"> i</w:t>
      </w:r>
      <w:r w:rsidR="00CC55C0">
        <w:rPr>
          <w:noProof/>
        </w:rPr>
        <w:t> </w:t>
      </w:r>
      <w:r w:rsidR="00CC55C0" w:rsidRPr="0071228C">
        <w:rPr>
          <w:noProof/>
        </w:rPr>
        <w:t>inn</w:t>
      </w:r>
      <w:r w:rsidRPr="0071228C">
        <w:rPr>
          <w:noProof/>
        </w:rPr>
        <w:t xml:space="preserve">ych niż znaczące metabolitów pestycydów (nrM). </w:t>
      </w:r>
    </w:p>
    <w:p w14:paraId="057EFB6A" w14:textId="2803BB31" w:rsidR="00B161DA" w:rsidRPr="0071228C" w:rsidRDefault="00082295" w:rsidP="00B161DA">
      <w:pPr>
        <w:rPr>
          <w:noProof/>
        </w:rPr>
      </w:pPr>
      <w:r w:rsidRPr="0071228C">
        <w:rPr>
          <w:noProof/>
        </w:rPr>
        <w:t>W</w:t>
      </w:r>
      <w:r w:rsidRPr="0071228C">
        <w:rPr>
          <w:b/>
          <w:noProof/>
        </w:rPr>
        <w:t xml:space="preserve"> załączniku</w:t>
      </w:r>
      <w:r w:rsidR="00B161DA" w:rsidRPr="0071228C">
        <w:rPr>
          <w:b/>
          <w:noProof/>
        </w:rPr>
        <w:t xml:space="preserve"> II</w:t>
      </w:r>
      <w:r w:rsidR="00B161DA" w:rsidRPr="0071228C">
        <w:rPr>
          <w:noProof/>
        </w:rPr>
        <w:t xml:space="preserve"> dotyczącym krajowych wartości progowych dla zanieczyszczeń wód podziemnych wprowadza się zmiany</w:t>
      </w:r>
      <w:r w:rsidR="00CC55C0" w:rsidRPr="0071228C">
        <w:rPr>
          <w:noProof/>
        </w:rPr>
        <w:t xml:space="preserve"> w</w:t>
      </w:r>
      <w:r w:rsidR="00CC55C0">
        <w:rPr>
          <w:noProof/>
        </w:rPr>
        <w:t> </w:t>
      </w:r>
      <w:r w:rsidR="00CC55C0" w:rsidRPr="0071228C">
        <w:rPr>
          <w:noProof/>
        </w:rPr>
        <w:t>cel</w:t>
      </w:r>
      <w:r w:rsidR="00B161DA" w:rsidRPr="0071228C">
        <w:rPr>
          <w:noProof/>
        </w:rPr>
        <w:t>u: 1) umieszczenia substancji farmaceutycznej, prymidonu,</w:t>
      </w:r>
      <w:r w:rsidR="00CC55C0" w:rsidRPr="0071228C">
        <w:rPr>
          <w:noProof/>
        </w:rPr>
        <w:t xml:space="preserve"> w</w:t>
      </w:r>
      <w:r w:rsidR="00CC55C0">
        <w:rPr>
          <w:noProof/>
        </w:rPr>
        <w:t> </w:t>
      </w:r>
      <w:r w:rsidR="00CC55C0" w:rsidRPr="0071228C">
        <w:rPr>
          <w:noProof/>
        </w:rPr>
        <w:t>wyk</w:t>
      </w:r>
      <w:r w:rsidR="00B161DA" w:rsidRPr="0071228C">
        <w:rPr>
          <w:noProof/>
        </w:rPr>
        <w:t>azie substancji syntetycznych,</w:t>
      </w:r>
      <w:r w:rsidR="00CC55C0" w:rsidRPr="0071228C">
        <w:rPr>
          <w:noProof/>
        </w:rPr>
        <w:t xml:space="preserve"> w</w:t>
      </w:r>
      <w:r w:rsidR="00CC55C0">
        <w:rPr>
          <w:noProof/>
        </w:rPr>
        <w:t> </w:t>
      </w:r>
      <w:r w:rsidR="00CC55C0" w:rsidRPr="0071228C">
        <w:rPr>
          <w:noProof/>
        </w:rPr>
        <w:t>odn</w:t>
      </w:r>
      <w:r w:rsidR="00B161DA" w:rsidRPr="0071228C">
        <w:rPr>
          <w:noProof/>
        </w:rPr>
        <w:t>iesieniu do których państwa członkowskie muszą rozważyć ustalenie krajowych wartości progowych; 2) doprecyzowania, że jego części B i C dotyczą wyłącznie mechanizmu ustalania wartości progowych na poziomie krajowym; 3) zapewnienia, aby państwa członkowskie informowały ECHA</w:t>
      </w:r>
      <w:r w:rsidR="00CC55C0" w:rsidRPr="0071228C">
        <w:rPr>
          <w:noProof/>
        </w:rPr>
        <w:t xml:space="preserve"> w</w:t>
      </w:r>
      <w:r w:rsidR="00CC55C0">
        <w:rPr>
          <w:noProof/>
        </w:rPr>
        <w:t> </w:t>
      </w:r>
      <w:r w:rsidR="00CC55C0" w:rsidRPr="0071228C">
        <w:rPr>
          <w:noProof/>
        </w:rPr>
        <w:t>cel</w:t>
      </w:r>
      <w:r w:rsidR="00B161DA" w:rsidRPr="0071228C">
        <w:rPr>
          <w:noProof/>
        </w:rPr>
        <w:t>u umożliwienia jej publicznego udostępniania tych informacji oraz 4) dodania nowej części D</w:t>
      </w:r>
      <w:r w:rsidR="00CC55C0" w:rsidRPr="0071228C">
        <w:rPr>
          <w:noProof/>
        </w:rPr>
        <w:t xml:space="preserve"> w</w:t>
      </w:r>
      <w:r w:rsidR="00CC55C0">
        <w:rPr>
          <w:noProof/>
        </w:rPr>
        <w:t> </w:t>
      </w:r>
      <w:r w:rsidR="00CC55C0" w:rsidRPr="0071228C">
        <w:rPr>
          <w:noProof/>
        </w:rPr>
        <w:t>cel</w:t>
      </w:r>
      <w:r w:rsidR="00B161DA" w:rsidRPr="0071228C">
        <w:rPr>
          <w:noProof/>
        </w:rPr>
        <w:t>u włączenia zharmonizowanych wartości progowych dla grupy substancji „suma trójchloroetylenu</w:t>
      </w:r>
      <w:r w:rsidR="00CC55C0" w:rsidRPr="0071228C">
        <w:rPr>
          <w:noProof/>
        </w:rPr>
        <w:t xml:space="preserve"> i</w:t>
      </w:r>
      <w:r w:rsidR="00CC55C0">
        <w:rPr>
          <w:noProof/>
        </w:rPr>
        <w:t> </w:t>
      </w:r>
      <w:r w:rsidR="00CC55C0" w:rsidRPr="0071228C">
        <w:rPr>
          <w:noProof/>
        </w:rPr>
        <w:t>tet</w:t>
      </w:r>
      <w:r w:rsidR="00B161DA" w:rsidRPr="0071228C">
        <w:rPr>
          <w:noProof/>
        </w:rPr>
        <w:t xml:space="preserve">rachloroetylenu”. </w:t>
      </w:r>
    </w:p>
    <w:p w14:paraId="737FB5C5" w14:textId="69B27428" w:rsidR="001A084F" w:rsidRPr="0071228C" w:rsidRDefault="001A084F" w:rsidP="00B161DA">
      <w:pPr>
        <w:rPr>
          <w:noProof/>
        </w:rPr>
      </w:pPr>
      <w:r w:rsidRPr="0071228C">
        <w:rPr>
          <w:noProof/>
        </w:rPr>
        <w:t xml:space="preserve">W </w:t>
      </w:r>
      <w:r w:rsidRPr="0071228C">
        <w:rPr>
          <w:b/>
          <w:noProof/>
        </w:rPr>
        <w:t>załączniku III</w:t>
      </w:r>
      <w:r w:rsidRPr="0071228C">
        <w:rPr>
          <w:noProof/>
        </w:rPr>
        <w:t xml:space="preserve"> dotyczącym oceny stanu chemicznego wód podziemnych</w:t>
      </w:r>
      <w:r w:rsidRPr="0071228C">
        <w:rPr>
          <w:b/>
          <w:noProof/>
        </w:rPr>
        <w:t xml:space="preserve"> oraz załączniku IV</w:t>
      </w:r>
      <w:r w:rsidRPr="0071228C">
        <w:rPr>
          <w:noProof/>
        </w:rPr>
        <w:t xml:space="preserve"> dotyczącym identyfikacji</w:t>
      </w:r>
      <w:r w:rsidR="00CC55C0" w:rsidRPr="0071228C">
        <w:rPr>
          <w:noProof/>
        </w:rPr>
        <w:t xml:space="preserve"> i</w:t>
      </w:r>
      <w:r w:rsidR="00CC55C0">
        <w:rPr>
          <w:noProof/>
        </w:rPr>
        <w:t> </w:t>
      </w:r>
      <w:r w:rsidR="00CC55C0" w:rsidRPr="0071228C">
        <w:rPr>
          <w:noProof/>
        </w:rPr>
        <w:t>odw</w:t>
      </w:r>
      <w:r w:rsidRPr="0071228C">
        <w:rPr>
          <w:noProof/>
        </w:rPr>
        <w:t>rócenia znaczących</w:t>
      </w:r>
      <w:r w:rsidR="00CC55C0" w:rsidRPr="0071228C">
        <w:rPr>
          <w:noProof/>
        </w:rPr>
        <w:t xml:space="preserve"> i</w:t>
      </w:r>
      <w:r w:rsidR="00CC55C0">
        <w:rPr>
          <w:noProof/>
        </w:rPr>
        <w:t> </w:t>
      </w:r>
      <w:r w:rsidR="00CC55C0" w:rsidRPr="0071228C">
        <w:rPr>
          <w:noProof/>
        </w:rPr>
        <w:t>utr</w:t>
      </w:r>
      <w:r w:rsidRPr="0071228C">
        <w:rPr>
          <w:noProof/>
        </w:rPr>
        <w:t>zymujących się trendów wzrostowych wprowadza się zmiany</w:t>
      </w:r>
      <w:r w:rsidR="00CC55C0" w:rsidRPr="0071228C">
        <w:rPr>
          <w:noProof/>
        </w:rPr>
        <w:t xml:space="preserve"> w</w:t>
      </w:r>
      <w:r w:rsidR="00CC55C0">
        <w:rPr>
          <w:noProof/>
        </w:rPr>
        <w:t> </w:t>
      </w:r>
      <w:r w:rsidR="00CC55C0" w:rsidRPr="0071228C">
        <w:rPr>
          <w:noProof/>
        </w:rPr>
        <w:t>cel</w:t>
      </w:r>
      <w:r w:rsidRPr="0071228C">
        <w:rPr>
          <w:noProof/>
        </w:rPr>
        <w:t xml:space="preserve">u uwzględnienia nowej koncepcji „wartości progowych ustalonych na poziomie UE”. </w:t>
      </w:r>
    </w:p>
    <w:p w14:paraId="056D437A" w14:textId="594D256F" w:rsidR="005C53E6" w:rsidRPr="0071228C" w:rsidRDefault="005C53E6" w:rsidP="005C53E6">
      <w:pPr>
        <w:pStyle w:val="ListNumber"/>
        <w:rPr>
          <w:noProof/>
        </w:rPr>
      </w:pPr>
      <w:r w:rsidRPr="0071228C">
        <w:rPr>
          <w:noProof/>
        </w:rPr>
        <w:t>Zmiany</w:t>
      </w:r>
      <w:r w:rsidR="00CC55C0" w:rsidRPr="0071228C">
        <w:rPr>
          <w:noProof/>
        </w:rPr>
        <w:t xml:space="preserve"> w</w:t>
      </w:r>
      <w:r w:rsidR="00CC55C0">
        <w:rPr>
          <w:noProof/>
        </w:rPr>
        <w:t> </w:t>
      </w:r>
      <w:r w:rsidR="00CC55C0" w:rsidRPr="0071228C">
        <w:rPr>
          <w:noProof/>
        </w:rPr>
        <w:t>dyr</w:t>
      </w:r>
      <w:r w:rsidRPr="0071228C">
        <w:rPr>
          <w:noProof/>
        </w:rPr>
        <w:t>ektywie 2008/105/WE</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p>
    <w:p w14:paraId="4BC24B01" w14:textId="266298A1" w:rsidR="005C53E6" w:rsidRPr="00CC55C0" w:rsidRDefault="005C53E6" w:rsidP="005C53E6">
      <w:pPr>
        <w:rPr>
          <w:noProof/>
        </w:rPr>
      </w:pPr>
      <w:r w:rsidRPr="0071228C">
        <w:rPr>
          <w:noProof/>
        </w:rPr>
        <w:t>W tytule wprowadza się zmiany, aby doprecyzować, że dyrektywa dotyczy zanieczyszczenia wód powierzchniowych</w:t>
      </w:r>
      <w:r w:rsidRPr="00CC55C0">
        <w:rPr>
          <w:noProof/>
        </w:rPr>
        <w:t>.</w:t>
      </w:r>
      <w:r w:rsidR="00CC55C0" w:rsidRPr="00CC55C0">
        <w:rPr>
          <w:noProof/>
        </w:rPr>
        <w:t xml:space="preserve"> </w:t>
      </w:r>
    </w:p>
    <w:p w14:paraId="77C43B3A" w14:textId="57A21F86"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3</w:t>
      </w:r>
      <w:r w:rsidRPr="0071228C">
        <w:rPr>
          <w:noProof/>
        </w:rPr>
        <w:t xml:space="preserve"> dotyczącym środowiskowych norm jakości wprowadza się zmiany, aby uściślić datę rozpoczęcia stosowania nowych</w:t>
      </w:r>
      <w:r w:rsidR="00CC55C0" w:rsidRPr="0071228C">
        <w:rPr>
          <w:noProof/>
        </w:rPr>
        <w:t xml:space="preserve"> i</w:t>
      </w:r>
      <w:r w:rsidR="00CC55C0">
        <w:rPr>
          <w:noProof/>
        </w:rPr>
        <w:t> </w:t>
      </w:r>
      <w:r w:rsidR="00CC55C0" w:rsidRPr="0071228C">
        <w:rPr>
          <w:noProof/>
        </w:rPr>
        <w:t>zmi</w:t>
      </w:r>
      <w:r w:rsidRPr="0071228C">
        <w:rPr>
          <w:noProof/>
        </w:rPr>
        <w:t>enionych środowiskowych norm jakości</w:t>
      </w:r>
      <w:r w:rsidR="00CC55C0" w:rsidRPr="0071228C">
        <w:rPr>
          <w:noProof/>
        </w:rPr>
        <w:t>. W</w:t>
      </w:r>
      <w:r w:rsidR="00CC55C0">
        <w:rPr>
          <w:noProof/>
        </w:rPr>
        <w:t> </w:t>
      </w:r>
      <w:r w:rsidR="00CC55C0" w:rsidRPr="00CC55C0">
        <w:rPr>
          <w:noProof/>
        </w:rPr>
        <w:t>ust</w:t>
      </w:r>
      <w:r w:rsidRPr="00CC55C0">
        <w:rPr>
          <w:noProof/>
        </w:rPr>
        <w:t>.</w:t>
      </w:r>
      <w:r w:rsidR="00CC55C0" w:rsidRPr="00CC55C0">
        <w:rPr>
          <w:noProof/>
        </w:rPr>
        <w:t> </w:t>
      </w:r>
      <w:r w:rsidRPr="00CC55C0">
        <w:rPr>
          <w:noProof/>
        </w:rPr>
        <w:t>2</w:t>
      </w:r>
      <w:r w:rsidRPr="0071228C">
        <w:rPr>
          <w:noProof/>
        </w:rPr>
        <w:t xml:space="preserve"> uproszczono również obowiązki dotyczące monitorowania fauny</w:t>
      </w:r>
      <w:r w:rsidR="00CC55C0" w:rsidRPr="0071228C">
        <w:rPr>
          <w:noProof/>
        </w:rPr>
        <w:t xml:space="preserve"> i</w:t>
      </w:r>
      <w:r w:rsidR="00CC55C0">
        <w:rPr>
          <w:noProof/>
        </w:rPr>
        <w:t> </w:t>
      </w:r>
      <w:r w:rsidR="00CC55C0" w:rsidRPr="0071228C">
        <w:rPr>
          <w:noProof/>
        </w:rPr>
        <w:t>flo</w:t>
      </w:r>
      <w:r w:rsidRPr="0071228C">
        <w:rPr>
          <w:noProof/>
        </w:rPr>
        <w:t>ry,</w:t>
      </w:r>
      <w:r w:rsidR="00CC55C0" w:rsidRPr="0071228C">
        <w:rPr>
          <w:noProof/>
        </w:rPr>
        <w:t xml:space="preserve"> a</w:t>
      </w:r>
      <w:r w:rsidR="00CC55C0">
        <w:rPr>
          <w:noProof/>
        </w:rPr>
        <w:t> </w:t>
      </w:r>
      <w:r w:rsidR="00CC55C0" w:rsidRPr="0071228C">
        <w:rPr>
          <w:noProof/>
        </w:rPr>
        <w:t>w</w:t>
      </w:r>
      <w:r w:rsidR="00CC55C0">
        <w:rPr>
          <w:noProof/>
        </w:rPr>
        <w:t> </w:t>
      </w:r>
      <w:r w:rsidR="00CC55C0" w:rsidRPr="00CC55C0">
        <w:rPr>
          <w:noProof/>
        </w:rPr>
        <w:t>ust</w:t>
      </w:r>
      <w:r w:rsidRPr="00CC55C0">
        <w:rPr>
          <w:noProof/>
        </w:rPr>
        <w:t>.</w:t>
      </w:r>
      <w:r w:rsidR="00CC55C0" w:rsidRPr="00CC55C0">
        <w:rPr>
          <w:noProof/>
        </w:rPr>
        <w:t> </w:t>
      </w:r>
      <w:r w:rsidRPr="00CC55C0">
        <w:rPr>
          <w:noProof/>
        </w:rPr>
        <w:t>6</w:t>
      </w:r>
      <w:r w:rsidRPr="0071228C">
        <w:rPr>
          <w:noProof/>
        </w:rPr>
        <w:t xml:space="preserve"> uproszczono oceny trendów długoterminowych, podając wyjaśnienie ich zakresu</w:t>
      </w:r>
      <w:r w:rsidR="00CC55C0" w:rsidRPr="0071228C">
        <w:rPr>
          <w:noProof/>
        </w:rPr>
        <w:t xml:space="preserve"> w</w:t>
      </w:r>
      <w:r w:rsidR="00CC55C0">
        <w:rPr>
          <w:noProof/>
        </w:rPr>
        <w:t> </w:t>
      </w:r>
      <w:r w:rsidR="00CC55C0" w:rsidRPr="0071228C">
        <w:rPr>
          <w:noProof/>
        </w:rPr>
        <w:t>zał</w:t>
      </w:r>
      <w:r w:rsidRPr="0071228C">
        <w:rPr>
          <w:noProof/>
        </w:rPr>
        <w:t xml:space="preserve">ączniku. Uchyla się </w:t>
      </w:r>
      <w:r w:rsidRPr="00CC55C0">
        <w:rPr>
          <w:noProof/>
        </w:rPr>
        <w:t>ust.</w:t>
      </w:r>
      <w:r w:rsidR="00CC55C0" w:rsidRPr="00CC55C0">
        <w:rPr>
          <w:noProof/>
        </w:rPr>
        <w:t> </w:t>
      </w:r>
      <w:r w:rsidRPr="00CC55C0">
        <w:rPr>
          <w:noProof/>
        </w:rPr>
        <w:t>7</w:t>
      </w:r>
      <w:r w:rsidRPr="0071228C">
        <w:rPr>
          <w:noProof/>
        </w:rPr>
        <w:t xml:space="preserve"> artykułu, aby uwzględnić proponowane zastąpienie procedury współdecyzji procedurą dotyczącą aktów delegowanych</w:t>
      </w:r>
      <w:r w:rsidR="00CC55C0" w:rsidRPr="0071228C">
        <w:rPr>
          <w:noProof/>
        </w:rPr>
        <w:t xml:space="preserve"> w</w:t>
      </w:r>
      <w:r w:rsidR="00CC55C0">
        <w:rPr>
          <w:noProof/>
        </w:rPr>
        <w:t> </w:t>
      </w:r>
      <w:r w:rsidR="00CC55C0" w:rsidRPr="0071228C">
        <w:rPr>
          <w:noProof/>
        </w:rPr>
        <w:t>cel</w:t>
      </w:r>
      <w:r w:rsidRPr="0071228C">
        <w:rPr>
          <w:noProof/>
        </w:rPr>
        <w:t xml:space="preserve">u zmiany wykazu substancji priorytetowych. </w:t>
      </w:r>
    </w:p>
    <w:p w14:paraId="3E21266B" w14:textId="36157987"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5</w:t>
      </w:r>
      <w:r w:rsidRPr="0071228C">
        <w:rPr>
          <w:noProof/>
        </w:rPr>
        <w:t xml:space="preserve"> dotyczącym wykazów emisji wprowadza się zmiany, aby uprościć obowiązek sprawozdawczy</w:t>
      </w:r>
      <w:r w:rsidR="00CC55C0" w:rsidRPr="0071228C">
        <w:rPr>
          <w:noProof/>
        </w:rPr>
        <w:t xml:space="preserve"> i</w:t>
      </w:r>
      <w:r w:rsidR="00CC55C0">
        <w:rPr>
          <w:noProof/>
        </w:rPr>
        <w:t> </w:t>
      </w:r>
      <w:r w:rsidR="00CC55C0" w:rsidRPr="0071228C">
        <w:rPr>
          <w:noProof/>
        </w:rPr>
        <w:t>dos</w:t>
      </w:r>
      <w:r w:rsidRPr="0071228C">
        <w:rPr>
          <w:noProof/>
        </w:rPr>
        <w:t>tosować go,</w:t>
      </w:r>
      <w:r w:rsidR="00CC55C0" w:rsidRPr="0071228C">
        <w:rPr>
          <w:noProof/>
        </w:rPr>
        <w:t xml:space="preserve"> w</w:t>
      </w:r>
      <w:r w:rsidR="00CC55C0">
        <w:rPr>
          <w:noProof/>
        </w:rPr>
        <w:t> </w:t>
      </w:r>
      <w:r w:rsidR="00CC55C0" w:rsidRPr="0071228C">
        <w:rPr>
          <w:noProof/>
        </w:rPr>
        <w:t>mia</w:t>
      </w:r>
      <w:r w:rsidRPr="0071228C">
        <w:rPr>
          <w:noProof/>
        </w:rPr>
        <w:t>rę możliwości, do obowiązku wynikającego</w:t>
      </w:r>
      <w:r w:rsidR="00CC55C0" w:rsidRPr="0071228C">
        <w:rPr>
          <w:noProof/>
        </w:rPr>
        <w:t xml:space="preserve"> z</w:t>
      </w:r>
      <w:r w:rsidR="00CC55C0">
        <w:rPr>
          <w:noProof/>
        </w:rPr>
        <w:t> </w:t>
      </w:r>
      <w:r w:rsidR="00CC55C0" w:rsidRPr="0071228C">
        <w:rPr>
          <w:noProof/>
        </w:rPr>
        <w:t>prz</w:t>
      </w:r>
      <w:r w:rsidRPr="0071228C">
        <w:rPr>
          <w:noProof/>
        </w:rPr>
        <w:t>episów UE</w:t>
      </w:r>
      <w:r w:rsidR="00CC55C0" w:rsidRPr="0071228C">
        <w:rPr>
          <w:noProof/>
        </w:rPr>
        <w:t xml:space="preserve"> w</w:t>
      </w:r>
      <w:r w:rsidR="00CC55C0">
        <w:rPr>
          <w:noProof/>
        </w:rPr>
        <w:t> </w:t>
      </w:r>
      <w:r w:rsidR="00CC55C0" w:rsidRPr="0071228C">
        <w:rPr>
          <w:noProof/>
        </w:rPr>
        <w:t>cel</w:t>
      </w:r>
      <w:r w:rsidRPr="0071228C">
        <w:rPr>
          <w:noProof/>
        </w:rPr>
        <w:t>u zwalczania emisji pochodzących</w:t>
      </w:r>
      <w:r w:rsidR="00CC55C0" w:rsidRPr="0071228C">
        <w:rPr>
          <w:noProof/>
        </w:rPr>
        <w:t xml:space="preserve"> z</w:t>
      </w:r>
      <w:r w:rsidR="00CC55C0">
        <w:rPr>
          <w:noProof/>
        </w:rPr>
        <w:t> </w:t>
      </w:r>
      <w:r w:rsidR="00CC55C0" w:rsidRPr="0071228C">
        <w:rPr>
          <w:noProof/>
        </w:rPr>
        <w:t>duż</w:t>
      </w:r>
      <w:r w:rsidRPr="0071228C">
        <w:rPr>
          <w:noProof/>
        </w:rPr>
        <w:t>ych instalacji przemysłowych (obecnie</w:t>
      </w:r>
      <w:r w:rsidR="00CC55C0" w:rsidRPr="0071228C">
        <w:rPr>
          <w:noProof/>
        </w:rPr>
        <w:t xml:space="preserve"> w</w:t>
      </w:r>
      <w:r w:rsidR="00CC55C0">
        <w:rPr>
          <w:noProof/>
        </w:rPr>
        <w:t> </w:t>
      </w:r>
      <w:r w:rsidR="00CC55C0" w:rsidRPr="0071228C">
        <w:rPr>
          <w:noProof/>
        </w:rPr>
        <w:t>tra</w:t>
      </w:r>
      <w:r w:rsidRPr="0071228C">
        <w:rPr>
          <w:noProof/>
        </w:rPr>
        <w:t>kcie przeglądu), oraz aby umożliwić ułatwienie sprawozdawczości</w:t>
      </w:r>
      <w:r w:rsidR="00CC55C0" w:rsidRPr="0071228C">
        <w:rPr>
          <w:noProof/>
        </w:rPr>
        <w:t xml:space="preserve"> w</w:t>
      </w:r>
      <w:r w:rsidR="00CC55C0">
        <w:rPr>
          <w:noProof/>
        </w:rPr>
        <w:t> </w:t>
      </w:r>
      <w:r w:rsidR="00CC55C0" w:rsidRPr="0071228C">
        <w:rPr>
          <w:noProof/>
        </w:rPr>
        <w:t>ram</w:t>
      </w:r>
      <w:r w:rsidRPr="0071228C">
        <w:rPr>
          <w:noProof/>
        </w:rPr>
        <w:t>ach Europejskiego Portalu Emisji Przemysłowych, przy czym szczegóły zostaną określone</w:t>
      </w:r>
      <w:r w:rsidR="00CC55C0" w:rsidRPr="0071228C">
        <w:rPr>
          <w:noProof/>
        </w:rPr>
        <w:t xml:space="preserve"> w</w:t>
      </w:r>
      <w:r w:rsidR="00CC55C0">
        <w:rPr>
          <w:noProof/>
        </w:rPr>
        <w:t> </w:t>
      </w:r>
      <w:r w:rsidR="00CC55C0" w:rsidRPr="0071228C">
        <w:rPr>
          <w:noProof/>
        </w:rPr>
        <w:t>prz</w:t>
      </w:r>
      <w:r w:rsidRPr="0071228C">
        <w:rPr>
          <w:noProof/>
        </w:rPr>
        <w:t>yszłym akcie wykonawczym</w:t>
      </w:r>
      <w:r w:rsidR="00CC55C0" w:rsidRPr="0071228C">
        <w:rPr>
          <w:noProof/>
        </w:rPr>
        <w:t>.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sprawozdawczość</w:t>
      </w:r>
      <w:r w:rsidR="00CC55C0" w:rsidRPr="0071228C">
        <w:rPr>
          <w:noProof/>
        </w:rPr>
        <w:t xml:space="preserve"> w</w:t>
      </w:r>
      <w:r w:rsidR="00CC55C0">
        <w:rPr>
          <w:noProof/>
        </w:rPr>
        <w:t> </w:t>
      </w:r>
      <w:r w:rsidR="00CC55C0" w:rsidRPr="0071228C">
        <w:rPr>
          <w:noProof/>
        </w:rPr>
        <w:t>ram</w:t>
      </w:r>
      <w:r w:rsidRPr="0071228C">
        <w:rPr>
          <w:noProof/>
        </w:rPr>
        <w:t>ach planów gospodarowania wodami</w:t>
      </w:r>
      <w:r w:rsidR="00CC55C0" w:rsidRPr="0071228C">
        <w:rPr>
          <w:noProof/>
        </w:rPr>
        <w:t xml:space="preserve"> w</w:t>
      </w:r>
      <w:r w:rsidR="00CC55C0">
        <w:rPr>
          <w:noProof/>
        </w:rPr>
        <w:t> </w:t>
      </w:r>
      <w:r w:rsidR="00CC55C0" w:rsidRPr="0071228C">
        <w:rPr>
          <w:noProof/>
        </w:rPr>
        <w:t>dor</w:t>
      </w:r>
      <w:r w:rsidRPr="0071228C">
        <w:rPr>
          <w:noProof/>
        </w:rPr>
        <w:t xml:space="preserve">zeczu nadal będzie mieć zastosowanie do emisji rozproszonych. </w:t>
      </w:r>
    </w:p>
    <w:p w14:paraId="18CBA493" w14:textId="19E96B58"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7</w:t>
      </w:r>
      <w:r w:rsidRPr="0071228C">
        <w:rPr>
          <w:b/>
          <w:noProof/>
        </w:rPr>
        <w:t>a</w:t>
      </w:r>
      <w:r w:rsidRPr="0071228C">
        <w:rPr>
          <w:noProof/>
        </w:rPr>
        <w:t xml:space="preserve"> dotyczącym koordynacji między różnymi aktami prawnymi UE dotyczącymi substancji chemicznych wprowadza się zmiany, aby włączyć odniesienie do unijnego prawa farmaceutycznego, oraz aby uwzględnić proponowane zastąpienie procedury współdecyzji procedurą dotyczącą aktów delegowanych</w:t>
      </w:r>
      <w:r w:rsidR="00CC55C0" w:rsidRPr="0071228C">
        <w:rPr>
          <w:noProof/>
        </w:rPr>
        <w:t xml:space="preserve"> w</w:t>
      </w:r>
      <w:r w:rsidR="00CC55C0">
        <w:rPr>
          <w:noProof/>
        </w:rPr>
        <w:t> </w:t>
      </w:r>
      <w:r w:rsidR="00CC55C0" w:rsidRPr="0071228C">
        <w:rPr>
          <w:noProof/>
        </w:rPr>
        <w:t>cel</w:t>
      </w:r>
      <w:r w:rsidRPr="0071228C">
        <w:rPr>
          <w:noProof/>
        </w:rPr>
        <w:t xml:space="preserve">u aktualizacji lub ustanowienia nowych środowiskowych norm jakości. </w:t>
      </w:r>
    </w:p>
    <w:p w14:paraId="57755CBD" w14:textId="6F1A62D7"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8</w:t>
      </w:r>
      <w:r w:rsidRPr="0071228C">
        <w:rPr>
          <w:noProof/>
        </w:rPr>
        <w:t xml:space="preserve"> wprowadza się zmiany, aby: 1) przyznać Komisji Europejskiej przekazane uprawnienia do dokonywania co sześć lat przeglądu załącznika I</w:t>
      </w:r>
      <w:r w:rsidR="00CC55C0" w:rsidRPr="0071228C">
        <w:rPr>
          <w:noProof/>
        </w:rPr>
        <w:t xml:space="preserve"> w</w:t>
      </w:r>
      <w:r w:rsidR="00CC55C0">
        <w:rPr>
          <w:noProof/>
        </w:rPr>
        <w:t> </w:t>
      </w:r>
      <w:r w:rsidR="00CC55C0" w:rsidRPr="0071228C">
        <w:rPr>
          <w:noProof/>
        </w:rPr>
        <w:t>cel</w:t>
      </w:r>
      <w:r w:rsidRPr="0071228C">
        <w:rPr>
          <w:noProof/>
        </w:rPr>
        <w:t>u rozważenia umieszczenia</w:t>
      </w:r>
      <w:r w:rsidR="00CC55C0" w:rsidRPr="0071228C">
        <w:rPr>
          <w:noProof/>
        </w:rPr>
        <w:t xml:space="preserve"> w</w:t>
      </w:r>
      <w:r w:rsidR="00CC55C0">
        <w:rPr>
          <w:noProof/>
        </w:rPr>
        <w:t> </w:t>
      </w:r>
      <w:r w:rsidR="00CC55C0" w:rsidRPr="0071228C">
        <w:rPr>
          <w:noProof/>
        </w:rPr>
        <w:t>nim</w:t>
      </w:r>
      <w:r w:rsidRPr="0071228C">
        <w:rPr>
          <w:noProof/>
        </w:rPr>
        <w:t xml:space="preserve"> nowych substancji priorytetowych</w:t>
      </w:r>
      <w:r w:rsidR="00CC55C0" w:rsidRPr="0071228C">
        <w:rPr>
          <w:noProof/>
        </w:rPr>
        <w:t xml:space="preserve"> i</w:t>
      </w:r>
      <w:r w:rsidR="00CC55C0">
        <w:rPr>
          <w:noProof/>
        </w:rPr>
        <w:t> </w:t>
      </w:r>
      <w:r w:rsidR="00CC55C0" w:rsidRPr="0071228C">
        <w:rPr>
          <w:noProof/>
        </w:rPr>
        <w:t>zwi</w:t>
      </w:r>
      <w:r w:rsidRPr="0071228C">
        <w:rPr>
          <w:noProof/>
        </w:rPr>
        <w:t>ązanych</w:t>
      </w:r>
      <w:r w:rsidR="00CC55C0" w:rsidRPr="0071228C">
        <w:rPr>
          <w:noProof/>
        </w:rPr>
        <w:t xml:space="preserve"> z</w:t>
      </w:r>
      <w:r w:rsidR="00CC55C0">
        <w:rPr>
          <w:noProof/>
        </w:rPr>
        <w:t> </w:t>
      </w:r>
      <w:r w:rsidR="00CC55C0" w:rsidRPr="0071228C">
        <w:rPr>
          <w:noProof/>
        </w:rPr>
        <w:t>nim</w:t>
      </w:r>
      <w:r w:rsidRPr="0071228C">
        <w:rPr>
          <w:noProof/>
        </w:rPr>
        <w:t>i środowiskowych norm jakości,</w:t>
      </w:r>
      <w:r w:rsidR="00CC55C0" w:rsidRPr="0071228C">
        <w:rPr>
          <w:noProof/>
        </w:rPr>
        <w:t xml:space="preserve"> w</w:t>
      </w:r>
      <w:r w:rsidR="00CC55C0">
        <w:rPr>
          <w:noProof/>
        </w:rPr>
        <w:t> </w:t>
      </w:r>
      <w:r w:rsidR="00CC55C0" w:rsidRPr="0071228C">
        <w:rPr>
          <w:noProof/>
        </w:rPr>
        <w:t>opa</w:t>
      </w:r>
      <w:r w:rsidRPr="0071228C">
        <w:rPr>
          <w:noProof/>
        </w:rPr>
        <w:t>rciu</w:t>
      </w:r>
      <w:r w:rsidR="00CC55C0" w:rsidRPr="0071228C">
        <w:rPr>
          <w:noProof/>
        </w:rPr>
        <w:t xml:space="preserve"> o</w:t>
      </w:r>
      <w:r w:rsidR="00CC55C0">
        <w:rPr>
          <w:noProof/>
        </w:rPr>
        <w:t> </w:t>
      </w:r>
      <w:r w:rsidR="00CC55C0" w:rsidRPr="0071228C">
        <w:rPr>
          <w:noProof/>
        </w:rPr>
        <w:t>udz</w:t>
      </w:r>
      <w:r w:rsidRPr="0071228C">
        <w:rPr>
          <w:noProof/>
        </w:rPr>
        <w:t>iał ECHA; 2) przyznać Komisji Europejskiej przekazane uprawnienia do dokonywania regularnego przeglądu wykazu kategorii zanieczyszczeń specyficznych dla dorzecza, które są obecnie zawarte</w:t>
      </w:r>
      <w:r w:rsidR="00CC55C0" w:rsidRPr="0071228C">
        <w:rPr>
          <w:noProof/>
        </w:rPr>
        <w:t xml:space="preserve"> w</w:t>
      </w:r>
      <w:r w:rsidR="00CC55C0">
        <w:rPr>
          <w:noProof/>
        </w:rPr>
        <w:t> </w:t>
      </w:r>
      <w:r w:rsidR="00CC55C0" w:rsidRPr="0071228C">
        <w:rPr>
          <w:noProof/>
        </w:rPr>
        <w:t>czę</w:t>
      </w:r>
      <w:r w:rsidRPr="0071228C">
        <w:rPr>
          <w:noProof/>
        </w:rPr>
        <w:t>ści B nowego załącznika II (załącznik II zastępuje</w:t>
      </w:r>
      <w:r w:rsidR="00CC55C0" w:rsidRPr="0071228C">
        <w:rPr>
          <w:noProof/>
        </w:rPr>
        <w:t xml:space="preserve"> w</w:t>
      </w:r>
      <w:r w:rsidR="00CC55C0">
        <w:rPr>
          <w:noProof/>
        </w:rPr>
        <w:t> </w:t>
      </w:r>
      <w:r w:rsidR="00CC55C0" w:rsidRPr="0071228C">
        <w:rPr>
          <w:noProof/>
        </w:rPr>
        <w:t>tym</w:t>
      </w:r>
      <w:r w:rsidRPr="0071228C">
        <w:rPr>
          <w:noProof/>
        </w:rPr>
        <w:t xml:space="preserve"> celu </w:t>
      </w:r>
      <w:r w:rsidRPr="00CC55C0">
        <w:rPr>
          <w:noProof/>
        </w:rPr>
        <w:t>pkt</w:t>
      </w:r>
      <w:r w:rsidR="00CC55C0" w:rsidRPr="00CC55C0">
        <w:rPr>
          <w:noProof/>
        </w:rPr>
        <w:t> </w:t>
      </w:r>
      <w:r w:rsidRPr="00CC55C0">
        <w:rPr>
          <w:noProof/>
        </w:rPr>
        <w:t>1</w:t>
      </w:r>
      <w:r w:rsidRPr="0071228C">
        <w:rPr>
          <w:noProof/>
        </w:rPr>
        <w:t>.2.6</w:t>
      </w:r>
      <w:r w:rsidR="00CC55C0" w:rsidRPr="0071228C">
        <w:rPr>
          <w:noProof/>
        </w:rPr>
        <w:t xml:space="preserve"> i</w:t>
      </w:r>
      <w:r w:rsidR="00CC55C0">
        <w:rPr>
          <w:noProof/>
        </w:rPr>
        <w:t> </w:t>
      </w:r>
      <w:r w:rsidR="00CC55C0" w:rsidRPr="0071228C">
        <w:rPr>
          <w:noProof/>
        </w:rPr>
        <w:t>zał</w:t>
      </w:r>
      <w:r w:rsidRPr="0071228C">
        <w:rPr>
          <w:noProof/>
        </w:rPr>
        <w:t>ącznik VIII do ramowej dyrektywy wodnej, które zostaną odpowiednio zmienione</w:t>
      </w:r>
      <w:r w:rsidR="00CC55C0" w:rsidRPr="0071228C">
        <w:rPr>
          <w:noProof/>
        </w:rPr>
        <w:t xml:space="preserve"> w</w:t>
      </w:r>
      <w:r w:rsidR="00CC55C0">
        <w:rPr>
          <w:noProof/>
        </w:rPr>
        <w:t> </w:t>
      </w:r>
      <w:r w:rsidR="00CC55C0" w:rsidRPr="0071228C">
        <w:rPr>
          <w:noProof/>
        </w:rPr>
        <w:t>cel</w:t>
      </w:r>
      <w:r w:rsidRPr="0071228C">
        <w:rPr>
          <w:noProof/>
        </w:rPr>
        <w:t>u wyłączenia substancji zanieczyszczających specyficznych dla dorzeczy</w:t>
      </w:r>
      <w:r w:rsidR="00CC55C0" w:rsidRPr="0071228C">
        <w:rPr>
          <w:noProof/>
        </w:rPr>
        <w:t xml:space="preserve"> z</w:t>
      </w:r>
      <w:r w:rsidR="00CC55C0">
        <w:rPr>
          <w:noProof/>
        </w:rPr>
        <w:t> </w:t>
      </w:r>
      <w:r w:rsidR="00CC55C0" w:rsidRPr="0071228C">
        <w:rPr>
          <w:noProof/>
        </w:rPr>
        <w:t>def</w:t>
      </w:r>
      <w:r w:rsidRPr="0071228C">
        <w:rPr>
          <w:noProof/>
        </w:rPr>
        <w:t>inicji stanu ekologicznego</w:t>
      </w:r>
      <w:r w:rsidR="00CC55C0" w:rsidRPr="0071228C">
        <w:rPr>
          <w:noProof/>
        </w:rPr>
        <w:t xml:space="preserve"> i</w:t>
      </w:r>
      <w:r w:rsidR="00CC55C0">
        <w:rPr>
          <w:noProof/>
        </w:rPr>
        <w:t> </w:t>
      </w:r>
      <w:r w:rsidR="00CC55C0" w:rsidRPr="0071228C">
        <w:rPr>
          <w:noProof/>
        </w:rPr>
        <w:t>włą</w:t>
      </w:r>
      <w:r w:rsidRPr="0071228C">
        <w:rPr>
          <w:noProof/>
        </w:rPr>
        <w:t>czenia ich do systemu mającego zastosowanie do stanu chemicznego); 3) przyznać Komisji Europejskiej przekazane uprawnienia do przyjmowania,</w:t>
      </w:r>
      <w:r w:rsidR="00CC55C0" w:rsidRPr="0071228C">
        <w:rPr>
          <w:noProof/>
        </w:rPr>
        <w:t xml:space="preserve"> w</w:t>
      </w:r>
      <w:r w:rsidR="00CC55C0">
        <w:rPr>
          <w:noProof/>
        </w:rPr>
        <w:t> </w:t>
      </w:r>
      <w:r w:rsidR="00CC55C0" w:rsidRPr="0071228C">
        <w:rPr>
          <w:noProof/>
        </w:rPr>
        <w:t>raz</w:t>
      </w:r>
      <w:r w:rsidRPr="0071228C">
        <w:rPr>
          <w:noProof/>
        </w:rPr>
        <w:t>ie potrzeby, ogólnounijnych środowiskowych norm jakości dla substancji zanieczyszczających specyficznych dla dorzeczy</w:t>
      </w:r>
      <w:r w:rsidR="00CC55C0" w:rsidRPr="0071228C">
        <w:rPr>
          <w:noProof/>
        </w:rPr>
        <w:t xml:space="preserve"> i</w:t>
      </w:r>
      <w:r w:rsidR="00CC55C0">
        <w:rPr>
          <w:noProof/>
        </w:rPr>
        <w:t> </w:t>
      </w:r>
      <w:r w:rsidR="00CC55C0" w:rsidRPr="0071228C">
        <w:rPr>
          <w:noProof/>
        </w:rPr>
        <w:t>umi</w:t>
      </w:r>
      <w:r w:rsidRPr="0071228C">
        <w:rPr>
          <w:noProof/>
        </w:rPr>
        <w:t>eszczenia ich</w:t>
      </w:r>
      <w:r w:rsidR="00CC55C0" w:rsidRPr="0071228C">
        <w:rPr>
          <w:noProof/>
        </w:rPr>
        <w:t xml:space="preserve"> w</w:t>
      </w:r>
      <w:r w:rsidR="00CC55C0">
        <w:rPr>
          <w:noProof/>
        </w:rPr>
        <w:t> </w:t>
      </w:r>
      <w:r w:rsidR="00CC55C0" w:rsidRPr="0071228C">
        <w:rPr>
          <w:noProof/>
        </w:rPr>
        <w:t>wyk</w:t>
      </w:r>
      <w:r w:rsidRPr="0071228C">
        <w:rPr>
          <w:noProof/>
        </w:rPr>
        <w:t>azie znajdującym się</w:t>
      </w:r>
      <w:r w:rsidR="00CC55C0" w:rsidRPr="0071228C">
        <w:rPr>
          <w:noProof/>
        </w:rPr>
        <w:t xml:space="preserve"> w</w:t>
      </w:r>
      <w:r w:rsidR="00CC55C0">
        <w:rPr>
          <w:noProof/>
        </w:rPr>
        <w:t> </w:t>
      </w:r>
      <w:r w:rsidR="00CC55C0" w:rsidRPr="0071228C">
        <w:rPr>
          <w:noProof/>
        </w:rPr>
        <w:t>czę</w:t>
      </w:r>
      <w:r w:rsidRPr="0071228C">
        <w:rPr>
          <w:noProof/>
        </w:rPr>
        <w:t>ści C załącznika II (w ramach wniosku umieszcza się</w:t>
      </w:r>
      <w:r w:rsidR="00CC55C0" w:rsidRPr="0071228C">
        <w:rPr>
          <w:noProof/>
        </w:rPr>
        <w:t xml:space="preserve"> w</w:t>
      </w:r>
      <w:r w:rsidR="00CC55C0">
        <w:rPr>
          <w:noProof/>
        </w:rPr>
        <w:t> </w:t>
      </w:r>
      <w:r w:rsidR="00CC55C0" w:rsidRPr="0071228C">
        <w:rPr>
          <w:noProof/>
        </w:rPr>
        <w:t>wyk</w:t>
      </w:r>
      <w:r w:rsidRPr="0071228C">
        <w:rPr>
          <w:noProof/>
        </w:rPr>
        <w:t>azie znajdującym się</w:t>
      </w:r>
      <w:r w:rsidR="00CC55C0" w:rsidRPr="0071228C">
        <w:rPr>
          <w:noProof/>
        </w:rPr>
        <w:t xml:space="preserve"> w</w:t>
      </w:r>
      <w:r w:rsidR="00CC55C0">
        <w:rPr>
          <w:noProof/>
        </w:rPr>
        <w:t> </w:t>
      </w:r>
      <w:r w:rsidR="00CC55C0" w:rsidRPr="0071228C">
        <w:rPr>
          <w:noProof/>
        </w:rPr>
        <w:t>czę</w:t>
      </w:r>
      <w:r w:rsidRPr="0071228C">
        <w:rPr>
          <w:noProof/>
        </w:rPr>
        <w:t>ści C cztery substancje priorytetowe, które były wcześniej włączone do załącznika I, ale zostały „usunięte</w:t>
      </w:r>
      <w:r w:rsidR="00CC55C0" w:rsidRPr="0071228C">
        <w:rPr>
          <w:noProof/>
        </w:rPr>
        <w:t xml:space="preserve"> z</w:t>
      </w:r>
      <w:r w:rsidR="00CC55C0">
        <w:rPr>
          <w:noProof/>
        </w:rPr>
        <w:t> </w:t>
      </w:r>
      <w:r w:rsidR="00CC55C0" w:rsidRPr="0071228C">
        <w:rPr>
          <w:noProof/>
        </w:rPr>
        <w:t>wyk</w:t>
      </w:r>
      <w:r w:rsidRPr="0071228C">
        <w:rPr>
          <w:noProof/>
        </w:rPr>
        <w:t>azu”, ponieważ nie uznaje się ich już za problem ogólnounijny); 4) sprecyzować główną rolę ECHA</w:t>
      </w:r>
      <w:r w:rsidR="00CC55C0" w:rsidRPr="0071228C">
        <w:rPr>
          <w:noProof/>
        </w:rPr>
        <w:t xml:space="preserve"> w</w:t>
      </w:r>
      <w:r w:rsidR="00CC55C0">
        <w:rPr>
          <w:noProof/>
        </w:rPr>
        <w:t> </w:t>
      </w:r>
      <w:r w:rsidR="00CC55C0" w:rsidRPr="0071228C">
        <w:rPr>
          <w:noProof/>
        </w:rPr>
        <w:t>opr</w:t>
      </w:r>
      <w:r w:rsidRPr="0071228C">
        <w:rPr>
          <w:noProof/>
        </w:rPr>
        <w:t>acowywaniu środowiskowych norm jakości</w:t>
      </w:r>
      <w:r w:rsidR="00CC55C0" w:rsidRPr="0071228C">
        <w:rPr>
          <w:noProof/>
        </w:rPr>
        <w:t xml:space="preserve"> w</w:t>
      </w:r>
      <w:r w:rsidR="00CC55C0">
        <w:rPr>
          <w:noProof/>
        </w:rPr>
        <w:t> </w:t>
      </w:r>
      <w:r w:rsidR="00CC55C0" w:rsidRPr="0071228C">
        <w:rPr>
          <w:noProof/>
        </w:rPr>
        <w:t>ści</w:t>
      </w:r>
      <w:r w:rsidRPr="0071228C">
        <w:rPr>
          <w:noProof/>
        </w:rPr>
        <w:t>słej współpracy</w:t>
      </w:r>
      <w:r w:rsidR="00CC55C0" w:rsidRPr="0071228C">
        <w:rPr>
          <w:noProof/>
        </w:rPr>
        <w:t xml:space="preserve"> z</w:t>
      </w:r>
      <w:r w:rsidR="00CC55C0">
        <w:rPr>
          <w:noProof/>
        </w:rPr>
        <w:t> </w:t>
      </w:r>
      <w:r w:rsidR="00CC55C0" w:rsidRPr="0071228C">
        <w:rPr>
          <w:noProof/>
        </w:rPr>
        <w:t>pań</w:t>
      </w:r>
      <w:r w:rsidRPr="0071228C">
        <w:rPr>
          <w:noProof/>
        </w:rPr>
        <w:t>stwami członkowskimi</w:t>
      </w:r>
      <w:r w:rsidR="00CC55C0" w:rsidRPr="0071228C">
        <w:rPr>
          <w:noProof/>
        </w:rPr>
        <w:t xml:space="preserve"> i</w:t>
      </w:r>
      <w:r w:rsidR="00CC55C0">
        <w:rPr>
          <w:noProof/>
        </w:rPr>
        <w:t> </w:t>
      </w:r>
      <w:r w:rsidR="00CC55C0" w:rsidRPr="0071228C">
        <w:rPr>
          <w:noProof/>
        </w:rPr>
        <w:t>zai</w:t>
      </w:r>
      <w:r w:rsidRPr="0071228C">
        <w:rPr>
          <w:noProof/>
        </w:rPr>
        <w:t xml:space="preserve">nteresowanymi stronami oraz jej obowiązek publicznego udostępniania sprawozdań naukowych związanych ze zmianą załączników. </w:t>
      </w:r>
    </w:p>
    <w:p w14:paraId="4C73A77C" w14:textId="46192057"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8</w:t>
      </w:r>
      <w:r w:rsidRPr="0071228C">
        <w:rPr>
          <w:b/>
          <w:noProof/>
        </w:rPr>
        <w:t>a</w:t>
      </w:r>
      <w:r w:rsidRPr="0071228C">
        <w:rPr>
          <w:noProof/>
        </w:rPr>
        <w:t xml:space="preserve"> wprowadza się zmiany, aby: 1) uprościć sposób,</w:t>
      </w:r>
      <w:r w:rsidR="00CC55C0" w:rsidRPr="0071228C">
        <w:rPr>
          <w:noProof/>
        </w:rPr>
        <w:t xml:space="preserve"> w</w:t>
      </w:r>
      <w:r w:rsidR="00CC55C0">
        <w:rPr>
          <w:noProof/>
        </w:rPr>
        <w:t> </w:t>
      </w:r>
      <w:r w:rsidR="00CC55C0" w:rsidRPr="0071228C">
        <w:rPr>
          <w:noProof/>
        </w:rPr>
        <w:t>jak</w:t>
      </w:r>
      <w:r w:rsidRPr="0071228C">
        <w:rPr>
          <w:noProof/>
        </w:rPr>
        <w:t>i państwa członkowskie mogą przedstawiać status chemiczny wszechobecnych PBT odrębnie od ogólnego statusu chemicznego; 2) umożliwić państwom członkowskim prowadzenie mniej intensywnego monitorowania niektórych substancji; 3) zobowiązać państwa członkowskie do monitorowania opartego na skutkach</w:t>
      </w:r>
      <w:r w:rsidR="00CC55C0" w:rsidRPr="0071228C">
        <w:rPr>
          <w:noProof/>
        </w:rPr>
        <w:t xml:space="preserve"> w</w:t>
      </w:r>
      <w:r w:rsidR="00CC55C0">
        <w:rPr>
          <w:noProof/>
        </w:rPr>
        <w:t> </w:t>
      </w:r>
      <w:r w:rsidR="00CC55C0" w:rsidRPr="0071228C">
        <w:rPr>
          <w:noProof/>
        </w:rPr>
        <w:t>cel</w:t>
      </w:r>
      <w:r w:rsidRPr="0071228C">
        <w:rPr>
          <w:noProof/>
        </w:rPr>
        <w:t>u oszacowania obecności hormonów estrogenowych</w:t>
      </w:r>
      <w:r w:rsidR="00CC55C0" w:rsidRPr="0071228C">
        <w:rPr>
          <w:noProof/>
        </w:rPr>
        <w:t xml:space="preserve"> w</w:t>
      </w:r>
      <w:r w:rsidR="00CC55C0">
        <w:rPr>
          <w:noProof/>
        </w:rPr>
        <w:t> </w:t>
      </w:r>
      <w:r w:rsidR="00CC55C0" w:rsidRPr="0071228C">
        <w:rPr>
          <w:noProof/>
        </w:rPr>
        <w:t>jed</w:t>
      </w:r>
      <w:r w:rsidRPr="0071228C">
        <w:rPr>
          <w:noProof/>
        </w:rPr>
        <w:t>nolitych częściach wód</w:t>
      </w:r>
      <w:r w:rsidR="00CC55C0" w:rsidRPr="0071228C">
        <w:rPr>
          <w:noProof/>
        </w:rPr>
        <w:t xml:space="preserve"> z</w:t>
      </w:r>
      <w:r w:rsidR="00CC55C0">
        <w:rPr>
          <w:noProof/>
        </w:rPr>
        <w:t> </w:t>
      </w:r>
      <w:r w:rsidR="00CC55C0" w:rsidRPr="0071228C">
        <w:rPr>
          <w:noProof/>
        </w:rPr>
        <w:t>myś</w:t>
      </w:r>
      <w:r w:rsidRPr="0071228C">
        <w:rPr>
          <w:noProof/>
        </w:rPr>
        <w:t>lą</w:t>
      </w:r>
      <w:r w:rsidR="00CC55C0" w:rsidRPr="0071228C">
        <w:rPr>
          <w:noProof/>
        </w:rPr>
        <w:t xml:space="preserve"> o</w:t>
      </w:r>
      <w:r w:rsidR="00CC55C0">
        <w:rPr>
          <w:noProof/>
        </w:rPr>
        <w:t> </w:t>
      </w:r>
      <w:r w:rsidR="00CC55C0" w:rsidRPr="0071228C">
        <w:rPr>
          <w:noProof/>
        </w:rPr>
        <w:t>moż</w:t>
      </w:r>
      <w:r w:rsidRPr="0071228C">
        <w:rPr>
          <w:noProof/>
        </w:rPr>
        <w:t xml:space="preserve">liwym ustaleniu przyszłych wartości progowych opartych na skutkach. </w:t>
      </w:r>
    </w:p>
    <w:p w14:paraId="0BED1E4F" w14:textId="1C832C21" w:rsidR="005C53E6" w:rsidRPr="0071228C" w:rsidRDefault="005C53E6" w:rsidP="005C53E6">
      <w:pPr>
        <w:rPr>
          <w:noProof/>
        </w:rPr>
      </w:pPr>
      <w:r w:rsidRPr="0071228C">
        <w:rPr>
          <w:noProof/>
        </w:rPr>
        <w:t xml:space="preserve">W </w:t>
      </w:r>
      <w:r w:rsidRPr="00CC55C0">
        <w:rPr>
          <w:b/>
          <w:noProof/>
        </w:rPr>
        <w:t>art.</w:t>
      </w:r>
      <w:r w:rsidR="00CC55C0" w:rsidRPr="00CC55C0">
        <w:rPr>
          <w:b/>
          <w:noProof/>
        </w:rPr>
        <w:t> </w:t>
      </w:r>
      <w:r w:rsidRPr="00CC55C0">
        <w:rPr>
          <w:b/>
          <w:noProof/>
        </w:rPr>
        <w:t>8</w:t>
      </w:r>
      <w:r w:rsidRPr="0071228C">
        <w:rPr>
          <w:b/>
          <w:noProof/>
        </w:rPr>
        <w:t>b</w:t>
      </w:r>
      <w:r w:rsidRPr="0071228C">
        <w:rPr>
          <w:noProof/>
        </w:rPr>
        <w:t xml:space="preserve"> wprowadza się zmiany, aby: 1) usprawnić cykl monitorowania</w:t>
      </w:r>
      <w:r w:rsidR="00CC55C0" w:rsidRPr="0071228C">
        <w:rPr>
          <w:noProof/>
        </w:rPr>
        <w:t xml:space="preserve"> i</w:t>
      </w:r>
      <w:r w:rsidR="00CC55C0">
        <w:rPr>
          <w:noProof/>
        </w:rPr>
        <w:t> </w:t>
      </w:r>
      <w:r w:rsidR="00CC55C0" w:rsidRPr="0071228C">
        <w:rPr>
          <w:noProof/>
        </w:rPr>
        <w:t>prz</w:t>
      </w:r>
      <w:r w:rsidRPr="0071228C">
        <w:rPr>
          <w:noProof/>
        </w:rPr>
        <w:t>eglądu mechanizmu listy obserwacyjnej, ustalając cykl trzyletni zamiast obecnego dwuletniego. Dzięki temu będzie można przeznaczyć więcej czasu na przetworzenie danych przed przystąpieniem do przeglądu wykazu, wraz</w:t>
      </w:r>
      <w:r w:rsidR="00CC55C0" w:rsidRPr="0071228C">
        <w:rPr>
          <w:noProof/>
        </w:rPr>
        <w:t xml:space="preserve"> z</w:t>
      </w:r>
      <w:r w:rsidR="00CC55C0">
        <w:rPr>
          <w:noProof/>
        </w:rPr>
        <w:t> </w:t>
      </w:r>
      <w:r w:rsidR="00CC55C0" w:rsidRPr="0071228C">
        <w:rPr>
          <w:noProof/>
        </w:rPr>
        <w:t>pro</w:t>
      </w:r>
      <w:r w:rsidRPr="0071228C">
        <w:rPr>
          <w:noProof/>
        </w:rPr>
        <w:t>ponowanym wydłużeniem cyklu monitorowania</w:t>
      </w:r>
      <w:r w:rsidR="00CC55C0" w:rsidRPr="0071228C">
        <w:rPr>
          <w:noProof/>
        </w:rPr>
        <w:t xml:space="preserve"> z</w:t>
      </w:r>
      <w:r w:rsidR="00CC55C0">
        <w:rPr>
          <w:noProof/>
        </w:rPr>
        <w:t> </w:t>
      </w:r>
      <w:r w:rsidR="00CC55C0" w:rsidRPr="0071228C">
        <w:rPr>
          <w:noProof/>
        </w:rPr>
        <w:t>1</w:t>
      </w:r>
      <w:r w:rsidRPr="0071228C">
        <w:rPr>
          <w:noProof/>
        </w:rPr>
        <w:t xml:space="preserve">2 </w:t>
      </w:r>
      <w:r w:rsidRPr="00CC55C0">
        <w:rPr>
          <w:noProof/>
        </w:rPr>
        <w:t>do</w:t>
      </w:r>
      <w:r w:rsidR="00CC55C0" w:rsidRPr="00CC55C0">
        <w:rPr>
          <w:noProof/>
        </w:rPr>
        <w:t> </w:t>
      </w:r>
      <w:r w:rsidRPr="00CC55C0">
        <w:rPr>
          <w:noProof/>
        </w:rPr>
        <w:t>2</w:t>
      </w:r>
      <w:r w:rsidRPr="0071228C">
        <w:rPr>
          <w:noProof/>
        </w:rPr>
        <w:t>4 miesięcy, aby umożliwić lepsze rozważenie różnych częstotliwości</w:t>
      </w:r>
      <w:r w:rsidR="00CC55C0" w:rsidRPr="0071228C">
        <w:rPr>
          <w:noProof/>
        </w:rPr>
        <w:t xml:space="preserve"> w</w:t>
      </w:r>
      <w:r w:rsidR="00CC55C0">
        <w:rPr>
          <w:noProof/>
        </w:rPr>
        <w:t> </w:t>
      </w:r>
      <w:r w:rsidR="00CC55C0" w:rsidRPr="0071228C">
        <w:rPr>
          <w:noProof/>
        </w:rPr>
        <w:t>odn</w:t>
      </w:r>
      <w:r w:rsidRPr="0071228C">
        <w:rPr>
          <w:noProof/>
        </w:rPr>
        <w:t>iesieniu do zanieczyszczeń</w:t>
      </w:r>
      <w:r w:rsidR="00CC55C0" w:rsidRPr="0071228C">
        <w:rPr>
          <w:noProof/>
        </w:rPr>
        <w:t xml:space="preserve"> o</w:t>
      </w:r>
      <w:r w:rsidR="00CC55C0">
        <w:rPr>
          <w:noProof/>
        </w:rPr>
        <w:t> </w:t>
      </w:r>
      <w:r w:rsidR="00CC55C0" w:rsidRPr="0071228C">
        <w:rPr>
          <w:noProof/>
        </w:rPr>
        <w:t>sez</w:t>
      </w:r>
      <w:r w:rsidRPr="0071228C">
        <w:rPr>
          <w:noProof/>
        </w:rPr>
        <w:t>onowych wzorcach emisji (np. pestycydy/biocydy); 2) umożliwić włączenie mikrodrobin plastiku</w:t>
      </w:r>
      <w:r w:rsidR="00CC55C0" w:rsidRPr="0071228C">
        <w:rPr>
          <w:noProof/>
        </w:rPr>
        <w:t xml:space="preserve"> i</w:t>
      </w:r>
      <w:r w:rsidR="00CC55C0">
        <w:rPr>
          <w:noProof/>
        </w:rPr>
        <w:t> </w:t>
      </w:r>
      <w:r w:rsidR="00CC55C0" w:rsidRPr="0071228C">
        <w:rPr>
          <w:noProof/>
        </w:rPr>
        <w:t>wyb</w:t>
      </w:r>
      <w:r w:rsidRPr="0071228C">
        <w:rPr>
          <w:noProof/>
        </w:rPr>
        <w:t>ranych genów oporności na środki przeciwdrobnoustrojowe do kolejnej listy obserwacyjnej pod warunkiem określenia odpowiednich metod monitorowania</w:t>
      </w:r>
      <w:r w:rsidR="00CC55C0" w:rsidRPr="0071228C">
        <w:rPr>
          <w:noProof/>
        </w:rPr>
        <w:t xml:space="preserve"> i</w:t>
      </w:r>
      <w:r w:rsidR="00CC55C0">
        <w:rPr>
          <w:noProof/>
        </w:rPr>
        <w:t> </w:t>
      </w:r>
      <w:r w:rsidR="00CC55C0" w:rsidRPr="0071228C">
        <w:rPr>
          <w:noProof/>
        </w:rPr>
        <w:t>ana</w:t>
      </w:r>
      <w:r w:rsidRPr="0071228C">
        <w:rPr>
          <w:noProof/>
        </w:rPr>
        <w:t>lizy,</w:t>
      </w:r>
      <w:r w:rsidR="00CC55C0" w:rsidRPr="0071228C">
        <w:rPr>
          <w:noProof/>
        </w:rPr>
        <w:t xml:space="preserve"> z</w:t>
      </w:r>
      <w:r w:rsidR="00CC55C0">
        <w:rPr>
          <w:noProof/>
        </w:rPr>
        <w:t> </w:t>
      </w:r>
      <w:r w:rsidR="00CC55C0" w:rsidRPr="0071228C">
        <w:rPr>
          <w:noProof/>
        </w:rPr>
        <w:t>wyk</w:t>
      </w:r>
      <w:r w:rsidRPr="0071228C">
        <w:rPr>
          <w:noProof/>
        </w:rPr>
        <w:t>orzystaniem informacji otrzymanych od ECHA.</w:t>
      </w:r>
    </w:p>
    <w:p w14:paraId="22B08382" w14:textId="6EA849F7" w:rsidR="005C53E6" w:rsidRPr="0071228C" w:rsidRDefault="005C53E6" w:rsidP="005C53E6">
      <w:pPr>
        <w:rPr>
          <w:noProof/>
        </w:rPr>
      </w:pPr>
      <w:r w:rsidRPr="0071228C">
        <w:rPr>
          <w:noProof/>
        </w:rPr>
        <w:t xml:space="preserve">W </w:t>
      </w:r>
      <w:r w:rsidRPr="0071228C">
        <w:rPr>
          <w:b/>
          <w:noProof/>
        </w:rPr>
        <w:t xml:space="preserve">nowym </w:t>
      </w:r>
      <w:r w:rsidRPr="00CC55C0">
        <w:rPr>
          <w:b/>
          <w:noProof/>
        </w:rPr>
        <w:t>art.</w:t>
      </w:r>
      <w:r w:rsidR="00CC55C0" w:rsidRPr="00CC55C0">
        <w:rPr>
          <w:b/>
          <w:noProof/>
        </w:rPr>
        <w:t> </w:t>
      </w:r>
      <w:r w:rsidRPr="00CC55C0">
        <w:rPr>
          <w:b/>
          <w:noProof/>
        </w:rPr>
        <w:t>8</w:t>
      </w:r>
      <w:r w:rsidRPr="0071228C">
        <w:rPr>
          <w:b/>
          <w:noProof/>
        </w:rPr>
        <w:t>d</w:t>
      </w:r>
      <w:r w:rsidRPr="0071228C">
        <w:rPr>
          <w:noProof/>
        </w:rPr>
        <w:t xml:space="preserve"> nałożono na państwa członkowskie obowiązek ustalenia środowiskowych norm jakości dla substancji zanieczyszczających specyficznych dla dorzeczy wymienionych</w:t>
      </w:r>
      <w:r w:rsidR="00CC55C0" w:rsidRPr="0071228C">
        <w:rPr>
          <w:noProof/>
        </w:rPr>
        <w:t xml:space="preserve"> w</w:t>
      </w:r>
      <w:r w:rsidR="00CC55C0">
        <w:rPr>
          <w:noProof/>
        </w:rPr>
        <w:t> </w:t>
      </w:r>
      <w:r w:rsidR="00CC55C0" w:rsidRPr="0071228C">
        <w:rPr>
          <w:noProof/>
        </w:rPr>
        <w:t>czę</w:t>
      </w:r>
      <w:r w:rsidRPr="0071228C">
        <w:rPr>
          <w:noProof/>
        </w:rPr>
        <w:t>ści A nowego załącznika II. Zastępuje to obowiązek sformułowany obecnie</w:t>
      </w:r>
      <w:r w:rsidR="00CC55C0" w:rsidRPr="0071228C">
        <w:rPr>
          <w:noProof/>
        </w:rPr>
        <w:t xml:space="preserve"> w</w:t>
      </w:r>
      <w:r w:rsidR="00CC55C0">
        <w:rPr>
          <w:noProof/>
        </w:rPr>
        <w:t> </w:t>
      </w:r>
      <w:r w:rsidR="00CC55C0" w:rsidRPr="00CC55C0">
        <w:rPr>
          <w:noProof/>
        </w:rPr>
        <w:t>pkt </w:t>
      </w:r>
      <w:r w:rsidRPr="00CC55C0">
        <w:rPr>
          <w:noProof/>
        </w:rPr>
        <w:t>1</w:t>
      </w:r>
      <w:r w:rsidRPr="0071228C">
        <w:rPr>
          <w:noProof/>
        </w:rPr>
        <w:t>.2.6 załącznika V do ramowej dyrektywy wodnej zgodnie</w:t>
      </w:r>
      <w:r w:rsidR="00CC55C0" w:rsidRPr="0071228C">
        <w:rPr>
          <w:noProof/>
        </w:rPr>
        <w:t xml:space="preserve"> z</w:t>
      </w:r>
      <w:r w:rsidR="00CC55C0">
        <w:rPr>
          <w:noProof/>
        </w:rPr>
        <w:t> </w:t>
      </w:r>
      <w:r w:rsidR="00CC55C0" w:rsidRPr="0071228C">
        <w:rPr>
          <w:noProof/>
        </w:rPr>
        <w:t>pro</w:t>
      </w:r>
      <w:r w:rsidRPr="0071228C">
        <w:rPr>
          <w:noProof/>
        </w:rPr>
        <w:t>pozycją zapewnienia, aby zanieczyszczenia specyficzne dla dorzecza zostały objęte oceną stanu chemicznego jednolitych części wód powierzchniowych,</w:t>
      </w:r>
      <w:r w:rsidR="00CC55C0" w:rsidRPr="0071228C">
        <w:rPr>
          <w:noProof/>
        </w:rPr>
        <w:t xml:space="preserve"> a</w:t>
      </w:r>
      <w:r w:rsidR="00CC55C0">
        <w:rPr>
          <w:noProof/>
        </w:rPr>
        <w:t> </w:t>
      </w:r>
      <w:r w:rsidR="00CC55C0" w:rsidRPr="0071228C">
        <w:rPr>
          <w:noProof/>
        </w:rPr>
        <w:t>nie</w:t>
      </w:r>
      <w:r w:rsidRPr="0071228C">
        <w:rPr>
          <w:noProof/>
        </w:rPr>
        <w:t xml:space="preserve"> oceną stanu ekologicznego</w:t>
      </w:r>
      <w:r w:rsidRPr="00CC55C0">
        <w:rPr>
          <w:noProof/>
        </w:rPr>
        <w:t>.</w:t>
      </w:r>
      <w:r w:rsidR="00CC55C0" w:rsidRPr="00CC55C0">
        <w:rPr>
          <w:noProof/>
        </w:rPr>
        <w:t xml:space="preserve"> </w:t>
      </w:r>
      <w:r w:rsidRPr="00CC55C0">
        <w:rPr>
          <w:noProof/>
        </w:rPr>
        <w:t>C</w:t>
      </w:r>
      <w:r w:rsidRPr="0071228C">
        <w:rPr>
          <w:noProof/>
        </w:rPr>
        <w:t>elem tego przepisu jest również zapewnienie, aby</w:t>
      </w:r>
      <w:r w:rsidR="00CC55C0" w:rsidRPr="0071228C">
        <w:rPr>
          <w:noProof/>
        </w:rPr>
        <w:t xml:space="preserve"> w</w:t>
      </w:r>
      <w:r w:rsidR="00CC55C0">
        <w:rPr>
          <w:noProof/>
        </w:rPr>
        <w:t> </w:t>
      </w:r>
      <w:r w:rsidR="00CC55C0" w:rsidRPr="0071228C">
        <w:rPr>
          <w:noProof/>
        </w:rPr>
        <w:t>prz</w:t>
      </w:r>
      <w:r w:rsidRPr="0071228C">
        <w:rPr>
          <w:noProof/>
        </w:rPr>
        <w:t>ypadku ustanowienia ogólnounijnych środowiskowych norm jakości dla określonych substancji zanieczyszczających specyficznych dla dorzeczy, miały one pierwszeństwo przed środowiskowymi normami jakości ustanowionymi na poziomie krajowym. Ponadto zmiana ta zobowiązuje państwa członkowskie do informowania ECHA, aby umożliwić jej podawanie do wiadomości publicznej wszelkich zamiarów dotyczących umieszczenia zanieczyszczeń</w:t>
      </w:r>
      <w:r w:rsidR="00CC55C0" w:rsidRPr="0071228C">
        <w:rPr>
          <w:noProof/>
        </w:rPr>
        <w:t xml:space="preserve"> w</w:t>
      </w:r>
      <w:r w:rsidR="00CC55C0">
        <w:rPr>
          <w:noProof/>
        </w:rPr>
        <w:t> </w:t>
      </w:r>
      <w:r w:rsidR="00CC55C0" w:rsidRPr="0071228C">
        <w:rPr>
          <w:noProof/>
        </w:rPr>
        <w:t>wyk</w:t>
      </w:r>
      <w:r w:rsidRPr="0071228C">
        <w:rPr>
          <w:noProof/>
        </w:rPr>
        <w:t>azie lub ustanowienia środowiskowych norm jakości</w:t>
      </w:r>
      <w:r w:rsidR="00CC55C0" w:rsidRPr="0071228C">
        <w:rPr>
          <w:noProof/>
        </w:rPr>
        <w:t xml:space="preserve"> z</w:t>
      </w:r>
      <w:r w:rsidR="00CC55C0">
        <w:rPr>
          <w:noProof/>
        </w:rPr>
        <w:t> </w:t>
      </w:r>
      <w:r w:rsidR="00CC55C0" w:rsidRPr="0071228C">
        <w:rPr>
          <w:noProof/>
        </w:rPr>
        <w:t>myś</w:t>
      </w:r>
      <w:r w:rsidRPr="0071228C">
        <w:rPr>
          <w:noProof/>
        </w:rPr>
        <w:t>lą</w:t>
      </w:r>
      <w:r w:rsidR="00CC55C0" w:rsidRPr="0071228C">
        <w:rPr>
          <w:noProof/>
        </w:rPr>
        <w:t xml:space="preserve"> o</w:t>
      </w:r>
      <w:r w:rsidR="00CC55C0">
        <w:rPr>
          <w:noProof/>
        </w:rPr>
        <w:t> </w:t>
      </w:r>
      <w:r w:rsidR="00CC55C0" w:rsidRPr="0071228C">
        <w:rPr>
          <w:noProof/>
        </w:rPr>
        <w:t>zwi</w:t>
      </w:r>
      <w:r w:rsidRPr="0071228C">
        <w:rPr>
          <w:noProof/>
        </w:rPr>
        <w:t>ększeniu przejrzystości</w:t>
      </w:r>
      <w:r w:rsidR="00CC55C0" w:rsidRPr="0071228C">
        <w:rPr>
          <w:noProof/>
        </w:rPr>
        <w:t xml:space="preserve"> i</w:t>
      </w:r>
      <w:r w:rsidR="00CC55C0">
        <w:rPr>
          <w:noProof/>
        </w:rPr>
        <w:t> </w:t>
      </w:r>
      <w:r w:rsidR="00CC55C0" w:rsidRPr="0071228C">
        <w:rPr>
          <w:noProof/>
        </w:rPr>
        <w:t>syn</w:t>
      </w:r>
      <w:r w:rsidRPr="0071228C">
        <w:rPr>
          <w:noProof/>
        </w:rPr>
        <w:t>ergii.</w:t>
      </w:r>
    </w:p>
    <w:p w14:paraId="68B1DEA7" w14:textId="4370C249" w:rsidR="005C53E6" w:rsidRPr="00CC55C0" w:rsidRDefault="005C53E6" w:rsidP="00E60D4A">
      <w:pPr>
        <w:rPr>
          <w:noProof/>
        </w:rPr>
      </w:pPr>
      <w:r w:rsidRPr="0071228C">
        <w:rPr>
          <w:noProof/>
        </w:rPr>
        <w:t xml:space="preserve">Uchyla się </w:t>
      </w:r>
      <w:r w:rsidRPr="00CC55C0">
        <w:rPr>
          <w:b/>
          <w:noProof/>
        </w:rPr>
        <w:t>art.</w:t>
      </w:r>
      <w:r w:rsidR="00CC55C0" w:rsidRPr="00CC55C0">
        <w:rPr>
          <w:b/>
          <w:noProof/>
        </w:rPr>
        <w:t> </w:t>
      </w:r>
      <w:r w:rsidRPr="00CC55C0">
        <w:rPr>
          <w:b/>
          <w:noProof/>
        </w:rPr>
        <w:t>1</w:t>
      </w:r>
      <w:r w:rsidRPr="0071228C">
        <w:rPr>
          <w:b/>
          <w:noProof/>
        </w:rPr>
        <w:t>0</w:t>
      </w:r>
      <w:r w:rsidRPr="0071228C">
        <w:rPr>
          <w:noProof/>
        </w:rPr>
        <w:t>,</w:t>
      </w:r>
      <w:r w:rsidR="00CC55C0" w:rsidRPr="0071228C">
        <w:rPr>
          <w:noProof/>
        </w:rPr>
        <w:t xml:space="preserve"> w</w:t>
      </w:r>
      <w:r w:rsidR="00CC55C0">
        <w:rPr>
          <w:noProof/>
        </w:rPr>
        <w:t> </w:t>
      </w:r>
      <w:r w:rsidR="00CC55C0" w:rsidRPr="0071228C">
        <w:rPr>
          <w:noProof/>
        </w:rPr>
        <w:t>któ</w:t>
      </w:r>
      <w:r w:rsidRPr="0071228C">
        <w:rPr>
          <w:noProof/>
        </w:rPr>
        <w:t>rym wyjaśniono, że załącznik X do ramowej dyrektywy wodnej należy zastąpić tekstem znajdującym się</w:t>
      </w:r>
      <w:r w:rsidR="00CC55C0" w:rsidRPr="0071228C">
        <w:rPr>
          <w:noProof/>
        </w:rPr>
        <w:t xml:space="preserve"> w</w:t>
      </w:r>
      <w:r w:rsidR="00CC55C0">
        <w:rPr>
          <w:noProof/>
        </w:rPr>
        <w:t> </w:t>
      </w:r>
      <w:r w:rsidR="00CC55C0" w:rsidRPr="0071228C">
        <w:rPr>
          <w:noProof/>
        </w:rPr>
        <w:t>zał</w:t>
      </w:r>
      <w:r w:rsidRPr="0071228C">
        <w:rPr>
          <w:noProof/>
        </w:rPr>
        <w:t>ączniku II do dyrektywy 2008/105/WE, ponieważ załącznik II do dyrektywy 2008/105/WE nie istniał ora</w:t>
      </w:r>
      <w:r w:rsidRPr="00CC55C0">
        <w:rPr>
          <w:noProof/>
        </w:rPr>
        <w:t>z</w:t>
      </w:r>
      <w:r w:rsidR="00CC55C0" w:rsidRPr="00CC55C0">
        <w:rPr>
          <w:noProof/>
        </w:rPr>
        <w:t xml:space="preserve"> z</w:t>
      </w:r>
      <w:r w:rsidR="00CC55C0">
        <w:rPr>
          <w:noProof/>
        </w:rPr>
        <w:t> </w:t>
      </w:r>
      <w:r w:rsidR="00CC55C0" w:rsidRPr="0071228C">
        <w:rPr>
          <w:noProof/>
        </w:rPr>
        <w:t>uwa</w:t>
      </w:r>
      <w:r w:rsidRPr="0071228C">
        <w:rPr>
          <w:noProof/>
        </w:rPr>
        <w:t>gi na fakt, że załącznik X uchyla się</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włą</w:t>
      </w:r>
      <w:r w:rsidRPr="0071228C">
        <w:rPr>
          <w:noProof/>
        </w:rPr>
        <w:t>czeniem</w:t>
      </w:r>
      <w:r w:rsidR="00CC55C0" w:rsidRPr="0071228C">
        <w:rPr>
          <w:noProof/>
        </w:rPr>
        <w:t xml:space="preserve"> w</w:t>
      </w:r>
      <w:r w:rsidR="00CC55C0">
        <w:rPr>
          <w:noProof/>
        </w:rPr>
        <w:t> </w:t>
      </w:r>
      <w:r w:rsidR="00CC55C0" w:rsidRPr="0071228C">
        <w:rPr>
          <w:noProof/>
        </w:rPr>
        <w:t>zak</w:t>
      </w:r>
      <w:r w:rsidRPr="0071228C">
        <w:rPr>
          <w:noProof/>
        </w:rPr>
        <w:t>res dyrektywy 2008/105/WE procedury przyjmowania aktów delegowanych</w:t>
      </w:r>
      <w:r w:rsidR="00CC55C0" w:rsidRPr="0071228C">
        <w:rPr>
          <w:noProof/>
        </w:rPr>
        <w:t xml:space="preserve"> w</w:t>
      </w:r>
      <w:r w:rsidR="00CC55C0">
        <w:rPr>
          <w:noProof/>
        </w:rPr>
        <w:t> </w:t>
      </w:r>
      <w:r w:rsidR="00CC55C0" w:rsidRPr="0071228C">
        <w:rPr>
          <w:noProof/>
        </w:rPr>
        <w:t>cel</w:t>
      </w:r>
      <w:r w:rsidRPr="0071228C">
        <w:rPr>
          <w:noProof/>
        </w:rPr>
        <w:t>u dostosowania wykazu substancji priorytetowych</w:t>
      </w:r>
      <w:r w:rsidR="00CC55C0" w:rsidRPr="0071228C">
        <w:rPr>
          <w:noProof/>
        </w:rPr>
        <w:t xml:space="preserve"> i</w:t>
      </w:r>
      <w:r w:rsidR="00CC55C0">
        <w:rPr>
          <w:noProof/>
        </w:rPr>
        <w:t> </w:t>
      </w:r>
      <w:r w:rsidR="00CC55C0" w:rsidRPr="0071228C">
        <w:rPr>
          <w:noProof/>
        </w:rPr>
        <w:t>ust</w:t>
      </w:r>
      <w:r w:rsidRPr="0071228C">
        <w:rPr>
          <w:noProof/>
        </w:rPr>
        <w:t>anowienia odpowiednich środowiskowych norm jakości</w:t>
      </w:r>
      <w:r w:rsidRPr="00CC55C0">
        <w:rPr>
          <w:noProof/>
        </w:rPr>
        <w:t>.</w:t>
      </w:r>
      <w:r w:rsidR="00CC55C0" w:rsidRPr="00CC55C0">
        <w:rPr>
          <w:noProof/>
        </w:rPr>
        <w:t xml:space="preserve"> </w:t>
      </w:r>
    </w:p>
    <w:p w14:paraId="0AB79100" w14:textId="2F8096FA" w:rsidR="005C53E6" w:rsidRPr="00CC55C0" w:rsidRDefault="005C53E6" w:rsidP="005C53E6">
      <w:pPr>
        <w:rPr>
          <w:noProof/>
        </w:rPr>
      </w:pPr>
      <w:r w:rsidRPr="0071228C">
        <w:rPr>
          <w:noProof/>
        </w:rPr>
        <w:t xml:space="preserve">W </w:t>
      </w:r>
      <w:r w:rsidRPr="0071228C">
        <w:rPr>
          <w:b/>
          <w:noProof/>
        </w:rPr>
        <w:t>tytule załącznika I</w:t>
      </w:r>
      <w:r w:rsidRPr="0071228C">
        <w:rPr>
          <w:noProof/>
        </w:rPr>
        <w:t xml:space="preserve"> wprowadza się zmiany</w:t>
      </w:r>
      <w:r w:rsidR="00CC55C0" w:rsidRPr="0071228C">
        <w:rPr>
          <w:noProof/>
        </w:rPr>
        <w:t xml:space="preserve"> w</w:t>
      </w:r>
      <w:r w:rsidR="00CC55C0">
        <w:rPr>
          <w:noProof/>
        </w:rPr>
        <w:t> </w:t>
      </w:r>
      <w:r w:rsidR="00CC55C0" w:rsidRPr="0071228C">
        <w:rPr>
          <w:noProof/>
        </w:rPr>
        <w:t>cel</w:t>
      </w:r>
      <w:r w:rsidRPr="0071228C">
        <w:rPr>
          <w:noProof/>
        </w:rPr>
        <w:t>u usunięcia pojęcia „inne substancje zanieczyszczające”, które stało się nieaktualne, ponieważ odnosiło się do substancji, które były objęte innymi przepisami przed przyjęciem dyrektywy</w:t>
      </w:r>
      <w:r w:rsidR="00CC55C0" w:rsidRPr="0071228C">
        <w:rPr>
          <w:noProof/>
        </w:rPr>
        <w:t xml:space="preserve"> w</w:t>
      </w:r>
      <w:r w:rsidR="00CC55C0">
        <w:rPr>
          <w:noProof/>
        </w:rPr>
        <w:t> </w:t>
      </w:r>
      <w:r w:rsidR="00CC55C0" w:rsidRPr="0071228C">
        <w:rPr>
          <w:noProof/>
        </w:rPr>
        <w:t>spr</w:t>
      </w:r>
      <w:r w:rsidRPr="0071228C">
        <w:rPr>
          <w:noProof/>
        </w:rPr>
        <w:t>awie środowiskowych norm jakości; nie istnieje już potrzeba rozróżniania między substancjami priorytetowymi a „innymi substancjami zanieczyszczającymi”. Część A, która zawiera wykaz substancji</w:t>
      </w:r>
      <w:r w:rsidR="00CC55C0" w:rsidRPr="0071228C">
        <w:rPr>
          <w:noProof/>
        </w:rPr>
        <w:t xml:space="preserve"> i</w:t>
      </w:r>
      <w:r w:rsidR="00CC55C0">
        <w:rPr>
          <w:noProof/>
        </w:rPr>
        <w:t> </w:t>
      </w:r>
      <w:r w:rsidR="00CC55C0" w:rsidRPr="0071228C">
        <w:rPr>
          <w:noProof/>
        </w:rPr>
        <w:t>zwi</w:t>
      </w:r>
      <w:r w:rsidRPr="0071228C">
        <w:rPr>
          <w:noProof/>
        </w:rPr>
        <w:t>ązanych</w:t>
      </w:r>
      <w:r w:rsidR="00CC55C0" w:rsidRPr="0071228C">
        <w:rPr>
          <w:noProof/>
        </w:rPr>
        <w:t xml:space="preserve"> z</w:t>
      </w:r>
      <w:r w:rsidR="00CC55C0">
        <w:rPr>
          <w:noProof/>
        </w:rPr>
        <w:t> </w:t>
      </w:r>
      <w:r w:rsidR="00CC55C0" w:rsidRPr="0071228C">
        <w:rPr>
          <w:noProof/>
        </w:rPr>
        <w:t>nim</w:t>
      </w:r>
      <w:r w:rsidRPr="0071228C">
        <w:rPr>
          <w:noProof/>
        </w:rPr>
        <w:t>i środowiskowych norm jakości, zastępuje się nowym załącznikiem zawierającym wykaz substancji priorytetowych, do którego dodano kolejne 23 substancje: produkty farmaceutyczne, substancje przemysłowe, pestycydy</w:t>
      </w:r>
      <w:r w:rsidR="00CC55C0" w:rsidRPr="0071228C">
        <w:rPr>
          <w:noProof/>
        </w:rPr>
        <w:t xml:space="preserve"> i</w:t>
      </w:r>
      <w:r w:rsidR="00CC55C0">
        <w:rPr>
          <w:noProof/>
        </w:rPr>
        <w:t> </w:t>
      </w:r>
      <w:r w:rsidR="00CC55C0" w:rsidRPr="0071228C">
        <w:rPr>
          <w:noProof/>
        </w:rPr>
        <w:t>met</w:t>
      </w:r>
      <w:r w:rsidRPr="0071228C">
        <w:rPr>
          <w:noProof/>
        </w:rPr>
        <w:t>ale</w:t>
      </w:r>
      <w:r w:rsidR="00CC55C0" w:rsidRPr="0071228C">
        <w:rPr>
          <w:noProof/>
        </w:rPr>
        <w:t>. W</w:t>
      </w:r>
      <w:r w:rsidR="00CC55C0">
        <w:rPr>
          <w:noProof/>
        </w:rPr>
        <w:t> </w:t>
      </w:r>
      <w:r w:rsidR="00CC55C0" w:rsidRPr="0071228C">
        <w:rPr>
          <w:noProof/>
        </w:rPr>
        <w:t>zał</w:t>
      </w:r>
      <w:r w:rsidRPr="0071228C">
        <w:rPr>
          <w:noProof/>
        </w:rPr>
        <w:t>ączniku wskazano również substancje niebezpieczne, wszechobecne PBT,</w:t>
      </w:r>
      <w:r w:rsidR="00CC55C0" w:rsidRPr="0071228C">
        <w:rPr>
          <w:noProof/>
        </w:rPr>
        <w:t xml:space="preserve"> a</w:t>
      </w:r>
      <w:r w:rsidR="00CC55C0">
        <w:rPr>
          <w:noProof/>
        </w:rPr>
        <w:t> </w:t>
      </w:r>
      <w:r w:rsidR="00CC55C0" w:rsidRPr="0071228C">
        <w:rPr>
          <w:noProof/>
        </w:rPr>
        <w:t>tak</w:t>
      </w:r>
      <w:r w:rsidRPr="0071228C">
        <w:rPr>
          <w:noProof/>
        </w:rPr>
        <w:t>że substancje, które wymagają oceny długoterminowych trendów</w:t>
      </w:r>
      <w:r w:rsidRPr="00CC55C0">
        <w:rPr>
          <w:noProof/>
        </w:rPr>
        <w:t>.</w:t>
      </w:r>
      <w:r w:rsidR="00CC55C0" w:rsidRPr="00CC55C0">
        <w:rPr>
          <w:noProof/>
        </w:rPr>
        <w:t xml:space="preserve"> </w:t>
      </w:r>
    </w:p>
    <w:p w14:paraId="3F4268CB" w14:textId="5AB6B04B" w:rsidR="005C53E6" w:rsidRPr="0071228C" w:rsidRDefault="005C53E6" w:rsidP="005C53E6">
      <w:pPr>
        <w:rPr>
          <w:noProof/>
        </w:rPr>
      </w:pPr>
      <w:r w:rsidRPr="0071228C">
        <w:rPr>
          <w:noProof/>
        </w:rPr>
        <w:t xml:space="preserve">Dodaje się </w:t>
      </w:r>
      <w:r w:rsidRPr="0071228C">
        <w:rPr>
          <w:b/>
          <w:noProof/>
        </w:rPr>
        <w:t>nowy załącznik II</w:t>
      </w:r>
      <w:r w:rsidRPr="0071228C">
        <w:rPr>
          <w:noProof/>
        </w:rPr>
        <w:t xml:space="preserve"> określający</w:t>
      </w:r>
      <w:r w:rsidR="00CC55C0" w:rsidRPr="0071228C">
        <w:rPr>
          <w:noProof/>
        </w:rPr>
        <w:t xml:space="preserve"> w</w:t>
      </w:r>
      <w:r w:rsidR="00CC55C0">
        <w:rPr>
          <w:noProof/>
        </w:rPr>
        <w:t> </w:t>
      </w:r>
      <w:r w:rsidR="00CC55C0" w:rsidRPr="0071228C">
        <w:rPr>
          <w:noProof/>
        </w:rPr>
        <w:t>czę</w:t>
      </w:r>
      <w:r w:rsidRPr="0071228C">
        <w:rPr>
          <w:noProof/>
        </w:rPr>
        <w:t>ści A wskaźnikowy wykaz substancji zanieczyszczających specyficznych dla dorzeczy,</w:t>
      </w:r>
      <w:r w:rsidR="00CC55C0" w:rsidRPr="0071228C">
        <w:rPr>
          <w:noProof/>
        </w:rPr>
        <w:t xml:space="preserve"> w</w:t>
      </w:r>
      <w:r w:rsidR="00CC55C0">
        <w:rPr>
          <w:noProof/>
        </w:rPr>
        <w:t> </w:t>
      </w:r>
      <w:r w:rsidR="00CC55C0" w:rsidRPr="0071228C">
        <w:rPr>
          <w:noProof/>
        </w:rPr>
        <w:t>odn</w:t>
      </w:r>
      <w:r w:rsidRPr="0071228C">
        <w:rPr>
          <w:noProof/>
        </w:rPr>
        <w:t>iesieniu do których państwa członkowskie są zobowiązane do rozważenia czy należy ustalić środowiskowe normy jakości</w:t>
      </w:r>
      <w:r w:rsidR="00CC55C0" w:rsidRPr="0071228C">
        <w:rPr>
          <w:noProof/>
        </w:rPr>
        <w:t xml:space="preserve"> i</w:t>
      </w:r>
      <w:r w:rsidR="00CC55C0">
        <w:rPr>
          <w:noProof/>
        </w:rPr>
        <w:t> </w:t>
      </w:r>
      <w:r w:rsidR="00CC55C0" w:rsidRPr="0071228C">
        <w:rPr>
          <w:noProof/>
        </w:rPr>
        <w:t>sto</w:t>
      </w:r>
      <w:r w:rsidRPr="0071228C">
        <w:rPr>
          <w:noProof/>
        </w:rPr>
        <w:t>sować je</w:t>
      </w:r>
      <w:r w:rsidR="00CC55C0" w:rsidRPr="0071228C">
        <w:rPr>
          <w:noProof/>
        </w:rPr>
        <w:t xml:space="preserve"> w</w:t>
      </w:r>
      <w:r w:rsidR="00CC55C0">
        <w:rPr>
          <w:noProof/>
        </w:rPr>
        <w:t> </w:t>
      </w:r>
      <w:r w:rsidR="00CC55C0" w:rsidRPr="0071228C">
        <w:rPr>
          <w:noProof/>
        </w:rPr>
        <w:t>prz</w:t>
      </w:r>
      <w:r w:rsidRPr="0071228C">
        <w:rPr>
          <w:noProof/>
        </w:rPr>
        <w:t>ypadku, gdy substancje te stanowią zagrożenie. Część B zawiera ogólne zasady</w:t>
      </w:r>
      <w:r w:rsidR="00CC55C0" w:rsidRPr="0071228C">
        <w:rPr>
          <w:noProof/>
        </w:rPr>
        <w:t xml:space="preserve"> i</w:t>
      </w:r>
      <w:r w:rsidR="00CC55C0">
        <w:rPr>
          <w:noProof/>
        </w:rPr>
        <w:t> </w:t>
      </w:r>
      <w:r w:rsidR="00CC55C0" w:rsidRPr="0071228C">
        <w:rPr>
          <w:noProof/>
        </w:rPr>
        <w:t>odn</w:t>
      </w:r>
      <w:r w:rsidRPr="0071228C">
        <w:rPr>
          <w:noProof/>
        </w:rPr>
        <w:t>osi się do wytycznych</w:t>
      </w:r>
      <w:r w:rsidR="00CC55C0" w:rsidRPr="0071228C">
        <w:rPr>
          <w:noProof/>
        </w:rPr>
        <w:t xml:space="preserve"> w</w:t>
      </w:r>
      <w:r w:rsidR="00CC55C0">
        <w:rPr>
          <w:noProof/>
        </w:rPr>
        <w:t> </w:t>
      </w:r>
      <w:r w:rsidR="00CC55C0" w:rsidRPr="0071228C">
        <w:rPr>
          <w:noProof/>
        </w:rPr>
        <w:t>tym</w:t>
      </w:r>
      <w:r w:rsidRPr="0071228C">
        <w:rPr>
          <w:noProof/>
        </w:rPr>
        <w:t xml:space="preserve"> zakresie, natomiast część C zawiera repozytorium zharmonizowanych środowiskowych norm jakości dotyczących substancji zanieczyszczających specyficznych dla dorzeczy. Te ostatnie zostaną dostosowane</w:t>
      </w:r>
      <w:r w:rsidR="00CC55C0" w:rsidRPr="0071228C">
        <w:rPr>
          <w:noProof/>
        </w:rPr>
        <w:t xml:space="preserve"> w</w:t>
      </w:r>
      <w:r w:rsidR="00CC55C0">
        <w:rPr>
          <w:noProof/>
        </w:rPr>
        <w:t> </w:t>
      </w:r>
      <w:r w:rsidR="00CC55C0" w:rsidRPr="0071228C">
        <w:rPr>
          <w:noProof/>
        </w:rPr>
        <w:t>dro</w:t>
      </w:r>
      <w:r w:rsidRPr="0071228C">
        <w:rPr>
          <w:noProof/>
        </w:rPr>
        <w:t>dze przyszłych aktów delegowanych,</w:t>
      </w:r>
      <w:r w:rsidR="00CC55C0" w:rsidRPr="0071228C">
        <w:rPr>
          <w:noProof/>
        </w:rPr>
        <w:t xml:space="preserve"> w</w:t>
      </w:r>
      <w:r w:rsidR="00CC55C0">
        <w:rPr>
          <w:noProof/>
        </w:rPr>
        <w:t> </w:t>
      </w:r>
      <w:r w:rsidR="00CC55C0" w:rsidRPr="0071228C">
        <w:rPr>
          <w:noProof/>
        </w:rPr>
        <w:t>ram</w:t>
      </w:r>
      <w:r w:rsidRPr="0071228C">
        <w:rPr>
          <w:noProof/>
        </w:rPr>
        <w:t>ach których Komisja ustanowi zharmonizowane środowiskowe normy jakości dla określonych innych substancji zanieczyszczających specyficznych dla dorzeczy,</w:t>
      </w:r>
      <w:r w:rsidR="00CC55C0" w:rsidRPr="0071228C">
        <w:rPr>
          <w:noProof/>
        </w:rPr>
        <w:t xml:space="preserve"> w</w:t>
      </w:r>
      <w:r w:rsidR="00CC55C0">
        <w:rPr>
          <w:noProof/>
        </w:rPr>
        <w:t> </w:t>
      </w:r>
      <w:r w:rsidR="00CC55C0" w:rsidRPr="0071228C">
        <w:rPr>
          <w:noProof/>
        </w:rPr>
        <w:t>prz</w:t>
      </w:r>
      <w:r w:rsidRPr="0071228C">
        <w:rPr>
          <w:noProof/>
        </w:rPr>
        <w:t>ypadku gdy okaże się to konieczne</w:t>
      </w:r>
      <w:r w:rsidR="00CC55C0" w:rsidRPr="0071228C">
        <w:rPr>
          <w:noProof/>
        </w:rPr>
        <w:t xml:space="preserve"> w</w:t>
      </w:r>
      <w:r w:rsidR="00CC55C0">
        <w:rPr>
          <w:noProof/>
        </w:rPr>
        <w:t> </w:t>
      </w:r>
      <w:r w:rsidR="00CC55C0" w:rsidRPr="0071228C">
        <w:rPr>
          <w:noProof/>
        </w:rPr>
        <w:t>cel</w:t>
      </w:r>
      <w:r w:rsidRPr="0071228C">
        <w:rPr>
          <w:noProof/>
        </w:rPr>
        <w:t>u zapewnienia wystarczającej</w:t>
      </w:r>
      <w:r w:rsidR="00CC55C0" w:rsidRPr="0071228C">
        <w:rPr>
          <w:noProof/>
        </w:rPr>
        <w:t xml:space="preserve"> i</w:t>
      </w:r>
      <w:r w:rsidR="00CC55C0">
        <w:rPr>
          <w:noProof/>
        </w:rPr>
        <w:t> </w:t>
      </w:r>
      <w:r w:rsidR="00CC55C0" w:rsidRPr="0071228C">
        <w:rPr>
          <w:noProof/>
        </w:rPr>
        <w:t>zha</w:t>
      </w:r>
      <w:r w:rsidRPr="0071228C">
        <w:rPr>
          <w:noProof/>
        </w:rPr>
        <w:t xml:space="preserve">rmonizowanej ochrony środowiska, nawet dla zanieczyszczeń, które nie stanowią lub jeszcze nie stanowią problemu ogólnounijnego. </w:t>
      </w:r>
    </w:p>
    <w:p w14:paraId="71BB0BA2" w14:textId="77777777" w:rsidR="0047629D" w:rsidRPr="0071228C" w:rsidRDefault="0047629D" w:rsidP="005C4F36">
      <w:pPr>
        <w:spacing w:before="0" w:after="0"/>
        <w:jc w:val="left"/>
        <w:rPr>
          <w:noProof/>
        </w:rPr>
        <w:sectPr w:rsidR="0047629D" w:rsidRPr="0071228C" w:rsidSect="00E25B75">
          <w:footerReference w:type="default" r:id="rId13"/>
          <w:footerReference w:type="first" r:id="rId14"/>
          <w:footnotePr>
            <w:numRestart w:val="eachSect"/>
          </w:footnotePr>
          <w:pgSz w:w="11907" w:h="16839"/>
          <w:pgMar w:top="1134" w:right="1417" w:bottom="1134" w:left="1417" w:header="709" w:footer="709" w:gutter="0"/>
          <w:cols w:space="708"/>
          <w:docGrid w:linePitch="360"/>
        </w:sectPr>
      </w:pPr>
    </w:p>
    <w:p w14:paraId="2FBA4887" w14:textId="3566FA03" w:rsidR="001A123C" w:rsidRPr="0071228C" w:rsidRDefault="0095192D" w:rsidP="0095192D">
      <w:pPr>
        <w:pStyle w:val="Rfrenceinterinstitutionnelle"/>
        <w:rPr>
          <w:noProof/>
        </w:rPr>
      </w:pPr>
      <w:r w:rsidRPr="0095192D">
        <w:t>2022/0344 (COD)</w:t>
      </w:r>
    </w:p>
    <w:p w14:paraId="187D347E" w14:textId="7FFB6F9E" w:rsidR="0047629D" w:rsidRPr="0071228C" w:rsidRDefault="008F0CBC" w:rsidP="008F0CBC">
      <w:pPr>
        <w:pStyle w:val="Statut"/>
        <w:rPr>
          <w:noProof/>
        </w:rPr>
      </w:pPr>
      <w:r w:rsidRPr="008F0CBC">
        <w:rPr>
          <w:noProof/>
        </w:rPr>
        <w:t>Wniosek</w:t>
      </w:r>
    </w:p>
    <w:p w14:paraId="16538A43" w14:textId="571A6A59" w:rsidR="0047629D" w:rsidRPr="0071228C" w:rsidRDefault="008F0CBC" w:rsidP="008F0CBC">
      <w:pPr>
        <w:pStyle w:val="Typedudocument"/>
        <w:rPr>
          <w:noProof/>
        </w:rPr>
      </w:pPr>
      <w:r w:rsidRPr="008F0CBC">
        <w:rPr>
          <w:noProof/>
        </w:rPr>
        <w:t>DYREKTYWA PARLAMENTU EUROPEJSKIEGO I RADY</w:t>
      </w:r>
    </w:p>
    <w:p w14:paraId="1DEBE091" w14:textId="119D333D" w:rsidR="0047629D" w:rsidRPr="0071228C" w:rsidRDefault="008F0CBC" w:rsidP="008F0CBC">
      <w:pPr>
        <w:pStyle w:val="Titreobjet"/>
        <w:rPr>
          <w:noProof/>
        </w:rPr>
      </w:pPr>
      <w:r w:rsidRPr="008F0CBC">
        <w:rPr>
          <w:noProof/>
        </w:rPr>
        <w:t>zmieniająca dyrektywę 2000/60/WE ustanawiającą ramy wspólnotowego działania w dziedzinie polityki wodnej, dyrektywę 2006/118/WE w sprawie ochrony wód podziemnych przed zanieczyszczeniem i pogorszeniem ich stanu oraz dyrektywę 2008/105/WE w sprawie środowiskowych norm jakości w dziedzinie polityki wodnej</w:t>
      </w:r>
    </w:p>
    <w:p w14:paraId="7D12E54D" w14:textId="1F744C00" w:rsidR="0047629D" w:rsidRPr="0071228C" w:rsidRDefault="008F0CBC" w:rsidP="008F0CBC">
      <w:pPr>
        <w:pStyle w:val="IntrtEEE"/>
        <w:rPr>
          <w:noProof/>
        </w:rPr>
      </w:pPr>
      <w:r w:rsidRPr="008F0CBC">
        <w:rPr>
          <w:noProof/>
        </w:rPr>
        <w:t>(Tekst mający znaczenie dla EOG)</w:t>
      </w:r>
    </w:p>
    <w:p w14:paraId="58F3B7E0" w14:textId="77777777" w:rsidR="0047629D" w:rsidRPr="0071228C" w:rsidRDefault="0047629D" w:rsidP="005C4F36">
      <w:pPr>
        <w:pStyle w:val="Institutionquiagit"/>
        <w:rPr>
          <w:noProof/>
        </w:rPr>
      </w:pPr>
      <w:r w:rsidRPr="0071228C">
        <w:rPr>
          <w:noProof/>
        </w:rPr>
        <w:t>PARLAMENT EUROPEJSKI I RADA UNII EUROPEJSKIEJ,</w:t>
      </w:r>
    </w:p>
    <w:p w14:paraId="18E204CA" w14:textId="09B3C3BF" w:rsidR="0047629D" w:rsidRPr="0071228C" w:rsidRDefault="0047629D" w:rsidP="005C4F36">
      <w:pPr>
        <w:rPr>
          <w:noProof/>
        </w:rPr>
      </w:pPr>
      <w:r w:rsidRPr="0071228C">
        <w:rPr>
          <w:noProof/>
        </w:rPr>
        <w:t>uwzględniając Traktat</w:t>
      </w:r>
      <w:r w:rsidR="00CC55C0" w:rsidRPr="0071228C">
        <w:rPr>
          <w:noProof/>
        </w:rPr>
        <w:t xml:space="preserve"> o</w:t>
      </w:r>
      <w:r w:rsidR="00CC55C0">
        <w:rPr>
          <w:noProof/>
        </w:rPr>
        <w:t> </w:t>
      </w:r>
      <w:r w:rsidR="00CC55C0" w:rsidRPr="0071228C">
        <w:rPr>
          <w:noProof/>
        </w:rPr>
        <w:t>fun</w:t>
      </w:r>
      <w:r w:rsidRPr="0071228C">
        <w:rPr>
          <w:noProof/>
        </w:rPr>
        <w:t>kcjonowaniu Unii Europejskiej,</w:t>
      </w:r>
      <w:r w:rsidR="00CC55C0" w:rsidRPr="0071228C">
        <w:rPr>
          <w:noProof/>
        </w:rPr>
        <w:t xml:space="preserve"> w</w:t>
      </w:r>
      <w:r w:rsidR="00CC55C0">
        <w:rPr>
          <w:noProof/>
        </w:rPr>
        <w:t> </w:t>
      </w:r>
      <w:r w:rsidR="00CC55C0" w:rsidRPr="0071228C">
        <w:rPr>
          <w:noProof/>
        </w:rPr>
        <w:t>szc</w:t>
      </w:r>
      <w:r w:rsidRPr="0071228C">
        <w:rPr>
          <w:noProof/>
        </w:rPr>
        <w:t>zególności jego art. 192 ust. 1,</w:t>
      </w:r>
    </w:p>
    <w:p w14:paraId="31DE68E3" w14:textId="77777777" w:rsidR="0047629D" w:rsidRPr="0071228C" w:rsidRDefault="0047629D" w:rsidP="005C4F36">
      <w:pPr>
        <w:rPr>
          <w:noProof/>
        </w:rPr>
      </w:pPr>
      <w:r w:rsidRPr="0071228C">
        <w:rPr>
          <w:noProof/>
        </w:rPr>
        <w:t>uwzględniając wniosek Komisji Europejskiej,</w:t>
      </w:r>
    </w:p>
    <w:p w14:paraId="3C6AAC73" w14:textId="77777777" w:rsidR="0047629D" w:rsidRPr="0071228C" w:rsidRDefault="0047629D" w:rsidP="005C4F36">
      <w:pPr>
        <w:rPr>
          <w:noProof/>
        </w:rPr>
      </w:pPr>
      <w:r w:rsidRPr="0071228C">
        <w:rPr>
          <w:noProof/>
        </w:rPr>
        <w:t>po przekazaniu projektu aktu ustawodawczego parlamentom narodowym,</w:t>
      </w:r>
    </w:p>
    <w:p w14:paraId="63668567" w14:textId="77777777" w:rsidR="0047629D" w:rsidRPr="0071228C" w:rsidRDefault="0047629D" w:rsidP="005C4F36">
      <w:pPr>
        <w:rPr>
          <w:noProof/>
        </w:rPr>
      </w:pPr>
      <w:r w:rsidRPr="0071228C">
        <w:rPr>
          <w:noProof/>
        </w:rPr>
        <w:t>uwzględniając opinię Europejskiego Komitetu Ekonomiczno-Społecznego</w:t>
      </w:r>
      <w:r w:rsidRPr="0071228C">
        <w:rPr>
          <w:rStyle w:val="FootnoteReference"/>
          <w:noProof/>
        </w:rPr>
        <w:footnoteReference w:id="34"/>
      </w:r>
      <w:r w:rsidRPr="0071228C">
        <w:rPr>
          <w:noProof/>
        </w:rPr>
        <w:t xml:space="preserve">, </w:t>
      </w:r>
    </w:p>
    <w:p w14:paraId="6F18A126" w14:textId="77777777" w:rsidR="0047629D" w:rsidRPr="0071228C" w:rsidRDefault="0047629D" w:rsidP="005C4F36">
      <w:pPr>
        <w:rPr>
          <w:noProof/>
        </w:rPr>
      </w:pPr>
      <w:r w:rsidRPr="0071228C">
        <w:rPr>
          <w:noProof/>
        </w:rPr>
        <w:t>uwzględniając opinię Komitetu Regionów</w:t>
      </w:r>
      <w:r w:rsidRPr="0071228C">
        <w:rPr>
          <w:rStyle w:val="FootnoteReference"/>
          <w:noProof/>
        </w:rPr>
        <w:footnoteReference w:id="35"/>
      </w:r>
      <w:r w:rsidRPr="0071228C">
        <w:rPr>
          <w:noProof/>
        </w:rPr>
        <w:t>,</w:t>
      </w:r>
    </w:p>
    <w:p w14:paraId="1EEB1BC1" w14:textId="77777777" w:rsidR="0047629D" w:rsidRPr="0071228C" w:rsidRDefault="0047629D" w:rsidP="005C4F36">
      <w:pPr>
        <w:rPr>
          <w:noProof/>
        </w:rPr>
      </w:pPr>
      <w:r w:rsidRPr="0071228C">
        <w:rPr>
          <w:noProof/>
        </w:rPr>
        <w:t>stanowiąc zgodnie ze zwykłą procedurą ustawodawczą,</w:t>
      </w:r>
    </w:p>
    <w:p w14:paraId="3C9472C9" w14:textId="77777777" w:rsidR="0047629D" w:rsidRPr="0071228C" w:rsidRDefault="0047629D" w:rsidP="005C4F36">
      <w:pPr>
        <w:rPr>
          <w:noProof/>
        </w:rPr>
      </w:pPr>
      <w:r w:rsidRPr="0071228C">
        <w:rPr>
          <w:noProof/>
        </w:rPr>
        <w:t>a także mając na uwadze, co następuje:</w:t>
      </w:r>
    </w:p>
    <w:p w14:paraId="26046149" w14:textId="10EBD970" w:rsidR="009C6F11" w:rsidRPr="0071228C" w:rsidRDefault="00B000C3" w:rsidP="00B000C3">
      <w:pPr>
        <w:pStyle w:val="ManualConsidrant"/>
        <w:rPr>
          <w:noProof/>
        </w:rPr>
      </w:pPr>
      <w:r w:rsidRPr="00B000C3">
        <w:t>(1)</w:t>
      </w:r>
      <w:r w:rsidRPr="00B000C3">
        <w:tab/>
      </w:r>
      <w:r w:rsidR="009C6F11" w:rsidRPr="0071228C">
        <w:rPr>
          <w:noProof/>
        </w:rPr>
        <w:t>Zanieczyszczenie chemiczne wód powierzchniowych</w:t>
      </w:r>
      <w:r w:rsidR="00CC55C0" w:rsidRPr="0071228C">
        <w:rPr>
          <w:noProof/>
        </w:rPr>
        <w:t xml:space="preserve"> i</w:t>
      </w:r>
      <w:r w:rsidR="00CC55C0">
        <w:rPr>
          <w:noProof/>
        </w:rPr>
        <w:t> </w:t>
      </w:r>
      <w:r w:rsidR="00CC55C0" w:rsidRPr="0071228C">
        <w:rPr>
          <w:noProof/>
        </w:rPr>
        <w:t>pod</w:t>
      </w:r>
      <w:r w:rsidR="009C6F11" w:rsidRPr="0071228C">
        <w:rPr>
          <w:noProof/>
        </w:rPr>
        <w:t>ziemnych stanowi dla środowiska wodnego zagrożenie, które może spowodować m.in. ostrą</w:t>
      </w:r>
      <w:r w:rsidR="00CC55C0" w:rsidRPr="0071228C">
        <w:rPr>
          <w:noProof/>
        </w:rPr>
        <w:t xml:space="preserve"> i</w:t>
      </w:r>
      <w:r w:rsidR="00CC55C0">
        <w:rPr>
          <w:noProof/>
        </w:rPr>
        <w:t> </w:t>
      </w:r>
      <w:r w:rsidR="00CC55C0" w:rsidRPr="0071228C">
        <w:rPr>
          <w:noProof/>
        </w:rPr>
        <w:t>chr</w:t>
      </w:r>
      <w:r w:rsidR="009C6F11" w:rsidRPr="0071228C">
        <w:rPr>
          <w:noProof/>
        </w:rPr>
        <w:t>oniczną toksyczność dla organizmów wodnych, akumulację zanieczyszczeń</w:t>
      </w:r>
      <w:r w:rsidR="00CC55C0" w:rsidRPr="0071228C">
        <w:rPr>
          <w:noProof/>
        </w:rPr>
        <w:t xml:space="preserve"> w</w:t>
      </w:r>
      <w:r w:rsidR="00CC55C0">
        <w:rPr>
          <w:noProof/>
        </w:rPr>
        <w:t> </w:t>
      </w:r>
      <w:r w:rsidR="00CC55C0" w:rsidRPr="0071228C">
        <w:rPr>
          <w:noProof/>
        </w:rPr>
        <w:t>eko</w:t>
      </w:r>
      <w:r w:rsidR="009C6F11" w:rsidRPr="0071228C">
        <w:rPr>
          <w:noProof/>
        </w:rPr>
        <w:t>systemie oraz utratę siedlisk</w:t>
      </w:r>
      <w:r w:rsidR="00CC55C0" w:rsidRPr="0071228C">
        <w:rPr>
          <w:noProof/>
        </w:rPr>
        <w:t xml:space="preserve"> i</w:t>
      </w:r>
      <w:r w:rsidR="00CC55C0">
        <w:rPr>
          <w:noProof/>
        </w:rPr>
        <w:t> </w:t>
      </w:r>
      <w:r w:rsidR="00CC55C0" w:rsidRPr="0071228C">
        <w:rPr>
          <w:noProof/>
        </w:rPr>
        <w:t>róż</w:t>
      </w:r>
      <w:r w:rsidR="009C6F11" w:rsidRPr="0071228C">
        <w:rPr>
          <w:noProof/>
        </w:rPr>
        <w:t>norodności biologicznej, jak również zagrożenia dla zdrowia ludzkiego. Ustalenie środowiskowych norm jakości przyczynia się do osiągnięcia zerowego poziomu emisji zanieczyszczeń na rzecz nietoksycznego środowiska.</w:t>
      </w:r>
    </w:p>
    <w:p w14:paraId="11150650" w14:textId="00BA94D1" w:rsidR="009C6F11" w:rsidRPr="0071228C" w:rsidRDefault="00B000C3" w:rsidP="00B000C3">
      <w:pPr>
        <w:pStyle w:val="ManualConsidrant"/>
        <w:rPr>
          <w:noProof/>
        </w:rPr>
      </w:pPr>
      <w:r w:rsidRPr="00B000C3">
        <w:t>(2)</w:t>
      </w:r>
      <w:r w:rsidRPr="00B000C3">
        <w:tab/>
      </w:r>
      <w:r w:rsidR="009C6F11" w:rsidRPr="0071228C">
        <w:rPr>
          <w:noProof/>
        </w:rPr>
        <w:t>Zgodnie</w:t>
      </w:r>
      <w:r w:rsidR="00CC55C0" w:rsidRPr="0071228C">
        <w:rPr>
          <w:noProof/>
        </w:rPr>
        <w:t xml:space="preserve"> z</w:t>
      </w:r>
      <w:r w:rsidR="00CC55C0">
        <w:rPr>
          <w:noProof/>
        </w:rPr>
        <w:t> </w:t>
      </w:r>
      <w:r w:rsidR="00CC55C0" w:rsidRPr="00CC55C0">
        <w:rPr>
          <w:noProof/>
        </w:rPr>
        <w:t>art</w:t>
      </w:r>
      <w:r w:rsidR="009C6F11" w:rsidRPr="00CC55C0">
        <w:rPr>
          <w:noProof/>
        </w:rPr>
        <w:t>.</w:t>
      </w:r>
      <w:r w:rsidR="00CC55C0" w:rsidRPr="00CC55C0">
        <w:rPr>
          <w:noProof/>
        </w:rPr>
        <w:t> </w:t>
      </w:r>
      <w:r w:rsidR="009C6F11" w:rsidRPr="00CC55C0">
        <w:rPr>
          <w:noProof/>
        </w:rPr>
        <w:t>1</w:t>
      </w:r>
      <w:r w:rsidR="009C6F11" w:rsidRPr="0071228C">
        <w:rPr>
          <w:noProof/>
        </w:rPr>
        <w:t xml:space="preserve">91 </w:t>
      </w:r>
      <w:r w:rsidR="009C6F11" w:rsidRPr="00CC55C0">
        <w:rPr>
          <w:noProof/>
        </w:rPr>
        <w:t>ust.</w:t>
      </w:r>
      <w:r w:rsidR="00CC55C0" w:rsidRPr="00CC55C0">
        <w:rPr>
          <w:noProof/>
        </w:rPr>
        <w:t> </w:t>
      </w:r>
      <w:r w:rsidR="009C6F11" w:rsidRPr="00CC55C0">
        <w:rPr>
          <w:noProof/>
        </w:rPr>
        <w:t>2</w:t>
      </w:r>
      <w:r w:rsidR="009C6F11" w:rsidRPr="0071228C">
        <w:rPr>
          <w:noProof/>
        </w:rPr>
        <w:t xml:space="preserve"> zdanie drugie Traktatu</w:t>
      </w:r>
      <w:r w:rsidR="00CC55C0" w:rsidRPr="0071228C">
        <w:rPr>
          <w:noProof/>
        </w:rPr>
        <w:t xml:space="preserve"> o</w:t>
      </w:r>
      <w:r w:rsidR="00CC55C0">
        <w:rPr>
          <w:noProof/>
        </w:rPr>
        <w:t> </w:t>
      </w:r>
      <w:r w:rsidR="00CC55C0" w:rsidRPr="0071228C">
        <w:rPr>
          <w:noProof/>
        </w:rPr>
        <w:t>fun</w:t>
      </w:r>
      <w:r w:rsidR="009C6F11" w:rsidRPr="0071228C">
        <w:rPr>
          <w:noProof/>
        </w:rPr>
        <w:t>kcjonowaniu Unii Europejskiej (TFUE) polityka Unii</w:t>
      </w:r>
      <w:r w:rsidR="00CC55C0" w:rsidRPr="0071228C">
        <w:rPr>
          <w:noProof/>
        </w:rPr>
        <w:t xml:space="preserve"> w</w:t>
      </w:r>
      <w:r w:rsidR="00CC55C0">
        <w:rPr>
          <w:noProof/>
        </w:rPr>
        <w:t> </w:t>
      </w:r>
      <w:r w:rsidR="00CC55C0" w:rsidRPr="0071228C">
        <w:rPr>
          <w:noProof/>
        </w:rPr>
        <w:t>dzi</w:t>
      </w:r>
      <w:r w:rsidR="009C6F11" w:rsidRPr="0071228C">
        <w:rPr>
          <w:noProof/>
        </w:rPr>
        <w:t>edzinie środowiska opiera się na zasadzie ostrożności oraz na zasadach działania zapobiegawczego, naprawiania szkody</w:t>
      </w:r>
      <w:r w:rsidR="00CC55C0" w:rsidRPr="0071228C">
        <w:rPr>
          <w:noProof/>
        </w:rPr>
        <w:t xml:space="preserve"> w</w:t>
      </w:r>
      <w:r w:rsidR="00CC55C0">
        <w:rPr>
          <w:noProof/>
        </w:rPr>
        <w:t> </w:t>
      </w:r>
      <w:r w:rsidR="00CC55C0" w:rsidRPr="0071228C">
        <w:rPr>
          <w:noProof/>
        </w:rPr>
        <w:t>pie</w:t>
      </w:r>
      <w:r w:rsidR="009C6F11" w:rsidRPr="0071228C">
        <w:rPr>
          <w:noProof/>
        </w:rPr>
        <w:t>rwszym rzędzie</w:t>
      </w:r>
      <w:r w:rsidR="00CC55C0" w:rsidRPr="0071228C">
        <w:rPr>
          <w:noProof/>
        </w:rPr>
        <w:t xml:space="preserve"> u</w:t>
      </w:r>
      <w:r w:rsidR="00CC55C0">
        <w:rPr>
          <w:noProof/>
        </w:rPr>
        <w:t> </w:t>
      </w:r>
      <w:r w:rsidR="00CC55C0" w:rsidRPr="0071228C">
        <w:rPr>
          <w:noProof/>
        </w:rPr>
        <w:t>źró</w:t>
      </w:r>
      <w:r w:rsidR="009C6F11" w:rsidRPr="0071228C">
        <w:rPr>
          <w:noProof/>
        </w:rPr>
        <w:t xml:space="preserve">dła i na zasadzie „zanieczyszczający płaci”. </w:t>
      </w:r>
    </w:p>
    <w:p w14:paraId="6E9FE7E7" w14:textId="3770E2D3" w:rsidR="003413A7" w:rsidRPr="0071228C" w:rsidRDefault="00B000C3" w:rsidP="00B000C3">
      <w:pPr>
        <w:pStyle w:val="ManualConsidrant"/>
        <w:rPr>
          <w:noProof/>
        </w:rPr>
      </w:pPr>
      <w:r w:rsidRPr="00B000C3">
        <w:t>(3)</w:t>
      </w:r>
      <w:r w:rsidRPr="00B000C3">
        <w:tab/>
      </w:r>
      <w:r w:rsidR="003413A7" w:rsidRPr="0071228C">
        <w:rPr>
          <w:noProof/>
        </w:rPr>
        <w:t>Europejski Zielony Ład</w:t>
      </w:r>
      <w:r w:rsidR="003413A7" w:rsidRPr="0071228C">
        <w:rPr>
          <w:rStyle w:val="FootnoteReference"/>
          <w:noProof/>
        </w:rPr>
        <w:footnoteReference w:id="36"/>
      </w:r>
      <w:r w:rsidR="003413A7" w:rsidRPr="0071228C">
        <w:rPr>
          <w:noProof/>
        </w:rPr>
        <w:t xml:space="preserve"> jest strategią Unii na rzecz zapewnienia </w:t>
      </w:r>
      <w:r w:rsidR="003413A7" w:rsidRPr="00CC55C0">
        <w:rPr>
          <w:noProof/>
        </w:rPr>
        <w:t>do</w:t>
      </w:r>
      <w:r w:rsidR="00CC55C0" w:rsidRPr="00CC55C0">
        <w:rPr>
          <w:noProof/>
        </w:rPr>
        <w:t> </w:t>
      </w:r>
      <w:r w:rsidR="003413A7" w:rsidRPr="00CC55C0">
        <w:rPr>
          <w:noProof/>
        </w:rPr>
        <w:t>2</w:t>
      </w:r>
      <w:r w:rsidR="003413A7" w:rsidRPr="0071228C">
        <w:rPr>
          <w:noProof/>
        </w:rPr>
        <w:t>0</w:t>
      </w:r>
      <w:r w:rsidR="003413A7" w:rsidRPr="00CC55C0">
        <w:rPr>
          <w:noProof/>
        </w:rPr>
        <w:t>50</w:t>
      </w:r>
      <w:r w:rsidR="00CC55C0" w:rsidRPr="00CC55C0">
        <w:rPr>
          <w:noProof/>
        </w:rPr>
        <w:t> </w:t>
      </w:r>
      <w:r w:rsidR="003413A7" w:rsidRPr="00CC55C0">
        <w:rPr>
          <w:noProof/>
        </w:rPr>
        <w:t>r.</w:t>
      </w:r>
      <w:r w:rsidR="003413A7" w:rsidRPr="0071228C">
        <w:rPr>
          <w:noProof/>
        </w:rPr>
        <w:t xml:space="preserve"> neutralnej dla klimatu, czystej gospodarki</w:t>
      </w:r>
      <w:r w:rsidR="00CC55C0" w:rsidRPr="0071228C">
        <w:rPr>
          <w:noProof/>
        </w:rPr>
        <w:t xml:space="preserve"> o</w:t>
      </w:r>
      <w:r w:rsidR="00CC55C0">
        <w:rPr>
          <w:noProof/>
        </w:rPr>
        <w:t> </w:t>
      </w:r>
      <w:r w:rsidR="00CC55C0" w:rsidRPr="0071228C">
        <w:rPr>
          <w:noProof/>
        </w:rPr>
        <w:t>obi</w:t>
      </w:r>
      <w:r w:rsidR="003413A7" w:rsidRPr="0071228C">
        <w:rPr>
          <w:noProof/>
        </w:rPr>
        <w:t>egu zamkniętym, optymalizacji gospodarowania zasobami, przy jednoczesnym minimalizowaniu zanieczyszczeń. Strategia</w:t>
      </w:r>
      <w:r w:rsidR="00CC55C0" w:rsidRPr="0071228C">
        <w:rPr>
          <w:noProof/>
        </w:rPr>
        <w:t xml:space="preserve"> w</w:t>
      </w:r>
      <w:r w:rsidR="00CC55C0">
        <w:rPr>
          <w:noProof/>
        </w:rPr>
        <w:t> </w:t>
      </w:r>
      <w:r w:rsidR="00CC55C0" w:rsidRPr="0071228C">
        <w:rPr>
          <w:noProof/>
        </w:rPr>
        <w:t>zak</w:t>
      </w:r>
      <w:r w:rsidR="003413A7" w:rsidRPr="0071228C">
        <w:rPr>
          <w:noProof/>
        </w:rPr>
        <w:t>resie chemikaliów na rzecz zrównoważoności</w:t>
      </w:r>
      <w:r w:rsidR="003413A7" w:rsidRPr="0071228C">
        <w:rPr>
          <w:rStyle w:val="FootnoteReference"/>
          <w:noProof/>
        </w:rPr>
        <w:footnoteReference w:id="37"/>
      </w:r>
      <w:r w:rsidR="003413A7" w:rsidRPr="0071228C">
        <w:rPr>
          <w:noProof/>
        </w:rPr>
        <w:t xml:space="preserve"> oraz plan działania UE na rzecz eliminacji zanieczyszczeń</w:t>
      </w:r>
      <w:r w:rsidR="003413A7" w:rsidRPr="0071228C">
        <w:rPr>
          <w:rStyle w:val="FootnoteReference"/>
          <w:noProof/>
        </w:rPr>
        <w:footnoteReference w:id="38"/>
      </w:r>
      <w:r w:rsidR="003413A7" w:rsidRPr="0071228C">
        <w:rPr>
          <w:noProof/>
        </w:rPr>
        <w:t xml:space="preserve"> odnoszą się</w:t>
      </w:r>
      <w:r w:rsidR="00CC55C0" w:rsidRPr="0071228C">
        <w:rPr>
          <w:noProof/>
        </w:rPr>
        <w:t xml:space="preserve"> w</w:t>
      </w:r>
      <w:r w:rsidR="00CC55C0">
        <w:rPr>
          <w:noProof/>
        </w:rPr>
        <w:t> </w:t>
      </w:r>
      <w:r w:rsidR="00CC55C0" w:rsidRPr="0071228C">
        <w:rPr>
          <w:noProof/>
        </w:rPr>
        <w:t>szc</w:t>
      </w:r>
      <w:r w:rsidR="003413A7" w:rsidRPr="0071228C">
        <w:rPr>
          <w:noProof/>
        </w:rPr>
        <w:t>zególności do aspektów Europejskiego Zielonego Ładu związanych</w:t>
      </w:r>
      <w:r w:rsidR="00CC55C0" w:rsidRPr="0071228C">
        <w:rPr>
          <w:noProof/>
        </w:rPr>
        <w:t xml:space="preserve"> z</w:t>
      </w:r>
      <w:r w:rsidR="00CC55C0">
        <w:rPr>
          <w:noProof/>
        </w:rPr>
        <w:t> </w:t>
      </w:r>
      <w:r w:rsidR="00CC55C0" w:rsidRPr="0071228C">
        <w:rPr>
          <w:noProof/>
        </w:rPr>
        <w:t>zan</w:t>
      </w:r>
      <w:r w:rsidR="003413A7" w:rsidRPr="0071228C">
        <w:rPr>
          <w:noProof/>
        </w:rPr>
        <w:t>ieczyszczeniem. Inne szczególnie istotne</w:t>
      </w:r>
      <w:r w:rsidR="00CC55C0" w:rsidRPr="0071228C">
        <w:rPr>
          <w:noProof/>
        </w:rPr>
        <w:t xml:space="preserve"> i</w:t>
      </w:r>
      <w:r w:rsidR="00CC55C0">
        <w:rPr>
          <w:noProof/>
        </w:rPr>
        <w:t> </w:t>
      </w:r>
      <w:r w:rsidR="00CC55C0" w:rsidRPr="0071228C">
        <w:rPr>
          <w:noProof/>
        </w:rPr>
        <w:t>uzu</w:t>
      </w:r>
      <w:r w:rsidR="003413A7" w:rsidRPr="0071228C">
        <w:rPr>
          <w:noProof/>
        </w:rPr>
        <w:t>pełniające polityki obejmują strategię</w:t>
      </w:r>
      <w:r w:rsidR="00CC55C0" w:rsidRPr="0071228C">
        <w:rPr>
          <w:noProof/>
        </w:rPr>
        <w:t xml:space="preserve"> w</w:t>
      </w:r>
      <w:r w:rsidR="00CC55C0">
        <w:rPr>
          <w:noProof/>
        </w:rPr>
        <w:t> </w:t>
      </w:r>
      <w:r w:rsidR="00CC55C0" w:rsidRPr="0071228C">
        <w:rPr>
          <w:noProof/>
        </w:rPr>
        <w:t>dzi</w:t>
      </w:r>
      <w:r w:rsidR="003413A7" w:rsidRPr="0071228C">
        <w:rPr>
          <w:noProof/>
        </w:rPr>
        <w:t>edzinie tworzyw sztucznych</w:t>
      </w:r>
      <w:r w:rsidR="00CC55C0" w:rsidRPr="0071228C">
        <w:rPr>
          <w:noProof/>
        </w:rPr>
        <w:t xml:space="preserve"> z</w:t>
      </w:r>
      <w:r w:rsidR="00CC55C0">
        <w:rPr>
          <w:noProof/>
        </w:rPr>
        <w:t> </w:t>
      </w:r>
      <w:r w:rsidR="00CC55C0" w:rsidRPr="0071228C">
        <w:rPr>
          <w:noProof/>
        </w:rPr>
        <w:t>2</w:t>
      </w:r>
      <w:r w:rsidR="003413A7" w:rsidRPr="0071228C">
        <w:rPr>
          <w:noProof/>
        </w:rPr>
        <w:t>0</w:t>
      </w:r>
      <w:r w:rsidR="003413A7" w:rsidRPr="00CC55C0">
        <w:rPr>
          <w:noProof/>
        </w:rPr>
        <w:t>18</w:t>
      </w:r>
      <w:r w:rsidR="00CC55C0" w:rsidRPr="00CC55C0">
        <w:rPr>
          <w:noProof/>
        </w:rPr>
        <w:t> </w:t>
      </w:r>
      <w:r w:rsidR="003413A7" w:rsidRPr="00CC55C0">
        <w:rPr>
          <w:noProof/>
        </w:rPr>
        <w:t>r.</w:t>
      </w:r>
      <w:r w:rsidR="003413A7" w:rsidRPr="0071228C">
        <w:rPr>
          <w:rStyle w:val="FootnoteReference"/>
          <w:noProof/>
        </w:rPr>
        <w:footnoteReference w:id="39"/>
      </w:r>
      <w:r w:rsidR="003413A7" w:rsidRPr="0071228C">
        <w:rPr>
          <w:noProof/>
        </w:rPr>
        <w:t>, strategię farmaceutyczną dla Europy</w:t>
      </w:r>
      <w:r w:rsidR="00CC55C0" w:rsidRPr="0071228C">
        <w:rPr>
          <w:noProof/>
        </w:rPr>
        <w:t xml:space="preserve"> z</w:t>
      </w:r>
      <w:r w:rsidR="00CC55C0">
        <w:rPr>
          <w:noProof/>
        </w:rPr>
        <w:t> </w:t>
      </w:r>
      <w:r w:rsidR="00CC55C0" w:rsidRPr="0071228C">
        <w:rPr>
          <w:noProof/>
        </w:rPr>
        <w:t>2</w:t>
      </w:r>
      <w:r w:rsidR="003413A7" w:rsidRPr="0071228C">
        <w:rPr>
          <w:noProof/>
        </w:rPr>
        <w:t>0</w:t>
      </w:r>
      <w:r w:rsidR="003413A7" w:rsidRPr="00CC55C0">
        <w:rPr>
          <w:noProof/>
        </w:rPr>
        <w:t>21</w:t>
      </w:r>
      <w:r w:rsidR="00CC55C0" w:rsidRPr="00CC55C0">
        <w:rPr>
          <w:noProof/>
        </w:rPr>
        <w:t> </w:t>
      </w:r>
      <w:r w:rsidR="003413A7" w:rsidRPr="00CC55C0">
        <w:rPr>
          <w:noProof/>
        </w:rPr>
        <w:t>r.</w:t>
      </w:r>
      <w:r w:rsidR="003413A7" w:rsidRPr="0071228C">
        <w:rPr>
          <w:rStyle w:val="FootnoteReference"/>
          <w:noProof/>
        </w:rPr>
        <w:footnoteReference w:id="40"/>
      </w:r>
      <w:r w:rsidR="003413A7" w:rsidRPr="0071228C">
        <w:rPr>
          <w:noProof/>
        </w:rPr>
        <w:t>, unijną strategię na rzecz bioróżnorodności 2030</w:t>
      </w:r>
      <w:r w:rsidR="003413A7" w:rsidRPr="0071228C">
        <w:rPr>
          <w:rStyle w:val="FootnoteReference"/>
          <w:noProof/>
        </w:rPr>
        <w:footnoteReference w:id="41"/>
      </w:r>
      <w:r w:rsidR="003413A7" w:rsidRPr="0071228C">
        <w:rPr>
          <w:noProof/>
        </w:rPr>
        <w:t>, strategię „Od pola do stołu”</w:t>
      </w:r>
      <w:r w:rsidR="003413A7" w:rsidRPr="0071228C">
        <w:rPr>
          <w:rStyle w:val="FootnoteReference"/>
          <w:noProof/>
        </w:rPr>
        <w:footnoteReference w:id="42"/>
      </w:r>
      <w:r w:rsidR="003413A7" w:rsidRPr="0071228C">
        <w:rPr>
          <w:noProof/>
        </w:rPr>
        <w:t>, Strategię UE na rzecz ochrony gleb 2030</w:t>
      </w:r>
      <w:r w:rsidR="003413A7" w:rsidRPr="0071228C">
        <w:rPr>
          <w:rStyle w:val="FootnoteReference"/>
          <w:noProof/>
        </w:rPr>
        <w:footnoteReference w:id="43"/>
      </w:r>
      <w:r w:rsidR="003413A7" w:rsidRPr="0071228C">
        <w:rPr>
          <w:noProof/>
        </w:rPr>
        <w:t>, europejską strategię cyfrową</w:t>
      </w:r>
      <w:r w:rsidR="003413A7" w:rsidRPr="0071228C">
        <w:rPr>
          <w:rStyle w:val="FootnoteReference"/>
          <w:noProof/>
        </w:rPr>
        <w:footnoteReference w:id="44"/>
      </w:r>
      <w:r w:rsidR="00CC55C0" w:rsidRPr="0071228C">
        <w:rPr>
          <w:noProof/>
        </w:rPr>
        <w:t xml:space="preserve"> i</w:t>
      </w:r>
      <w:r w:rsidR="00CC55C0">
        <w:rPr>
          <w:noProof/>
        </w:rPr>
        <w:t> </w:t>
      </w:r>
      <w:r w:rsidR="00CC55C0" w:rsidRPr="0071228C">
        <w:rPr>
          <w:noProof/>
        </w:rPr>
        <w:t>eur</w:t>
      </w:r>
      <w:r w:rsidR="003413A7" w:rsidRPr="0071228C">
        <w:rPr>
          <w:noProof/>
        </w:rPr>
        <w:t>opejską strategię</w:t>
      </w:r>
      <w:r w:rsidR="00CC55C0" w:rsidRPr="0071228C">
        <w:rPr>
          <w:noProof/>
        </w:rPr>
        <w:t xml:space="preserve"> w</w:t>
      </w:r>
      <w:r w:rsidR="00CC55C0">
        <w:rPr>
          <w:noProof/>
        </w:rPr>
        <w:t> </w:t>
      </w:r>
      <w:r w:rsidR="00CC55C0" w:rsidRPr="0071228C">
        <w:rPr>
          <w:noProof/>
        </w:rPr>
        <w:t>zak</w:t>
      </w:r>
      <w:r w:rsidR="003413A7" w:rsidRPr="0071228C">
        <w:rPr>
          <w:noProof/>
        </w:rPr>
        <w:t>resie danych</w:t>
      </w:r>
      <w:r w:rsidR="003413A7" w:rsidRPr="0071228C">
        <w:rPr>
          <w:rStyle w:val="FootnoteReference"/>
          <w:noProof/>
        </w:rPr>
        <w:footnoteReference w:id="45"/>
      </w:r>
      <w:r w:rsidR="003413A7" w:rsidRPr="0071228C">
        <w:rPr>
          <w:noProof/>
        </w:rPr>
        <w:t xml:space="preserve">. </w:t>
      </w:r>
    </w:p>
    <w:p w14:paraId="079075A5" w14:textId="5BE9E7DD" w:rsidR="00DC3DB7" w:rsidRPr="0071228C" w:rsidRDefault="00B000C3" w:rsidP="00B000C3">
      <w:pPr>
        <w:pStyle w:val="ManualConsidrant"/>
        <w:rPr>
          <w:noProof/>
        </w:rPr>
      </w:pPr>
      <w:r w:rsidRPr="00B000C3">
        <w:t>(4)</w:t>
      </w:r>
      <w:r w:rsidRPr="00B000C3">
        <w:tab/>
      </w:r>
      <w:r w:rsidR="005E138C" w:rsidRPr="0071228C">
        <w:rPr>
          <w:noProof/>
        </w:rPr>
        <w:t>W dyrektywie 2000/60/WE Parlamentu Europejskiego</w:t>
      </w:r>
      <w:r w:rsidR="00CC55C0" w:rsidRPr="0071228C">
        <w:rPr>
          <w:noProof/>
        </w:rPr>
        <w:t xml:space="preserve"> i</w:t>
      </w:r>
      <w:r w:rsidR="00CC55C0">
        <w:rPr>
          <w:noProof/>
        </w:rPr>
        <w:t> </w:t>
      </w:r>
      <w:r w:rsidR="00CC55C0" w:rsidRPr="0071228C">
        <w:rPr>
          <w:noProof/>
        </w:rPr>
        <w:t>Rad</w:t>
      </w:r>
      <w:r w:rsidR="005E138C" w:rsidRPr="0071228C">
        <w:rPr>
          <w:noProof/>
        </w:rPr>
        <w:t>y</w:t>
      </w:r>
      <w:r w:rsidR="005E138C" w:rsidRPr="0071228C">
        <w:rPr>
          <w:rStyle w:val="FootnoteReference"/>
          <w:noProof/>
        </w:rPr>
        <w:footnoteReference w:id="46"/>
      </w:r>
      <w:r w:rsidR="005E138C" w:rsidRPr="0071228C">
        <w:rPr>
          <w:noProof/>
        </w:rPr>
        <w:t xml:space="preserve"> ustanowiono ramy dla ochrony śródlądowych wód powierzchniowych, wód przejściowych, wód przybrzeżnych oraz wód podziemnych. Ramy te obejmują zidentyfikowanie substancji priorytetowych spośród tych, które przedstawiają na poziomie Unii znaczne ryzyko dla środowiska wodnego lub za jego pośrednictwem</w:t>
      </w:r>
      <w:r w:rsidR="00CC55C0" w:rsidRPr="0071228C">
        <w:rPr>
          <w:noProof/>
        </w:rPr>
        <w:t>. W</w:t>
      </w:r>
      <w:r w:rsidR="00CC55C0">
        <w:rPr>
          <w:noProof/>
        </w:rPr>
        <w:t> </w:t>
      </w:r>
      <w:r w:rsidR="00CC55C0" w:rsidRPr="0071228C">
        <w:rPr>
          <w:noProof/>
        </w:rPr>
        <w:t>dyr</w:t>
      </w:r>
      <w:r w:rsidR="005E138C" w:rsidRPr="0071228C">
        <w:rPr>
          <w:noProof/>
        </w:rPr>
        <w:t>ektywie Parlamentu Europejskiego</w:t>
      </w:r>
      <w:r w:rsidR="00CC55C0" w:rsidRPr="0071228C">
        <w:rPr>
          <w:noProof/>
        </w:rPr>
        <w:t xml:space="preserve"> i</w:t>
      </w:r>
      <w:r w:rsidR="00CC55C0">
        <w:rPr>
          <w:noProof/>
        </w:rPr>
        <w:t> </w:t>
      </w:r>
      <w:r w:rsidR="00CC55C0" w:rsidRPr="0071228C">
        <w:rPr>
          <w:noProof/>
        </w:rPr>
        <w:t>Rad</w:t>
      </w:r>
      <w:r w:rsidR="005E138C" w:rsidRPr="0071228C">
        <w:rPr>
          <w:noProof/>
        </w:rPr>
        <w:t>y 2008/105/WE</w:t>
      </w:r>
      <w:r w:rsidR="005E138C" w:rsidRPr="0071228C">
        <w:rPr>
          <w:rStyle w:val="FootnoteReference"/>
          <w:noProof/>
        </w:rPr>
        <w:footnoteReference w:id="47"/>
      </w:r>
      <w:r w:rsidR="005E138C" w:rsidRPr="0071228C">
        <w:rPr>
          <w:noProof/>
        </w:rPr>
        <w:t xml:space="preserve"> ustanowiono ogólnounijne środowiskowe normy jakości </w:t>
      </w:r>
      <w:r w:rsidR="005E138C" w:rsidRPr="00CC55C0">
        <w:rPr>
          <w:noProof/>
        </w:rPr>
        <w:t>dla</w:t>
      </w:r>
      <w:r w:rsidR="00CC55C0" w:rsidRPr="00CC55C0">
        <w:rPr>
          <w:noProof/>
        </w:rPr>
        <w:t> </w:t>
      </w:r>
      <w:r w:rsidR="005E138C" w:rsidRPr="00CC55C0">
        <w:rPr>
          <w:noProof/>
        </w:rPr>
        <w:t>4</w:t>
      </w:r>
      <w:r w:rsidR="005E138C" w:rsidRPr="0071228C">
        <w:rPr>
          <w:noProof/>
        </w:rPr>
        <w:t>5 substancji priorytetowych wymienionych</w:t>
      </w:r>
      <w:r w:rsidR="00CC55C0" w:rsidRPr="0071228C">
        <w:rPr>
          <w:noProof/>
        </w:rPr>
        <w:t xml:space="preserve"> w</w:t>
      </w:r>
      <w:r w:rsidR="00CC55C0">
        <w:rPr>
          <w:noProof/>
        </w:rPr>
        <w:t> </w:t>
      </w:r>
      <w:r w:rsidR="00CC55C0" w:rsidRPr="0071228C">
        <w:rPr>
          <w:noProof/>
        </w:rPr>
        <w:t>zał</w:t>
      </w:r>
      <w:r w:rsidR="005E138C" w:rsidRPr="0071228C">
        <w:rPr>
          <w:noProof/>
        </w:rPr>
        <w:t xml:space="preserve">ączniku X do dyrektywy 2000/60/WE oraz dla ośmiu innych zanieczyszczeń, które były już regulowane na poziomie Unii przed wprowadzeniem załącznika X decyzją </w:t>
      </w:r>
      <w:r w:rsidR="005E138C" w:rsidRPr="00CC55C0">
        <w:rPr>
          <w:noProof/>
        </w:rPr>
        <w:t>nr</w:t>
      </w:r>
      <w:r w:rsidR="00CC55C0" w:rsidRPr="00CC55C0">
        <w:rPr>
          <w:noProof/>
        </w:rPr>
        <w:t> </w:t>
      </w:r>
      <w:r w:rsidR="005E138C" w:rsidRPr="00CC55C0">
        <w:rPr>
          <w:noProof/>
        </w:rPr>
        <w:t>2</w:t>
      </w:r>
      <w:r w:rsidR="005E138C" w:rsidRPr="0071228C">
        <w:rPr>
          <w:noProof/>
        </w:rPr>
        <w:t>455/2001/WE Parlamentu Europejskiego</w:t>
      </w:r>
      <w:r w:rsidR="00CC55C0" w:rsidRPr="0071228C">
        <w:rPr>
          <w:noProof/>
        </w:rPr>
        <w:t xml:space="preserve"> i</w:t>
      </w:r>
      <w:r w:rsidR="00CC55C0">
        <w:rPr>
          <w:noProof/>
        </w:rPr>
        <w:t> </w:t>
      </w:r>
      <w:r w:rsidR="00CC55C0" w:rsidRPr="0071228C">
        <w:rPr>
          <w:noProof/>
        </w:rPr>
        <w:t>Rad</w:t>
      </w:r>
      <w:r w:rsidR="005E138C" w:rsidRPr="0071228C">
        <w:rPr>
          <w:noProof/>
        </w:rPr>
        <w:t>y</w:t>
      </w:r>
      <w:r w:rsidR="005E138C" w:rsidRPr="0071228C">
        <w:rPr>
          <w:rStyle w:val="FootnoteReference"/>
          <w:noProof/>
        </w:rPr>
        <w:footnoteReference w:id="48"/>
      </w:r>
      <w:r w:rsidR="00CC55C0" w:rsidRPr="0071228C">
        <w:rPr>
          <w:noProof/>
        </w:rPr>
        <w:t>. W</w:t>
      </w:r>
      <w:r w:rsidR="00CC55C0">
        <w:rPr>
          <w:noProof/>
        </w:rPr>
        <w:t> </w:t>
      </w:r>
      <w:r w:rsidR="00CC55C0" w:rsidRPr="0071228C">
        <w:rPr>
          <w:noProof/>
        </w:rPr>
        <w:t>dyr</w:t>
      </w:r>
      <w:r w:rsidR="005E138C" w:rsidRPr="0071228C">
        <w:rPr>
          <w:noProof/>
        </w:rPr>
        <w:t>ektywie 2006/118/WE Parlamentu Europejskiego</w:t>
      </w:r>
      <w:r w:rsidR="00CC55C0" w:rsidRPr="0071228C">
        <w:rPr>
          <w:noProof/>
        </w:rPr>
        <w:t xml:space="preserve"> i</w:t>
      </w:r>
      <w:r w:rsidR="00CC55C0">
        <w:rPr>
          <w:noProof/>
        </w:rPr>
        <w:t> </w:t>
      </w:r>
      <w:r w:rsidR="00CC55C0" w:rsidRPr="0071228C">
        <w:rPr>
          <w:noProof/>
        </w:rPr>
        <w:t>Rad</w:t>
      </w:r>
      <w:r w:rsidR="005E138C" w:rsidRPr="0071228C">
        <w:rPr>
          <w:noProof/>
        </w:rPr>
        <w:t>y</w:t>
      </w:r>
      <w:r w:rsidR="005E138C" w:rsidRPr="0071228C">
        <w:rPr>
          <w:rStyle w:val="FootnoteReference"/>
          <w:noProof/>
        </w:rPr>
        <w:footnoteReference w:id="49"/>
      </w:r>
      <w:r w:rsidR="005E138C" w:rsidRPr="0071228C">
        <w:rPr>
          <w:noProof/>
        </w:rPr>
        <w:t xml:space="preserve"> określono obowiązujące</w:t>
      </w:r>
      <w:r w:rsidR="00CC55C0" w:rsidRPr="0071228C">
        <w:rPr>
          <w:noProof/>
        </w:rPr>
        <w:t xml:space="preserve"> w</w:t>
      </w:r>
      <w:r w:rsidR="00CC55C0">
        <w:rPr>
          <w:noProof/>
        </w:rPr>
        <w:t> </w:t>
      </w:r>
      <w:r w:rsidR="00CC55C0" w:rsidRPr="0071228C">
        <w:rPr>
          <w:noProof/>
        </w:rPr>
        <w:t>cał</w:t>
      </w:r>
      <w:r w:rsidR="005E138C" w:rsidRPr="0071228C">
        <w:rPr>
          <w:noProof/>
        </w:rPr>
        <w:t>ej Unii normy jakości wód podziemnych odnoszące się do azotanów</w:t>
      </w:r>
      <w:r w:rsidR="00CC55C0" w:rsidRPr="0071228C">
        <w:rPr>
          <w:noProof/>
        </w:rPr>
        <w:t xml:space="preserve"> i</w:t>
      </w:r>
      <w:r w:rsidR="00CC55C0">
        <w:rPr>
          <w:noProof/>
        </w:rPr>
        <w:t> </w:t>
      </w:r>
      <w:r w:rsidR="00CC55C0" w:rsidRPr="0071228C">
        <w:rPr>
          <w:noProof/>
        </w:rPr>
        <w:t>skł</w:t>
      </w:r>
      <w:r w:rsidR="005E138C" w:rsidRPr="0071228C">
        <w:rPr>
          <w:noProof/>
        </w:rPr>
        <w:t>adników czynnych pestycydów,</w:t>
      </w:r>
      <w:r w:rsidR="00CC55C0" w:rsidRPr="0071228C">
        <w:rPr>
          <w:noProof/>
        </w:rPr>
        <w:t xml:space="preserve"> a</w:t>
      </w:r>
      <w:r w:rsidR="00CC55C0">
        <w:rPr>
          <w:noProof/>
        </w:rPr>
        <w:t> </w:t>
      </w:r>
      <w:r w:rsidR="00CC55C0" w:rsidRPr="0071228C">
        <w:rPr>
          <w:noProof/>
        </w:rPr>
        <w:t>tak</w:t>
      </w:r>
      <w:r w:rsidR="005E138C" w:rsidRPr="0071228C">
        <w:rPr>
          <w:noProof/>
        </w:rPr>
        <w:t>że kryteria ustalania krajowych wartości progowych dla innych zanieczyszczeń wód podziemnych</w:t>
      </w:r>
      <w:r w:rsidR="00CC55C0" w:rsidRPr="0071228C">
        <w:rPr>
          <w:noProof/>
        </w:rPr>
        <w:t>. W</w:t>
      </w:r>
      <w:r w:rsidR="00CC55C0">
        <w:rPr>
          <w:noProof/>
        </w:rPr>
        <w:t> </w:t>
      </w:r>
      <w:r w:rsidR="00CC55C0" w:rsidRPr="0071228C">
        <w:rPr>
          <w:noProof/>
        </w:rPr>
        <w:t>dyr</w:t>
      </w:r>
      <w:r w:rsidR="005E138C" w:rsidRPr="0071228C">
        <w:rPr>
          <w:noProof/>
        </w:rPr>
        <w:t>ektywie określono również minimalny wykaz 12 zanieczyszczeń oraz wskaźników zanieczyszczenia,</w:t>
      </w:r>
      <w:r w:rsidR="00CC55C0" w:rsidRPr="0071228C">
        <w:rPr>
          <w:noProof/>
        </w:rPr>
        <w:t xml:space="preserve"> w</w:t>
      </w:r>
      <w:r w:rsidR="00CC55C0">
        <w:rPr>
          <w:noProof/>
        </w:rPr>
        <w:t> </w:t>
      </w:r>
      <w:r w:rsidR="00CC55C0" w:rsidRPr="0071228C">
        <w:rPr>
          <w:noProof/>
        </w:rPr>
        <w:t>odn</w:t>
      </w:r>
      <w:r w:rsidR="005E138C" w:rsidRPr="0071228C">
        <w:rPr>
          <w:noProof/>
        </w:rPr>
        <w:t>iesieniu do których państwa członkowskie są zobowiązane do rozważenia czy należy ustalić krajowe wartości progowe. Normy jakości wód podziemnych zawarto</w:t>
      </w:r>
      <w:r w:rsidR="00CC55C0" w:rsidRPr="0071228C">
        <w:rPr>
          <w:noProof/>
        </w:rPr>
        <w:t xml:space="preserve"> w</w:t>
      </w:r>
      <w:r w:rsidR="00CC55C0">
        <w:rPr>
          <w:noProof/>
        </w:rPr>
        <w:t> </w:t>
      </w:r>
      <w:r w:rsidR="00CC55C0" w:rsidRPr="0071228C">
        <w:rPr>
          <w:noProof/>
        </w:rPr>
        <w:t>zał</w:t>
      </w:r>
      <w:r w:rsidR="005E138C" w:rsidRPr="0071228C">
        <w:rPr>
          <w:noProof/>
        </w:rPr>
        <w:t xml:space="preserve">ączniku I do dyrektywy 2006/118/WE. </w:t>
      </w:r>
    </w:p>
    <w:p w14:paraId="4BFDDDA2" w14:textId="1A236BC3" w:rsidR="00DC3DB7" w:rsidRPr="0071228C" w:rsidRDefault="00B000C3" w:rsidP="00B000C3">
      <w:pPr>
        <w:pStyle w:val="ManualConsidrant"/>
        <w:rPr>
          <w:noProof/>
        </w:rPr>
      </w:pPr>
      <w:r w:rsidRPr="00B000C3">
        <w:t>(5)</w:t>
      </w:r>
      <w:r w:rsidRPr="00B000C3">
        <w:tab/>
      </w:r>
      <w:r w:rsidR="00DC3DB7" w:rsidRPr="0071228C">
        <w:rPr>
          <w:noProof/>
        </w:rPr>
        <w:t>Rozważa się umieszczenie substancji</w:t>
      </w:r>
      <w:r w:rsidR="00CC55C0" w:rsidRPr="0071228C">
        <w:rPr>
          <w:noProof/>
        </w:rPr>
        <w:t xml:space="preserve"> w</w:t>
      </w:r>
      <w:r w:rsidR="00CC55C0">
        <w:rPr>
          <w:noProof/>
        </w:rPr>
        <w:t> </w:t>
      </w:r>
      <w:r w:rsidR="00CC55C0" w:rsidRPr="0071228C">
        <w:rPr>
          <w:noProof/>
        </w:rPr>
        <w:t>zał</w:t>
      </w:r>
      <w:r w:rsidR="00DC3DB7" w:rsidRPr="0071228C">
        <w:rPr>
          <w:noProof/>
        </w:rPr>
        <w:t>ączniku X do dyrektywy 2000/60/WE lub</w:t>
      </w:r>
      <w:r w:rsidR="00CC55C0" w:rsidRPr="0071228C">
        <w:rPr>
          <w:noProof/>
        </w:rPr>
        <w:t xml:space="preserve"> w</w:t>
      </w:r>
      <w:r w:rsidR="00CC55C0">
        <w:rPr>
          <w:noProof/>
        </w:rPr>
        <w:t> </w:t>
      </w:r>
      <w:r w:rsidR="00CC55C0" w:rsidRPr="0071228C">
        <w:rPr>
          <w:noProof/>
        </w:rPr>
        <w:t>zał</w:t>
      </w:r>
      <w:r w:rsidR="00DC3DB7" w:rsidRPr="0071228C">
        <w:rPr>
          <w:noProof/>
        </w:rPr>
        <w:t>ączniku I lub II do dyrektywy 2006/118/WE na podstawie oceny zagrożenia, jakie stwarzają one dla zdrowia ludzkiego</w:t>
      </w:r>
      <w:r w:rsidR="00CC55C0" w:rsidRPr="0071228C">
        <w:rPr>
          <w:noProof/>
        </w:rPr>
        <w:t xml:space="preserve"> i</w:t>
      </w:r>
      <w:r w:rsidR="00CC55C0">
        <w:rPr>
          <w:noProof/>
        </w:rPr>
        <w:t> </w:t>
      </w:r>
      <w:r w:rsidR="00CC55C0" w:rsidRPr="0071228C">
        <w:rPr>
          <w:noProof/>
        </w:rPr>
        <w:t>śro</w:t>
      </w:r>
      <w:r w:rsidR="00DC3DB7" w:rsidRPr="0071228C">
        <w:rPr>
          <w:noProof/>
        </w:rPr>
        <w:t>dowiska wodnego. Do kluczowych elementów tej oceny należą: wiedza na temat stężeń substancji</w:t>
      </w:r>
      <w:r w:rsidR="00CC55C0" w:rsidRPr="0071228C">
        <w:rPr>
          <w:noProof/>
        </w:rPr>
        <w:t xml:space="preserve"> w</w:t>
      </w:r>
      <w:r w:rsidR="00CC55C0">
        <w:rPr>
          <w:noProof/>
        </w:rPr>
        <w:t> </w:t>
      </w:r>
      <w:r w:rsidR="00CC55C0" w:rsidRPr="0071228C">
        <w:rPr>
          <w:noProof/>
        </w:rPr>
        <w:t>śro</w:t>
      </w:r>
      <w:r w:rsidR="00DC3DB7" w:rsidRPr="0071228C">
        <w:rPr>
          <w:noProof/>
        </w:rPr>
        <w:t>dowisku,</w:t>
      </w:r>
      <w:r w:rsidR="00CC55C0" w:rsidRPr="0071228C">
        <w:rPr>
          <w:noProof/>
        </w:rPr>
        <w:t xml:space="preserve"> w</w:t>
      </w:r>
      <w:r w:rsidR="00CC55C0">
        <w:rPr>
          <w:noProof/>
        </w:rPr>
        <w:t> </w:t>
      </w:r>
      <w:r w:rsidR="00CC55C0" w:rsidRPr="0071228C">
        <w:rPr>
          <w:noProof/>
        </w:rPr>
        <w:t>tym</w:t>
      </w:r>
      <w:r w:rsidR="00DC3DB7" w:rsidRPr="0071228C">
        <w:rPr>
          <w:noProof/>
        </w:rPr>
        <w:t xml:space="preserve"> informacje zgromadzone</w:t>
      </w:r>
      <w:r w:rsidR="00CC55C0" w:rsidRPr="0071228C">
        <w:rPr>
          <w:noProof/>
        </w:rPr>
        <w:t xml:space="preserve"> w</w:t>
      </w:r>
      <w:r w:rsidR="00CC55C0">
        <w:rPr>
          <w:noProof/>
        </w:rPr>
        <w:t> </w:t>
      </w:r>
      <w:r w:rsidR="00CC55C0" w:rsidRPr="0071228C">
        <w:rPr>
          <w:noProof/>
        </w:rPr>
        <w:t>ram</w:t>
      </w:r>
      <w:r w:rsidR="00DC3DB7" w:rsidRPr="0071228C">
        <w:rPr>
          <w:noProof/>
        </w:rPr>
        <w:t>ach monitorowania</w:t>
      </w:r>
      <w:r w:rsidR="00CC55C0" w:rsidRPr="0071228C">
        <w:rPr>
          <w:noProof/>
        </w:rPr>
        <w:t xml:space="preserve"> w</w:t>
      </w:r>
      <w:r w:rsidR="00CC55C0">
        <w:rPr>
          <w:noProof/>
        </w:rPr>
        <w:t> </w:t>
      </w:r>
      <w:r w:rsidR="00CC55C0" w:rsidRPr="0071228C">
        <w:rPr>
          <w:noProof/>
        </w:rPr>
        <w:t>odn</w:t>
      </w:r>
      <w:r w:rsidR="00DC3DB7" w:rsidRPr="0071228C">
        <w:rPr>
          <w:noProof/>
        </w:rPr>
        <w:t>iesieniu do każdej poszczególnej substancji na liście obserwacyjnej, oraz wiedza</w:t>
      </w:r>
      <w:r w:rsidR="00CC55C0" w:rsidRPr="0071228C">
        <w:rPr>
          <w:noProof/>
        </w:rPr>
        <w:t xml:space="preserve"> z</w:t>
      </w:r>
      <w:r w:rsidR="00CC55C0">
        <w:rPr>
          <w:noProof/>
        </w:rPr>
        <w:t> </w:t>
      </w:r>
      <w:r w:rsidR="00CC55C0" w:rsidRPr="0071228C">
        <w:rPr>
          <w:noProof/>
        </w:rPr>
        <w:t>zak</w:t>
      </w:r>
      <w:r w:rsidR="00DC3DB7" w:rsidRPr="0071228C">
        <w:rPr>
          <w:noProof/>
        </w:rPr>
        <w:t>resu (eko)toksykologii substancji,</w:t>
      </w:r>
      <w:r w:rsidR="00CC55C0" w:rsidRPr="0071228C">
        <w:rPr>
          <w:noProof/>
        </w:rPr>
        <w:t xml:space="preserve"> a</w:t>
      </w:r>
      <w:r w:rsidR="00CC55C0">
        <w:rPr>
          <w:noProof/>
        </w:rPr>
        <w:t> </w:t>
      </w:r>
      <w:r w:rsidR="00CC55C0" w:rsidRPr="0071228C">
        <w:rPr>
          <w:noProof/>
        </w:rPr>
        <w:t>tak</w:t>
      </w:r>
      <w:r w:rsidR="00DC3DB7" w:rsidRPr="0071228C">
        <w:rPr>
          <w:noProof/>
        </w:rPr>
        <w:t>że ich trwałości, zdolności do bioakumulacji, rakotwórczości, mutagenności, toksyczności reprodukcyjnej</w:t>
      </w:r>
      <w:r w:rsidR="00CC55C0" w:rsidRPr="0071228C">
        <w:rPr>
          <w:noProof/>
        </w:rPr>
        <w:t xml:space="preserve"> i</w:t>
      </w:r>
      <w:r w:rsidR="00CC55C0">
        <w:rPr>
          <w:noProof/>
        </w:rPr>
        <w:t> </w:t>
      </w:r>
      <w:r w:rsidR="00CC55C0" w:rsidRPr="0071228C">
        <w:rPr>
          <w:noProof/>
        </w:rPr>
        <w:t>wła</w:t>
      </w:r>
      <w:r w:rsidR="00DC3DB7" w:rsidRPr="0071228C">
        <w:rPr>
          <w:noProof/>
        </w:rPr>
        <w:t xml:space="preserve">ściwości zaburzania funkcjonowania układu hormonalnego. </w:t>
      </w:r>
    </w:p>
    <w:p w14:paraId="652C6D83" w14:textId="5B63AE52" w:rsidR="00AF2EE4" w:rsidRPr="0071228C" w:rsidRDefault="00B000C3" w:rsidP="00B000C3">
      <w:pPr>
        <w:pStyle w:val="ManualConsidrant"/>
        <w:rPr>
          <w:noProof/>
        </w:rPr>
      </w:pPr>
      <w:r w:rsidRPr="00B000C3">
        <w:t>(6)</w:t>
      </w:r>
      <w:r w:rsidRPr="00B000C3">
        <w:tab/>
      </w:r>
      <w:r w:rsidR="00AF2EE4" w:rsidRPr="0071228C">
        <w:rPr>
          <w:noProof/>
        </w:rPr>
        <w:t>Komisja przeprowadziła przegląd wykazu substancji priorytetowych znajdującego się</w:t>
      </w:r>
      <w:r w:rsidR="00CC55C0" w:rsidRPr="0071228C">
        <w:rPr>
          <w:noProof/>
        </w:rPr>
        <w:t xml:space="preserve"> w</w:t>
      </w:r>
      <w:r w:rsidR="00CC55C0">
        <w:rPr>
          <w:noProof/>
        </w:rPr>
        <w:t> </w:t>
      </w:r>
      <w:r w:rsidR="00CC55C0" w:rsidRPr="0071228C">
        <w:rPr>
          <w:noProof/>
        </w:rPr>
        <w:t>zał</w:t>
      </w:r>
      <w:r w:rsidR="00AF2EE4" w:rsidRPr="0071228C">
        <w:rPr>
          <w:noProof/>
        </w:rPr>
        <w:t>ączniku X do dyrektywy 2000/60/WE zgodnie</w:t>
      </w:r>
      <w:r w:rsidR="00CC55C0" w:rsidRPr="0071228C">
        <w:rPr>
          <w:noProof/>
        </w:rPr>
        <w:t xml:space="preserve"> z</w:t>
      </w:r>
      <w:r w:rsidR="00CC55C0">
        <w:rPr>
          <w:noProof/>
        </w:rPr>
        <w:t> </w:t>
      </w:r>
      <w:r w:rsidR="00CC55C0" w:rsidRPr="00CC55C0">
        <w:rPr>
          <w:noProof/>
        </w:rPr>
        <w:t>art</w:t>
      </w:r>
      <w:r w:rsidR="00AF2EE4" w:rsidRPr="00CC55C0">
        <w:rPr>
          <w:noProof/>
        </w:rPr>
        <w:t>.</w:t>
      </w:r>
      <w:r w:rsidR="00CC55C0" w:rsidRPr="00CC55C0">
        <w:rPr>
          <w:noProof/>
        </w:rPr>
        <w:t> </w:t>
      </w:r>
      <w:r w:rsidR="00AF2EE4" w:rsidRPr="00CC55C0">
        <w:rPr>
          <w:noProof/>
        </w:rPr>
        <w:t>1</w:t>
      </w:r>
      <w:r w:rsidR="00AF2EE4" w:rsidRPr="0071228C">
        <w:rPr>
          <w:noProof/>
        </w:rPr>
        <w:t xml:space="preserve">6 </w:t>
      </w:r>
      <w:r w:rsidR="00AF2EE4" w:rsidRPr="00CC55C0">
        <w:rPr>
          <w:noProof/>
        </w:rPr>
        <w:t>ust.</w:t>
      </w:r>
      <w:r w:rsidR="00CC55C0" w:rsidRPr="00CC55C0">
        <w:rPr>
          <w:noProof/>
        </w:rPr>
        <w:t> </w:t>
      </w:r>
      <w:r w:rsidR="00AF2EE4" w:rsidRPr="00CC55C0">
        <w:rPr>
          <w:noProof/>
        </w:rPr>
        <w:t>4</w:t>
      </w:r>
      <w:r w:rsidR="00AF2EE4" w:rsidRPr="0071228C">
        <w:rPr>
          <w:noProof/>
        </w:rPr>
        <w:t xml:space="preserve"> tej dyrektywy</w:t>
      </w:r>
      <w:r w:rsidR="00CC55C0" w:rsidRPr="0071228C">
        <w:rPr>
          <w:noProof/>
        </w:rPr>
        <w:t xml:space="preserve"> i</w:t>
      </w:r>
      <w:r w:rsidR="00CC55C0">
        <w:rPr>
          <w:noProof/>
        </w:rPr>
        <w:t> </w:t>
      </w:r>
      <w:r w:rsidR="00CC55C0" w:rsidRPr="00CC55C0">
        <w:rPr>
          <w:noProof/>
        </w:rPr>
        <w:t>art</w:t>
      </w:r>
      <w:r w:rsidR="00AF2EE4" w:rsidRPr="00CC55C0">
        <w:rPr>
          <w:noProof/>
        </w:rPr>
        <w:t>.</w:t>
      </w:r>
      <w:r w:rsidR="00CC55C0" w:rsidRPr="00CC55C0">
        <w:rPr>
          <w:noProof/>
        </w:rPr>
        <w:t> </w:t>
      </w:r>
      <w:r w:rsidR="00AF2EE4" w:rsidRPr="00CC55C0">
        <w:rPr>
          <w:noProof/>
        </w:rPr>
        <w:t>8</w:t>
      </w:r>
      <w:r w:rsidR="00AF2EE4" w:rsidRPr="0071228C">
        <w:rPr>
          <w:noProof/>
        </w:rPr>
        <w:t xml:space="preserve"> dyrektywy 2008/105/WE,</w:t>
      </w:r>
      <w:r w:rsidR="00CC55C0" w:rsidRPr="0071228C">
        <w:rPr>
          <w:noProof/>
        </w:rPr>
        <w:t xml:space="preserve"> a</w:t>
      </w:r>
      <w:r w:rsidR="00CC55C0">
        <w:rPr>
          <w:noProof/>
        </w:rPr>
        <w:t> </w:t>
      </w:r>
      <w:r w:rsidR="00CC55C0" w:rsidRPr="0071228C">
        <w:rPr>
          <w:noProof/>
        </w:rPr>
        <w:t>tak</w:t>
      </w:r>
      <w:r w:rsidR="00AF2EE4" w:rsidRPr="0071228C">
        <w:rPr>
          <w:noProof/>
        </w:rPr>
        <w:t>że przegląd wykazów substancji znajdujących się</w:t>
      </w:r>
      <w:r w:rsidR="00CC55C0" w:rsidRPr="0071228C">
        <w:rPr>
          <w:noProof/>
        </w:rPr>
        <w:t xml:space="preserve"> w</w:t>
      </w:r>
      <w:r w:rsidR="00CC55C0">
        <w:rPr>
          <w:noProof/>
        </w:rPr>
        <w:t> </w:t>
      </w:r>
      <w:r w:rsidR="00CC55C0" w:rsidRPr="0071228C">
        <w:rPr>
          <w:noProof/>
        </w:rPr>
        <w:t>zał</w:t>
      </w:r>
      <w:r w:rsidR="00AF2EE4" w:rsidRPr="0071228C">
        <w:rPr>
          <w:noProof/>
        </w:rPr>
        <w:t>ącznikach I i II do dyrektywy 2006/118/WE zgodnie</w:t>
      </w:r>
      <w:r w:rsidR="00CC55C0" w:rsidRPr="0071228C">
        <w:rPr>
          <w:noProof/>
        </w:rPr>
        <w:t xml:space="preserve"> z</w:t>
      </w:r>
      <w:r w:rsidR="00CC55C0">
        <w:rPr>
          <w:noProof/>
        </w:rPr>
        <w:t> </w:t>
      </w:r>
      <w:r w:rsidR="00CC55C0" w:rsidRPr="00CC55C0">
        <w:rPr>
          <w:noProof/>
        </w:rPr>
        <w:t>art</w:t>
      </w:r>
      <w:r w:rsidR="00AF2EE4" w:rsidRPr="00CC55C0">
        <w:rPr>
          <w:noProof/>
        </w:rPr>
        <w:t>.</w:t>
      </w:r>
      <w:r w:rsidR="00CC55C0" w:rsidRPr="00CC55C0">
        <w:rPr>
          <w:noProof/>
        </w:rPr>
        <w:t> </w:t>
      </w:r>
      <w:r w:rsidR="00AF2EE4" w:rsidRPr="00CC55C0">
        <w:rPr>
          <w:noProof/>
        </w:rPr>
        <w:t>1</w:t>
      </w:r>
      <w:r w:rsidR="00AF2EE4" w:rsidRPr="0071228C">
        <w:rPr>
          <w:noProof/>
        </w:rPr>
        <w:t>0 tej dyrektywy</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świ</w:t>
      </w:r>
      <w:r w:rsidR="00AF2EE4" w:rsidRPr="0071228C">
        <w:rPr>
          <w:noProof/>
        </w:rPr>
        <w:t>etle nowej wiedzy naukowej stwierdziła, że należy wprowadzić zmiany</w:t>
      </w:r>
      <w:r w:rsidR="00CC55C0" w:rsidRPr="0071228C">
        <w:rPr>
          <w:noProof/>
        </w:rPr>
        <w:t xml:space="preserve"> w</w:t>
      </w:r>
      <w:r w:rsidR="00CC55C0">
        <w:rPr>
          <w:noProof/>
        </w:rPr>
        <w:t> </w:t>
      </w:r>
      <w:r w:rsidR="00CC55C0" w:rsidRPr="0071228C">
        <w:rPr>
          <w:noProof/>
        </w:rPr>
        <w:t>tyc</w:t>
      </w:r>
      <w:r w:rsidR="00AF2EE4" w:rsidRPr="0071228C">
        <w:rPr>
          <w:noProof/>
        </w:rPr>
        <w:t>h wykazach poprzez dodanie nowych substancji, ustanowienie środowiskowych norm jakości lub norm jakości wód podziemnych dla nowo dodanych substancji, wprowadzić zmiany</w:t>
      </w:r>
      <w:r w:rsidR="00CC55C0" w:rsidRPr="0071228C">
        <w:rPr>
          <w:noProof/>
        </w:rPr>
        <w:t xml:space="preserve"> w</w:t>
      </w:r>
      <w:r w:rsidR="00CC55C0">
        <w:rPr>
          <w:noProof/>
        </w:rPr>
        <w:t> </w:t>
      </w:r>
      <w:r w:rsidR="00CC55C0" w:rsidRPr="0071228C">
        <w:rPr>
          <w:noProof/>
        </w:rPr>
        <w:t>śro</w:t>
      </w:r>
      <w:r w:rsidR="00AF2EE4" w:rsidRPr="0071228C">
        <w:rPr>
          <w:noProof/>
        </w:rPr>
        <w:t>dowiskowych normach jakości dla niektórych istniejących substancji zgodnie</w:t>
      </w:r>
      <w:r w:rsidR="00CC55C0" w:rsidRPr="0071228C">
        <w:rPr>
          <w:noProof/>
        </w:rPr>
        <w:t xml:space="preserve"> z</w:t>
      </w:r>
      <w:r w:rsidR="00CC55C0">
        <w:rPr>
          <w:noProof/>
        </w:rPr>
        <w:t> </w:t>
      </w:r>
      <w:r w:rsidR="00CC55C0" w:rsidRPr="0071228C">
        <w:rPr>
          <w:noProof/>
        </w:rPr>
        <w:t>pos</w:t>
      </w:r>
      <w:r w:rsidR="00AF2EE4" w:rsidRPr="0071228C">
        <w:rPr>
          <w:noProof/>
        </w:rPr>
        <w:t>tępem naukowym oraz ustanowić środowiskowe normy jakości dla fauny</w:t>
      </w:r>
      <w:r w:rsidR="00CC55C0" w:rsidRPr="0071228C">
        <w:rPr>
          <w:noProof/>
        </w:rPr>
        <w:t xml:space="preserve"> i</w:t>
      </w:r>
      <w:r w:rsidR="00CC55C0">
        <w:rPr>
          <w:noProof/>
        </w:rPr>
        <w:t> </w:t>
      </w:r>
      <w:r w:rsidR="00CC55C0" w:rsidRPr="0071228C">
        <w:rPr>
          <w:noProof/>
        </w:rPr>
        <w:t>flo</w:t>
      </w:r>
      <w:r w:rsidR="00AF2EE4" w:rsidRPr="0071228C">
        <w:rPr>
          <w:noProof/>
        </w:rPr>
        <w:t>ry</w:t>
      </w:r>
      <w:r w:rsidR="00CC55C0" w:rsidRPr="0071228C">
        <w:rPr>
          <w:noProof/>
        </w:rPr>
        <w:t xml:space="preserve"> w</w:t>
      </w:r>
      <w:r w:rsidR="00CC55C0">
        <w:rPr>
          <w:noProof/>
        </w:rPr>
        <w:t> </w:t>
      </w:r>
      <w:r w:rsidR="00CC55C0" w:rsidRPr="0071228C">
        <w:rPr>
          <w:noProof/>
        </w:rPr>
        <w:t>odn</w:t>
      </w:r>
      <w:r w:rsidR="00AF2EE4" w:rsidRPr="0071228C">
        <w:rPr>
          <w:noProof/>
        </w:rPr>
        <w:t>iesieniu do niektórych istniejących</w:t>
      </w:r>
      <w:r w:rsidR="00CC55C0" w:rsidRPr="0071228C">
        <w:rPr>
          <w:noProof/>
        </w:rPr>
        <w:t xml:space="preserve"> i</w:t>
      </w:r>
      <w:r w:rsidR="00CC55C0">
        <w:rPr>
          <w:noProof/>
        </w:rPr>
        <w:t> </w:t>
      </w:r>
      <w:r w:rsidR="00CC55C0" w:rsidRPr="0071228C">
        <w:rPr>
          <w:noProof/>
        </w:rPr>
        <w:t>now</w:t>
      </w:r>
      <w:r w:rsidR="00AF2EE4" w:rsidRPr="0071228C">
        <w:rPr>
          <w:noProof/>
        </w:rPr>
        <w:t>o dodanych substancji. Określiła również, które dodatkowe substancje mogą akumulować się</w:t>
      </w:r>
      <w:r w:rsidR="00CC55C0" w:rsidRPr="0071228C">
        <w:rPr>
          <w:noProof/>
        </w:rPr>
        <w:t xml:space="preserve"> w</w:t>
      </w:r>
      <w:r w:rsidR="00CC55C0">
        <w:rPr>
          <w:noProof/>
        </w:rPr>
        <w:t> </w:t>
      </w:r>
      <w:r w:rsidR="00CC55C0" w:rsidRPr="0071228C">
        <w:rPr>
          <w:noProof/>
        </w:rPr>
        <w:t>osa</w:t>
      </w:r>
      <w:r w:rsidR="00AF2EE4" w:rsidRPr="0071228C">
        <w:rPr>
          <w:noProof/>
        </w:rPr>
        <w:t>dach lub faunie</w:t>
      </w:r>
      <w:r w:rsidR="00CC55C0" w:rsidRPr="0071228C">
        <w:rPr>
          <w:noProof/>
        </w:rPr>
        <w:t xml:space="preserve"> i</w:t>
      </w:r>
      <w:r w:rsidR="00CC55C0">
        <w:rPr>
          <w:noProof/>
        </w:rPr>
        <w:t> </w:t>
      </w:r>
      <w:r w:rsidR="00CC55C0" w:rsidRPr="0071228C">
        <w:rPr>
          <w:noProof/>
        </w:rPr>
        <w:t>flo</w:t>
      </w:r>
      <w:r w:rsidR="00AF2EE4" w:rsidRPr="0071228C">
        <w:rPr>
          <w:noProof/>
        </w:rPr>
        <w:t>rze oraz wyjaśniła, że należy monitorować tendencje takich substancji do akumulacji</w:t>
      </w:r>
      <w:r w:rsidR="00CC55C0" w:rsidRPr="0071228C">
        <w:rPr>
          <w:noProof/>
        </w:rPr>
        <w:t xml:space="preserve"> w</w:t>
      </w:r>
      <w:r w:rsidR="00CC55C0">
        <w:rPr>
          <w:noProof/>
        </w:rPr>
        <w:t> </w:t>
      </w:r>
      <w:r w:rsidR="00CC55C0" w:rsidRPr="0071228C">
        <w:rPr>
          <w:noProof/>
        </w:rPr>
        <w:t>osa</w:t>
      </w:r>
      <w:r w:rsidR="00AF2EE4" w:rsidRPr="0071228C">
        <w:rPr>
          <w:noProof/>
        </w:rPr>
        <w:t>dach lub faunie</w:t>
      </w:r>
      <w:r w:rsidR="00CC55C0" w:rsidRPr="0071228C">
        <w:rPr>
          <w:noProof/>
        </w:rPr>
        <w:t xml:space="preserve"> i</w:t>
      </w:r>
      <w:r w:rsidR="00CC55C0">
        <w:rPr>
          <w:noProof/>
        </w:rPr>
        <w:t> </w:t>
      </w:r>
      <w:r w:rsidR="00CC55C0" w:rsidRPr="0071228C">
        <w:rPr>
          <w:noProof/>
        </w:rPr>
        <w:t>flo</w:t>
      </w:r>
      <w:r w:rsidR="00AF2EE4" w:rsidRPr="0071228C">
        <w:rPr>
          <w:noProof/>
        </w:rPr>
        <w:t>rze. Przeglądy wykazów substancji oparto na szeroko zakrojonych konsultacjach</w:t>
      </w:r>
      <w:r w:rsidR="00CC55C0" w:rsidRPr="0071228C">
        <w:rPr>
          <w:noProof/>
        </w:rPr>
        <w:t xml:space="preserve"> z</w:t>
      </w:r>
      <w:r w:rsidR="00CC55C0">
        <w:rPr>
          <w:noProof/>
        </w:rPr>
        <w:t> </w:t>
      </w:r>
      <w:r w:rsidR="00CC55C0" w:rsidRPr="0071228C">
        <w:rPr>
          <w:noProof/>
        </w:rPr>
        <w:t>eks</w:t>
      </w:r>
      <w:r w:rsidR="00AF2EE4" w:rsidRPr="0071228C">
        <w:rPr>
          <w:noProof/>
        </w:rPr>
        <w:t>pertami reprezentującymi służby Komisji, państwa członkowskie, grupy zainteresowanych stron oraz Komitet Naukowy ds. Zagrożeń dla Zdrowia</w:t>
      </w:r>
      <w:r w:rsidR="00CC55C0" w:rsidRPr="0071228C">
        <w:rPr>
          <w:noProof/>
        </w:rPr>
        <w:t xml:space="preserve"> i</w:t>
      </w:r>
      <w:r w:rsidR="00CC55C0">
        <w:rPr>
          <w:noProof/>
        </w:rPr>
        <w:t> </w:t>
      </w:r>
      <w:r w:rsidR="00CC55C0" w:rsidRPr="0071228C">
        <w:rPr>
          <w:noProof/>
        </w:rPr>
        <w:t>Śro</w:t>
      </w:r>
      <w:r w:rsidR="00AF2EE4" w:rsidRPr="0071228C">
        <w:rPr>
          <w:noProof/>
        </w:rPr>
        <w:t>dowiska oraz Pojawiających się Zagrożeń.</w:t>
      </w:r>
    </w:p>
    <w:p w14:paraId="74721660" w14:textId="6023E060" w:rsidR="00E3706C" w:rsidRPr="0071228C" w:rsidRDefault="00B000C3" w:rsidP="00B000C3">
      <w:pPr>
        <w:pStyle w:val="ManualConsidrant"/>
        <w:rPr>
          <w:noProof/>
        </w:rPr>
      </w:pPr>
      <w:r w:rsidRPr="00B000C3">
        <w:t>(7)</w:t>
      </w:r>
      <w:r w:rsidRPr="00B000C3">
        <w:tab/>
      </w:r>
      <w:r w:rsidR="00E3706C" w:rsidRPr="0071228C">
        <w:rPr>
          <w:noProof/>
        </w:rPr>
        <w:t>Aby skutecznie radzić sobie</w:t>
      </w:r>
      <w:r w:rsidR="00CC55C0" w:rsidRPr="0071228C">
        <w:rPr>
          <w:noProof/>
        </w:rPr>
        <w:t xml:space="preserve"> z</w:t>
      </w:r>
      <w:r w:rsidR="00CC55C0">
        <w:rPr>
          <w:noProof/>
        </w:rPr>
        <w:t> </w:t>
      </w:r>
      <w:r w:rsidR="00CC55C0" w:rsidRPr="0071228C">
        <w:rPr>
          <w:noProof/>
        </w:rPr>
        <w:t>wię</w:t>
      </w:r>
      <w:r w:rsidR="00E3706C" w:rsidRPr="0071228C">
        <w:rPr>
          <w:noProof/>
        </w:rPr>
        <w:t>kszością zanieczyszczeń</w:t>
      </w:r>
      <w:r w:rsidR="00CC55C0" w:rsidRPr="0071228C">
        <w:rPr>
          <w:noProof/>
        </w:rPr>
        <w:t xml:space="preserve"> w</w:t>
      </w:r>
      <w:r w:rsidR="00CC55C0">
        <w:rPr>
          <w:noProof/>
        </w:rPr>
        <w:t> </w:t>
      </w:r>
      <w:r w:rsidR="00CC55C0" w:rsidRPr="0071228C">
        <w:rPr>
          <w:noProof/>
        </w:rPr>
        <w:t>cał</w:t>
      </w:r>
      <w:r w:rsidR="00E3706C" w:rsidRPr="0071228C">
        <w:rPr>
          <w:noProof/>
        </w:rPr>
        <w:t>ym ich cyklu życia, należy połączyć środki kontroli źródła zanieczyszczeń</w:t>
      </w:r>
      <w:r w:rsidR="00CC55C0" w:rsidRPr="0071228C">
        <w:rPr>
          <w:noProof/>
        </w:rPr>
        <w:t xml:space="preserve"> i</w:t>
      </w:r>
      <w:r w:rsidR="00CC55C0">
        <w:rPr>
          <w:noProof/>
        </w:rPr>
        <w:t> </w:t>
      </w:r>
      <w:r w:rsidR="00CC55C0" w:rsidRPr="0071228C">
        <w:rPr>
          <w:noProof/>
        </w:rPr>
        <w:t>śro</w:t>
      </w:r>
      <w:r w:rsidR="00E3706C" w:rsidRPr="0071228C">
        <w:rPr>
          <w:noProof/>
        </w:rPr>
        <w:t>dki „końca rury”,</w:t>
      </w:r>
      <w:r w:rsidR="00CC55C0" w:rsidRPr="0071228C">
        <w:rPr>
          <w:noProof/>
        </w:rPr>
        <w:t xml:space="preserve"> w</w:t>
      </w:r>
      <w:r w:rsidR="00CC55C0">
        <w:rPr>
          <w:noProof/>
        </w:rPr>
        <w:t> </w:t>
      </w:r>
      <w:r w:rsidR="00CC55C0" w:rsidRPr="0071228C">
        <w:rPr>
          <w:noProof/>
        </w:rPr>
        <w:t>tym</w:t>
      </w:r>
      <w:r w:rsidR="00E3706C" w:rsidRPr="0071228C">
        <w:rPr>
          <w:noProof/>
        </w:rPr>
        <w:t xml:space="preserve"> –</w:t>
      </w:r>
      <w:r w:rsidR="00CC55C0" w:rsidRPr="0071228C">
        <w:rPr>
          <w:noProof/>
        </w:rPr>
        <w:t xml:space="preserve"> w</w:t>
      </w:r>
      <w:r w:rsidR="00CC55C0">
        <w:rPr>
          <w:noProof/>
        </w:rPr>
        <w:t> </w:t>
      </w:r>
      <w:r w:rsidR="00CC55C0" w:rsidRPr="0071228C">
        <w:rPr>
          <w:noProof/>
        </w:rPr>
        <w:t>sto</w:t>
      </w:r>
      <w:r w:rsidR="00E3706C" w:rsidRPr="0071228C">
        <w:rPr>
          <w:noProof/>
        </w:rPr>
        <w:t>sownych przypadkach – projektowanie chemikaliów, zezwolenia lub zatwierdzenia, kontrolę emisji podczas produkcji</w:t>
      </w:r>
      <w:r w:rsidR="00CC55C0" w:rsidRPr="0071228C">
        <w:rPr>
          <w:noProof/>
        </w:rPr>
        <w:t xml:space="preserve"> i</w:t>
      </w:r>
      <w:r w:rsidR="00CC55C0">
        <w:rPr>
          <w:noProof/>
        </w:rPr>
        <w:t> </w:t>
      </w:r>
      <w:r w:rsidR="00CC55C0" w:rsidRPr="0071228C">
        <w:rPr>
          <w:noProof/>
        </w:rPr>
        <w:t>uży</w:t>
      </w:r>
      <w:r w:rsidR="00E3706C" w:rsidRPr="0071228C">
        <w:rPr>
          <w:noProof/>
        </w:rPr>
        <w:t>tkowania lub</w:t>
      </w:r>
      <w:r w:rsidR="00CC55C0" w:rsidRPr="0071228C">
        <w:rPr>
          <w:noProof/>
        </w:rPr>
        <w:t xml:space="preserve"> w</w:t>
      </w:r>
      <w:r w:rsidR="00CC55C0">
        <w:rPr>
          <w:noProof/>
        </w:rPr>
        <w:t> </w:t>
      </w:r>
      <w:r w:rsidR="00CC55C0" w:rsidRPr="0071228C">
        <w:rPr>
          <w:noProof/>
        </w:rPr>
        <w:t>tra</w:t>
      </w:r>
      <w:r w:rsidR="00E3706C" w:rsidRPr="0071228C">
        <w:rPr>
          <w:noProof/>
        </w:rPr>
        <w:t>kcie innych procesów oraz postępowanie</w:t>
      </w:r>
      <w:r w:rsidR="00CC55C0" w:rsidRPr="0071228C">
        <w:rPr>
          <w:noProof/>
        </w:rPr>
        <w:t xml:space="preserve"> z</w:t>
      </w:r>
      <w:r w:rsidR="00CC55C0">
        <w:rPr>
          <w:noProof/>
        </w:rPr>
        <w:t> </w:t>
      </w:r>
      <w:r w:rsidR="00CC55C0" w:rsidRPr="0071228C">
        <w:rPr>
          <w:noProof/>
        </w:rPr>
        <w:t>odp</w:t>
      </w:r>
      <w:r w:rsidR="00E3706C" w:rsidRPr="0071228C">
        <w:rPr>
          <w:noProof/>
        </w:rPr>
        <w:t>adami. Ustanowienie nowych lub bardziej rygorystycznych norm jakości</w:t>
      </w:r>
      <w:r w:rsidR="00CC55C0" w:rsidRPr="0071228C">
        <w:rPr>
          <w:noProof/>
        </w:rPr>
        <w:t xml:space="preserve"> w</w:t>
      </w:r>
      <w:r w:rsidR="00CC55C0">
        <w:rPr>
          <w:noProof/>
        </w:rPr>
        <w:t> </w:t>
      </w:r>
      <w:r w:rsidR="00CC55C0" w:rsidRPr="0071228C">
        <w:rPr>
          <w:noProof/>
        </w:rPr>
        <w:t>odn</w:t>
      </w:r>
      <w:r w:rsidR="00E3706C" w:rsidRPr="0071228C">
        <w:rPr>
          <w:noProof/>
        </w:rPr>
        <w:t>iesieniu do jednolitych części wód uzupełnia zatem inne przepisy Unii, które dotyczą lub mogłyby dotyczyć problemu zanieczyszczenia na co najmniej jednym</w:t>
      </w:r>
      <w:r w:rsidR="00CC55C0" w:rsidRPr="0071228C">
        <w:rPr>
          <w:noProof/>
        </w:rPr>
        <w:t xml:space="preserve"> z</w:t>
      </w:r>
      <w:r w:rsidR="00CC55C0">
        <w:rPr>
          <w:noProof/>
        </w:rPr>
        <w:t> </w:t>
      </w:r>
      <w:r w:rsidR="00CC55C0" w:rsidRPr="0071228C">
        <w:rPr>
          <w:noProof/>
        </w:rPr>
        <w:t>tyc</w:t>
      </w:r>
      <w:r w:rsidR="00E3706C" w:rsidRPr="0071228C">
        <w:rPr>
          <w:noProof/>
        </w:rPr>
        <w:t>h etapów,</w:t>
      </w:r>
      <w:r w:rsidR="00CC55C0" w:rsidRPr="0071228C">
        <w:rPr>
          <w:noProof/>
        </w:rPr>
        <w:t xml:space="preserve"> w</w:t>
      </w:r>
      <w:r w:rsidR="00CC55C0">
        <w:rPr>
          <w:noProof/>
        </w:rPr>
        <w:t> </w:t>
      </w:r>
      <w:r w:rsidR="00CC55C0" w:rsidRPr="0071228C">
        <w:rPr>
          <w:noProof/>
        </w:rPr>
        <w:t>tym</w:t>
      </w:r>
      <w:r w:rsidR="00E3706C" w:rsidRPr="0071228C">
        <w:rPr>
          <w:noProof/>
        </w:rPr>
        <w:t xml:space="preserve"> rozporządzenie Parlamentu Europejskiego</w:t>
      </w:r>
      <w:r w:rsidR="00CC55C0" w:rsidRPr="0071228C">
        <w:rPr>
          <w:noProof/>
        </w:rPr>
        <w:t xml:space="preserve"> i</w:t>
      </w:r>
      <w:r w:rsidR="00CC55C0">
        <w:rPr>
          <w:noProof/>
        </w:rPr>
        <w:t> </w:t>
      </w:r>
      <w:r w:rsidR="00CC55C0" w:rsidRPr="0071228C">
        <w:rPr>
          <w:noProof/>
        </w:rPr>
        <w:t>Rad</w:t>
      </w:r>
      <w:r w:rsidR="00E3706C" w:rsidRPr="0071228C">
        <w:rPr>
          <w:noProof/>
        </w:rPr>
        <w:t xml:space="preserve">y (WE) </w:t>
      </w:r>
      <w:r w:rsidR="00E3706C" w:rsidRPr="00CC55C0">
        <w:rPr>
          <w:noProof/>
        </w:rPr>
        <w:t>nr</w:t>
      </w:r>
      <w:r w:rsidR="00CC55C0" w:rsidRPr="00CC55C0">
        <w:rPr>
          <w:noProof/>
        </w:rPr>
        <w:t> </w:t>
      </w:r>
      <w:r w:rsidR="00E3706C" w:rsidRPr="00CC55C0">
        <w:rPr>
          <w:noProof/>
        </w:rPr>
        <w:t>1</w:t>
      </w:r>
      <w:r w:rsidR="00E3706C" w:rsidRPr="0071228C">
        <w:rPr>
          <w:noProof/>
        </w:rPr>
        <w:t>907/2006</w:t>
      </w:r>
      <w:r w:rsidR="00E3706C" w:rsidRPr="0071228C">
        <w:rPr>
          <w:rStyle w:val="FootnoteReference"/>
          <w:noProof/>
        </w:rPr>
        <w:footnoteReference w:id="50"/>
      </w:r>
      <w:r w:rsidR="00E3706C"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00E3706C" w:rsidRPr="0071228C">
        <w:rPr>
          <w:noProof/>
        </w:rPr>
        <w:t xml:space="preserve">y (WE) </w:t>
      </w:r>
      <w:r w:rsidR="00E3706C" w:rsidRPr="00CC55C0">
        <w:rPr>
          <w:noProof/>
        </w:rPr>
        <w:t>nr</w:t>
      </w:r>
      <w:r w:rsidR="00CC55C0" w:rsidRPr="00CC55C0">
        <w:rPr>
          <w:noProof/>
        </w:rPr>
        <w:t> </w:t>
      </w:r>
      <w:r w:rsidR="00E3706C" w:rsidRPr="00CC55C0">
        <w:rPr>
          <w:noProof/>
        </w:rPr>
        <w:t>1</w:t>
      </w:r>
      <w:r w:rsidR="00E3706C" w:rsidRPr="0071228C">
        <w:rPr>
          <w:noProof/>
        </w:rPr>
        <w:t>107/2009</w:t>
      </w:r>
      <w:r w:rsidR="00E3706C" w:rsidRPr="0071228C">
        <w:rPr>
          <w:rStyle w:val="FootnoteReference"/>
          <w:noProof/>
        </w:rPr>
        <w:footnoteReference w:id="51"/>
      </w:r>
      <w:r w:rsidR="00E3706C"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00E3706C" w:rsidRPr="0071228C">
        <w:rPr>
          <w:noProof/>
        </w:rPr>
        <w:t xml:space="preserve">y (UE) </w:t>
      </w:r>
      <w:r w:rsidR="00E3706C" w:rsidRPr="00CC55C0">
        <w:rPr>
          <w:noProof/>
        </w:rPr>
        <w:t>nr</w:t>
      </w:r>
      <w:r w:rsidR="00CC55C0" w:rsidRPr="00CC55C0">
        <w:rPr>
          <w:noProof/>
        </w:rPr>
        <w:t> </w:t>
      </w:r>
      <w:r w:rsidR="00E3706C" w:rsidRPr="00CC55C0">
        <w:rPr>
          <w:noProof/>
        </w:rPr>
        <w:t>5</w:t>
      </w:r>
      <w:r w:rsidR="00E3706C" w:rsidRPr="0071228C">
        <w:rPr>
          <w:noProof/>
        </w:rPr>
        <w:t>28/2012</w:t>
      </w:r>
      <w:r w:rsidR="00E3706C" w:rsidRPr="0071228C">
        <w:rPr>
          <w:rStyle w:val="FootnoteReference"/>
          <w:noProof/>
        </w:rPr>
        <w:footnoteReference w:id="52"/>
      </w:r>
      <w:r w:rsidR="00E3706C"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00E3706C" w:rsidRPr="0071228C">
        <w:rPr>
          <w:noProof/>
        </w:rPr>
        <w:t>y (UE) 2019/6</w:t>
      </w:r>
      <w:r w:rsidR="00E3706C" w:rsidRPr="0071228C">
        <w:rPr>
          <w:rStyle w:val="FootnoteReference"/>
          <w:noProof/>
        </w:rPr>
        <w:footnoteReference w:id="53"/>
      </w:r>
      <w:r w:rsidR="00E3706C" w:rsidRPr="0071228C">
        <w:rPr>
          <w:noProof/>
        </w:rPr>
        <w:t>, dyrektywę Parlamentu Europejskiego</w:t>
      </w:r>
      <w:r w:rsidR="00CC55C0" w:rsidRPr="0071228C">
        <w:rPr>
          <w:noProof/>
        </w:rPr>
        <w:t xml:space="preserve"> i</w:t>
      </w:r>
      <w:r w:rsidR="00CC55C0">
        <w:rPr>
          <w:noProof/>
        </w:rPr>
        <w:t> </w:t>
      </w:r>
      <w:r w:rsidR="00CC55C0" w:rsidRPr="0071228C">
        <w:rPr>
          <w:noProof/>
        </w:rPr>
        <w:t>Rad</w:t>
      </w:r>
      <w:r w:rsidR="00E3706C" w:rsidRPr="0071228C">
        <w:rPr>
          <w:noProof/>
        </w:rPr>
        <w:t>y 2001/83/WE</w:t>
      </w:r>
      <w:r w:rsidR="00E3706C" w:rsidRPr="0071228C">
        <w:rPr>
          <w:rStyle w:val="FootnoteReference"/>
          <w:noProof/>
        </w:rPr>
        <w:footnoteReference w:id="54"/>
      </w:r>
      <w:r w:rsidR="00E3706C" w:rsidRPr="0071228C">
        <w:rPr>
          <w:noProof/>
        </w:rPr>
        <w:t>, dyrektywę Parlamentu Europejskiego</w:t>
      </w:r>
      <w:r w:rsidR="00CC55C0" w:rsidRPr="0071228C">
        <w:rPr>
          <w:noProof/>
        </w:rPr>
        <w:t xml:space="preserve"> i</w:t>
      </w:r>
      <w:r w:rsidR="00CC55C0">
        <w:rPr>
          <w:noProof/>
        </w:rPr>
        <w:t> </w:t>
      </w:r>
      <w:r w:rsidR="00CC55C0" w:rsidRPr="0071228C">
        <w:rPr>
          <w:noProof/>
        </w:rPr>
        <w:t>Rad</w:t>
      </w:r>
      <w:r w:rsidR="00E3706C" w:rsidRPr="0071228C">
        <w:rPr>
          <w:noProof/>
        </w:rPr>
        <w:t>y 2009/128/WE</w:t>
      </w:r>
      <w:r w:rsidR="00E3706C" w:rsidRPr="0071228C">
        <w:rPr>
          <w:rStyle w:val="FootnoteReference"/>
          <w:noProof/>
        </w:rPr>
        <w:footnoteReference w:id="55"/>
      </w:r>
      <w:r w:rsidR="00E3706C" w:rsidRPr="0071228C">
        <w:rPr>
          <w:noProof/>
        </w:rPr>
        <w:t>, dyrektywę Parlamentu Europejskiego</w:t>
      </w:r>
      <w:r w:rsidR="00CC55C0" w:rsidRPr="0071228C">
        <w:rPr>
          <w:noProof/>
        </w:rPr>
        <w:t xml:space="preserve"> i</w:t>
      </w:r>
      <w:r w:rsidR="00CC55C0">
        <w:rPr>
          <w:noProof/>
        </w:rPr>
        <w:t> </w:t>
      </w:r>
      <w:r w:rsidR="00CC55C0" w:rsidRPr="0071228C">
        <w:rPr>
          <w:noProof/>
        </w:rPr>
        <w:t>Rad</w:t>
      </w:r>
      <w:r w:rsidR="00E3706C" w:rsidRPr="0071228C">
        <w:rPr>
          <w:noProof/>
        </w:rPr>
        <w:t>y 2010/75/UE</w:t>
      </w:r>
      <w:r w:rsidR="00E3706C" w:rsidRPr="0071228C">
        <w:rPr>
          <w:rStyle w:val="FootnoteReference"/>
          <w:noProof/>
        </w:rPr>
        <w:footnoteReference w:id="56"/>
      </w:r>
      <w:r w:rsidR="00E3706C" w:rsidRPr="0071228C">
        <w:rPr>
          <w:noProof/>
        </w:rPr>
        <w:t xml:space="preserve"> oraz dyrektywę Rady 91/271/EWG</w:t>
      </w:r>
      <w:r w:rsidR="00E3706C" w:rsidRPr="0071228C">
        <w:rPr>
          <w:rStyle w:val="FootnoteReference"/>
          <w:noProof/>
        </w:rPr>
        <w:footnoteReference w:id="57"/>
      </w:r>
      <w:r w:rsidR="00E3706C" w:rsidRPr="0071228C">
        <w:rPr>
          <w:noProof/>
        </w:rPr>
        <w:t>,</w:t>
      </w:r>
      <w:r w:rsidR="00CC55C0" w:rsidRPr="0071228C">
        <w:rPr>
          <w:noProof/>
        </w:rPr>
        <w:t xml:space="preserve"> i</w:t>
      </w:r>
      <w:r w:rsidR="00CC55C0">
        <w:rPr>
          <w:noProof/>
        </w:rPr>
        <w:t> </w:t>
      </w:r>
      <w:r w:rsidR="00CC55C0" w:rsidRPr="0071228C">
        <w:rPr>
          <w:noProof/>
        </w:rPr>
        <w:t>jes</w:t>
      </w:r>
      <w:r w:rsidR="00E3706C" w:rsidRPr="0071228C">
        <w:rPr>
          <w:noProof/>
        </w:rPr>
        <w:t>t</w:t>
      </w:r>
      <w:r w:rsidR="00CC55C0" w:rsidRPr="0071228C">
        <w:rPr>
          <w:noProof/>
        </w:rPr>
        <w:t xml:space="preserve"> z</w:t>
      </w:r>
      <w:r w:rsidR="00CC55C0">
        <w:rPr>
          <w:noProof/>
        </w:rPr>
        <w:t> </w:t>
      </w:r>
      <w:r w:rsidR="00CC55C0" w:rsidRPr="0071228C">
        <w:rPr>
          <w:noProof/>
        </w:rPr>
        <w:t>nim</w:t>
      </w:r>
      <w:r w:rsidR="00E3706C" w:rsidRPr="0071228C">
        <w:rPr>
          <w:noProof/>
        </w:rPr>
        <w:t xml:space="preserve">i spójne. </w:t>
      </w:r>
    </w:p>
    <w:p w14:paraId="57D14E45" w14:textId="6972473D" w:rsidR="004053CF" w:rsidRPr="0071228C" w:rsidRDefault="00B000C3" w:rsidP="00B000C3">
      <w:pPr>
        <w:pStyle w:val="ManualConsidrant"/>
        <w:rPr>
          <w:noProof/>
        </w:rPr>
      </w:pPr>
      <w:r w:rsidRPr="00B000C3">
        <w:t>(8)</w:t>
      </w:r>
      <w:r w:rsidRPr="00B000C3">
        <w:tab/>
      </w:r>
      <w:r w:rsidR="004053CF" w:rsidRPr="0071228C">
        <w:rPr>
          <w:noProof/>
        </w:rPr>
        <w:t>Nowa wiedza naukowa wskazuje na znaczne zagrożenie ze strony szeregu innych substancji zanieczyszczających występujących</w:t>
      </w:r>
      <w:r w:rsidR="00CC55C0" w:rsidRPr="0071228C">
        <w:rPr>
          <w:noProof/>
        </w:rPr>
        <w:t xml:space="preserve"> w</w:t>
      </w:r>
      <w:r w:rsidR="00CC55C0">
        <w:rPr>
          <w:noProof/>
        </w:rPr>
        <w:t> </w:t>
      </w:r>
      <w:r w:rsidR="00CC55C0" w:rsidRPr="0071228C">
        <w:rPr>
          <w:noProof/>
        </w:rPr>
        <w:t>czę</w:t>
      </w:r>
      <w:r w:rsidR="004053CF" w:rsidRPr="0071228C">
        <w:rPr>
          <w:noProof/>
        </w:rPr>
        <w:t>ściach wód, oprócz tych już uregulowanych</w:t>
      </w:r>
      <w:r w:rsidR="00CC55C0" w:rsidRPr="00CC55C0">
        <w:rPr>
          <w:noProof/>
        </w:rPr>
        <w:t>. W</w:t>
      </w:r>
      <w:r w:rsidR="00CC55C0">
        <w:rPr>
          <w:noProof/>
        </w:rPr>
        <w:t> </w:t>
      </w:r>
      <w:r w:rsidR="00CC55C0" w:rsidRPr="0071228C">
        <w:rPr>
          <w:noProof/>
        </w:rPr>
        <w:t>ram</w:t>
      </w:r>
      <w:r w:rsidR="004053CF" w:rsidRPr="0071228C">
        <w:rPr>
          <w:noProof/>
        </w:rPr>
        <w:t>ach dobrowolnego monitorowania substancji per-</w:t>
      </w:r>
      <w:r w:rsidR="00CC55C0" w:rsidRPr="0071228C">
        <w:rPr>
          <w:noProof/>
        </w:rPr>
        <w:t xml:space="preserve"> i</w:t>
      </w:r>
      <w:r w:rsidR="00CC55C0">
        <w:rPr>
          <w:noProof/>
        </w:rPr>
        <w:t> </w:t>
      </w:r>
      <w:r w:rsidR="00CC55C0" w:rsidRPr="0071228C">
        <w:rPr>
          <w:noProof/>
        </w:rPr>
        <w:t>pol</w:t>
      </w:r>
      <w:r w:rsidR="004053CF" w:rsidRPr="0071228C">
        <w:rPr>
          <w:noProof/>
        </w:rPr>
        <w:t>ifluoroalkilowych (PFAS) oraz produktów farmaceutycznych wykryto szczególny problem</w:t>
      </w:r>
      <w:r w:rsidR="00CC55C0" w:rsidRPr="0071228C">
        <w:rPr>
          <w:noProof/>
        </w:rPr>
        <w:t xml:space="preserve"> w</w:t>
      </w:r>
      <w:r w:rsidR="00CC55C0">
        <w:rPr>
          <w:noProof/>
        </w:rPr>
        <w:t> </w:t>
      </w:r>
      <w:r w:rsidR="00CC55C0" w:rsidRPr="0071228C">
        <w:rPr>
          <w:noProof/>
        </w:rPr>
        <w:t>prz</w:t>
      </w:r>
      <w:r w:rsidR="004053CF" w:rsidRPr="0071228C">
        <w:rPr>
          <w:noProof/>
        </w:rPr>
        <w:t>ypadku wód podziemnych. PFAS wykryto</w:t>
      </w:r>
      <w:r w:rsidR="00CC55C0" w:rsidRPr="0071228C">
        <w:rPr>
          <w:noProof/>
        </w:rPr>
        <w:t xml:space="preserve"> w</w:t>
      </w:r>
      <w:r w:rsidR="00CC55C0">
        <w:rPr>
          <w:noProof/>
        </w:rPr>
        <w:t> </w:t>
      </w:r>
      <w:r w:rsidR="00CC55C0" w:rsidRPr="0071228C">
        <w:rPr>
          <w:noProof/>
        </w:rPr>
        <w:t>pon</w:t>
      </w:r>
      <w:r w:rsidR="004053CF" w:rsidRPr="0071228C">
        <w:rPr>
          <w:noProof/>
        </w:rPr>
        <w:t>ad 7</w:t>
      </w:r>
      <w:r w:rsidR="004053CF" w:rsidRPr="00CC55C0">
        <w:rPr>
          <w:noProof/>
        </w:rPr>
        <w:t>0</w:t>
      </w:r>
      <w:r w:rsidR="00CC55C0" w:rsidRPr="00CC55C0">
        <w:rPr>
          <w:noProof/>
        </w:rPr>
        <w:t> </w:t>
      </w:r>
      <w:r w:rsidR="004053CF" w:rsidRPr="00CC55C0">
        <w:rPr>
          <w:noProof/>
        </w:rPr>
        <w:t>%</w:t>
      </w:r>
      <w:r w:rsidR="004053CF" w:rsidRPr="0071228C">
        <w:rPr>
          <w:noProof/>
        </w:rPr>
        <w:t xml:space="preserve"> punktów pomiarowych wód podziemnych</w:t>
      </w:r>
      <w:r w:rsidR="00CC55C0" w:rsidRPr="0071228C">
        <w:rPr>
          <w:noProof/>
        </w:rPr>
        <w:t xml:space="preserve"> w</w:t>
      </w:r>
      <w:r w:rsidR="00CC55C0">
        <w:rPr>
          <w:noProof/>
        </w:rPr>
        <w:t> </w:t>
      </w:r>
      <w:r w:rsidR="00CC55C0" w:rsidRPr="0071228C">
        <w:rPr>
          <w:noProof/>
        </w:rPr>
        <w:t>Uni</w:t>
      </w:r>
      <w:r w:rsidR="004053CF" w:rsidRPr="0071228C">
        <w:rPr>
          <w:noProof/>
        </w:rPr>
        <w:t>i,</w:t>
      </w:r>
      <w:r w:rsidR="00CC55C0" w:rsidRPr="0071228C">
        <w:rPr>
          <w:noProof/>
        </w:rPr>
        <w:t xml:space="preserve"> a</w:t>
      </w:r>
      <w:r w:rsidR="00CC55C0">
        <w:rPr>
          <w:noProof/>
        </w:rPr>
        <w:t> </w:t>
      </w:r>
      <w:r w:rsidR="00CC55C0" w:rsidRPr="0071228C">
        <w:rPr>
          <w:noProof/>
        </w:rPr>
        <w:t>obo</w:t>
      </w:r>
      <w:r w:rsidR="004053CF" w:rsidRPr="0071228C">
        <w:rPr>
          <w:noProof/>
        </w:rPr>
        <w:t>wiązujące progi krajowe są wyraźnie przekroczone</w:t>
      </w:r>
      <w:r w:rsidR="00CC55C0" w:rsidRPr="0071228C">
        <w:rPr>
          <w:noProof/>
        </w:rPr>
        <w:t xml:space="preserve"> w</w:t>
      </w:r>
      <w:r w:rsidR="00CC55C0">
        <w:rPr>
          <w:noProof/>
        </w:rPr>
        <w:t> </w:t>
      </w:r>
      <w:r w:rsidR="00CC55C0" w:rsidRPr="0071228C">
        <w:rPr>
          <w:noProof/>
        </w:rPr>
        <w:t>zna</w:t>
      </w:r>
      <w:r w:rsidR="004053CF" w:rsidRPr="0071228C">
        <w:rPr>
          <w:noProof/>
        </w:rPr>
        <w:t>cznej liczbie miejsc, przy czym powszechnie stwierdza się również obecność substancji farmaceutycznych</w:t>
      </w:r>
      <w:r w:rsidR="00CC55C0" w:rsidRPr="0071228C">
        <w:rPr>
          <w:noProof/>
        </w:rPr>
        <w:t>. W</w:t>
      </w:r>
      <w:r w:rsidR="00CC55C0">
        <w:rPr>
          <w:noProof/>
        </w:rPr>
        <w:t> </w:t>
      </w:r>
      <w:r w:rsidR="00CC55C0" w:rsidRPr="0071228C">
        <w:rPr>
          <w:noProof/>
        </w:rPr>
        <w:t>prz</w:t>
      </w:r>
      <w:r w:rsidR="004053CF" w:rsidRPr="0071228C">
        <w:rPr>
          <w:noProof/>
        </w:rPr>
        <w:t>ypadku wód powierzchniowych kwas perfluorookatnosulfonowy</w:t>
      </w:r>
      <w:r w:rsidR="00CC55C0" w:rsidRPr="0071228C">
        <w:rPr>
          <w:noProof/>
        </w:rPr>
        <w:t xml:space="preserve"> i</w:t>
      </w:r>
      <w:r w:rsidR="00CC55C0">
        <w:rPr>
          <w:noProof/>
        </w:rPr>
        <w:t> </w:t>
      </w:r>
      <w:r w:rsidR="00CC55C0" w:rsidRPr="0071228C">
        <w:rPr>
          <w:noProof/>
        </w:rPr>
        <w:t>jeg</w:t>
      </w:r>
      <w:r w:rsidR="004053CF" w:rsidRPr="0071228C">
        <w:rPr>
          <w:noProof/>
        </w:rPr>
        <w:t>o pochodne wymieniono już jako substancje priorytetowe, ale obecnie uznaje się, że inne PFAS również stanowią zagrożenie</w:t>
      </w:r>
      <w:r w:rsidR="00CC55C0" w:rsidRPr="0071228C">
        <w:rPr>
          <w:noProof/>
        </w:rPr>
        <w:t>. W</w:t>
      </w:r>
      <w:r w:rsidR="00CC55C0">
        <w:rPr>
          <w:noProof/>
        </w:rPr>
        <w:t> </w:t>
      </w:r>
      <w:r w:rsidR="00CC55C0" w:rsidRPr="0071228C">
        <w:rPr>
          <w:noProof/>
        </w:rPr>
        <w:t>ram</w:t>
      </w:r>
      <w:r w:rsidR="004053CF" w:rsidRPr="0071228C">
        <w:rPr>
          <w:noProof/>
        </w:rPr>
        <w:t>ach monitorowania</w:t>
      </w:r>
      <w:r w:rsidR="00CC55C0" w:rsidRPr="0071228C">
        <w:rPr>
          <w:noProof/>
        </w:rPr>
        <w:t xml:space="preserve"> w</w:t>
      </w:r>
      <w:r w:rsidR="00CC55C0">
        <w:rPr>
          <w:noProof/>
        </w:rPr>
        <w:t> </w:t>
      </w:r>
      <w:r w:rsidR="00CC55C0" w:rsidRPr="0071228C">
        <w:rPr>
          <w:noProof/>
        </w:rPr>
        <w:t>odn</w:t>
      </w:r>
      <w:r w:rsidR="004053CF" w:rsidRPr="0071228C">
        <w:rPr>
          <w:noProof/>
        </w:rPr>
        <w:t xml:space="preserve">iesieniu do każdej poszczególnej substancji na liście obserwacyjnej na podstawie </w:t>
      </w:r>
      <w:r w:rsidR="004053CF" w:rsidRPr="00CC55C0">
        <w:rPr>
          <w:noProof/>
        </w:rPr>
        <w:t>art.</w:t>
      </w:r>
      <w:r w:rsidR="00CC55C0" w:rsidRPr="00CC55C0">
        <w:rPr>
          <w:noProof/>
        </w:rPr>
        <w:t> </w:t>
      </w:r>
      <w:r w:rsidR="004053CF" w:rsidRPr="00CC55C0">
        <w:rPr>
          <w:noProof/>
        </w:rPr>
        <w:t>8</w:t>
      </w:r>
      <w:r w:rsidR="004053CF" w:rsidRPr="0071228C">
        <w:rPr>
          <w:noProof/>
        </w:rPr>
        <w:t>b dyrektywy 2008/105/WE potwierdzono, że szereg substancji farmaceutycznych stwarza zagrożenie dla wód powierzchniowych,</w:t>
      </w:r>
      <w:r w:rsidR="00CC55C0" w:rsidRPr="0071228C">
        <w:rPr>
          <w:noProof/>
        </w:rPr>
        <w:t xml:space="preserve"> w</w:t>
      </w:r>
      <w:r w:rsidR="00CC55C0">
        <w:rPr>
          <w:noProof/>
        </w:rPr>
        <w:t> </w:t>
      </w:r>
      <w:r w:rsidR="00CC55C0" w:rsidRPr="0071228C">
        <w:rPr>
          <w:noProof/>
        </w:rPr>
        <w:t>zwi</w:t>
      </w:r>
      <w:r w:rsidR="004053CF" w:rsidRPr="0071228C">
        <w:rPr>
          <w:noProof/>
        </w:rPr>
        <w:t>ązku</w:t>
      </w:r>
      <w:r w:rsidR="00CC55C0" w:rsidRPr="0071228C">
        <w:rPr>
          <w:noProof/>
        </w:rPr>
        <w:t xml:space="preserve"> z</w:t>
      </w:r>
      <w:r w:rsidR="00CC55C0">
        <w:rPr>
          <w:noProof/>
        </w:rPr>
        <w:t> </w:t>
      </w:r>
      <w:r w:rsidR="00CC55C0" w:rsidRPr="0071228C">
        <w:rPr>
          <w:noProof/>
        </w:rPr>
        <w:t>czy</w:t>
      </w:r>
      <w:r w:rsidR="004053CF" w:rsidRPr="0071228C">
        <w:rPr>
          <w:noProof/>
        </w:rPr>
        <w:t>m należy je umieścić</w:t>
      </w:r>
      <w:r w:rsidR="00CC55C0" w:rsidRPr="0071228C">
        <w:rPr>
          <w:noProof/>
        </w:rPr>
        <w:t xml:space="preserve"> w</w:t>
      </w:r>
      <w:r w:rsidR="00CC55C0">
        <w:rPr>
          <w:noProof/>
        </w:rPr>
        <w:t> </w:t>
      </w:r>
      <w:r w:rsidR="00CC55C0" w:rsidRPr="0071228C">
        <w:rPr>
          <w:noProof/>
        </w:rPr>
        <w:t>wyk</w:t>
      </w:r>
      <w:r w:rsidR="004053CF" w:rsidRPr="0071228C">
        <w:rPr>
          <w:noProof/>
        </w:rPr>
        <w:t xml:space="preserve">azie substancji priorytetowych. </w:t>
      </w:r>
    </w:p>
    <w:p w14:paraId="13B48E67" w14:textId="7FF808B0" w:rsidR="002B7922" w:rsidRPr="0071228C" w:rsidRDefault="00B000C3" w:rsidP="00B000C3">
      <w:pPr>
        <w:pStyle w:val="ManualConsidrant"/>
        <w:rPr>
          <w:noProof/>
        </w:rPr>
      </w:pPr>
      <w:r w:rsidRPr="00B000C3">
        <w:t>(9)</w:t>
      </w:r>
      <w:r w:rsidRPr="00B000C3">
        <w:tab/>
      </w:r>
      <w:r w:rsidR="002B7922" w:rsidRPr="0071228C">
        <w:rPr>
          <w:noProof/>
        </w:rPr>
        <w:t>Dyrektywa 2000/60/WE wymaga, aby państwa członkowskie identyfikowały jednolite części wód wykorzystywane do poboru wody przeznaczonej do spożycia przez ludzi, monitorowały je</w:t>
      </w:r>
      <w:r w:rsidR="00CC55C0" w:rsidRPr="0071228C">
        <w:rPr>
          <w:noProof/>
        </w:rPr>
        <w:t xml:space="preserve"> i</w:t>
      </w:r>
      <w:r w:rsidR="00CC55C0">
        <w:rPr>
          <w:noProof/>
        </w:rPr>
        <w:t> </w:t>
      </w:r>
      <w:r w:rsidR="00CC55C0" w:rsidRPr="0071228C">
        <w:rPr>
          <w:noProof/>
        </w:rPr>
        <w:t>sto</w:t>
      </w:r>
      <w:r w:rsidR="002B7922" w:rsidRPr="0071228C">
        <w:rPr>
          <w:noProof/>
        </w:rPr>
        <w:t>sowały niezbędne środki zapobiegające pogorszeniu się ich jakości</w:t>
      </w:r>
      <w:r w:rsidR="00CC55C0" w:rsidRPr="0071228C">
        <w:rPr>
          <w:noProof/>
        </w:rPr>
        <w:t xml:space="preserve"> w</w:t>
      </w:r>
      <w:r w:rsidR="00CC55C0">
        <w:rPr>
          <w:noProof/>
        </w:rPr>
        <w:t> </w:t>
      </w:r>
      <w:r w:rsidR="00CC55C0" w:rsidRPr="0071228C">
        <w:rPr>
          <w:noProof/>
        </w:rPr>
        <w:t>cel</w:t>
      </w:r>
      <w:r w:rsidR="002B7922" w:rsidRPr="0071228C">
        <w:rPr>
          <w:noProof/>
        </w:rPr>
        <w:t>u zredukowania poziomu uzdatniania wymaganego dla produkcji wody zdatnej do spożycia przez ludzi</w:t>
      </w:r>
      <w:r w:rsidR="00CC55C0" w:rsidRPr="0071228C">
        <w:rPr>
          <w:noProof/>
        </w:rPr>
        <w:t>. W</w:t>
      </w:r>
      <w:r w:rsidR="00CC55C0">
        <w:rPr>
          <w:noProof/>
        </w:rPr>
        <w:t> </w:t>
      </w:r>
      <w:r w:rsidR="00CC55C0" w:rsidRPr="0071228C">
        <w:rPr>
          <w:noProof/>
        </w:rPr>
        <w:t>tym</w:t>
      </w:r>
      <w:r w:rsidR="002B7922" w:rsidRPr="0071228C">
        <w:rPr>
          <w:noProof/>
        </w:rPr>
        <w:t xml:space="preserve"> kontekście mikrodrobiny plastiku zidentyfikowano jako stwarzające potencjalne zagrożenie dla zdrowia ludzkiego, ale należy zgromadzić więcej danych</w:t>
      </w:r>
      <w:r w:rsidR="00CC55C0" w:rsidRPr="0071228C">
        <w:rPr>
          <w:noProof/>
        </w:rPr>
        <w:t xml:space="preserve"> z</w:t>
      </w:r>
      <w:r w:rsidR="00CC55C0">
        <w:rPr>
          <w:noProof/>
        </w:rPr>
        <w:t> </w:t>
      </w:r>
      <w:r w:rsidR="00CC55C0" w:rsidRPr="0071228C">
        <w:rPr>
          <w:noProof/>
        </w:rPr>
        <w:t>mon</w:t>
      </w:r>
      <w:r w:rsidR="002B7922" w:rsidRPr="0071228C">
        <w:rPr>
          <w:noProof/>
        </w:rPr>
        <w:t>itorowania, aby potwierdzić konieczność ustanowienia środowiskowej normy jakości dla mikrodrobin plastiku</w:t>
      </w:r>
      <w:r w:rsidR="00CC55C0" w:rsidRPr="0071228C">
        <w:rPr>
          <w:noProof/>
        </w:rPr>
        <w:t xml:space="preserve"> w</w:t>
      </w:r>
      <w:r w:rsidR="00CC55C0">
        <w:rPr>
          <w:noProof/>
        </w:rPr>
        <w:t> </w:t>
      </w:r>
      <w:r w:rsidR="00CC55C0" w:rsidRPr="0071228C">
        <w:rPr>
          <w:noProof/>
        </w:rPr>
        <w:t>wod</w:t>
      </w:r>
      <w:r w:rsidR="002B7922" w:rsidRPr="0071228C">
        <w:rPr>
          <w:noProof/>
        </w:rPr>
        <w:t>ach powierzchniowych</w:t>
      </w:r>
      <w:r w:rsidR="00CC55C0" w:rsidRPr="0071228C">
        <w:rPr>
          <w:noProof/>
        </w:rPr>
        <w:t xml:space="preserve"> i</w:t>
      </w:r>
      <w:r w:rsidR="00CC55C0">
        <w:rPr>
          <w:noProof/>
        </w:rPr>
        <w:t> </w:t>
      </w:r>
      <w:r w:rsidR="00CC55C0" w:rsidRPr="0071228C">
        <w:rPr>
          <w:noProof/>
        </w:rPr>
        <w:t>gru</w:t>
      </w:r>
      <w:r w:rsidR="002B7922" w:rsidRPr="0071228C">
        <w:rPr>
          <w:noProof/>
        </w:rPr>
        <w:t>ntowych. Mikrodrobiny plastiku należy zatem umieścić na listach obserwacyjnych wód powierzchniowych</w:t>
      </w:r>
      <w:r w:rsidR="00CC55C0" w:rsidRPr="0071228C">
        <w:rPr>
          <w:noProof/>
        </w:rPr>
        <w:t xml:space="preserve"> i</w:t>
      </w:r>
      <w:r w:rsidR="00CC55C0">
        <w:rPr>
          <w:noProof/>
        </w:rPr>
        <w:t> </w:t>
      </w:r>
      <w:r w:rsidR="00CC55C0" w:rsidRPr="0071228C">
        <w:rPr>
          <w:noProof/>
        </w:rPr>
        <w:t>pod</w:t>
      </w:r>
      <w:r w:rsidR="002B7922" w:rsidRPr="0071228C">
        <w:rPr>
          <w:noProof/>
        </w:rPr>
        <w:t>ziemnych</w:t>
      </w:r>
      <w:r w:rsidR="00CC55C0" w:rsidRPr="0071228C">
        <w:rPr>
          <w:noProof/>
        </w:rPr>
        <w:t xml:space="preserve"> i</w:t>
      </w:r>
      <w:r w:rsidR="00CC55C0">
        <w:rPr>
          <w:noProof/>
        </w:rPr>
        <w:t> </w:t>
      </w:r>
      <w:r w:rsidR="00CC55C0" w:rsidRPr="0071228C">
        <w:rPr>
          <w:noProof/>
        </w:rPr>
        <w:t>mon</w:t>
      </w:r>
      <w:r w:rsidR="002B7922" w:rsidRPr="0071228C">
        <w:rPr>
          <w:noProof/>
        </w:rPr>
        <w:t>itorować je, gdy tylko Komisja określi odpowiednie metody monitorowania</w:t>
      </w:r>
      <w:r w:rsidR="00CC55C0" w:rsidRPr="0071228C">
        <w:rPr>
          <w:noProof/>
        </w:rPr>
        <w:t>. W</w:t>
      </w:r>
      <w:r w:rsidR="00CC55C0">
        <w:rPr>
          <w:noProof/>
        </w:rPr>
        <w:t> </w:t>
      </w:r>
      <w:r w:rsidR="00CC55C0" w:rsidRPr="0071228C">
        <w:rPr>
          <w:noProof/>
        </w:rPr>
        <w:t>tym</w:t>
      </w:r>
      <w:r w:rsidR="002B7922" w:rsidRPr="0071228C">
        <w:rPr>
          <w:noProof/>
        </w:rPr>
        <w:t xml:space="preserve"> kontekście należy uwzględnić metody monitorowania</w:t>
      </w:r>
      <w:r w:rsidR="00CC55C0" w:rsidRPr="0071228C">
        <w:rPr>
          <w:noProof/>
        </w:rPr>
        <w:t xml:space="preserve"> i</w:t>
      </w:r>
      <w:r w:rsidR="00CC55C0">
        <w:rPr>
          <w:noProof/>
        </w:rPr>
        <w:t> </w:t>
      </w:r>
      <w:r w:rsidR="00CC55C0" w:rsidRPr="0071228C">
        <w:rPr>
          <w:noProof/>
        </w:rPr>
        <w:t>oce</w:t>
      </w:r>
      <w:r w:rsidR="002B7922" w:rsidRPr="0071228C">
        <w:rPr>
          <w:noProof/>
        </w:rPr>
        <w:t>ny ryzyka związanego</w:t>
      </w:r>
      <w:r w:rsidR="00CC55C0" w:rsidRPr="0071228C">
        <w:rPr>
          <w:noProof/>
        </w:rPr>
        <w:t xml:space="preserve"> z</w:t>
      </w:r>
      <w:r w:rsidR="00CC55C0">
        <w:rPr>
          <w:noProof/>
        </w:rPr>
        <w:t> </w:t>
      </w:r>
      <w:r w:rsidR="00CC55C0" w:rsidRPr="0071228C">
        <w:rPr>
          <w:noProof/>
        </w:rPr>
        <w:t>mik</w:t>
      </w:r>
      <w:r w:rsidR="002B7922" w:rsidRPr="0071228C">
        <w:rPr>
          <w:noProof/>
        </w:rPr>
        <w:t>rodrobinami plastiku</w:t>
      </w:r>
      <w:r w:rsidR="00CC55C0" w:rsidRPr="0071228C">
        <w:rPr>
          <w:noProof/>
        </w:rPr>
        <w:t xml:space="preserve"> w</w:t>
      </w:r>
      <w:r w:rsidR="00CC55C0">
        <w:rPr>
          <w:noProof/>
        </w:rPr>
        <w:t> </w:t>
      </w:r>
      <w:r w:rsidR="00CC55C0" w:rsidRPr="0071228C">
        <w:rPr>
          <w:noProof/>
        </w:rPr>
        <w:t>wod</w:t>
      </w:r>
      <w:r w:rsidR="002B7922" w:rsidRPr="0071228C">
        <w:rPr>
          <w:noProof/>
        </w:rPr>
        <w:t>zie pitnej opracowane na podstawie dyrektywy Parlamentu Europejskiego</w:t>
      </w:r>
      <w:r w:rsidR="00CC55C0" w:rsidRPr="0071228C">
        <w:rPr>
          <w:noProof/>
        </w:rPr>
        <w:t xml:space="preserve"> i</w:t>
      </w:r>
      <w:r w:rsidR="00CC55C0">
        <w:rPr>
          <w:noProof/>
        </w:rPr>
        <w:t> </w:t>
      </w:r>
      <w:r w:rsidR="00CC55C0" w:rsidRPr="0071228C">
        <w:rPr>
          <w:noProof/>
        </w:rPr>
        <w:t>Rad</w:t>
      </w:r>
      <w:r w:rsidR="002B7922" w:rsidRPr="0071228C">
        <w:rPr>
          <w:noProof/>
        </w:rPr>
        <w:t>y (UE) 2020/2184</w:t>
      </w:r>
      <w:r w:rsidR="002B7922" w:rsidRPr="0071228C">
        <w:rPr>
          <w:rStyle w:val="FootnoteReference"/>
          <w:noProof/>
        </w:rPr>
        <w:footnoteReference w:id="58"/>
      </w:r>
      <w:r w:rsidR="002B7922" w:rsidRPr="0071228C">
        <w:rPr>
          <w:noProof/>
        </w:rPr>
        <w:t xml:space="preserve">. </w:t>
      </w:r>
    </w:p>
    <w:p w14:paraId="10C7B706" w14:textId="4B04532F" w:rsidR="00C96221" w:rsidRPr="0071228C" w:rsidRDefault="00B000C3" w:rsidP="00B000C3">
      <w:pPr>
        <w:pStyle w:val="ManualConsidrant"/>
        <w:rPr>
          <w:noProof/>
        </w:rPr>
      </w:pPr>
      <w:r w:rsidRPr="00B000C3">
        <w:t>(10)</w:t>
      </w:r>
      <w:r w:rsidRPr="00B000C3">
        <w:tab/>
      </w:r>
      <w:r w:rsidR="00C96221" w:rsidRPr="0071228C">
        <w:rPr>
          <w:noProof/>
        </w:rPr>
        <w:t>Wyrażono obawy dotyczące ryzyka rozwoju oporności na środki przeciwdrobnoustrojowe</w:t>
      </w:r>
      <w:r w:rsidR="00CC55C0" w:rsidRPr="0071228C">
        <w:rPr>
          <w:noProof/>
        </w:rPr>
        <w:t xml:space="preserve"> w</w:t>
      </w:r>
      <w:r w:rsidR="00CC55C0">
        <w:rPr>
          <w:noProof/>
        </w:rPr>
        <w:t> </w:t>
      </w:r>
      <w:r w:rsidR="00CC55C0" w:rsidRPr="0071228C">
        <w:rPr>
          <w:noProof/>
        </w:rPr>
        <w:t>zwi</w:t>
      </w:r>
      <w:r w:rsidR="00C96221" w:rsidRPr="0071228C">
        <w:rPr>
          <w:noProof/>
        </w:rPr>
        <w:t>ązku</w:t>
      </w:r>
      <w:r w:rsidR="00CC55C0" w:rsidRPr="0071228C">
        <w:rPr>
          <w:noProof/>
        </w:rPr>
        <w:t xml:space="preserve"> z</w:t>
      </w:r>
      <w:r w:rsidR="00CC55C0">
        <w:rPr>
          <w:noProof/>
        </w:rPr>
        <w:t> </w:t>
      </w:r>
      <w:r w:rsidR="00CC55C0" w:rsidRPr="0071228C">
        <w:rPr>
          <w:noProof/>
        </w:rPr>
        <w:t>obe</w:t>
      </w:r>
      <w:r w:rsidR="00C96221" w:rsidRPr="0071228C">
        <w:rPr>
          <w:noProof/>
        </w:rPr>
        <w:t>cnością</w:t>
      </w:r>
      <w:r w:rsidR="00CC55C0" w:rsidRPr="0071228C">
        <w:rPr>
          <w:noProof/>
        </w:rPr>
        <w:t xml:space="preserve"> w</w:t>
      </w:r>
      <w:r w:rsidR="00CC55C0">
        <w:rPr>
          <w:noProof/>
        </w:rPr>
        <w:t> </w:t>
      </w:r>
      <w:r w:rsidR="00CC55C0" w:rsidRPr="0071228C">
        <w:rPr>
          <w:noProof/>
        </w:rPr>
        <w:t>śro</w:t>
      </w:r>
      <w:r w:rsidR="00C96221" w:rsidRPr="0071228C">
        <w:rPr>
          <w:noProof/>
        </w:rPr>
        <w:t>dowisku wodnym mikroorganizmów</w:t>
      </w:r>
      <w:r w:rsidR="00CC55C0" w:rsidRPr="0071228C">
        <w:rPr>
          <w:noProof/>
        </w:rPr>
        <w:t xml:space="preserve"> i</w:t>
      </w:r>
      <w:r w:rsidR="00CC55C0">
        <w:rPr>
          <w:noProof/>
        </w:rPr>
        <w:t> </w:t>
      </w:r>
      <w:r w:rsidR="00CC55C0" w:rsidRPr="0071228C">
        <w:rPr>
          <w:noProof/>
        </w:rPr>
        <w:t>gen</w:t>
      </w:r>
      <w:r w:rsidR="00C96221" w:rsidRPr="0071228C">
        <w:rPr>
          <w:noProof/>
        </w:rPr>
        <w:t>ów oporności na środki przeciwdrobnoustrojowe, ale działania monitorujące</w:t>
      </w:r>
      <w:r w:rsidR="00CC55C0" w:rsidRPr="0071228C">
        <w:rPr>
          <w:noProof/>
        </w:rPr>
        <w:t xml:space="preserve"> w</w:t>
      </w:r>
      <w:r w:rsidR="00CC55C0">
        <w:rPr>
          <w:noProof/>
        </w:rPr>
        <w:t> </w:t>
      </w:r>
      <w:r w:rsidR="00CC55C0" w:rsidRPr="0071228C">
        <w:rPr>
          <w:noProof/>
        </w:rPr>
        <w:t>tym</w:t>
      </w:r>
      <w:r w:rsidR="00C96221" w:rsidRPr="0071228C">
        <w:rPr>
          <w:noProof/>
        </w:rPr>
        <w:t xml:space="preserve"> względzie były ograniczone. Istotne geny oporności na środki przeciwdrobnoustrojowe należy również umieścić na listach obserwacyjnych wód powierzchniowych</w:t>
      </w:r>
      <w:r w:rsidR="00CC55C0" w:rsidRPr="0071228C">
        <w:rPr>
          <w:noProof/>
        </w:rPr>
        <w:t xml:space="preserve"> i</w:t>
      </w:r>
      <w:r w:rsidR="00CC55C0">
        <w:rPr>
          <w:noProof/>
        </w:rPr>
        <w:t> </w:t>
      </w:r>
      <w:r w:rsidR="00CC55C0" w:rsidRPr="0071228C">
        <w:rPr>
          <w:noProof/>
        </w:rPr>
        <w:t>gru</w:t>
      </w:r>
      <w:r w:rsidR="00C96221" w:rsidRPr="0071228C">
        <w:rPr>
          <w:noProof/>
        </w:rPr>
        <w:t>ntowych</w:t>
      </w:r>
      <w:r w:rsidR="00CC55C0" w:rsidRPr="0071228C">
        <w:rPr>
          <w:noProof/>
        </w:rPr>
        <w:t xml:space="preserve"> i</w:t>
      </w:r>
      <w:r w:rsidR="00CC55C0">
        <w:rPr>
          <w:noProof/>
        </w:rPr>
        <w:t> </w:t>
      </w:r>
      <w:r w:rsidR="00CC55C0" w:rsidRPr="0071228C">
        <w:rPr>
          <w:noProof/>
        </w:rPr>
        <w:t>mon</w:t>
      </w:r>
      <w:r w:rsidR="00C96221" w:rsidRPr="0071228C">
        <w:rPr>
          <w:noProof/>
        </w:rPr>
        <w:t>itorować je, gdy tylko zostaną opracowane odpowiednie metody monitorowania. Jest to zgodne</w:t>
      </w:r>
      <w:r w:rsidR="00CC55C0" w:rsidRPr="0071228C">
        <w:rPr>
          <w:noProof/>
        </w:rPr>
        <w:t xml:space="preserve"> z</w:t>
      </w:r>
      <w:r w:rsidR="00CC55C0">
        <w:rPr>
          <w:noProof/>
        </w:rPr>
        <w:t> </w:t>
      </w:r>
      <w:r w:rsidR="00CC55C0" w:rsidRPr="0071228C">
        <w:rPr>
          <w:noProof/>
        </w:rPr>
        <w:t>Eur</w:t>
      </w:r>
      <w:r w:rsidR="00C96221" w:rsidRPr="0071228C">
        <w:rPr>
          <w:noProof/>
        </w:rPr>
        <w:t>opejskim planem działania „Jedno zdrowie” na rzecz zwalczania oporności na środki przeciwdrobnoustrojowe, przyjętym przez Komisję</w:t>
      </w:r>
      <w:r w:rsidR="00CC55C0" w:rsidRPr="0071228C">
        <w:rPr>
          <w:noProof/>
        </w:rPr>
        <w:t xml:space="preserve"> w</w:t>
      </w:r>
      <w:r w:rsidR="00CC55C0">
        <w:rPr>
          <w:noProof/>
        </w:rPr>
        <w:t> </w:t>
      </w:r>
      <w:r w:rsidR="00CC55C0" w:rsidRPr="0071228C">
        <w:rPr>
          <w:noProof/>
        </w:rPr>
        <w:t>cze</w:t>
      </w:r>
      <w:r w:rsidR="00C96221" w:rsidRPr="0071228C">
        <w:rPr>
          <w:noProof/>
        </w:rPr>
        <w:t>rwcu 20</w:t>
      </w:r>
      <w:r w:rsidR="00C96221" w:rsidRPr="00CC55C0">
        <w:rPr>
          <w:noProof/>
        </w:rPr>
        <w:t>17</w:t>
      </w:r>
      <w:r w:rsidR="00CC55C0" w:rsidRPr="00CC55C0">
        <w:rPr>
          <w:noProof/>
        </w:rPr>
        <w:t> </w:t>
      </w:r>
      <w:r w:rsidR="00C96221" w:rsidRPr="00CC55C0">
        <w:rPr>
          <w:noProof/>
        </w:rPr>
        <w:t>r.</w:t>
      </w:r>
      <w:r w:rsidR="00C96221" w:rsidRPr="0071228C">
        <w:rPr>
          <w:noProof/>
        </w:rPr>
        <w:t>, oraz ze strategią farmaceutyczną dla Europy, która również odnosi się do tego problemu.</w:t>
      </w:r>
    </w:p>
    <w:p w14:paraId="58C51E18" w14:textId="4AC036D4" w:rsidR="00A538E2" w:rsidRPr="0071228C" w:rsidRDefault="00B000C3" w:rsidP="00B000C3">
      <w:pPr>
        <w:pStyle w:val="ManualConsidrant"/>
        <w:rPr>
          <w:noProof/>
        </w:rPr>
      </w:pPr>
      <w:r w:rsidRPr="00B000C3">
        <w:t>(11)</w:t>
      </w:r>
      <w:r w:rsidRPr="00B000C3">
        <w:tab/>
      </w:r>
      <w:r w:rsidR="006979B3" w:rsidRPr="0071228C">
        <w:rPr>
          <w:noProof/>
        </w:rPr>
        <w:t>Biorąc pod uwagę rosnącą świadomość na temat znaczenia mieszanin,</w:t>
      </w:r>
      <w:r w:rsidR="00CC55C0" w:rsidRPr="0071228C">
        <w:rPr>
          <w:noProof/>
        </w:rPr>
        <w:t xml:space="preserve"> a</w:t>
      </w:r>
      <w:r w:rsidR="00CC55C0">
        <w:rPr>
          <w:noProof/>
        </w:rPr>
        <w:t> </w:t>
      </w:r>
      <w:r w:rsidR="00CC55C0" w:rsidRPr="0071228C">
        <w:rPr>
          <w:noProof/>
        </w:rPr>
        <w:t>tym</w:t>
      </w:r>
      <w:r w:rsidR="006979B3" w:rsidRPr="0071228C">
        <w:rPr>
          <w:noProof/>
        </w:rPr>
        <w:t xml:space="preserve"> samym na temat monitorowania opartego na skutkach</w:t>
      </w:r>
      <w:r w:rsidR="00CC55C0" w:rsidRPr="0071228C">
        <w:rPr>
          <w:noProof/>
        </w:rPr>
        <w:t xml:space="preserve"> w</w:t>
      </w:r>
      <w:r w:rsidR="00CC55C0">
        <w:rPr>
          <w:noProof/>
        </w:rPr>
        <w:t> </w:t>
      </w:r>
      <w:r w:rsidR="00CC55C0" w:rsidRPr="0071228C">
        <w:rPr>
          <w:noProof/>
        </w:rPr>
        <w:t>cel</w:t>
      </w:r>
      <w:r w:rsidR="006979B3" w:rsidRPr="0071228C">
        <w:rPr>
          <w:noProof/>
        </w:rPr>
        <w:t>u określenia statusu chemicznego, oraz biorąc pod uwagę, że istnieją już wystarczająco rzetelne metody monitorowania oparte na skutkach</w:t>
      </w:r>
      <w:r w:rsidR="00CC55C0" w:rsidRPr="0071228C">
        <w:rPr>
          <w:noProof/>
        </w:rPr>
        <w:t xml:space="preserve"> w</w:t>
      </w:r>
      <w:r w:rsidR="00CC55C0">
        <w:rPr>
          <w:noProof/>
        </w:rPr>
        <w:t> </w:t>
      </w:r>
      <w:r w:rsidR="00CC55C0" w:rsidRPr="0071228C">
        <w:rPr>
          <w:noProof/>
        </w:rPr>
        <w:t>odn</w:t>
      </w:r>
      <w:r w:rsidR="006979B3" w:rsidRPr="0071228C">
        <w:rPr>
          <w:noProof/>
        </w:rPr>
        <w:t>iesieniu do substancji estrogennych, państwa członkowskie powinny stosować takie metody do celów oceny skumulowanych skutków działania substancji estrogenowych</w:t>
      </w:r>
      <w:r w:rsidR="00CC55C0" w:rsidRPr="0071228C">
        <w:rPr>
          <w:noProof/>
        </w:rPr>
        <w:t xml:space="preserve"> w</w:t>
      </w:r>
      <w:r w:rsidR="00CC55C0">
        <w:rPr>
          <w:noProof/>
        </w:rPr>
        <w:t> </w:t>
      </w:r>
      <w:r w:rsidR="00CC55C0" w:rsidRPr="0071228C">
        <w:rPr>
          <w:noProof/>
        </w:rPr>
        <w:t>wod</w:t>
      </w:r>
      <w:r w:rsidR="006979B3" w:rsidRPr="0071228C">
        <w:rPr>
          <w:noProof/>
        </w:rPr>
        <w:t>ach powierzchniowych przez okres co najmniej dwóch lat. Umożliwi to porównanie wyników opartych na skutkach</w:t>
      </w:r>
      <w:r w:rsidR="00CC55C0" w:rsidRPr="0071228C">
        <w:rPr>
          <w:noProof/>
        </w:rPr>
        <w:t xml:space="preserve"> z</w:t>
      </w:r>
      <w:r w:rsidR="00CC55C0">
        <w:rPr>
          <w:noProof/>
        </w:rPr>
        <w:t> </w:t>
      </w:r>
      <w:r w:rsidR="00CC55C0" w:rsidRPr="0071228C">
        <w:rPr>
          <w:noProof/>
        </w:rPr>
        <w:t>wyn</w:t>
      </w:r>
      <w:r w:rsidR="006979B3" w:rsidRPr="0071228C">
        <w:rPr>
          <w:noProof/>
        </w:rPr>
        <w:t>ikami uzyskanymi konwencjonalnymi metodami monitorowania trzech substancji estrogennych wymienionych</w:t>
      </w:r>
      <w:r w:rsidR="00CC55C0" w:rsidRPr="0071228C">
        <w:rPr>
          <w:noProof/>
        </w:rPr>
        <w:t xml:space="preserve"> w</w:t>
      </w:r>
      <w:r w:rsidR="00CC55C0">
        <w:rPr>
          <w:noProof/>
        </w:rPr>
        <w:t> </w:t>
      </w:r>
      <w:r w:rsidR="00CC55C0" w:rsidRPr="0071228C">
        <w:rPr>
          <w:noProof/>
        </w:rPr>
        <w:t>zał</w:t>
      </w:r>
      <w:r w:rsidR="006979B3" w:rsidRPr="0071228C">
        <w:rPr>
          <w:noProof/>
        </w:rPr>
        <w:t>ączniku I do dyrektywy 2008/105/WE. Porównanie to zostanie wykorzystane do oceny, czy metody monitorowania oparte na skutkach można stosować jako wiarygodne metody przesiewowe. Zaletą korzystania</w:t>
      </w:r>
      <w:r w:rsidR="00CC55C0" w:rsidRPr="0071228C">
        <w:rPr>
          <w:noProof/>
        </w:rPr>
        <w:t xml:space="preserve"> z</w:t>
      </w:r>
      <w:r w:rsidR="00CC55C0">
        <w:rPr>
          <w:noProof/>
        </w:rPr>
        <w:t> </w:t>
      </w:r>
      <w:r w:rsidR="00CC55C0" w:rsidRPr="0071228C">
        <w:rPr>
          <w:noProof/>
        </w:rPr>
        <w:t>met</w:t>
      </w:r>
      <w:r w:rsidR="006979B3" w:rsidRPr="0071228C">
        <w:rPr>
          <w:noProof/>
        </w:rPr>
        <w:t>od przesiewowych byłoby umożliwienie objęcia skutków wszystkich substancji estrogennych</w:t>
      </w:r>
      <w:r w:rsidR="00CC55C0" w:rsidRPr="0071228C">
        <w:rPr>
          <w:noProof/>
        </w:rPr>
        <w:t xml:space="preserve"> o</w:t>
      </w:r>
      <w:r w:rsidR="00CC55C0">
        <w:rPr>
          <w:noProof/>
        </w:rPr>
        <w:t> </w:t>
      </w:r>
      <w:r w:rsidR="00CC55C0" w:rsidRPr="0071228C">
        <w:rPr>
          <w:noProof/>
        </w:rPr>
        <w:t>pod</w:t>
      </w:r>
      <w:r w:rsidR="006979B3" w:rsidRPr="0071228C">
        <w:rPr>
          <w:noProof/>
        </w:rPr>
        <w:t>obnym działaniu,</w:t>
      </w:r>
      <w:r w:rsidR="00CC55C0" w:rsidRPr="0071228C">
        <w:rPr>
          <w:noProof/>
        </w:rPr>
        <w:t xml:space="preserve"> a</w:t>
      </w:r>
      <w:r w:rsidR="00CC55C0">
        <w:rPr>
          <w:noProof/>
        </w:rPr>
        <w:t> </w:t>
      </w:r>
      <w:r w:rsidR="00CC55C0" w:rsidRPr="0071228C">
        <w:rPr>
          <w:noProof/>
        </w:rPr>
        <w:t>nie</w:t>
      </w:r>
      <w:r w:rsidR="006979B3" w:rsidRPr="0071228C">
        <w:rPr>
          <w:noProof/>
        </w:rPr>
        <w:t xml:space="preserve"> tylko wymienionych</w:t>
      </w:r>
      <w:r w:rsidR="00CC55C0" w:rsidRPr="0071228C">
        <w:rPr>
          <w:noProof/>
        </w:rPr>
        <w:t xml:space="preserve"> w</w:t>
      </w:r>
      <w:r w:rsidR="00CC55C0">
        <w:rPr>
          <w:noProof/>
        </w:rPr>
        <w:t> </w:t>
      </w:r>
      <w:r w:rsidR="00CC55C0" w:rsidRPr="0071228C">
        <w:rPr>
          <w:noProof/>
        </w:rPr>
        <w:t>zał</w:t>
      </w:r>
      <w:r w:rsidR="006979B3" w:rsidRPr="0071228C">
        <w:rPr>
          <w:noProof/>
        </w:rPr>
        <w:t>ączniku I do dyrektywy 2008/105/WE. Definicję środowiskowych norm jakości określoną</w:t>
      </w:r>
      <w:r w:rsidR="00CC55C0" w:rsidRPr="0071228C">
        <w:rPr>
          <w:noProof/>
        </w:rPr>
        <w:t xml:space="preserve"> w</w:t>
      </w:r>
      <w:r w:rsidR="00CC55C0">
        <w:rPr>
          <w:noProof/>
        </w:rPr>
        <w:t> </w:t>
      </w:r>
      <w:r w:rsidR="00CC55C0" w:rsidRPr="0071228C">
        <w:rPr>
          <w:noProof/>
        </w:rPr>
        <w:t>dyr</w:t>
      </w:r>
      <w:r w:rsidR="006979B3" w:rsidRPr="0071228C">
        <w:rPr>
          <w:noProof/>
        </w:rPr>
        <w:t>ektywie 2000/60/WE należy zmienić</w:t>
      </w:r>
      <w:r w:rsidR="00CC55C0" w:rsidRPr="0071228C">
        <w:rPr>
          <w:noProof/>
        </w:rPr>
        <w:t xml:space="preserve"> w</w:t>
      </w:r>
      <w:r w:rsidR="00CC55C0">
        <w:rPr>
          <w:noProof/>
        </w:rPr>
        <w:t> </w:t>
      </w:r>
      <w:r w:rsidR="00CC55C0" w:rsidRPr="0071228C">
        <w:rPr>
          <w:noProof/>
        </w:rPr>
        <w:t>cel</w:t>
      </w:r>
      <w:r w:rsidR="006979B3" w:rsidRPr="0071228C">
        <w:rPr>
          <w:noProof/>
        </w:rPr>
        <w:t>u zapewnienia, aby</w:t>
      </w:r>
      <w:r w:rsidR="00CC55C0" w:rsidRPr="0071228C">
        <w:rPr>
          <w:noProof/>
        </w:rPr>
        <w:t xml:space="preserve"> w</w:t>
      </w:r>
      <w:r w:rsidR="00CC55C0">
        <w:rPr>
          <w:noProof/>
        </w:rPr>
        <w:t> </w:t>
      </w:r>
      <w:r w:rsidR="00CC55C0" w:rsidRPr="0071228C">
        <w:rPr>
          <w:noProof/>
        </w:rPr>
        <w:t>prz</w:t>
      </w:r>
      <w:r w:rsidR="006979B3" w:rsidRPr="0071228C">
        <w:rPr>
          <w:noProof/>
        </w:rPr>
        <w:t>yszłości mogła ona również objąć wartości progowe, które mogą zostać ustalone</w:t>
      </w:r>
      <w:r w:rsidR="00CC55C0" w:rsidRPr="0071228C">
        <w:rPr>
          <w:noProof/>
        </w:rPr>
        <w:t xml:space="preserve"> w</w:t>
      </w:r>
      <w:r w:rsidR="00CC55C0">
        <w:rPr>
          <w:noProof/>
        </w:rPr>
        <w:t> </w:t>
      </w:r>
      <w:r w:rsidR="00CC55C0" w:rsidRPr="0071228C">
        <w:rPr>
          <w:noProof/>
        </w:rPr>
        <w:t>cel</w:t>
      </w:r>
      <w:r w:rsidR="006979B3" w:rsidRPr="0071228C">
        <w:rPr>
          <w:noProof/>
        </w:rPr>
        <w:t>u oceny wyników monitorowania opartego na skutkach.</w:t>
      </w:r>
    </w:p>
    <w:p w14:paraId="1D207269" w14:textId="26F97312" w:rsidR="00A01865" w:rsidRPr="0071228C" w:rsidRDefault="00B000C3" w:rsidP="00B000C3">
      <w:pPr>
        <w:pStyle w:val="ManualConsidrant"/>
        <w:rPr>
          <w:noProof/>
        </w:rPr>
      </w:pPr>
      <w:r w:rsidRPr="00B000C3">
        <w:t>(12)</w:t>
      </w:r>
      <w:r w:rsidRPr="00B000C3">
        <w:tab/>
      </w:r>
      <w:r w:rsidR="006A722E" w:rsidRPr="0071228C">
        <w:rPr>
          <w:noProof/>
        </w:rPr>
        <w:t xml:space="preserve">W ocenie unijnego prawodawstwa dotyczącego wody </w:t>
      </w:r>
      <w:r w:rsidR="006A722E" w:rsidRPr="0071228C">
        <w:rPr>
          <w:rStyle w:val="FootnoteReference"/>
          <w:noProof/>
        </w:rPr>
        <w:footnoteReference w:id="59"/>
      </w:r>
      <w:r w:rsidR="006A722E" w:rsidRPr="0071228C">
        <w:rPr>
          <w:noProof/>
        </w:rPr>
        <w:t xml:space="preserve"> („ocena”) stwierdzono, że proces identyfikacji</w:t>
      </w:r>
      <w:r w:rsidR="00CC55C0" w:rsidRPr="0071228C">
        <w:rPr>
          <w:noProof/>
        </w:rPr>
        <w:t xml:space="preserve"> i</w:t>
      </w:r>
      <w:r w:rsidR="00CC55C0">
        <w:rPr>
          <w:noProof/>
        </w:rPr>
        <w:t> </w:t>
      </w:r>
      <w:r w:rsidR="00CC55C0" w:rsidRPr="0071228C">
        <w:rPr>
          <w:noProof/>
        </w:rPr>
        <w:t>umi</w:t>
      </w:r>
      <w:r w:rsidR="006A722E" w:rsidRPr="0071228C">
        <w:rPr>
          <w:noProof/>
        </w:rPr>
        <w:t>eszczania</w:t>
      </w:r>
      <w:r w:rsidR="00CC55C0" w:rsidRPr="0071228C">
        <w:rPr>
          <w:noProof/>
        </w:rPr>
        <w:t xml:space="preserve"> w</w:t>
      </w:r>
      <w:r w:rsidR="00CC55C0">
        <w:rPr>
          <w:noProof/>
        </w:rPr>
        <w:t> </w:t>
      </w:r>
      <w:r w:rsidR="00CC55C0" w:rsidRPr="0071228C">
        <w:rPr>
          <w:noProof/>
        </w:rPr>
        <w:t>wyk</w:t>
      </w:r>
      <w:r w:rsidR="006A722E" w:rsidRPr="0071228C">
        <w:rPr>
          <w:noProof/>
        </w:rPr>
        <w:t>azie zanieczyszczeń mających wpływ na wody powierzchniowe</w:t>
      </w:r>
      <w:r w:rsidR="00CC55C0" w:rsidRPr="0071228C">
        <w:rPr>
          <w:noProof/>
        </w:rPr>
        <w:t xml:space="preserve"> i</w:t>
      </w:r>
      <w:r w:rsidR="00CC55C0">
        <w:rPr>
          <w:noProof/>
        </w:rPr>
        <w:t> </w:t>
      </w:r>
      <w:r w:rsidR="00CC55C0" w:rsidRPr="0071228C">
        <w:rPr>
          <w:noProof/>
        </w:rPr>
        <w:t>pod</w:t>
      </w:r>
      <w:r w:rsidR="006A722E" w:rsidRPr="0071228C">
        <w:rPr>
          <w:noProof/>
        </w:rPr>
        <w:t>ziemne oraz proces ustanawiania lub zmiany norm jakości dla nich</w:t>
      </w:r>
      <w:r w:rsidR="00CC55C0" w:rsidRPr="0071228C">
        <w:rPr>
          <w:noProof/>
        </w:rPr>
        <w:t xml:space="preserve"> w</w:t>
      </w:r>
      <w:r w:rsidR="00CC55C0">
        <w:rPr>
          <w:noProof/>
        </w:rPr>
        <w:t> </w:t>
      </w:r>
      <w:r w:rsidR="00CC55C0" w:rsidRPr="0071228C">
        <w:rPr>
          <w:noProof/>
        </w:rPr>
        <w:t>świ</w:t>
      </w:r>
      <w:r w:rsidR="006A722E" w:rsidRPr="0071228C">
        <w:rPr>
          <w:noProof/>
        </w:rPr>
        <w:t>etle nowej wiedzy naukowej mógłby zostać przyspieszony. Gdyby zadania te były prowadzone przez Komisję,</w:t>
      </w:r>
      <w:r w:rsidR="00CC55C0" w:rsidRPr="0071228C">
        <w:rPr>
          <w:noProof/>
        </w:rPr>
        <w:t xml:space="preserve"> a</w:t>
      </w:r>
      <w:r w:rsidR="00CC55C0">
        <w:rPr>
          <w:noProof/>
        </w:rPr>
        <w:t> </w:t>
      </w:r>
      <w:r w:rsidR="00CC55C0" w:rsidRPr="0071228C">
        <w:rPr>
          <w:noProof/>
        </w:rPr>
        <w:t>nie w</w:t>
      </w:r>
      <w:r w:rsidR="00CC55C0">
        <w:rPr>
          <w:noProof/>
        </w:rPr>
        <w:t> </w:t>
      </w:r>
      <w:r w:rsidR="00CC55C0" w:rsidRPr="0071228C">
        <w:rPr>
          <w:noProof/>
        </w:rPr>
        <w:t>ram</w:t>
      </w:r>
      <w:r w:rsidR="006A722E" w:rsidRPr="0071228C">
        <w:rPr>
          <w:noProof/>
        </w:rPr>
        <w:t>ach zwykłej procedury ustawodawczej przewidzianej obecnie</w:t>
      </w:r>
      <w:r w:rsidR="00CC55C0" w:rsidRPr="0071228C">
        <w:rPr>
          <w:noProof/>
        </w:rPr>
        <w:t xml:space="preserve"> w</w:t>
      </w:r>
      <w:r w:rsidR="00CC55C0">
        <w:rPr>
          <w:noProof/>
        </w:rPr>
        <w:t> </w:t>
      </w:r>
      <w:r w:rsidR="00CC55C0" w:rsidRPr="00CC55C0">
        <w:rPr>
          <w:noProof/>
        </w:rPr>
        <w:t>art</w:t>
      </w:r>
      <w:r w:rsidR="006A722E" w:rsidRPr="00CC55C0">
        <w:rPr>
          <w:noProof/>
        </w:rPr>
        <w:t>.</w:t>
      </w:r>
      <w:r w:rsidR="00CC55C0" w:rsidRPr="00CC55C0">
        <w:rPr>
          <w:noProof/>
        </w:rPr>
        <w:t> </w:t>
      </w:r>
      <w:r w:rsidR="006A722E" w:rsidRPr="00CC55C0">
        <w:rPr>
          <w:noProof/>
        </w:rPr>
        <w:t>1</w:t>
      </w:r>
      <w:r w:rsidR="006A722E" w:rsidRPr="0071228C">
        <w:rPr>
          <w:noProof/>
        </w:rPr>
        <w:t>6</w:t>
      </w:r>
      <w:r w:rsidR="00CC55C0" w:rsidRPr="0071228C">
        <w:rPr>
          <w:noProof/>
        </w:rPr>
        <w:t xml:space="preserve"> i</w:t>
      </w:r>
      <w:r w:rsidR="00CC55C0">
        <w:rPr>
          <w:noProof/>
        </w:rPr>
        <w:t> </w:t>
      </w:r>
      <w:r w:rsidR="00CC55C0" w:rsidRPr="0071228C">
        <w:rPr>
          <w:noProof/>
        </w:rPr>
        <w:t>1</w:t>
      </w:r>
      <w:r w:rsidR="006A722E" w:rsidRPr="0071228C">
        <w:rPr>
          <w:noProof/>
        </w:rPr>
        <w:t xml:space="preserve">7 dyrektywy 2000/60/WE oraz </w:t>
      </w:r>
      <w:r w:rsidR="006A722E" w:rsidRPr="00CC55C0">
        <w:rPr>
          <w:noProof/>
        </w:rPr>
        <w:t>art.</w:t>
      </w:r>
      <w:r w:rsidR="00CC55C0" w:rsidRPr="00CC55C0">
        <w:rPr>
          <w:noProof/>
        </w:rPr>
        <w:t> </w:t>
      </w:r>
      <w:r w:rsidR="006A722E" w:rsidRPr="00CC55C0">
        <w:rPr>
          <w:noProof/>
        </w:rPr>
        <w:t>1</w:t>
      </w:r>
      <w:r w:rsidR="006A722E" w:rsidRPr="0071228C">
        <w:rPr>
          <w:noProof/>
        </w:rPr>
        <w:t>0 dyrektywy 2006/118/WE, można by usprawnić funkcjonowanie mechanizmów listy obserwacyjnej wód powierzchniowych</w:t>
      </w:r>
      <w:r w:rsidR="00CC55C0" w:rsidRPr="0071228C">
        <w:rPr>
          <w:noProof/>
        </w:rPr>
        <w:t xml:space="preserve"> i</w:t>
      </w:r>
      <w:r w:rsidR="00CC55C0">
        <w:rPr>
          <w:noProof/>
        </w:rPr>
        <w:t> </w:t>
      </w:r>
      <w:r w:rsidR="00CC55C0" w:rsidRPr="0071228C">
        <w:rPr>
          <w:noProof/>
        </w:rPr>
        <w:t>pod</w:t>
      </w:r>
      <w:r w:rsidR="006A722E" w:rsidRPr="0071228C">
        <w:rPr>
          <w:noProof/>
        </w:rPr>
        <w:t>ziemnych,</w:t>
      </w:r>
      <w:r w:rsidR="00CC55C0" w:rsidRPr="0071228C">
        <w:rPr>
          <w:noProof/>
        </w:rPr>
        <w:t xml:space="preserve"> w</w:t>
      </w:r>
      <w:r w:rsidR="00CC55C0">
        <w:rPr>
          <w:noProof/>
        </w:rPr>
        <w:t> </w:t>
      </w:r>
      <w:r w:rsidR="00CC55C0" w:rsidRPr="0071228C">
        <w:rPr>
          <w:noProof/>
        </w:rPr>
        <w:t>szc</w:t>
      </w:r>
      <w:r w:rsidR="006A722E" w:rsidRPr="0071228C">
        <w:rPr>
          <w:noProof/>
        </w:rPr>
        <w:t>zególności</w:t>
      </w:r>
      <w:r w:rsidR="00CC55C0" w:rsidRPr="0071228C">
        <w:rPr>
          <w:noProof/>
        </w:rPr>
        <w:t xml:space="preserve"> w</w:t>
      </w:r>
      <w:r w:rsidR="00CC55C0">
        <w:rPr>
          <w:noProof/>
        </w:rPr>
        <w:t> </w:t>
      </w:r>
      <w:r w:rsidR="00CC55C0" w:rsidRPr="0071228C">
        <w:rPr>
          <w:noProof/>
        </w:rPr>
        <w:t>zak</w:t>
      </w:r>
      <w:r w:rsidR="006A722E" w:rsidRPr="0071228C">
        <w:rPr>
          <w:noProof/>
        </w:rPr>
        <w:t>resie terminów</w:t>
      </w:r>
      <w:r w:rsidR="00CC55C0" w:rsidRPr="0071228C">
        <w:rPr>
          <w:noProof/>
        </w:rPr>
        <w:t xml:space="preserve"> i</w:t>
      </w:r>
      <w:r w:rsidR="00CC55C0">
        <w:rPr>
          <w:noProof/>
        </w:rPr>
        <w:t> </w:t>
      </w:r>
      <w:r w:rsidR="00CC55C0" w:rsidRPr="0071228C">
        <w:rPr>
          <w:noProof/>
        </w:rPr>
        <w:t>kol</w:t>
      </w:r>
      <w:r w:rsidR="006A722E" w:rsidRPr="0071228C">
        <w:rPr>
          <w:noProof/>
        </w:rPr>
        <w:t>ejności sporządzania wykazów, monitorowania</w:t>
      </w:r>
      <w:r w:rsidR="00CC55C0" w:rsidRPr="0071228C">
        <w:rPr>
          <w:noProof/>
        </w:rPr>
        <w:t xml:space="preserve"> i</w:t>
      </w:r>
      <w:r w:rsidR="00CC55C0">
        <w:rPr>
          <w:noProof/>
        </w:rPr>
        <w:t> </w:t>
      </w:r>
      <w:r w:rsidR="00CC55C0" w:rsidRPr="0071228C">
        <w:rPr>
          <w:noProof/>
        </w:rPr>
        <w:t>oce</w:t>
      </w:r>
      <w:r w:rsidR="006A722E" w:rsidRPr="0071228C">
        <w:rPr>
          <w:noProof/>
        </w:rPr>
        <w:t>ny wyników, wzmocnić powiązania między mechanizmem listy obserwacyjnej</w:t>
      </w:r>
      <w:r w:rsidR="00CC55C0" w:rsidRPr="0071228C">
        <w:rPr>
          <w:noProof/>
        </w:rPr>
        <w:t xml:space="preserve"> a</w:t>
      </w:r>
      <w:r w:rsidR="00CC55C0">
        <w:rPr>
          <w:noProof/>
        </w:rPr>
        <w:t> </w:t>
      </w:r>
      <w:r w:rsidR="00CC55C0" w:rsidRPr="0071228C">
        <w:rPr>
          <w:noProof/>
        </w:rPr>
        <w:t>prz</w:t>
      </w:r>
      <w:r w:rsidR="006A722E" w:rsidRPr="0071228C">
        <w:rPr>
          <w:noProof/>
        </w:rPr>
        <w:t>eglądami wykazów zanieczyszczeń,</w:t>
      </w:r>
      <w:r w:rsidR="00CC55C0" w:rsidRPr="0071228C">
        <w:rPr>
          <w:noProof/>
        </w:rPr>
        <w:t xml:space="preserve"> a</w:t>
      </w:r>
      <w:r w:rsidR="00CC55C0">
        <w:rPr>
          <w:noProof/>
        </w:rPr>
        <w:t> </w:t>
      </w:r>
      <w:r w:rsidR="00CC55C0" w:rsidRPr="0071228C">
        <w:rPr>
          <w:noProof/>
        </w:rPr>
        <w:t>tak</w:t>
      </w:r>
      <w:r w:rsidR="006A722E" w:rsidRPr="0071228C">
        <w:rPr>
          <w:noProof/>
        </w:rPr>
        <w:t>że szybciej uwzględniać postęp naukowy przy wprowadzaniu zmian</w:t>
      </w:r>
      <w:r w:rsidR="00CC55C0" w:rsidRPr="0071228C">
        <w:rPr>
          <w:noProof/>
        </w:rPr>
        <w:t xml:space="preserve"> w</w:t>
      </w:r>
      <w:r w:rsidR="00CC55C0">
        <w:rPr>
          <w:noProof/>
        </w:rPr>
        <w:t> </w:t>
      </w:r>
      <w:r w:rsidR="00CC55C0" w:rsidRPr="0071228C">
        <w:rPr>
          <w:noProof/>
        </w:rPr>
        <w:t>wyk</w:t>
      </w:r>
      <w:r w:rsidR="006A722E" w:rsidRPr="0071228C">
        <w:rPr>
          <w:noProof/>
        </w:rPr>
        <w:t>azach zanieczyszczeń</w:t>
      </w:r>
      <w:r w:rsidR="00CC55C0" w:rsidRPr="0071228C">
        <w:rPr>
          <w:noProof/>
        </w:rPr>
        <w:t>. Z</w:t>
      </w:r>
      <w:r w:rsidR="00CC55C0">
        <w:rPr>
          <w:noProof/>
        </w:rPr>
        <w:t> </w:t>
      </w:r>
      <w:r w:rsidR="00CC55C0" w:rsidRPr="0071228C">
        <w:rPr>
          <w:noProof/>
        </w:rPr>
        <w:t>teg</w:t>
      </w:r>
      <w:r w:rsidR="006A722E" w:rsidRPr="0071228C">
        <w:rPr>
          <w:noProof/>
        </w:rPr>
        <w:t>o względu oraz</w:t>
      </w:r>
      <w:r w:rsidR="00CC55C0" w:rsidRPr="0071228C">
        <w:rPr>
          <w:noProof/>
        </w:rPr>
        <w:t xml:space="preserve"> w</w:t>
      </w:r>
      <w:r w:rsidR="00CC55C0">
        <w:rPr>
          <w:noProof/>
        </w:rPr>
        <w:t> </w:t>
      </w:r>
      <w:r w:rsidR="00CC55C0" w:rsidRPr="0071228C">
        <w:rPr>
          <w:noProof/>
        </w:rPr>
        <w:t>zwi</w:t>
      </w:r>
      <w:r w:rsidR="006A722E" w:rsidRPr="0071228C">
        <w:rPr>
          <w:noProof/>
        </w:rPr>
        <w:t>ązku</w:t>
      </w:r>
      <w:r w:rsidR="00CC55C0" w:rsidRPr="0071228C">
        <w:rPr>
          <w:noProof/>
        </w:rPr>
        <w:t xml:space="preserve"> z</w:t>
      </w:r>
      <w:r w:rsidR="00CC55C0">
        <w:rPr>
          <w:noProof/>
        </w:rPr>
        <w:t> </w:t>
      </w:r>
      <w:r w:rsidR="00CC55C0" w:rsidRPr="0071228C">
        <w:rPr>
          <w:noProof/>
        </w:rPr>
        <w:t>pot</w:t>
      </w:r>
      <w:r w:rsidR="006A722E" w:rsidRPr="0071228C">
        <w:rPr>
          <w:noProof/>
        </w:rPr>
        <w:t>rzebą jak najszybszej zmiany wykazów zanieczyszczeń</w:t>
      </w:r>
      <w:r w:rsidR="00CC55C0" w:rsidRPr="0071228C">
        <w:rPr>
          <w:noProof/>
        </w:rPr>
        <w:t xml:space="preserve"> i</w:t>
      </w:r>
      <w:r w:rsidR="00CC55C0">
        <w:rPr>
          <w:noProof/>
        </w:rPr>
        <w:t> </w:t>
      </w:r>
      <w:r w:rsidR="00CC55C0" w:rsidRPr="0071228C">
        <w:rPr>
          <w:noProof/>
        </w:rPr>
        <w:t>zwi</w:t>
      </w:r>
      <w:r w:rsidR="006A722E" w:rsidRPr="0071228C">
        <w:rPr>
          <w:noProof/>
        </w:rPr>
        <w:t>ązanych</w:t>
      </w:r>
      <w:r w:rsidR="00CC55C0" w:rsidRPr="0071228C">
        <w:rPr>
          <w:noProof/>
        </w:rPr>
        <w:t xml:space="preserve"> z</w:t>
      </w:r>
      <w:r w:rsidR="00CC55C0">
        <w:rPr>
          <w:noProof/>
        </w:rPr>
        <w:t> </w:t>
      </w:r>
      <w:r w:rsidR="00CC55C0" w:rsidRPr="0071228C">
        <w:rPr>
          <w:noProof/>
        </w:rPr>
        <w:t>nim</w:t>
      </w:r>
      <w:r w:rsidR="006A722E" w:rsidRPr="0071228C">
        <w:rPr>
          <w:noProof/>
        </w:rPr>
        <w:t>i środowiskowych norm jakości</w:t>
      </w:r>
      <w:r w:rsidR="00CC55C0" w:rsidRPr="0071228C">
        <w:rPr>
          <w:noProof/>
        </w:rPr>
        <w:t xml:space="preserve"> w</w:t>
      </w:r>
      <w:r w:rsidR="00CC55C0">
        <w:rPr>
          <w:noProof/>
        </w:rPr>
        <w:t> </w:t>
      </w:r>
      <w:r w:rsidR="00CC55C0" w:rsidRPr="0071228C">
        <w:rPr>
          <w:noProof/>
        </w:rPr>
        <w:t>świ</w:t>
      </w:r>
      <w:r w:rsidR="006A722E" w:rsidRPr="0071228C">
        <w:rPr>
          <w:noProof/>
        </w:rPr>
        <w:t>etle nowej wiedzy naukowo-technicznej należy przekazać Komisji uprawnienia do przyjmowania aktów zgodnie</w:t>
      </w:r>
      <w:r w:rsidR="00CC55C0" w:rsidRPr="0071228C">
        <w:rPr>
          <w:noProof/>
        </w:rPr>
        <w:t xml:space="preserve"> z</w:t>
      </w:r>
      <w:r w:rsidR="00CC55C0">
        <w:rPr>
          <w:noProof/>
        </w:rPr>
        <w:t> </w:t>
      </w:r>
      <w:r w:rsidR="00CC55C0" w:rsidRPr="00CC55C0">
        <w:rPr>
          <w:noProof/>
        </w:rPr>
        <w:t>art</w:t>
      </w:r>
      <w:r w:rsidR="006A722E" w:rsidRPr="00CC55C0">
        <w:rPr>
          <w:noProof/>
        </w:rPr>
        <w:t>.</w:t>
      </w:r>
      <w:r w:rsidR="00CC55C0" w:rsidRPr="00CC55C0">
        <w:rPr>
          <w:noProof/>
        </w:rPr>
        <w:t> </w:t>
      </w:r>
      <w:r w:rsidR="006A722E" w:rsidRPr="00CC55C0">
        <w:rPr>
          <w:noProof/>
        </w:rPr>
        <w:t>2</w:t>
      </w:r>
      <w:r w:rsidR="006A722E" w:rsidRPr="0071228C">
        <w:rPr>
          <w:noProof/>
        </w:rPr>
        <w:t>90 TFUE</w:t>
      </w:r>
      <w:r w:rsidR="00CC55C0" w:rsidRPr="0071228C">
        <w:rPr>
          <w:noProof/>
        </w:rPr>
        <w:t xml:space="preserve"> w</w:t>
      </w:r>
      <w:r w:rsidR="00CC55C0">
        <w:rPr>
          <w:noProof/>
        </w:rPr>
        <w:t> </w:t>
      </w:r>
      <w:r w:rsidR="00CC55C0" w:rsidRPr="0071228C">
        <w:rPr>
          <w:noProof/>
        </w:rPr>
        <w:t>cel</w:t>
      </w:r>
      <w:r w:rsidR="006A722E" w:rsidRPr="0071228C">
        <w:rPr>
          <w:noProof/>
        </w:rPr>
        <w:t>u zmiany załącznika I do dyrektywy 2008/105/WE</w:t>
      </w:r>
      <w:r w:rsidR="00CC55C0" w:rsidRPr="0071228C">
        <w:rPr>
          <w:noProof/>
        </w:rPr>
        <w:t xml:space="preserve"> w</w:t>
      </w:r>
      <w:r w:rsidR="00CC55C0">
        <w:rPr>
          <w:noProof/>
        </w:rPr>
        <w:t> </w:t>
      </w:r>
      <w:r w:rsidR="00CC55C0" w:rsidRPr="0071228C">
        <w:rPr>
          <w:noProof/>
        </w:rPr>
        <w:t>odn</w:t>
      </w:r>
      <w:r w:rsidR="006A722E" w:rsidRPr="0071228C">
        <w:rPr>
          <w:noProof/>
        </w:rPr>
        <w:t>iesieniu do wykazu substancji priorytetowych</w:t>
      </w:r>
      <w:r w:rsidR="00CC55C0" w:rsidRPr="0071228C">
        <w:rPr>
          <w:noProof/>
        </w:rPr>
        <w:t xml:space="preserve"> i</w:t>
      </w:r>
      <w:r w:rsidR="00CC55C0">
        <w:rPr>
          <w:noProof/>
        </w:rPr>
        <w:t> </w:t>
      </w:r>
      <w:r w:rsidR="00CC55C0" w:rsidRPr="0071228C">
        <w:rPr>
          <w:noProof/>
        </w:rPr>
        <w:t>odp</w:t>
      </w:r>
      <w:r w:rsidR="006A722E" w:rsidRPr="0071228C">
        <w:rPr>
          <w:noProof/>
        </w:rPr>
        <w:t>owiadających im środowiskowych norm jakości określonych</w:t>
      </w:r>
      <w:r w:rsidR="00CC55C0" w:rsidRPr="0071228C">
        <w:rPr>
          <w:noProof/>
        </w:rPr>
        <w:t xml:space="preserve"> w</w:t>
      </w:r>
      <w:r w:rsidR="00CC55C0">
        <w:rPr>
          <w:noProof/>
        </w:rPr>
        <w:t> </w:t>
      </w:r>
      <w:r w:rsidR="00CC55C0" w:rsidRPr="0071228C">
        <w:rPr>
          <w:noProof/>
        </w:rPr>
        <w:t>czę</w:t>
      </w:r>
      <w:r w:rsidR="006A722E" w:rsidRPr="0071228C">
        <w:rPr>
          <w:noProof/>
        </w:rPr>
        <w:t>ści A tego załącznika oraz</w:t>
      </w:r>
      <w:r w:rsidR="00CC55C0" w:rsidRPr="0071228C">
        <w:rPr>
          <w:noProof/>
        </w:rPr>
        <w:t xml:space="preserve"> w</w:t>
      </w:r>
      <w:r w:rsidR="00CC55C0">
        <w:rPr>
          <w:noProof/>
        </w:rPr>
        <w:t> </w:t>
      </w:r>
      <w:r w:rsidR="00CC55C0" w:rsidRPr="0071228C">
        <w:rPr>
          <w:noProof/>
        </w:rPr>
        <w:t>cel</w:t>
      </w:r>
      <w:r w:rsidR="006A722E" w:rsidRPr="0071228C">
        <w:rPr>
          <w:noProof/>
        </w:rPr>
        <w:t>u zmiany załącznika I do dyrektywy 2006/118/WE</w:t>
      </w:r>
      <w:r w:rsidR="00CC55C0" w:rsidRPr="0071228C">
        <w:rPr>
          <w:noProof/>
        </w:rPr>
        <w:t xml:space="preserve"> w</w:t>
      </w:r>
      <w:r w:rsidR="00CC55C0">
        <w:rPr>
          <w:noProof/>
        </w:rPr>
        <w:t> </w:t>
      </w:r>
      <w:r w:rsidR="00CC55C0" w:rsidRPr="0071228C">
        <w:rPr>
          <w:noProof/>
        </w:rPr>
        <w:t>odn</w:t>
      </w:r>
      <w:r w:rsidR="006A722E" w:rsidRPr="0071228C">
        <w:rPr>
          <w:noProof/>
        </w:rPr>
        <w:t>iesieniu do wykazu zanieczyszczeń wód podziemnych</w:t>
      </w:r>
      <w:r w:rsidR="00CC55C0" w:rsidRPr="0071228C">
        <w:rPr>
          <w:noProof/>
        </w:rPr>
        <w:t xml:space="preserve"> i</w:t>
      </w:r>
      <w:r w:rsidR="00CC55C0">
        <w:rPr>
          <w:noProof/>
        </w:rPr>
        <w:t> </w:t>
      </w:r>
      <w:r w:rsidR="00CC55C0" w:rsidRPr="0071228C">
        <w:rPr>
          <w:noProof/>
        </w:rPr>
        <w:t>nor</w:t>
      </w:r>
      <w:r w:rsidR="006A722E" w:rsidRPr="0071228C">
        <w:rPr>
          <w:noProof/>
        </w:rPr>
        <w:t>m jakości określonych</w:t>
      </w:r>
      <w:r w:rsidR="00CC55C0" w:rsidRPr="0071228C">
        <w:rPr>
          <w:noProof/>
        </w:rPr>
        <w:t xml:space="preserve"> w</w:t>
      </w:r>
      <w:r w:rsidR="00CC55C0">
        <w:rPr>
          <w:noProof/>
        </w:rPr>
        <w:t> </w:t>
      </w:r>
      <w:r w:rsidR="00CC55C0" w:rsidRPr="0071228C">
        <w:rPr>
          <w:noProof/>
        </w:rPr>
        <w:t>tym</w:t>
      </w:r>
      <w:r w:rsidR="006A722E" w:rsidRPr="0071228C">
        <w:rPr>
          <w:noProof/>
        </w:rPr>
        <w:t xml:space="preserve"> załączniku</w:t>
      </w:r>
      <w:r w:rsidR="00CC55C0" w:rsidRPr="0071228C">
        <w:rPr>
          <w:noProof/>
        </w:rPr>
        <w:t>. W</w:t>
      </w:r>
      <w:r w:rsidR="00CC55C0">
        <w:rPr>
          <w:noProof/>
        </w:rPr>
        <w:t> </w:t>
      </w:r>
      <w:r w:rsidR="00CC55C0" w:rsidRPr="0071228C">
        <w:rPr>
          <w:noProof/>
        </w:rPr>
        <w:t>tym</w:t>
      </w:r>
      <w:r w:rsidR="006A722E" w:rsidRPr="0071228C">
        <w:rPr>
          <w:noProof/>
        </w:rPr>
        <w:t xml:space="preserve"> kontekście Komisja powinna wziąć pod uwagę wyniki monitorowania substancji znajdujących się na liście obserwacyjnej wód powierzchniowych</w:t>
      </w:r>
      <w:r w:rsidR="00CC55C0" w:rsidRPr="0071228C">
        <w:rPr>
          <w:noProof/>
        </w:rPr>
        <w:t xml:space="preserve"> i</w:t>
      </w:r>
      <w:r w:rsidR="00CC55C0">
        <w:rPr>
          <w:noProof/>
        </w:rPr>
        <w:t> </w:t>
      </w:r>
      <w:r w:rsidR="00CC55C0" w:rsidRPr="0071228C">
        <w:rPr>
          <w:noProof/>
        </w:rPr>
        <w:t>pod</w:t>
      </w:r>
      <w:r w:rsidR="006A722E" w:rsidRPr="0071228C">
        <w:rPr>
          <w:noProof/>
        </w:rPr>
        <w:t>ziemnych</w:t>
      </w:r>
      <w:r w:rsidR="00CC55C0" w:rsidRPr="0071228C">
        <w:rPr>
          <w:noProof/>
        </w:rPr>
        <w:t>. W</w:t>
      </w:r>
      <w:r w:rsidR="00CC55C0">
        <w:rPr>
          <w:noProof/>
        </w:rPr>
        <w:t> </w:t>
      </w:r>
      <w:r w:rsidR="00CC55C0" w:rsidRPr="0071228C">
        <w:rPr>
          <w:noProof/>
        </w:rPr>
        <w:t>zwi</w:t>
      </w:r>
      <w:r w:rsidR="006A722E" w:rsidRPr="0071228C">
        <w:rPr>
          <w:noProof/>
        </w:rPr>
        <w:t>ązku</w:t>
      </w:r>
      <w:r w:rsidR="00CC55C0" w:rsidRPr="0071228C">
        <w:rPr>
          <w:noProof/>
        </w:rPr>
        <w:t xml:space="preserve"> z</w:t>
      </w:r>
      <w:r w:rsidR="00CC55C0">
        <w:rPr>
          <w:noProof/>
        </w:rPr>
        <w:t> </w:t>
      </w:r>
      <w:r w:rsidR="00CC55C0" w:rsidRPr="0071228C">
        <w:rPr>
          <w:noProof/>
        </w:rPr>
        <w:t>tym</w:t>
      </w:r>
      <w:r w:rsidR="006A722E" w:rsidRPr="0071228C">
        <w:rPr>
          <w:noProof/>
        </w:rPr>
        <w:t xml:space="preserve"> należy uchylić </w:t>
      </w:r>
      <w:r w:rsidR="006A722E" w:rsidRPr="00CC55C0">
        <w:rPr>
          <w:noProof/>
        </w:rPr>
        <w:t>art.</w:t>
      </w:r>
      <w:r w:rsidR="00CC55C0" w:rsidRPr="00CC55C0">
        <w:rPr>
          <w:noProof/>
        </w:rPr>
        <w:t> </w:t>
      </w:r>
      <w:r w:rsidR="006A722E" w:rsidRPr="00CC55C0">
        <w:rPr>
          <w:noProof/>
        </w:rPr>
        <w:t>1</w:t>
      </w:r>
      <w:r w:rsidR="006A722E" w:rsidRPr="0071228C">
        <w:rPr>
          <w:noProof/>
        </w:rPr>
        <w:t>6</w:t>
      </w:r>
      <w:r w:rsidR="00CC55C0" w:rsidRPr="0071228C">
        <w:rPr>
          <w:noProof/>
        </w:rPr>
        <w:t xml:space="preserve"> i</w:t>
      </w:r>
      <w:r w:rsidR="00CC55C0">
        <w:rPr>
          <w:noProof/>
        </w:rPr>
        <w:t> </w:t>
      </w:r>
      <w:r w:rsidR="00CC55C0" w:rsidRPr="0071228C">
        <w:rPr>
          <w:noProof/>
        </w:rPr>
        <w:t>1</w:t>
      </w:r>
      <w:r w:rsidR="006A722E" w:rsidRPr="0071228C">
        <w:rPr>
          <w:noProof/>
        </w:rPr>
        <w:t>7 dyrektywy 2000/60/WE oraz załącznik X do tej dyrektywy,</w:t>
      </w:r>
      <w:r w:rsidR="00CC55C0" w:rsidRPr="0071228C">
        <w:rPr>
          <w:noProof/>
        </w:rPr>
        <w:t xml:space="preserve"> a</w:t>
      </w:r>
      <w:r w:rsidR="00CC55C0">
        <w:rPr>
          <w:noProof/>
        </w:rPr>
        <w:t> </w:t>
      </w:r>
      <w:r w:rsidR="00CC55C0" w:rsidRPr="0071228C">
        <w:rPr>
          <w:noProof/>
        </w:rPr>
        <w:t>tak</w:t>
      </w:r>
      <w:r w:rsidR="006A722E" w:rsidRPr="0071228C">
        <w:rPr>
          <w:noProof/>
        </w:rPr>
        <w:t xml:space="preserve">że </w:t>
      </w:r>
      <w:r w:rsidR="006A722E" w:rsidRPr="00CC55C0">
        <w:rPr>
          <w:noProof/>
        </w:rPr>
        <w:t>art.</w:t>
      </w:r>
      <w:r w:rsidR="00CC55C0" w:rsidRPr="00CC55C0">
        <w:rPr>
          <w:noProof/>
        </w:rPr>
        <w:t> </w:t>
      </w:r>
      <w:r w:rsidR="006A722E" w:rsidRPr="00CC55C0">
        <w:rPr>
          <w:noProof/>
        </w:rPr>
        <w:t>1</w:t>
      </w:r>
      <w:r w:rsidR="006A722E" w:rsidRPr="0071228C">
        <w:rPr>
          <w:noProof/>
        </w:rPr>
        <w:t>0 dyrektywy 2006/118/WE.</w:t>
      </w:r>
    </w:p>
    <w:p w14:paraId="00D1EB02" w14:textId="1B01968E" w:rsidR="00D8010D" w:rsidRPr="0071228C" w:rsidRDefault="00B000C3" w:rsidP="00B000C3">
      <w:pPr>
        <w:pStyle w:val="ManualConsidrant"/>
        <w:rPr>
          <w:noProof/>
        </w:rPr>
      </w:pPr>
      <w:r w:rsidRPr="00B000C3">
        <w:t>(13)</w:t>
      </w:r>
      <w:r w:rsidRPr="00B000C3">
        <w:tab/>
      </w:r>
      <w:r w:rsidR="00691D3F" w:rsidRPr="0071228C">
        <w:rPr>
          <w:noProof/>
        </w:rPr>
        <w:t>W ocenie stwierdzono również, że między państwami członkowskimi istnieją duże różnice pod względem norm jakości</w:t>
      </w:r>
      <w:r w:rsidR="00CC55C0" w:rsidRPr="0071228C">
        <w:rPr>
          <w:noProof/>
        </w:rPr>
        <w:t xml:space="preserve"> i</w:t>
      </w:r>
      <w:r w:rsidR="00CC55C0">
        <w:rPr>
          <w:noProof/>
        </w:rPr>
        <w:t> </w:t>
      </w:r>
      <w:r w:rsidR="00CC55C0" w:rsidRPr="0071228C">
        <w:rPr>
          <w:noProof/>
        </w:rPr>
        <w:t>war</w:t>
      </w:r>
      <w:r w:rsidR="00691D3F" w:rsidRPr="0071228C">
        <w:rPr>
          <w:noProof/>
        </w:rPr>
        <w:t>tości progowych ustalonych na poziomie krajowym odpowiednio dla substancji zanieczyszczających specyficznych dla dorzeczy</w:t>
      </w:r>
      <w:r w:rsidR="00CC55C0" w:rsidRPr="0071228C">
        <w:rPr>
          <w:noProof/>
        </w:rPr>
        <w:t xml:space="preserve"> i</w:t>
      </w:r>
      <w:r w:rsidR="00CC55C0">
        <w:rPr>
          <w:noProof/>
        </w:rPr>
        <w:t> </w:t>
      </w:r>
      <w:r w:rsidR="00CC55C0" w:rsidRPr="0071228C">
        <w:rPr>
          <w:noProof/>
        </w:rPr>
        <w:t>zan</w:t>
      </w:r>
      <w:r w:rsidR="00691D3F" w:rsidRPr="0071228C">
        <w:rPr>
          <w:noProof/>
        </w:rPr>
        <w:t xml:space="preserve">ieczyszczeń wód podziemnych. Do tej pory substancje zanieczyszczające specyficzne dla dorzeczy, których nie zidentyfikowano jako substancji priorytetowych na podstawie dyrektywy 2000/60/WE, podlegały krajowym </w:t>
      </w:r>
      <w:r w:rsidR="00F61166">
        <w:rPr>
          <w:noProof/>
        </w:rPr>
        <w:t>środowiskowym normom jakości</w:t>
      </w:r>
      <w:r w:rsidR="00CC55C0">
        <w:rPr>
          <w:noProof/>
        </w:rPr>
        <w:t xml:space="preserve"> </w:t>
      </w:r>
      <w:r w:rsidR="00CC55C0" w:rsidRPr="0071228C">
        <w:rPr>
          <w:noProof/>
        </w:rPr>
        <w:t>i</w:t>
      </w:r>
      <w:r w:rsidR="00CC55C0">
        <w:rPr>
          <w:noProof/>
        </w:rPr>
        <w:t> </w:t>
      </w:r>
      <w:r w:rsidR="00CC55C0" w:rsidRPr="0071228C">
        <w:rPr>
          <w:noProof/>
        </w:rPr>
        <w:t>zal</w:t>
      </w:r>
      <w:r w:rsidR="00691D3F" w:rsidRPr="0071228C">
        <w:rPr>
          <w:noProof/>
        </w:rPr>
        <w:t>iczano je do fizykochemicznych elementów jakości uzupełniających ocenę stanu ekologicznego wód powierzchniowych</w:t>
      </w:r>
      <w:r w:rsidR="00CC55C0" w:rsidRPr="0071228C">
        <w:rPr>
          <w:noProof/>
        </w:rPr>
        <w:t>. W</w:t>
      </w:r>
      <w:r w:rsidR="00CC55C0">
        <w:rPr>
          <w:noProof/>
        </w:rPr>
        <w:t> </w:t>
      </w:r>
      <w:r w:rsidR="00CC55C0" w:rsidRPr="0071228C">
        <w:rPr>
          <w:noProof/>
        </w:rPr>
        <w:t>odn</w:t>
      </w:r>
      <w:r w:rsidR="00691D3F" w:rsidRPr="0071228C">
        <w:rPr>
          <w:noProof/>
        </w:rPr>
        <w:t>iesieniu do wód gruntowych państwa członkowskie mogły również ustalić własne wartości progowe, nawet</w:t>
      </w:r>
      <w:r w:rsidR="00CC55C0" w:rsidRPr="0071228C">
        <w:rPr>
          <w:noProof/>
        </w:rPr>
        <w:t xml:space="preserve"> w</w:t>
      </w:r>
      <w:r w:rsidR="00CC55C0">
        <w:rPr>
          <w:noProof/>
        </w:rPr>
        <w:t> </w:t>
      </w:r>
      <w:r w:rsidR="00CC55C0" w:rsidRPr="0071228C">
        <w:rPr>
          <w:noProof/>
        </w:rPr>
        <w:t>prz</w:t>
      </w:r>
      <w:r w:rsidR="00691D3F" w:rsidRPr="0071228C">
        <w:rPr>
          <w:noProof/>
        </w:rPr>
        <w:t>ypadku syntetycznych substancji wytworzonych przez człowieka. Elastyczność ta doprowadziła do nieoptymalnych wyników pod względem porównywalności stanu jednolitych części wód między państwami członkowskimi oraz pod względem ochrony środowiska. Należy zatem zapewnić procedurę umożliwiającą uzgodnienie na poziomie Unii środowiskowych norm jakości</w:t>
      </w:r>
      <w:r w:rsidR="00CC55C0" w:rsidRPr="0071228C">
        <w:rPr>
          <w:noProof/>
        </w:rPr>
        <w:t xml:space="preserve"> i</w:t>
      </w:r>
      <w:r w:rsidR="00CC55C0">
        <w:rPr>
          <w:noProof/>
        </w:rPr>
        <w:t> </w:t>
      </w:r>
      <w:r w:rsidR="00CC55C0" w:rsidRPr="0071228C">
        <w:rPr>
          <w:noProof/>
        </w:rPr>
        <w:t>war</w:t>
      </w:r>
      <w:r w:rsidR="00691D3F" w:rsidRPr="0071228C">
        <w:rPr>
          <w:noProof/>
        </w:rPr>
        <w:t>tości progowych, które mają być stosowane</w:t>
      </w:r>
      <w:r w:rsidR="00CC55C0" w:rsidRPr="0071228C">
        <w:rPr>
          <w:noProof/>
        </w:rPr>
        <w:t xml:space="preserve"> w</w:t>
      </w:r>
      <w:r w:rsidR="00CC55C0">
        <w:rPr>
          <w:noProof/>
        </w:rPr>
        <w:t> </w:t>
      </w:r>
      <w:r w:rsidR="00CC55C0" w:rsidRPr="0071228C">
        <w:rPr>
          <w:noProof/>
        </w:rPr>
        <w:t>odn</w:t>
      </w:r>
      <w:r w:rsidR="00691D3F" w:rsidRPr="0071228C">
        <w:rPr>
          <w:noProof/>
        </w:rPr>
        <w:t>iesieniu do tych substancji, jeżeli zostaną one określone jako stwarzające problem na poziomie krajowym, oraz ustanowienie repozytoriów obowiązujących środowiskowych norm jakości</w:t>
      </w:r>
      <w:r w:rsidR="00CC55C0" w:rsidRPr="0071228C">
        <w:rPr>
          <w:noProof/>
        </w:rPr>
        <w:t xml:space="preserve"> i</w:t>
      </w:r>
      <w:r w:rsidR="00CC55C0">
        <w:rPr>
          <w:noProof/>
        </w:rPr>
        <w:t> </w:t>
      </w:r>
      <w:r w:rsidR="00CC55C0" w:rsidRPr="0071228C">
        <w:rPr>
          <w:noProof/>
        </w:rPr>
        <w:t>war</w:t>
      </w:r>
      <w:r w:rsidR="00691D3F" w:rsidRPr="0071228C">
        <w:rPr>
          <w:noProof/>
        </w:rPr>
        <w:t xml:space="preserve">tości progowych. </w:t>
      </w:r>
    </w:p>
    <w:p w14:paraId="10315C6F" w14:textId="72AE1251" w:rsidR="00C73A5A" w:rsidRPr="0071228C" w:rsidRDefault="00B000C3" w:rsidP="00B000C3">
      <w:pPr>
        <w:pStyle w:val="ManualConsidrant"/>
        <w:rPr>
          <w:noProof/>
        </w:rPr>
      </w:pPr>
      <w:r w:rsidRPr="00B000C3">
        <w:t>(14)</w:t>
      </w:r>
      <w:r w:rsidRPr="00B000C3">
        <w:tab/>
      </w:r>
      <w:r w:rsidR="00C73A5A" w:rsidRPr="0071228C">
        <w:rPr>
          <w:noProof/>
        </w:rPr>
        <w:t>Ponadto włączenie substancji zanieczyszczających specyficznych dla dorzeczy do definicji stanu chemicznego wód powierzchniowych zapewnia bardziej skoordynowane, spójne</w:t>
      </w:r>
      <w:r w:rsidR="00CC55C0" w:rsidRPr="0071228C">
        <w:rPr>
          <w:noProof/>
        </w:rPr>
        <w:t xml:space="preserve"> i</w:t>
      </w:r>
      <w:r w:rsidR="00CC55C0">
        <w:rPr>
          <w:noProof/>
        </w:rPr>
        <w:t> </w:t>
      </w:r>
      <w:r w:rsidR="00CC55C0" w:rsidRPr="0071228C">
        <w:rPr>
          <w:noProof/>
        </w:rPr>
        <w:t>prz</w:t>
      </w:r>
      <w:r w:rsidR="00C73A5A" w:rsidRPr="0071228C">
        <w:rPr>
          <w:noProof/>
        </w:rPr>
        <w:t>ejrzyste podejście pod względem monitorowania</w:t>
      </w:r>
      <w:r w:rsidR="00CC55C0" w:rsidRPr="0071228C">
        <w:rPr>
          <w:noProof/>
        </w:rPr>
        <w:t xml:space="preserve"> i</w:t>
      </w:r>
      <w:r w:rsidR="00CC55C0">
        <w:rPr>
          <w:noProof/>
        </w:rPr>
        <w:t> </w:t>
      </w:r>
      <w:r w:rsidR="00CC55C0" w:rsidRPr="0071228C">
        <w:rPr>
          <w:noProof/>
        </w:rPr>
        <w:t>oce</w:t>
      </w:r>
      <w:r w:rsidR="00C73A5A" w:rsidRPr="0071228C">
        <w:rPr>
          <w:noProof/>
        </w:rPr>
        <w:t>ny stanu chemicznego jednolitych części wód powierzchniowych oraz powiązanych informacji przekazywanych społeczeństwu. Ułatwia również bardziej ukierunkowane podejście do identyfikacji</w:t>
      </w:r>
      <w:r w:rsidR="00CC55C0" w:rsidRPr="0071228C">
        <w:rPr>
          <w:noProof/>
        </w:rPr>
        <w:t xml:space="preserve"> i</w:t>
      </w:r>
      <w:r w:rsidR="00CC55C0">
        <w:rPr>
          <w:noProof/>
        </w:rPr>
        <w:t> </w:t>
      </w:r>
      <w:r w:rsidR="00CC55C0" w:rsidRPr="0071228C">
        <w:rPr>
          <w:noProof/>
        </w:rPr>
        <w:t>wdr</w:t>
      </w:r>
      <w:r w:rsidR="00C73A5A" w:rsidRPr="0071228C">
        <w:rPr>
          <w:noProof/>
        </w:rPr>
        <w:t>ażania środków mających na celu rozwiązanie wszystkich kwestii „związanych</w:t>
      </w:r>
      <w:r w:rsidR="00CC55C0" w:rsidRPr="0071228C">
        <w:rPr>
          <w:noProof/>
        </w:rPr>
        <w:t xml:space="preserve"> z</w:t>
      </w:r>
      <w:r w:rsidR="00CC55C0">
        <w:rPr>
          <w:noProof/>
        </w:rPr>
        <w:t> </w:t>
      </w:r>
      <w:r w:rsidR="00CC55C0" w:rsidRPr="0071228C">
        <w:rPr>
          <w:noProof/>
        </w:rPr>
        <w:t>che</w:t>
      </w:r>
      <w:r w:rsidR="00C73A5A" w:rsidRPr="0071228C">
        <w:rPr>
          <w:noProof/>
        </w:rPr>
        <w:t>mikaliami”</w:t>
      </w:r>
      <w:r w:rsidR="00CC55C0" w:rsidRPr="0071228C">
        <w:rPr>
          <w:noProof/>
        </w:rPr>
        <w:t xml:space="preserve"> w</w:t>
      </w:r>
      <w:r w:rsidR="00CC55C0">
        <w:rPr>
          <w:noProof/>
        </w:rPr>
        <w:t> </w:t>
      </w:r>
      <w:r w:rsidR="00CC55C0" w:rsidRPr="0071228C">
        <w:rPr>
          <w:noProof/>
        </w:rPr>
        <w:t>bar</w:t>
      </w:r>
      <w:r w:rsidR="00C73A5A" w:rsidRPr="0071228C">
        <w:rPr>
          <w:noProof/>
        </w:rPr>
        <w:t>dziej holistyczny, skuteczny</w:t>
      </w:r>
      <w:r w:rsidR="00CC55C0" w:rsidRPr="0071228C">
        <w:rPr>
          <w:noProof/>
        </w:rPr>
        <w:t xml:space="preserve"> i</w:t>
      </w:r>
      <w:r w:rsidR="00CC55C0">
        <w:rPr>
          <w:noProof/>
        </w:rPr>
        <w:t> </w:t>
      </w:r>
      <w:r w:rsidR="00CC55C0" w:rsidRPr="0071228C">
        <w:rPr>
          <w:noProof/>
        </w:rPr>
        <w:t>efe</w:t>
      </w:r>
      <w:r w:rsidR="00C73A5A" w:rsidRPr="0071228C">
        <w:rPr>
          <w:noProof/>
        </w:rPr>
        <w:t>ktywny sposób. Należy zatem zmienić definicje „stanu ekologicznego” i „stanu chemicznego” oraz rozszerzyć zakres „stanu chemicznego”, aby objąć nim również substancje zanieczyszczające specyficzne dla dorzeczy, które dotychczas stanowiły część definicji „stanu ekologicznego”</w:t>
      </w:r>
      <w:r w:rsidR="00CC55C0" w:rsidRPr="0071228C">
        <w:rPr>
          <w:noProof/>
        </w:rPr>
        <w:t xml:space="preserve"> w</w:t>
      </w:r>
      <w:r w:rsidR="00CC55C0">
        <w:rPr>
          <w:noProof/>
        </w:rPr>
        <w:t> </w:t>
      </w:r>
      <w:r w:rsidR="00CC55C0" w:rsidRPr="0071228C">
        <w:rPr>
          <w:noProof/>
        </w:rPr>
        <w:t>zał</w:t>
      </w:r>
      <w:r w:rsidR="00C73A5A" w:rsidRPr="0071228C">
        <w:rPr>
          <w:noProof/>
        </w:rPr>
        <w:t>ączniku V do dyrektywy 2000/60/WE</w:t>
      </w:r>
      <w:r w:rsidR="00CC55C0" w:rsidRPr="0071228C">
        <w:rPr>
          <w:noProof/>
        </w:rPr>
        <w:t>. W</w:t>
      </w:r>
      <w:r w:rsidR="00CC55C0">
        <w:rPr>
          <w:noProof/>
        </w:rPr>
        <w:t> </w:t>
      </w:r>
      <w:r w:rsidR="00CC55C0" w:rsidRPr="0071228C">
        <w:rPr>
          <w:noProof/>
        </w:rPr>
        <w:t>zwi</w:t>
      </w:r>
      <w:r w:rsidR="00C73A5A" w:rsidRPr="0071228C">
        <w:rPr>
          <w:noProof/>
        </w:rPr>
        <w:t>ązku</w:t>
      </w:r>
      <w:r w:rsidR="00CC55C0" w:rsidRPr="0071228C">
        <w:rPr>
          <w:noProof/>
        </w:rPr>
        <w:t xml:space="preserve"> z</w:t>
      </w:r>
      <w:r w:rsidR="00CC55C0">
        <w:rPr>
          <w:noProof/>
        </w:rPr>
        <w:t> </w:t>
      </w:r>
      <w:r w:rsidR="00CC55C0" w:rsidRPr="0071228C">
        <w:rPr>
          <w:noProof/>
        </w:rPr>
        <w:t>tym</w:t>
      </w:r>
      <w:r w:rsidR="00C73A5A" w:rsidRPr="0071228C">
        <w:rPr>
          <w:noProof/>
        </w:rPr>
        <w:t xml:space="preserve"> do zakresu dyrektyw 2008/105/WE należy włączyć koncepcję środowiskowych norm jakości dla substancji zanieczyszczających specyficznych dla dorzeczy oraz powiązane procedury.</w:t>
      </w:r>
    </w:p>
    <w:p w14:paraId="50B3C459" w14:textId="3A8DF2F2" w:rsidR="00C73A5A" w:rsidRPr="0071228C" w:rsidRDefault="00B000C3" w:rsidP="00B000C3">
      <w:pPr>
        <w:pStyle w:val="ManualConsidrant"/>
        <w:rPr>
          <w:noProof/>
        </w:rPr>
      </w:pPr>
      <w:r w:rsidRPr="00B000C3">
        <w:t>(15)</w:t>
      </w:r>
      <w:r w:rsidRPr="00B000C3">
        <w:tab/>
      </w:r>
      <w:r w:rsidR="00C73A5A" w:rsidRPr="0071228C">
        <w:rPr>
          <w:noProof/>
        </w:rPr>
        <w:t>W celu zapewnienia zharmonizowanego podejścia</w:t>
      </w:r>
      <w:r w:rsidR="00CC55C0" w:rsidRPr="0071228C">
        <w:rPr>
          <w:noProof/>
        </w:rPr>
        <w:t xml:space="preserve"> i</w:t>
      </w:r>
      <w:r w:rsidR="00CC55C0">
        <w:rPr>
          <w:noProof/>
        </w:rPr>
        <w:t> </w:t>
      </w:r>
      <w:r w:rsidR="00CC55C0" w:rsidRPr="0071228C">
        <w:rPr>
          <w:noProof/>
        </w:rPr>
        <w:t>rów</w:t>
      </w:r>
      <w:r w:rsidR="00C73A5A" w:rsidRPr="0071228C">
        <w:rPr>
          <w:noProof/>
        </w:rPr>
        <w:t>nych warunków działania</w:t>
      </w:r>
      <w:r w:rsidR="00CC55C0" w:rsidRPr="0071228C">
        <w:rPr>
          <w:noProof/>
        </w:rPr>
        <w:t xml:space="preserve"> w</w:t>
      </w:r>
      <w:r w:rsidR="00CC55C0">
        <w:rPr>
          <w:noProof/>
        </w:rPr>
        <w:t> </w:t>
      </w:r>
      <w:r w:rsidR="00CC55C0" w:rsidRPr="0071228C">
        <w:rPr>
          <w:noProof/>
        </w:rPr>
        <w:t>Uni</w:t>
      </w:r>
      <w:r w:rsidR="00C73A5A" w:rsidRPr="0071228C">
        <w:rPr>
          <w:noProof/>
        </w:rPr>
        <w:t>i należy przekazać Komisji uprawnienia do przyjmowania aktów zgodnie</w:t>
      </w:r>
      <w:r w:rsidR="00CC55C0" w:rsidRPr="0071228C">
        <w:rPr>
          <w:noProof/>
        </w:rPr>
        <w:t xml:space="preserve"> z</w:t>
      </w:r>
      <w:r w:rsidR="00CC55C0">
        <w:rPr>
          <w:noProof/>
        </w:rPr>
        <w:t> </w:t>
      </w:r>
      <w:r w:rsidR="00CC55C0" w:rsidRPr="00CC55C0">
        <w:rPr>
          <w:noProof/>
        </w:rPr>
        <w:t>art</w:t>
      </w:r>
      <w:r w:rsidR="00C73A5A" w:rsidRPr="00CC55C0">
        <w:rPr>
          <w:noProof/>
        </w:rPr>
        <w:t>.</w:t>
      </w:r>
      <w:r w:rsidR="00CC55C0" w:rsidRPr="00CC55C0">
        <w:rPr>
          <w:noProof/>
        </w:rPr>
        <w:t> </w:t>
      </w:r>
      <w:r w:rsidR="00C73A5A" w:rsidRPr="00CC55C0">
        <w:rPr>
          <w:noProof/>
        </w:rPr>
        <w:t>2</w:t>
      </w:r>
      <w:r w:rsidR="00C73A5A" w:rsidRPr="0071228C">
        <w:rPr>
          <w:noProof/>
        </w:rPr>
        <w:t>90 TFUE</w:t>
      </w:r>
      <w:r w:rsidR="00CC55C0" w:rsidRPr="0071228C">
        <w:rPr>
          <w:noProof/>
        </w:rPr>
        <w:t xml:space="preserve"> w</w:t>
      </w:r>
      <w:r w:rsidR="00CC55C0">
        <w:rPr>
          <w:noProof/>
        </w:rPr>
        <w:t> </w:t>
      </w:r>
      <w:r w:rsidR="00CC55C0" w:rsidRPr="0071228C">
        <w:rPr>
          <w:noProof/>
        </w:rPr>
        <w:t>cel</w:t>
      </w:r>
      <w:r w:rsidR="00C73A5A" w:rsidRPr="0071228C">
        <w:rPr>
          <w:noProof/>
        </w:rPr>
        <w:t>u zmiany części B załącznika II do dyrektywy 2006/118/WE poprzez dostosowanie wykazu zanieczyszczeń,</w:t>
      </w:r>
      <w:r w:rsidR="00CC55C0" w:rsidRPr="0071228C">
        <w:rPr>
          <w:noProof/>
        </w:rPr>
        <w:t xml:space="preserve"> w</w:t>
      </w:r>
      <w:r w:rsidR="00CC55C0">
        <w:rPr>
          <w:noProof/>
        </w:rPr>
        <w:t> </w:t>
      </w:r>
      <w:r w:rsidR="00CC55C0" w:rsidRPr="0071228C">
        <w:rPr>
          <w:noProof/>
        </w:rPr>
        <w:t>odn</w:t>
      </w:r>
      <w:r w:rsidR="00C73A5A" w:rsidRPr="0071228C">
        <w:rPr>
          <w:noProof/>
        </w:rPr>
        <w:t xml:space="preserve">iesieniu do których państwa członkowskie są zobowiązane do rozważenia czy należy ustalić krajowe wartości progowe. </w:t>
      </w:r>
    </w:p>
    <w:p w14:paraId="1B806E40" w14:textId="41E99F38" w:rsidR="00D8010D" w:rsidRPr="0071228C" w:rsidRDefault="00B000C3" w:rsidP="00B000C3">
      <w:pPr>
        <w:pStyle w:val="ManualConsidrant"/>
        <w:rPr>
          <w:noProof/>
        </w:rPr>
      </w:pPr>
      <w:r w:rsidRPr="00B000C3">
        <w:t>(16)</w:t>
      </w:r>
      <w:r w:rsidRPr="00B000C3">
        <w:tab/>
      </w:r>
      <w:r w:rsidR="00D8010D" w:rsidRPr="0071228C">
        <w:rPr>
          <w:noProof/>
        </w:rPr>
        <w:t>Biorąc pod uwagę potrzebę szybkiego dostosowania do wiedzy naukowo-technicznej oraz zapewnienia zharmonizowanego podejścia</w:t>
      </w:r>
      <w:r w:rsidR="00CC55C0" w:rsidRPr="0071228C">
        <w:rPr>
          <w:noProof/>
        </w:rPr>
        <w:t xml:space="preserve"> i</w:t>
      </w:r>
      <w:r w:rsidR="00CC55C0">
        <w:rPr>
          <w:noProof/>
        </w:rPr>
        <w:t> </w:t>
      </w:r>
      <w:r w:rsidR="00CC55C0" w:rsidRPr="0071228C">
        <w:rPr>
          <w:noProof/>
        </w:rPr>
        <w:t>rów</w:t>
      </w:r>
      <w:r w:rsidR="00D8010D" w:rsidRPr="0071228C">
        <w:rPr>
          <w:noProof/>
        </w:rPr>
        <w:t>nych warunków działania</w:t>
      </w:r>
      <w:r w:rsidR="00CC55C0" w:rsidRPr="0071228C">
        <w:rPr>
          <w:noProof/>
        </w:rPr>
        <w:t xml:space="preserve"> w</w:t>
      </w:r>
      <w:r w:rsidR="00CC55C0">
        <w:rPr>
          <w:noProof/>
        </w:rPr>
        <w:t> </w:t>
      </w:r>
      <w:r w:rsidR="00CC55C0" w:rsidRPr="0071228C">
        <w:rPr>
          <w:noProof/>
        </w:rPr>
        <w:t>Uni</w:t>
      </w:r>
      <w:r w:rsidR="00D8010D" w:rsidRPr="0071228C">
        <w:rPr>
          <w:noProof/>
        </w:rPr>
        <w:t>i</w:t>
      </w:r>
      <w:r w:rsidR="00CC55C0" w:rsidRPr="0071228C">
        <w:rPr>
          <w:noProof/>
        </w:rPr>
        <w:t xml:space="preserve"> w</w:t>
      </w:r>
      <w:r w:rsidR="00CC55C0">
        <w:rPr>
          <w:noProof/>
        </w:rPr>
        <w:t> </w:t>
      </w:r>
      <w:r w:rsidR="00CC55C0" w:rsidRPr="0071228C">
        <w:rPr>
          <w:noProof/>
        </w:rPr>
        <w:t>odn</w:t>
      </w:r>
      <w:r w:rsidR="00D8010D" w:rsidRPr="0071228C">
        <w:rPr>
          <w:noProof/>
        </w:rPr>
        <w:t>iesieniu do substancji zanieczyszczających specyficznych dla dorzeczy, należy przekazać Komisji uprawnienia do przyjmowania aktów zgodnie</w:t>
      </w:r>
      <w:r w:rsidR="00CC55C0" w:rsidRPr="0071228C">
        <w:rPr>
          <w:noProof/>
        </w:rPr>
        <w:t xml:space="preserve"> z</w:t>
      </w:r>
      <w:r w:rsidR="00CC55C0">
        <w:rPr>
          <w:noProof/>
        </w:rPr>
        <w:t> </w:t>
      </w:r>
      <w:r w:rsidR="00CC55C0" w:rsidRPr="00CC55C0">
        <w:rPr>
          <w:noProof/>
        </w:rPr>
        <w:t>art</w:t>
      </w:r>
      <w:r w:rsidR="00D8010D" w:rsidRPr="00CC55C0">
        <w:rPr>
          <w:noProof/>
        </w:rPr>
        <w:t>.</w:t>
      </w:r>
      <w:r w:rsidR="00CC55C0" w:rsidRPr="00CC55C0">
        <w:rPr>
          <w:noProof/>
        </w:rPr>
        <w:t> </w:t>
      </w:r>
      <w:r w:rsidR="00D8010D" w:rsidRPr="00CC55C0">
        <w:rPr>
          <w:noProof/>
        </w:rPr>
        <w:t>2</w:t>
      </w:r>
      <w:r w:rsidR="00D8010D" w:rsidRPr="0071228C">
        <w:rPr>
          <w:noProof/>
        </w:rPr>
        <w:t>90 TFUE</w:t>
      </w:r>
      <w:r w:rsidR="00CC55C0" w:rsidRPr="0071228C">
        <w:rPr>
          <w:noProof/>
        </w:rPr>
        <w:t xml:space="preserve"> w</w:t>
      </w:r>
      <w:r w:rsidR="00CC55C0">
        <w:rPr>
          <w:noProof/>
        </w:rPr>
        <w:t> </w:t>
      </w:r>
      <w:r w:rsidR="00CC55C0" w:rsidRPr="0071228C">
        <w:rPr>
          <w:noProof/>
        </w:rPr>
        <w:t>cel</w:t>
      </w:r>
      <w:r w:rsidR="00D8010D" w:rsidRPr="0071228C">
        <w:rPr>
          <w:noProof/>
        </w:rPr>
        <w:t>u dostosowania załącznika II do dyrektywy 2008/105/WE</w:t>
      </w:r>
      <w:r w:rsidR="00CC55C0" w:rsidRPr="0071228C">
        <w:rPr>
          <w:noProof/>
        </w:rPr>
        <w:t xml:space="preserve"> w</w:t>
      </w:r>
      <w:r w:rsidR="00CC55C0">
        <w:rPr>
          <w:noProof/>
        </w:rPr>
        <w:t> </w:t>
      </w:r>
      <w:r w:rsidR="00CC55C0" w:rsidRPr="0071228C">
        <w:rPr>
          <w:noProof/>
        </w:rPr>
        <w:t>odn</w:t>
      </w:r>
      <w:r w:rsidR="00D8010D" w:rsidRPr="0071228C">
        <w:rPr>
          <w:noProof/>
        </w:rPr>
        <w:t>iesieniu do wykazu kategorii zanieczyszczeń określonych</w:t>
      </w:r>
      <w:r w:rsidR="00CC55C0" w:rsidRPr="0071228C">
        <w:rPr>
          <w:noProof/>
        </w:rPr>
        <w:t xml:space="preserve"> w</w:t>
      </w:r>
      <w:r w:rsidR="00CC55C0">
        <w:rPr>
          <w:noProof/>
        </w:rPr>
        <w:t> </w:t>
      </w:r>
      <w:r w:rsidR="00CC55C0" w:rsidRPr="0071228C">
        <w:rPr>
          <w:noProof/>
        </w:rPr>
        <w:t>czę</w:t>
      </w:r>
      <w:r w:rsidR="00D8010D" w:rsidRPr="0071228C">
        <w:rPr>
          <w:noProof/>
        </w:rPr>
        <w:t>ści A tego załącznika oraz dostosowania części C załącznika II</w:t>
      </w:r>
      <w:r w:rsidR="00CC55C0" w:rsidRPr="0071228C">
        <w:rPr>
          <w:noProof/>
        </w:rPr>
        <w:t xml:space="preserve"> w</w:t>
      </w:r>
      <w:r w:rsidR="00CC55C0">
        <w:rPr>
          <w:noProof/>
        </w:rPr>
        <w:t> </w:t>
      </w:r>
      <w:r w:rsidR="00CC55C0" w:rsidRPr="0071228C">
        <w:rPr>
          <w:noProof/>
        </w:rPr>
        <w:t>odn</w:t>
      </w:r>
      <w:r w:rsidR="00D8010D" w:rsidRPr="0071228C">
        <w:rPr>
          <w:noProof/>
        </w:rPr>
        <w:t>iesieniu do zharmonizowanych środowiskowych norm jakości dotyczących substancji zanieczyszczających specyficznych dla dorzeczy lub ich grup. Takie zharmonizowane środowiskowe normy jakości powinny być stosowane przez państwa członkowskie przy dokonywaniu oceny stanu ich jednolitych części wód powierzchniowych,</w:t>
      </w:r>
      <w:r w:rsidR="00CC55C0" w:rsidRPr="0071228C">
        <w:rPr>
          <w:noProof/>
        </w:rPr>
        <w:t xml:space="preserve"> w</w:t>
      </w:r>
      <w:r w:rsidR="00CC55C0">
        <w:rPr>
          <w:noProof/>
        </w:rPr>
        <w:t> </w:t>
      </w:r>
      <w:r w:rsidR="00CC55C0" w:rsidRPr="0071228C">
        <w:rPr>
          <w:noProof/>
        </w:rPr>
        <w:t>prz</w:t>
      </w:r>
      <w:r w:rsidR="00D8010D" w:rsidRPr="0071228C">
        <w:rPr>
          <w:noProof/>
        </w:rPr>
        <w:t>ypadku gdy stwierdzono ryzyko związane</w:t>
      </w:r>
      <w:r w:rsidR="00CC55C0" w:rsidRPr="0071228C">
        <w:rPr>
          <w:noProof/>
        </w:rPr>
        <w:t xml:space="preserve"> z</w:t>
      </w:r>
      <w:r w:rsidR="00CC55C0">
        <w:rPr>
          <w:noProof/>
        </w:rPr>
        <w:t> </w:t>
      </w:r>
      <w:r w:rsidR="00CC55C0" w:rsidRPr="0071228C">
        <w:rPr>
          <w:noProof/>
        </w:rPr>
        <w:t>tym</w:t>
      </w:r>
      <w:r w:rsidR="00D8010D" w:rsidRPr="0071228C">
        <w:rPr>
          <w:noProof/>
        </w:rPr>
        <w:t xml:space="preserve">i zanieczyszczeniami. </w:t>
      </w:r>
    </w:p>
    <w:p w14:paraId="29125C3A" w14:textId="717F7648" w:rsidR="002A3A98" w:rsidRPr="0071228C" w:rsidRDefault="00B000C3" w:rsidP="00B000C3">
      <w:pPr>
        <w:pStyle w:val="ManualConsidrant"/>
        <w:rPr>
          <w:noProof/>
        </w:rPr>
      </w:pPr>
      <w:r w:rsidRPr="00B000C3">
        <w:t>(17)</w:t>
      </w:r>
      <w:r w:rsidRPr="00B000C3">
        <w:tab/>
      </w:r>
      <w:r w:rsidR="00D8010D" w:rsidRPr="0071228C">
        <w:rPr>
          <w:noProof/>
        </w:rPr>
        <w:t>W wyniku przeglądu wykazu substancji priorytetowych</w:t>
      </w:r>
      <w:r w:rsidR="00CC55C0" w:rsidRPr="0071228C">
        <w:rPr>
          <w:noProof/>
        </w:rPr>
        <w:t xml:space="preserve"> w</w:t>
      </w:r>
      <w:r w:rsidR="00CC55C0">
        <w:rPr>
          <w:noProof/>
        </w:rPr>
        <w:t> </w:t>
      </w:r>
      <w:r w:rsidR="00CC55C0" w:rsidRPr="0071228C">
        <w:rPr>
          <w:noProof/>
        </w:rPr>
        <w:t>czę</w:t>
      </w:r>
      <w:r w:rsidR="00D8010D" w:rsidRPr="0071228C">
        <w:rPr>
          <w:noProof/>
        </w:rPr>
        <w:t>ści A załącznika I do dyrektywy 2008/105/WE stwierdzono, że szereg substancji priorytetowych nie stanowi problemu ogólnounijnego</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zwi</w:t>
      </w:r>
      <w:r w:rsidR="00D8010D" w:rsidRPr="0071228C">
        <w:rPr>
          <w:noProof/>
        </w:rPr>
        <w:t>ązku</w:t>
      </w:r>
      <w:r w:rsidR="00CC55C0" w:rsidRPr="0071228C">
        <w:rPr>
          <w:noProof/>
        </w:rPr>
        <w:t xml:space="preserve"> z</w:t>
      </w:r>
      <w:r w:rsidR="00CC55C0">
        <w:rPr>
          <w:noProof/>
        </w:rPr>
        <w:t> </w:t>
      </w:r>
      <w:r w:rsidR="00CC55C0" w:rsidRPr="0071228C">
        <w:rPr>
          <w:noProof/>
        </w:rPr>
        <w:t>tym</w:t>
      </w:r>
      <w:r w:rsidR="00D8010D" w:rsidRPr="0071228C">
        <w:rPr>
          <w:noProof/>
        </w:rPr>
        <w:t xml:space="preserve"> nie należy ich włączać do części A załącznika I do tej dyrektywy. Substancje te należy zatem uznać za substancje zanieczyszczające specyficzne dla dorzeczy</w:t>
      </w:r>
      <w:r w:rsidR="00CC55C0" w:rsidRPr="0071228C">
        <w:rPr>
          <w:noProof/>
        </w:rPr>
        <w:t xml:space="preserve"> i</w:t>
      </w:r>
      <w:r w:rsidR="00CC55C0">
        <w:rPr>
          <w:noProof/>
        </w:rPr>
        <w:t> </w:t>
      </w:r>
      <w:r w:rsidR="00CC55C0" w:rsidRPr="0071228C">
        <w:rPr>
          <w:noProof/>
        </w:rPr>
        <w:t>włą</w:t>
      </w:r>
      <w:r w:rsidR="00D8010D" w:rsidRPr="0071228C">
        <w:rPr>
          <w:noProof/>
        </w:rPr>
        <w:t>czyć je do części C załącznika II do dyrektywy 2008/105/WE wraz</w:t>
      </w:r>
      <w:r w:rsidR="00CC55C0" w:rsidRPr="0071228C">
        <w:rPr>
          <w:noProof/>
        </w:rPr>
        <w:t xml:space="preserve"> z</w:t>
      </w:r>
      <w:r w:rsidR="00CC55C0">
        <w:rPr>
          <w:noProof/>
        </w:rPr>
        <w:t> </w:t>
      </w:r>
      <w:r w:rsidR="00CC55C0" w:rsidRPr="0071228C">
        <w:rPr>
          <w:noProof/>
        </w:rPr>
        <w:t>odp</w:t>
      </w:r>
      <w:r w:rsidR="00D8010D" w:rsidRPr="0071228C">
        <w:rPr>
          <w:noProof/>
        </w:rPr>
        <w:t>owiadającymi im środowiskowymi normami jakości. Biorąc pod uwagę, że zanieczyszczeń tych nie uznaje się już za stwarzające problem ogólnounijny, środowiskowe normy jakości należy stosować jedynie</w:t>
      </w:r>
      <w:r w:rsidR="00CC55C0" w:rsidRPr="0071228C">
        <w:rPr>
          <w:noProof/>
        </w:rPr>
        <w:t xml:space="preserve"> w</w:t>
      </w:r>
      <w:r w:rsidR="00CC55C0">
        <w:rPr>
          <w:noProof/>
        </w:rPr>
        <w:t> </w:t>
      </w:r>
      <w:r w:rsidR="00CC55C0" w:rsidRPr="0071228C">
        <w:rPr>
          <w:noProof/>
        </w:rPr>
        <w:t>prz</w:t>
      </w:r>
      <w:r w:rsidR="00D8010D" w:rsidRPr="0071228C">
        <w:rPr>
          <w:noProof/>
        </w:rPr>
        <w:t xml:space="preserve">ypadku, gdy zanieczyszczenia te mogą nadal stanowić zagrożenie na poziomie krajowym, regionalnym lub lokalnym. </w:t>
      </w:r>
    </w:p>
    <w:p w14:paraId="4068E1C8" w14:textId="59CEE6F7" w:rsidR="002E0194" w:rsidRPr="0071228C" w:rsidRDefault="00B000C3" w:rsidP="00B000C3">
      <w:pPr>
        <w:pStyle w:val="ManualConsidrant"/>
        <w:rPr>
          <w:noProof/>
        </w:rPr>
      </w:pPr>
      <w:r w:rsidRPr="00B000C3">
        <w:t>(18)</w:t>
      </w:r>
      <w:r w:rsidRPr="00B000C3">
        <w:tab/>
      </w:r>
      <w:r w:rsidR="002E0194" w:rsidRPr="0071228C">
        <w:rPr>
          <w:noProof/>
        </w:rPr>
        <w:t>Aby zapewnić równe warunki działania</w:t>
      </w:r>
      <w:r w:rsidR="00CC55C0" w:rsidRPr="0071228C">
        <w:rPr>
          <w:noProof/>
        </w:rPr>
        <w:t xml:space="preserve"> i</w:t>
      </w:r>
      <w:r w:rsidR="00CC55C0">
        <w:rPr>
          <w:noProof/>
        </w:rPr>
        <w:t> </w:t>
      </w:r>
      <w:r w:rsidR="00CC55C0" w:rsidRPr="0071228C">
        <w:rPr>
          <w:noProof/>
        </w:rPr>
        <w:t>umo</w:t>
      </w:r>
      <w:r w:rsidR="002E0194" w:rsidRPr="0071228C">
        <w:rPr>
          <w:noProof/>
        </w:rPr>
        <w:t>żliwić porównanie stanu jednolitych części wód pomiędzy państwami członkowskimi, należy zharmonizować krajowe wartości progowe dla niektórych zanieczyszczeń wód podziemnych</w:t>
      </w:r>
      <w:r w:rsidR="00CC55C0" w:rsidRPr="0071228C">
        <w:rPr>
          <w:noProof/>
        </w:rPr>
        <w:t>. W</w:t>
      </w:r>
      <w:r w:rsidR="00CC55C0">
        <w:rPr>
          <w:noProof/>
        </w:rPr>
        <w:t> </w:t>
      </w:r>
      <w:r w:rsidR="00CC55C0" w:rsidRPr="0071228C">
        <w:rPr>
          <w:noProof/>
        </w:rPr>
        <w:t>zwi</w:t>
      </w:r>
      <w:r w:rsidR="002E0194" w:rsidRPr="0071228C">
        <w:rPr>
          <w:noProof/>
        </w:rPr>
        <w:t>ązku</w:t>
      </w:r>
      <w:r w:rsidR="00CC55C0" w:rsidRPr="0071228C">
        <w:rPr>
          <w:noProof/>
        </w:rPr>
        <w:t xml:space="preserve"> z</w:t>
      </w:r>
      <w:r w:rsidR="00CC55C0">
        <w:rPr>
          <w:noProof/>
        </w:rPr>
        <w:t> </w:t>
      </w:r>
      <w:r w:rsidR="00CC55C0" w:rsidRPr="0071228C">
        <w:rPr>
          <w:noProof/>
        </w:rPr>
        <w:t>tym</w:t>
      </w:r>
      <w:r w:rsidR="002E0194" w:rsidRPr="0071228C">
        <w:rPr>
          <w:noProof/>
        </w:rPr>
        <w:t xml:space="preserve"> należy wprowadzić repozytorium zharmonizowanych wartości progowych dla zanieczyszczeń wód podziemnych</w:t>
      </w:r>
      <w:r w:rsidR="00CC55C0" w:rsidRPr="0071228C">
        <w:rPr>
          <w:noProof/>
        </w:rPr>
        <w:t xml:space="preserve"> o</w:t>
      </w:r>
      <w:r w:rsidR="00CC55C0">
        <w:rPr>
          <w:noProof/>
        </w:rPr>
        <w:t> </w:t>
      </w:r>
      <w:r w:rsidR="00CC55C0" w:rsidRPr="0071228C">
        <w:rPr>
          <w:noProof/>
        </w:rPr>
        <w:t>zas</w:t>
      </w:r>
      <w:r w:rsidR="002E0194" w:rsidRPr="0071228C">
        <w:rPr>
          <w:noProof/>
        </w:rPr>
        <w:t>ięgu krajowym, regionalnym lub lokalnym jako nową część D</w:t>
      </w:r>
      <w:r w:rsidR="00CC55C0" w:rsidRPr="0071228C">
        <w:rPr>
          <w:noProof/>
        </w:rPr>
        <w:t xml:space="preserve"> w</w:t>
      </w:r>
      <w:r w:rsidR="00CC55C0">
        <w:rPr>
          <w:noProof/>
        </w:rPr>
        <w:t> </w:t>
      </w:r>
      <w:r w:rsidR="00CC55C0" w:rsidRPr="0071228C">
        <w:rPr>
          <w:noProof/>
        </w:rPr>
        <w:t>zał</w:t>
      </w:r>
      <w:r w:rsidR="002E0194" w:rsidRPr="0071228C">
        <w:rPr>
          <w:noProof/>
        </w:rPr>
        <w:t>ączniku II do dyrektywy 2006/118/WE. Zharmonizowane progi określone we wspomnianym repozytorium należy stosować wyłącznie</w:t>
      </w:r>
      <w:r w:rsidR="00CC55C0" w:rsidRPr="0071228C">
        <w:rPr>
          <w:noProof/>
        </w:rPr>
        <w:t xml:space="preserve"> w</w:t>
      </w:r>
      <w:r w:rsidR="00CC55C0">
        <w:rPr>
          <w:noProof/>
        </w:rPr>
        <w:t> </w:t>
      </w:r>
      <w:r w:rsidR="00CC55C0" w:rsidRPr="0071228C">
        <w:rPr>
          <w:noProof/>
        </w:rPr>
        <w:t>tyc</w:t>
      </w:r>
      <w:r w:rsidR="002E0194" w:rsidRPr="0071228C">
        <w:rPr>
          <w:noProof/>
        </w:rPr>
        <w:t>h państwach członkowskich,</w:t>
      </w:r>
      <w:r w:rsidR="00CC55C0" w:rsidRPr="0071228C">
        <w:rPr>
          <w:noProof/>
        </w:rPr>
        <w:t xml:space="preserve"> w</w:t>
      </w:r>
      <w:r w:rsidR="00CC55C0">
        <w:rPr>
          <w:noProof/>
        </w:rPr>
        <w:t> </w:t>
      </w:r>
      <w:r w:rsidR="00CC55C0" w:rsidRPr="0071228C">
        <w:rPr>
          <w:noProof/>
        </w:rPr>
        <w:t>któ</w:t>
      </w:r>
      <w:r w:rsidR="002E0194" w:rsidRPr="0071228C">
        <w:rPr>
          <w:noProof/>
        </w:rPr>
        <w:t>rych zanieczyszczenia objęte tymi progami wpływają na stan wód podziemnych</w:t>
      </w:r>
      <w:r w:rsidR="00CC55C0" w:rsidRPr="0071228C">
        <w:rPr>
          <w:noProof/>
        </w:rPr>
        <w:t>. W</w:t>
      </w:r>
      <w:r w:rsidR="00CC55C0">
        <w:rPr>
          <w:noProof/>
        </w:rPr>
        <w:t> </w:t>
      </w:r>
      <w:r w:rsidR="00CC55C0" w:rsidRPr="0071228C">
        <w:rPr>
          <w:noProof/>
        </w:rPr>
        <w:t>prz</w:t>
      </w:r>
      <w:r w:rsidR="002E0194" w:rsidRPr="0071228C">
        <w:rPr>
          <w:noProof/>
        </w:rPr>
        <w:t>ypadku sumy dwóch syntetycznych substancji zanieczyszczających: trójchloroetylenu</w:t>
      </w:r>
      <w:r w:rsidR="00CC55C0" w:rsidRPr="0071228C">
        <w:rPr>
          <w:noProof/>
        </w:rPr>
        <w:t xml:space="preserve"> i</w:t>
      </w:r>
      <w:r w:rsidR="00CC55C0">
        <w:rPr>
          <w:noProof/>
        </w:rPr>
        <w:t> </w:t>
      </w:r>
      <w:r w:rsidR="00CC55C0" w:rsidRPr="0071228C">
        <w:rPr>
          <w:noProof/>
        </w:rPr>
        <w:t>tet</w:t>
      </w:r>
      <w:r w:rsidR="002E0194" w:rsidRPr="0071228C">
        <w:rPr>
          <w:noProof/>
        </w:rPr>
        <w:t>rachloroetylenu należy zharmonizować krajowe wartości progowe, ponieważ nie wszystkie państwa członkowskie,</w:t>
      </w:r>
      <w:r w:rsidR="00CC55C0" w:rsidRPr="0071228C">
        <w:rPr>
          <w:noProof/>
        </w:rPr>
        <w:t xml:space="preserve"> w</w:t>
      </w:r>
      <w:r w:rsidR="00CC55C0">
        <w:rPr>
          <w:noProof/>
        </w:rPr>
        <w:t> </w:t>
      </w:r>
      <w:r w:rsidR="00CC55C0" w:rsidRPr="0071228C">
        <w:rPr>
          <w:noProof/>
        </w:rPr>
        <w:t>któ</w:t>
      </w:r>
      <w:r w:rsidR="002E0194" w:rsidRPr="0071228C">
        <w:rPr>
          <w:noProof/>
        </w:rPr>
        <w:t>rych te zanieczyszczenia są istotne, stosują wartość progową dla sumy tych zanieczyszczeń,</w:t>
      </w:r>
      <w:r w:rsidR="00CC55C0" w:rsidRPr="0071228C">
        <w:rPr>
          <w:noProof/>
        </w:rPr>
        <w:t xml:space="preserve"> a</w:t>
      </w:r>
      <w:r w:rsidR="00CC55C0">
        <w:rPr>
          <w:noProof/>
        </w:rPr>
        <w:t> </w:t>
      </w:r>
      <w:r w:rsidR="00CC55C0" w:rsidRPr="0071228C">
        <w:rPr>
          <w:noProof/>
        </w:rPr>
        <w:t>ust</w:t>
      </w:r>
      <w:r w:rsidR="002E0194" w:rsidRPr="0071228C">
        <w:rPr>
          <w:noProof/>
        </w:rPr>
        <w:t>alone krajowe wartości progowe nie są jednakowe. Zharmonizowana wartość progowa powinna być zgodna</w:t>
      </w:r>
      <w:r w:rsidR="00CC55C0" w:rsidRPr="0071228C">
        <w:rPr>
          <w:noProof/>
        </w:rPr>
        <w:t xml:space="preserve"> z</w:t>
      </w:r>
      <w:r w:rsidR="00CC55C0">
        <w:rPr>
          <w:noProof/>
        </w:rPr>
        <w:t> </w:t>
      </w:r>
      <w:r w:rsidR="00CC55C0" w:rsidRPr="0071228C">
        <w:rPr>
          <w:noProof/>
        </w:rPr>
        <w:t>war</w:t>
      </w:r>
      <w:r w:rsidR="002E0194" w:rsidRPr="0071228C">
        <w:rPr>
          <w:noProof/>
        </w:rPr>
        <w:t>tością parametrów ustaloną dla sumy wspomnianych substancji zanieczyszczających</w:t>
      </w:r>
      <w:r w:rsidR="00CC55C0" w:rsidRPr="0071228C">
        <w:rPr>
          <w:noProof/>
        </w:rPr>
        <w:t xml:space="preserve"> w</w:t>
      </w:r>
      <w:r w:rsidR="00CC55C0">
        <w:rPr>
          <w:noProof/>
        </w:rPr>
        <w:t> </w:t>
      </w:r>
      <w:r w:rsidR="00CC55C0" w:rsidRPr="0071228C">
        <w:rPr>
          <w:noProof/>
        </w:rPr>
        <w:t>wod</w:t>
      </w:r>
      <w:r w:rsidR="002E0194" w:rsidRPr="0071228C">
        <w:rPr>
          <w:noProof/>
        </w:rPr>
        <w:t>zie pitnej na podstawie dyrektywy (UE) 2020/2184.</w:t>
      </w:r>
    </w:p>
    <w:p w14:paraId="12AA7ECA" w14:textId="1B745ADF" w:rsidR="009B5F71" w:rsidRPr="0071228C" w:rsidRDefault="00B000C3" w:rsidP="00B000C3">
      <w:pPr>
        <w:pStyle w:val="ManualConsidrant"/>
        <w:rPr>
          <w:noProof/>
        </w:rPr>
      </w:pPr>
      <w:r w:rsidRPr="00B000C3">
        <w:t>(19)</w:t>
      </w:r>
      <w:r w:rsidRPr="00B000C3">
        <w:tab/>
      </w:r>
      <w:r w:rsidR="009B5F71" w:rsidRPr="0071228C">
        <w:rPr>
          <w:noProof/>
        </w:rPr>
        <w:t>W celu zapewnienia zharmonizowanego podejścia</w:t>
      </w:r>
      <w:r w:rsidR="00CC55C0" w:rsidRPr="0071228C">
        <w:rPr>
          <w:noProof/>
        </w:rPr>
        <w:t xml:space="preserve"> i</w:t>
      </w:r>
      <w:r w:rsidR="00CC55C0">
        <w:rPr>
          <w:noProof/>
        </w:rPr>
        <w:t> </w:t>
      </w:r>
      <w:r w:rsidR="00CC55C0" w:rsidRPr="0071228C">
        <w:rPr>
          <w:noProof/>
        </w:rPr>
        <w:t>rów</w:t>
      </w:r>
      <w:r w:rsidR="009B5F71" w:rsidRPr="0071228C">
        <w:rPr>
          <w:noProof/>
        </w:rPr>
        <w:t>nych warunków działania</w:t>
      </w:r>
      <w:r w:rsidR="00CC55C0" w:rsidRPr="0071228C">
        <w:rPr>
          <w:noProof/>
        </w:rPr>
        <w:t xml:space="preserve"> w</w:t>
      </w:r>
      <w:r w:rsidR="00CC55C0">
        <w:rPr>
          <w:noProof/>
        </w:rPr>
        <w:t> </w:t>
      </w:r>
      <w:r w:rsidR="00CC55C0" w:rsidRPr="0071228C">
        <w:rPr>
          <w:noProof/>
        </w:rPr>
        <w:t>Uni</w:t>
      </w:r>
      <w:r w:rsidR="009B5F71" w:rsidRPr="0071228C">
        <w:rPr>
          <w:noProof/>
        </w:rPr>
        <w:t>i należy przekazać Komisji uprawnienia do przyjmowania aktów zgodnie</w:t>
      </w:r>
      <w:r w:rsidR="00CC55C0" w:rsidRPr="0071228C">
        <w:rPr>
          <w:noProof/>
        </w:rPr>
        <w:t xml:space="preserve"> z</w:t>
      </w:r>
      <w:r w:rsidR="00CC55C0">
        <w:rPr>
          <w:noProof/>
        </w:rPr>
        <w:t> </w:t>
      </w:r>
      <w:r w:rsidR="00CC55C0" w:rsidRPr="00CC55C0">
        <w:rPr>
          <w:noProof/>
        </w:rPr>
        <w:t>art</w:t>
      </w:r>
      <w:r w:rsidR="009B5F71" w:rsidRPr="00CC55C0">
        <w:rPr>
          <w:noProof/>
        </w:rPr>
        <w:t>.</w:t>
      </w:r>
      <w:r w:rsidR="00CC55C0" w:rsidRPr="00CC55C0">
        <w:rPr>
          <w:noProof/>
        </w:rPr>
        <w:t> </w:t>
      </w:r>
      <w:r w:rsidR="009B5F71" w:rsidRPr="00CC55C0">
        <w:rPr>
          <w:noProof/>
        </w:rPr>
        <w:t>2</w:t>
      </w:r>
      <w:r w:rsidR="009B5F71" w:rsidRPr="0071228C">
        <w:rPr>
          <w:noProof/>
        </w:rPr>
        <w:t>90 TFUE</w:t>
      </w:r>
      <w:r w:rsidR="00CC55C0" w:rsidRPr="0071228C">
        <w:rPr>
          <w:noProof/>
        </w:rPr>
        <w:t xml:space="preserve"> w</w:t>
      </w:r>
      <w:r w:rsidR="00CC55C0">
        <w:rPr>
          <w:noProof/>
        </w:rPr>
        <w:t> </w:t>
      </w:r>
      <w:r w:rsidR="00CC55C0" w:rsidRPr="0071228C">
        <w:rPr>
          <w:noProof/>
        </w:rPr>
        <w:t>cel</w:t>
      </w:r>
      <w:r w:rsidR="009B5F71" w:rsidRPr="0071228C">
        <w:rPr>
          <w:noProof/>
        </w:rPr>
        <w:t>u zmiany części D załącznika II do dyrektywy 2006/118/WE, aby dostosować repozytorium zharmonizowanych wartości progowych dla uwzględnionych zanieczyszczeń</w:t>
      </w:r>
      <w:r w:rsidR="00CC55C0" w:rsidRPr="0071228C">
        <w:rPr>
          <w:noProof/>
        </w:rPr>
        <w:t xml:space="preserve"> i</w:t>
      </w:r>
      <w:r w:rsidR="00CC55C0">
        <w:rPr>
          <w:noProof/>
        </w:rPr>
        <w:t> </w:t>
      </w:r>
      <w:r w:rsidR="00CC55C0" w:rsidRPr="0071228C">
        <w:rPr>
          <w:noProof/>
        </w:rPr>
        <w:t>zha</w:t>
      </w:r>
      <w:r w:rsidR="009B5F71" w:rsidRPr="0071228C">
        <w:rPr>
          <w:noProof/>
        </w:rPr>
        <w:t xml:space="preserve">rmonizowanych wartości progowych do postępu techniczno-naukowego. </w:t>
      </w:r>
    </w:p>
    <w:p w14:paraId="31CEC9A6" w14:textId="74708392" w:rsidR="009B5F71" w:rsidRPr="0071228C" w:rsidRDefault="00B000C3" w:rsidP="00B000C3">
      <w:pPr>
        <w:pStyle w:val="ManualConsidrant"/>
        <w:rPr>
          <w:noProof/>
        </w:rPr>
      </w:pPr>
      <w:r w:rsidRPr="00B000C3">
        <w:t>(20)</w:t>
      </w:r>
      <w:r w:rsidRPr="00B000C3">
        <w:tab/>
      </w:r>
      <w:r w:rsidR="009B5F71" w:rsidRPr="0071228C">
        <w:rPr>
          <w:noProof/>
        </w:rPr>
        <w:t>Oprócz norm jakości określonych</w:t>
      </w:r>
      <w:r w:rsidR="00CC55C0" w:rsidRPr="0071228C">
        <w:rPr>
          <w:noProof/>
        </w:rPr>
        <w:t xml:space="preserve"> w</w:t>
      </w:r>
      <w:r w:rsidR="00CC55C0">
        <w:rPr>
          <w:noProof/>
        </w:rPr>
        <w:t> </w:t>
      </w:r>
      <w:r w:rsidR="00CC55C0" w:rsidRPr="0071228C">
        <w:rPr>
          <w:noProof/>
        </w:rPr>
        <w:t>zał</w:t>
      </w:r>
      <w:r w:rsidR="009B5F71" w:rsidRPr="0071228C">
        <w:rPr>
          <w:noProof/>
        </w:rPr>
        <w:t>ączniku I do tej dyrektywy oraz krajowych wartości progowych określonych zgodnie</w:t>
      </w:r>
      <w:r w:rsidR="00CC55C0" w:rsidRPr="0071228C">
        <w:rPr>
          <w:noProof/>
        </w:rPr>
        <w:t xml:space="preserve"> z</w:t>
      </w:r>
      <w:r w:rsidR="00CC55C0">
        <w:rPr>
          <w:noProof/>
        </w:rPr>
        <w:t> </w:t>
      </w:r>
      <w:r w:rsidR="00CC55C0" w:rsidRPr="0071228C">
        <w:rPr>
          <w:noProof/>
        </w:rPr>
        <w:t>met</w:t>
      </w:r>
      <w:r w:rsidR="009B5F71" w:rsidRPr="0071228C">
        <w:rPr>
          <w:noProof/>
        </w:rPr>
        <w:t>odyką określoną</w:t>
      </w:r>
      <w:r w:rsidR="00CC55C0" w:rsidRPr="0071228C">
        <w:rPr>
          <w:noProof/>
        </w:rPr>
        <w:t xml:space="preserve"> w</w:t>
      </w:r>
      <w:r w:rsidR="00CC55C0">
        <w:rPr>
          <w:noProof/>
        </w:rPr>
        <w:t> </w:t>
      </w:r>
      <w:r w:rsidR="00CC55C0" w:rsidRPr="0071228C">
        <w:rPr>
          <w:noProof/>
        </w:rPr>
        <w:t>czę</w:t>
      </w:r>
      <w:r w:rsidR="009B5F71" w:rsidRPr="0071228C">
        <w:rPr>
          <w:noProof/>
        </w:rPr>
        <w:t>ści A załącznika II do tej dyrektywy wszystkie przepisy dyrektywy 2006/118/WE dotyczące oceny stanu chemicznego wód podziemnych należy dostosować do wprowadzenia trzeciej kategorii zharmonizowanych wartości progowych</w:t>
      </w:r>
      <w:r w:rsidR="00CC55C0" w:rsidRPr="0071228C">
        <w:rPr>
          <w:noProof/>
        </w:rPr>
        <w:t xml:space="preserve"> w</w:t>
      </w:r>
      <w:r w:rsidR="00CC55C0">
        <w:rPr>
          <w:noProof/>
        </w:rPr>
        <w:t> </w:t>
      </w:r>
      <w:r w:rsidR="00CC55C0" w:rsidRPr="0071228C">
        <w:rPr>
          <w:noProof/>
        </w:rPr>
        <w:t>czę</w:t>
      </w:r>
      <w:r w:rsidR="009B5F71" w:rsidRPr="0071228C">
        <w:rPr>
          <w:noProof/>
        </w:rPr>
        <w:t>ści D załącznika II do tej dyrektywy.</w:t>
      </w:r>
    </w:p>
    <w:p w14:paraId="651ABCF8" w14:textId="58C764BD" w:rsidR="00A01865" w:rsidRPr="0071228C" w:rsidRDefault="00B000C3" w:rsidP="00B000C3">
      <w:pPr>
        <w:pStyle w:val="ManualConsidrant"/>
        <w:rPr>
          <w:noProof/>
        </w:rPr>
      </w:pPr>
      <w:r w:rsidRPr="00B000C3">
        <w:t>(21)</w:t>
      </w:r>
      <w:r w:rsidRPr="00B000C3">
        <w:tab/>
      </w:r>
      <w:r w:rsidR="00707136" w:rsidRPr="0071228C">
        <w:rPr>
          <w:noProof/>
        </w:rPr>
        <w:t>Aby zapewnić skuteczny</w:t>
      </w:r>
      <w:r w:rsidR="00CC55C0" w:rsidRPr="0071228C">
        <w:rPr>
          <w:noProof/>
        </w:rPr>
        <w:t xml:space="preserve"> i</w:t>
      </w:r>
      <w:r w:rsidR="00CC55C0">
        <w:rPr>
          <w:noProof/>
        </w:rPr>
        <w:t> </w:t>
      </w:r>
      <w:r w:rsidR="00CC55C0" w:rsidRPr="0071228C">
        <w:rPr>
          <w:noProof/>
        </w:rPr>
        <w:t>spó</w:t>
      </w:r>
      <w:r w:rsidR="00707136" w:rsidRPr="0071228C">
        <w:rPr>
          <w:noProof/>
        </w:rPr>
        <w:t>jny proces decyzyjny oraz rozwój synergii</w:t>
      </w:r>
      <w:r w:rsidR="00CC55C0" w:rsidRPr="0071228C">
        <w:rPr>
          <w:noProof/>
        </w:rPr>
        <w:t xml:space="preserve"> z</w:t>
      </w:r>
      <w:r w:rsidR="00CC55C0">
        <w:rPr>
          <w:noProof/>
        </w:rPr>
        <w:t> </w:t>
      </w:r>
      <w:r w:rsidR="00CC55C0" w:rsidRPr="0071228C">
        <w:rPr>
          <w:noProof/>
        </w:rPr>
        <w:t>pra</w:t>
      </w:r>
      <w:r w:rsidR="00707136" w:rsidRPr="0071228C">
        <w:rPr>
          <w:noProof/>
        </w:rPr>
        <w:t>cami prowadzonymi</w:t>
      </w:r>
      <w:r w:rsidR="00CC55C0" w:rsidRPr="0071228C">
        <w:rPr>
          <w:noProof/>
        </w:rPr>
        <w:t xml:space="preserve"> w</w:t>
      </w:r>
      <w:r w:rsidR="00CC55C0">
        <w:rPr>
          <w:noProof/>
        </w:rPr>
        <w:t> </w:t>
      </w:r>
      <w:r w:rsidR="00CC55C0" w:rsidRPr="0071228C">
        <w:rPr>
          <w:noProof/>
        </w:rPr>
        <w:t>ram</w:t>
      </w:r>
      <w:r w:rsidR="00707136" w:rsidRPr="0071228C">
        <w:rPr>
          <w:noProof/>
        </w:rPr>
        <w:t>ach innych przepisów Unii dotyczących chemikaliów, należy powierzyć stałą</w:t>
      </w:r>
      <w:r w:rsidR="00CC55C0" w:rsidRPr="0071228C">
        <w:rPr>
          <w:noProof/>
        </w:rPr>
        <w:t xml:space="preserve"> i</w:t>
      </w:r>
      <w:r w:rsidR="00CC55C0">
        <w:rPr>
          <w:noProof/>
        </w:rPr>
        <w:t> </w:t>
      </w:r>
      <w:r w:rsidR="00CC55C0" w:rsidRPr="0071228C">
        <w:rPr>
          <w:noProof/>
        </w:rPr>
        <w:t>jas</w:t>
      </w:r>
      <w:r w:rsidR="00707136" w:rsidRPr="0071228C">
        <w:rPr>
          <w:noProof/>
        </w:rPr>
        <w:t>no określoną rolę Europejskiej Agencji Chemikaliów („ECHA”)</w:t>
      </w:r>
      <w:r w:rsidR="00CC55C0" w:rsidRPr="0071228C">
        <w:rPr>
          <w:noProof/>
        </w:rPr>
        <w:t xml:space="preserve"> w</w:t>
      </w:r>
      <w:r w:rsidR="00CC55C0">
        <w:rPr>
          <w:noProof/>
        </w:rPr>
        <w:t> </w:t>
      </w:r>
      <w:r w:rsidR="00CC55C0" w:rsidRPr="0071228C">
        <w:rPr>
          <w:noProof/>
        </w:rPr>
        <w:t>zak</w:t>
      </w:r>
      <w:r w:rsidR="00707136" w:rsidRPr="0071228C">
        <w:rPr>
          <w:noProof/>
        </w:rPr>
        <w:t>resie ustalania priorytetów dotyczących substancji, które mają zostać umieszczone na listach obserwacyjnych</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wyk</w:t>
      </w:r>
      <w:r w:rsidR="00707136" w:rsidRPr="0071228C">
        <w:rPr>
          <w:noProof/>
        </w:rPr>
        <w:t>azach substancji</w:t>
      </w:r>
      <w:r w:rsidR="00CC55C0" w:rsidRPr="0071228C">
        <w:rPr>
          <w:noProof/>
        </w:rPr>
        <w:t xml:space="preserve"> w</w:t>
      </w:r>
      <w:r w:rsidR="00CC55C0">
        <w:rPr>
          <w:noProof/>
        </w:rPr>
        <w:t> </w:t>
      </w:r>
      <w:r w:rsidR="00CC55C0" w:rsidRPr="0071228C">
        <w:rPr>
          <w:noProof/>
        </w:rPr>
        <w:t>zał</w:t>
      </w:r>
      <w:r w:rsidR="00707136" w:rsidRPr="0071228C">
        <w:rPr>
          <w:noProof/>
        </w:rPr>
        <w:t>ącznikach I i II do dyrektywy 2008/105/WE oraz</w:t>
      </w:r>
      <w:r w:rsidR="00CC55C0" w:rsidRPr="0071228C">
        <w:rPr>
          <w:noProof/>
        </w:rPr>
        <w:t xml:space="preserve"> w</w:t>
      </w:r>
      <w:r w:rsidR="00CC55C0">
        <w:rPr>
          <w:noProof/>
        </w:rPr>
        <w:t> </w:t>
      </w:r>
      <w:r w:rsidR="00CC55C0" w:rsidRPr="0071228C">
        <w:rPr>
          <w:noProof/>
        </w:rPr>
        <w:t>zał</w:t>
      </w:r>
      <w:r w:rsidR="00707136" w:rsidRPr="0071228C">
        <w:rPr>
          <w:noProof/>
        </w:rPr>
        <w:t>ącznikach I i II do dyrektywy 2006/118/WE,</w:t>
      </w:r>
      <w:r w:rsidR="00CC55C0" w:rsidRPr="0071228C">
        <w:rPr>
          <w:noProof/>
        </w:rPr>
        <w:t xml:space="preserve"> a</w:t>
      </w:r>
      <w:r w:rsidR="00CC55C0">
        <w:rPr>
          <w:noProof/>
        </w:rPr>
        <w:t> </w:t>
      </w:r>
      <w:r w:rsidR="00CC55C0" w:rsidRPr="0071228C">
        <w:rPr>
          <w:noProof/>
        </w:rPr>
        <w:t>tak</w:t>
      </w:r>
      <w:r w:rsidR="00707136" w:rsidRPr="0071228C">
        <w:rPr>
          <w:noProof/>
        </w:rPr>
        <w:t>że</w:t>
      </w:r>
      <w:r w:rsidR="00CC55C0" w:rsidRPr="0071228C">
        <w:rPr>
          <w:noProof/>
        </w:rPr>
        <w:t xml:space="preserve"> w</w:t>
      </w:r>
      <w:r w:rsidR="00CC55C0">
        <w:rPr>
          <w:noProof/>
        </w:rPr>
        <w:t> </w:t>
      </w:r>
      <w:r w:rsidR="00CC55C0" w:rsidRPr="0071228C">
        <w:rPr>
          <w:noProof/>
        </w:rPr>
        <w:t>ust</w:t>
      </w:r>
      <w:r w:rsidR="00707136" w:rsidRPr="0071228C">
        <w:rPr>
          <w:noProof/>
        </w:rPr>
        <w:t>alaniu odpowiednich norm jakości popartych dowodami naukowymi. Komitet ds. Oceny Ryzyka</w:t>
      </w:r>
      <w:r w:rsidR="00CC55C0" w:rsidRPr="0071228C">
        <w:rPr>
          <w:noProof/>
        </w:rPr>
        <w:t xml:space="preserve"> i</w:t>
      </w:r>
      <w:r w:rsidR="00CC55C0">
        <w:rPr>
          <w:noProof/>
        </w:rPr>
        <w:t> </w:t>
      </w:r>
      <w:r w:rsidR="00CC55C0" w:rsidRPr="0071228C">
        <w:rPr>
          <w:noProof/>
        </w:rPr>
        <w:t>Kom</w:t>
      </w:r>
      <w:r w:rsidR="00707136" w:rsidRPr="0071228C">
        <w:rPr>
          <w:noProof/>
        </w:rPr>
        <w:t>itet ds. Analiz Społeczno-Ekonomicznych powinny ułatwiać wykonywanie niektórych zadań powierzonych ECHA poprzez przedstawianie opinii. ECHA powinna również zapewnić lepszą koordynację między różnymi aktami prawnymi dotyczącymi ochrony środowiska, zwiększając przejrzystość</w:t>
      </w:r>
      <w:r w:rsidR="00CC55C0" w:rsidRPr="0071228C">
        <w:rPr>
          <w:noProof/>
        </w:rPr>
        <w:t xml:space="preserve"> w</w:t>
      </w:r>
      <w:r w:rsidR="00CC55C0">
        <w:rPr>
          <w:noProof/>
        </w:rPr>
        <w:t> </w:t>
      </w:r>
      <w:r w:rsidR="00CC55C0" w:rsidRPr="0071228C">
        <w:rPr>
          <w:noProof/>
        </w:rPr>
        <w:t>odn</w:t>
      </w:r>
      <w:r w:rsidR="00707136" w:rsidRPr="0071228C">
        <w:rPr>
          <w:noProof/>
        </w:rPr>
        <w:t xml:space="preserve">iesieniu do zanieczyszczeń znajdujących się na liście obserwacyjnej lub opracowanie unijnych lub krajowych środowiskowych norm jakości bądź wartości progowych poprzez publiczne udostępnianie odpowiednich sprawozdań naukowych. </w:t>
      </w:r>
    </w:p>
    <w:p w14:paraId="4DD063DD" w14:textId="5E28A824" w:rsidR="0076660F" w:rsidRPr="0071228C" w:rsidRDefault="00B000C3" w:rsidP="00B000C3">
      <w:pPr>
        <w:pStyle w:val="ManualConsidrant"/>
        <w:rPr>
          <w:noProof/>
        </w:rPr>
      </w:pPr>
      <w:r w:rsidRPr="00B000C3">
        <w:t>(22)</w:t>
      </w:r>
      <w:r w:rsidRPr="00B000C3">
        <w:tab/>
      </w:r>
      <w:r w:rsidR="006E0790" w:rsidRPr="0071228C">
        <w:rPr>
          <w:noProof/>
        </w:rPr>
        <w:t>W ocenie stwierdzono, że częstsza</w:t>
      </w:r>
      <w:r w:rsidR="00CC55C0" w:rsidRPr="0071228C">
        <w:rPr>
          <w:noProof/>
        </w:rPr>
        <w:t xml:space="preserve"> i</w:t>
      </w:r>
      <w:r w:rsidR="00CC55C0">
        <w:rPr>
          <w:noProof/>
        </w:rPr>
        <w:t> </w:t>
      </w:r>
      <w:r w:rsidR="00CC55C0" w:rsidRPr="0071228C">
        <w:rPr>
          <w:noProof/>
        </w:rPr>
        <w:t>spr</w:t>
      </w:r>
      <w:r w:rsidR="006E0790" w:rsidRPr="0071228C">
        <w:rPr>
          <w:noProof/>
        </w:rPr>
        <w:t>awniejsza sprawozdawczość elektroniczna jest niezbędna do celów wspierania skuteczniejszego wdrażania</w:t>
      </w:r>
      <w:r w:rsidR="00CC55C0" w:rsidRPr="0071228C">
        <w:rPr>
          <w:noProof/>
        </w:rPr>
        <w:t xml:space="preserve"> i</w:t>
      </w:r>
      <w:r w:rsidR="00CC55C0">
        <w:rPr>
          <w:noProof/>
        </w:rPr>
        <w:t> </w:t>
      </w:r>
      <w:r w:rsidR="00CC55C0" w:rsidRPr="0071228C">
        <w:rPr>
          <w:noProof/>
        </w:rPr>
        <w:t>egz</w:t>
      </w:r>
      <w:r w:rsidR="006E0790" w:rsidRPr="0071228C">
        <w:rPr>
          <w:noProof/>
        </w:rPr>
        <w:t>ekwowania unijnego prawodawstwa dotyczącego wody. Ze względu na swoją rolę polegającą również na bardziej regularnym monitorowaniu stanu zanieczyszczenia, jak opisano</w:t>
      </w:r>
      <w:r w:rsidR="00CC55C0" w:rsidRPr="0071228C">
        <w:rPr>
          <w:noProof/>
        </w:rPr>
        <w:t xml:space="preserve"> w</w:t>
      </w:r>
      <w:r w:rsidR="00CC55C0">
        <w:rPr>
          <w:noProof/>
        </w:rPr>
        <w:t> </w:t>
      </w:r>
      <w:r w:rsidR="00CC55C0" w:rsidRPr="0071228C">
        <w:rPr>
          <w:noProof/>
        </w:rPr>
        <w:t>pla</w:t>
      </w:r>
      <w:r w:rsidR="006E0790" w:rsidRPr="0071228C">
        <w:rPr>
          <w:noProof/>
        </w:rPr>
        <w:t>nie działania UE na rzecz eliminacji zanieczyszczeń, Europejska Agencja Ochrony Środowiska (EEA) powinna ułatwiać państwom członkowskim częstsze</w:t>
      </w:r>
      <w:r w:rsidR="00CC55C0" w:rsidRPr="0071228C">
        <w:rPr>
          <w:noProof/>
        </w:rPr>
        <w:t xml:space="preserve"> i</w:t>
      </w:r>
      <w:r w:rsidR="00CC55C0">
        <w:rPr>
          <w:noProof/>
        </w:rPr>
        <w:t> </w:t>
      </w:r>
      <w:r w:rsidR="00CC55C0" w:rsidRPr="0071228C">
        <w:rPr>
          <w:noProof/>
        </w:rPr>
        <w:t>spr</w:t>
      </w:r>
      <w:r w:rsidR="006E0790" w:rsidRPr="0071228C">
        <w:rPr>
          <w:noProof/>
        </w:rPr>
        <w:t>awniejsze składanie sprawozdań. Ważne jest, aby informacje</w:t>
      </w:r>
      <w:r w:rsidR="00CC55C0" w:rsidRPr="0071228C">
        <w:rPr>
          <w:noProof/>
        </w:rPr>
        <w:t xml:space="preserve"> o</w:t>
      </w:r>
      <w:r w:rsidR="00CC55C0">
        <w:rPr>
          <w:noProof/>
        </w:rPr>
        <w:t> </w:t>
      </w:r>
      <w:r w:rsidR="00CC55C0" w:rsidRPr="0071228C">
        <w:rPr>
          <w:noProof/>
        </w:rPr>
        <w:t>śro</w:t>
      </w:r>
      <w:r w:rsidR="006E0790" w:rsidRPr="0071228C">
        <w:rPr>
          <w:noProof/>
        </w:rPr>
        <w:t>dowisku dotyczące stanu unijnych wód powierzchniowych</w:t>
      </w:r>
      <w:r w:rsidR="00CC55C0" w:rsidRPr="0071228C">
        <w:rPr>
          <w:noProof/>
        </w:rPr>
        <w:t xml:space="preserve"> i</w:t>
      </w:r>
      <w:r w:rsidR="00CC55C0">
        <w:rPr>
          <w:noProof/>
        </w:rPr>
        <w:t> </w:t>
      </w:r>
      <w:r w:rsidR="00CC55C0" w:rsidRPr="0071228C">
        <w:rPr>
          <w:noProof/>
        </w:rPr>
        <w:t>pod</w:t>
      </w:r>
      <w:r w:rsidR="006E0790" w:rsidRPr="0071228C">
        <w:rPr>
          <w:noProof/>
        </w:rPr>
        <w:t>ziemnych były udostępniane społeczeństwu</w:t>
      </w:r>
      <w:r w:rsidR="00CC55C0" w:rsidRPr="0071228C">
        <w:rPr>
          <w:noProof/>
        </w:rPr>
        <w:t xml:space="preserve"> i</w:t>
      </w:r>
      <w:r w:rsidR="00CC55C0">
        <w:rPr>
          <w:noProof/>
        </w:rPr>
        <w:t> </w:t>
      </w:r>
      <w:r w:rsidR="00CC55C0" w:rsidRPr="0071228C">
        <w:rPr>
          <w:noProof/>
        </w:rPr>
        <w:t>Kom</w:t>
      </w:r>
      <w:r w:rsidR="006E0790" w:rsidRPr="0071228C">
        <w:rPr>
          <w:noProof/>
        </w:rPr>
        <w:t>isji</w:t>
      </w:r>
      <w:r w:rsidR="00CC55C0" w:rsidRPr="0071228C">
        <w:rPr>
          <w:noProof/>
        </w:rPr>
        <w:t xml:space="preserve"> w</w:t>
      </w:r>
      <w:r w:rsidR="00CC55C0">
        <w:rPr>
          <w:noProof/>
        </w:rPr>
        <w:t> </w:t>
      </w:r>
      <w:r w:rsidR="00CC55C0" w:rsidRPr="0071228C">
        <w:rPr>
          <w:noProof/>
        </w:rPr>
        <w:t>odp</w:t>
      </w:r>
      <w:r w:rsidR="006E0790" w:rsidRPr="0071228C">
        <w:rPr>
          <w:noProof/>
        </w:rPr>
        <w:t>owiednim czasie</w:t>
      </w:r>
      <w:r w:rsidR="00CC55C0" w:rsidRPr="0071228C">
        <w:rPr>
          <w:noProof/>
        </w:rPr>
        <w:t>. W</w:t>
      </w:r>
      <w:r w:rsidR="00CC55C0">
        <w:rPr>
          <w:noProof/>
        </w:rPr>
        <w:t> </w:t>
      </w:r>
      <w:r w:rsidR="00CC55C0" w:rsidRPr="0071228C">
        <w:rPr>
          <w:noProof/>
        </w:rPr>
        <w:t>zwi</w:t>
      </w:r>
      <w:r w:rsidR="006E0790" w:rsidRPr="0071228C">
        <w:rPr>
          <w:noProof/>
        </w:rPr>
        <w:t>ązku</w:t>
      </w:r>
      <w:r w:rsidR="00CC55C0" w:rsidRPr="0071228C">
        <w:rPr>
          <w:noProof/>
        </w:rPr>
        <w:t xml:space="preserve"> z</w:t>
      </w:r>
      <w:r w:rsidR="00CC55C0">
        <w:rPr>
          <w:noProof/>
        </w:rPr>
        <w:t> </w:t>
      </w:r>
      <w:r w:rsidR="00CC55C0" w:rsidRPr="0071228C">
        <w:rPr>
          <w:noProof/>
        </w:rPr>
        <w:t>tym</w:t>
      </w:r>
      <w:r w:rsidR="006E0790" w:rsidRPr="0071228C">
        <w:rPr>
          <w:noProof/>
        </w:rPr>
        <w:t xml:space="preserve"> należy zobowiązać państwa członkowskie, aby udostępniały Komisji i EEA dane</w:t>
      </w:r>
      <w:r w:rsidR="00CC55C0" w:rsidRPr="0071228C">
        <w:rPr>
          <w:noProof/>
        </w:rPr>
        <w:t xml:space="preserve"> z</w:t>
      </w:r>
      <w:r w:rsidR="00CC55C0">
        <w:rPr>
          <w:noProof/>
        </w:rPr>
        <w:t> </w:t>
      </w:r>
      <w:r w:rsidR="00CC55C0" w:rsidRPr="0071228C">
        <w:rPr>
          <w:noProof/>
        </w:rPr>
        <w:t>mon</w:t>
      </w:r>
      <w:r w:rsidR="006E0790" w:rsidRPr="0071228C">
        <w:rPr>
          <w:noProof/>
        </w:rPr>
        <w:t>itorowania zgromadzone na podstawie dyrektywy 2000/60/WE, korzystając</w:t>
      </w:r>
      <w:r w:rsidR="00CC55C0" w:rsidRPr="0071228C">
        <w:rPr>
          <w:noProof/>
        </w:rPr>
        <w:t xml:space="preserve"> z</w:t>
      </w:r>
      <w:r w:rsidR="00CC55C0">
        <w:rPr>
          <w:noProof/>
        </w:rPr>
        <w:t> </w:t>
      </w:r>
      <w:r w:rsidR="00CC55C0" w:rsidRPr="0071228C">
        <w:rPr>
          <w:noProof/>
        </w:rPr>
        <w:t>mec</w:t>
      </w:r>
      <w:r w:rsidR="006E0790" w:rsidRPr="0071228C">
        <w:rPr>
          <w:noProof/>
        </w:rPr>
        <w:t>hanizmów zautomatyzowanej sprawozdawczości</w:t>
      </w:r>
      <w:r w:rsidR="00CC55C0" w:rsidRPr="0071228C">
        <w:rPr>
          <w:noProof/>
        </w:rPr>
        <w:t xml:space="preserve"> i</w:t>
      </w:r>
      <w:r w:rsidR="00CC55C0">
        <w:rPr>
          <w:noProof/>
        </w:rPr>
        <w:t> </w:t>
      </w:r>
      <w:r w:rsidR="00CC55C0" w:rsidRPr="0071228C">
        <w:rPr>
          <w:noProof/>
        </w:rPr>
        <w:t>dos</w:t>
      </w:r>
      <w:r w:rsidR="006E0790" w:rsidRPr="0071228C">
        <w:rPr>
          <w:noProof/>
        </w:rPr>
        <w:t>tarczania danych za pomocą interfejsu programowania aplikacji lub równoważnych mechanizmów. Oczekuje się, że obciążenie administracyjne zostanie ograniczone, ponieważ już obecnie państwa członkowskie mają obowiązek publicznego udostępniania tematów danych przestrzennych</w:t>
      </w:r>
      <w:r w:rsidR="00CC55C0" w:rsidRPr="0071228C">
        <w:rPr>
          <w:noProof/>
        </w:rPr>
        <w:t xml:space="preserve"> w</w:t>
      </w:r>
      <w:r w:rsidR="00CC55C0">
        <w:rPr>
          <w:noProof/>
        </w:rPr>
        <w:t> </w:t>
      </w:r>
      <w:r w:rsidR="00CC55C0" w:rsidRPr="0071228C">
        <w:rPr>
          <w:noProof/>
        </w:rPr>
        <w:t>ram</w:t>
      </w:r>
      <w:r w:rsidR="006E0790" w:rsidRPr="0071228C">
        <w:rPr>
          <w:noProof/>
        </w:rPr>
        <w:t>ach dyrektywy 2007/2/WE Parlamentu Europejskiego</w:t>
      </w:r>
      <w:r w:rsidR="00CC55C0" w:rsidRPr="0071228C">
        <w:rPr>
          <w:noProof/>
        </w:rPr>
        <w:t xml:space="preserve"> i</w:t>
      </w:r>
      <w:r w:rsidR="00CC55C0">
        <w:rPr>
          <w:noProof/>
        </w:rPr>
        <w:t> </w:t>
      </w:r>
      <w:r w:rsidR="00CC55C0" w:rsidRPr="0071228C">
        <w:rPr>
          <w:noProof/>
        </w:rPr>
        <w:t>Rad</w:t>
      </w:r>
      <w:r w:rsidR="006E0790" w:rsidRPr="0071228C">
        <w:rPr>
          <w:noProof/>
        </w:rPr>
        <w:t>y</w:t>
      </w:r>
      <w:r w:rsidR="006E0790" w:rsidRPr="0071228C">
        <w:rPr>
          <w:rStyle w:val="FootnoteReference"/>
          <w:noProof/>
        </w:rPr>
        <w:footnoteReference w:id="60"/>
      </w:r>
      <w:r w:rsidR="006E0790" w:rsidRPr="0071228C">
        <w:rPr>
          <w:noProof/>
        </w:rPr>
        <w:t>, jak również</w:t>
      </w:r>
      <w:r w:rsidR="00CC55C0" w:rsidRPr="0071228C">
        <w:rPr>
          <w:noProof/>
        </w:rPr>
        <w:t xml:space="preserve"> w</w:t>
      </w:r>
      <w:r w:rsidR="00CC55C0">
        <w:rPr>
          <w:noProof/>
        </w:rPr>
        <w:t> </w:t>
      </w:r>
      <w:r w:rsidR="00CC55C0" w:rsidRPr="0071228C">
        <w:rPr>
          <w:noProof/>
        </w:rPr>
        <w:t>ram</w:t>
      </w:r>
      <w:r w:rsidR="006E0790" w:rsidRPr="0071228C">
        <w:rPr>
          <w:noProof/>
        </w:rPr>
        <w:t>ach dyrektywy (UE) 2019/1024 Parlamentu Europejskiego</w:t>
      </w:r>
      <w:r w:rsidR="00CC55C0" w:rsidRPr="0071228C">
        <w:rPr>
          <w:noProof/>
        </w:rPr>
        <w:t xml:space="preserve"> i</w:t>
      </w:r>
      <w:r w:rsidR="00CC55C0">
        <w:rPr>
          <w:noProof/>
        </w:rPr>
        <w:t> </w:t>
      </w:r>
      <w:r w:rsidR="00CC55C0" w:rsidRPr="0071228C">
        <w:rPr>
          <w:noProof/>
        </w:rPr>
        <w:t>Rad</w:t>
      </w:r>
      <w:r w:rsidR="006E0790" w:rsidRPr="0071228C">
        <w:rPr>
          <w:noProof/>
        </w:rPr>
        <w:t>y</w:t>
      </w:r>
      <w:r w:rsidR="006E0790" w:rsidRPr="0071228C">
        <w:rPr>
          <w:rStyle w:val="FootnoteReference"/>
          <w:noProof/>
        </w:rPr>
        <w:footnoteReference w:id="61"/>
      </w:r>
      <w:r w:rsidR="006E0790" w:rsidRPr="0071228C">
        <w:rPr>
          <w:noProof/>
        </w:rPr>
        <w:t>. Tematy danych przestrzennych obejmują lokalizację</w:t>
      </w:r>
      <w:r w:rsidR="00CC55C0" w:rsidRPr="0071228C">
        <w:rPr>
          <w:noProof/>
        </w:rPr>
        <w:t xml:space="preserve"> i</w:t>
      </w:r>
      <w:r w:rsidR="00CC55C0">
        <w:rPr>
          <w:noProof/>
        </w:rPr>
        <w:t> </w:t>
      </w:r>
      <w:r w:rsidR="00CC55C0" w:rsidRPr="0071228C">
        <w:rPr>
          <w:noProof/>
        </w:rPr>
        <w:t>fun</w:t>
      </w:r>
      <w:r w:rsidR="006E0790" w:rsidRPr="0071228C">
        <w:rPr>
          <w:noProof/>
        </w:rPr>
        <w:t>kcjonowanie urządzeń do monitorowania środowiska, związane</w:t>
      </w:r>
      <w:r w:rsidR="00CC55C0" w:rsidRPr="0071228C">
        <w:rPr>
          <w:noProof/>
        </w:rPr>
        <w:t xml:space="preserve"> z</w:t>
      </w:r>
      <w:r w:rsidR="00CC55C0">
        <w:rPr>
          <w:noProof/>
        </w:rPr>
        <w:t> </w:t>
      </w:r>
      <w:r w:rsidR="00CC55C0" w:rsidRPr="0071228C">
        <w:rPr>
          <w:noProof/>
        </w:rPr>
        <w:t>nim</w:t>
      </w:r>
      <w:r w:rsidR="006E0790" w:rsidRPr="0071228C">
        <w:rPr>
          <w:noProof/>
        </w:rPr>
        <w:t>i pomiary emisji</w:t>
      </w:r>
      <w:r w:rsidR="00CC55C0" w:rsidRPr="0071228C">
        <w:rPr>
          <w:noProof/>
        </w:rPr>
        <w:t xml:space="preserve"> i</w:t>
      </w:r>
      <w:r w:rsidR="00CC55C0">
        <w:rPr>
          <w:noProof/>
        </w:rPr>
        <w:t> </w:t>
      </w:r>
      <w:r w:rsidR="00CC55C0" w:rsidRPr="0071228C">
        <w:rPr>
          <w:noProof/>
        </w:rPr>
        <w:t>sta</w:t>
      </w:r>
      <w:r w:rsidR="006E0790" w:rsidRPr="0071228C">
        <w:rPr>
          <w:noProof/>
        </w:rPr>
        <w:t xml:space="preserve">n zasobów środowiska. </w:t>
      </w:r>
    </w:p>
    <w:p w14:paraId="4E93F318" w14:textId="277211FC" w:rsidR="001B4A31" w:rsidRPr="00CC55C0" w:rsidRDefault="00B000C3" w:rsidP="00B000C3">
      <w:pPr>
        <w:pStyle w:val="ManualConsidrant"/>
        <w:rPr>
          <w:noProof/>
        </w:rPr>
      </w:pPr>
      <w:r w:rsidRPr="00B000C3">
        <w:t>(23)</w:t>
      </w:r>
      <w:r w:rsidRPr="00B000C3">
        <w:tab/>
      </w:r>
      <w:r w:rsidR="00AD08E4" w:rsidRPr="0071228C">
        <w:rPr>
          <w:noProof/>
        </w:rPr>
        <w:t>Lepsza integracja przepływów danych zgłaszanych do EEA na podstawie unijnego prawodawstwa dotyczącego wody,</w:t>
      </w:r>
      <w:r w:rsidR="00CC55C0" w:rsidRPr="0071228C">
        <w:rPr>
          <w:noProof/>
        </w:rPr>
        <w:t xml:space="preserve"> w</w:t>
      </w:r>
      <w:r w:rsidR="00CC55C0">
        <w:rPr>
          <w:noProof/>
        </w:rPr>
        <w:t> </w:t>
      </w:r>
      <w:r w:rsidR="00CC55C0" w:rsidRPr="0071228C">
        <w:rPr>
          <w:noProof/>
        </w:rPr>
        <w:t>szc</w:t>
      </w:r>
      <w:r w:rsidR="00AD08E4" w:rsidRPr="0071228C">
        <w:rPr>
          <w:noProof/>
        </w:rPr>
        <w:t>zególności wykazów emisji wymaganych na mocy dyrektywy 2008/105/WE,</w:t>
      </w:r>
      <w:r w:rsidR="00CC55C0" w:rsidRPr="0071228C">
        <w:rPr>
          <w:noProof/>
        </w:rPr>
        <w:t xml:space="preserve"> z</w:t>
      </w:r>
      <w:r w:rsidR="00CC55C0">
        <w:rPr>
          <w:noProof/>
        </w:rPr>
        <w:t> </w:t>
      </w:r>
      <w:r w:rsidR="00CC55C0" w:rsidRPr="0071228C">
        <w:rPr>
          <w:noProof/>
        </w:rPr>
        <w:t>prz</w:t>
      </w:r>
      <w:r w:rsidR="00AD08E4" w:rsidRPr="0071228C">
        <w:rPr>
          <w:noProof/>
        </w:rPr>
        <w:t>epływami danych zgłaszanymi na Europejskim Portalu Emisji Przemysłowych na podstawie dyrektywy 2010/75/UE</w:t>
      </w:r>
      <w:r w:rsidR="00CC55C0" w:rsidRPr="0071228C">
        <w:rPr>
          <w:noProof/>
        </w:rPr>
        <w:t xml:space="preserve"> i</w:t>
      </w:r>
      <w:r w:rsidR="00CC55C0">
        <w:rPr>
          <w:noProof/>
        </w:rPr>
        <w:t> </w:t>
      </w:r>
      <w:r w:rsidR="00CC55C0" w:rsidRPr="0071228C">
        <w:rPr>
          <w:noProof/>
        </w:rPr>
        <w:t>roz</w:t>
      </w:r>
      <w:r w:rsidR="00AD08E4" w:rsidRPr="0071228C">
        <w:rPr>
          <w:noProof/>
        </w:rPr>
        <w:t xml:space="preserve">porządzenia (WE) </w:t>
      </w:r>
      <w:r w:rsidR="00AD08E4" w:rsidRPr="00CC55C0">
        <w:rPr>
          <w:noProof/>
        </w:rPr>
        <w:t>nr</w:t>
      </w:r>
      <w:r w:rsidR="00CC55C0" w:rsidRPr="00CC55C0">
        <w:rPr>
          <w:noProof/>
        </w:rPr>
        <w:t> </w:t>
      </w:r>
      <w:r w:rsidR="00AD08E4" w:rsidRPr="00CC55C0">
        <w:rPr>
          <w:noProof/>
        </w:rPr>
        <w:t>1</w:t>
      </w:r>
      <w:r w:rsidR="00AD08E4" w:rsidRPr="0071228C">
        <w:rPr>
          <w:noProof/>
        </w:rPr>
        <w:t>66/2006 Parlamentu Europejskiego</w:t>
      </w:r>
      <w:r w:rsidR="00CC55C0" w:rsidRPr="0071228C">
        <w:rPr>
          <w:noProof/>
        </w:rPr>
        <w:t xml:space="preserve"> i</w:t>
      </w:r>
      <w:r w:rsidR="00CC55C0">
        <w:rPr>
          <w:noProof/>
        </w:rPr>
        <w:t> </w:t>
      </w:r>
      <w:r w:rsidR="00CC55C0" w:rsidRPr="0071228C">
        <w:rPr>
          <w:noProof/>
        </w:rPr>
        <w:t>Rad</w:t>
      </w:r>
      <w:r w:rsidR="00AD08E4" w:rsidRPr="0071228C">
        <w:rPr>
          <w:noProof/>
        </w:rPr>
        <w:t>y</w:t>
      </w:r>
      <w:r w:rsidR="00AD08E4" w:rsidRPr="0071228C">
        <w:rPr>
          <w:rStyle w:val="FootnoteReference"/>
          <w:noProof/>
        </w:rPr>
        <w:footnoteReference w:id="62"/>
      </w:r>
      <w:r w:rsidR="00AD08E4" w:rsidRPr="0071228C">
        <w:rPr>
          <w:noProof/>
        </w:rPr>
        <w:t xml:space="preserve"> sprawi, że sprawozdawczość</w:t>
      </w:r>
      <w:r w:rsidR="00CC55C0" w:rsidRPr="0071228C">
        <w:rPr>
          <w:noProof/>
        </w:rPr>
        <w:t xml:space="preserve"> w</w:t>
      </w:r>
      <w:r w:rsidR="00CC55C0">
        <w:rPr>
          <w:noProof/>
        </w:rPr>
        <w:t> </w:t>
      </w:r>
      <w:r w:rsidR="00CC55C0" w:rsidRPr="0071228C">
        <w:rPr>
          <w:noProof/>
        </w:rPr>
        <w:t>zak</w:t>
      </w:r>
      <w:r w:rsidR="00AD08E4" w:rsidRPr="0071228C">
        <w:rPr>
          <w:noProof/>
        </w:rPr>
        <w:t xml:space="preserve">resie wykazów na podstawie </w:t>
      </w:r>
      <w:r w:rsidR="00AD08E4" w:rsidRPr="00CC55C0">
        <w:rPr>
          <w:noProof/>
        </w:rPr>
        <w:t>art.</w:t>
      </w:r>
      <w:r w:rsidR="00CC55C0" w:rsidRPr="00CC55C0">
        <w:rPr>
          <w:noProof/>
        </w:rPr>
        <w:t> </w:t>
      </w:r>
      <w:r w:rsidR="00AD08E4" w:rsidRPr="00CC55C0">
        <w:rPr>
          <w:noProof/>
        </w:rPr>
        <w:t>5</w:t>
      </w:r>
      <w:r w:rsidR="00AD08E4" w:rsidRPr="0071228C">
        <w:rPr>
          <w:noProof/>
        </w:rPr>
        <w:t xml:space="preserve"> dyrektywy 2008/105/WE będzie prostsza</w:t>
      </w:r>
      <w:r w:rsidR="00CC55C0" w:rsidRPr="0071228C">
        <w:rPr>
          <w:noProof/>
        </w:rPr>
        <w:t xml:space="preserve"> i</w:t>
      </w:r>
      <w:r w:rsidR="00CC55C0">
        <w:rPr>
          <w:noProof/>
        </w:rPr>
        <w:t> </w:t>
      </w:r>
      <w:r w:rsidR="00CC55C0" w:rsidRPr="0071228C">
        <w:rPr>
          <w:noProof/>
        </w:rPr>
        <w:t>sku</w:t>
      </w:r>
      <w:r w:rsidR="00AD08E4" w:rsidRPr="0071228C">
        <w:rPr>
          <w:noProof/>
        </w:rPr>
        <w:t>teczniejsza. Jednocześnie przyczyni się to do zmniejszenia obciążenia administracyjnego</w:t>
      </w:r>
      <w:r w:rsidR="00CC55C0" w:rsidRPr="0071228C">
        <w:rPr>
          <w:noProof/>
        </w:rPr>
        <w:t xml:space="preserve"> i</w:t>
      </w:r>
      <w:r w:rsidR="00CC55C0">
        <w:rPr>
          <w:noProof/>
        </w:rPr>
        <w:t> </w:t>
      </w:r>
      <w:r w:rsidR="00CC55C0" w:rsidRPr="0071228C">
        <w:rPr>
          <w:noProof/>
        </w:rPr>
        <w:t>obc</w:t>
      </w:r>
      <w:r w:rsidR="00AD08E4" w:rsidRPr="0071228C">
        <w:rPr>
          <w:noProof/>
        </w:rPr>
        <w:t>iążenia szczytowego przy przygotowywaniu planów gospodarowania wodami</w:t>
      </w:r>
      <w:r w:rsidR="00CC55C0" w:rsidRPr="0071228C">
        <w:rPr>
          <w:noProof/>
        </w:rPr>
        <w:t xml:space="preserve"> w</w:t>
      </w:r>
      <w:r w:rsidR="00CC55C0">
        <w:rPr>
          <w:noProof/>
        </w:rPr>
        <w:t> </w:t>
      </w:r>
      <w:r w:rsidR="00CC55C0" w:rsidRPr="0071228C">
        <w:rPr>
          <w:noProof/>
        </w:rPr>
        <w:t>dor</w:t>
      </w:r>
      <w:r w:rsidR="00AD08E4" w:rsidRPr="0071228C">
        <w:rPr>
          <w:noProof/>
        </w:rPr>
        <w:t>zeczu</w:t>
      </w:r>
      <w:r w:rsidR="00CC55C0" w:rsidRPr="0071228C">
        <w:rPr>
          <w:noProof/>
        </w:rPr>
        <w:t>. W</w:t>
      </w:r>
      <w:r w:rsidR="00CC55C0">
        <w:rPr>
          <w:noProof/>
        </w:rPr>
        <w:t> </w:t>
      </w:r>
      <w:r w:rsidR="00CC55C0" w:rsidRPr="0071228C">
        <w:rPr>
          <w:noProof/>
        </w:rPr>
        <w:t>poł</w:t>
      </w:r>
      <w:r w:rsidR="00AD08E4" w:rsidRPr="0071228C">
        <w:rPr>
          <w:noProof/>
        </w:rPr>
        <w:t>ączeniu ze zniesieniem sporządzania okresowych sprawozdań</w:t>
      </w:r>
      <w:r w:rsidR="00CC55C0" w:rsidRPr="0071228C">
        <w:rPr>
          <w:noProof/>
        </w:rPr>
        <w:t xml:space="preserve"> z</w:t>
      </w:r>
      <w:r w:rsidR="00CC55C0">
        <w:rPr>
          <w:noProof/>
        </w:rPr>
        <w:t> </w:t>
      </w:r>
      <w:r w:rsidR="00CC55C0" w:rsidRPr="0071228C">
        <w:rPr>
          <w:noProof/>
        </w:rPr>
        <w:t>pos</w:t>
      </w:r>
      <w:r w:rsidR="00AD08E4" w:rsidRPr="0071228C">
        <w:rPr>
          <w:noProof/>
        </w:rPr>
        <w:t>tępów</w:t>
      </w:r>
      <w:r w:rsidR="00CC55C0" w:rsidRPr="0071228C">
        <w:rPr>
          <w:noProof/>
        </w:rPr>
        <w:t xml:space="preserve"> w</w:t>
      </w:r>
      <w:r w:rsidR="00CC55C0">
        <w:rPr>
          <w:noProof/>
        </w:rPr>
        <w:t> </w:t>
      </w:r>
      <w:r w:rsidR="00CC55C0" w:rsidRPr="0071228C">
        <w:rPr>
          <w:noProof/>
        </w:rPr>
        <w:t>rea</w:t>
      </w:r>
      <w:r w:rsidR="00AD08E4" w:rsidRPr="0071228C">
        <w:rPr>
          <w:noProof/>
        </w:rPr>
        <w:t>lizacji programów środków, które nie okazały się skuteczne, uproszczona sprawozdawczość umożliwi państwom członkowskim dołożenie większych starań na rzecz sprawozdawczości</w:t>
      </w:r>
      <w:r w:rsidR="00CC55C0" w:rsidRPr="0071228C">
        <w:rPr>
          <w:noProof/>
        </w:rPr>
        <w:t xml:space="preserve"> w</w:t>
      </w:r>
      <w:r w:rsidR="00CC55C0">
        <w:rPr>
          <w:noProof/>
        </w:rPr>
        <w:t> </w:t>
      </w:r>
      <w:r w:rsidR="00CC55C0" w:rsidRPr="0071228C">
        <w:rPr>
          <w:noProof/>
        </w:rPr>
        <w:t>zak</w:t>
      </w:r>
      <w:r w:rsidR="00AD08E4" w:rsidRPr="0071228C">
        <w:rPr>
          <w:noProof/>
        </w:rPr>
        <w:t>resie emisji, które nie są objęte przepisami dotyczącymi emisji przemysłowych, lecz są objęte sprawozdawczością</w:t>
      </w:r>
      <w:r w:rsidR="00CC55C0" w:rsidRPr="0071228C">
        <w:rPr>
          <w:noProof/>
        </w:rPr>
        <w:t xml:space="preserve"> w</w:t>
      </w:r>
      <w:r w:rsidR="00CC55C0">
        <w:rPr>
          <w:noProof/>
        </w:rPr>
        <w:t> </w:t>
      </w:r>
      <w:r w:rsidR="00CC55C0" w:rsidRPr="0071228C">
        <w:rPr>
          <w:noProof/>
        </w:rPr>
        <w:t>zak</w:t>
      </w:r>
      <w:r w:rsidR="00AD08E4" w:rsidRPr="0071228C">
        <w:rPr>
          <w:noProof/>
        </w:rPr>
        <w:t xml:space="preserve">resie emisji na podstawie </w:t>
      </w:r>
      <w:r w:rsidR="00AD08E4" w:rsidRPr="00CC55C0">
        <w:rPr>
          <w:noProof/>
        </w:rPr>
        <w:t>art.</w:t>
      </w:r>
      <w:r w:rsidR="00CC55C0" w:rsidRPr="00CC55C0">
        <w:rPr>
          <w:noProof/>
        </w:rPr>
        <w:t> </w:t>
      </w:r>
      <w:r w:rsidR="00AD08E4" w:rsidRPr="00CC55C0">
        <w:rPr>
          <w:noProof/>
        </w:rPr>
        <w:t>5</w:t>
      </w:r>
      <w:r w:rsidR="00AD08E4" w:rsidRPr="0071228C">
        <w:rPr>
          <w:noProof/>
        </w:rPr>
        <w:t xml:space="preserve"> dyrektywy 2008/105/WE</w:t>
      </w:r>
      <w:r w:rsidR="00AD08E4" w:rsidRPr="00CC55C0">
        <w:rPr>
          <w:noProof/>
        </w:rPr>
        <w:t>.</w:t>
      </w:r>
      <w:r w:rsidR="00CC55C0" w:rsidRPr="00CC55C0">
        <w:rPr>
          <w:noProof/>
        </w:rPr>
        <w:t xml:space="preserve"> </w:t>
      </w:r>
    </w:p>
    <w:p w14:paraId="1CE1C972" w14:textId="48D8278C" w:rsidR="00FC37E6" w:rsidRPr="0071228C" w:rsidRDefault="00B000C3" w:rsidP="00B000C3">
      <w:pPr>
        <w:pStyle w:val="ManualConsidrant"/>
        <w:rPr>
          <w:noProof/>
        </w:rPr>
      </w:pPr>
      <w:r w:rsidRPr="00B000C3">
        <w:t>(24)</w:t>
      </w:r>
      <w:r w:rsidRPr="00B000C3">
        <w:tab/>
      </w:r>
      <w:r w:rsidR="00FC37E6" w:rsidRPr="0071228C">
        <w:rPr>
          <w:noProof/>
        </w:rPr>
        <w:t>Traktat</w:t>
      </w:r>
      <w:r w:rsidR="00CC55C0" w:rsidRPr="0071228C">
        <w:rPr>
          <w:noProof/>
        </w:rPr>
        <w:t xml:space="preserve"> z</w:t>
      </w:r>
      <w:r w:rsidR="00CC55C0">
        <w:rPr>
          <w:noProof/>
        </w:rPr>
        <w:t> </w:t>
      </w:r>
      <w:r w:rsidR="00CC55C0" w:rsidRPr="0071228C">
        <w:rPr>
          <w:noProof/>
        </w:rPr>
        <w:t>Liz</w:t>
      </w:r>
      <w:r w:rsidR="00FC37E6" w:rsidRPr="0071228C">
        <w:rPr>
          <w:noProof/>
        </w:rPr>
        <w:t>bony wprowadził rozróżnienie między uprawnieniami przekazywanymi Komisji</w:t>
      </w:r>
      <w:r w:rsidR="00CC55C0" w:rsidRPr="0071228C">
        <w:rPr>
          <w:noProof/>
        </w:rPr>
        <w:t xml:space="preserve"> w</w:t>
      </w:r>
      <w:r w:rsidR="00CC55C0">
        <w:rPr>
          <w:noProof/>
        </w:rPr>
        <w:t> </w:t>
      </w:r>
      <w:r w:rsidR="00CC55C0" w:rsidRPr="0071228C">
        <w:rPr>
          <w:noProof/>
        </w:rPr>
        <w:t>cel</w:t>
      </w:r>
      <w:r w:rsidR="00FC37E6" w:rsidRPr="0071228C">
        <w:rPr>
          <w:noProof/>
        </w:rPr>
        <w:t>u przyjmowania aktów</w:t>
      </w:r>
      <w:r w:rsidR="00CC55C0" w:rsidRPr="0071228C">
        <w:rPr>
          <w:noProof/>
        </w:rPr>
        <w:t xml:space="preserve"> o</w:t>
      </w:r>
      <w:r w:rsidR="00CC55C0">
        <w:rPr>
          <w:noProof/>
        </w:rPr>
        <w:t> </w:t>
      </w:r>
      <w:r w:rsidR="00CC55C0" w:rsidRPr="0071228C">
        <w:rPr>
          <w:noProof/>
        </w:rPr>
        <w:t>cha</w:t>
      </w:r>
      <w:r w:rsidR="00FC37E6" w:rsidRPr="0071228C">
        <w:rPr>
          <w:noProof/>
        </w:rPr>
        <w:t>rakterze nieustawodawczym</w:t>
      </w:r>
      <w:r w:rsidR="00CC55C0" w:rsidRPr="0071228C">
        <w:rPr>
          <w:noProof/>
        </w:rPr>
        <w:t xml:space="preserve"> o</w:t>
      </w:r>
      <w:r w:rsidR="00CC55C0">
        <w:rPr>
          <w:noProof/>
        </w:rPr>
        <w:t> </w:t>
      </w:r>
      <w:r w:rsidR="00CC55C0" w:rsidRPr="0071228C">
        <w:rPr>
          <w:noProof/>
        </w:rPr>
        <w:t>zas</w:t>
      </w:r>
      <w:r w:rsidR="00FC37E6" w:rsidRPr="0071228C">
        <w:rPr>
          <w:noProof/>
        </w:rPr>
        <w:t>ięgu ogólnym, które uzupełniają lub zmieniają niektóre, inne niż istotne, elementy aktu ustawodawczego (aktów delegowanych),</w:t>
      </w:r>
      <w:r w:rsidR="00CC55C0" w:rsidRPr="0071228C">
        <w:rPr>
          <w:noProof/>
        </w:rPr>
        <w:t xml:space="preserve"> a</w:t>
      </w:r>
      <w:r w:rsidR="00CC55C0">
        <w:rPr>
          <w:noProof/>
        </w:rPr>
        <w:t> </w:t>
      </w:r>
      <w:r w:rsidR="00CC55C0" w:rsidRPr="0071228C">
        <w:rPr>
          <w:noProof/>
        </w:rPr>
        <w:t>upr</w:t>
      </w:r>
      <w:r w:rsidR="00FC37E6" w:rsidRPr="0071228C">
        <w:rPr>
          <w:noProof/>
        </w:rPr>
        <w:t>awnieniami powierzanymi Komisji</w:t>
      </w:r>
      <w:r w:rsidR="00CC55C0" w:rsidRPr="0071228C">
        <w:rPr>
          <w:noProof/>
        </w:rPr>
        <w:t xml:space="preserve"> w</w:t>
      </w:r>
      <w:r w:rsidR="00CC55C0">
        <w:rPr>
          <w:noProof/>
        </w:rPr>
        <w:t> </w:t>
      </w:r>
      <w:r w:rsidR="00CC55C0" w:rsidRPr="0071228C">
        <w:rPr>
          <w:noProof/>
        </w:rPr>
        <w:t>cel</w:t>
      </w:r>
      <w:r w:rsidR="00FC37E6" w:rsidRPr="0071228C">
        <w:rPr>
          <w:noProof/>
        </w:rPr>
        <w:t>u przyjmowania aktów zapewniających jednolite warunki wykonywania prawnie wiążących aktów Unii (aktów wykonawczych). Dyrektywy 2000/60/WE</w:t>
      </w:r>
      <w:r w:rsidR="00CC55C0" w:rsidRPr="0071228C">
        <w:rPr>
          <w:noProof/>
        </w:rPr>
        <w:t xml:space="preserve"> i</w:t>
      </w:r>
      <w:r w:rsidR="00CC55C0">
        <w:rPr>
          <w:noProof/>
        </w:rPr>
        <w:t> </w:t>
      </w:r>
      <w:r w:rsidR="00CC55C0" w:rsidRPr="0071228C">
        <w:rPr>
          <w:noProof/>
        </w:rPr>
        <w:t>2</w:t>
      </w:r>
      <w:r w:rsidR="00FC37E6" w:rsidRPr="0071228C">
        <w:rPr>
          <w:noProof/>
        </w:rPr>
        <w:t xml:space="preserve">006/118/WE należy dostosować do ram prawnych wprowadzonych traktatem lizbońskim. </w:t>
      </w:r>
    </w:p>
    <w:p w14:paraId="1CF9D935" w14:textId="4D90D8C0" w:rsidR="00950FFD" w:rsidRPr="00CC55C0" w:rsidRDefault="00B000C3" w:rsidP="00B000C3">
      <w:pPr>
        <w:pStyle w:val="ManualConsidrant"/>
        <w:rPr>
          <w:noProof/>
        </w:rPr>
      </w:pPr>
      <w:r w:rsidRPr="00B000C3">
        <w:t>(25)</w:t>
      </w:r>
      <w:r w:rsidRPr="00B000C3">
        <w:tab/>
      </w:r>
      <w:r w:rsidR="00FC37E6" w:rsidRPr="0071228C">
        <w:rPr>
          <w:noProof/>
        </w:rPr>
        <w:t>Uprawnienia przewidziane</w:t>
      </w:r>
      <w:r w:rsidR="00CC55C0" w:rsidRPr="0071228C">
        <w:rPr>
          <w:noProof/>
        </w:rPr>
        <w:t xml:space="preserve"> w</w:t>
      </w:r>
      <w:r w:rsidR="00CC55C0">
        <w:rPr>
          <w:noProof/>
        </w:rPr>
        <w:t> </w:t>
      </w:r>
      <w:r w:rsidR="00CC55C0" w:rsidRPr="00CC55C0">
        <w:rPr>
          <w:noProof/>
        </w:rPr>
        <w:t>art</w:t>
      </w:r>
      <w:r w:rsidR="00FC37E6" w:rsidRPr="00CC55C0">
        <w:rPr>
          <w:noProof/>
        </w:rPr>
        <w:t>.</w:t>
      </w:r>
      <w:r w:rsidR="00CC55C0" w:rsidRPr="00CC55C0">
        <w:rPr>
          <w:noProof/>
        </w:rPr>
        <w:t> </w:t>
      </w:r>
      <w:r w:rsidR="00FC37E6" w:rsidRPr="00CC55C0">
        <w:rPr>
          <w:noProof/>
        </w:rPr>
        <w:t>2</w:t>
      </w:r>
      <w:r w:rsidR="00FC37E6" w:rsidRPr="0071228C">
        <w:rPr>
          <w:noProof/>
        </w:rPr>
        <w:t xml:space="preserve">0 </w:t>
      </w:r>
      <w:r w:rsidR="00FC37E6" w:rsidRPr="00CC55C0">
        <w:rPr>
          <w:noProof/>
        </w:rPr>
        <w:t>ust.</w:t>
      </w:r>
      <w:r w:rsidR="00CC55C0" w:rsidRPr="00CC55C0">
        <w:rPr>
          <w:noProof/>
        </w:rPr>
        <w:t> </w:t>
      </w:r>
      <w:r w:rsidR="00FC37E6" w:rsidRPr="00CC55C0">
        <w:rPr>
          <w:noProof/>
        </w:rPr>
        <w:t>1</w:t>
      </w:r>
      <w:r w:rsidR="00FC37E6" w:rsidRPr="0071228C">
        <w:rPr>
          <w:noProof/>
        </w:rPr>
        <w:t xml:space="preserve"> akapit pierwszy dyrektywy 2000/60/WE oraz</w:t>
      </w:r>
      <w:r w:rsidR="00CC55C0" w:rsidRPr="0071228C">
        <w:rPr>
          <w:noProof/>
        </w:rPr>
        <w:t xml:space="preserve"> w</w:t>
      </w:r>
      <w:r w:rsidR="00CC55C0">
        <w:rPr>
          <w:noProof/>
        </w:rPr>
        <w:t> </w:t>
      </w:r>
      <w:r w:rsidR="00CC55C0" w:rsidRPr="00CC55C0">
        <w:rPr>
          <w:noProof/>
        </w:rPr>
        <w:t>pkt </w:t>
      </w:r>
      <w:r w:rsidR="00FC37E6" w:rsidRPr="00CC55C0">
        <w:rPr>
          <w:noProof/>
        </w:rPr>
        <w:t>1</w:t>
      </w:r>
      <w:r w:rsidR="00FC37E6" w:rsidRPr="0071228C">
        <w:rPr>
          <w:noProof/>
        </w:rPr>
        <w:t>.4.1 ppkt (ix) załącznika V do tej dyrektywy, które przewidują zastosowanie procedury regulacyjnej połączonej</w:t>
      </w:r>
      <w:r w:rsidR="00CC55C0" w:rsidRPr="0071228C">
        <w:rPr>
          <w:noProof/>
        </w:rPr>
        <w:t xml:space="preserve"> z</w:t>
      </w:r>
      <w:r w:rsidR="00CC55C0">
        <w:rPr>
          <w:noProof/>
        </w:rPr>
        <w:t> </w:t>
      </w:r>
      <w:r w:rsidR="00CC55C0" w:rsidRPr="0071228C">
        <w:rPr>
          <w:noProof/>
        </w:rPr>
        <w:t>kon</w:t>
      </w:r>
      <w:r w:rsidR="00FC37E6" w:rsidRPr="0071228C">
        <w:rPr>
          <w:noProof/>
        </w:rPr>
        <w:t>trolą, spełniają kryteria określone</w:t>
      </w:r>
      <w:r w:rsidR="00CC55C0" w:rsidRPr="0071228C">
        <w:rPr>
          <w:noProof/>
        </w:rPr>
        <w:t xml:space="preserve"> w</w:t>
      </w:r>
      <w:r w:rsidR="00CC55C0">
        <w:rPr>
          <w:noProof/>
        </w:rPr>
        <w:t> </w:t>
      </w:r>
      <w:r w:rsidR="00CC55C0" w:rsidRPr="00CC55C0">
        <w:rPr>
          <w:noProof/>
        </w:rPr>
        <w:t>art</w:t>
      </w:r>
      <w:r w:rsidR="00FC37E6" w:rsidRPr="00CC55C0">
        <w:rPr>
          <w:noProof/>
        </w:rPr>
        <w:t>.</w:t>
      </w:r>
      <w:r w:rsidR="00CC55C0" w:rsidRPr="00CC55C0">
        <w:rPr>
          <w:noProof/>
        </w:rPr>
        <w:t> </w:t>
      </w:r>
      <w:r w:rsidR="00FC37E6" w:rsidRPr="00CC55C0">
        <w:rPr>
          <w:noProof/>
        </w:rPr>
        <w:t>2</w:t>
      </w:r>
      <w:r w:rsidR="00FC37E6" w:rsidRPr="0071228C">
        <w:rPr>
          <w:noProof/>
        </w:rPr>
        <w:t xml:space="preserve">90 </w:t>
      </w:r>
      <w:r w:rsidR="00FC37E6" w:rsidRPr="00CC55C0">
        <w:rPr>
          <w:noProof/>
        </w:rPr>
        <w:t>ust.</w:t>
      </w:r>
      <w:r w:rsidR="00CC55C0" w:rsidRPr="00CC55C0">
        <w:rPr>
          <w:noProof/>
        </w:rPr>
        <w:t> </w:t>
      </w:r>
      <w:r w:rsidR="00FC37E6" w:rsidRPr="00CC55C0">
        <w:rPr>
          <w:noProof/>
        </w:rPr>
        <w:t>1</w:t>
      </w:r>
      <w:r w:rsidR="00FC37E6" w:rsidRPr="0071228C">
        <w:rPr>
          <w:noProof/>
        </w:rPr>
        <w:t xml:space="preserve"> TFUE, ponieważ dotyczą dostosowania załączników do tej dyrektywy</w:t>
      </w:r>
      <w:r w:rsidR="00CC55C0" w:rsidRPr="0071228C">
        <w:rPr>
          <w:noProof/>
        </w:rPr>
        <w:t xml:space="preserve"> i</w:t>
      </w:r>
      <w:r w:rsidR="00CC55C0">
        <w:rPr>
          <w:noProof/>
        </w:rPr>
        <w:t> </w:t>
      </w:r>
      <w:r w:rsidR="00CC55C0" w:rsidRPr="0071228C">
        <w:rPr>
          <w:noProof/>
        </w:rPr>
        <w:t>prz</w:t>
      </w:r>
      <w:r w:rsidR="00FC37E6" w:rsidRPr="0071228C">
        <w:rPr>
          <w:noProof/>
        </w:rPr>
        <w:t>yjęcia przepisów ją uzupełniających. Należy je zatem przekształcić</w:t>
      </w:r>
      <w:r w:rsidR="00CC55C0" w:rsidRPr="0071228C">
        <w:rPr>
          <w:noProof/>
        </w:rPr>
        <w:t xml:space="preserve"> w</w:t>
      </w:r>
      <w:r w:rsidR="00CC55C0">
        <w:rPr>
          <w:noProof/>
        </w:rPr>
        <w:t> </w:t>
      </w:r>
      <w:r w:rsidR="00CC55C0" w:rsidRPr="0071228C">
        <w:rPr>
          <w:noProof/>
        </w:rPr>
        <w:t>upr</w:t>
      </w:r>
      <w:r w:rsidR="00FC37E6" w:rsidRPr="0071228C">
        <w:rPr>
          <w:noProof/>
        </w:rPr>
        <w:t>awnienia dla Komisji do przyjmowania aktów delegowanych</w:t>
      </w:r>
      <w:r w:rsidR="00FC37E6" w:rsidRPr="00CC55C0">
        <w:rPr>
          <w:noProof/>
        </w:rPr>
        <w:t>.</w:t>
      </w:r>
      <w:r w:rsidR="00CC55C0" w:rsidRPr="00CC55C0">
        <w:rPr>
          <w:noProof/>
        </w:rPr>
        <w:t xml:space="preserve"> </w:t>
      </w:r>
    </w:p>
    <w:p w14:paraId="380E81F9" w14:textId="1BEC2695" w:rsidR="000D6735" w:rsidRPr="0071228C" w:rsidRDefault="00B000C3" w:rsidP="00B000C3">
      <w:pPr>
        <w:pStyle w:val="ManualConsidrant"/>
        <w:rPr>
          <w:noProof/>
        </w:rPr>
      </w:pPr>
      <w:r w:rsidRPr="00B000C3">
        <w:t>(26)</w:t>
      </w:r>
      <w:r w:rsidRPr="00B000C3">
        <w:tab/>
      </w:r>
      <w:r w:rsidR="005D6832" w:rsidRPr="0071228C">
        <w:rPr>
          <w:noProof/>
        </w:rPr>
        <w:t>Uprawnienie określone</w:t>
      </w:r>
      <w:r w:rsidR="00CC55C0" w:rsidRPr="0071228C">
        <w:rPr>
          <w:noProof/>
        </w:rPr>
        <w:t xml:space="preserve"> w</w:t>
      </w:r>
      <w:r w:rsidR="00CC55C0">
        <w:rPr>
          <w:noProof/>
        </w:rPr>
        <w:t> </w:t>
      </w:r>
      <w:r w:rsidR="00CC55C0" w:rsidRPr="00CC55C0">
        <w:rPr>
          <w:noProof/>
        </w:rPr>
        <w:t>art</w:t>
      </w:r>
      <w:r w:rsidR="005D6832" w:rsidRPr="00CC55C0">
        <w:rPr>
          <w:noProof/>
        </w:rPr>
        <w:t>.</w:t>
      </w:r>
      <w:r w:rsidR="00CC55C0" w:rsidRPr="00CC55C0">
        <w:rPr>
          <w:noProof/>
        </w:rPr>
        <w:t> </w:t>
      </w:r>
      <w:r w:rsidR="005D6832" w:rsidRPr="00CC55C0">
        <w:rPr>
          <w:noProof/>
        </w:rPr>
        <w:t>8</w:t>
      </w:r>
      <w:r w:rsidR="005D6832" w:rsidRPr="0071228C">
        <w:rPr>
          <w:noProof/>
        </w:rPr>
        <w:t xml:space="preserve"> dyrektywy 2006/118/WE, które przewiduje zastosowanie procedury regulacyjnej połączonej</w:t>
      </w:r>
      <w:r w:rsidR="00CC55C0" w:rsidRPr="0071228C">
        <w:rPr>
          <w:noProof/>
        </w:rPr>
        <w:t xml:space="preserve"> z</w:t>
      </w:r>
      <w:r w:rsidR="00CC55C0">
        <w:rPr>
          <w:noProof/>
        </w:rPr>
        <w:t> </w:t>
      </w:r>
      <w:r w:rsidR="00CC55C0" w:rsidRPr="0071228C">
        <w:rPr>
          <w:noProof/>
        </w:rPr>
        <w:t>kon</w:t>
      </w:r>
      <w:r w:rsidR="005D6832" w:rsidRPr="0071228C">
        <w:rPr>
          <w:noProof/>
        </w:rPr>
        <w:t>trolą, spełnia kryteria określone</w:t>
      </w:r>
      <w:r w:rsidR="00CC55C0" w:rsidRPr="0071228C">
        <w:rPr>
          <w:noProof/>
        </w:rPr>
        <w:t xml:space="preserve"> w</w:t>
      </w:r>
      <w:r w:rsidR="00CC55C0">
        <w:rPr>
          <w:noProof/>
        </w:rPr>
        <w:t> </w:t>
      </w:r>
      <w:r w:rsidR="00CC55C0" w:rsidRPr="00CC55C0">
        <w:rPr>
          <w:noProof/>
        </w:rPr>
        <w:t>art</w:t>
      </w:r>
      <w:r w:rsidR="005D6832" w:rsidRPr="00CC55C0">
        <w:rPr>
          <w:noProof/>
        </w:rPr>
        <w:t>.</w:t>
      </w:r>
      <w:r w:rsidR="00CC55C0" w:rsidRPr="00CC55C0">
        <w:rPr>
          <w:noProof/>
        </w:rPr>
        <w:t> </w:t>
      </w:r>
      <w:r w:rsidR="005D6832" w:rsidRPr="00CC55C0">
        <w:rPr>
          <w:noProof/>
        </w:rPr>
        <w:t>2</w:t>
      </w:r>
      <w:r w:rsidR="005D6832" w:rsidRPr="0071228C">
        <w:rPr>
          <w:noProof/>
        </w:rPr>
        <w:t xml:space="preserve">90 </w:t>
      </w:r>
      <w:r w:rsidR="005D6832" w:rsidRPr="00CC55C0">
        <w:rPr>
          <w:noProof/>
        </w:rPr>
        <w:t>ust.</w:t>
      </w:r>
      <w:r w:rsidR="00CC55C0" w:rsidRPr="00CC55C0">
        <w:rPr>
          <w:noProof/>
        </w:rPr>
        <w:t> </w:t>
      </w:r>
      <w:r w:rsidR="005D6832" w:rsidRPr="00CC55C0">
        <w:rPr>
          <w:noProof/>
        </w:rPr>
        <w:t>1</w:t>
      </w:r>
      <w:r w:rsidR="005D6832" w:rsidRPr="0071228C">
        <w:rPr>
          <w:noProof/>
        </w:rPr>
        <w:t xml:space="preserve"> TFUE, ponieważ dotyczy dostosowania załączników do tej dyrektywy. Należy je zatem przekształcić</w:t>
      </w:r>
      <w:r w:rsidR="00CC55C0" w:rsidRPr="0071228C">
        <w:rPr>
          <w:noProof/>
        </w:rPr>
        <w:t xml:space="preserve"> w</w:t>
      </w:r>
      <w:r w:rsidR="00CC55C0">
        <w:rPr>
          <w:noProof/>
        </w:rPr>
        <w:t> </w:t>
      </w:r>
      <w:r w:rsidR="00CC55C0" w:rsidRPr="0071228C">
        <w:rPr>
          <w:noProof/>
        </w:rPr>
        <w:t>upr</w:t>
      </w:r>
      <w:r w:rsidR="005D6832" w:rsidRPr="0071228C">
        <w:rPr>
          <w:noProof/>
        </w:rPr>
        <w:t xml:space="preserve">awnienie dla Komisji do przyjmowania aktów delegowanych. </w:t>
      </w:r>
    </w:p>
    <w:p w14:paraId="1F9CFE62" w14:textId="6EA3C5E7" w:rsidR="00B7613E" w:rsidRPr="0071228C" w:rsidRDefault="00B000C3" w:rsidP="00B000C3">
      <w:pPr>
        <w:pStyle w:val="ManualConsidrant"/>
        <w:rPr>
          <w:noProof/>
        </w:rPr>
      </w:pPr>
      <w:r w:rsidRPr="00B000C3">
        <w:t>(27)</w:t>
      </w:r>
      <w:r w:rsidRPr="00B000C3">
        <w:tab/>
      </w:r>
      <w:r w:rsidR="00B7613E" w:rsidRPr="0071228C">
        <w:rPr>
          <w:noProof/>
        </w:rPr>
        <w:t>Szczególnie ważne jest, aby</w:t>
      </w:r>
      <w:r w:rsidR="00CC55C0" w:rsidRPr="0071228C">
        <w:rPr>
          <w:noProof/>
        </w:rPr>
        <w:t xml:space="preserve"> w</w:t>
      </w:r>
      <w:r w:rsidR="00CC55C0">
        <w:rPr>
          <w:noProof/>
        </w:rPr>
        <w:t> </w:t>
      </w:r>
      <w:r w:rsidR="00CC55C0" w:rsidRPr="0071228C">
        <w:rPr>
          <w:noProof/>
        </w:rPr>
        <w:t>cza</w:t>
      </w:r>
      <w:r w:rsidR="00B7613E" w:rsidRPr="0071228C">
        <w:rPr>
          <w:noProof/>
        </w:rPr>
        <w:t>sie prac przygotowawczych nad aktami delegowanymi Komisja prowadziła stosowne konsultacje,</w:t>
      </w:r>
      <w:r w:rsidR="00CC55C0" w:rsidRPr="0071228C">
        <w:rPr>
          <w:noProof/>
        </w:rPr>
        <w:t xml:space="preserve"> w</w:t>
      </w:r>
      <w:r w:rsidR="00CC55C0">
        <w:rPr>
          <w:noProof/>
        </w:rPr>
        <w:t> </w:t>
      </w:r>
      <w:r w:rsidR="00CC55C0" w:rsidRPr="0071228C">
        <w:rPr>
          <w:noProof/>
        </w:rPr>
        <w:t>tym</w:t>
      </w:r>
      <w:r w:rsidR="00B7613E" w:rsidRPr="0071228C">
        <w:rPr>
          <w:noProof/>
        </w:rPr>
        <w:t xml:space="preserve"> na poziomie ekspertów, oraz aby konsultacje te prowadzone były zgodnie</w:t>
      </w:r>
      <w:r w:rsidR="00CC55C0" w:rsidRPr="0071228C">
        <w:rPr>
          <w:noProof/>
        </w:rPr>
        <w:t xml:space="preserve"> z</w:t>
      </w:r>
      <w:r w:rsidR="00CC55C0">
        <w:rPr>
          <w:noProof/>
        </w:rPr>
        <w:t> </w:t>
      </w:r>
      <w:r w:rsidR="00CC55C0" w:rsidRPr="0071228C">
        <w:rPr>
          <w:noProof/>
        </w:rPr>
        <w:t>zas</w:t>
      </w:r>
      <w:r w:rsidR="00B7613E" w:rsidRPr="0071228C">
        <w:rPr>
          <w:noProof/>
        </w:rPr>
        <w:t>adami określonymi</w:t>
      </w:r>
      <w:r w:rsidR="00CC55C0" w:rsidRPr="0071228C">
        <w:rPr>
          <w:noProof/>
        </w:rPr>
        <w:t xml:space="preserve"> w</w:t>
      </w:r>
      <w:r w:rsidR="00CC55C0">
        <w:rPr>
          <w:noProof/>
        </w:rPr>
        <w:t> </w:t>
      </w:r>
      <w:r w:rsidR="00CC55C0" w:rsidRPr="0071228C">
        <w:rPr>
          <w:noProof/>
        </w:rPr>
        <w:t>Por</w:t>
      </w:r>
      <w:r w:rsidR="00B7613E" w:rsidRPr="0071228C">
        <w:rPr>
          <w:noProof/>
        </w:rPr>
        <w:t>ozumieniu międzyinstytucjonalnym</w:t>
      </w:r>
      <w:r w:rsidR="00CC55C0" w:rsidRPr="0071228C">
        <w:rPr>
          <w:noProof/>
        </w:rPr>
        <w:t xml:space="preserve"> w</w:t>
      </w:r>
      <w:r w:rsidR="00CC55C0">
        <w:rPr>
          <w:noProof/>
        </w:rPr>
        <w:t> </w:t>
      </w:r>
      <w:r w:rsidR="00CC55C0" w:rsidRPr="0071228C">
        <w:rPr>
          <w:noProof/>
        </w:rPr>
        <w:t>spr</w:t>
      </w:r>
      <w:r w:rsidR="00B7613E" w:rsidRPr="0071228C">
        <w:rPr>
          <w:noProof/>
        </w:rPr>
        <w:t>awie lepszego stanowienia prawa</w:t>
      </w:r>
      <w:r w:rsidR="00CC55C0" w:rsidRPr="0071228C">
        <w:rPr>
          <w:noProof/>
        </w:rPr>
        <w:t xml:space="preserve"> z</w:t>
      </w:r>
      <w:r w:rsidR="00CC55C0">
        <w:rPr>
          <w:noProof/>
        </w:rPr>
        <w:t> </w:t>
      </w:r>
      <w:r w:rsidR="00CC55C0" w:rsidRPr="0071228C">
        <w:rPr>
          <w:noProof/>
        </w:rPr>
        <w:t>dni</w:t>
      </w:r>
      <w:r w:rsidR="00B7613E" w:rsidRPr="0071228C">
        <w:rPr>
          <w:noProof/>
        </w:rPr>
        <w:t>a 13 kwietnia 20</w:t>
      </w:r>
      <w:r w:rsidR="00B7613E" w:rsidRPr="00CC55C0">
        <w:rPr>
          <w:noProof/>
        </w:rPr>
        <w:t>16</w:t>
      </w:r>
      <w:r w:rsidR="00CC55C0" w:rsidRPr="00CC55C0">
        <w:rPr>
          <w:noProof/>
        </w:rPr>
        <w:t> </w:t>
      </w:r>
      <w:r w:rsidR="00B7613E" w:rsidRPr="00CC55C0">
        <w:rPr>
          <w:noProof/>
        </w:rPr>
        <w:t>r</w:t>
      </w:r>
      <w:r w:rsidR="00CC55C0" w:rsidRPr="00CC55C0">
        <w:rPr>
          <w:noProof/>
        </w:rPr>
        <w:t>.</w:t>
      </w:r>
      <w:r w:rsidR="00CC55C0" w:rsidRPr="0071228C">
        <w:rPr>
          <w:noProof/>
        </w:rPr>
        <w:t xml:space="preserve"> W</w:t>
      </w:r>
      <w:r w:rsidR="00CC55C0">
        <w:rPr>
          <w:noProof/>
        </w:rPr>
        <w:t> </w:t>
      </w:r>
      <w:r w:rsidR="00CC55C0" w:rsidRPr="0071228C">
        <w:rPr>
          <w:noProof/>
        </w:rPr>
        <w:t>szc</w:t>
      </w:r>
      <w:r w:rsidR="00B7613E" w:rsidRPr="0071228C">
        <w:rPr>
          <w:noProof/>
        </w:rPr>
        <w:t>zególności, aby zapewnić Parlamentowi Europejskiemu</w:t>
      </w:r>
      <w:r w:rsidR="00CC55C0" w:rsidRPr="0071228C">
        <w:rPr>
          <w:noProof/>
        </w:rPr>
        <w:t xml:space="preserve"> i</w:t>
      </w:r>
      <w:r w:rsidR="00CC55C0">
        <w:rPr>
          <w:noProof/>
        </w:rPr>
        <w:t> </w:t>
      </w:r>
      <w:r w:rsidR="00CC55C0" w:rsidRPr="0071228C">
        <w:rPr>
          <w:noProof/>
        </w:rPr>
        <w:t>Rad</w:t>
      </w:r>
      <w:r w:rsidR="00B7613E" w:rsidRPr="0071228C">
        <w:rPr>
          <w:noProof/>
        </w:rPr>
        <w:t>zie udział na równych zasadach</w:t>
      </w:r>
      <w:r w:rsidR="00CC55C0" w:rsidRPr="0071228C">
        <w:rPr>
          <w:noProof/>
        </w:rPr>
        <w:t xml:space="preserve"> w</w:t>
      </w:r>
      <w:r w:rsidR="00CC55C0">
        <w:rPr>
          <w:noProof/>
        </w:rPr>
        <w:t> </w:t>
      </w:r>
      <w:r w:rsidR="00CC55C0" w:rsidRPr="0071228C">
        <w:rPr>
          <w:noProof/>
        </w:rPr>
        <w:t>prz</w:t>
      </w:r>
      <w:r w:rsidR="00B7613E" w:rsidRPr="0071228C">
        <w:rPr>
          <w:noProof/>
        </w:rPr>
        <w:t>ygotowaniu aktów delegowanych, instytucje te otrzymują wszelkie dokumenty</w:t>
      </w:r>
      <w:r w:rsidR="00CC55C0" w:rsidRPr="0071228C">
        <w:rPr>
          <w:noProof/>
        </w:rPr>
        <w:t xml:space="preserve"> w</w:t>
      </w:r>
      <w:r w:rsidR="00CC55C0">
        <w:rPr>
          <w:noProof/>
        </w:rPr>
        <w:t> </w:t>
      </w:r>
      <w:r w:rsidR="00CC55C0" w:rsidRPr="0071228C">
        <w:rPr>
          <w:noProof/>
        </w:rPr>
        <w:t>tym</w:t>
      </w:r>
      <w:r w:rsidR="00B7613E" w:rsidRPr="0071228C">
        <w:rPr>
          <w:noProof/>
        </w:rPr>
        <w:t xml:space="preserve"> samym czasie co eksperci państw członkowskich,</w:t>
      </w:r>
      <w:r w:rsidR="00CC55C0" w:rsidRPr="0071228C">
        <w:rPr>
          <w:noProof/>
        </w:rPr>
        <w:t xml:space="preserve"> a</w:t>
      </w:r>
      <w:r w:rsidR="00CC55C0">
        <w:rPr>
          <w:noProof/>
        </w:rPr>
        <w:t> </w:t>
      </w:r>
      <w:r w:rsidR="00CC55C0" w:rsidRPr="0071228C">
        <w:rPr>
          <w:noProof/>
        </w:rPr>
        <w:t>eks</w:t>
      </w:r>
      <w:r w:rsidR="00B7613E" w:rsidRPr="0071228C">
        <w:rPr>
          <w:noProof/>
        </w:rPr>
        <w:t>perci tych instytucji mogą systematycznie brać udział</w:t>
      </w:r>
      <w:r w:rsidR="00CC55C0" w:rsidRPr="0071228C">
        <w:rPr>
          <w:noProof/>
        </w:rPr>
        <w:t xml:space="preserve"> w</w:t>
      </w:r>
      <w:r w:rsidR="00CC55C0">
        <w:rPr>
          <w:noProof/>
        </w:rPr>
        <w:t> </w:t>
      </w:r>
      <w:r w:rsidR="00CC55C0" w:rsidRPr="0071228C">
        <w:rPr>
          <w:noProof/>
        </w:rPr>
        <w:t>pos</w:t>
      </w:r>
      <w:r w:rsidR="00B7613E" w:rsidRPr="0071228C">
        <w:rPr>
          <w:noProof/>
        </w:rPr>
        <w:t>iedzeniach grup eksperckich Komisji zajmujących się przygotowaniem aktów delegowanych.</w:t>
      </w:r>
    </w:p>
    <w:p w14:paraId="64D7AFAB" w14:textId="742FF3AA" w:rsidR="00CB7AB4" w:rsidRPr="0071228C" w:rsidRDefault="00B000C3" w:rsidP="00B000C3">
      <w:pPr>
        <w:pStyle w:val="ManualConsidrant"/>
        <w:rPr>
          <w:noProof/>
        </w:rPr>
      </w:pPr>
      <w:r w:rsidRPr="00B000C3">
        <w:t>(28)</w:t>
      </w:r>
      <w:r w:rsidRPr="00B000C3">
        <w:tab/>
      </w:r>
      <w:r w:rsidR="00CB7AB4" w:rsidRPr="0071228C">
        <w:rPr>
          <w:noProof/>
        </w:rPr>
        <w:t>Upoważnienie zawarte</w:t>
      </w:r>
      <w:r w:rsidR="00CC55C0" w:rsidRPr="0071228C">
        <w:rPr>
          <w:noProof/>
        </w:rPr>
        <w:t xml:space="preserve"> w</w:t>
      </w:r>
      <w:r w:rsidR="00CC55C0">
        <w:rPr>
          <w:noProof/>
        </w:rPr>
        <w:t> </w:t>
      </w:r>
      <w:r w:rsidR="00CC55C0" w:rsidRPr="00CC55C0">
        <w:rPr>
          <w:noProof/>
        </w:rPr>
        <w:t>art</w:t>
      </w:r>
      <w:r w:rsidR="00CB7AB4" w:rsidRPr="00CC55C0">
        <w:rPr>
          <w:noProof/>
        </w:rPr>
        <w:t>.</w:t>
      </w:r>
      <w:r w:rsidR="00CC55C0" w:rsidRPr="00CC55C0">
        <w:rPr>
          <w:noProof/>
        </w:rPr>
        <w:t> </w:t>
      </w:r>
      <w:r w:rsidR="00CB7AB4" w:rsidRPr="00CC55C0">
        <w:rPr>
          <w:noProof/>
        </w:rPr>
        <w:t>8</w:t>
      </w:r>
      <w:r w:rsidR="00CB7AB4" w:rsidRPr="0071228C">
        <w:rPr>
          <w:noProof/>
        </w:rPr>
        <w:t xml:space="preserve"> </w:t>
      </w:r>
      <w:r w:rsidR="00CB7AB4" w:rsidRPr="00CC55C0">
        <w:rPr>
          <w:noProof/>
        </w:rPr>
        <w:t>ust.</w:t>
      </w:r>
      <w:r w:rsidR="00CC55C0" w:rsidRPr="00CC55C0">
        <w:rPr>
          <w:noProof/>
        </w:rPr>
        <w:t> </w:t>
      </w:r>
      <w:r w:rsidR="00CB7AB4" w:rsidRPr="00CC55C0">
        <w:rPr>
          <w:noProof/>
        </w:rPr>
        <w:t>3</w:t>
      </w:r>
      <w:r w:rsidR="00CB7AB4" w:rsidRPr="0071228C">
        <w:rPr>
          <w:noProof/>
        </w:rPr>
        <w:t xml:space="preserve"> dyrektywy 2000/60/WE, które przewiduje zastosowanie procedury regulacyjnej połączonej</w:t>
      </w:r>
      <w:r w:rsidR="00CC55C0" w:rsidRPr="0071228C">
        <w:rPr>
          <w:noProof/>
        </w:rPr>
        <w:t xml:space="preserve"> z</w:t>
      </w:r>
      <w:r w:rsidR="00CC55C0">
        <w:rPr>
          <w:noProof/>
        </w:rPr>
        <w:t> </w:t>
      </w:r>
      <w:r w:rsidR="00CC55C0" w:rsidRPr="0071228C">
        <w:rPr>
          <w:noProof/>
        </w:rPr>
        <w:t>kon</w:t>
      </w:r>
      <w:r w:rsidR="00CB7AB4" w:rsidRPr="0071228C">
        <w:rPr>
          <w:noProof/>
        </w:rPr>
        <w:t>trolą, spełnia kryteria określone</w:t>
      </w:r>
      <w:r w:rsidR="00CC55C0" w:rsidRPr="0071228C">
        <w:rPr>
          <w:noProof/>
        </w:rPr>
        <w:t xml:space="preserve"> w</w:t>
      </w:r>
      <w:r w:rsidR="00CC55C0">
        <w:rPr>
          <w:noProof/>
        </w:rPr>
        <w:t> </w:t>
      </w:r>
      <w:r w:rsidR="00CC55C0" w:rsidRPr="00CC55C0">
        <w:rPr>
          <w:noProof/>
        </w:rPr>
        <w:t>art</w:t>
      </w:r>
      <w:r w:rsidR="00CB7AB4" w:rsidRPr="00CC55C0">
        <w:rPr>
          <w:noProof/>
        </w:rPr>
        <w:t>.</w:t>
      </w:r>
      <w:r w:rsidR="00CC55C0" w:rsidRPr="00CC55C0">
        <w:rPr>
          <w:noProof/>
        </w:rPr>
        <w:t> </w:t>
      </w:r>
      <w:r w:rsidR="00CB7AB4" w:rsidRPr="00CC55C0">
        <w:rPr>
          <w:noProof/>
        </w:rPr>
        <w:t>2</w:t>
      </w:r>
      <w:r w:rsidR="00CB7AB4" w:rsidRPr="0071228C">
        <w:rPr>
          <w:noProof/>
        </w:rPr>
        <w:t xml:space="preserve">90 </w:t>
      </w:r>
      <w:r w:rsidR="00CB7AB4" w:rsidRPr="00CC55C0">
        <w:rPr>
          <w:noProof/>
        </w:rPr>
        <w:t>ust.</w:t>
      </w:r>
      <w:r w:rsidR="00CC55C0" w:rsidRPr="00CC55C0">
        <w:rPr>
          <w:noProof/>
        </w:rPr>
        <w:t> </w:t>
      </w:r>
      <w:r w:rsidR="00CB7AB4" w:rsidRPr="00CC55C0">
        <w:rPr>
          <w:noProof/>
        </w:rPr>
        <w:t>2</w:t>
      </w:r>
      <w:r w:rsidR="00CB7AB4" w:rsidRPr="0071228C">
        <w:rPr>
          <w:noProof/>
        </w:rPr>
        <w:t xml:space="preserve"> TFUE, ponieważ dotyczy przyjęcia specyfikacji technicznych</w:t>
      </w:r>
      <w:r w:rsidR="00CC55C0" w:rsidRPr="0071228C">
        <w:rPr>
          <w:noProof/>
        </w:rPr>
        <w:t xml:space="preserve"> i</w:t>
      </w:r>
      <w:r w:rsidR="00CC55C0">
        <w:rPr>
          <w:noProof/>
        </w:rPr>
        <w:t> </w:t>
      </w:r>
      <w:r w:rsidR="00CC55C0" w:rsidRPr="0071228C">
        <w:rPr>
          <w:noProof/>
        </w:rPr>
        <w:t>zno</w:t>
      </w:r>
      <w:r w:rsidR="00CB7AB4" w:rsidRPr="0071228C">
        <w:rPr>
          <w:noProof/>
        </w:rPr>
        <w:t>rmalizowanych metod analizy</w:t>
      </w:r>
      <w:r w:rsidR="00CC55C0" w:rsidRPr="0071228C">
        <w:rPr>
          <w:noProof/>
        </w:rPr>
        <w:t xml:space="preserve"> i</w:t>
      </w:r>
      <w:r w:rsidR="00CC55C0">
        <w:rPr>
          <w:noProof/>
        </w:rPr>
        <w:t> </w:t>
      </w:r>
      <w:r w:rsidR="00CC55C0" w:rsidRPr="0071228C">
        <w:rPr>
          <w:noProof/>
        </w:rPr>
        <w:t>mon</w:t>
      </w:r>
      <w:r w:rsidR="00CB7AB4" w:rsidRPr="0071228C">
        <w:rPr>
          <w:noProof/>
        </w:rPr>
        <w:t>itorowania stanu wód,</w:t>
      </w:r>
      <w:r w:rsidR="00CC55C0" w:rsidRPr="0071228C">
        <w:rPr>
          <w:noProof/>
        </w:rPr>
        <w:t xml:space="preserve"> a</w:t>
      </w:r>
      <w:r w:rsidR="00CC55C0">
        <w:rPr>
          <w:noProof/>
        </w:rPr>
        <w:t> </w:t>
      </w:r>
      <w:r w:rsidR="00CC55C0" w:rsidRPr="0071228C">
        <w:rPr>
          <w:noProof/>
        </w:rPr>
        <w:t>zat</w:t>
      </w:r>
      <w:r w:rsidR="00CB7AB4" w:rsidRPr="0071228C">
        <w:rPr>
          <w:noProof/>
        </w:rPr>
        <w:t>em ma na celu zapewnienie jednolitych warunków zharmonizowanego wdrażania tej dyrektywy. Należy je zatem przekształcić</w:t>
      </w:r>
      <w:r w:rsidR="00CC55C0" w:rsidRPr="0071228C">
        <w:rPr>
          <w:noProof/>
        </w:rPr>
        <w:t xml:space="preserve"> w</w:t>
      </w:r>
      <w:r w:rsidR="00CC55C0">
        <w:rPr>
          <w:noProof/>
        </w:rPr>
        <w:t> </w:t>
      </w:r>
      <w:r w:rsidR="00CC55C0" w:rsidRPr="0071228C">
        <w:rPr>
          <w:noProof/>
        </w:rPr>
        <w:t>upr</w:t>
      </w:r>
      <w:r w:rsidR="00CB7AB4" w:rsidRPr="0071228C">
        <w:rPr>
          <w:noProof/>
        </w:rPr>
        <w:t>awnienie dla Komisji do przyjmowania aktów wykonawczych</w:t>
      </w:r>
      <w:r w:rsidR="00CC55C0" w:rsidRPr="00CC55C0">
        <w:rPr>
          <w:noProof/>
        </w:rPr>
        <w:t>. W</w:t>
      </w:r>
      <w:r w:rsidR="00CC55C0">
        <w:rPr>
          <w:noProof/>
        </w:rPr>
        <w:t> </w:t>
      </w:r>
      <w:r w:rsidR="00CC55C0" w:rsidRPr="0071228C">
        <w:rPr>
          <w:noProof/>
        </w:rPr>
        <w:t>cel</w:t>
      </w:r>
      <w:r w:rsidR="00CB7AB4" w:rsidRPr="0071228C">
        <w:rPr>
          <w:noProof/>
        </w:rPr>
        <w:t>u zapewnienia porównywalności danych należy również rozszerzyć uprawnienia do ustanowienia formularzy sprawozdań dotyczących danych</w:t>
      </w:r>
      <w:r w:rsidR="00CC55C0" w:rsidRPr="0071228C">
        <w:rPr>
          <w:noProof/>
        </w:rPr>
        <w:t xml:space="preserve"> z</w:t>
      </w:r>
      <w:r w:rsidR="00CC55C0">
        <w:rPr>
          <w:noProof/>
        </w:rPr>
        <w:t> </w:t>
      </w:r>
      <w:r w:rsidR="00CC55C0" w:rsidRPr="0071228C">
        <w:rPr>
          <w:noProof/>
        </w:rPr>
        <w:t>mon</w:t>
      </w:r>
      <w:r w:rsidR="00CB7AB4" w:rsidRPr="0071228C">
        <w:rPr>
          <w:noProof/>
        </w:rPr>
        <w:t>itorowania</w:t>
      </w:r>
      <w:r w:rsidR="00CC55C0" w:rsidRPr="0071228C">
        <w:rPr>
          <w:noProof/>
        </w:rPr>
        <w:t xml:space="preserve"> i</w:t>
      </w:r>
      <w:r w:rsidR="00CC55C0">
        <w:rPr>
          <w:noProof/>
        </w:rPr>
        <w:t> </w:t>
      </w:r>
      <w:r w:rsidR="00CC55C0" w:rsidRPr="0071228C">
        <w:rPr>
          <w:noProof/>
        </w:rPr>
        <w:t>sta</w:t>
      </w:r>
      <w:r w:rsidR="00CB7AB4" w:rsidRPr="0071228C">
        <w:rPr>
          <w:noProof/>
        </w:rPr>
        <w:t xml:space="preserve">nu na podstawie </w:t>
      </w:r>
      <w:r w:rsidR="00CB7AB4" w:rsidRPr="00CC55C0">
        <w:rPr>
          <w:noProof/>
        </w:rPr>
        <w:t>art.</w:t>
      </w:r>
      <w:r w:rsidR="00CC55C0" w:rsidRPr="00CC55C0">
        <w:rPr>
          <w:noProof/>
        </w:rPr>
        <w:t> </w:t>
      </w:r>
      <w:r w:rsidR="00CB7AB4" w:rsidRPr="00CC55C0">
        <w:rPr>
          <w:noProof/>
        </w:rPr>
        <w:t>8</w:t>
      </w:r>
      <w:r w:rsidR="00CB7AB4" w:rsidRPr="0071228C">
        <w:rPr>
          <w:noProof/>
        </w:rPr>
        <w:t xml:space="preserve"> </w:t>
      </w:r>
      <w:r w:rsidR="00CB7AB4" w:rsidRPr="00CC55C0">
        <w:rPr>
          <w:noProof/>
        </w:rPr>
        <w:t>ust.</w:t>
      </w:r>
      <w:r w:rsidR="00CC55C0" w:rsidRPr="00CC55C0">
        <w:rPr>
          <w:noProof/>
        </w:rPr>
        <w:t> </w:t>
      </w:r>
      <w:r w:rsidR="00CB7AB4" w:rsidRPr="00CC55C0">
        <w:rPr>
          <w:noProof/>
        </w:rPr>
        <w:t>4</w:t>
      </w:r>
      <w:r w:rsidR="00CB7AB4" w:rsidRPr="0071228C">
        <w:rPr>
          <w:noProof/>
        </w:rPr>
        <w:t>. Uprawnienia wykonawcze powierzone Komisji powinny być wykonywane zgodnie</w:t>
      </w:r>
      <w:r w:rsidR="00CC55C0" w:rsidRPr="0071228C">
        <w:rPr>
          <w:noProof/>
        </w:rPr>
        <w:t xml:space="preserve"> z</w:t>
      </w:r>
      <w:r w:rsidR="00CC55C0">
        <w:rPr>
          <w:noProof/>
        </w:rPr>
        <w:t> </w:t>
      </w:r>
      <w:r w:rsidR="00CC55C0" w:rsidRPr="0071228C">
        <w:rPr>
          <w:noProof/>
        </w:rPr>
        <w:t>roz</w:t>
      </w:r>
      <w:r w:rsidR="00CB7AB4" w:rsidRPr="0071228C">
        <w:rPr>
          <w:noProof/>
        </w:rPr>
        <w:t>porządzeniem Parlamentu Europejskiego</w:t>
      </w:r>
      <w:r w:rsidR="00CC55C0" w:rsidRPr="0071228C">
        <w:rPr>
          <w:noProof/>
        </w:rPr>
        <w:t xml:space="preserve"> i</w:t>
      </w:r>
      <w:r w:rsidR="00CC55C0">
        <w:rPr>
          <w:noProof/>
        </w:rPr>
        <w:t> </w:t>
      </w:r>
      <w:r w:rsidR="00CC55C0" w:rsidRPr="0071228C">
        <w:rPr>
          <w:noProof/>
        </w:rPr>
        <w:t>Rad</w:t>
      </w:r>
      <w:r w:rsidR="00CB7AB4" w:rsidRPr="0071228C">
        <w:rPr>
          <w:noProof/>
        </w:rPr>
        <w:t xml:space="preserve">y (UE) </w:t>
      </w:r>
      <w:r w:rsidR="00CB7AB4" w:rsidRPr="00CC55C0">
        <w:rPr>
          <w:noProof/>
        </w:rPr>
        <w:t>nr</w:t>
      </w:r>
      <w:r w:rsidR="00CC55C0" w:rsidRPr="00CC55C0">
        <w:rPr>
          <w:noProof/>
        </w:rPr>
        <w:t> </w:t>
      </w:r>
      <w:r w:rsidR="00CB7AB4" w:rsidRPr="00CC55C0">
        <w:rPr>
          <w:noProof/>
        </w:rPr>
        <w:t>1</w:t>
      </w:r>
      <w:r w:rsidR="00CB7AB4" w:rsidRPr="0071228C">
        <w:rPr>
          <w:noProof/>
        </w:rPr>
        <w:t>82/2011</w:t>
      </w:r>
      <w:r w:rsidR="00CB7AB4" w:rsidRPr="0071228C">
        <w:rPr>
          <w:rStyle w:val="FootnoteReference"/>
          <w:noProof/>
        </w:rPr>
        <w:footnoteReference w:id="63"/>
      </w:r>
      <w:r w:rsidR="00CB7AB4" w:rsidRPr="0071228C">
        <w:rPr>
          <w:noProof/>
        </w:rPr>
        <w:t>.</w:t>
      </w:r>
    </w:p>
    <w:p w14:paraId="417B2A8F" w14:textId="14E36F42" w:rsidR="008D1DFC" w:rsidRPr="0071228C" w:rsidRDefault="00B000C3" w:rsidP="00B000C3">
      <w:pPr>
        <w:pStyle w:val="ManualConsidrant"/>
        <w:rPr>
          <w:noProof/>
        </w:rPr>
      </w:pPr>
      <w:r w:rsidRPr="00B000C3">
        <w:t>(29)</w:t>
      </w:r>
      <w:r w:rsidRPr="00B000C3">
        <w:tab/>
      </w:r>
      <w:r w:rsidR="00972245" w:rsidRPr="0071228C">
        <w:rPr>
          <w:noProof/>
        </w:rPr>
        <w:t>W celu zapewnienia jednolitych warunków wykonywania dyrektywy 2000/60/WE należy powierzyć Komisji uprawnienia wykonawcze do przyjmowania formularzy technicznych sprawozdań dotyczących wyników monitorowania</w:t>
      </w:r>
      <w:r w:rsidR="00CC55C0" w:rsidRPr="0071228C">
        <w:rPr>
          <w:noProof/>
        </w:rPr>
        <w:t xml:space="preserve"> i</w:t>
      </w:r>
      <w:r w:rsidR="00CC55C0">
        <w:rPr>
          <w:noProof/>
        </w:rPr>
        <w:t> </w:t>
      </w:r>
      <w:r w:rsidR="00CC55C0" w:rsidRPr="0071228C">
        <w:rPr>
          <w:noProof/>
        </w:rPr>
        <w:t>sta</w:t>
      </w:r>
      <w:r w:rsidR="00972245" w:rsidRPr="0071228C">
        <w:rPr>
          <w:noProof/>
        </w:rPr>
        <w:t xml:space="preserve">nu wód na podstawie </w:t>
      </w:r>
      <w:r w:rsidR="00972245" w:rsidRPr="00CC55C0">
        <w:rPr>
          <w:noProof/>
        </w:rPr>
        <w:t>art.</w:t>
      </w:r>
      <w:r w:rsidR="00CC55C0" w:rsidRPr="00CC55C0">
        <w:rPr>
          <w:noProof/>
        </w:rPr>
        <w:t> </w:t>
      </w:r>
      <w:r w:rsidR="00972245" w:rsidRPr="00CC55C0">
        <w:rPr>
          <w:noProof/>
        </w:rPr>
        <w:t>8</w:t>
      </w:r>
      <w:r w:rsidR="00972245" w:rsidRPr="0071228C">
        <w:rPr>
          <w:noProof/>
        </w:rPr>
        <w:t xml:space="preserve"> </w:t>
      </w:r>
      <w:r w:rsidR="00972245" w:rsidRPr="00CC55C0">
        <w:rPr>
          <w:noProof/>
        </w:rPr>
        <w:t>ust.</w:t>
      </w:r>
      <w:r w:rsidR="00CC55C0" w:rsidRPr="00CC55C0">
        <w:rPr>
          <w:noProof/>
        </w:rPr>
        <w:t> </w:t>
      </w:r>
      <w:r w:rsidR="00972245" w:rsidRPr="00CC55C0">
        <w:rPr>
          <w:noProof/>
        </w:rPr>
        <w:t>3</w:t>
      </w:r>
      <w:r w:rsidR="00972245" w:rsidRPr="0071228C">
        <w:rPr>
          <w:noProof/>
        </w:rPr>
        <w:t xml:space="preserve"> dyrektywy 2000/60/WE. Uprawnienia te powinny być wykonywane zgodnie</w:t>
      </w:r>
      <w:r w:rsidR="00CC55C0" w:rsidRPr="0071228C">
        <w:rPr>
          <w:noProof/>
        </w:rPr>
        <w:t xml:space="preserve"> z</w:t>
      </w:r>
      <w:r w:rsidR="00CC55C0">
        <w:rPr>
          <w:noProof/>
        </w:rPr>
        <w:t> </w:t>
      </w:r>
      <w:r w:rsidR="00CC55C0" w:rsidRPr="0071228C">
        <w:rPr>
          <w:noProof/>
        </w:rPr>
        <w:t>roz</w:t>
      </w:r>
      <w:r w:rsidR="00972245" w:rsidRPr="0071228C">
        <w:rPr>
          <w:noProof/>
        </w:rPr>
        <w:t xml:space="preserve">porządzeniem (UE) nr 182/2011. </w:t>
      </w:r>
    </w:p>
    <w:p w14:paraId="2D1C77F5" w14:textId="6785D904" w:rsidR="00D96E0F" w:rsidRPr="0071228C" w:rsidRDefault="00B000C3" w:rsidP="00B000C3">
      <w:pPr>
        <w:pStyle w:val="ManualConsidrant"/>
        <w:rPr>
          <w:noProof/>
        </w:rPr>
      </w:pPr>
      <w:r w:rsidRPr="00B000C3">
        <w:t>(30)</w:t>
      </w:r>
      <w:r w:rsidRPr="00B000C3">
        <w:tab/>
      </w:r>
      <w:r w:rsidR="008D1DFC" w:rsidRPr="0071228C">
        <w:rPr>
          <w:noProof/>
        </w:rPr>
        <w:t>W celu zapewnienia jednolitych warunków wdrażania dyrektywy 2008/105/WE należy powierzyć Komisji uprawnienia wykonawcze do przyjmowania znormalizowanych formatów sprawozdań dla EEA dotyczących punktowych źródeł emisji nieobjętych rozporządzeniem (UE) .../... Parlamentu Europejskiego</w:t>
      </w:r>
      <w:r w:rsidR="00CC55C0" w:rsidRPr="0071228C">
        <w:rPr>
          <w:noProof/>
        </w:rPr>
        <w:t xml:space="preserve"> i</w:t>
      </w:r>
      <w:r w:rsidR="00CC55C0">
        <w:rPr>
          <w:noProof/>
        </w:rPr>
        <w:t> </w:t>
      </w:r>
      <w:r w:rsidR="00CC55C0" w:rsidRPr="0071228C">
        <w:rPr>
          <w:noProof/>
        </w:rPr>
        <w:t>Rad</w:t>
      </w:r>
      <w:r w:rsidR="008D1DFC" w:rsidRPr="0071228C">
        <w:rPr>
          <w:noProof/>
        </w:rPr>
        <w:t>y</w:t>
      </w:r>
      <w:r w:rsidR="008D1DFC" w:rsidRPr="0071228C">
        <w:rPr>
          <w:rStyle w:val="FootnoteReference"/>
          <w:noProof/>
        </w:rPr>
        <w:footnoteReference w:customMarkFollows="1" w:id="64"/>
        <w:t>+</w:t>
      </w:r>
      <w:r w:rsidR="008D1DFC" w:rsidRPr="0071228C">
        <w:rPr>
          <w:noProof/>
        </w:rPr>
        <w:t>. Uprawnienia te powinny być wykonywane zgodnie</w:t>
      </w:r>
      <w:r w:rsidR="00CC55C0" w:rsidRPr="0071228C">
        <w:rPr>
          <w:noProof/>
        </w:rPr>
        <w:t xml:space="preserve"> z</w:t>
      </w:r>
      <w:r w:rsidR="00CC55C0">
        <w:rPr>
          <w:noProof/>
        </w:rPr>
        <w:t> </w:t>
      </w:r>
      <w:r w:rsidR="00CC55C0" w:rsidRPr="0071228C">
        <w:rPr>
          <w:noProof/>
        </w:rPr>
        <w:t>roz</w:t>
      </w:r>
      <w:r w:rsidR="008D1DFC" w:rsidRPr="0071228C">
        <w:rPr>
          <w:noProof/>
        </w:rPr>
        <w:t>porządzeniem (UE) nr 182/2011.</w:t>
      </w:r>
    </w:p>
    <w:p w14:paraId="0D366C80" w14:textId="67B00A3E" w:rsidR="00537B5D" w:rsidRPr="00CC55C0" w:rsidRDefault="00B000C3" w:rsidP="00B000C3">
      <w:pPr>
        <w:pStyle w:val="ManualConsidrant"/>
        <w:rPr>
          <w:noProof/>
        </w:rPr>
      </w:pPr>
      <w:r w:rsidRPr="00B000C3">
        <w:t>(31)</w:t>
      </w:r>
      <w:r w:rsidRPr="00B000C3">
        <w:tab/>
      </w:r>
      <w:r w:rsidR="00CB7AB4" w:rsidRPr="0071228C">
        <w:rPr>
          <w:noProof/>
        </w:rPr>
        <w:t>Należy uwzględnić postęp naukowo-techniczny</w:t>
      </w:r>
      <w:r w:rsidR="00CC55C0" w:rsidRPr="0071228C">
        <w:rPr>
          <w:noProof/>
        </w:rPr>
        <w:t xml:space="preserve"> w</w:t>
      </w:r>
      <w:r w:rsidR="00CC55C0">
        <w:rPr>
          <w:noProof/>
        </w:rPr>
        <w:t> </w:t>
      </w:r>
      <w:r w:rsidR="00CC55C0" w:rsidRPr="0071228C">
        <w:rPr>
          <w:noProof/>
        </w:rPr>
        <w:t>dzi</w:t>
      </w:r>
      <w:r w:rsidR="00CB7AB4" w:rsidRPr="0071228C">
        <w:rPr>
          <w:noProof/>
        </w:rPr>
        <w:t>edzinie monitorowania stanu jednolitych części wód zgodnie</w:t>
      </w:r>
      <w:r w:rsidR="00CC55C0" w:rsidRPr="0071228C">
        <w:rPr>
          <w:noProof/>
        </w:rPr>
        <w:t xml:space="preserve"> z</w:t>
      </w:r>
      <w:r w:rsidR="00CC55C0">
        <w:rPr>
          <w:noProof/>
        </w:rPr>
        <w:t> </w:t>
      </w:r>
      <w:r w:rsidR="00CC55C0" w:rsidRPr="0071228C">
        <w:rPr>
          <w:noProof/>
        </w:rPr>
        <w:t>wym</w:t>
      </w:r>
      <w:r w:rsidR="00CB7AB4" w:rsidRPr="0071228C">
        <w:rPr>
          <w:noProof/>
        </w:rPr>
        <w:t>ogami dotyczącymi monitorowania określonymi</w:t>
      </w:r>
      <w:r w:rsidR="00CC55C0" w:rsidRPr="0071228C">
        <w:rPr>
          <w:noProof/>
        </w:rPr>
        <w:t xml:space="preserve"> w</w:t>
      </w:r>
      <w:r w:rsidR="00CC55C0">
        <w:rPr>
          <w:noProof/>
        </w:rPr>
        <w:t> </w:t>
      </w:r>
      <w:r w:rsidR="00CC55C0" w:rsidRPr="0071228C">
        <w:rPr>
          <w:noProof/>
        </w:rPr>
        <w:t>zał</w:t>
      </w:r>
      <w:r w:rsidR="00CB7AB4" w:rsidRPr="0071228C">
        <w:rPr>
          <w:noProof/>
        </w:rPr>
        <w:t>ączniku V do dyrektywy 2000/60/WE</w:t>
      </w:r>
      <w:r w:rsidR="00CC55C0" w:rsidRPr="0071228C">
        <w:rPr>
          <w:noProof/>
        </w:rPr>
        <w:t>. W</w:t>
      </w:r>
      <w:r w:rsidR="00CC55C0">
        <w:rPr>
          <w:noProof/>
        </w:rPr>
        <w:t> </w:t>
      </w:r>
      <w:r w:rsidR="00CC55C0" w:rsidRPr="0071228C">
        <w:rPr>
          <w:noProof/>
        </w:rPr>
        <w:t>zwi</w:t>
      </w:r>
      <w:r w:rsidR="00CB7AB4" w:rsidRPr="0071228C">
        <w:rPr>
          <w:noProof/>
        </w:rPr>
        <w:t>ązku</w:t>
      </w:r>
      <w:r w:rsidR="00CC55C0" w:rsidRPr="0071228C">
        <w:rPr>
          <w:noProof/>
        </w:rPr>
        <w:t xml:space="preserve"> z</w:t>
      </w:r>
      <w:r w:rsidR="00CC55C0">
        <w:rPr>
          <w:noProof/>
        </w:rPr>
        <w:t> </w:t>
      </w:r>
      <w:r w:rsidR="00CC55C0" w:rsidRPr="0071228C">
        <w:rPr>
          <w:noProof/>
        </w:rPr>
        <w:t>tym</w:t>
      </w:r>
      <w:r w:rsidR="00CB7AB4" w:rsidRPr="0071228C">
        <w:rPr>
          <w:noProof/>
        </w:rPr>
        <w:t xml:space="preserve"> państwa członkowskie powinny mieć możliwość korzystania</w:t>
      </w:r>
      <w:r w:rsidR="00CC55C0" w:rsidRPr="0071228C">
        <w:rPr>
          <w:noProof/>
        </w:rPr>
        <w:t xml:space="preserve"> z</w:t>
      </w:r>
      <w:r w:rsidR="00CC55C0">
        <w:rPr>
          <w:noProof/>
        </w:rPr>
        <w:t> </w:t>
      </w:r>
      <w:r w:rsidR="00CC55C0" w:rsidRPr="0071228C">
        <w:rPr>
          <w:noProof/>
        </w:rPr>
        <w:t>dan</w:t>
      </w:r>
      <w:r w:rsidR="00CB7AB4" w:rsidRPr="0071228C">
        <w:rPr>
          <w:noProof/>
        </w:rPr>
        <w:t>ych</w:t>
      </w:r>
      <w:r w:rsidR="00CC55C0" w:rsidRPr="0071228C">
        <w:rPr>
          <w:noProof/>
        </w:rPr>
        <w:t xml:space="preserve"> i</w:t>
      </w:r>
      <w:r w:rsidR="00CC55C0">
        <w:rPr>
          <w:noProof/>
        </w:rPr>
        <w:t> </w:t>
      </w:r>
      <w:r w:rsidR="00CC55C0" w:rsidRPr="0071228C">
        <w:rPr>
          <w:noProof/>
        </w:rPr>
        <w:t>usł</w:t>
      </w:r>
      <w:r w:rsidR="00CB7AB4" w:rsidRPr="0071228C">
        <w:rPr>
          <w:noProof/>
        </w:rPr>
        <w:t>ug pochodzących</w:t>
      </w:r>
      <w:r w:rsidR="00CC55C0" w:rsidRPr="0071228C">
        <w:rPr>
          <w:noProof/>
        </w:rPr>
        <w:t xml:space="preserve"> z</w:t>
      </w:r>
      <w:r w:rsidR="00CC55C0">
        <w:rPr>
          <w:noProof/>
        </w:rPr>
        <w:t> </w:t>
      </w:r>
      <w:r w:rsidR="00CC55C0" w:rsidRPr="0071228C">
        <w:rPr>
          <w:noProof/>
        </w:rPr>
        <w:t>tec</w:t>
      </w:r>
      <w:r w:rsidR="00CB7AB4" w:rsidRPr="0071228C">
        <w:rPr>
          <w:noProof/>
        </w:rPr>
        <w:t>hnologii teledetekcji, obserwacji Ziemi (usługi programu Copernicus), czujników</w:t>
      </w:r>
      <w:r w:rsidR="00CC55C0" w:rsidRPr="0071228C">
        <w:rPr>
          <w:noProof/>
        </w:rPr>
        <w:t xml:space="preserve"> i</w:t>
      </w:r>
      <w:r w:rsidR="00CC55C0">
        <w:rPr>
          <w:noProof/>
        </w:rPr>
        <w:t> </w:t>
      </w:r>
      <w:r w:rsidR="00CC55C0" w:rsidRPr="0071228C">
        <w:rPr>
          <w:noProof/>
        </w:rPr>
        <w:t>urz</w:t>
      </w:r>
      <w:r w:rsidR="00CB7AB4" w:rsidRPr="0071228C">
        <w:rPr>
          <w:noProof/>
        </w:rPr>
        <w:t xml:space="preserve">ądzeń </w:t>
      </w:r>
      <w:r w:rsidR="00CB7AB4" w:rsidRPr="0071228C">
        <w:rPr>
          <w:i/>
          <w:iCs/>
          <w:noProof/>
        </w:rPr>
        <w:t>in-situ</w:t>
      </w:r>
      <w:r w:rsidR="00CB7AB4" w:rsidRPr="0071228C">
        <w:rPr>
          <w:noProof/>
        </w:rPr>
        <w:t xml:space="preserve"> lub danych uzyskanych dzięki badaniom metodą obywatelską, korzystając</w:t>
      </w:r>
      <w:r w:rsidR="00CC55C0" w:rsidRPr="0071228C">
        <w:rPr>
          <w:noProof/>
        </w:rPr>
        <w:t xml:space="preserve"> z</w:t>
      </w:r>
      <w:r w:rsidR="00CC55C0">
        <w:rPr>
          <w:noProof/>
        </w:rPr>
        <w:t> </w:t>
      </w:r>
      <w:r w:rsidR="00CC55C0" w:rsidRPr="0071228C">
        <w:rPr>
          <w:noProof/>
        </w:rPr>
        <w:t>moż</w:t>
      </w:r>
      <w:r w:rsidR="00CB7AB4" w:rsidRPr="0071228C">
        <w:rPr>
          <w:noProof/>
        </w:rPr>
        <w:t>liwości oferowanych przez sztuczną inteligencję oraz zaawansowaną analizę</w:t>
      </w:r>
      <w:r w:rsidR="00CC55C0" w:rsidRPr="0071228C">
        <w:rPr>
          <w:noProof/>
        </w:rPr>
        <w:t xml:space="preserve"> i</w:t>
      </w:r>
      <w:r w:rsidR="00CC55C0">
        <w:rPr>
          <w:noProof/>
        </w:rPr>
        <w:t> </w:t>
      </w:r>
      <w:r w:rsidR="00CC55C0" w:rsidRPr="0071228C">
        <w:rPr>
          <w:noProof/>
        </w:rPr>
        <w:t>prz</w:t>
      </w:r>
      <w:r w:rsidR="00CB7AB4" w:rsidRPr="0071228C">
        <w:rPr>
          <w:noProof/>
        </w:rPr>
        <w:t>etwarzanie danych</w:t>
      </w:r>
      <w:r w:rsidR="00CB7AB4" w:rsidRPr="00CC55C0">
        <w:rPr>
          <w:noProof/>
        </w:rPr>
        <w:t>.</w:t>
      </w:r>
      <w:r w:rsidR="00CC55C0" w:rsidRPr="00CC55C0">
        <w:rPr>
          <w:noProof/>
        </w:rPr>
        <w:t xml:space="preserve"> </w:t>
      </w:r>
    </w:p>
    <w:p w14:paraId="7BED2C49" w14:textId="55242BC5" w:rsidR="000332E9" w:rsidRPr="0071228C" w:rsidRDefault="00B000C3" w:rsidP="00B000C3">
      <w:pPr>
        <w:pStyle w:val="ManualConsidrant"/>
        <w:rPr>
          <w:noProof/>
        </w:rPr>
      </w:pPr>
      <w:r w:rsidRPr="00B000C3">
        <w:t>(32)</w:t>
      </w:r>
      <w:r w:rsidRPr="00B000C3">
        <w:tab/>
      </w:r>
      <w:r w:rsidR="000332E9" w:rsidRPr="0071228C">
        <w:rPr>
          <w:noProof/>
        </w:rPr>
        <w:t>Biorąc pod uwagę wzrost liczby nieprzewidywalnych zdarzeń pogodowych,</w:t>
      </w:r>
      <w:r w:rsidR="00CC55C0" w:rsidRPr="0071228C">
        <w:rPr>
          <w:noProof/>
        </w:rPr>
        <w:t xml:space="preserve"> w</w:t>
      </w:r>
      <w:r w:rsidR="00CC55C0">
        <w:rPr>
          <w:noProof/>
        </w:rPr>
        <w:t> </w:t>
      </w:r>
      <w:r w:rsidR="00CC55C0" w:rsidRPr="0071228C">
        <w:rPr>
          <w:noProof/>
        </w:rPr>
        <w:t>szc</w:t>
      </w:r>
      <w:r w:rsidR="000332E9" w:rsidRPr="0071228C">
        <w:rPr>
          <w:noProof/>
        </w:rPr>
        <w:t>zególności ekstremalnych powodzi</w:t>
      </w:r>
      <w:r w:rsidR="00CC55C0" w:rsidRPr="0071228C">
        <w:rPr>
          <w:noProof/>
        </w:rPr>
        <w:t xml:space="preserve"> i</w:t>
      </w:r>
      <w:r w:rsidR="00CC55C0">
        <w:rPr>
          <w:noProof/>
        </w:rPr>
        <w:t> </w:t>
      </w:r>
      <w:r w:rsidR="00CC55C0" w:rsidRPr="0071228C">
        <w:rPr>
          <w:noProof/>
        </w:rPr>
        <w:t>dłu</w:t>
      </w:r>
      <w:r w:rsidR="000332E9" w:rsidRPr="0071228C">
        <w:rPr>
          <w:noProof/>
        </w:rPr>
        <w:t>gotrwałych susz,</w:t>
      </w:r>
      <w:r w:rsidR="00CC55C0" w:rsidRPr="0071228C">
        <w:rPr>
          <w:noProof/>
        </w:rPr>
        <w:t xml:space="preserve"> a</w:t>
      </w:r>
      <w:r w:rsidR="00CC55C0">
        <w:rPr>
          <w:noProof/>
        </w:rPr>
        <w:t> </w:t>
      </w:r>
      <w:r w:rsidR="00CC55C0" w:rsidRPr="0071228C">
        <w:rPr>
          <w:noProof/>
        </w:rPr>
        <w:t>tak</w:t>
      </w:r>
      <w:r w:rsidR="000332E9" w:rsidRPr="0071228C">
        <w:rPr>
          <w:noProof/>
        </w:rPr>
        <w:t>że istotnych przypadkowych zanieczyszczeń powodujących lub nasilających przypadkowe zanieczyszczenia transgraniczne, należy zobowiązać państwa członkowskie do zapewnienia natychmiastowego przekazywania informacji</w:t>
      </w:r>
      <w:r w:rsidR="00CC55C0" w:rsidRPr="0071228C">
        <w:rPr>
          <w:noProof/>
        </w:rPr>
        <w:t xml:space="preserve"> o</w:t>
      </w:r>
      <w:r w:rsidR="00CC55C0">
        <w:rPr>
          <w:noProof/>
        </w:rPr>
        <w:t> </w:t>
      </w:r>
      <w:r w:rsidR="00CC55C0" w:rsidRPr="0071228C">
        <w:rPr>
          <w:noProof/>
        </w:rPr>
        <w:t>tak</w:t>
      </w:r>
      <w:r w:rsidR="000332E9" w:rsidRPr="0071228C">
        <w:rPr>
          <w:noProof/>
        </w:rPr>
        <w:t>ich zdarzeniach innym potencjalnie dotkniętym państwom członkowskim oraz do skutecznej współpracy</w:t>
      </w:r>
      <w:r w:rsidR="00CC55C0" w:rsidRPr="0071228C">
        <w:rPr>
          <w:noProof/>
        </w:rPr>
        <w:t xml:space="preserve"> z</w:t>
      </w:r>
      <w:r w:rsidR="00CC55C0">
        <w:rPr>
          <w:noProof/>
        </w:rPr>
        <w:t> </w:t>
      </w:r>
      <w:r w:rsidR="00CC55C0" w:rsidRPr="0071228C">
        <w:rPr>
          <w:noProof/>
        </w:rPr>
        <w:t>pot</w:t>
      </w:r>
      <w:r w:rsidR="000332E9" w:rsidRPr="0071228C">
        <w:rPr>
          <w:noProof/>
        </w:rPr>
        <w:t>encjalnie dotkniętymi państwami członkowskimi</w:t>
      </w:r>
      <w:r w:rsidR="00CC55C0" w:rsidRPr="0071228C">
        <w:rPr>
          <w:noProof/>
        </w:rPr>
        <w:t xml:space="preserve"> w</w:t>
      </w:r>
      <w:r w:rsidR="00CC55C0">
        <w:rPr>
          <w:noProof/>
        </w:rPr>
        <w:t> </w:t>
      </w:r>
      <w:r w:rsidR="00CC55C0" w:rsidRPr="0071228C">
        <w:rPr>
          <w:noProof/>
        </w:rPr>
        <w:t>cel</w:t>
      </w:r>
      <w:r w:rsidR="000332E9" w:rsidRPr="0071228C">
        <w:rPr>
          <w:noProof/>
        </w:rPr>
        <w:t>u złagodzenia skutków zdarzenia lub incydentu. Należy również zacieśnić współpracę między państwami członkowskimi</w:t>
      </w:r>
      <w:r w:rsidR="00CC55C0" w:rsidRPr="0071228C">
        <w:rPr>
          <w:noProof/>
        </w:rPr>
        <w:t xml:space="preserve"> i</w:t>
      </w:r>
      <w:r w:rsidR="00CC55C0">
        <w:rPr>
          <w:noProof/>
        </w:rPr>
        <w:t> </w:t>
      </w:r>
      <w:r w:rsidR="00CC55C0" w:rsidRPr="0071228C">
        <w:rPr>
          <w:noProof/>
        </w:rPr>
        <w:t>usp</w:t>
      </w:r>
      <w:r w:rsidR="000332E9" w:rsidRPr="0071228C">
        <w:rPr>
          <w:noProof/>
        </w:rPr>
        <w:t>rawnić procedury współpracy transgranicznej</w:t>
      </w:r>
      <w:r w:rsidR="00CC55C0" w:rsidRPr="0071228C">
        <w:rPr>
          <w:noProof/>
        </w:rPr>
        <w:t xml:space="preserve"> w</w:t>
      </w:r>
      <w:r w:rsidR="00CC55C0">
        <w:rPr>
          <w:noProof/>
        </w:rPr>
        <w:t> </w:t>
      </w:r>
      <w:r w:rsidR="00CC55C0" w:rsidRPr="0071228C">
        <w:rPr>
          <w:noProof/>
        </w:rPr>
        <w:t>prz</w:t>
      </w:r>
      <w:r w:rsidR="000332E9" w:rsidRPr="0071228C">
        <w:rPr>
          <w:noProof/>
        </w:rPr>
        <w:t>ypadku bardziej strukturalnych, tj. nieprzypadkowych</w:t>
      </w:r>
      <w:r w:rsidR="00CC55C0" w:rsidRPr="0071228C">
        <w:rPr>
          <w:noProof/>
        </w:rPr>
        <w:t xml:space="preserve"> i</w:t>
      </w:r>
      <w:r w:rsidR="00CC55C0">
        <w:rPr>
          <w:noProof/>
        </w:rPr>
        <w:t> </w:t>
      </w:r>
      <w:r w:rsidR="00CC55C0" w:rsidRPr="0071228C">
        <w:rPr>
          <w:noProof/>
        </w:rPr>
        <w:t>dłu</w:t>
      </w:r>
      <w:r w:rsidR="000332E9" w:rsidRPr="0071228C">
        <w:rPr>
          <w:noProof/>
        </w:rPr>
        <w:t>goterminowych problemów transgranicznych, których nie można rozwiązać na poziomie państwa członkowskiego, zgodnie</w:t>
      </w:r>
      <w:r w:rsidR="00CC55C0" w:rsidRPr="0071228C">
        <w:rPr>
          <w:noProof/>
        </w:rPr>
        <w:t xml:space="preserve"> z</w:t>
      </w:r>
      <w:r w:rsidR="00CC55C0">
        <w:rPr>
          <w:noProof/>
        </w:rPr>
        <w:t> </w:t>
      </w:r>
      <w:r w:rsidR="00CC55C0" w:rsidRPr="00CC55C0">
        <w:rPr>
          <w:noProof/>
        </w:rPr>
        <w:t>art</w:t>
      </w:r>
      <w:r w:rsidR="000332E9" w:rsidRPr="00CC55C0">
        <w:rPr>
          <w:noProof/>
        </w:rPr>
        <w:t>.</w:t>
      </w:r>
      <w:r w:rsidR="00CC55C0" w:rsidRPr="00CC55C0">
        <w:rPr>
          <w:noProof/>
        </w:rPr>
        <w:t> </w:t>
      </w:r>
      <w:r w:rsidR="000332E9" w:rsidRPr="00CC55C0">
        <w:rPr>
          <w:noProof/>
        </w:rPr>
        <w:t>1</w:t>
      </w:r>
      <w:r w:rsidR="000332E9" w:rsidRPr="0071228C">
        <w:rPr>
          <w:noProof/>
        </w:rPr>
        <w:t>2 dyrektywy 2000/60/WE</w:t>
      </w:r>
      <w:r w:rsidR="00CC55C0" w:rsidRPr="0071228C">
        <w:rPr>
          <w:noProof/>
        </w:rPr>
        <w:t>. W</w:t>
      </w:r>
      <w:r w:rsidR="00CC55C0">
        <w:rPr>
          <w:noProof/>
        </w:rPr>
        <w:t> </w:t>
      </w:r>
      <w:r w:rsidR="00CC55C0" w:rsidRPr="0071228C">
        <w:rPr>
          <w:noProof/>
        </w:rPr>
        <w:t>prz</w:t>
      </w:r>
      <w:r w:rsidR="000332E9" w:rsidRPr="0071228C">
        <w:rPr>
          <w:noProof/>
        </w:rPr>
        <w:t>ypadku gdy pomoc europejska jest konieczna, właściwe organy krajowe mogą przekazać wnioski</w:t>
      </w:r>
      <w:r w:rsidR="00CC55C0" w:rsidRPr="0071228C">
        <w:rPr>
          <w:noProof/>
        </w:rPr>
        <w:t xml:space="preserve"> o</w:t>
      </w:r>
      <w:r w:rsidR="00CC55C0">
        <w:rPr>
          <w:noProof/>
        </w:rPr>
        <w:t> </w:t>
      </w:r>
      <w:r w:rsidR="00CC55C0" w:rsidRPr="0071228C">
        <w:rPr>
          <w:noProof/>
        </w:rPr>
        <w:t>udz</w:t>
      </w:r>
      <w:r w:rsidR="000332E9" w:rsidRPr="0071228C">
        <w:rPr>
          <w:noProof/>
        </w:rPr>
        <w:t>ielenie pomocy do Centrum Koordynacji Reagowania Kryzysowego Komisji, które będzie koordynować ewentualne oferty pomocy</w:t>
      </w:r>
      <w:r w:rsidR="00CC55C0" w:rsidRPr="0071228C">
        <w:rPr>
          <w:noProof/>
        </w:rPr>
        <w:t xml:space="preserve"> i</w:t>
      </w:r>
      <w:r w:rsidR="00CC55C0">
        <w:rPr>
          <w:noProof/>
        </w:rPr>
        <w:t> </w:t>
      </w:r>
      <w:r w:rsidR="00CC55C0" w:rsidRPr="0071228C">
        <w:rPr>
          <w:noProof/>
        </w:rPr>
        <w:t>ich</w:t>
      </w:r>
      <w:r w:rsidR="000332E9" w:rsidRPr="0071228C">
        <w:rPr>
          <w:noProof/>
        </w:rPr>
        <w:t xml:space="preserve"> rozmieszczenie za pośrednictwem Unijnego Mechanizmu Ochrony Ludności na podstawie </w:t>
      </w:r>
      <w:r w:rsidR="000332E9" w:rsidRPr="00CC55C0">
        <w:rPr>
          <w:noProof/>
        </w:rPr>
        <w:t>art.</w:t>
      </w:r>
      <w:r w:rsidR="00CC55C0" w:rsidRPr="00CC55C0">
        <w:rPr>
          <w:noProof/>
        </w:rPr>
        <w:t> </w:t>
      </w:r>
      <w:r w:rsidR="000332E9" w:rsidRPr="00CC55C0">
        <w:rPr>
          <w:noProof/>
        </w:rPr>
        <w:t>1</w:t>
      </w:r>
      <w:r w:rsidR="000332E9" w:rsidRPr="0071228C">
        <w:rPr>
          <w:noProof/>
        </w:rPr>
        <w:t>5 decyzji Parlamentu Europejskiego</w:t>
      </w:r>
      <w:r w:rsidR="00CC55C0" w:rsidRPr="0071228C">
        <w:rPr>
          <w:noProof/>
        </w:rPr>
        <w:t xml:space="preserve"> i</w:t>
      </w:r>
      <w:r w:rsidR="00CC55C0">
        <w:rPr>
          <w:noProof/>
        </w:rPr>
        <w:t> </w:t>
      </w:r>
      <w:r w:rsidR="00CC55C0" w:rsidRPr="0071228C">
        <w:rPr>
          <w:noProof/>
        </w:rPr>
        <w:t>Rad</w:t>
      </w:r>
      <w:r w:rsidR="000332E9" w:rsidRPr="0071228C">
        <w:rPr>
          <w:noProof/>
        </w:rPr>
        <w:t xml:space="preserve">y </w:t>
      </w:r>
      <w:r w:rsidR="000332E9" w:rsidRPr="00CC55C0">
        <w:rPr>
          <w:noProof/>
        </w:rPr>
        <w:t>nr</w:t>
      </w:r>
      <w:r w:rsidR="00CC55C0" w:rsidRPr="00CC55C0">
        <w:rPr>
          <w:noProof/>
        </w:rPr>
        <w:t> </w:t>
      </w:r>
      <w:r w:rsidR="000332E9" w:rsidRPr="00CC55C0">
        <w:rPr>
          <w:noProof/>
        </w:rPr>
        <w:t>1</w:t>
      </w:r>
      <w:r w:rsidR="000332E9" w:rsidRPr="0071228C">
        <w:rPr>
          <w:noProof/>
        </w:rPr>
        <w:t>313/2013</w:t>
      </w:r>
      <w:r w:rsidR="000332E9" w:rsidRPr="0071228C">
        <w:rPr>
          <w:rStyle w:val="FootnoteReference"/>
          <w:noProof/>
        </w:rPr>
        <w:footnoteReference w:id="65"/>
      </w:r>
      <w:r w:rsidR="000332E9" w:rsidRPr="0071228C">
        <w:rPr>
          <w:noProof/>
        </w:rPr>
        <w:t xml:space="preserve">. </w:t>
      </w:r>
    </w:p>
    <w:p w14:paraId="54C8D8CA" w14:textId="6FCE3716" w:rsidR="00D5680F" w:rsidRPr="0071228C" w:rsidRDefault="00B000C3" w:rsidP="00B000C3">
      <w:pPr>
        <w:pStyle w:val="ManualConsidrant"/>
        <w:rPr>
          <w:noProof/>
        </w:rPr>
      </w:pPr>
      <w:r w:rsidRPr="00B000C3">
        <w:t>(33)</w:t>
      </w:r>
      <w:r w:rsidRPr="00B000C3">
        <w:tab/>
      </w:r>
      <w:r w:rsidR="00D5680F" w:rsidRPr="0071228C">
        <w:rPr>
          <w:noProof/>
        </w:rPr>
        <w:t>Należy zatem odpowiednio zmienić dyrektywy 2000/60/UE, 2006/118/WE</w:t>
      </w:r>
      <w:r w:rsidR="00CC55C0" w:rsidRPr="0071228C">
        <w:rPr>
          <w:noProof/>
        </w:rPr>
        <w:t xml:space="preserve"> i</w:t>
      </w:r>
      <w:r w:rsidR="00CC55C0">
        <w:rPr>
          <w:noProof/>
        </w:rPr>
        <w:t> </w:t>
      </w:r>
      <w:r w:rsidR="00CC55C0" w:rsidRPr="0071228C">
        <w:rPr>
          <w:noProof/>
        </w:rPr>
        <w:t>2</w:t>
      </w:r>
      <w:r w:rsidR="00D5680F" w:rsidRPr="0071228C">
        <w:rPr>
          <w:noProof/>
        </w:rPr>
        <w:t>008/105/WE.</w:t>
      </w:r>
    </w:p>
    <w:p w14:paraId="3831A95B" w14:textId="5D0DA70B" w:rsidR="0047629D" w:rsidRPr="0071228C" w:rsidRDefault="00B000C3" w:rsidP="00B000C3">
      <w:pPr>
        <w:pStyle w:val="ManualConsidrant"/>
        <w:rPr>
          <w:noProof/>
        </w:rPr>
      </w:pPr>
      <w:r w:rsidRPr="00B000C3">
        <w:t>(34)</w:t>
      </w:r>
      <w:r w:rsidRPr="00B000C3">
        <w:tab/>
      </w:r>
      <w:r w:rsidR="00D5680F" w:rsidRPr="0071228C">
        <w:rPr>
          <w:noProof/>
        </w:rPr>
        <w:t>Ponieważ cele niniejszej dyrektywy,</w:t>
      </w:r>
      <w:r w:rsidR="00CC55C0" w:rsidRPr="0071228C">
        <w:rPr>
          <w:noProof/>
        </w:rPr>
        <w:t xml:space="preserve"> a</w:t>
      </w:r>
      <w:r w:rsidR="00CC55C0">
        <w:rPr>
          <w:noProof/>
        </w:rPr>
        <w:t> </w:t>
      </w:r>
      <w:r w:rsidR="00CC55C0" w:rsidRPr="0071228C">
        <w:rPr>
          <w:noProof/>
        </w:rPr>
        <w:t>mia</w:t>
      </w:r>
      <w:r w:rsidR="00D5680F" w:rsidRPr="0071228C">
        <w:rPr>
          <w:noProof/>
        </w:rPr>
        <w:t>nowicie zapewnienie wysokiego poziomu ochrony środowiska</w:t>
      </w:r>
      <w:r w:rsidR="00CC55C0" w:rsidRPr="0071228C">
        <w:rPr>
          <w:noProof/>
        </w:rPr>
        <w:t xml:space="preserve"> i</w:t>
      </w:r>
      <w:r w:rsidR="00CC55C0">
        <w:rPr>
          <w:noProof/>
        </w:rPr>
        <w:t> </w:t>
      </w:r>
      <w:r w:rsidR="00CC55C0" w:rsidRPr="0071228C">
        <w:rPr>
          <w:noProof/>
        </w:rPr>
        <w:t>pop</w:t>
      </w:r>
      <w:r w:rsidR="00D5680F" w:rsidRPr="0071228C">
        <w:rPr>
          <w:noProof/>
        </w:rPr>
        <w:t>rawy środowiskowej jakości europejskich słodkich wód, nie mogą być osiągnięte</w:t>
      </w:r>
      <w:r w:rsidR="00CC55C0" w:rsidRPr="0071228C">
        <w:rPr>
          <w:noProof/>
        </w:rPr>
        <w:t xml:space="preserve"> w</w:t>
      </w:r>
      <w:r w:rsidR="00CC55C0">
        <w:rPr>
          <w:noProof/>
        </w:rPr>
        <w:t> </w:t>
      </w:r>
      <w:r w:rsidR="00CC55C0" w:rsidRPr="0071228C">
        <w:rPr>
          <w:noProof/>
        </w:rPr>
        <w:t>spo</w:t>
      </w:r>
      <w:r w:rsidR="00D5680F" w:rsidRPr="0071228C">
        <w:rPr>
          <w:noProof/>
        </w:rPr>
        <w:t>sób wystarczający przez państwa członkowskie, natomiast</w:t>
      </w:r>
      <w:r w:rsidR="00CC55C0" w:rsidRPr="0071228C">
        <w:rPr>
          <w:noProof/>
        </w:rPr>
        <w:t xml:space="preserve"> z</w:t>
      </w:r>
      <w:r w:rsidR="00CC55C0">
        <w:rPr>
          <w:noProof/>
        </w:rPr>
        <w:t> </w:t>
      </w:r>
      <w:r w:rsidR="00CC55C0" w:rsidRPr="0071228C">
        <w:rPr>
          <w:noProof/>
        </w:rPr>
        <w:t>uwa</w:t>
      </w:r>
      <w:r w:rsidR="00D5680F" w:rsidRPr="0071228C">
        <w:rPr>
          <w:noProof/>
        </w:rPr>
        <w:t>gi na transgraniczny charakter zanieczyszczenia wód możliwe jest lepsze ich osiągnięcie na poziomie Unii, Unia może podjąć działania zgodnie</w:t>
      </w:r>
      <w:r w:rsidR="00CC55C0" w:rsidRPr="0071228C">
        <w:rPr>
          <w:noProof/>
        </w:rPr>
        <w:t xml:space="preserve"> z</w:t>
      </w:r>
      <w:r w:rsidR="00CC55C0">
        <w:rPr>
          <w:noProof/>
        </w:rPr>
        <w:t> </w:t>
      </w:r>
      <w:r w:rsidR="00CC55C0" w:rsidRPr="0071228C">
        <w:rPr>
          <w:noProof/>
        </w:rPr>
        <w:t>zas</w:t>
      </w:r>
      <w:r w:rsidR="00D5680F" w:rsidRPr="0071228C">
        <w:rPr>
          <w:noProof/>
        </w:rPr>
        <w:t>adą pomocniczości określoną</w:t>
      </w:r>
      <w:r w:rsidR="00CC55C0" w:rsidRPr="0071228C">
        <w:rPr>
          <w:noProof/>
        </w:rPr>
        <w:t xml:space="preserve"> w</w:t>
      </w:r>
      <w:r w:rsidR="00CC55C0">
        <w:rPr>
          <w:noProof/>
        </w:rPr>
        <w:t> </w:t>
      </w:r>
      <w:r w:rsidR="00CC55C0" w:rsidRPr="00CC55C0">
        <w:rPr>
          <w:noProof/>
        </w:rPr>
        <w:t>art</w:t>
      </w:r>
      <w:r w:rsidR="00D5680F" w:rsidRPr="00CC55C0">
        <w:rPr>
          <w:noProof/>
        </w:rPr>
        <w:t>.</w:t>
      </w:r>
      <w:r w:rsidR="00CC55C0" w:rsidRPr="00CC55C0">
        <w:rPr>
          <w:noProof/>
        </w:rPr>
        <w:t> </w:t>
      </w:r>
      <w:r w:rsidR="00D5680F" w:rsidRPr="00CC55C0">
        <w:rPr>
          <w:noProof/>
        </w:rPr>
        <w:t>5</w:t>
      </w:r>
      <w:r w:rsidR="00D5680F" w:rsidRPr="0071228C">
        <w:rPr>
          <w:noProof/>
        </w:rPr>
        <w:t xml:space="preserve"> Traktatu</w:t>
      </w:r>
      <w:r w:rsidR="00CC55C0" w:rsidRPr="0071228C">
        <w:rPr>
          <w:noProof/>
        </w:rPr>
        <w:t xml:space="preserve"> o</w:t>
      </w:r>
      <w:r w:rsidR="00CC55C0">
        <w:rPr>
          <w:noProof/>
        </w:rPr>
        <w:t> </w:t>
      </w:r>
      <w:r w:rsidR="00CC55C0" w:rsidRPr="0071228C">
        <w:rPr>
          <w:noProof/>
        </w:rPr>
        <w:t>Uni</w:t>
      </w:r>
      <w:r w:rsidR="00D5680F" w:rsidRPr="0071228C">
        <w:rPr>
          <w:noProof/>
        </w:rPr>
        <w:t>i Europejskiej. Zgodnie</w:t>
      </w:r>
      <w:r w:rsidR="00CC55C0" w:rsidRPr="0071228C">
        <w:rPr>
          <w:noProof/>
        </w:rPr>
        <w:t xml:space="preserve"> z</w:t>
      </w:r>
      <w:r w:rsidR="00CC55C0">
        <w:rPr>
          <w:noProof/>
        </w:rPr>
        <w:t> </w:t>
      </w:r>
      <w:r w:rsidR="00CC55C0" w:rsidRPr="0071228C">
        <w:rPr>
          <w:noProof/>
        </w:rPr>
        <w:t>zas</w:t>
      </w:r>
      <w:r w:rsidR="00D5680F" w:rsidRPr="0071228C">
        <w:rPr>
          <w:noProof/>
        </w:rPr>
        <w:t>adą proporcjonalności określoną</w:t>
      </w:r>
      <w:r w:rsidR="00CC55C0" w:rsidRPr="0071228C">
        <w:rPr>
          <w:noProof/>
        </w:rPr>
        <w:t xml:space="preserve"> w</w:t>
      </w:r>
      <w:r w:rsidR="00CC55C0">
        <w:rPr>
          <w:noProof/>
        </w:rPr>
        <w:t> </w:t>
      </w:r>
      <w:r w:rsidR="00CC55C0" w:rsidRPr="0071228C">
        <w:rPr>
          <w:noProof/>
        </w:rPr>
        <w:t>tym</w:t>
      </w:r>
      <w:r w:rsidR="00D5680F" w:rsidRPr="0071228C">
        <w:rPr>
          <w:noProof/>
        </w:rPr>
        <w:t xml:space="preserve"> artykule, niniejsza dyrektywa nie wykracza poza to, co jest konieczne do osiągnięcia tych celów. </w:t>
      </w:r>
    </w:p>
    <w:p w14:paraId="643AD815" w14:textId="77777777" w:rsidR="002627D3" w:rsidRPr="0071228C" w:rsidRDefault="002627D3" w:rsidP="00403AE9">
      <w:pPr>
        <w:rPr>
          <w:noProof/>
        </w:rPr>
      </w:pPr>
    </w:p>
    <w:p w14:paraId="4080772B" w14:textId="77777777" w:rsidR="0047629D" w:rsidRPr="0071228C" w:rsidRDefault="0047629D" w:rsidP="00731038">
      <w:pPr>
        <w:pStyle w:val="Formuledadoption"/>
        <w:rPr>
          <w:noProof/>
        </w:rPr>
      </w:pPr>
      <w:r w:rsidRPr="0071228C">
        <w:rPr>
          <w:noProof/>
        </w:rPr>
        <w:t>PRZYJMUJĄ NINIEJSZĄ DYREKTYWĘ:</w:t>
      </w:r>
    </w:p>
    <w:p w14:paraId="1B6888C9" w14:textId="77777777" w:rsidR="00064ADB" w:rsidRPr="0071228C" w:rsidRDefault="00064ADB" w:rsidP="00064ADB">
      <w:pPr>
        <w:pStyle w:val="Titrearticle"/>
        <w:rPr>
          <w:noProof/>
        </w:rPr>
      </w:pPr>
      <w:r w:rsidRPr="0071228C">
        <w:rPr>
          <w:noProof/>
        </w:rPr>
        <w:t>Artykuł 1</w:t>
      </w:r>
    </w:p>
    <w:p w14:paraId="14544A88" w14:textId="3B63ED2F" w:rsidR="00064ADB" w:rsidRPr="0071228C" w:rsidRDefault="00064ADB" w:rsidP="00064ADB">
      <w:pPr>
        <w:jc w:val="center"/>
        <w:rPr>
          <w:i/>
          <w:noProof/>
        </w:rPr>
      </w:pPr>
      <w:r w:rsidRPr="0071228C">
        <w:rPr>
          <w:i/>
          <w:noProof/>
        </w:rPr>
        <w:t>Zmiany</w:t>
      </w:r>
      <w:r w:rsidR="00CC55C0" w:rsidRPr="0071228C">
        <w:rPr>
          <w:i/>
          <w:noProof/>
        </w:rPr>
        <w:t xml:space="preserve"> w</w:t>
      </w:r>
      <w:r w:rsidR="00CC55C0">
        <w:rPr>
          <w:i/>
          <w:noProof/>
        </w:rPr>
        <w:t> </w:t>
      </w:r>
      <w:r w:rsidR="00CC55C0" w:rsidRPr="0071228C">
        <w:rPr>
          <w:i/>
          <w:noProof/>
        </w:rPr>
        <w:t>dyr</w:t>
      </w:r>
      <w:r w:rsidRPr="0071228C">
        <w:rPr>
          <w:i/>
          <w:noProof/>
        </w:rPr>
        <w:t>ektywie 2000/60/WE</w:t>
      </w:r>
    </w:p>
    <w:p w14:paraId="00BC1023" w14:textId="77777777" w:rsidR="00064ADB" w:rsidRPr="0071228C" w:rsidRDefault="00064ADB" w:rsidP="00064ADB">
      <w:pPr>
        <w:rPr>
          <w:noProof/>
        </w:rPr>
      </w:pPr>
      <w:r w:rsidRPr="0071228C">
        <w:rPr>
          <w:noProof/>
        </w:rPr>
        <w:t>W dyrektywie 2000/60/WE wprowadza się następujące zmiany:</w:t>
      </w:r>
    </w:p>
    <w:p w14:paraId="49C3C231" w14:textId="64595C84" w:rsidR="00064ADB" w:rsidRPr="0071228C" w:rsidRDefault="00CC55C0" w:rsidP="00CC55C0">
      <w:pPr>
        <w:pStyle w:val="Point0"/>
        <w:rPr>
          <w:noProof/>
        </w:rPr>
      </w:pPr>
      <w:r>
        <w:rPr>
          <w:noProof/>
        </w:rPr>
        <w:t>1)</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1</w:t>
      </w:r>
      <w:r w:rsidR="00064ADB" w:rsidRPr="0071228C">
        <w:rPr>
          <w:noProof/>
        </w:rPr>
        <w:t xml:space="preserve"> tiret czwarte otrzymuje brzmienie: </w:t>
      </w:r>
    </w:p>
    <w:p w14:paraId="75FDA379" w14:textId="2C342940" w:rsidR="00064ADB" w:rsidRPr="00CC55C0" w:rsidRDefault="00064ADB" w:rsidP="00064ADB">
      <w:pPr>
        <w:pStyle w:val="Text1"/>
        <w:rPr>
          <w:i/>
          <w:noProof/>
        </w:rPr>
      </w:pPr>
      <w:r w:rsidRPr="0071228C">
        <w:rPr>
          <w:noProof/>
        </w:rPr>
        <w:t>„— osiągnięcia celów odpowiednich umów międzynarodowych,</w:t>
      </w:r>
      <w:r w:rsidR="00CC55C0" w:rsidRPr="0071228C">
        <w:rPr>
          <w:noProof/>
        </w:rPr>
        <w:t xml:space="preserve"> w</w:t>
      </w:r>
      <w:r w:rsidR="00CC55C0">
        <w:rPr>
          <w:noProof/>
        </w:rPr>
        <w:t> </w:t>
      </w:r>
      <w:r w:rsidR="00CC55C0" w:rsidRPr="0071228C">
        <w:rPr>
          <w:noProof/>
        </w:rPr>
        <w:t>tym</w:t>
      </w:r>
      <w:r w:rsidRPr="0071228C">
        <w:rPr>
          <w:noProof/>
        </w:rPr>
        <w:t xml:space="preserve"> mających za zadanie ochronę</w:t>
      </w:r>
      <w:r w:rsidR="00CC55C0" w:rsidRPr="0071228C">
        <w:rPr>
          <w:noProof/>
        </w:rPr>
        <w:t xml:space="preserve"> i</w:t>
      </w:r>
      <w:r w:rsidR="00CC55C0">
        <w:rPr>
          <w:noProof/>
        </w:rPr>
        <w:t> </w:t>
      </w:r>
      <w:r w:rsidR="00CC55C0" w:rsidRPr="0071228C">
        <w:rPr>
          <w:noProof/>
        </w:rPr>
        <w:t>zap</w:t>
      </w:r>
      <w:r w:rsidRPr="0071228C">
        <w:rPr>
          <w:noProof/>
        </w:rPr>
        <w:t>obieganie zanieczyszczaniu środowiska morskiego, poprzez działanie Unii, celem zaprzestania lub stopniowego wyeliminowania zrzutów, emisji</w:t>
      </w:r>
      <w:r w:rsidR="00CC55C0" w:rsidRPr="0071228C">
        <w:rPr>
          <w:noProof/>
        </w:rPr>
        <w:t xml:space="preserve"> i</w:t>
      </w:r>
      <w:r w:rsidR="00CC55C0">
        <w:rPr>
          <w:noProof/>
        </w:rPr>
        <w:t> </w:t>
      </w:r>
      <w:r w:rsidR="00CC55C0" w:rsidRPr="0071228C">
        <w:rPr>
          <w:noProof/>
        </w:rPr>
        <w:t>str</w:t>
      </w:r>
      <w:r w:rsidRPr="0071228C">
        <w:rPr>
          <w:noProof/>
        </w:rPr>
        <w:t>at priorytetowych substancji niebezpiecznych,</w:t>
      </w:r>
      <w:r w:rsidR="00CC55C0" w:rsidRPr="0071228C">
        <w:rPr>
          <w:noProof/>
        </w:rPr>
        <w:t xml:space="preserve"> z</w:t>
      </w:r>
      <w:r w:rsidR="00CC55C0">
        <w:rPr>
          <w:noProof/>
        </w:rPr>
        <w:t> </w:t>
      </w:r>
      <w:r w:rsidR="00CC55C0" w:rsidRPr="0071228C">
        <w:rPr>
          <w:noProof/>
        </w:rPr>
        <w:t>ost</w:t>
      </w:r>
      <w:r w:rsidRPr="0071228C">
        <w:rPr>
          <w:noProof/>
        </w:rPr>
        <w:t>atecznym celem osiągnięcia</w:t>
      </w:r>
      <w:r w:rsidR="00CC55C0" w:rsidRPr="0071228C">
        <w:rPr>
          <w:noProof/>
        </w:rPr>
        <w:t xml:space="preserve"> w</w:t>
      </w:r>
      <w:r w:rsidR="00CC55C0">
        <w:rPr>
          <w:noProof/>
        </w:rPr>
        <w:t> </w:t>
      </w:r>
      <w:r w:rsidR="00CC55C0" w:rsidRPr="0071228C">
        <w:rPr>
          <w:noProof/>
        </w:rPr>
        <w:t>śro</w:t>
      </w:r>
      <w:r w:rsidRPr="0071228C">
        <w:rPr>
          <w:noProof/>
        </w:rPr>
        <w:t>dowisku morskim stężeń bliskich wartościom tła dla substancji występujących naturalnie</w:t>
      </w:r>
      <w:r w:rsidR="00CC55C0" w:rsidRPr="0071228C">
        <w:rPr>
          <w:noProof/>
        </w:rPr>
        <w:t xml:space="preserve"> i</w:t>
      </w:r>
      <w:r w:rsidR="00CC55C0">
        <w:rPr>
          <w:noProof/>
        </w:rPr>
        <w:t> </w:t>
      </w:r>
      <w:r w:rsidR="00CC55C0" w:rsidRPr="0071228C">
        <w:rPr>
          <w:noProof/>
        </w:rPr>
        <w:t>bli</w:t>
      </w:r>
      <w:r w:rsidRPr="0071228C">
        <w:rPr>
          <w:noProof/>
        </w:rPr>
        <w:t>skich zeru dla syntetycznych substancji wytworzonych przez człowieka.”</w:t>
      </w:r>
      <w:r w:rsidRPr="00CC55C0">
        <w:rPr>
          <w:noProof/>
        </w:rPr>
        <w:t>;</w:t>
      </w:r>
      <w:r w:rsidR="00CC55C0" w:rsidRPr="00CC55C0">
        <w:rPr>
          <w:noProof/>
        </w:rPr>
        <w:t xml:space="preserve"> </w:t>
      </w:r>
    </w:p>
    <w:p w14:paraId="1E753DD0" w14:textId="65BD798F" w:rsidR="00064ADB" w:rsidRPr="0071228C" w:rsidRDefault="00CC55C0" w:rsidP="00CC55C0">
      <w:pPr>
        <w:pStyle w:val="Point0"/>
        <w:rPr>
          <w:noProof/>
        </w:rPr>
      </w:pPr>
      <w:r>
        <w:rPr>
          <w:noProof/>
        </w:rPr>
        <w:t>2)</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2</w:t>
      </w:r>
      <w:r w:rsidR="00064ADB" w:rsidRPr="0071228C">
        <w:rPr>
          <w:noProof/>
        </w:rPr>
        <w:t xml:space="preserve"> wprowadza się następujące zmiany:</w:t>
      </w:r>
    </w:p>
    <w:p w14:paraId="12D11AEC" w14:textId="657BCDF9" w:rsidR="00064ADB" w:rsidRPr="0071228C" w:rsidRDefault="00CC55C0" w:rsidP="00CC55C0">
      <w:pPr>
        <w:pStyle w:val="Point1"/>
        <w:rPr>
          <w:noProof/>
        </w:rPr>
      </w:pPr>
      <w:r>
        <w:rPr>
          <w:noProof/>
        </w:rPr>
        <w:t>a)</w:t>
      </w:r>
      <w:r>
        <w:rPr>
          <w:noProof/>
        </w:rPr>
        <w:tab/>
      </w:r>
      <w:r w:rsidR="00064ADB" w:rsidRPr="00CC55C0">
        <w:rPr>
          <w:noProof/>
        </w:rPr>
        <w:t>pkt</w:t>
      </w:r>
      <w:r w:rsidRPr="00CC55C0">
        <w:rPr>
          <w:noProof/>
        </w:rPr>
        <w:t> </w:t>
      </w:r>
      <w:r w:rsidR="00064ADB" w:rsidRPr="00CC55C0">
        <w:rPr>
          <w:noProof/>
        </w:rPr>
        <w:t>2</w:t>
      </w:r>
      <w:r w:rsidR="00064ADB" w:rsidRPr="0071228C">
        <w:rPr>
          <w:noProof/>
        </w:rPr>
        <w:t>4 otrzymuje brzmienie:</w:t>
      </w:r>
    </w:p>
    <w:p w14:paraId="7B0298B6" w14:textId="2F822806" w:rsidR="00064ADB" w:rsidRPr="0071228C" w:rsidRDefault="00064ADB" w:rsidP="00064ADB">
      <w:pPr>
        <w:pStyle w:val="Text1"/>
        <w:ind w:left="1418"/>
        <w:rPr>
          <w:noProof/>
        </w:rPr>
      </w:pPr>
      <w:r w:rsidRPr="0071228C">
        <w:rPr>
          <w:noProof/>
        </w:rPr>
        <w:t>„(24) »Dobry stan chemiczny wód powierzchniowych« oznacza stan chemiczny wymagany do spełnienia celów środowiskowych dla wód powierzchniowych określonych</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a)</w:t>
      </w:r>
      <w:r w:rsidRPr="0071228C">
        <w:rPr>
          <w:noProof/>
        </w:rPr>
        <w:t xml:space="preserve"> niniejszej dyrektywy, to jest stan chemiczny osiągnięty przez jednolite część wód powierzchniowych,</w:t>
      </w:r>
      <w:r w:rsidR="00CC55C0" w:rsidRPr="0071228C">
        <w:rPr>
          <w:noProof/>
        </w:rPr>
        <w:t xml:space="preserve"> w</w:t>
      </w:r>
      <w:r w:rsidR="00CC55C0">
        <w:rPr>
          <w:noProof/>
        </w:rPr>
        <w:t> </w:t>
      </w:r>
      <w:r w:rsidR="00CC55C0" w:rsidRPr="0071228C">
        <w:rPr>
          <w:noProof/>
        </w:rPr>
        <w:t>któ</w:t>
      </w:r>
      <w:r w:rsidRPr="0071228C">
        <w:rPr>
          <w:noProof/>
        </w:rPr>
        <w:t>rym stężenia zanieczyszczeń nie przekraczają środowiskowych norm jakości dla substancji priorytetowych wymienionych</w:t>
      </w:r>
      <w:r w:rsidR="00CC55C0" w:rsidRPr="0071228C">
        <w:rPr>
          <w:noProof/>
        </w:rPr>
        <w:t xml:space="preserve"> w</w:t>
      </w:r>
      <w:r w:rsidR="00CC55C0">
        <w:rPr>
          <w:noProof/>
        </w:rPr>
        <w:t> </w:t>
      </w:r>
      <w:r w:rsidR="00CC55C0" w:rsidRPr="0071228C">
        <w:rPr>
          <w:noProof/>
        </w:rPr>
        <w:t>czę</w:t>
      </w:r>
      <w:r w:rsidRPr="0071228C">
        <w:rPr>
          <w:noProof/>
        </w:rPr>
        <w:t>ści A załącznika I do dyrektywy 2008/105/WE Parlamentu Europejskiego</w:t>
      </w:r>
      <w:r w:rsidR="00CC55C0" w:rsidRPr="0071228C">
        <w:rPr>
          <w:noProof/>
        </w:rPr>
        <w:t xml:space="preserve"> i</w:t>
      </w:r>
      <w:r w:rsidR="00CC55C0">
        <w:rPr>
          <w:noProof/>
        </w:rPr>
        <w:t> </w:t>
      </w:r>
      <w:r w:rsidR="00CC55C0" w:rsidRPr="0071228C">
        <w:rPr>
          <w:noProof/>
        </w:rPr>
        <w:t>Rad</w:t>
      </w:r>
      <w:r w:rsidRPr="0071228C">
        <w:rPr>
          <w:noProof/>
        </w:rPr>
        <w:t>y* oraz środowiskowych norm jakości dla substancji zanieczyszczających specyficznych dla dorzeczy ustalonych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2</w:t>
      </w:r>
      <w:r w:rsidRPr="0071228C">
        <w:rPr>
          <w:noProof/>
        </w:rPr>
        <w:t xml:space="preserve"> </w:t>
      </w:r>
      <w:r w:rsidRPr="00CC55C0">
        <w:rPr>
          <w:noProof/>
        </w:rPr>
        <w:t>lit.</w:t>
      </w:r>
      <w:r w:rsidR="00CC55C0" w:rsidRPr="00CC55C0">
        <w:rPr>
          <w:noProof/>
        </w:rPr>
        <w:t> </w:t>
      </w:r>
      <w:r w:rsidRPr="00CC55C0">
        <w:rPr>
          <w:noProof/>
        </w:rPr>
        <w:t>c)</w:t>
      </w:r>
      <w:r w:rsidR="00CC55C0" w:rsidRPr="0071228C">
        <w:rPr>
          <w:noProof/>
        </w:rPr>
        <w:t xml:space="preserve"> i</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d </w:t>
      </w:r>
      <w:r w:rsidRPr="00CC55C0">
        <w:rPr>
          <w:noProof/>
        </w:rPr>
        <w:t>ust.</w:t>
      </w:r>
      <w:r w:rsidR="00CC55C0" w:rsidRPr="00CC55C0">
        <w:rPr>
          <w:noProof/>
        </w:rPr>
        <w:t> </w:t>
      </w:r>
      <w:r w:rsidRPr="00CC55C0">
        <w:rPr>
          <w:noProof/>
        </w:rPr>
        <w:t>1</w:t>
      </w:r>
      <w:r w:rsidRPr="0071228C">
        <w:rPr>
          <w:noProof/>
        </w:rPr>
        <w:t xml:space="preserve"> tej dyrektywy.”.</w:t>
      </w:r>
    </w:p>
    <w:p w14:paraId="2DA97B2D" w14:textId="04DE1CFB" w:rsidR="00064ADB" w:rsidRPr="0071228C" w:rsidRDefault="00CC55C0" w:rsidP="00CC55C0">
      <w:pPr>
        <w:pStyle w:val="Point1"/>
        <w:rPr>
          <w:noProof/>
        </w:rPr>
      </w:pPr>
      <w:r>
        <w:rPr>
          <w:noProof/>
        </w:rPr>
        <w:t>b)</w:t>
      </w:r>
      <w:r>
        <w:rPr>
          <w:noProof/>
        </w:rPr>
        <w:tab/>
      </w:r>
      <w:r w:rsidR="00064ADB" w:rsidRPr="00CC55C0">
        <w:rPr>
          <w:noProof/>
        </w:rPr>
        <w:t>pkt</w:t>
      </w:r>
      <w:r w:rsidRPr="00CC55C0">
        <w:rPr>
          <w:noProof/>
        </w:rPr>
        <w:t> </w:t>
      </w:r>
      <w:r w:rsidR="00064ADB" w:rsidRPr="00CC55C0">
        <w:rPr>
          <w:noProof/>
        </w:rPr>
        <w:t>3</w:t>
      </w:r>
      <w:r w:rsidR="00064ADB" w:rsidRPr="0071228C">
        <w:rPr>
          <w:noProof/>
        </w:rPr>
        <w:t>0 otrzymuje brzmienie:</w:t>
      </w:r>
    </w:p>
    <w:p w14:paraId="59E726F7" w14:textId="47968C26" w:rsidR="00064ADB" w:rsidRPr="00CC55C0" w:rsidRDefault="00064ADB" w:rsidP="00064ADB">
      <w:pPr>
        <w:pStyle w:val="Text2"/>
        <w:rPr>
          <w:noProof/>
        </w:rPr>
      </w:pPr>
      <w:r w:rsidRPr="0071228C">
        <w:rPr>
          <w:noProof/>
        </w:rPr>
        <w:t>„(30) »Substancje priorytetowe« oznaczają substancje wymienione</w:t>
      </w:r>
      <w:r w:rsidR="00CC55C0" w:rsidRPr="0071228C">
        <w:rPr>
          <w:noProof/>
        </w:rPr>
        <w:t xml:space="preserve"> w</w:t>
      </w:r>
      <w:r w:rsidR="00CC55C0">
        <w:rPr>
          <w:noProof/>
        </w:rPr>
        <w:t> </w:t>
      </w:r>
      <w:r w:rsidR="00CC55C0" w:rsidRPr="0071228C">
        <w:rPr>
          <w:noProof/>
        </w:rPr>
        <w:t>czę</w:t>
      </w:r>
      <w:r w:rsidRPr="0071228C">
        <w:rPr>
          <w:noProof/>
        </w:rPr>
        <w:t>ści A załącznika I do dyrektywy 2008/105/WE, to jest substancje, które stwarzają znaczne ryzyko dla lub za pośrednictwem środowiska wodnego</w:t>
      </w:r>
      <w:r w:rsidR="00CC55C0" w:rsidRPr="0071228C">
        <w:rPr>
          <w:noProof/>
        </w:rPr>
        <w:t xml:space="preserve"> w</w:t>
      </w:r>
      <w:r w:rsidR="00CC55C0">
        <w:rPr>
          <w:noProof/>
        </w:rPr>
        <w:t> </w:t>
      </w:r>
      <w:r w:rsidR="00CC55C0" w:rsidRPr="0071228C">
        <w:rPr>
          <w:noProof/>
        </w:rPr>
        <w:t>duż</w:t>
      </w:r>
      <w:r w:rsidRPr="0071228C">
        <w:rPr>
          <w:noProof/>
        </w:rPr>
        <w:t>ej liczbie państw członkowskich.”</w:t>
      </w:r>
      <w:r w:rsidRPr="00CC55C0">
        <w:rPr>
          <w:noProof/>
        </w:rPr>
        <w:t>.</w:t>
      </w:r>
      <w:r w:rsidR="00CC55C0" w:rsidRPr="00CC55C0">
        <w:rPr>
          <w:noProof/>
        </w:rPr>
        <w:t xml:space="preserve"> </w:t>
      </w:r>
    </w:p>
    <w:p w14:paraId="13CEC5B9" w14:textId="6C56BAE0" w:rsidR="00064ADB" w:rsidRPr="0071228C" w:rsidRDefault="00CC55C0" w:rsidP="00CC55C0">
      <w:pPr>
        <w:pStyle w:val="Point1"/>
        <w:rPr>
          <w:noProof/>
        </w:rPr>
      </w:pPr>
      <w:r>
        <w:rPr>
          <w:noProof/>
        </w:rPr>
        <w:t>c)</w:t>
      </w:r>
      <w:r>
        <w:rPr>
          <w:noProof/>
        </w:rPr>
        <w:tab/>
      </w:r>
      <w:r w:rsidR="00064ADB" w:rsidRPr="0071228C">
        <w:rPr>
          <w:noProof/>
        </w:rPr>
        <w:t xml:space="preserve">dodaje się </w:t>
      </w:r>
      <w:r w:rsidR="00064ADB" w:rsidRPr="00CC55C0">
        <w:rPr>
          <w:noProof/>
        </w:rPr>
        <w:t>pkt</w:t>
      </w:r>
      <w:r w:rsidRPr="00CC55C0">
        <w:rPr>
          <w:noProof/>
        </w:rPr>
        <w:t> </w:t>
      </w:r>
      <w:r w:rsidR="00064ADB" w:rsidRPr="00CC55C0">
        <w:rPr>
          <w:noProof/>
        </w:rPr>
        <w:t>3</w:t>
      </w:r>
      <w:r w:rsidR="00064ADB" w:rsidRPr="0071228C">
        <w:rPr>
          <w:noProof/>
        </w:rPr>
        <w:t>0a</w:t>
      </w:r>
      <w:r w:rsidRPr="0071228C">
        <w:rPr>
          <w:noProof/>
        </w:rPr>
        <w:t xml:space="preserve"> i</w:t>
      </w:r>
      <w:r>
        <w:rPr>
          <w:noProof/>
        </w:rPr>
        <w:t> </w:t>
      </w:r>
      <w:r w:rsidRPr="0071228C">
        <w:rPr>
          <w:noProof/>
        </w:rPr>
        <w:t>3</w:t>
      </w:r>
      <w:r w:rsidR="00064ADB" w:rsidRPr="0071228C">
        <w:rPr>
          <w:noProof/>
        </w:rPr>
        <w:t>0b</w:t>
      </w:r>
      <w:r w:rsidRPr="0071228C">
        <w:rPr>
          <w:noProof/>
        </w:rPr>
        <w:t xml:space="preserve"> w</w:t>
      </w:r>
      <w:r>
        <w:rPr>
          <w:noProof/>
        </w:rPr>
        <w:t> </w:t>
      </w:r>
      <w:r w:rsidRPr="0071228C">
        <w:rPr>
          <w:noProof/>
        </w:rPr>
        <w:t>brz</w:t>
      </w:r>
      <w:r w:rsidR="00064ADB" w:rsidRPr="0071228C">
        <w:rPr>
          <w:noProof/>
        </w:rPr>
        <w:t xml:space="preserve">mieniu: </w:t>
      </w:r>
    </w:p>
    <w:p w14:paraId="7E840493" w14:textId="3CA26D4A" w:rsidR="00064ADB" w:rsidRPr="0071228C" w:rsidRDefault="00064ADB" w:rsidP="00064ADB">
      <w:pPr>
        <w:pStyle w:val="Text2"/>
        <w:rPr>
          <w:noProof/>
        </w:rPr>
      </w:pPr>
      <w:r w:rsidRPr="0071228C">
        <w:rPr>
          <w:noProof/>
        </w:rPr>
        <w:t>„(30a) »Priorytetowe substancje niebezpieczne« oznaczają substancje priorytetowe, które są oznaczone jako »niebezpieczne« na tej podstawie, że</w:t>
      </w:r>
      <w:r w:rsidR="00CC55C0" w:rsidRPr="0071228C">
        <w:rPr>
          <w:noProof/>
        </w:rPr>
        <w:t xml:space="preserve"> w</w:t>
      </w:r>
      <w:r w:rsidR="00CC55C0">
        <w:rPr>
          <w:noProof/>
        </w:rPr>
        <w:t> </w:t>
      </w:r>
      <w:r w:rsidR="00CC55C0" w:rsidRPr="0071228C">
        <w:rPr>
          <w:noProof/>
        </w:rPr>
        <w:t>spr</w:t>
      </w:r>
      <w:r w:rsidRPr="0071228C">
        <w:rPr>
          <w:noProof/>
        </w:rPr>
        <w:t>awozdaniach naukowych,</w:t>
      </w:r>
      <w:r w:rsidR="00CC55C0" w:rsidRPr="0071228C">
        <w:rPr>
          <w:noProof/>
        </w:rPr>
        <w:t xml:space="preserve"> w</w:t>
      </w:r>
      <w:r w:rsidR="00CC55C0">
        <w:rPr>
          <w:noProof/>
        </w:rPr>
        <w:t> </w:t>
      </w:r>
      <w:r w:rsidR="00CC55C0" w:rsidRPr="0071228C">
        <w:rPr>
          <w:noProof/>
        </w:rPr>
        <w:t>odp</w:t>
      </w:r>
      <w:r w:rsidRPr="0071228C">
        <w:rPr>
          <w:noProof/>
        </w:rPr>
        <w:t>owiednich przepisach Unii lub</w:t>
      </w:r>
      <w:r w:rsidR="00CC55C0" w:rsidRPr="0071228C">
        <w:rPr>
          <w:noProof/>
        </w:rPr>
        <w:t xml:space="preserve"> w</w:t>
      </w:r>
      <w:r w:rsidR="00CC55C0">
        <w:rPr>
          <w:noProof/>
        </w:rPr>
        <w:t> </w:t>
      </w:r>
      <w:r w:rsidR="00CC55C0" w:rsidRPr="0071228C">
        <w:rPr>
          <w:noProof/>
        </w:rPr>
        <w:t>odp</w:t>
      </w:r>
      <w:r w:rsidRPr="0071228C">
        <w:rPr>
          <w:noProof/>
        </w:rPr>
        <w:t>owiednich umowach międzynarodowych uznano je za toksyczne, trwałe</w:t>
      </w:r>
      <w:r w:rsidR="00CC55C0" w:rsidRPr="0071228C">
        <w:rPr>
          <w:noProof/>
        </w:rPr>
        <w:t xml:space="preserve"> i</w:t>
      </w:r>
      <w:r w:rsidR="00CC55C0">
        <w:rPr>
          <w:noProof/>
        </w:rPr>
        <w:t> </w:t>
      </w:r>
      <w:r w:rsidR="00CC55C0" w:rsidRPr="0071228C">
        <w:rPr>
          <w:noProof/>
        </w:rPr>
        <w:t>pod</w:t>
      </w:r>
      <w:r w:rsidRPr="0071228C">
        <w:rPr>
          <w:noProof/>
        </w:rPr>
        <w:t>atne na bioakumulację, lub których poziom osiąga stan niepokojący,</w:t>
      </w:r>
      <w:r w:rsidR="00CC55C0" w:rsidRPr="0071228C">
        <w:rPr>
          <w:noProof/>
        </w:rPr>
        <w:t xml:space="preserve"> w</w:t>
      </w:r>
      <w:r w:rsidR="00CC55C0">
        <w:rPr>
          <w:noProof/>
        </w:rPr>
        <w:t> </w:t>
      </w:r>
      <w:r w:rsidR="00CC55C0" w:rsidRPr="0071228C">
        <w:rPr>
          <w:noProof/>
        </w:rPr>
        <w:t>prz</w:t>
      </w:r>
      <w:r w:rsidRPr="0071228C">
        <w:rPr>
          <w:noProof/>
        </w:rPr>
        <w:t xml:space="preserve">ypadku gdy obawy te dotyczą środowiska wodnego. </w:t>
      </w:r>
    </w:p>
    <w:p w14:paraId="6F9FFC5D" w14:textId="28932BCA" w:rsidR="00064ADB" w:rsidRPr="0071228C" w:rsidRDefault="007A73B7" w:rsidP="00064ADB">
      <w:pPr>
        <w:pStyle w:val="Text2"/>
        <w:rPr>
          <w:noProof/>
        </w:rPr>
      </w:pPr>
      <w:r w:rsidRPr="0071228C">
        <w:rPr>
          <w:noProof/>
        </w:rPr>
        <w:t xml:space="preserve"> (30b) »Substancje zanieczyszczające specyficzne dla dorzeczy« oznaczają zanieczyszczenia, które nie są lub już nie są określone jako substancje priorytetowe, ale które państwa członkowskie zidentyfikowały, na podstawie oceny presji</w:t>
      </w:r>
      <w:r w:rsidR="00CC55C0" w:rsidRPr="0071228C">
        <w:rPr>
          <w:noProof/>
        </w:rPr>
        <w:t xml:space="preserve"> i</w:t>
      </w:r>
      <w:r w:rsidR="00CC55C0">
        <w:rPr>
          <w:noProof/>
        </w:rPr>
        <w:t> </w:t>
      </w:r>
      <w:r w:rsidR="00CC55C0" w:rsidRPr="0071228C">
        <w:rPr>
          <w:noProof/>
        </w:rPr>
        <w:t>wpł</w:t>
      </w:r>
      <w:r w:rsidRPr="0071228C">
        <w:rPr>
          <w:noProof/>
        </w:rPr>
        <w:t>ywu na części wód powierzchniowych, przeprowadzonej zgodnie</w:t>
      </w:r>
      <w:r w:rsidR="00CC55C0" w:rsidRPr="0071228C">
        <w:rPr>
          <w:noProof/>
        </w:rPr>
        <w:t xml:space="preserve"> z</w:t>
      </w:r>
      <w:r w:rsidR="00CC55C0">
        <w:rPr>
          <w:noProof/>
        </w:rPr>
        <w:t> </w:t>
      </w:r>
      <w:r w:rsidR="00CC55C0" w:rsidRPr="0071228C">
        <w:rPr>
          <w:noProof/>
        </w:rPr>
        <w:t>zał</w:t>
      </w:r>
      <w:r w:rsidRPr="0071228C">
        <w:rPr>
          <w:noProof/>
        </w:rPr>
        <w:t>ącznikiem II do niniejszej dyrektywy, jako stanowiące znaczne zagrożenie dla lub za pośrednictwem środowiska wodnego na ich terytorium.”;</w:t>
      </w:r>
    </w:p>
    <w:p w14:paraId="67A17A69" w14:textId="416E3976" w:rsidR="00064ADB" w:rsidRPr="0071228C" w:rsidRDefault="00CC55C0" w:rsidP="00CC55C0">
      <w:pPr>
        <w:pStyle w:val="Point1"/>
        <w:rPr>
          <w:noProof/>
        </w:rPr>
      </w:pPr>
      <w:r>
        <w:rPr>
          <w:noProof/>
        </w:rPr>
        <w:t>d)</w:t>
      </w:r>
      <w:r>
        <w:rPr>
          <w:noProof/>
        </w:rPr>
        <w:tab/>
      </w:r>
      <w:r w:rsidR="00064ADB" w:rsidRPr="00CC55C0">
        <w:rPr>
          <w:noProof/>
        </w:rPr>
        <w:t>pkt</w:t>
      </w:r>
      <w:r w:rsidRPr="00CC55C0">
        <w:rPr>
          <w:noProof/>
        </w:rPr>
        <w:t> </w:t>
      </w:r>
      <w:r w:rsidR="00064ADB" w:rsidRPr="00CC55C0">
        <w:rPr>
          <w:noProof/>
        </w:rPr>
        <w:t>3</w:t>
      </w:r>
      <w:r w:rsidR="00064ADB" w:rsidRPr="0071228C">
        <w:rPr>
          <w:noProof/>
        </w:rPr>
        <w:t xml:space="preserve">5 otrzymuje brzmienie: </w:t>
      </w:r>
    </w:p>
    <w:p w14:paraId="38E20D73" w14:textId="6E2FD80A" w:rsidR="00064ADB" w:rsidRPr="0071228C" w:rsidRDefault="00064ADB" w:rsidP="00064ADB">
      <w:pPr>
        <w:pStyle w:val="Text2"/>
        <w:rPr>
          <w:bCs/>
          <w:noProof/>
        </w:rPr>
      </w:pPr>
      <w:r w:rsidRPr="0071228C">
        <w:rPr>
          <w:noProof/>
        </w:rPr>
        <w:t>„(35) »Środowiskowe normy jakości« oznaczają stężenie określonego zanieczyszczenia lub grupy zanieczyszczeń</w:t>
      </w:r>
      <w:r w:rsidR="00CC55C0" w:rsidRPr="0071228C">
        <w:rPr>
          <w:noProof/>
        </w:rPr>
        <w:t xml:space="preserve"> w</w:t>
      </w:r>
      <w:r w:rsidR="00CC55C0">
        <w:rPr>
          <w:noProof/>
        </w:rPr>
        <w:t> </w:t>
      </w:r>
      <w:r w:rsidR="00CC55C0" w:rsidRPr="0071228C">
        <w:rPr>
          <w:noProof/>
        </w:rPr>
        <w:t>wod</w:t>
      </w:r>
      <w:r w:rsidRPr="0071228C">
        <w:rPr>
          <w:noProof/>
        </w:rPr>
        <w:t>zie, osadach lub</w:t>
      </w:r>
      <w:r w:rsidR="00CC55C0" w:rsidRPr="0071228C">
        <w:rPr>
          <w:noProof/>
        </w:rPr>
        <w:t xml:space="preserve"> w</w:t>
      </w:r>
      <w:r w:rsidR="00CC55C0">
        <w:rPr>
          <w:noProof/>
        </w:rPr>
        <w:t> </w:t>
      </w:r>
      <w:r w:rsidR="00CC55C0" w:rsidRPr="0071228C">
        <w:rPr>
          <w:noProof/>
        </w:rPr>
        <w:t>fau</w:t>
      </w:r>
      <w:r w:rsidRPr="0071228C">
        <w:rPr>
          <w:noProof/>
        </w:rPr>
        <w:t>nie</w:t>
      </w:r>
      <w:r w:rsidR="00CC55C0" w:rsidRPr="0071228C">
        <w:rPr>
          <w:noProof/>
        </w:rPr>
        <w:t xml:space="preserve"> i</w:t>
      </w:r>
      <w:r w:rsidR="00CC55C0">
        <w:rPr>
          <w:noProof/>
        </w:rPr>
        <w:t> </w:t>
      </w:r>
      <w:r w:rsidR="00CC55C0" w:rsidRPr="0071228C">
        <w:rPr>
          <w:noProof/>
        </w:rPr>
        <w:t>flo</w:t>
      </w:r>
      <w:r w:rsidRPr="0071228C">
        <w:rPr>
          <w:noProof/>
        </w:rPr>
        <w:t>rze, które nie powinno być przekroczone</w:t>
      </w:r>
      <w:r w:rsidR="00CC55C0" w:rsidRPr="0071228C">
        <w:rPr>
          <w:noProof/>
        </w:rPr>
        <w:t xml:space="preserve"> z</w:t>
      </w:r>
      <w:r w:rsidR="00CC55C0">
        <w:rPr>
          <w:noProof/>
        </w:rPr>
        <w:t> </w:t>
      </w:r>
      <w:r w:rsidR="00CC55C0" w:rsidRPr="0071228C">
        <w:rPr>
          <w:noProof/>
        </w:rPr>
        <w:t>uwa</w:t>
      </w:r>
      <w:r w:rsidRPr="0071228C">
        <w:rPr>
          <w:noProof/>
        </w:rPr>
        <w:t>gi na ochronę zdrowia ludzkiego</w:t>
      </w:r>
      <w:r w:rsidR="00CC55C0" w:rsidRPr="0071228C">
        <w:rPr>
          <w:noProof/>
        </w:rPr>
        <w:t xml:space="preserve"> i</w:t>
      </w:r>
      <w:r w:rsidR="00CC55C0">
        <w:rPr>
          <w:noProof/>
        </w:rPr>
        <w:t> </w:t>
      </w:r>
      <w:r w:rsidR="00CC55C0" w:rsidRPr="0071228C">
        <w:rPr>
          <w:noProof/>
        </w:rPr>
        <w:t>śro</w:t>
      </w:r>
      <w:r w:rsidRPr="0071228C">
        <w:rPr>
          <w:noProof/>
        </w:rPr>
        <w:t>dowiska, lub wartość progową niekorzystnego wpływu takiego zanieczyszczenia lub grupy zanieczyszczeń na zdrowie ludzkie lub środowisko, mierzoną przy użyciu odpowiedniej metody opartej na skutkach.”;</w:t>
      </w:r>
    </w:p>
    <w:p w14:paraId="532ABF8E" w14:textId="77777777" w:rsidR="00064ADB" w:rsidRPr="0071228C" w:rsidRDefault="00064ADB" w:rsidP="00064ADB">
      <w:pPr>
        <w:pStyle w:val="Text2"/>
        <w:rPr>
          <w:bCs/>
          <w:noProof/>
          <w:u w:val="single"/>
        </w:rPr>
      </w:pP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p>
    <w:p w14:paraId="2A038F11" w14:textId="76D70661" w:rsidR="002A143E" w:rsidRPr="0071228C" w:rsidRDefault="002A143E" w:rsidP="001E131C">
      <w:pPr>
        <w:ind w:left="1417"/>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2008/105/WE</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r w:rsidR="00CC55C0" w:rsidRPr="0071228C">
        <w:rPr>
          <w:noProof/>
        </w:rPr>
        <w:t xml:space="preserve"> w</w:t>
      </w:r>
      <w:r w:rsidR="00CC55C0">
        <w:rPr>
          <w:noProof/>
        </w:rPr>
        <w:t> </w:t>
      </w:r>
      <w:r w:rsidR="00CC55C0" w:rsidRPr="0071228C">
        <w:rPr>
          <w:noProof/>
        </w:rPr>
        <w:t>dzi</w:t>
      </w:r>
      <w:r w:rsidRPr="0071228C">
        <w:rPr>
          <w:noProof/>
        </w:rPr>
        <w:t>edzinie polityki wodnej, zmieniająca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nas</w:t>
      </w:r>
      <w:r w:rsidRPr="0071228C">
        <w:rPr>
          <w:noProof/>
        </w:rPr>
        <w:t>tępstwie uchylająca dyrektywy Rady 82/176/EWG, 83/513/EWG, 84/156/EWG, 84/491/EWG</w:t>
      </w:r>
      <w:r w:rsidR="00CC55C0" w:rsidRPr="0071228C">
        <w:rPr>
          <w:noProof/>
        </w:rPr>
        <w:t xml:space="preserve"> i</w:t>
      </w:r>
      <w:r w:rsidR="00CC55C0">
        <w:rPr>
          <w:noProof/>
        </w:rPr>
        <w:t> </w:t>
      </w:r>
      <w:r w:rsidR="00CC55C0" w:rsidRPr="0071228C">
        <w:rPr>
          <w:noProof/>
        </w:rPr>
        <w:t>8</w:t>
      </w:r>
      <w:r w:rsidRPr="0071228C">
        <w:rPr>
          <w:noProof/>
        </w:rPr>
        <w:t>6/280/EWG oraz zmieniająca dyrektywę 2000/60/WE Parlamentu Europejskiego</w:t>
      </w:r>
      <w:r w:rsidR="00CC55C0" w:rsidRPr="0071228C">
        <w:rPr>
          <w:noProof/>
        </w:rPr>
        <w:t xml:space="preserve"> i</w:t>
      </w:r>
      <w:r w:rsidR="00CC55C0">
        <w:rPr>
          <w:noProof/>
        </w:rPr>
        <w:t> </w:t>
      </w:r>
      <w:r w:rsidR="00CC55C0" w:rsidRPr="0071228C">
        <w:rPr>
          <w:noProof/>
        </w:rPr>
        <w:t>Rad</w:t>
      </w:r>
      <w:r w:rsidRPr="0071228C">
        <w:rPr>
          <w:noProof/>
        </w:rPr>
        <w:t>y (Dz.U. L 348</w:t>
      </w:r>
      <w:r w:rsidR="00CC55C0" w:rsidRPr="0071228C">
        <w:rPr>
          <w:noProof/>
        </w:rPr>
        <w:t xml:space="preserve"> z</w:t>
      </w:r>
      <w:r w:rsidR="00CC55C0">
        <w:rPr>
          <w:noProof/>
        </w:rPr>
        <w:t> </w:t>
      </w:r>
      <w:r w:rsidR="00CC55C0" w:rsidRPr="0071228C">
        <w:rPr>
          <w:noProof/>
        </w:rPr>
        <w:t>2</w:t>
      </w:r>
      <w:r w:rsidRPr="0071228C">
        <w:rPr>
          <w:noProof/>
        </w:rPr>
        <w:t>4.12.2008, s. 84).”;</w:t>
      </w:r>
    </w:p>
    <w:p w14:paraId="659448E7" w14:textId="50363407" w:rsidR="00064ADB" w:rsidRPr="0071228C" w:rsidRDefault="00CC55C0" w:rsidP="00CC55C0">
      <w:pPr>
        <w:pStyle w:val="Point0"/>
        <w:rPr>
          <w:noProof/>
        </w:rPr>
      </w:pPr>
      <w:r>
        <w:rPr>
          <w:noProof/>
        </w:rPr>
        <w:t>3)</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3</w:t>
      </w:r>
      <w:r w:rsidR="00064ADB" w:rsidRPr="0071228C">
        <w:rPr>
          <w:noProof/>
        </w:rPr>
        <w:t xml:space="preserve"> dodaje się </w:t>
      </w:r>
      <w:r w:rsidR="00064ADB" w:rsidRPr="00CC55C0">
        <w:rPr>
          <w:noProof/>
        </w:rPr>
        <w:t>ust.</w:t>
      </w:r>
      <w:r w:rsidRPr="00CC55C0">
        <w:rPr>
          <w:noProof/>
        </w:rPr>
        <w:t> </w:t>
      </w:r>
      <w:r w:rsidR="00064ADB" w:rsidRPr="00CC55C0">
        <w:rPr>
          <w:noProof/>
        </w:rPr>
        <w:t>4</w:t>
      </w:r>
      <w:r w:rsidR="00064ADB" w:rsidRPr="0071228C">
        <w:rPr>
          <w:noProof/>
        </w:rPr>
        <w:t>a</w:t>
      </w:r>
      <w:r w:rsidRPr="0071228C">
        <w:rPr>
          <w:noProof/>
        </w:rPr>
        <w:t xml:space="preserve"> w</w:t>
      </w:r>
      <w:r>
        <w:rPr>
          <w:noProof/>
        </w:rPr>
        <w:t> </w:t>
      </w:r>
      <w:r w:rsidRPr="0071228C">
        <w:rPr>
          <w:noProof/>
        </w:rPr>
        <w:t>brz</w:t>
      </w:r>
      <w:r w:rsidR="00064ADB" w:rsidRPr="0071228C">
        <w:rPr>
          <w:noProof/>
        </w:rPr>
        <w:t>mieniu:</w:t>
      </w:r>
    </w:p>
    <w:p w14:paraId="04BDBBEF" w14:textId="72E41DF8" w:rsidR="00064ADB" w:rsidRPr="0071228C" w:rsidRDefault="00064ADB" w:rsidP="00064ADB">
      <w:pPr>
        <w:pStyle w:val="Text1"/>
        <w:rPr>
          <w:noProof/>
        </w:rPr>
      </w:pPr>
      <w:r w:rsidRPr="0071228C">
        <w:rPr>
          <w:noProof/>
        </w:rPr>
        <w:t>„4a</w:t>
      </w:r>
      <w:r w:rsidR="00CC55C0" w:rsidRPr="0071228C">
        <w:rPr>
          <w:noProof/>
        </w:rPr>
        <w:t>. W</w:t>
      </w:r>
      <w:r w:rsidR="00CC55C0">
        <w:rPr>
          <w:noProof/>
        </w:rPr>
        <w:t> </w:t>
      </w:r>
      <w:r w:rsidR="00CC55C0" w:rsidRPr="0071228C">
        <w:rPr>
          <w:noProof/>
        </w:rPr>
        <w:t>wyj</w:t>
      </w:r>
      <w:r w:rsidRPr="0071228C">
        <w:rPr>
          <w:noProof/>
        </w:rPr>
        <w:t>ątkowych okolicznościach pochodzenia naturalnego lub sił wyższych,</w:t>
      </w:r>
      <w:r w:rsidR="00CC55C0" w:rsidRPr="0071228C">
        <w:rPr>
          <w:noProof/>
        </w:rPr>
        <w:t xml:space="preserve"> w</w:t>
      </w:r>
      <w:r w:rsidR="00CC55C0">
        <w:rPr>
          <w:noProof/>
        </w:rPr>
        <w:t> </w:t>
      </w:r>
      <w:r w:rsidR="00CC55C0" w:rsidRPr="0071228C">
        <w:rPr>
          <w:noProof/>
        </w:rPr>
        <w:t>szc</w:t>
      </w:r>
      <w:r w:rsidRPr="0071228C">
        <w:rPr>
          <w:noProof/>
        </w:rPr>
        <w:t>zególności spowodowanych ekstremalnymi powodziami</w:t>
      </w:r>
      <w:r w:rsidR="00CC55C0" w:rsidRPr="0071228C">
        <w:rPr>
          <w:noProof/>
        </w:rPr>
        <w:t xml:space="preserve"> i</w:t>
      </w:r>
      <w:r w:rsidR="00CC55C0">
        <w:rPr>
          <w:noProof/>
        </w:rPr>
        <w:t> </w:t>
      </w:r>
      <w:r w:rsidR="00CC55C0" w:rsidRPr="0071228C">
        <w:rPr>
          <w:noProof/>
        </w:rPr>
        <w:t>dłu</w:t>
      </w:r>
      <w:r w:rsidRPr="0071228C">
        <w:rPr>
          <w:noProof/>
        </w:rPr>
        <w:t>gimi suszami lub znaczącymi przypadkowymi zanieczyszczeniami, które mogłyby mieć wpływ na jednolite części wód podziemnych</w:t>
      </w:r>
      <w:r w:rsidR="00CC55C0" w:rsidRPr="0071228C">
        <w:rPr>
          <w:noProof/>
        </w:rPr>
        <w:t xml:space="preserve"> w</w:t>
      </w:r>
      <w:r w:rsidR="00CC55C0">
        <w:rPr>
          <w:noProof/>
        </w:rPr>
        <w:t> </w:t>
      </w:r>
      <w:r w:rsidR="00CC55C0" w:rsidRPr="0071228C">
        <w:rPr>
          <w:noProof/>
        </w:rPr>
        <w:t>dol</w:t>
      </w:r>
      <w:r w:rsidRPr="0071228C">
        <w:rPr>
          <w:noProof/>
        </w:rPr>
        <w:t>nym biegu rzeki znajdujące się</w:t>
      </w:r>
      <w:r w:rsidR="00CC55C0" w:rsidRPr="0071228C">
        <w:rPr>
          <w:noProof/>
        </w:rPr>
        <w:t xml:space="preserve"> w</w:t>
      </w:r>
      <w:r w:rsidR="00CC55C0">
        <w:rPr>
          <w:noProof/>
        </w:rPr>
        <w:t> </w:t>
      </w:r>
      <w:r w:rsidR="00CC55C0" w:rsidRPr="0071228C">
        <w:rPr>
          <w:noProof/>
        </w:rPr>
        <w:t>inn</w:t>
      </w:r>
      <w:r w:rsidRPr="0071228C">
        <w:rPr>
          <w:noProof/>
        </w:rPr>
        <w:t>ych państwach członkowskich, państwa członkowskie zapewniają, aby właściwe organy ds. jednolitych części wód podziemnych</w:t>
      </w:r>
      <w:r w:rsidR="00CC55C0" w:rsidRPr="0071228C">
        <w:rPr>
          <w:noProof/>
        </w:rPr>
        <w:t xml:space="preserve"> w</w:t>
      </w:r>
      <w:r w:rsidR="00CC55C0">
        <w:rPr>
          <w:noProof/>
        </w:rPr>
        <w:t> </w:t>
      </w:r>
      <w:r w:rsidR="00CC55C0" w:rsidRPr="0071228C">
        <w:rPr>
          <w:noProof/>
        </w:rPr>
        <w:t>dol</w:t>
      </w:r>
      <w:r w:rsidRPr="0071228C">
        <w:rPr>
          <w:noProof/>
        </w:rPr>
        <w:t>nym biegu rzeki</w:t>
      </w:r>
      <w:r w:rsidR="00CC55C0" w:rsidRPr="0071228C">
        <w:rPr>
          <w:noProof/>
        </w:rPr>
        <w:t xml:space="preserve"> w</w:t>
      </w:r>
      <w:r w:rsidR="00CC55C0">
        <w:rPr>
          <w:noProof/>
        </w:rPr>
        <w:t> </w:t>
      </w:r>
      <w:r w:rsidR="00CC55C0" w:rsidRPr="0071228C">
        <w:rPr>
          <w:noProof/>
        </w:rPr>
        <w:t>tak</w:t>
      </w:r>
      <w:r w:rsidRPr="0071228C">
        <w:rPr>
          <w:noProof/>
        </w:rPr>
        <w:t>ich państwach członkowskich, jak również Komisja, były niezwłocznie informowane oraz aby nawiązana została niezbędna współpraca</w:t>
      </w:r>
      <w:r w:rsidR="00CC55C0" w:rsidRPr="0071228C">
        <w:rPr>
          <w:noProof/>
        </w:rPr>
        <w:t xml:space="preserve"> w</w:t>
      </w:r>
      <w:r w:rsidR="00CC55C0">
        <w:rPr>
          <w:noProof/>
        </w:rPr>
        <w:t> </w:t>
      </w:r>
      <w:r w:rsidR="00CC55C0" w:rsidRPr="0071228C">
        <w:rPr>
          <w:noProof/>
        </w:rPr>
        <w:t>cel</w:t>
      </w:r>
      <w:r w:rsidRPr="0071228C">
        <w:rPr>
          <w:noProof/>
        </w:rPr>
        <w:t>u zbadania przyczyn</w:t>
      </w:r>
      <w:r w:rsidR="00CC55C0" w:rsidRPr="0071228C">
        <w:rPr>
          <w:noProof/>
        </w:rPr>
        <w:t xml:space="preserve"> i</w:t>
      </w:r>
      <w:r w:rsidR="00CC55C0">
        <w:rPr>
          <w:noProof/>
        </w:rPr>
        <w:t> </w:t>
      </w:r>
      <w:r w:rsidR="00CC55C0" w:rsidRPr="0071228C">
        <w:rPr>
          <w:noProof/>
        </w:rPr>
        <w:t>usu</w:t>
      </w:r>
      <w:r w:rsidRPr="0071228C">
        <w:rPr>
          <w:noProof/>
        </w:rPr>
        <w:t xml:space="preserve">nięcia skutków wyjątkowych okoliczności lub przypadków.”; </w:t>
      </w:r>
    </w:p>
    <w:p w14:paraId="7DDF7685" w14:textId="7993FD35" w:rsidR="00064ADB" w:rsidRPr="0071228C" w:rsidRDefault="00CC55C0" w:rsidP="00CC55C0">
      <w:pPr>
        <w:pStyle w:val="Point0"/>
        <w:rPr>
          <w:noProof/>
        </w:rPr>
      </w:pPr>
      <w:r>
        <w:rPr>
          <w:noProof/>
        </w:rPr>
        <w:t>4)</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4</w:t>
      </w:r>
      <w:r w:rsidR="00064ADB" w:rsidRPr="0071228C">
        <w:rPr>
          <w:noProof/>
        </w:rPr>
        <w:t xml:space="preserve"> </w:t>
      </w:r>
      <w:r w:rsidR="00064ADB" w:rsidRPr="00CC55C0">
        <w:rPr>
          <w:noProof/>
        </w:rPr>
        <w:t>ust.</w:t>
      </w:r>
      <w:r w:rsidRPr="00CC55C0">
        <w:rPr>
          <w:noProof/>
        </w:rPr>
        <w:t> </w:t>
      </w:r>
      <w:r w:rsidR="00064ADB" w:rsidRPr="00CC55C0">
        <w:rPr>
          <w:noProof/>
        </w:rPr>
        <w:t>1</w:t>
      </w:r>
      <w:r w:rsidR="00064ADB" w:rsidRPr="0071228C">
        <w:rPr>
          <w:noProof/>
        </w:rPr>
        <w:t xml:space="preserve"> wprowadza się następujące zmiany: </w:t>
      </w:r>
    </w:p>
    <w:p w14:paraId="00D2BD16" w14:textId="64639F59" w:rsidR="00064ADB" w:rsidRPr="0071228C" w:rsidRDefault="00CC55C0" w:rsidP="00CC55C0">
      <w:pPr>
        <w:pStyle w:val="Point1"/>
        <w:rPr>
          <w:noProof/>
        </w:rPr>
      </w:pPr>
      <w:r>
        <w:rPr>
          <w:noProof/>
        </w:rPr>
        <w:t>a)</w:t>
      </w:r>
      <w:r>
        <w:rPr>
          <w:noProof/>
        </w:rPr>
        <w:tab/>
      </w:r>
      <w:r w:rsidR="00064ADB" w:rsidRPr="00CC55C0">
        <w:rPr>
          <w:noProof/>
        </w:rPr>
        <w:t>lit.</w:t>
      </w:r>
      <w:r w:rsidRPr="00CC55C0">
        <w:rPr>
          <w:noProof/>
        </w:rPr>
        <w:t> </w:t>
      </w:r>
      <w:r w:rsidR="00064ADB" w:rsidRPr="00CC55C0">
        <w:rPr>
          <w:noProof/>
        </w:rPr>
        <w:t>a)</w:t>
      </w:r>
      <w:r w:rsidR="00064ADB" w:rsidRPr="0071228C">
        <w:rPr>
          <w:noProof/>
        </w:rPr>
        <w:t xml:space="preserve"> ppkt (iv) otrzymuje brzmienie: </w:t>
      </w:r>
    </w:p>
    <w:p w14:paraId="2FACB6B5" w14:textId="47A36502" w:rsidR="00064ADB" w:rsidRPr="0071228C" w:rsidRDefault="00064ADB" w:rsidP="00064ADB">
      <w:pPr>
        <w:ind w:left="1417"/>
        <w:rPr>
          <w:i/>
          <w:noProof/>
        </w:rPr>
      </w:pPr>
      <w:r w:rsidRPr="0071228C">
        <w:rPr>
          <w:noProof/>
        </w:rPr>
        <w:t>„(iv) państwa członkowskie wdrażają konieczne środki</w:t>
      </w:r>
      <w:r w:rsidR="00CC55C0" w:rsidRPr="0071228C">
        <w:rPr>
          <w:noProof/>
        </w:rPr>
        <w:t xml:space="preserve"> w</w:t>
      </w:r>
      <w:r w:rsidR="00CC55C0">
        <w:rPr>
          <w:noProof/>
        </w:rPr>
        <w:t> </w:t>
      </w:r>
      <w:r w:rsidR="00CC55C0" w:rsidRPr="0071228C">
        <w:rPr>
          <w:noProof/>
        </w:rPr>
        <w:t>cel</w:t>
      </w:r>
      <w:r w:rsidRPr="0071228C">
        <w:rPr>
          <w:noProof/>
        </w:rPr>
        <w:t>u stopniowego redukowania zanieczyszczenia substancjami priorytetowymi</w:t>
      </w:r>
      <w:r w:rsidR="00CC55C0" w:rsidRPr="0071228C">
        <w:rPr>
          <w:noProof/>
        </w:rPr>
        <w:t xml:space="preserve"> i</w:t>
      </w:r>
      <w:r w:rsidR="00CC55C0">
        <w:rPr>
          <w:noProof/>
        </w:rPr>
        <w:t> </w:t>
      </w:r>
      <w:r w:rsidR="00CC55C0" w:rsidRPr="0071228C">
        <w:rPr>
          <w:noProof/>
        </w:rPr>
        <w:t>sub</w:t>
      </w:r>
      <w:r w:rsidRPr="0071228C">
        <w:rPr>
          <w:noProof/>
        </w:rPr>
        <w:t>stancjami zanieczyszczającymi specyficznymi dla dorzeczy oraz zaprzestania lub stopniowego eliminowania emisji, zrzutów</w:t>
      </w:r>
      <w:r w:rsidR="00CC55C0" w:rsidRPr="0071228C">
        <w:rPr>
          <w:noProof/>
        </w:rPr>
        <w:t xml:space="preserve"> i</w:t>
      </w:r>
      <w:r w:rsidR="00CC55C0">
        <w:rPr>
          <w:noProof/>
        </w:rPr>
        <w:t> </w:t>
      </w:r>
      <w:r w:rsidR="00CC55C0" w:rsidRPr="0071228C">
        <w:rPr>
          <w:noProof/>
        </w:rPr>
        <w:t>str</w:t>
      </w:r>
      <w:r w:rsidRPr="0071228C">
        <w:rPr>
          <w:noProof/>
        </w:rPr>
        <w:t>at priorytetowych substancji niebezpiecznych.”;</w:t>
      </w:r>
      <w:r w:rsidRPr="0071228C">
        <w:rPr>
          <w:i/>
          <w:noProof/>
        </w:rPr>
        <w:t xml:space="preserve"> </w:t>
      </w:r>
    </w:p>
    <w:p w14:paraId="0FE9FCB3" w14:textId="4119F1BC" w:rsidR="00064ADB" w:rsidRPr="0071228C" w:rsidRDefault="00CC55C0" w:rsidP="00CC55C0">
      <w:pPr>
        <w:pStyle w:val="Point1"/>
        <w:rPr>
          <w:noProof/>
        </w:rPr>
      </w:pPr>
      <w:r>
        <w:rPr>
          <w:noProof/>
        </w:rPr>
        <w:t>b)</w:t>
      </w:r>
      <w:r>
        <w:rPr>
          <w:noProof/>
        </w:rPr>
        <w:tab/>
      </w:r>
      <w:r w:rsidR="00064ADB" w:rsidRPr="00CC55C0">
        <w:rPr>
          <w:noProof/>
        </w:rPr>
        <w:t>lit.</w:t>
      </w:r>
      <w:r w:rsidRPr="00CC55C0">
        <w:rPr>
          <w:noProof/>
        </w:rPr>
        <w:t> </w:t>
      </w:r>
      <w:r w:rsidR="00064ADB" w:rsidRPr="00CC55C0">
        <w:rPr>
          <w:noProof/>
        </w:rPr>
        <w:t>b)</w:t>
      </w:r>
      <w:r w:rsidR="00064ADB" w:rsidRPr="0071228C">
        <w:rPr>
          <w:noProof/>
        </w:rPr>
        <w:t xml:space="preserve"> ppkt (iii) akapit drugi otrzymuje brzmienie: </w:t>
      </w:r>
    </w:p>
    <w:p w14:paraId="1E900DD3" w14:textId="4A6833D2" w:rsidR="00064ADB" w:rsidRPr="0071228C" w:rsidRDefault="00064ADB" w:rsidP="00064ADB">
      <w:pPr>
        <w:ind w:left="1417"/>
        <w:rPr>
          <w:noProof/>
          <w:u w:val="single"/>
        </w:rPr>
      </w:pPr>
      <w:r w:rsidRPr="0071228C">
        <w:rPr>
          <w:noProof/>
        </w:rPr>
        <w:t>„Środki dla osiągnięcia odwrócenia tendencji są wdrażane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5</w:t>
      </w:r>
      <w:r w:rsidRPr="0071228C">
        <w:rPr>
          <w:noProof/>
        </w:rPr>
        <w:t xml:space="preserve"> dyrektywy 2006/118/WE</w:t>
      </w:r>
      <w:r w:rsidR="00CC55C0" w:rsidRPr="0071228C">
        <w:rPr>
          <w:noProof/>
        </w:rPr>
        <w:t xml:space="preserve"> i</w:t>
      </w:r>
      <w:r w:rsidR="00CC55C0">
        <w:rPr>
          <w:noProof/>
        </w:rPr>
        <w:t> </w:t>
      </w:r>
      <w:r w:rsidR="00CC55C0" w:rsidRPr="0071228C">
        <w:rPr>
          <w:noProof/>
        </w:rPr>
        <w:t>zał</w:t>
      </w:r>
      <w:r w:rsidRPr="0071228C">
        <w:rPr>
          <w:noProof/>
        </w:rPr>
        <w:t>ącznikiem IV do tej dyrektywy,</w:t>
      </w:r>
      <w:r w:rsidR="00CC55C0" w:rsidRPr="0071228C">
        <w:rPr>
          <w:noProof/>
        </w:rPr>
        <w:t xml:space="preserve"> z</w:t>
      </w:r>
      <w:r w:rsidR="00CC55C0">
        <w:rPr>
          <w:noProof/>
        </w:rPr>
        <w:t> </w:t>
      </w:r>
      <w:r w:rsidR="00CC55C0" w:rsidRPr="0071228C">
        <w:rPr>
          <w:noProof/>
        </w:rPr>
        <w:t>zas</w:t>
      </w:r>
      <w:r w:rsidRPr="0071228C">
        <w:rPr>
          <w:noProof/>
        </w:rPr>
        <w:t xml:space="preserve">trzeżeniem stosowania </w:t>
      </w:r>
      <w:r w:rsidRPr="00CC55C0">
        <w:rPr>
          <w:noProof/>
        </w:rPr>
        <w:t>ust.</w:t>
      </w:r>
      <w:r w:rsidR="00CC55C0" w:rsidRPr="00CC55C0">
        <w:rPr>
          <w:noProof/>
        </w:rPr>
        <w:t> </w:t>
      </w:r>
      <w:r w:rsidRPr="00CC55C0">
        <w:rPr>
          <w:noProof/>
        </w:rPr>
        <w:t>6</w:t>
      </w:r>
      <w:r w:rsidR="00CC55C0" w:rsidRPr="0071228C">
        <w:rPr>
          <w:noProof/>
        </w:rPr>
        <w:t xml:space="preserve"> i</w:t>
      </w:r>
      <w:r w:rsidR="00CC55C0">
        <w:rPr>
          <w:noProof/>
        </w:rPr>
        <w:t> </w:t>
      </w:r>
      <w:r w:rsidR="00CC55C0" w:rsidRPr="0071228C">
        <w:rPr>
          <w:noProof/>
        </w:rPr>
        <w:t>7</w:t>
      </w:r>
      <w:r w:rsidRPr="0071228C">
        <w:rPr>
          <w:noProof/>
        </w:rPr>
        <w:t xml:space="preserve"> tego artykułu</w:t>
      </w:r>
      <w:r w:rsidR="00CC55C0" w:rsidRPr="0071228C">
        <w:rPr>
          <w:noProof/>
        </w:rPr>
        <w:t xml:space="preserve"> i</w:t>
      </w:r>
      <w:r w:rsidR="00CC55C0">
        <w:rPr>
          <w:noProof/>
        </w:rPr>
        <w:t> </w:t>
      </w:r>
      <w:r w:rsidR="00CC55C0" w:rsidRPr="0071228C">
        <w:rPr>
          <w:noProof/>
        </w:rPr>
        <w:t>bez</w:t>
      </w:r>
      <w:r w:rsidRPr="0071228C">
        <w:rPr>
          <w:noProof/>
        </w:rPr>
        <w:t xml:space="preserve"> uszczerbku dla </w:t>
      </w:r>
      <w:r w:rsidRPr="00CC55C0">
        <w:rPr>
          <w:noProof/>
        </w:rPr>
        <w:t>ust.</w:t>
      </w:r>
      <w:r w:rsidR="00CC55C0" w:rsidRPr="00CC55C0">
        <w:rPr>
          <w:noProof/>
        </w:rPr>
        <w:t> </w:t>
      </w:r>
      <w:r w:rsidRPr="00CC55C0">
        <w:rPr>
          <w:noProof/>
        </w:rPr>
        <w:t>8</w:t>
      </w:r>
      <w:r w:rsidRPr="0071228C">
        <w:rPr>
          <w:noProof/>
        </w:rPr>
        <w:t xml:space="preserve"> tego artykułu.”;</w:t>
      </w:r>
    </w:p>
    <w:p w14:paraId="176F089F" w14:textId="63F44748" w:rsidR="00064ADB" w:rsidRPr="0071228C" w:rsidRDefault="00CC55C0" w:rsidP="00CC55C0">
      <w:pPr>
        <w:pStyle w:val="Point0"/>
        <w:rPr>
          <w:noProof/>
        </w:rPr>
      </w:pPr>
      <w:r>
        <w:rPr>
          <w:noProof/>
        </w:rPr>
        <w:t>5)</w:t>
      </w:r>
      <w:r>
        <w:rPr>
          <w:noProof/>
        </w:rPr>
        <w:tab/>
      </w:r>
      <w:r w:rsidR="00064ADB" w:rsidRPr="0071228C">
        <w:rPr>
          <w:noProof/>
        </w:rPr>
        <w:t>art. 7 ust. 2 otrzymuje brzmienie:</w:t>
      </w:r>
    </w:p>
    <w:p w14:paraId="19AA76FF" w14:textId="40648E76" w:rsidR="00064ADB" w:rsidRPr="00CC55C0" w:rsidRDefault="00064ADB" w:rsidP="00064ADB">
      <w:pPr>
        <w:pStyle w:val="Text1"/>
        <w:rPr>
          <w:i/>
          <w:noProof/>
        </w:rPr>
      </w:pPr>
      <w:r w:rsidRPr="0071228C">
        <w:rPr>
          <w:noProof/>
        </w:rPr>
        <w:t xml:space="preserve">„2. Dla każdej części wód wyznaczonej na mocy </w:t>
      </w:r>
      <w:r w:rsidRPr="00CC55C0">
        <w:rPr>
          <w:noProof/>
        </w:rPr>
        <w:t>ust.</w:t>
      </w:r>
      <w:r w:rsidR="00CC55C0" w:rsidRPr="00CC55C0">
        <w:rPr>
          <w:noProof/>
        </w:rPr>
        <w:t> </w:t>
      </w:r>
      <w:r w:rsidRPr="00CC55C0">
        <w:rPr>
          <w:noProof/>
        </w:rPr>
        <w:t>1</w:t>
      </w:r>
      <w:r w:rsidRPr="0071228C">
        <w:rPr>
          <w:noProof/>
        </w:rPr>
        <w:t xml:space="preserve">, poza osiągnięciem celów </w:t>
      </w:r>
      <w:r w:rsidRPr="00CC55C0">
        <w:rPr>
          <w:noProof/>
        </w:rPr>
        <w:t>art.</w:t>
      </w:r>
      <w:r w:rsidR="00CC55C0" w:rsidRPr="00CC55C0">
        <w:rPr>
          <w:noProof/>
        </w:rPr>
        <w:t> </w:t>
      </w:r>
      <w:r w:rsidRPr="00CC55C0">
        <w:rPr>
          <w:noProof/>
        </w:rPr>
        <w:t>4</w:t>
      </w:r>
      <w:r w:rsidRPr="0071228C">
        <w:rPr>
          <w:noProof/>
        </w:rPr>
        <w:t xml:space="preserve"> zgodnie</w:t>
      </w:r>
      <w:r w:rsidR="00CC55C0" w:rsidRPr="0071228C">
        <w:rPr>
          <w:noProof/>
        </w:rPr>
        <w:t xml:space="preserve"> z</w:t>
      </w:r>
      <w:r w:rsidR="00CC55C0">
        <w:rPr>
          <w:noProof/>
        </w:rPr>
        <w:t> </w:t>
      </w:r>
      <w:r w:rsidR="00CC55C0" w:rsidRPr="0071228C">
        <w:rPr>
          <w:noProof/>
        </w:rPr>
        <w:t>wym</w:t>
      </w:r>
      <w:r w:rsidRPr="0071228C">
        <w:rPr>
          <w:noProof/>
        </w:rPr>
        <w:t>ogami niniejszej dyrektywy dla części wód powierzchniowych,</w:t>
      </w:r>
      <w:r w:rsidR="00CC55C0" w:rsidRPr="0071228C">
        <w:rPr>
          <w:noProof/>
        </w:rPr>
        <w:t xml:space="preserve"> w</w:t>
      </w:r>
      <w:r w:rsidR="00CC55C0">
        <w:rPr>
          <w:noProof/>
        </w:rPr>
        <w:t> </w:t>
      </w:r>
      <w:r w:rsidR="00CC55C0" w:rsidRPr="0071228C">
        <w:rPr>
          <w:noProof/>
        </w:rPr>
        <w:t>tym</w:t>
      </w:r>
      <w:r w:rsidRPr="0071228C">
        <w:rPr>
          <w:noProof/>
        </w:rPr>
        <w:t xml:space="preserve"> norm jakości ustalonych na poziomie Unii, państwa członkowskie zapewniają, aby</w:t>
      </w:r>
      <w:r w:rsidR="00CC55C0" w:rsidRPr="0071228C">
        <w:rPr>
          <w:noProof/>
        </w:rPr>
        <w:t xml:space="preserve"> w</w:t>
      </w:r>
      <w:r w:rsidR="00CC55C0">
        <w:rPr>
          <w:noProof/>
        </w:rPr>
        <w:t> </w:t>
      </w:r>
      <w:r w:rsidR="00CC55C0" w:rsidRPr="0071228C">
        <w:rPr>
          <w:noProof/>
        </w:rPr>
        <w:t>ram</w:t>
      </w:r>
      <w:r w:rsidRPr="0071228C">
        <w:rPr>
          <w:noProof/>
        </w:rPr>
        <w:t>ach stosowanego systemu uzdatniania wody oraz zgodnie</w:t>
      </w:r>
      <w:r w:rsidR="00CC55C0" w:rsidRPr="0071228C">
        <w:rPr>
          <w:noProof/>
        </w:rPr>
        <w:t xml:space="preserve"> z</w:t>
      </w:r>
      <w:r w:rsidR="00CC55C0">
        <w:rPr>
          <w:noProof/>
        </w:rPr>
        <w:t> </w:t>
      </w:r>
      <w:r w:rsidR="00CC55C0" w:rsidRPr="0071228C">
        <w:rPr>
          <w:noProof/>
        </w:rPr>
        <w:t>prz</w:t>
      </w:r>
      <w:r w:rsidRPr="0071228C">
        <w:rPr>
          <w:noProof/>
        </w:rPr>
        <w:t>episami Unii uzdatnione wody spełniały wymogi dyrektywy Parlamentu Europejskiego</w:t>
      </w:r>
      <w:r w:rsidR="00CC55C0" w:rsidRPr="0071228C">
        <w:rPr>
          <w:noProof/>
        </w:rPr>
        <w:t xml:space="preserve"> i</w:t>
      </w:r>
      <w:r w:rsidR="00CC55C0">
        <w:rPr>
          <w:noProof/>
        </w:rPr>
        <w:t> </w:t>
      </w:r>
      <w:r w:rsidR="00CC55C0" w:rsidRPr="0071228C">
        <w:rPr>
          <w:noProof/>
        </w:rPr>
        <w:t>Rad</w:t>
      </w:r>
      <w:r w:rsidRPr="0071228C">
        <w:rPr>
          <w:noProof/>
        </w:rPr>
        <w:t>y (UE) 2020/2184*</w:t>
      </w:r>
      <w:r w:rsidRPr="00CC55C0">
        <w:rPr>
          <w:noProof/>
        </w:rPr>
        <w:t>.</w:t>
      </w:r>
      <w:r w:rsidR="00CC55C0" w:rsidRPr="00CC55C0">
        <w:rPr>
          <w:noProof/>
        </w:rPr>
        <w:t xml:space="preserve"> </w:t>
      </w:r>
    </w:p>
    <w:p w14:paraId="3BA3CB73" w14:textId="77777777" w:rsidR="00064ADB" w:rsidRPr="0071228C" w:rsidRDefault="00064ADB" w:rsidP="00064ADB">
      <w:pPr>
        <w:pStyle w:val="Text1"/>
        <w:rPr>
          <w:noProof/>
          <w:u w:val="single"/>
        </w:rPr>
      </w:pPr>
      <w:r w:rsidRPr="0071228C">
        <w:rPr>
          <w:noProof/>
        </w:rPr>
        <w:tab/>
      </w:r>
      <w:r w:rsidRPr="0071228C">
        <w:rPr>
          <w:noProof/>
        </w:rPr>
        <w:tab/>
      </w:r>
      <w:r w:rsidRPr="0071228C">
        <w:rPr>
          <w:noProof/>
        </w:rPr>
        <w:tab/>
      </w:r>
      <w:r w:rsidRPr="0071228C">
        <w:rPr>
          <w:noProof/>
        </w:rPr>
        <w:tab/>
      </w:r>
    </w:p>
    <w:p w14:paraId="15C0BC74" w14:textId="77777777" w:rsidR="00064ADB" w:rsidRPr="0071228C" w:rsidRDefault="00064ADB" w:rsidP="00064ADB">
      <w:pPr>
        <w:pStyle w:val="Text1"/>
        <w:rPr>
          <w:noProof/>
        </w:rPr>
      </w:pP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p>
    <w:p w14:paraId="1E0A7CD1" w14:textId="6610AB6D" w:rsidR="00064ADB" w:rsidRPr="0071228C" w:rsidRDefault="00064ADB" w:rsidP="00064ADB">
      <w:pPr>
        <w:pStyle w:val="Text1"/>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(UE) 2020/2184</w:t>
      </w:r>
      <w:r w:rsidR="00CC55C0" w:rsidRPr="0071228C">
        <w:rPr>
          <w:noProof/>
        </w:rPr>
        <w:t xml:space="preserve"> z</w:t>
      </w:r>
      <w:r w:rsidR="00CC55C0">
        <w:rPr>
          <w:noProof/>
        </w:rPr>
        <w:t> </w:t>
      </w:r>
      <w:r w:rsidR="00CC55C0" w:rsidRPr="0071228C">
        <w:rPr>
          <w:noProof/>
        </w:rPr>
        <w:t>dni</w:t>
      </w:r>
      <w:r w:rsidRPr="0071228C">
        <w:rPr>
          <w:noProof/>
        </w:rPr>
        <w:t>a 16 grudnia 20</w:t>
      </w:r>
      <w:r w:rsidRPr="00CC55C0">
        <w:rPr>
          <w:noProof/>
        </w:rPr>
        <w:t>20</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jakości wody przeznaczonej do spożycia przez ludzi (Dz.U. L 435</w:t>
      </w:r>
      <w:r w:rsidR="00CC55C0" w:rsidRPr="0071228C">
        <w:rPr>
          <w:noProof/>
        </w:rPr>
        <w:t xml:space="preserve"> z</w:t>
      </w:r>
      <w:r w:rsidR="00CC55C0">
        <w:rPr>
          <w:noProof/>
        </w:rPr>
        <w:t> </w:t>
      </w:r>
      <w:r w:rsidR="00CC55C0" w:rsidRPr="0071228C">
        <w:rPr>
          <w:noProof/>
        </w:rPr>
        <w:t>2</w:t>
      </w:r>
      <w:r w:rsidRPr="0071228C">
        <w:rPr>
          <w:noProof/>
        </w:rPr>
        <w:t>3.12.2020, s. 1).”;</w:t>
      </w:r>
    </w:p>
    <w:p w14:paraId="13632D21" w14:textId="400F8A4A" w:rsidR="00064ADB" w:rsidRPr="0071228C" w:rsidRDefault="00CC55C0" w:rsidP="00CC55C0">
      <w:pPr>
        <w:pStyle w:val="Point0"/>
        <w:rPr>
          <w:noProof/>
        </w:rPr>
      </w:pPr>
      <w:r>
        <w:rPr>
          <w:noProof/>
        </w:rPr>
        <w:t>6)</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8</w:t>
      </w:r>
      <w:r w:rsidR="00064ADB" w:rsidRPr="0071228C">
        <w:rPr>
          <w:noProof/>
        </w:rPr>
        <w:t xml:space="preserve"> wprowadza się następujące zmiany: </w:t>
      </w:r>
    </w:p>
    <w:p w14:paraId="5EC6FE3D" w14:textId="14941254" w:rsidR="00064ADB" w:rsidRPr="0071228C" w:rsidRDefault="00CC55C0" w:rsidP="00CC55C0">
      <w:pPr>
        <w:pStyle w:val="Point1"/>
        <w:rPr>
          <w:noProof/>
        </w:rPr>
      </w:pPr>
      <w:r>
        <w:rPr>
          <w:noProof/>
        </w:rPr>
        <w:t>a)</w:t>
      </w:r>
      <w:r>
        <w:rPr>
          <w:noProof/>
        </w:rPr>
        <w:tab/>
      </w:r>
      <w:r w:rsidR="00064ADB" w:rsidRPr="0071228C">
        <w:rPr>
          <w:noProof/>
        </w:rPr>
        <w:t>ust. 3 otrzymuje brzmienie:</w:t>
      </w:r>
    </w:p>
    <w:p w14:paraId="13144D4B" w14:textId="76BA0390" w:rsidR="00064ADB" w:rsidRPr="00CC55C0" w:rsidRDefault="00064ADB" w:rsidP="00064ADB">
      <w:pPr>
        <w:ind w:left="1417" w:firstLine="12"/>
        <w:rPr>
          <w:i/>
          <w:noProof/>
        </w:rPr>
      </w:pPr>
      <w:r w:rsidRPr="0071228C">
        <w:rPr>
          <w:noProof/>
        </w:rPr>
        <w:t>„3. Komisja jest uprawniona do przyjmowania aktów wykonawczych</w:t>
      </w:r>
      <w:r w:rsidR="00CC55C0" w:rsidRPr="0071228C">
        <w:rPr>
          <w:noProof/>
        </w:rPr>
        <w:t xml:space="preserve"> w</w:t>
      </w:r>
      <w:r w:rsidR="00CC55C0">
        <w:rPr>
          <w:noProof/>
        </w:rPr>
        <w:t> </w:t>
      </w:r>
      <w:r w:rsidR="00CC55C0" w:rsidRPr="0071228C">
        <w:rPr>
          <w:noProof/>
        </w:rPr>
        <w:t>cel</w:t>
      </w:r>
      <w:r w:rsidRPr="0071228C">
        <w:rPr>
          <w:noProof/>
        </w:rPr>
        <w:t>u określenia specyfikacji technicznych</w:t>
      </w:r>
      <w:r w:rsidR="00CC55C0" w:rsidRPr="0071228C">
        <w:rPr>
          <w:noProof/>
        </w:rPr>
        <w:t xml:space="preserve"> i</w:t>
      </w:r>
      <w:r w:rsidR="00CC55C0">
        <w:rPr>
          <w:noProof/>
        </w:rPr>
        <w:t> </w:t>
      </w:r>
      <w:r w:rsidR="00CC55C0" w:rsidRPr="0071228C">
        <w:rPr>
          <w:noProof/>
        </w:rPr>
        <w:t>zno</w:t>
      </w:r>
      <w:r w:rsidRPr="0071228C">
        <w:rPr>
          <w:noProof/>
        </w:rPr>
        <w:t>rmalizowanych metod analizy</w:t>
      </w:r>
      <w:r w:rsidR="00CC55C0" w:rsidRPr="0071228C">
        <w:rPr>
          <w:noProof/>
        </w:rPr>
        <w:t xml:space="preserve"> i</w:t>
      </w:r>
      <w:r w:rsidR="00CC55C0">
        <w:rPr>
          <w:noProof/>
        </w:rPr>
        <w:t> </w:t>
      </w:r>
      <w:r w:rsidR="00CC55C0" w:rsidRPr="0071228C">
        <w:rPr>
          <w:noProof/>
        </w:rPr>
        <w:t>mon</w:t>
      </w:r>
      <w:r w:rsidRPr="0071228C">
        <w:rPr>
          <w:noProof/>
        </w:rPr>
        <w:t>itorowania stanu wód zgodnie</w:t>
      </w:r>
      <w:r w:rsidR="00CC55C0" w:rsidRPr="0071228C">
        <w:rPr>
          <w:noProof/>
        </w:rPr>
        <w:t xml:space="preserve"> z</w:t>
      </w:r>
      <w:r w:rsidR="00CC55C0">
        <w:rPr>
          <w:noProof/>
        </w:rPr>
        <w:t> </w:t>
      </w:r>
      <w:r w:rsidR="00CC55C0" w:rsidRPr="0071228C">
        <w:rPr>
          <w:noProof/>
        </w:rPr>
        <w:t>zał</w:t>
      </w:r>
      <w:r w:rsidRPr="0071228C">
        <w:rPr>
          <w:noProof/>
        </w:rPr>
        <w:t>ącznikiem V oraz</w:t>
      </w:r>
      <w:r w:rsidR="00CC55C0" w:rsidRPr="0071228C">
        <w:rPr>
          <w:noProof/>
        </w:rPr>
        <w:t xml:space="preserve"> w</w:t>
      </w:r>
      <w:r w:rsidR="00CC55C0">
        <w:rPr>
          <w:noProof/>
        </w:rPr>
        <w:t> </w:t>
      </w:r>
      <w:r w:rsidR="00CC55C0" w:rsidRPr="0071228C">
        <w:rPr>
          <w:noProof/>
        </w:rPr>
        <w:t>cel</w:t>
      </w:r>
      <w:r w:rsidRPr="0071228C">
        <w:rPr>
          <w:noProof/>
        </w:rPr>
        <w:t>u ustanowienia formatów przekazywania danych dotyczących monitorowania</w:t>
      </w:r>
      <w:r w:rsidR="00CC55C0" w:rsidRPr="0071228C">
        <w:rPr>
          <w:noProof/>
        </w:rPr>
        <w:t xml:space="preserve"> i</w:t>
      </w:r>
      <w:r w:rsidR="00CC55C0">
        <w:rPr>
          <w:noProof/>
        </w:rPr>
        <w:t> </w:t>
      </w:r>
      <w:r w:rsidR="00CC55C0" w:rsidRPr="0071228C">
        <w:rPr>
          <w:noProof/>
        </w:rPr>
        <w:t>sta</w:t>
      </w:r>
      <w:r w:rsidRPr="0071228C">
        <w:rPr>
          <w:noProof/>
        </w:rPr>
        <w:t>nu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4</w:t>
      </w:r>
      <w:r w:rsidRPr="0071228C">
        <w:rPr>
          <w:noProof/>
        </w:rPr>
        <w:t>. Przedmiotowe akty wykonawcze przyjmowane są zgodnie</w:t>
      </w:r>
      <w:r w:rsidR="00CC55C0" w:rsidRPr="0071228C">
        <w:rPr>
          <w:noProof/>
        </w:rPr>
        <w:t xml:space="preserve"> z</w:t>
      </w:r>
      <w:r w:rsidR="00CC55C0">
        <w:rPr>
          <w:noProof/>
        </w:rPr>
        <w:t> </w:t>
      </w:r>
      <w:r w:rsidR="00CC55C0" w:rsidRPr="0071228C">
        <w:rPr>
          <w:noProof/>
        </w:rPr>
        <w:t>pro</w:t>
      </w:r>
      <w:r w:rsidRPr="0071228C">
        <w:rPr>
          <w:noProof/>
        </w:rPr>
        <w:t>cedurą sprawdzającą,</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71228C">
        <w:rPr>
          <w:noProof/>
        </w:rPr>
        <w:t>art</w:t>
      </w:r>
      <w:r w:rsidRPr="0071228C">
        <w:rPr>
          <w:noProof/>
        </w:rPr>
        <w:t xml:space="preserve">. 21 </w:t>
      </w:r>
      <w:r w:rsidRPr="00CC55C0">
        <w:rPr>
          <w:noProof/>
        </w:rPr>
        <w:t>ust.</w:t>
      </w:r>
      <w:r w:rsidR="00CC55C0" w:rsidRPr="00CC55C0">
        <w:rPr>
          <w:noProof/>
        </w:rPr>
        <w:t> </w:t>
      </w:r>
      <w:r w:rsidRPr="00CC55C0">
        <w:rPr>
          <w:noProof/>
        </w:rPr>
        <w:t>2</w:t>
      </w:r>
      <w:r w:rsidRPr="0071228C">
        <w:rPr>
          <w:noProof/>
        </w:rPr>
        <w:t>.”</w:t>
      </w:r>
      <w:r w:rsidRPr="00CC55C0">
        <w:rPr>
          <w:noProof/>
        </w:rPr>
        <w:t>;</w:t>
      </w:r>
      <w:r w:rsidR="00CC55C0" w:rsidRPr="00CC55C0">
        <w:rPr>
          <w:noProof/>
        </w:rPr>
        <w:t xml:space="preserve"> </w:t>
      </w:r>
    </w:p>
    <w:p w14:paraId="0CE5F5A4" w14:textId="4A6D7EC6" w:rsidR="00064ADB" w:rsidRPr="0071228C" w:rsidRDefault="00CC55C0" w:rsidP="00CC55C0">
      <w:pPr>
        <w:pStyle w:val="Point1"/>
        <w:rPr>
          <w:noProof/>
        </w:rPr>
      </w:pPr>
      <w:r>
        <w:rPr>
          <w:noProof/>
        </w:rPr>
        <w:t>b)</w:t>
      </w:r>
      <w:r>
        <w:rPr>
          <w:noProof/>
        </w:rPr>
        <w:tab/>
      </w:r>
      <w:r w:rsidR="00064ADB" w:rsidRPr="0071228C">
        <w:rPr>
          <w:noProof/>
        </w:rPr>
        <w:t>dodaje się ust. 4</w:t>
      </w:r>
      <w:r w:rsidRPr="0071228C">
        <w:rPr>
          <w:noProof/>
        </w:rPr>
        <w:t xml:space="preserve"> i</w:t>
      </w:r>
      <w:r>
        <w:rPr>
          <w:noProof/>
        </w:rPr>
        <w:t> </w:t>
      </w:r>
      <w:r w:rsidRPr="0071228C">
        <w:rPr>
          <w:noProof/>
        </w:rPr>
        <w:t>5 w</w:t>
      </w:r>
      <w:r>
        <w:rPr>
          <w:noProof/>
        </w:rPr>
        <w:t> </w:t>
      </w:r>
      <w:r w:rsidRPr="0071228C">
        <w:rPr>
          <w:noProof/>
        </w:rPr>
        <w:t>brz</w:t>
      </w:r>
      <w:r w:rsidR="00064ADB" w:rsidRPr="0071228C">
        <w:rPr>
          <w:noProof/>
        </w:rPr>
        <w:t xml:space="preserve">mieniu: </w:t>
      </w:r>
    </w:p>
    <w:p w14:paraId="6D0D3B50" w14:textId="05D43709" w:rsidR="00064ADB" w:rsidRPr="00CC55C0" w:rsidRDefault="00064ADB" w:rsidP="00064ADB">
      <w:pPr>
        <w:ind w:left="1417" w:firstLine="12"/>
        <w:rPr>
          <w:bCs/>
          <w:noProof/>
        </w:rPr>
      </w:pPr>
      <w:r w:rsidRPr="0071228C">
        <w:rPr>
          <w:noProof/>
        </w:rPr>
        <w:t>„4. Państwa członkowskie zapewniają, aby dostępne dane</w:t>
      </w:r>
      <w:r w:rsidR="00CC55C0" w:rsidRPr="0071228C">
        <w:rPr>
          <w:noProof/>
        </w:rPr>
        <w:t xml:space="preserve"> z</w:t>
      </w:r>
      <w:r w:rsidR="00CC55C0">
        <w:rPr>
          <w:noProof/>
        </w:rPr>
        <w:t> </w:t>
      </w:r>
      <w:r w:rsidR="00CC55C0" w:rsidRPr="0071228C">
        <w:rPr>
          <w:noProof/>
        </w:rPr>
        <w:t>pos</w:t>
      </w:r>
      <w:r w:rsidRPr="0071228C">
        <w:rPr>
          <w:noProof/>
        </w:rPr>
        <w:t>zczególnych punktów obserwacyjnych zgromadzone zgodnie</w:t>
      </w:r>
      <w:r w:rsidR="00CC55C0" w:rsidRPr="0071228C">
        <w:rPr>
          <w:noProof/>
        </w:rPr>
        <w:t xml:space="preserve"> z</w:t>
      </w:r>
      <w:r w:rsidR="00CC55C0">
        <w:rPr>
          <w:noProof/>
        </w:rPr>
        <w:t> </w:t>
      </w:r>
      <w:r w:rsidR="00CC55C0" w:rsidRPr="0071228C">
        <w:rPr>
          <w:noProof/>
        </w:rPr>
        <w:t>zał</w:t>
      </w:r>
      <w:r w:rsidRPr="0071228C">
        <w:rPr>
          <w:noProof/>
        </w:rPr>
        <w:t xml:space="preserve">ącznikiem V </w:t>
      </w:r>
      <w:r w:rsidRPr="00CC55C0">
        <w:rPr>
          <w:noProof/>
        </w:rPr>
        <w:t>pkt</w:t>
      </w:r>
      <w:r w:rsidR="00CC55C0" w:rsidRPr="00CC55C0">
        <w:rPr>
          <w:noProof/>
        </w:rPr>
        <w:t> </w:t>
      </w:r>
      <w:r w:rsidRPr="00CC55C0">
        <w:rPr>
          <w:noProof/>
        </w:rPr>
        <w:t>1</w:t>
      </w:r>
      <w:r w:rsidRPr="0071228C">
        <w:rPr>
          <w:noProof/>
        </w:rPr>
        <w:t>.3.4 oraz wynikający</w:t>
      </w:r>
      <w:r w:rsidR="00CC55C0" w:rsidRPr="0071228C">
        <w:rPr>
          <w:noProof/>
        </w:rPr>
        <w:t xml:space="preserve"> z</w:t>
      </w:r>
      <w:r w:rsidR="00CC55C0">
        <w:rPr>
          <w:noProof/>
        </w:rPr>
        <w:t> </w:t>
      </w:r>
      <w:r w:rsidR="00CC55C0" w:rsidRPr="0071228C">
        <w:rPr>
          <w:noProof/>
        </w:rPr>
        <w:t>nic</w:t>
      </w:r>
      <w:r w:rsidRPr="0071228C">
        <w:rPr>
          <w:noProof/>
        </w:rPr>
        <w:t>h status zgodnie</w:t>
      </w:r>
      <w:r w:rsidR="00CC55C0" w:rsidRPr="0071228C">
        <w:rPr>
          <w:noProof/>
        </w:rPr>
        <w:t xml:space="preserve"> z</w:t>
      </w:r>
      <w:r w:rsidR="00CC55C0">
        <w:rPr>
          <w:noProof/>
        </w:rPr>
        <w:t> </w:t>
      </w:r>
      <w:r w:rsidR="00CC55C0" w:rsidRPr="0071228C">
        <w:rPr>
          <w:noProof/>
        </w:rPr>
        <w:t>zał</w:t>
      </w:r>
      <w:r w:rsidRPr="0071228C">
        <w:rPr>
          <w:noProof/>
        </w:rPr>
        <w:t>ącznikiem V były podawane do wiadomości publicznej</w:t>
      </w:r>
      <w:r w:rsidR="00CC55C0" w:rsidRPr="0071228C">
        <w:rPr>
          <w:noProof/>
        </w:rPr>
        <w:t xml:space="preserve"> i</w:t>
      </w:r>
      <w:r w:rsidR="00CC55C0">
        <w:rPr>
          <w:noProof/>
        </w:rPr>
        <w:t> </w:t>
      </w:r>
      <w:r w:rsidR="00CC55C0" w:rsidRPr="0071228C">
        <w:rPr>
          <w:noProof/>
        </w:rPr>
        <w:t>prz</w:t>
      </w:r>
      <w:r w:rsidRPr="0071228C">
        <w:rPr>
          <w:noProof/>
        </w:rPr>
        <w:t>ekazywanie Europejskiej Agencji Środowiska (EEA) przynajmniej raz do roku drogą elektroniczną</w:t>
      </w:r>
      <w:r w:rsidR="00CC55C0" w:rsidRPr="0071228C">
        <w:rPr>
          <w:noProof/>
        </w:rPr>
        <w:t xml:space="preserve"> w</w:t>
      </w:r>
      <w:r w:rsidR="00CC55C0">
        <w:rPr>
          <w:noProof/>
        </w:rPr>
        <w:t> </w:t>
      </w:r>
      <w:r w:rsidR="00CC55C0" w:rsidRPr="0071228C">
        <w:rPr>
          <w:noProof/>
        </w:rPr>
        <w:t>for</w:t>
      </w:r>
      <w:r w:rsidRPr="0071228C">
        <w:rPr>
          <w:noProof/>
        </w:rPr>
        <w:t>macie nadającym się do odczytu maszynowego zgodnie</w:t>
      </w:r>
      <w:r w:rsidR="00CC55C0" w:rsidRPr="0071228C">
        <w:rPr>
          <w:noProof/>
        </w:rPr>
        <w:t xml:space="preserve"> z</w:t>
      </w:r>
      <w:r w:rsidR="00CC55C0">
        <w:rPr>
          <w:noProof/>
        </w:rPr>
        <w:t> </w:t>
      </w:r>
      <w:r w:rsidR="00CC55C0" w:rsidRPr="0071228C">
        <w:rPr>
          <w:noProof/>
        </w:rPr>
        <w:t>dyr</w:t>
      </w:r>
      <w:r w:rsidRPr="0071228C">
        <w:rPr>
          <w:noProof/>
        </w:rPr>
        <w:t>ektywą 2003/4/WE Parlamentu Europejskiego</w:t>
      </w:r>
      <w:r w:rsidR="00CC55C0" w:rsidRPr="0071228C">
        <w:rPr>
          <w:noProof/>
        </w:rPr>
        <w:t xml:space="preserve"> i</w:t>
      </w:r>
      <w:r w:rsidR="00CC55C0">
        <w:rPr>
          <w:noProof/>
        </w:rPr>
        <w:t> </w:t>
      </w:r>
      <w:r w:rsidR="00CC55C0" w:rsidRPr="0071228C">
        <w:rPr>
          <w:noProof/>
        </w:rPr>
        <w:t>Rad</w:t>
      </w:r>
      <w:r w:rsidRPr="0071228C">
        <w:rPr>
          <w:noProof/>
        </w:rPr>
        <w:t>y*, dyrektywą 2007/2/WE Parlamentu Europejskiego</w:t>
      </w:r>
      <w:r w:rsidR="00CC55C0" w:rsidRPr="0071228C">
        <w:rPr>
          <w:noProof/>
        </w:rPr>
        <w:t xml:space="preserve"> i</w:t>
      </w:r>
      <w:r w:rsidR="00CC55C0">
        <w:rPr>
          <w:noProof/>
        </w:rPr>
        <w:t> </w:t>
      </w:r>
      <w:r w:rsidR="00CC55C0" w:rsidRPr="0071228C">
        <w:rPr>
          <w:noProof/>
        </w:rPr>
        <w:t>Rad</w:t>
      </w:r>
      <w:r w:rsidRPr="0071228C">
        <w:rPr>
          <w:noProof/>
        </w:rPr>
        <w:t>y** oraz dyrektywą Parlamentu Europejskiego</w:t>
      </w:r>
      <w:r w:rsidR="00CC55C0" w:rsidRPr="0071228C">
        <w:rPr>
          <w:noProof/>
        </w:rPr>
        <w:t xml:space="preserve"> i</w:t>
      </w:r>
      <w:r w:rsidR="00CC55C0">
        <w:rPr>
          <w:noProof/>
        </w:rPr>
        <w:t> </w:t>
      </w:r>
      <w:r w:rsidR="00CC55C0" w:rsidRPr="0071228C">
        <w:rPr>
          <w:noProof/>
        </w:rPr>
        <w:t>Rad</w:t>
      </w:r>
      <w:r w:rsidRPr="0071228C">
        <w:rPr>
          <w:noProof/>
        </w:rPr>
        <w:t>y (UE) 2019/1024***</w:t>
      </w:r>
      <w:r w:rsidR="00CC55C0" w:rsidRPr="0071228C">
        <w:rPr>
          <w:noProof/>
        </w:rPr>
        <w:t>. W</w:t>
      </w:r>
      <w:r w:rsidR="00CC55C0">
        <w:rPr>
          <w:noProof/>
        </w:rPr>
        <w:t> </w:t>
      </w:r>
      <w:r w:rsidR="00CC55C0" w:rsidRPr="0071228C">
        <w:rPr>
          <w:noProof/>
        </w:rPr>
        <w:t>tym</w:t>
      </w:r>
      <w:r w:rsidRPr="0071228C">
        <w:rPr>
          <w:noProof/>
        </w:rPr>
        <w:t xml:space="preserve"> celu państwa członkowskie stosują jednolity format ustanowiony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3</w:t>
      </w:r>
      <w:r w:rsidRPr="0071228C">
        <w:rPr>
          <w:noProof/>
        </w:rPr>
        <w:t xml:space="preserve"> niniejszego artykułu</w:t>
      </w:r>
      <w:r w:rsidRPr="00CC55C0">
        <w:rPr>
          <w:noProof/>
        </w:rPr>
        <w:t>.</w:t>
      </w:r>
      <w:r w:rsidR="00CC55C0" w:rsidRPr="00CC55C0">
        <w:rPr>
          <w:noProof/>
        </w:rPr>
        <w:t xml:space="preserve"> </w:t>
      </w:r>
    </w:p>
    <w:p w14:paraId="2FA968BF" w14:textId="1080877B" w:rsidR="00064ADB" w:rsidRPr="00CC55C0" w:rsidRDefault="00064ADB" w:rsidP="00064ADB">
      <w:pPr>
        <w:pStyle w:val="Text2"/>
        <w:rPr>
          <w:noProof/>
        </w:rPr>
      </w:pPr>
      <w:r w:rsidRPr="0071228C">
        <w:rPr>
          <w:noProof/>
        </w:rPr>
        <w:t>5. EEA zapewnia regularne przetwarzanie</w:t>
      </w:r>
      <w:r w:rsidR="00CC55C0" w:rsidRPr="0071228C">
        <w:rPr>
          <w:noProof/>
        </w:rPr>
        <w:t xml:space="preserve"> i</w:t>
      </w:r>
      <w:r w:rsidR="00CC55C0">
        <w:rPr>
          <w:noProof/>
        </w:rPr>
        <w:t> </w:t>
      </w:r>
      <w:r w:rsidR="00CC55C0" w:rsidRPr="0071228C">
        <w:rPr>
          <w:noProof/>
        </w:rPr>
        <w:t>ana</w:t>
      </w:r>
      <w:r w:rsidRPr="0071228C">
        <w:rPr>
          <w:noProof/>
        </w:rPr>
        <w:t>lizowanie informacji podanych do wiadomości publicznej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4</w:t>
      </w:r>
      <w:r w:rsidR="00CC55C0" w:rsidRPr="0071228C">
        <w:rPr>
          <w:noProof/>
        </w:rPr>
        <w:t xml:space="preserve"> w</w:t>
      </w:r>
      <w:r w:rsidR="00CC55C0">
        <w:rPr>
          <w:noProof/>
        </w:rPr>
        <w:t> </w:t>
      </w:r>
      <w:r w:rsidR="00CC55C0" w:rsidRPr="0071228C">
        <w:rPr>
          <w:noProof/>
        </w:rPr>
        <w:t>cel</w:t>
      </w:r>
      <w:r w:rsidRPr="0071228C">
        <w:rPr>
          <w:noProof/>
        </w:rPr>
        <w:t>u ich udostępnienia – za pośrednictwem odpowiednich portali unijnych – do ponownego wykorzystania przez Komisję</w:t>
      </w:r>
      <w:r w:rsidR="00CC55C0" w:rsidRPr="0071228C">
        <w:rPr>
          <w:noProof/>
        </w:rPr>
        <w:t xml:space="preserve"> i</w:t>
      </w:r>
      <w:r w:rsidR="00CC55C0">
        <w:rPr>
          <w:noProof/>
        </w:rPr>
        <w:t> </w:t>
      </w:r>
      <w:r w:rsidR="00CC55C0" w:rsidRPr="0071228C">
        <w:rPr>
          <w:noProof/>
        </w:rPr>
        <w:t>odp</w:t>
      </w:r>
      <w:r w:rsidRPr="0071228C">
        <w:rPr>
          <w:noProof/>
        </w:rPr>
        <w:t>owiednie agencje unijne oraz</w:t>
      </w:r>
      <w:r w:rsidR="00CC55C0" w:rsidRPr="0071228C">
        <w:rPr>
          <w:noProof/>
        </w:rPr>
        <w:t xml:space="preserve"> w</w:t>
      </w:r>
      <w:r w:rsidR="00CC55C0">
        <w:rPr>
          <w:noProof/>
        </w:rPr>
        <w:t> </w:t>
      </w:r>
      <w:r w:rsidR="00CC55C0" w:rsidRPr="0071228C">
        <w:rPr>
          <w:noProof/>
        </w:rPr>
        <w:t>cel</w:t>
      </w:r>
      <w:r w:rsidRPr="0071228C">
        <w:rPr>
          <w:noProof/>
        </w:rPr>
        <w:t>u dostarczenia Komisji, państwom członkowskim</w:t>
      </w:r>
      <w:r w:rsidR="00CC55C0" w:rsidRPr="0071228C">
        <w:rPr>
          <w:noProof/>
        </w:rPr>
        <w:t xml:space="preserve"> i</w:t>
      </w:r>
      <w:r w:rsidR="00CC55C0">
        <w:rPr>
          <w:noProof/>
        </w:rPr>
        <w:t> </w:t>
      </w:r>
      <w:r w:rsidR="00CC55C0" w:rsidRPr="0071228C">
        <w:rPr>
          <w:noProof/>
        </w:rPr>
        <w:t>spo</w:t>
      </w:r>
      <w:r w:rsidRPr="0071228C">
        <w:rPr>
          <w:noProof/>
        </w:rPr>
        <w:t>łeczeństwu aktualnych, obiektywnych, wiarygodnych</w:t>
      </w:r>
      <w:r w:rsidR="00CC55C0" w:rsidRPr="0071228C">
        <w:rPr>
          <w:noProof/>
        </w:rPr>
        <w:t xml:space="preserve"> i</w:t>
      </w:r>
      <w:r w:rsidR="00CC55C0">
        <w:rPr>
          <w:noProof/>
        </w:rPr>
        <w:t> </w:t>
      </w:r>
      <w:r w:rsidR="00CC55C0" w:rsidRPr="0071228C">
        <w:rPr>
          <w:noProof/>
        </w:rPr>
        <w:t>por</w:t>
      </w:r>
      <w:r w:rsidRPr="0071228C">
        <w:rPr>
          <w:noProof/>
        </w:rPr>
        <w:t>ównywalnych informacji,</w:t>
      </w:r>
      <w:r w:rsidR="00CC55C0" w:rsidRPr="0071228C">
        <w:rPr>
          <w:noProof/>
        </w:rPr>
        <w:t xml:space="preserve"> w</w:t>
      </w:r>
      <w:r w:rsidR="00CC55C0">
        <w:rPr>
          <w:noProof/>
        </w:rPr>
        <w:t> </w:t>
      </w:r>
      <w:r w:rsidR="00CC55C0" w:rsidRPr="0071228C">
        <w:rPr>
          <w:noProof/>
        </w:rPr>
        <w:t>szc</w:t>
      </w:r>
      <w:r w:rsidRPr="0071228C">
        <w:rPr>
          <w:noProof/>
        </w:rPr>
        <w:t>zególności na temat statusu, zgodnie</w:t>
      </w:r>
      <w:r w:rsidR="00CC55C0" w:rsidRPr="0071228C">
        <w:rPr>
          <w:noProof/>
        </w:rPr>
        <w:t xml:space="preserve"> z</w:t>
      </w:r>
      <w:r w:rsidR="00CC55C0">
        <w:rPr>
          <w:noProof/>
        </w:rPr>
        <w:t> </w:t>
      </w:r>
      <w:r w:rsidR="00CC55C0" w:rsidRPr="0071228C">
        <w:rPr>
          <w:noProof/>
        </w:rPr>
        <w:t>roz</w:t>
      </w:r>
      <w:r w:rsidRPr="0071228C">
        <w:rPr>
          <w:noProof/>
        </w:rPr>
        <w:t>porządzeniem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(WE) </w:t>
      </w:r>
      <w:r w:rsidRPr="00CC55C0">
        <w:rPr>
          <w:noProof/>
        </w:rPr>
        <w:t>nr</w:t>
      </w:r>
      <w:r w:rsidR="00CC55C0" w:rsidRPr="00CC55C0">
        <w:rPr>
          <w:noProof/>
        </w:rPr>
        <w:t> </w:t>
      </w:r>
      <w:r w:rsidRPr="00CC55C0">
        <w:rPr>
          <w:noProof/>
        </w:rPr>
        <w:t>4</w:t>
      </w:r>
      <w:r w:rsidRPr="0071228C">
        <w:rPr>
          <w:noProof/>
        </w:rPr>
        <w:t>01/2009****</w:t>
      </w:r>
      <w:r w:rsidRPr="00CC55C0">
        <w:rPr>
          <w:noProof/>
        </w:rPr>
        <w:t>.</w:t>
      </w:r>
      <w:r w:rsidR="00CC55C0" w:rsidRPr="00CC55C0">
        <w:rPr>
          <w:b/>
          <w:noProof/>
        </w:rPr>
        <w:t xml:space="preserve"> </w:t>
      </w:r>
    </w:p>
    <w:p w14:paraId="11242475" w14:textId="77777777" w:rsidR="00064ADB" w:rsidRPr="0071228C" w:rsidRDefault="00064ADB" w:rsidP="00064ADB">
      <w:pPr>
        <w:pStyle w:val="Text2"/>
        <w:rPr>
          <w:noProof/>
        </w:rPr>
      </w:pP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p>
    <w:p w14:paraId="32975168" w14:textId="5B6CEDE2" w:rsidR="00064ADB" w:rsidRPr="0071228C" w:rsidRDefault="00064ADB" w:rsidP="00064ADB">
      <w:pPr>
        <w:pStyle w:val="Text2"/>
        <w:rPr>
          <w:noProof/>
        </w:rPr>
      </w:pPr>
      <w:r w:rsidRPr="0071228C">
        <w:rPr>
          <w:noProof/>
        </w:rPr>
        <w:t>* Dyrektywa 2003/4/WE</w:t>
      </w:r>
      <w:r w:rsidR="00CC55C0" w:rsidRPr="0071228C">
        <w:rPr>
          <w:noProof/>
        </w:rPr>
        <w:t xml:space="preserve"> z</w:t>
      </w:r>
      <w:r w:rsidR="00CC55C0">
        <w:rPr>
          <w:noProof/>
        </w:rPr>
        <w:t> </w:t>
      </w:r>
      <w:r w:rsidR="00CC55C0" w:rsidRPr="0071228C">
        <w:rPr>
          <w:noProof/>
        </w:rPr>
        <w:t>dni</w:t>
      </w:r>
      <w:r w:rsidRPr="0071228C">
        <w:rPr>
          <w:noProof/>
        </w:rPr>
        <w:t>a 28 stycznia 20</w:t>
      </w:r>
      <w:r w:rsidRPr="00CC55C0">
        <w:rPr>
          <w:noProof/>
        </w:rPr>
        <w:t>03</w:t>
      </w:r>
      <w:r w:rsidR="00CC55C0" w:rsidRPr="00CC55C0">
        <w:rPr>
          <w:noProof/>
        </w:rPr>
        <w:t> </w:t>
      </w:r>
      <w:r w:rsidRPr="00CC55C0">
        <w:rPr>
          <w:noProof/>
        </w:rPr>
        <w:t>r.</w:t>
      </w:r>
      <w:r w:rsidRPr="0071228C">
        <w:rPr>
          <w:noProof/>
        </w:rPr>
        <w:t xml:space="preserv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w</w:t>
      </w:r>
      <w:r w:rsidR="00CC55C0">
        <w:rPr>
          <w:noProof/>
        </w:rPr>
        <w:t> </w:t>
      </w:r>
      <w:r w:rsidR="00CC55C0" w:rsidRPr="0071228C">
        <w:rPr>
          <w:noProof/>
        </w:rPr>
        <w:t>spr</w:t>
      </w:r>
      <w:r w:rsidRPr="0071228C">
        <w:rPr>
          <w:noProof/>
        </w:rPr>
        <w:t>awie publicznego dostępu do informacji dotyczących środowiska</w:t>
      </w:r>
      <w:r w:rsidR="00CC55C0" w:rsidRPr="0071228C">
        <w:rPr>
          <w:noProof/>
        </w:rPr>
        <w:t xml:space="preserve"> i</w:t>
      </w:r>
      <w:r w:rsidR="00CC55C0">
        <w:rPr>
          <w:noProof/>
        </w:rPr>
        <w:t> </w:t>
      </w:r>
      <w:r w:rsidR="00CC55C0" w:rsidRPr="0071228C">
        <w:rPr>
          <w:noProof/>
        </w:rPr>
        <w:t>uch</w:t>
      </w:r>
      <w:r w:rsidRPr="0071228C">
        <w:rPr>
          <w:noProof/>
        </w:rPr>
        <w:t>ylająca dyrektywę Rady 90/313/EWG, (Dz.U. L 41</w:t>
      </w:r>
      <w:r w:rsidR="00CC55C0" w:rsidRPr="0071228C">
        <w:rPr>
          <w:noProof/>
        </w:rPr>
        <w:t xml:space="preserve"> z</w:t>
      </w:r>
      <w:r w:rsidR="00CC55C0">
        <w:rPr>
          <w:noProof/>
        </w:rPr>
        <w:t> </w:t>
      </w:r>
      <w:r w:rsidR="00CC55C0" w:rsidRPr="0071228C">
        <w:rPr>
          <w:noProof/>
        </w:rPr>
        <w:t>1</w:t>
      </w:r>
      <w:r w:rsidRPr="0071228C">
        <w:rPr>
          <w:noProof/>
        </w:rPr>
        <w:t>4.2.2003, s. 26).</w:t>
      </w:r>
    </w:p>
    <w:p w14:paraId="721ABF65" w14:textId="58933892" w:rsidR="00064ADB" w:rsidRPr="0071228C" w:rsidRDefault="00064ADB" w:rsidP="00064ADB">
      <w:pPr>
        <w:pStyle w:val="Text2"/>
        <w:rPr>
          <w:noProof/>
        </w:rPr>
      </w:pPr>
      <w:r w:rsidRPr="0071228C">
        <w:rPr>
          <w:noProof/>
        </w:rPr>
        <w:t>** Dyrektywa 2007/2/WE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14 marca 2007 r. ustanawiająca infrastrukturę informacji przestrzennej we Wspólnocie Europejskiej (INSPIRE) (Dz.U. L 108</w:t>
      </w:r>
      <w:r w:rsidR="00CC55C0" w:rsidRPr="0071228C">
        <w:rPr>
          <w:noProof/>
        </w:rPr>
        <w:t xml:space="preserve"> z</w:t>
      </w:r>
      <w:r w:rsidR="00CC55C0">
        <w:rPr>
          <w:noProof/>
        </w:rPr>
        <w:t> </w:t>
      </w:r>
      <w:r w:rsidR="00CC55C0" w:rsidRPr="0071228C">
        <w:rPr>
          <w:noProof/>
        </w:rPr>
        <w:t>2</w:t>
      </w:r>
      <w:r w:rsidRPr="0071228C">
        <w:rPr>
          <w:noProof/>
        </w:rPr>
        <w:t>5.4.2007, s. 1).</w:t>
      </w:r>
    </w:p>
    <w:p w14:paraId="072D83E0" w14:textId="132F5714" w:rsidR="00064ADB" w:rsidRPr="0071228C" w:rsidRDefault="00064ADB" w:rsidP="00064ADB">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(UE) 2019/1024</w:t>
      </w:r>
      <w:r w:rsidR="00CC55C0" w:rsidRPr="0071228C">
        <w:rPr>
          <w:noProof/>
        </w:rPr>
        <w:t xml:space="preserve"> z</w:t>
      </w:r>
      <w:r w:rsidR="00CC55C0">
        <w:rPr>
          <w:noProof/>
        </w:rPr>
        <w:t> </w:t>
      </w:r>
      <w:r w:rsidR="00CC55C0" w:rsidRPr="0071228C">
        <w:rPr>
          <w:noProof/>
        </w:rPr>
        <w:t>dni</w:t>
      </w:r>
      <w:r w:rsidRPr="0071228C">
        <w:rPr>
          <w:noProof/>
        </w:rPr>
        <w:t>a 20 czerwca 20</w:t>
      </w:r>
      <w:r w:rsidRPr="00CC55C0">
        <w:rPr>
          <w:noProof/>
        </w:rPr>
        <w:t>19</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otwartych danych</w:t>
      </w:r>
      <w:r w:rsidR="00CC55C0" w:rsidRPr="0071228C">
        <w:rPr>
          <w:noProof/>
        </w:rPr>
        <w:t xml:space="preserve"> i</w:t>
      </w:r>
      <w:r w:rsidR="00CC55C0">
        <w:rPr>
          <w:noProof/>
        </w:rPr>
        <w:t> </w:t>
      </w:r>
      <w:r w:rsidR="00CC55C0" w:rsidRPr="0071228C">
        <w:rPr>
          <w:noProof/>
        </w:rPr>
        <w:t>pon</w:t>
      </w:r>
      <w:r w:rsidRPr="0071228C">
        <w:rPr>
          <w:noProof/>
        </w:rPr>
        <w:t>ownego wykorzystywania informacji sektora publicznego (Dz.U. L 172</w:t>
      </w:r>
      <w:r w:rsidR="00CC55C0" w:rsidRPr="0071228C">
        <w:rPr>
          <w:noProof/>
        </w:rPr>
        <w:t xml:space="preserve"> z</w:t>
      </w:r>
      <w:r w:rsidR="00CC55C0">
        <w:rPr>
          <w:noProof/>
        </w:rPr>
        <w:t> </w:t>
      </w:r>
      <w:r w:rsidR="00CC55C0" w:rsidRPr="0071228C">
        <w:rPr>
          <w:noProof/>
        </w:rPr>
        <w:t>2</w:t>
      </w:r>
      <w:r w:rsidRPr="0071228C">
        <w:rPr>
          <w:noProof/>
        </w:rPr>
        <w:t>6.6.2019, s. 56).</w:t>
      </w:r>
    </w:p>
    <w:p w14:paraId="7828D75A" w14:textId="15DCD0C5" w:rsidR="00064ADB" w:rsidRPr="0071228C" w:rsidRDefault="00064ADB" w:rsidP="00064ADB">
      <w:pPr>
        <w:pStyle w:val="Text2"/>
        <w:rPr>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(WE) </w:t>
      </w:r>
      <w:r w:rsidRPr="00CC55C0">
        <w:rPr>
          <w:noProof/>
        </w:rPr>
        <w:t>nr</w:t>
      </w:r>
      <w:r w:rsidR="00CC55C0" w:rsidRPr="00CC55C0">
        <w:rPr>
          <w:noProof/>
        </w:rPr>
        <w:t> </w:t>
      </w:r>
      <w:r w:rsidRPr="00CC55C0">
        <w:rPr>
          <w:noProof/>
        </w:rPr>
        <w:t>4</w:t>
      </w:r>
      <w:r w:rsidRPr="0071228C">
        <w:rPr>
          <w:noProof/>
        </w:rPr>
        <w:t>01/2009</w:t>
      </w:r>
      <w:r w:rsidR="00CC55C0" w:rsidRPr="0071228C">
        <w:rPr>
          <w:noProof/>
        </w:rPr>
        <w:t xml:space="preserve"> z</w:t>
      </w:r>
      <w:r w:rsidR="00CC55C0">
        <w:rPr>
          <w:noProof/>
        </w:rPr>
        <w:t> </w:t>
      </w:r>
      <w:r w:rsidR="00CC55C0" w:rsidRPr="0071228C">
        <w:rPr>
          <w:noProof/>
        </w:rPr>
        <w:t>dni</w:t>
      </w:r>
      <w:r w:rsidRPr="0071228C">
        <w:rPr>
          <w:noProof/>
        </w:rPr>
        <w:t>a 23 kwietnia 20</w:t>
      </w:r>
      <w:r w:rsidRPr="00CC55C0">
        <w:rPr>
          <w:noProof/>
        </w:rPr>
        <w:t>09</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Europejskiej Agencji Środowiska oraz Europejskiej Sieci Informacji</w:t>
      </w:r>
      <w:r w:rsidR="00CC55C0" w:rsidRPr="0071228C">
        <w:rPr>
          <w:noProof/>
        </w:rPr>
        <w:t xml:space="preserve"> i</w:t>
      </w:r>
      <w:r w:rsidR="00CC55C0">
        <w:rPr>
          <w:noProof/>
        </w:rPr>
        <w:t> </w:t>
      </w:r>
      <w:r w:rsidR="00CC55C0" w:rsidRPr="0071228C">
        <w:rPr>
          <w:noProof/>
        </w:rPr>
        <w:t>Obs</w:t>
      </w:r>
      <w:r w:rsidRPr="0071228C">
        <w:rPr>
          <w:noProof/>
        </w:rPr>
        <w:t>erwacji Środowiska (Dz.U. L 126</w:t>
      </w:r>
      <w:r w:rsidR="00CC55C0" w:rsidRPr="0071228C">
        <w:rPr>
          <w:noProof/>
        </w:rPr>
        <w:t xml:space="preserve"> z</w:t>
      </w:r>
      <w:r w:rsidR="00CC55C0">
        <w:rPr>
          <w:noProof/>
        </w:rPr>
        <w:t> </w:t>
      </w:r>
      <w:r w:rsidR="00CC55C0" w:rsidRPr="0071228C">
        <w:rPr>
          <w:noProof/>
        </w:rPr>
        <w:t>2</w:t>
      </w:r>
      <w:r w:rsidRPr="0071228C">
        <w:rPr>
          <w:noProof/>
        </w:rPr>
        <w:t xml:space="preserve">1.5.2009, s. 13).”; </w:t>
      </w:r>
    </w:p>
    <w:p w14:paraId="51DA93A0" w14:textId="103AB56C" w:rsidR="00064ADB" w:rsidRPr="0071228C" w:rsidRDefault="00CC55C0" w:rsidP="00CC55C0">
      <w:pPr>
        <w:pStyle w:val="Point0"/>
        <w:rPr>
          <w:noProof/>
        </w:rPr>
      </w:pPr>
      <w:r>
        <w:rPr>
          <w:noProof/>
        </w:rPr>
        <w:t>7)</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1</w:t>
      </w:r>
      <w:r w:rsidR="00064ADB" w:rsidRPr="0071228C">
        <w:rPr>
          <w:noProof/>
        </w:rPr>
        <w:t>0 wprowadza się następujące zmiany:</w:t>
      </w:r>
    </w:p>
    <w:p w14:paraId="495E4BBF" w14:textId="40DB3C8F" w:rsidR="00064ADB" w:rsidRPr="0071228C" w:rsidRDefault="00CC55C0" w:rsidP="00CC55C0">
      <w:pPr>
        <w:pStyle w:val="Point1"/>
        <w:rPr>
          <w:noProof/>
        </w:rPr>
      </w:pPr>
      <w:r>
        <w:rPr>
          <w:noProof/>
        </w:rPr>
        <w:t>a)</w:t>
      </w:r>
      <w:r>
        <w:rPr>
          <w:noProof/>
        </w:rPr>
        <w:tab/>
      </w:r>
      <w:r w:rsidR="00064ADB" w:rsidRPr="0071228C">
        <w:rPr>
          <w:noProof/>
        </w:rPr>
        <w:t>ust. 2 otrzymuje brzmienie:</w:t>
      </w:r>
    </w:p>
    <w:p w14:paraId="418CCA6F" w14:textId="0827BEC5" w:rsidR="00064ADB" w:rsidRPr="0071228C" w:rsidRDefault="00064ADB" w:rsidP="00064ADB">
      <w:pPr>
        <w:pStyle w:val="Text2"/>
        <w:rPr>
          <w:noProof/>
        </w:rPr>
      </w:pPr>
      <w:r w:rsidRPr="0071228C">
        <w:rPr>
          <w:noProof/>
        </w:rPr>
        <w:t>„2. Aby zapewnić zgodność</w:t>
      </w:r>
      <w:r w:rsidR="00CC55C0" w:rsidRPr="0071228C">
        <w:rPr>
          <w:noProof/>
        </w:rPr>
        <w:t xml:space="preserve"> z</w:t>
      </w:r>
      <w:r w:rsidR="00CC55C0">
        <w:rPr>
          <w:noProof/>
        </w:rPr>
        <w:t> </w:t>
      </w:r>
      <w:r w:rsidR="00CC55C0" w:rsidRPr="0071228C">
        <w:rPr>
          <w:noProof/>
        </w:rPr>
        <w:t>cel</w:t>
      </w:r>
      <w:r w:rsidRPr="0071228C">
        <w:rPr>
          <w:noProof/>
        </w:rPr>
        <w:t>ami, normami jakości</w:t>
      </w:r>
      <w:r w:rsidR="00CC55C0" w:rsidRPr="0071228C">
        <w:rPr>
          <w:noProof/>
        </w:rPr>
        <w:t xml:space="preserve"> i</w:t>
      </w:r>
      <w:r w:rsidR="00CC55C0">
        <w:rPr>
          <w:noProof/>
        </w:rPr>
        <w:t> </w:t>
      </w:r>
      <w:r w:rsidR="00CC55C0" w:rsidRPr="0071228C">
        <w:rPr>
          <w:noProof/>
        </w:rPr>
        <w:t>pro</w:t>
      </w:r>
      <w:r w:rsidRPr="0071228C">
        <w:rPr>
          <w:noProof/>
        </w:rPr>
        <w:t>gami ustanowionymi zgodnie</w:t>
      </w:r>
      <w:r w:rsidR="00CC55C0" w:rsidRPr="0071228C">
        <w:rPr>
          <w:noProof/>
        </w:rPr>
        <w:t xml:space="preserve"> z</w:t>
      </w:r>
      <w:r w:rsidR="00CC55C0">
        <w:rPr>
          <w:noProof/>
        </w:rPr>
        <w:t> </w:t>
      </w:r>
      <w:r w:rsidR="00CC55C0" w:rsidRPr="0071228C">
        <w:rPr>
          <w:noProof/>
        </w:rPr>
        <w:t>nin</w:t>
      </w:r>
      <w:r w:rsidRPr="0071228C">
        <w:rPr>
          <w:noProof/>
        </w:rPr>
        <w:t>iejszą dyrektywą, państwa członkowskie gwarantują ustanowienie</w:t>
      </w:r>
      <w:r w:rsidR="00CC55C0" w:rsidRPr="0071228C">
        <w:rPr>
          <w:noProof/>
        </w:rPr>
        <w:t xml:space="preserve"> i</w:t>
      </w:r>
      <w:r w:rsidR="00CC55C0">
        <w:rPr>
          <w:noProof/>
        </w:rPr>
        <w:t> </w:t>
      </w:r>
      <w:r w:rsidR="00CC55C0" w:rsidRPr="0071228C">
        <w:rPr>
          <w:noProof/>
        </w:rPr>
        <w:t>wdr</w:t>
      </w:r>
      <w:r w:rsidRPr="0071228C">
        <w:rPr>
          <w:noProof/>
        </w:rPr>
        <w:t>ożenie następujących elementów:</w:t>
      </w:r>
    </w:p>
    <w:p w14:paraId="513EDB51" w14:textId="77777777" w:rsidR="00064ADB" w:rsidRPr="0071228C" w:rsidRDefault="00064ADB" w:rsidP="00064ADB">
      <w:pPr>
        <w:pStyle w:val="Text2"/>
        <w:rPr>
          <w:noProof/>
        </w:rPr>
      </w:pPr>
      <w:r w:rsidRPr="0071228C">
        <w:rPr>
          <w:noProof/>
        </w:rPr>
        <w:t>a) kontroli emisji opartych na najlepszych dostępnych technikach;</w:t>
      </w:r>
    </w:p>
    <w:p w14:paraId="737087D7" w14:textId="77777777" w:rsidR="00064ADB" w:rsidRPr="0071228C" w:rsidRDefault="00064ADB" w:rsidP="00064ADB">
      <w:pPr>
        <w:pStyle w:val="Text2"/>
        <w:rPr>
          <w:noProof/>
        </w:rPr>
      </w:pPr>
      <w:r w:rsidRPr="0071228C">
        <w:rPr>
          <w:noProof/>
        </w:rPr>
        <w:t>b) odpowiednich dopuszczalnych wartości emisji;</w:t>
      </w:r>
    </w:p>
    <w:p w14:paraId="3F184601" w14:textId="26788A46" w:rsidR="00064ADB" w:rsidRPr="0071228C" w:rsidRDefault="00064ADB" w:rsidP="00064ADB">
      <w:pPr>
        <w:pStyle w:val="Text2"/>
        <w:rPr>
          <w:noProof/>
        </w:rPr>
      </w:pPr>
      <w:r w:rsidRPr="0071228C">
        <w:rPr>
          <w:noProof/>
        </w:rPr>
        <w:t>c)</w:t>
      </w:r>
      <w:r w:rsidR="00CC55C0" w:rsidRPr="0071228C">
        <w:rPr>
          <w:noProof/>
        </w:rPr>
        <w:t xml:space="preserve"> w</w:t>
      </w:r>
      <w:r w:rsidR="00CC55C0">
        <w:rPr>
          <w:noProof/>
        </w:rPr>
        <w:t> </w:t>
      </w:r>
      <w:r w:rsidR="00CC55C0" w:rsidRPr="0071228C">
        <w:rPr>
          <w:noProof/>
        </w:rPr>
        <w:t>prz</w:t>
      </w:r>
      <w:r w:rsidRPr="0071228C">
        <w:rPr>
          <w:noProof/>
        </w:rPr>
        <w:t>ypadku wpływów rozproszonych kontrole obejmujące, gdzie stosowne, najlepsze praktyki środowiskowe wymienione w:</w:t>
      </w:r>
    </w:p>
    <w:p w14:paraId="21427ACB" w14:textId="244B1F0F" w:rsidR="00B27A17" w:rsidRPr="0071228C" w:rsidRDefault="00B27A17" w:rsidP="000B6D56">
      <w:pPr>
        <w:pStyle w:val="Tiret2"/>
        <w:numPr>
          <w:ilvl w:val="0"/>
          <w:numId w:val="18"/>
        </w:numPr>
        <w:rPr>
          <w:noProof/>
        </w:rPr>
      </w:pPr>
      <w:r w:rsidRPr="0071228C">
        <w:rPr>
          <w:noProof/>
        </w:rPr>
        <w:t>dyrektywie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2009/128/WE*; </w:t>
      </w:r>
    </w:p>
    <w:p w14:paraId="0E6D7CD7" w14:textId="4533B820" w:rsidR="00064ADB" w:rsidRPr="0071228C" w:rsidRDefault="00064ADB" w:rsidP="00403AE9">
      <w:pPr>
        <w:pStyle w:val="Tiret2"/>
        <w:rPr>
          <w:noProof/>
        </w:rPr>
      </w:pPr>
      <w:r w:rsidRPr="0071228C">
        <w:rPr>
          <w:noProof/>
        </w:rPr>
        <w:t>dyrektywie Parlamentu Europejskiego</w:t>
      </w:r>
      <w:r w:rsidR="00CC55C0" w:rsidRPr="0071228C">
        <w:rPr>
          <w:noProof/>
        </w:rPr>
        <w:t xml:space="preserve"> i</w:t>
      </w:r>
      <w:r w:rsidR="00CC55C0">
        <w:rPr>
          <w:noProof/>
        </w:rPr>
        <w:t> </w:t>
      </w:r>
      <w:r w:rsidR="00CC55C0" w:rsidRPr="0071228C">
        <w:rPr>
          <w:noProof/>
        </w:rPr>
        <w:t>Rad</w:t>
      </w:r>
      <w:r w:rsidRPr="0071228C">
        <w:rPr>
          <w:noProof/>
        </w:rPr>
        <w:t>y 2010/75/UE**;</w:t>
      </w:r>
    </w:p>
    <w:p w14:paraId="195AF556" w14:textId="77777777" w:rsidR="00064ADB" w:rsidRPr="0071228C" w:rsidRDefault="00064ADB" w:rsidP="00403AE9">
      <w:pPr>
        <w:pStyle w:val="Tiret2"/>
        <w:rPr>
          <w:noProof/>
        </w:rPr>
      </w:pPr>
      <w:r w:rsidRPr="0071228C">
        <w:rPr>
          <w:noProof/>
        </w:rPr>
        <w:t xml:space="preserve">dyrektywie Rady 91/271/EWG***; </w:t>
      </w:r>
    </w:p>
    <w:p w14:paraId="5182A4AE" w14:textId="77777777" w:rsidR="00064ADB" w:rsidRPr="0071228C" w:rsidRDefault="00064ADB" w:rsidP="00403AE9">
      <w:pPr>
        <w:pStyle w:val="Tiret2"/>
        <w:rPr>
          <w:noProof/>
        </w:rPr>
      </w:pPr>
      <w:r w:rsidRPr="0071228C">
        <w:rPr>
          <w:noProof/>
        </w:rPr>
        <w:t>dyrektywie Rady 91/676/EWG****;</w:t>
      </w:r>
    </w:p>
    <w:p w14:paraId="1BF48925" w14:textId="77777777" w:rsidR="00064ADB" w:rsidRPr="0071228C" w:rsidRDefault="00064ADB" w:rsidP="00403AE9">
      <w:pPr>
        <w:pStyle w:val="Tiret2"/>
        <w:rPr>
          <w:noProof/>
        </w:rPr>
      </w:pPr>
      <w:r w:rsidRPr="0071228C">
        <w:rPr>
          <w:noProof/>
        </w:rPr>
        <w:t>wszelkich innych przepisach Unii mających znaczenie dla rozwiązania problemu zanieczyszczeń ze źródeł punktowych lub rozproszonych.</w:t>
      </w:r>
    </w:p>
    <w:p w14:paraId="0F3E136E" w14:textId="77777777" w:rsidR="00064ADB" w:rsidRPr="0071228C" w:rsidRDefault="00064ADB" w:rsidP="00064ADB">
      <w:pPr>
        <w:pStyle w:val="Text2"/>
        <w:rPr>
          <w:noProof/>
          <w:u w:val="single"/>
        </w:rPr>
      </w:pPr>
      <w:r w:rsidRPr="0071228C">
        <w:rPr>
          <w:noProof/>
        </w:rPr>
        <w:t xml:space="preserve"> </w:t>
      </w:r>
      <w:r w:rsidRPr="0071228C">
        <w:rPr>
          <w:noProof/>
        </w:rPr>
        <w:tab/>
      </w:r>
      <w:r w:rsidRPr="0071228C">
        <w:rPr>
          <w:noProof/>
        </w:rPr>
        <w:tab/>
      </w:r>
      <w:r w:rsidRPr="0071228C">
        <w:rPr>
          <w:noProof/>
        </w:rPr>
        <w:tab/>
      </w:r>
      <w:r w:rsidRPr="0071228C">
        <w:rPr>
          <w:noProof/>
        </w:rPr>
        <w:tab/>
      </w:r>
    </w:p>
    <w:p w14:paraId="5B7C2545" w14:textId="77777777" w:rsidR="00064ADB" w:rsidRPr="0071228C" w:rsidRDefault="00064ADB" w:rsidP="00064ADB">
      <w:pPr>
        <w:ind w:left="850"/>
        <w:rPr>
          <w:noProof/>
        </w:rPr>
      </w:pPr>
      <w:r w:rsidRPr="0071228C">
        <w:rPr>
          <w:noProof/>
        </w:rPr>
        <w:tab/>
      </w:r>
      <w:r w:rsidRPr="0071228C">
        <w:rPr>
          <w:noProof/>
        </w:rPr>
        <w:tab/>
      </w:r>
      <w:r w:rsidRPr="0071228C">
        <w:rPr>
          <w:noProof/>
        </w:rPr>
        <w:tab/>
      </w:r>
      <w:r w:rsidRPr="0071228C">
        <w:rPr>
          <w:noProof/>
        </w:rPr>
        <w:tab/>
      </w:r>
    </w:p>
    <w:p w14:paraId="44AEBEC1" w14:textId="3CF98259" w:rsidR="00B27A17" w:rsidRPr="0071228C" w:rsidRDefault="00B27A17" w:rsidP="00064ADB">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2009/128/WE</w:t>
      </w:r>
      <w:r w:rsidR="00CC55C0" w:rsidRPr="0071228C">
        <w:rPr>
          <w:noProof/>
        </w:rPr>
        <w:t xml:space="preserve"> z</w:t>
      </w:r>
      <w:r w:rsidR="00CC55C0">
        <w:rPr>
          <w:noProof/>
        </w:rPr>
        <w:t> </w:t>
      </w:r>
      <w:r w:rsidR="00CC55C0" w:rsidRPr="0071228C">
        <w:rPr>
          <w:noProof/>
        </w:rPr>
        <w:t>dni</w:t>
      </w:r>
      <w:r w:rsidRPr="0071228C">
        <w:rPr>
          <w:noProof/>
        </w:rPr>
        <w:t>a 21 października 20</w:t>
      </w:r>
      <w:r w:rsidRPr="00CC55C0">
        <w:rPr>
          <w:noProof/>
        </w:rPr>
        <w:t>09</w:t>
      </w:r>
      <w:r w:rsidR="00CC55C0" w:rsidRPr="00CC55C0">
        <w:rPr>
          <w:noProof/>
        </w:rPr>
        <w:t> </w:t>
      </w:r>
      <w:r w:rsidRPr="00CC55C0">
        <w:rPr>
          <w:noProof/>
        </w:rPr>
        <w:t>r.</w:t>
      </w:r>
      <w:r w:rsidRPr="0071228C">
        <w:rPr>
          <w:noProof/>
        </w:rPr>
        <w:t xml:space="preserve"> ustanawiająca ramy wspólnotowego działania na rzecz zrównoważonego stosowania pestycydów (Dz.U. L 309</w:t>
      </w:r>
      <w:r w:rsidR="00CC55C0" w:rsidRPr="0071228C">
        <w:rPr>
          <w:noProof/>
        </w:rPr>
        <w:t xml:space="preserve"> z</w:t>
      </w:r>
      <w:r w:rsidR="00CC55C0">
        <w:rPr>
          <w:noProof/>
        </w:rPr>
        <w:t> </w:t>
      </w:r>
      <w:r w:rsidR="00CC55C0" w:rsidRPr="0071228C">
        <w:rPr>
          <w:noProof/>
        </w:rPr>
        <w:t>2</w:t>
      </w:r>
      <w:r w:rsidRPr="0071228C">
        <w:rPr>
          <w:noProof/>
        </w:rPr>
        <w:t>4.11.2009, s. 71).</w:t>
      </w:r>
    </w:p>
    <w:p w14:paraId="7ED8C129" w14:textId="052E61B5" w:rsidR="00064ADB" w:rsidRPr="0071228C" w:rsidRDefault="00B27A17" w:rsidP="00064ADB">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2010/75/UE</w:t>
      </w:r>
      <w:r w:rsidR="00CC55C0" w:rsidRPr="0071228C">
        <w:rPr>
          <w:noProof/>
        </w:rPr>
        <w:t xml:space="preserve"> z</w:t>
      </w:r>
      <w:r w:rsidR="00CC55C0">
        <w:rPr>
          <w:noProof/>
        </w:rPr>
        <w:t> </w:t>
      </w:r>
      <w:r w:rsidR="00CC55C0" w:rsidRPr="0071228C">
        <w:rPr>
          <w:noProof/>
        </w:rPr>
        <w:t>dni</w:t>
      </w:r>
      <w:r w:rsidRPr="0071228C">
        <w:rPr>
          <w:noProof/>
        </w:rPr>
        <w:t>a 24 listopada 20</w:t>
      </w:r>
      <w:r w:rsidRPr="00CC55C0">
        <w:rPr>
          <w:noProof/>
        </w:rPr>
        <w:t>10</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emisji przemysłowych, (Dz.U. L 334</w:t>
      </w:r>
      <w:r w:rsidR="00CC55C0" w:rsidRPr="0071228C">
        <w:rPr>
          <w:noProof/>
        </w:rPr>
        <w:t xml:space="preserve"> z</w:t>
      </w:r>
      <w:r w:rsidR="00CC55C0">
        <w:rPr>
          <w:noProof/>
        </w:rPr>
        <w:t> </w:t>
      </w:r>
      <w:r w:rsidR="00CC55C0" w:rsidRPr="0071228C">
        <w:rPr>
          <w:noProof/>
        </w:rPr>
        <w:t>1</w:t>
      </w:r>
      <w:r w:rsidRPr="0071228C">
        <w:rPr>
          <w:noProof/>
        </w:rPr>
        <w:t>7.12.2010, s. 17).</w:t>
      </w:r>
    </w:p>
    <w:p w14:paraId="5C7733EF" w14:textId="2BA5B2CC" w:rsidR="00064ADB" w:rsidRPr="0071228C" w:rsidRDefault="00B27A17" w:rsidP="00064ADB">
      <w:pPr>
        <w:pStyle w:val="Text2"/>
        <w:rPr>
          <w:noProof/>
        </w:rPr>
      </w:pPr>
      <w:r w:rsidRPr="0071228C">
        <w:rPr>
          <w:noProof/>
        </w:rPr>
        <w:t>*** Dyrektywa Rady 91/271/EWG</w:t>
      </w:r>
      <w:r w:rsidR="00CC55C0" w:rsidRPr="0071228C">
        <w:rPr>
          <w:noProof/>
        </w:rPr>
        <w:t xml:space="preserve"> z</w:t>
      </w:r>
      <w:r w:rsidR="00CC55C0">
        <w:rPr>
          <w:noProof/>
        </w:rPr>
        <w:t> </w:t>
      </w:r>
      <w:r w:rsidR="00CC55C0" w:rsidRPr="0071228C">
        <w:rPr>
          <w:noProof/>
        </w:rPr>
        <w:t>dni</w:t>
      </w:r>
      <w:r w:rsidRPr="0071228C">
        <w:rPr>
          <w:noProof/>
        </w:rPr>
        <w:t>a 21 maja 1991 r. dotycząca oczyszczania ścieków komunalnych (Dz.U. L 135</w:t>
      </w:r>
      <w:r w:rsidR="00CC55C0" w:rsidRPr="0071228C">
        <w:rPr>
          <w:noProof/>
        </w:rPr>
        <w:t xml:space="preserve"> z</w:t>
      </w:r>
      <w:r w:rsidR="00CC55C0">
        <w:rPr>
          <w:noProof/>
        </w:rPr>
        <w:t> </w:t>
      </w:r>
      <w:r w:rsidR="00CC55C0" w:rsidRPr="0071228C">
        <w:rPr>
          <w:noProof/>
        </w:rPr>
        <w:t>3</w:t>
      </w:r>
      <w:r w:rsidRPr="0071228C">
        <w:rPr>
          <w:noProof/>
        </w:rPr>
        <w:t>0.5.1991, s. 40).</w:t>
      </w:r>
    </w:p>
    <w:p w14:paraId="64104358" w14:textId="3CC53BC9" w:rsidR="00064ADB" w:rsidRPr="0071228C" w:rsidRDefault="00B27A17" w:rsidP="00064ADB">
      <w:pPr>
        <w:pStyle w:val="Text2"/>
        <w:rPr>
          <w:noProof/>
        </w:rPr>
      </w:pPr>
      <w:r w:rsidRPr="0071228C">
        <w:rPr>
          <w:noProof/>
        </w:rPr>
        <w:t>**** Dyrektywa Rady 91/676/EWG</w:t>
      </w:r>
      <w:r w:rsidR="00CC55C0" w:rsidRPr="0071228C">
        <w:rPr>
          <w:noProof/>
        </w:rPr>
        <w:t xml:space="preserve"> z</w:t>
      </w:r>
      <w:r w:rsidR="00CC55C0">
        <w:rPr>
          <w:noProof/>
        </w:rPr>
        <w:t> </w:t>
      </w:r>
      <w:r w:rsidR="00CC55C0" w:rsidRPr="0071228C">
        <w:rPr>
          <w:noProof/>
        </w:rPr>
        <w:t>dni</w:t>
      </w:r>
      <w:r w:rsidRPr="0071228C">
        <w:rPr>
          <w:noProof/>
        </w:rPr>
        <w:t>a 12 grudnia 19</w:t>
      </w:r>
      <w:r w:rsidRPr="00CC55C0">
        <w:rPr>
          <w:noProof/>
        </w:rPr>
        <w:t>91</w:t>
      </w:r>
      <w:r w:rsidR="00CC55C0" w:rsidRPr="00CC55C0">
        <w:rPr>
          <w:noProof/>
        </w:rPr>
        <w:t> </w:t>
      </w:r>
      <w:r w:rsidRPr="00CC55C0">
        <w:rPr>
          <w:noProof/>
        </w:rPr>
        <w:t>r.</w:t>
      </w:r>
      <w:r w:rsidRPr="0071228C">
        <w:rPr>
          <w:noProof/>
        </w:rPr>
        <w:t xml:space="preserve"> dotycząca ochrony wód przed zanieczyszczeniami powodowanymi przez azotany pochodzenia rolniczego (Dz.U. L 375</w:t>
      </w:r>
      <w:r w:rsidR="00CC55C0" w:rsidRPr="0071228C">
        <w:rPr>
          <w:noProof/>
        </w:rPr>
        <w:t xml:space="preserve"> z</w:t>
      </w:r>
      <w:r w:rsidR="00CC55C0">
        <w:rPr>
          <w:noProof/>
        </w:rPr>
        <w:t> </w:t>
      </w:r>
      <w:r w:rsidR="00CC55C0" w:rsidRPr="0071228C">
        <w:rPr>
          <w:noProof/>
        </w:rPr>
        <w:t>3</w:t>
      </w:r>
      <w:r w:rsidRPr="0071228C">
        <w:rPr>
          <w:noProof/>
        </w:rPr>
        <w:t>1.12.1991, s. 1).”;</w:t>
      </w:r>
    </w:p>
    <w:p w14:paraId="5EF479E8" w14:textId="7C8EDCC8" w:rsidR="00064ADB" w:rsidRPr="0071228C" w:rsidRDefault="00CC55C0" w:rsidP="00CC55C0">
      <w:pPr>
        <w:pStyle w:val="Point1"/>
        <w:rPr>
          <w:noProof/>
        </w:rPr>
      </w:pPr>
      <w:r>
        <w:rPr>
          <w:noProof/>
        </w:rPr>
        <w:t>b)</w:t>
      </w:r>
      <w:r>
        <w:rPr>
          <w:noProof/>
        </w:rPr>
        <w:tab/>
      </w:r>
      <w:r w:rsidR="00064ADB" w:rsidRPr="0071228C">
        <w:rPr>
          <w:noProof/>
        </w:rPr>
        <w:t>ust. 3 otrzymuje brzmienie:</w:t>
      </w:r>
    </w:p>
    <w:p w14:paraId="63F5AB8C" w14:textId="7BCDB397" w:rsidR="00064ADB" w:rsidRPr="0071228C" w:rsidRDefault="00064ADB" w:rsidP="00064ADB">
      <w:pPr>
        <w:pStyle w:val="Text2"/>
        <w:rPr>
          <w:i/>
          <w:noProof/>
        </w:rPr>
      </w:pPr>
      <w:r w:rsidRPr="0071228C">
        <w:rPr>
          <w:noProof/>
        </w:rPr>
        <w:t>„3</w:t>
      </w:r>
      <w:r w:rsidR="00CC55C0" w:rsidRPr="0071228C">
        <w:rPr>
          <w:noProof/>
        </w:rPr>
        <w:t>. W</w:t>
      </w:r>
      <w:r w:rsidR="00CC55C0">
        <w:rPr>
          <w:noProof/>
        </w:rPr>
        <w:t> </w:t>
      </w:r>
      <w:r w:rsidR="00CC55C0" w:rsidRPr="0071228C">
        <w:rPr>
          <w:noProof/>
        </w:rPr>
        <w:t>prz</w:t>
      </w:r>
      <w:r w:rsidRPr="0071228C">
        <w:rPr>
          <w:noProof/>
        </w:rPr>
        <w:t xml:space="preserve">ypadku gdy cel, norma jakości lub próg, określone na mocy niniejszej dyrektywy, na mocy dyrektyw 2006/118/WE </w:t>
      </w:r>
      <w:r w:rsidRPr="00CC55C0">
        <w:rPr>
          <w:noProof/>
        </w:rPr>
        <w:t>lub</w:t>
      </w:r>
      <w:r w:rsidR="00CC55C0" w:rsidRPr="00CC55C0">
        <w:rPr>
          <w:noProof/>
        </w:rPr>
        <w:t> </w:t>
      </w:r>
      <w:r w:rsidRPr="00CC55C0">
        <w:rPr>
          <w:noProof/>
        </w:rPr>
        <w:t>2</w:t>
      </w:r>
      <w:r w:rsidRPr="0071228C">
        <w:rPr>
          <w:noProof/>
        </w:rPr>
        <w:t>008/105/WE, czy też zgodnie</w:t>
      </w:r>
      <w:r w:rsidR="00CC55C0" w:rsidRPr="0071228C">
        <w:rPr>
          <w:noProof/>
        </w:rPr>
        <w:t xml:space="preserve"> z</w:t>
      </w:r>
      <w:r w:rsidR="00CC55C0">
        <w:rPr>
          <w:noProof/>
        </w:rPr>
        <w:t> </w:t>
      </w:r>
      <w:r w:rsidR="00CC55C0" w:rsidRPr="0071228C">
        <w:rPr>
          <w:noProof/>
        </w:rPr>
        <w:t>jak</w:t>
      </w:r>
      <w:r w:rsidRPr="0071228C">
        <w:rPr>
          <w:noProof/>
        </w:rPr>
        <w:t>imikolwiek innymi przepisami Unii, wymaga bardziej restrykcyjnych warunków od wynikających</w:t>
      </w:r>
      <w:r w:rsidR="00CC55C0" w:rsidRPr="0071228C">
        <w:rPr>
          <w:noProof/>
        </w:rPr>
        <w:t xml:space="preserve"> z</w:t>
      </w:r>
      <w:r w:rsidR="00CC55C0">
        <w:rPr>
          <w:noProof/>
        </w:rPr>
        <w:t> </w:t>
      </w:r>
      <w:r w:rsidR="00CC55C0" w:rsidRPr="0071228C">
        <w:rPr>
          <w:noProof/>
        </w:rPr>
        <w:t>wyk</w:t>
      </w:r>
      <w:r w:rsidRPr="0071228C">
        <w:rPr>
          <w:noProof/>
        </w:rPr>
        <w:t xml:space="preserve">onania </w:t>
      </w:r>
      <w:r w:rsidRPr="00CC55C0">
        <w:rPr>
          <w:noProof/>
        </w:rPr>
        <w:t>ust.</w:t>
      </w:r>
      <w:r w:rsidR="00CC55C0" w:rsidRPr="00CC55C0">
        <w:rPr>
          <w:noProof/>
        </w:rPr>
        <w:t> </w:t>
      </w:r>
      <w:r w:rsidRPr="00CC55C0">
        <w:rPr>
          <w:noProof/>
        </w:rPr>
        <w:t>2</w:t>
      </w:r>
      <w:r w:rsidRPr="0071228C">
        <w:rPr>
          <w:noProof/>
        </w:rPr>
        <w:t>, są ustalone odpowiednio bardziej restrykcyjne kontrole emisji.”;</w:t>
      </w:r>
    </w:p>
    <w:p w14:paraId="62C2F3C6" w14:textId="01589112" w:rsidR="00064ADB" w:rsidRPr="0071228C" w:rsidRDefault="00CC55C0" w:rsidP="00CC55C0">
      <w:pPr>
        <w:pStyle w:val="Point0"/>
        <w:rPr>
          <w:noProof/>
        </w:rPr>
      </w:pPr>
      <w:r>
        <w:rPr>
          <w:noProof/>
        </w:rPr>
        <w:t>8)</w:t>
      </w:r>
      <w:r>
        <w:rPr>
          <w:noProof/>
        </w:rPr>
        <w:tab/>
      </w:r>
      <w:r w:rsidR="00064ADB" w:rsidRPr="00CC55C0">
        <w:rPr>
          <w:noProof/>
        </w:rPr>
        <w:t>art.</w:t>
      </w:r>
      <w:r w:rsidRPr="00CC55C0">
        <w:rPr>
          <w:noProof/>
        </w:rPr>
        <w:t> </w:t>
      </w:r>
      <w:r w:rsidR="00064ADB" w:rsidRPr="00CC55C0">
        <w:rPr>
          <w:noProof/>
        </w:rPr>
        <w:t>1</w:t>
      </w:r>
      <w:r w:rsidR="00064ADB" w:rsidRPr="0071228C">
        <w:rPr>
          <w:noProof/>
        </w:rPr>
        <w:t xml:space="preserve">1 </w:t>
      </w:r>
      <w:r w:rsidR="00064ADB" w:rsidRPr="00CC55C0">
        <w:rPr>
          <w:noProof/>
        </w:rPr>
        <w:t>ust.</w:t>
      </w:r>
      <w:r w:rsidRPr="00CC55C0">
        <w:rPr>
          <w:noProof/>
        </w:rPr>
        <w:t> </w:t>
      </w:r>
      <w:r w:rsidR="00064ADB" w:rsidRPr="00CC55C0">
        <w:rPr>
          <w:noProof/>
        </w:rPr>
        <w:t>3</w:t>
      </w:r>
      <w:r w:rsidR="00064ADB" w:rsidRPr="0071228C">
        <w:rPr>
          <w:noProof/>
        </w:rPr>
        <w:t xml:space="preserve"> </w:t>
      </w:r>
      <w:r w:rsidR="00064ADB" w:rsidRPr="00CC55C0">
        <w:rPr>
          <w:noProof/>
        </w:rPr>
        <w:t>lit.</w:t>
      </w:r>
      <w:r w:rsidRPr="00CC55C0">
        <w:rPr>
          <w:noProof/>
        </w:rPr>
        <w:t> </w:t>
      </w:r>
      <w:r w:rsidR="00064ADB" w:rsidRPr="00CC55C0">
        <w:rPr>
          <w:noProof/>
        </w:rPr>
        <w:t>k)</w:t>
      </w:r>
      <w:r w:rsidR="00064ADB" w:rsidRPr="0071228C">
        <w:rPr>
          <w:noProof/>
        </w:rPr>
        <w:t xml:space="preserve"> otrzymuje brzmienie:</w:t>
      </w:r>
    </w:p>
    <w:p w14:paraId="6C0ECB91" w14:textId="6BD51420" w:rsidR="00064ADB" w:rsidRPr="0071228C" w:rsidRDefault="00064ADB" w:rsidP="00064ADB">
      <w:pPr>
        <w:pStyle w:val="Text1"/>
        <w:rPr>
          <w:noProof/>
        </w:rPr>
      </w:pPr>
      <w:r w:rsidRPr="0071228C">
        <w:rPr>
          <w:noProof/>
        </w:rPr>
        <w:t>„k) środki dla wyeliminowania zanieczyszczeń wód powierzchniowych przez priorytetowe substancje niebezpieczne, oraz dla stopniowego ograniczenia zanieczyszczenia przez inne substancje, które</w:t>
      </w:r>
      <w:r w:rsidR="00CC55C0" w:rsidRPr="0071228C">
        <w:rPr>
          <w:noProof/>
        </w:rPr>
        <w:t xml:space="preserve"> w</w:t>
      </w:r>
      <w:r w:rsidR="00CC55C0">
        <w:rPr>
          <w:noProof/>
        </w:rPr>
        <w:t> </w:t>
      </w:r>
      <w:r w:rsidR="00CC55C0" w:rsidRPr="0071228C">
        <w:rPr>
          <w:noProof/>
        </w:rPr>
        <w:t>inn</w:t>
      </w:r>
      <w:r w:rsidRPr="0071228C">
        <w:rPr>
          <w:noProof/>
        </w:rPr>
        <w:t>ym przypadku mogłyby uniemożliwiać osiągnięcie przez państwa członkowskie celów środowiskowych dla jednolitych części wód powierzchniowych, określonych</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Pr="0071228C">
        <w:rPr>
          <w:noProof/>
        </w:rPr>
        <w:t xml:space="preserve">;”; </w:t>
      </w:r>
    </w:p>
    <w:p w14:paraId="0EA47550" w14:textId="78F0E33F" w:rsidR="00064ADB" w:rsidRPr="0071228C" w:rsidRDefault="00CC55C0" w:rsidP="00CC55C0">
      <w:pPr>
        <w:pStyle w:val="Point0"/>
        <w:rPr>
          <w:noProof/>
        </w:rPr>
      </w:pPr>
      <w:r>
        <w:rPr>
          <w:noProof/>
        </w:rPr>
        <w:t>9)</w:t>
      </w:r>
      <w:r>
        <w:rPr>
          <w:noProof/>
        </w:rPr>
        <w:tab/>
      </w:r>
      <w:r w:rsidR="00064ADB" w:rsidRPr="00CC55C0">
        <w:rPr>
          <w:noProof/>
        </w:rPr>
        <w:t>art.</w:t>
      </w:r>
      <w:r w:rsidRPr="00CC55C0">
        <w:rPr>
          <w:noProof/>
        </w:rPr>
        <w:t> </w:t>
      </w:r>
      <w:r w:rsidR="00064ADB" w:rsidRPr="00CC55C0">
        <w:rPr>
          <w:noProof/>
        </w:rPr>
        <w:t>1</w:t>
      </w:r>
      <w:r w:rsidR="00064ADB" w:rsidRPr="0071228C">
        <w:rPr>
          <w:noProof/>
        </w:rPr>
        <w:t>2 otrzymuje brzmienie:</w:t>
      </w:r>
    </w:p>
    <w:p w14:paraId="56352673" w14:textId="77777777" w:rsidR="00064ADB" w:rsidRPr="00CC55C0" w:rsidRDefault="00064ADB" w:rsidP="00064ADB">
      <w:pPr>
        <w:pStyle w:val="NormalCentered"/>
        <w:rPr>
          <w:noProof/>
        </w:rPr>
      </w:pPr>
      <w:r w:rsidRPr="0071228C">
        <w:rPr>
          <w:noProof/>
        </w:rPr>
        <w:t>„</w:t>
      </w:r>
      <w:r w:rsidRPr="0071228C">
        <w:rPr>
          <w:i/>
          <w:noProof/>
        </w:rPr>
        <w:t>Artykuł 12</w:t>
      </w:r>
    </w:p>
    <w:p w14:paraId="5010DFF2" w14:textId="69BD1023" w:rsidR="00064ADB" w:rsidRPr="0071228C" w:rsidRDefault="00064ADB" w:rsidP="00064ADB">
      <w:pPr>
        <w:pStyle w:val="NormalCentered"/>
        <w:rPr>
          <w:b/>
          <w:noProof/>
        </w:rPr>
      </w:pPr>
      <w:r w:rsidRPr="00CC55C0">
        <w:rPr>
          <w:b/>
          <w:noProof/>
        </w:rPr>
        <w:t>P</w:t>
      </w:r>
      <w:r w:rsidRPr="0071228C">
        <w:rPr>
          <w:b/>
          <w:noProof/>
        </w:rPr>
        <w:t>roblemy, które nie mogą być rozwiązane na poziomie państwa członkowskiego</w:t>
      </w:r>
    </w:p>
    <w:p w14:paraId="326C1C69" w14:textId="4ADB85C1" w:rsidR="00064ADB" w:rsidRPr="0071228C" w:rsidRDefault="00064ADB" w:rsidP="00064ADB">
      <w:pPr>
        <w:pStyle w:val="Text1"/>
        <w:rPr>
          <w:noProof/>
        </w:rPr>
      </w:pPr>
      <w:r w:rsidRPr="0071228C">
        <w:rPr>
          <w:noProof/>
        </w:rPr>
        <w:t>1. Jeżeli państwo członkowskie określi problem, który wywiera wpływ na gospodarowanie jego wodami, ale który nie może zostać rozwiązany przez to państwo członkowskie, powiadamia ono Komisję</w:t>
      </w:r>
      <w:r w:rsidR="00CC55C0" w:rsidRPr="0071228C">
        <w:rPr>
          <w:noProof/>
        </w:rPr>
        <w:t xml:space="preserve"> i</w:t>
      </w:r>
      <w:r w:rsidR="00CC55C0">
        <w:rPr>
          <w:noProof/>
        </w:rPr>
        <w:t> </w:t>
      </w:r>
      <w:r w:rsidR="00CC55C0" w:rsidRPr="0071228C">
        <w:rPr>
          <w:noProof/>
        </w:rPr>
        <w:t>inn</w:t>
      </w:r>
      <w:r w:rsidRPr="0071228C">
        <w:rPr>
          <w:noProof/>
        </w:rPr>
        <w:t>e zainteresowane państwa członkowskie</w:t>
      </w:r>
      <w:r w:rsidR="00CC55C0" w:rsidRPr="0071228C">
        <w:rPr>
          <w:noProof/>
        </w:rPr>
        <w:t xml:space="preserve"> o</w:t>
      </w:r>
      <w:r w:rsidR="00CC55C0">
        <w:rPr>
          <w:noProof/>
        </w:rPr>
        <w:t> </w:t>
      </w:r>
      <w:r w:rsidR="00CC55C0" w:rsidRPr="0071228C">
        <w:rPr>
          <w:noProof/>
        </w:rPr>
        <w:t>tym</w:t>
      </w:r>
      <w:r w:rsidRPr="0071228C">
        <w:rPr>
          <w:noProof/>
        </w:rPr>
        <w:t xml:space="preserve"> problemie</w:t>
      </w:r>
      <w:r w:rsidR="00CC55C0" w:rsidRPr="0071228C">
        <w:rPr>
          <w:noProof/>
        </w:rPr>
        <w:t xml:space="preserve"> i</w:t>
      </w:r>
      <w:r w:rsidR="00CC55C0">
        <w:rPr>
          <w:noProof/>
        </w:rPr>
        <w:t> </w:t>
      </w:r>
      <w:r w:rsidR="00CC55C0" w:rsidRPr="0071228C">
        <w:rPr>
          <w:noProof/>
        </w:rPr>
        <w:t>for</w:t>
      </w:r>
      <w:r w:rsidRPr="0071228C">
        <w:rPr>
          <w:noProof/>
        </w:rPr>
        <w:t>mułuje zalecenia dla jego rozwiązania.</w:t>
      </w:r>
    </w:p>
    <w:p w14:paraId="788AA548" w14:textId="6D5829A4" w:rsidR="00064ADB" w:rsidRPr="0071228C" w:rsidRDefault="00064ADB" w:rsidP="00064ADB">
      <w:pPr>
        <w:pStyle w:val="Text1"/>
        <w:rPr>
          <w:noProof/>
        </w:rPr>
      </w:pPr>
      <w:r w:rsidRPr="0071228C">
        <w:rPr>
          <w:noProof/>
        </w:rPr>
        <w:t>2. Zainteresowane państwa członkowskie współpracują</w:t>
      </w:r>
      <w:r w:rsidR="00CC55C0" w:rsidRPr="0071228C">
        <w:rPr>
          <w:noProof/>
        </w:rPr>
        <w:t xml:space="preserve"> w</w:t>
      </w:r>
      <w:r w:rsidR="00CC55C0">
        <w:rPr>
          <w:noProof/>
        </w:rPr>
        <w:t> </w:t>
      </w:r>
      <w:r w:rsidR="00CC55C0" w:rsidRPr="0071228C">
        <w:rPr>
          <w:noProof/>
        </w:rPr>
        <w:t>cel</w:t>
      </w:r>
      <w:r w:rsidRPr="0071228C">
        <w:rPr>
          <w:noProof/>
        </w:rPr>
        <w:t>u określenia źródeł problemów,</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xml:space="preserve">, oraz środków niezbędnych do ich rozwiązania. </w:t>
      </w:r>
    </w:p>
    <w:p w14:paraId="79F3C3BF" w14:textId="054214C1" w:rsidR="00064ADB" w:rsidRPr="0071228C" w:rsidRDefault="00064ADB" w:rsidP="00064ADB">
      <w:pPr>
        <w:pStyle w:val="Text1"/>
        <w:rPr>
          <w:noProof/>
        </w:rPr>
      </w:pPr>
      <w:r w:rsidRPr="0071228C">
        <w:rPr>
          <w:noProof/>
        </w:rPr>
        <w:t>Państwa członkowskie odpowiadają sobie nawzajem na swoje pytania</w:t>
      </w:r>
      <w:r w:rsidR="00CC55C0" w:rsidRPr="0071228C">
        <w:rPr>
          <w:noProof/>
        </w:rPr>
        <w:t xml:space="preserve"> w</w:t>
      </w:r>
      <w:r w:rsidR="00CC55C0">
        <w:rPr>
          <w:noProof/>
        </w:rPr>
        <w:t> </w:t>
      </w:r>
      <w:r w:rsidR="00CC55C0" w:rsidRPr="0071228C">
        <w:rPr>
          <w:noProof/>
        </w:rPr>
        <w:t>spo</w:t>
      </w:r>
      <w:r w:rsidRPr="0071228C">
        <w:rPr>
          <w:noProof/>
        </w:rPr>
        <w:t>sób terminowy, nie później niż 3 miesiące po powiadomieniu przez inne państwo członkowskie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w:t>
      </w:r>
    </w:p>
    <w:p w14:paraId="509721DB" w14:textId="428C1270" w:rsidR="00F90D93" w:rsidRPr="0071228C" w:rsidRDefault="00CC55C0" w:rsidP="00CC55C0">
      <w:pPr>
        <w:pStyle w:val="Point0"/>
        <w:rPr>
          <w:noProof/>
        </w:rPr>
      </w:pPr>
      <w:r>
        <w:rPr>
          <w:noProof/>
        </w:rPr>
        <w:t>10)</w:t>
      </w:r>
      <w:r>
        <w:rPr>
          <w:noProof/>
        </w:rPr>
        <w:tab/>
      </w:r>
      <w:r w:rsidR="00064ADB" w:rsidRPr="0071228C">
        <w:rPr>
          <w:noProof/>
        </w:rPr>
        <w:t>3. Komisja jest informowana</w:t>
      </w:r>
      <w:r w:rsidRPr="0071228C">
        <w:rPr>
          <w:noProof/>
        </w:rPr>
        <w:t xml:space="preserve"> o</w:t>
      </w:r>
      <w:r>
        <w:rPr>
          <w:noProof/>
        </w:rPr>
        <w:t> </w:t>
      </w:r>
      <w:r w:rsidRPr="0071228C">
        <w:rPr>
          <w:noProof/>
        </w:rPr>
        <w:t>wsz</w:t>
      </w:r>
      <w:r w:rsidR="00064ADB" w:rsidRPr="0071228C">
        <w:rPr>
          <w:noProof/>
        </w:rPr>
        <w:t>elkiej współpracy,</w:t>
      </w:r>
      <w:r w:rsidRPr="0071228C">
        <w:rPr>
          <w:noProof/>
        </w:rPr>
        <w:t xml:space="preserve"> o</w:t>
      </w:r>
      <w:r>
        <w:rPr>
          <w:noProof/>
        </w:rPr>
        <w:t> </w:t>
      </w:r>
      <w:r w:rsidRPr="0071228C">
        <w:rPr>
          <w:noProof/>
        </w:rPr>
        <w:t>któ</w:t>
      </w:r>
      <w:r w:rsidR="00064ADB" w:rsidRPr="0071228C">
        <w:rPr>
          <w:noProof/>
        </w:rPr>
        <w:t>rej mowa</w:t>
      </w:r>
      <w:r w:rsidRPr="0071228C">
        <w:rPr>
          <w:noProof/>
        </w:rPr>
        <w:t xml:space="preserve"> w</w:t>
      </w:r>
      <w:r>
        <w:rPr>
          <w:noProof/>
        </w:rPr>
        <w:t> </w:t>
      </w:r>
      <w:r w:rsidRPr="00CC55C0">
        <w:rPr>
          <w:noProof/>
        </w:rPr>
        <w:t>ust</w:t>
      </w:r>
      <w:r w:rsidR="00064ADB" w:rsidRPr="00CC55C0">
        <w:rPr>
          <w:noProof/>
        </w:rPr>
        <w:t>.</w:t>
      </w:r>
      <w:r w:rsidRPr="00CC55C0">
        <w:rPr>
          <w:noProof/>
        </w:rPr>
        <w:t> </w:t>
      </w:r>
      <w:r w:rsidR="00064ADB" w:rsidRPr="00CC55C0">
        <w:rPr>
          <w:noProof/>
        </w:rPr>
        <w:t>2</w:t>
      </w:r>
      <w:r w:rsidR="00064ADB" w:rsidRPr="0071228C">
        <w:rPr>
          <w:noProof/>
        </w:rPr>
        <w:t>, oraz zapraszana do jej wspierania</w:t>
      </w:r>
      <w:r w:rsidRPr="0071228C">
        <w:rPr>
          <w:noProof/>
        </w:rPr>
        <w:t>. W</w:t>
      </w:r>
      <w:r>
        <w:rPr>
          <w:noProof/>
        </w:rPr>
        <w:t> </w:t>
      </w:r>
      <w:r w:rsidRPr="0071228C">
        <w:rPr>
          <w:noProof/>
        </w:rPr>
        <w:t>sto</w:t>
      </w:r>
      <w:r w:rsidR="00064ADB" w:rsidRPr="0071228C">
        <w:rPr>
          <w:noProof/>
        </w:rPr>
        <w:t>sownych przypadkach, uwzględniając sprawozdania sporządzone zgodnie</w:t>
      </w:r>
      <w:r w:rsidRPr="0071228C">
        <w:rPr>
          <w:noProof/>
        </w:rPr>
        <w:t xml:space="preserve"> z</w:t>
      </w:r>
      <w:r>
        <w:rPr>
          <w:noProof/>
        </w:rPr>
        <w:t> </w:t>
      </w:r>
      <w:r w:rsidRPr="00CC55C0">
        <w:rPr>
          <w:noProof/>
        </w:rPr>
        <w:t>art</w:t>
      </w:r>
      <w:r w:rsidR="00064ADB" w:rsidRPr="00CC55C0">
        <w:rPr>
          <w:noProof/>
        </w:rPr>
        <w:t>.</w:t>
      </w:r>
      <w:r w:rsidRPr="00CC55C0">
        <w:rPr>
          <w:noProof/>
        </w:rPr>
        <w:t> </w:t>
      </w:r>
      <w:r w:rsidR="00064ADB" w:rsidRPr="00CC55C0">
        <w:rPr>
          <w:noProof/>
        </w:rPr>
        <w:t>1</w:t>
      </w:r>
      <w:r w:rsidR="00064ADB" w:rsidRPr="0071228C">
        <w:rPr>
          <w:noProof/>
        </w:rPr>
        <w:t>3, Komisja rozważa, czy należy podjąć dalsze działania na poziomie Unii</w:t>
      </w:r>
      <w:r w:rsidRPr="0071228C">
        <w:rPr>
          <w:noProof/>
        </w:rPr>
        <w:t xml:space="preserve"> w</w:t>
      </w:r>
      <w:r>
        <w:rPr>
          <w:noProof/>
        </w:rPr>
        <w:t> </w:t>
      </w:r>
      <w:r w:rsidRPr="0071228C">
        <w:rPr>
          <w:noProof/>
        </w:rPr>
        <w:t>cel</w:t>
      </w:r>
      <w:r w:rsidR="00064ADB" w:rsidRPr="0071228C">
        <w:rPr>
          <w:noProof/>
        </w:rPr>
        <w:t>u zmniejszenia transgranicznego oddziaływania na jednolite części wód.”;</w:t>
      </w:r>
    </w:p>
    <w:p w14:paraId="52233C3A" w14:textId="257F599E" w:rsidR="00064ADB" w:rsidRPr="00CC55C0" w:rsidRDefault="00CC55C0" w:rsidP="00CC55C0">
      <w:pPr>
        <w:pStyle w:val="Point0"/>
        <w:rPr>
          <w:noProof/>
        </w:rPr>
      </w:pPr>
      <w:r>
        <w:rPr>
          <w:noProof/>
        </w:rPr>
        <w:t>11)</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1</w:t>
      </w:r>
      <w:r w:rsidR="00064ADB" w:rsidRPr="0071228C">
        <w:rPr>
          <w:noProof/>
        </w:rPr>
        <w:t xml:space="preserve">5 uchyla się </w:t>
      </w:r>
      <w:r w:rsidR="00064ADB" w:rsidRPr="00CC55C0">
        <w:rPr>
          <w:noProof/>
        </w:rPr>
        <w:t>ust.</w:t>
      </w:r>
      <w:r w:rsidRPr="00CC55C0">
        <w:rPr>
          <w:noProof/>
        </w:rPr>
        <w:t> </w:t>
      </w:r>
      <w:r w:rsidR="00064ADB" w:rsidRPr="00CC55C0">
        <w:rPr>
          <w:noProof/>
        </w:rPr>
        <w:t>3;</w:t>
      </w:r>
      <w:r w:rsidRPr="00CC55C0">
        <w:rPr>
          <w:noProof/>
        </w:rPr>
        <w:t xml:space="preserve"> </w:t>
      </w:r>
    </w:p>
    <w:p w14:paraId="2CCA6645" w14:textId="2DB50E80" w:rsidR="00064ADB" w:rsidRPr="00CC55C0" w:rsidRDefault="00CC55C0" w:rsidP="00CC55C0">
      <w:pPr>
        <w:pStyle w:val="Point0"/>
        <w:rPr>
          <w:noProof/>
        </w:rPr>
      </w:pPr>
      <w:r>
        <w:rPr>
          <w:noProof/>
        </w:rPr>
        <w:t>12)</w:t>
      </w:r>
      <w:r>
        <w:rPr>
          <w:noProof/>
        </w:rPr>
        <w:tab/>
      </w:r>
      <w:r w:rsidR="00064ADB" w:rsidRPr="0071228C">
        <w:rPr>
          <w:noProof/>
        </w:rPr>
        <w:t xml:space="preserve">uchyla się </w:t>
      </w:r>
      <w:r w:rsidR="00064ADB" w:rsidRPr="00CC55C0">
        <w:rPr>
          <w:noProof/>
        </w:rPr>
        <w:t>art.</w:t>
      </w:r>
      <w:r w:rsidRPr="00CC55C0">
        <w:rPr>
          <w:noProof/>
        </w:rPr>
        <w:t> </w:t>
      </w:r>
      <w:r w:rsidR="00064ADB" w:rsidRPr="00CC55C0">
        <w:rPr>
          <w:noProof/>
        </w:rPr>
        <w:t>1</w:t>
      </w:r>
      <w:r w:rsidR="00064ADB" w:rsidRPr="0071228C">
        <w:rPr>
          <w:noProof/>
        </w:rPr>
        <w:t>6</w:t>
      </w:r>
      <w:r w:rsidRPr="0071228C">
        <w:rPr>
          <w:noProof/>
        </w:rPr>
        <w:t xml:space="preserve"> i</w:t>
      </w:r>
      <w:r>
        <w:rPr>
          <w:noProof/>
        </w:rPr>
        <w:t> </w:t>
      </w:r>
      <w:r w:rsidRPr="0071228C">
        <w:rPr>
          <w:noProof/>
        </w:rPr>
        <w:t>1</w:t>
      </w:r>
      <w:r w:rsidR="00064ADB" w:rsidRPr="0071228C">
        <w:rPr>
          <w:noProof/>
        </w:rPr>
        <w:t>7</w:t>
      </w:r>
      <w:r w:rsidR="00064ADB" w:rsidRPr="00CC55C0">
        <w:rPr>
          <w:noProof/>
        </w:rPr>
        <w:t>;</w:t>
      </w:r>
      <w:r w:rsidRPr="00CC55C0">
        <w:rPr>
          <w:noProof/>
        </w:rPr>
        <w:t xml:space="preserve"> </w:t>
      </w:r>
    </w:p>
    <w:p w14:paraId="6BC23FCD" w14:textId="40B5C34A" w:rsidR="00064ADB" w:rsidRPr="0071228C" w:rsidRDefault="00CC55C0" w:rsidP="00CC55C0">
      <w:pPr>
        <w:pStyle w:val="Point0"/>
        <w:rPr>
          <w:noProof/>
        </w:rPr>
      </w:pPr>
      <w:r>
        <w:rPr>
          <w:noProof/>
        </w:rPr>
        <w:t>13)</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1</w:t>
      </w:r>
      <w:r w:rsidR="00064ADB" w:rsidRPr="0071228C">
        <w:rPr>
          <w:noProof/>
        </w:rPr>
        <w:t>8 wprowadza się następujące zmiany:</w:t>
      </w:r>
    </w:p>
    <w:p w14:paraId="16169A67" w14:textId="47A11E29" w:rsidR="00064ADB" w:rsidRPr="0071228C" w:rsidRDefault="00CC55C0" w:rsidP="00CC55C0">
      <w:pPr>
        <w:pStyle w:val="Point1"/>
        <w:rPr>
          <w:i/>
          <w:noProof/>
        </w:rPr>
      </w:pPr>
      <w:r>
        <w:rPr>
          <w:noProof/>
        </w:rPr>
        <w:t>a)</w:t>
      </w:r>
      <w:r>
        <w:rPr>
          <w:noProof/>
        </w:rPr>
        <w:tab/>
      </w:r>
      <w:r w:rsidR="00064ADB" w:rsidRPr="0071228C">
        <w:rPr>
          <w:noProof/>
        </w:rPr>
        <w:t xml:space="preserve">ust. 2 lit. e) otrzymuje brzmienie: </w:t>
      </w:r>
    </w:p>
    <w:p w14:paraId="7C2E2FDD" w14:textId="6E60DF2A" w:rsidR="00064ADB" w:rsidRPr="0071228C" w:rsidRDefault="00064ADB" w:rsidP="00064ADB">
      <w:pPr>
        <w:pStyle w:val="Text2"/>
        <w:rPr>
          <w:i/>
          <w:noProof/>
        </w:rPr>
      </w:pPr>
      <w:r w:rsidRPr="0071228C">
        <w:rPr>
          <w:noProof/>
        </w:rPr>
        <w:t>„e) podsumowanie wszelkich propozycji, działań kontrolnych</w:t>
      </w:r>
      <w:r w:rsidR="00CC55C0" w:rsidRPr="0071228C">
        <w:rPr>
          <w:noProof/>
        </w:rPr>
        <w:t xml:space="preserve"> i</w:t>
      </w:r>
      <w:r w:rsidR="00CC55C0">
        <w:rPr>
          <w:noProof/>
        </w:rPr>
        <w:t> </w:t>
      </w:r>
      <w:r w:rsidR="00CC55C0" w:rsidRPr="0071228C">
        <w:rPr>
          <w:noProof/>
        </w:rPr>
        <w:t>str</w:t>
      </w:r>
      <w:r w:rsidRPr="0071228C">
        <w:rPr>
          <w:noProof/>
        </w:rPr>
        <w:t>ategii służących kontroli zanieczyszczenia chemicznego lub stopniowemu wyeliminowaniu substancji niebezpiecznych;”;</w:t>
      </w:r>
      <w:r w:rsidRPr="0071228C">
        <w:rPr>
          <w:i/>
          <w:noProof/>
        </w:rPr>
        <w:t xml:space="preserve"> </w:t>
      </w:r>
    </w:p>
    <w:p w14:paraId="12EF384F" w14:textId="3793C4DB" w:rsidR="00064ADB" w:rsidRPr="00CC55C0" w:rsidRDefault="00CC55C0" w:rsidP="00CC55C0">
      <w:pPr>
        <w:pStyle w:val="Point1"/>
        <w:rPr>
          <w:i/>
          <w:noProof/>
        </w:rPr>
      </w:pPr>
      <w:r>
        <w:rPr>
          <w:noProof/>
        </w:rPr>
        <w:t>b)</w:t>
      </w:r>
      <w:r>
        <w:rPr>
          <w:noProof/>
        </w:rPr>
        <w:tab/>
      </w:r>
      <w:r w:rsidR="00064ADB" w:rsidRPr="0071228C">
        <w:rPr>
          <w:noProof/>
        </w:rPr>
        <w:t xml:space="preserve">uchyla się </w:t>
      </w:r>
      <w:r w:rsidR="00064ADB" w:rsidRPr="00CC55C0">
        <w:rPr>
          <w:noProof/>
        </w:rPr>
        <w:t>ust.</w:t>
      </w:r>
      <w:r w:rsidRPr="00CC55C0">
        <w:rPr>
          <w:noProof/>
        </w:rPr>
        <w:t> </w:t>
      </w:r>
      <w:r w:rsidR="00064ADB" w:rsidRPr="00CC55C0">
        <w:rPr>
          <w:noProof/>
        </w:rPr>
        <w:t>4;</w:t>
      </w:r>
      <w:r w:rsidRPr="00CC55C0">
        <w:rPr>
          <w:noProof/>
        </w:rPr>
        <w:t xml:space="preserve"> </w:t>
      </w:r>
    </w:p>
    <w:p w14:paraId="7E4FEE76" w14:textId="2A68EE99" w:rsidR="00064ADB" w:rsidRPr="0071228C" w:rsidRDefault="00CC55C0" w:rsidP="00CC55C0">
      <w:pPr>
        <w:pStyle w:val="Point0"/>
        <w:rPr>
          <w:noProof/>
        </w:rPr>
      </w:pPr>
      <w:r>
        <w:rPr>
          <w:noProof/>
        </w:rPr>
        <w:t>14)</w:t>
      </w:r>
      <w:r>
        <w:rPr>
          <w:noProof/>
        </w:rPr>
        <w:tab/>
      </w:r>
      <w:r w:rsidR="00064ADB" w:rsidRPr="00CC55C0">
        <w:rPr>
          <w:noProof/>
        </w:rPr>
        <w:t>art.</w:t>
      </w:r>
      <w:r w:rsidRPr="00CC55C0">
        <w:rPr>
          <w:noProof/>
        </w:rPr>
        <w:t> </w:t>
      </w:r>
      <w:r w:rsidR="00064ADB" w:rsidRPr="00CC55C0">
        <w:rPr>
          <w:noProof/>
        </w:rPr>
        <w:t>2</w:t>
      </w:r>
      <w:r w:rsidR="00064ADB" w:rsidRPr="0071228C">
        <w:rPr>
          <w:noProof/>
        </w:rPr>
        <w:t>0 otrzymuje brzmienie:</w:t>
      </w:r>
    </w:p>
    <w:p w14:paraId="5B7C14CF" w14:textId="77777777" w:rsidR="00064ADB" w:rsidRPr="0071228C" w:rsidRDefault="00064ADB" w:rsidP="00064ADB">
      <w:pPr>
        <w:pStyle w:val="Titrearticle"/>
        <w:rPr>
          <w:noProof/>
        </w:rPr>
      </w:pPr>
      <w:r w:rsidRPr="0071228C">
        <w:rPr>
          <w:noProof/>
        </w:rPr>
        <w:t>„Artykuł 20</w:t>
      </w:r>
    </w:p>
    <w:p w14:paraId="4237316D" w14:textId="5CFF6976" w:rsidR="00064ADB" w:rsidRPr="0071228C" w:rsidRDefault="00064ADB" w:rsidP="00064ADB">
      <w:pPr>
        <w:pStyle w:val="Titrearticle"/>
        <w:rPr>
          <w:b/>
          <w:noProof/>
        </w:rPr>
      </w:pPr>
      <w:r w:rsidRPr="0071228C">
        <w:rPr>
          <w:b/>
          <w:i w:val="0"/>
          <w:noProof/>
        </w:rPr>
        <w:t>Dostosowania techniczne</w:t>
      </w:r>
      <w:r w:rsidR="00CC55C0" w:rsidRPr="0071228C">
        <w:rPr>
          <w:b/>
          <w:i w:val="0"/>
          <w:noProof/>
        </w:rPr>
        <w:t xml:space="preserve"> i</w:t>
      </w:r>
      <w:r w:rsidR="00CC55C0">
        <w:rPr>
          <w:b/>
          <w:i w:val="0"/>
          <w:noProof/>
        </w:rPr>
        <w:t> </w:t>
      </w:r>
      <w:r w:rsidR="00CC55C0" w:rsidRPr="0071228C">
        <w:rPr>
          <w:b/>
          <w:i w:val="0"/>
          <w:noProof/>
        </w:rPr>
        <w:t>wdr</w:t>
      </w:r>
      <w:r w:rsidRPr="0071228C">
        <w:rPr>
          <w:b/>
          <w:i w:val="0"/>
          <w:noProof/>
        </w:rPr>
        <w:t>ażanie niniejszej dyrektywy</w:t>
      </w:r>
    </w:p>
    <w:p w14:paraId="5A6FEF79" w14:textId="4BEE5FB4" w:rsidR="00064ADB" w:rsidRPr="0071228C" w:rsidRDefault="00064ADB" w:rsidP="00064ADB">
      <w:pPr>
        <w:pStyle w:val="Text1"/>
        <w:rPr>
          <w:noProof/>
        </w:rPr>
      </w:pPr>
      <w:r w:rsidRPr="0071228C">
        <w:rPr>
          <w:noProof/>
        </w:rPr>
        <w:t xml:space="preserve"> „1. Komisja jest uprawniona do przyjmowania aktów delegowanych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 xml:space="preserve">0a, mających na celu zmiany załączników I i III oraz załącznika V </w:t>
      </w:r>
      <w:r w:rsidRPr="00CC55C0">
        <w:rPr>
          <w:noProof/>
        </w:rPr>
        <w:t>pkt</w:t>
      </w:r>
      <w:r w:rsidR="00CC55C0" w:rsidRPr="00CC55C0">
        <w:rPr>
          <w:noProof/>
        </w:rPr>
        <w:t> </w:t>
      </w:r>
      <w:r w:rsidRPr="00CC55C0">
        <w:rPr>
          <w:noProof/>
        </w:rPr>
        <w:t>1</w:t>
      </w:r>
      <w:r w:rsidRPr="0071228C">
        <w:rPr>
          <w:noProof/>
        </w:rPr>
        <w:t>.3.6</w:t>
      </w:r>
      <w:r w:rsidR="00CC55C0" w:rsidRPr="0071228C">
        <w:rPr>
          <w:noProof/>
        </w:rPr>
        <w:t xml:space="preserve"> w</w:t>
      </w:r>
      <w:r w:rsidR="00CC55C0">
        <w:rPr>
          <w:noProof/>
        </w:rPr>
        <w:t> </w:t>
      </w:r>
      <w:r w:rsidR="00CC55C0" w:rsidRPr="0071228C">
        <w:rPr>
          <w:noProof/>
        </w:rPr>
        <w:t>cel</w:t>
      </w:r>
      <w:r w:rsidRPr="0071228C">
        <w:rPr>
          <w:noProof/>
        </w:rPr>
        <w:t>u dostosowania odpowiednio wymogów informacyjnych dotyczących właściwych organów, treści analizy ekonomicznej oraz wybranych norm monitorowania do postępu naukowego</w:t>
      </w:r>
      <w:r w:rsidR="00CC55C0" w:rsidRPr="0071228C">
        <w:rPr>
          <w:noProof/>
        </w:rPr>
        <w:t xml:space="preserve"> i</w:t>
      </w:r>
      <w:r w:rsidR="00CC55C0">
        <w:rPr>
          <w:noProof/>
        </w:rPr>
        <w:t> </w:t>
      </w:r>
      <w:r w:rsidR="00CC55C0" w:rsidRPr="0071228C">
        <w:rPr>
          <w:noProof/>
        </w:rPr>
        <w:t>tec</w:t>
      </w:r>
      <w:r w:rsidRPr="0071228C">
        <w:rPr>
          <w:noProof/>
        </w:rPr>
        <w:t>hnicznego.</w:t>
      </w:r>
    </w:p>
    <w:p w14:paraId="1342DCBC" w14:textId="167D39E8" w:rsidR="00A63E93" w:rsidRPr="0071228C" w:rsidRDefault="00A63E93" w:rsidP="00064ADB">
      <w:pPr>
        <w:pStyle w:val="Text1"/>
        <w:rPr>
          <w:noProof/>
        </w:rPr>
      </w:pPr>
      <w:r w:rsidRPr="0071228C">
        <w:rPr>
          <w:noProof/>
        </w:rPr>
        <w:t>2. Komisja jest uprawniona do przyjmowania aktów delegowanych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0a</w:t>
      </w:r>
      <w:r w:rsidR="00CC55C0" w:rsidRPr="0071228C">
        <w:rPr>
          <w:noProof/>
        </w:rPr>
        <w:t xml:space="preserve"> w</w:t>
      </w:r>
      <w:r w:rsidR="00CC55C0">
        <w:rPr>
          <w:noProof/>
        </w:rPr>
        <w:t> </w:t>
      </w:r>
      <w:r w:rsidR="00CC55C0" w:rsidRPr="0071228C">
        <w:rPr>
          <w:noProof/>
        </w:rPr>
        <w:t>cel</w:t>
      </w:r>
      <w:r w:rsidRPr="0071228C">
        <w:rPr>
          <w:noProof/>
        </w:rPr>
        <w:t>u uzupełnienia niniejszej dyrektywy</w:t>
      </w:r>
      <w:r w:rsidR="00CC55C0" w:rsidRPr="0071228C">
        <w:rPr>
          <w:noProof/>
        </w:rPr>
        <w:t xml:space="preserve"> w</w:t>
      </w:r>
      <w:r w:rsidR="00CC55C0">
        <w:rPr>
          <w:noProof/>
        </w:rPr>
        <w:t> </w:t>
      </w:r>
      <w:r w:rsidR="00CC55C0" w:rsidRPr="0071228C">
        <w:rPr>
          <w:noProof/>
        </w:rPr>
        <w:t>dro</w:t>
      </w:r>
      <w:r w:rsidRPr="0071228C">
        <w:rPr>
          <w:noProof/>
        </w:rPr>
        <w:t>dze określenia wartości ustalonych dla klasyfikacji systemów monitorowania państw członkowskich zgodnie</w:t>
      </w:r>
      <w:r w:rsidR="00CC55C0" w:rsidRPr="0071228C">
        <w:rPr>
          <w:noProof/>
        </w:rPr>
        <w:t xml:space="preserve"> z</w:t>
      </w:r>
      <w:r w:rsidR="00CC55C0">
        <w:rPr>
          <w:noProof/>
        </w:rPr>
        <w:t> </w:t>
      </w:r>
      <w:r w:rsidR="00CC55C0" w:rsidRPr="0071228C">
        <w:rPr>
          <w:noProof/>
        </w:rPr>
        <w:t>pro</w:t>
      </w:r>
      <w:r w:rsidRPr="0071228C">
        <w:rPr>
          <w:noProof/>
        </w:rPr>
        <w:t>cedurą interkalibracji określoną</w:t>
      </w:r>
      <w:r w:rsidR="00CC55C0" w:rsidRPr="0071228C">
        <w:rPr>
          <w:noProof/>
        </w:rPr>
        <w:t xml:space="preserve"> w</w:t>
      </w:r>
      <w:r w:rsidR="00CC55C0">
        <w:rPr>
          <w:noProof/>
        </w:rPr>
        <w:t> </w:t>
      </w:r>
      <w:r w:rsidR="00CC55C0" w:rsidRPr="0071228C">
        <w:rPr>
          <w:noProof/>
        </w:rPr>
        <w:t>zał</w:t>
      </w:r>
      <w:r w:rsidRPr="0071228C">
        <w:rPr>
          <w:noProof/>
        </w:rPr>
        <w:t xml:space="preserve">ączniku V </w:t>
      </w:r>
      <w:r w:rsidRPr="00CC55C0">
        <w:rPr>
          <w:noProof/>
        </w:rPr>
        <w:t>pkt</w:t>
      </w:r>
      <w:r w:rsidR="00CC55C0" w:rsidRPr="00CC55C0">
        <w:rPr>
          <w:noProof/>
        </w:rPr>
        <w:t> </w:t>
      </w:r>
      <w:r w:rsidRPr="00CC55C0">
        <w:rPr>
          <w:noProof/>
        </w:rPr>
        <w:t>1</w:t>
      </w:r>
      <w:r w:rsidRPr="0071228C">
        <w:rPr>
          <w:noProof/>
        </w:rPr>
        <w:t>.4.1.</w:t>
      </w:r>
    </w:p>
    <w:p w14:paraId="071AE1BB" w14:textId="4B77B1B6" w:rsidR="00064ADB" w:rsidRPr="00CC55C0" w:rsidRDefault="00064ADB" w:rsidP="00064ADB">
      <w:pPr>
        <w:pStyle w:val="Text1"/>
        <w:rPr>
          <w:i/>
          <w:noProof/>
        </w:rPr>
      </w:pPr>
      <w:r w:rsidRPr="0071228C">
        <w:rPr>
          <w:noProof/>
        </w:rPr>
        <w:t>3. Komisja jest uprawniona do przyjmowania aktów wykonawczych</w:t>
      </w:r>
      <w:r w:rsidR="00CC55C0" w:rsidRPr="0071228C">
        <w:rPr>
          <w:noProof/>
        </w:rPr>
        <w:t xml:space="preserve"> w</w:t>
      </w:r>
      <w:r w:rsidR="00CC55C0">
        <w:rPr>
          <w:noProof/>
        </w:rPr>
        <w:t> </w:t>
      </w:r>
      <w:r w:rsidR="00CC55C0" w:rsidRPr="0071228C">
        <w:rPr>
          <w:noProof/>
        </w:rPr>
        <w:t>cel</w:t>
      </w:r>
      <w:r w:rsidRPr="0071228C">
        <w:rPr>
          <w:noProof/>
        </w:rPr>
        <w:t>u określenia formatów technicznych służących do przekazywania danych,</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4</w:t>
      </w:r>
      <w:r w:rsidRPr="0071228C">
        <w:rPr>
          <w:noProof/>
        </w:rPr>
        <w:t>. Te akty wykonawcze przyjmuje się zgodnie</w:t>
      </w:r>
      <w:r w:rsidR="00CC55C0" w:rsidRPr="0071228C">
        <w:rPr>
          <w:noProof/>
        </w:rPr>
        <w:t xml:space="preserve"> z</w:t>
      </w:r>
      <w:r w:rsidR="00CC55C0">
        <w:rPr>
          <w:noProof/>
        </w:rPr>
        <w:t> </w:t>
      </w:r>
      <w:r w:rsidR="00CC55C0" w:rsidRPr="0071228C">
        <w:rPr>
          <w:noProof/>
        </w:rPr>
        <w:t>pro</w:t>
      </w:r>
      <w:r w:rsidRPr="0071228C">
        <w:rPr>
          <w:noProof/>
        </w:rPr>
        <w:t>cedurą sprawdzającą,</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71228C">
        <w:rPr>
          <w:noProof/>
        </w:rPr>
        <w:t>art</w:t>
      </w:r>
      <w:r w:rsidRPr="0071228C">
        <w:rPr>
          <w:noProof/>
        </w:rPr>
        <w:t xml:space="preserve">. 21 </w:t>
      </w:r>
      <w:r w:rsidRPr="00CC55C0">
        <w:rPr>
          <w:noProof/>
        </w:rPr>
        <w:t>ust.</w:t>
      </w:r>
      <w:r w:rsidR="00CC55C0" w:rsidRPr="00CC55C0">
        <w:rPr>
          <w:noProof/>
        </w:rPr>
        <w:t> </w:t>
      </w:r>
      <w:r w:rsidRPr="00CC55C0">
        <w:rPr>
          <w:noProof/>
        </w:rPr>
        <w:t>2</w:t>
      </w:r>
      <w:r w:rsidR="00CC55C0" w:rsidRPr="0071228C">
        <w:rPr>
          <w:noProof/>
        </w:rPr>
        <w:t>. W</w:t>
      </w:r>
      <w:r w:rsidR="00CC55C0">
        <w:rPr>
          <w:noProof/>
        </w:rPr>
        <w:t> </w:t>
      </w:r>
      <w:r w:rsidR="00CC55C0" w:rsidRPr="0071228C">
        <w:rPr>
          <w:noProof/>
        </w:rPr>
        <w:t>raz</w:t>
      </w:r>
      <w:r w:rsidRPr="0071228C">
        <w:rPr>
          <w:noProof/>
        </w:rPr>
        <w:t>ie potrzeby EEA wspiera Komisję przy ustalaniu tych formatów.”</w:t>
      </w:r>
      <w:r w:rsidRPr="00CC55C0">
        <w:rPr>
          <w:noProof/>
        </w:rPr>
        <w:t>;</w:t>
      </w:r>
      <w:r w:rsidR="00CC55C0" w:rsidRPr="00CC55C0">
        <w:rPr>
          <w:noProof/>
        </w:rPr>
        <w:t xml:space="preserve"> </w:t>
      </w:r>
    </w:p>
    <w:p w14:paraId="2D5276B6" w14:textId="444A23F8" w:rsidR="00064ADB" w:rsidRPr="0071228C" w:rsidRDefault="00CC55C0" w:rsidP="00CC55C0">
      <w:pPr>
        <w:pStyle w:val="Point0"/>
        <w:rPr>
          <w:noProof/>
        </w:rPr>
      </w:pPr>
      <w:r>
        <w:rPr>
          <w:noProof/>
        </w:rPr>
        <w:t>15)</w:t>
      </w:r>
      <w:r>
        <w:rPr>
          <w:noProof/>
        </w:rPr>
        <w:tab/>
      </w:r>
      <w:r w:rsidR="00064ADB" w:rsidRPr="0071228C">
        <w:rPr>
          <w:noProof/>
        </w:rPr>
        <w:t xml:space="preserve">dodaje się </w:t>
      </w:r>
      <w:r w:rsidR="00064ADB" w:rsidRPr="00CC55C0">
        <w:rPr>
          <w:noProof/>
        </w:rPr>
        <w:t>art.</w:t>
      </w:r>
      <w:r w:rsidRPr="00CC55C0">
        <w:rPr>
          <w:noProof/>
        </w:rPr>
        <w:t> </w:t>
      </w:r>
      <w:r w:rsidR="00064ADB" w:rsidRPr="00CC55C0">
        <w:rPr>
          <w:noProof/>
        </w:rPr>
        <w:t>2</w:t>
      </w:r>
      <w:r w:rsidR="00064ADB" w:rsidRPr="0071228C">
        <w:rPr>
          <w:noProof/>
        </w:rPr>
        <w:t>0a</w:t>
      </w:r>
      <w:r w:rsidRPr="0071228C">
        <w:rPr>
          <w:noProof/>
        </w:rPr>
        <w:t xml:space="preserve"> w</w:t>
      </w:r>
      <w:r>
        <w:rPr>
          <w:noProof/>
        </w:rPr>
        <w:t> </w:t>
      </w:r>
      <w:r w:rsidRPr="0071228C">
        <w:rPr>
          <w:noProof/>
        </w:rPr>
        <w:t>brz</w:t>
      </w:r>
      <w:r w:rsidR="00064ADB" w:rsidRPr="0071228C">
        <w:rPr>
          <w:noProof/>
        </w:rPr>
        <w:t>mieniu:</w:t>
      </w:r>
    </w:p>
    <w:p w14:paraId="4FA0EB4C" w14:textId="77777777" w:rsidR="00064ADB" w:rsidRPr="0071228C" w:rsidRDefault="00064ADB" w:rsidP="00064ADB">
      <w:pPr>
        <w:ind w:left="709"/>
        <w:jc w:val="center"/>
        <w:rPr>
          <w:i/>
          <w:noProof/>
        </w:rPr>
      </w:pPr>
      <w:r w:rsidRPr="0071228C">
        <w:rPr>
          <w:noProof/>
        </w:rPr>
        <w:t>„</w:t>
      </w:r>
      <w:r w:rsidRPr="0071228C">
        <w:rPr>
          <w:i/>
          <w:noProof/>
        </w:rPr>
        <w:t>Artykuł 20a</w:t>
      </w:r>
    </w:p>
    <w:p w14:paraId="6B6FB1E0" w14:textId="77777777" w:rsidR="00064ADB" w:rsidRPr="0071228C" w:rsidRDefault="00064ADB" w:rsidP="00064ADB">
      <w:pPr>
        <w:ind w:left="709"/>
        <w:jc w:val="center"/>
        <w:rPr>
          <w:b/>
          <w:noProof/>
        </w:rPr>
      </w:pPr>
      <w:r w:rsidRPr="0071228C">
        <w:rPr>
          <w:b/>
          <w:noProof/>
        </w:rPr>
        <w:t>Wykonywanie przekazanych uprawnień</w:t>
      </w:r>
    </w:p>
    <w:p w14:paraId="3707D476" w14:textId="5F312258" w:rsidR="00064ADB" w:rsidRPr="0071228C" w:rsidRDefault="00064ADB" w:rsidP="00064ADB">
      <w:pPr>
        <w:ind w:left="709"/>
        <w:rPr>
          <w:noProof/>
        </w:rPr>
      </w:pPr>
      <w:r w:rsidRPr="0071228C">
        <w:rPr>
          <w:noProof/>
        </w:rPr>
        <w:t>1. Powierzenie Komisji uprawnień do przyjmowania aktów delegowanych podlega warunkom określonym</w:t>
      </w:r>
      <w:r w:rsidR="00CC55C0" w:rsidRPr="0071228C">
        <w:rPr>
          <w:noProof/>
        </w:rPr>
        <w:t xml:space="preserve"> w</w:t>
      </w:r>
      <w:r w:rsidR="00CC55C0">
        <w:rPr>
          <w:noProof/>
        </w:rPr>
        <w:t> </w:t>
      </w:r>
      <w:r w:rsidR="00CC55C0" w:rsidRPr="0071228C">
        <w:rPr>
          <w:noProof/>
        </w:rPr>
        <w:t>nin</w:t>
      </w:r>
      <w:r w:rsidRPr="0071228C">
        <w:rPr>
          <w:noProof/>
        </w:rPr>
        <w:t>iejszym artykule.</w:t>
      </w:r>
    </w:p>
    <w:p w14:paraId="426E96E6" w14:textId="0E52CB14" w:rsidR="00064ADB" w:rsidRPr="0071228C" w:rsidRDefault="00064ADB" w:rsidP="00064ADB">
      <w:pPr>
        <w:ind w:left="709"/>
        <w:rPr>
          <w:noProof/>
        </w:rPr>
      </w:pPr>
      <w:r w:rsidRPr="0071228C">
        <w:rPr>
          <w:noProof/>
        </w:rPr>
        <w:t>2. Uprawnienia do przyjmowania aktów delegowanych,</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 xml:space="preserve">0 </w:t>
      </w:r>
      <w:r w:rsidRPr="00CC55C0">
        <w:rPr>
          <w:noProof/>
        </w:rPr>
        <w:t>ust.</w:t>
      </w:r>
      <w:r w:rsidR="00CC55C0" w:rsidRPr="00CC55C0">
        <w:rPr>
          <w:noProof/>
        </w:rPr>
        <w:t> </w:t>
      </w:r>
      <w:r w:rsidRPr="00CC55C0">
        <w:rPr>
          <w:noProof/>
        </w:rPr>
        <w:t>1</w:t>
      </w:r>
      <w:r w:rsidRPr="0071228C">
        <w:rPr>
          <w:noProof/>
        </w:rPr>
        <w:t>, powierza się Komisji na czas nieokreślony od dnia [UP: proszę wprowadzić datę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279FBBD7" w14:textId="4530F154" w:rsidR="00064ADB" w:rsidRPr="0071228C" w:rsidRDefault="00064ADB" w:rsidP="00064ADB">
      <w:pPr>
        <w:ind w:left="709"/>
        <w:rPr>
          <w:noProof/>
        </w:rPr>
      </w:pPr>
      <w:r w:rsidRPr="0071228C">
        <w:rPr>
          <w:noProof/>
        </w:rPr>
        <w:t>3. Przekazanie uprawnień,</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71228C">
        <w:rPr>
          <w:noProof/>
        </w:rPr>
        <w:t>art</w:t>
      </w:r>
      <w:r w:rsidRPr="0071228C">
        <w:rPr>
          <w:noProof/>
        </w:rPr>
        <w:t>. 20 ust. 1, może zostać</w:t>
      </w:r>
      <w:r w:rsidR="00CC55C0" w:rsidRPr="0071228C">
        <w:rPr>
          <w:noProof/>
        </w:rPr>
        <w:t xml:space="preserve"> w</w:t>
      </w:r>
      <w:r w:rsidR="00CC55C0">
        <w:rPr>
          <w:noProof/>
        </w:rPr>
        <w:t> </w:t>
      </w:r>
      <w:r w:rsidR="00CC55C0" w:rsidRPr="0071228C">
        <w:rPr>
          <w:noProof/>
        </w:rPr>
        <w:t>dow</w:t>
      </w:r>
      <w:r w:rsidRPr="0071228C">
        <w:rPr>
          <w:noProof/>
        </w:rPr>
        <w:t>olnym momencie odwołane przez Parlament Europejski lub przez Radę. Decyzja</w:t>
      </w:r>
      <w:r w:rsidR="00CC55C0" w:rsidRPr="0071228C">
        <w:rPr>
          <w:noProof/>
        </w:rPr>
        <w:t xml:space="preserve"> o</w:t>
      </w:r>
      <w:r w:rsidR="00CC55C0">
        <w:rPr>
          <w:noProof/>
        </w:rPr>
        <w:t> </w:t>
      </w:r>
      <w:r w:rsidR="00CC55C0" w:rsidRPr="0071228C">
        <w:rPr>
          <w:noProof/>
        </w:rPr>
        <w:t>odw</w:t>
      </w:r>
      <w:r w:rsidRPr="0071228C">
        <w:rPr>
          <w:noProof/>
        </w:rPr>
        <w:t>ołaniu kończy przekazanie określonych</w:t>
      </w:r>
      <w:r w:rsidR="00CC55C0" w:rsidRPr="0071228C">
        <w:rPr>
          <w:noProof/>
        </w:rPr>
        <w:t xml:space="preserve"> w</w:t>
      </w:r>
      <w:r w:rsidR="00CC55C0">
        <w:rPr>
          <w:noProof/>
        </w:rPr>
        <w:t> </w:t>
      </w:r>
      <w:r w:rsidR="00CC55C0" w:rsidRPr="0071228C">
        <w:rPr>
          <w:noProof/>
        </w:rPr>
        <w:t>nie</w:t>
      </w:r>
      <w:r w:rsidRPr="0071228C">
        <w:rPr>
          <w:noProof/>
        </w:rPr>
        <w:t>j uprawnień. Decyzja</w:t>
      </w:r>
      <w:r w:rsidR="00CC55C0" w:rsidRPr="0071228C">
        <w:rPr>
          <w:noProof/>
        </w:rPr>
        <w:t xml:space="preserve"> o</w:t>
      </w:r>
      <w:r w:rsidR="00CC55C0">
        <w:rPr>
          <w:noProof/>
        </w:rPr>
        <w:t> </w:t>
      </w:r>
      <w:r w:rsidR="00CC55C0" w:rsidRPr="0071228C">
        <w:rPr>
          <w:noProof/>
        </w:rPr>
        <w:t>odw</w:t>
      </w:r>
      <w:r w:rsidRPr="0071228C">
        <w:rPr>
          <w:noProof/>
        </w:rPr>
        <w:t>ołaniu staje się skuteczna następnego dnia po jej opublikowaniu</w:t>
      </w:r>
      <w:r w:rsidR="00CC55C0" w:rsidRPr="0071228C">
        <w:rPr>
          <w:noProof/>
        </w:rPr>
        <w:t xml:space="preserve"> w</w:t>
      </w:r>
      <w:r w:rsidR="00CC55C0">
        <w:rPr>
          <w:noProof/>
        </w:rPr>
        <w:t> </w:t>
      </w:r>
      <w:r w:rsidR="00CC55C0" w:rsidRPr="0071228C">
        <w:rPr>
          <w:i/>
          <w:noProof/>
        </w:rPr>
        <w:t>Dzi</w:t>
      </w:r>
      <w:r w:rsidRPr="0071228C">
        <w:rPr>
          <w:i/>
          <w:noProof/>
        </w:rPr>
        <w:t>enniku Urzędowym Unii Europejskiej</w:t>
      </w:r>
      <w:r w:rsidRPr="0071228C">
        <w:rPr>
          <w:noProof/>
        </w:rPr>
        <w:t xml:space="preserve"> lub</w:t>
      </w:r>
      <w:r w:rsidR="00CC55C0" w:rsidRPr="0071228C">
        <w:rPr>
          <w:noProof/>
        </w:rPr>
        <w:t xml:space="preserve"> w</w:t>
      </w:r>
      <w:r w:rsidR="00CC55C0">
        <w:rPr>
          <w:noProof/>
        </w:rPr>
        <w:t> </w:t>
      </w:r>
      <w:r w:rsidR="00CC55C0" w:rsidRPr="0071228C">
        <w:rPr>
          <w:noProof/>
        </w:rPr>
        <w:t>póź</w:t>
      </w:r>
      <w:r w:rsidRPr="0071228C">
        <w:rPr>
          <w:noProof/>
        </w:rPr>
        <w:t>niejszym terminie określonym</w:t>
      </w:r>
      <w:r w:rsidR="00CC55C0" w:rsidRPr="0071228C">
        <w:rPr>
          <w:noProof/>
        </w:rPr>
        <w:t xml:space="preserve"> w</w:t>
      </w:r>
      <w:r w:rsidR="00CC55C0">
        <w:rPr>
          <w:noProof/>
        </w:rPr>
        <w:t> </w:t>
      </w:r>
      <w:r w:rsidR="00CC55C0" w:rsidRPr="0071228C">
        <w:rPr>
          <w:noProof/>
        </w:rPr>
        <w:t>tej</w:t>
      </w:r>
      <w:r w:rsidRPr="0071228C">
        <w:rPr>
          <w:noProof/>
        </w:rPr>
        <w:t xml:space="preserve"> decyzji. Nie wpływa ona na ważność aktów delegowanych już obowiązujących.</w:t>
      </w:r>
    </w:p>
    <w:p w14:paraId="35F5E91E" w14:textId="30B1527C" w:rsidR="00064ADB" w:rsidRPr="0071228C" w:rsidRDefault="00064ADB" w:rsidP="00064ADB">
      <w:pPr>
        <w:ind w:left="709"/>
        <w:rPr>
          <w:noProof/>
        </w:rPr>
      </w:pPr>
      <w:r w:rsidRPr="0071228C">
        <w:rPr>
          <w:noProof/>
        </w:rPr>
        <w:t>4. Przed przyjęciem aktu delegowanego Komisja konsultuje się</w:t>
      </w:r>
      <w:r w:rsidR="00CC55C0" w:rsidRPr="0071228C">
        <w:rPr>
          <w:noProof/>
        </w:rPr>
        <w:t xml:space="preserve"> z</w:t>
      </w:r>
      <w:r w:rsidR="00CC55C0">
        <w:rPr>
          <w:noProof/>
        </w:rPr>
        <w:t> </w:t>
      </w:r>
      <w:r w:rsidR="00CC55C0" w:rsidRPr="0071228C">
        <w:rPr>
          <w:noProof/>
        </w:rPr>
        <w:t>eks</w:t>
      </w:r>
      <w:r w:rsidRPr="0071228C">
        <w:rPr>
          <w:noProof/>
        </w:rPr>
        <w:t>pertami wyznaczonymi przez każde państwo członkowskie zgodnie</w:t>
      </w:r>
      <w:r w:rsidR="00CC55C0" w:rsidRPr="0071228C">
        <w:rPr>
          <w:noProof/>
        </w:rPr>
        <w:t xml:space="preserve"> z</w:t>
      </w:r>
      <w:r w:rsidR="00CC55C0">
        <w:rPr>
          <w:noProof/>
        </w:rPr>
        <w:t> </w:t>
      </w:r>
      <w:r w:rsidR="00CC55C0" w:rsidRPr="0071228C">
        <w:rPr>
          <w:noProof/>
        </w:rPr>
        <w:t>zas</w:t>
      </w:r>
      <w:r w:rsidRPr="0071228C">
        <w:rPr>
          <w:noProof/>
        </w:rPr>
        <w:t>adami określonymi</w:t>
      </w:r>
      <w:r w:rsidR="00CC55C0" w:rsidRPr="0071228C">
        <w:rPr>
          <w:noProof/>
        </w:rPr>
        <w:t xml:space="preserve"> w</w:t>
      </w:r>
      <w:r w:rsidR="00CC55C0">
        <w:rPr>
          <w:noProof/>
        </w:rPr>
        <w:t> </w:t>
      </w:r>
      <w:r w:rsidR="00CC55C0" w:rsidRPr="0071228C">
        <w:rPr>
          <w:noProof/>
        </w:rPr>
        <w:t>Por</w:t>
      </w:r>
      <w:r w:rsidRPr="0071228C">
        <w:rPr>
          <w:noProof/>
        </w:rPr>
        <w:t>ozumieniu międzyinstytucjonalnym</w:t>
      </w:r>
      <w:r w:rsidR="00CC55C0" w:rsidRPr="0071228C">
        <w:rPr>
          <w:noProof/>
        </w:rPr>
        <w:t xml:space="preserve"> w</w:t>
      </w:r>
      <w:r w:rsidR="00CC55C0">
        <w:rPr>
          <w:noProof/>
        </w:rPr>
        <w:t> </w:t>
      </w:r>
      <w:r w:rsidR="00CC55C0" w:rsidRPr="0071228C">
        <w:rPr>
          <w:noProof/>
        </w:rPr>
        <w:t>spr</w:t>
      </w:r>
      <w:r w:rsidRPr="0071228C">
        <w:rPr>
          <w:noProof/>
        </w:rPr>
        <w:t>awie lepszego stanowienia prawa</w:t>
      </w:r>
      <w:r w:rsidR="00CC55C0" w:rsidRPr="0071228C">
        <w:rPr>
          <w:noProof/>
        </w:rPr>
        <w:t xml:space="preserve"> z</w:t>
      </w:r>
      <w:r w:rsidR="00CC55C0">
        <w:rPr>
          <w:noProof/>
        </w:rPr>
        <w:t> </w:t>
      </w:r>
      <w:r w:rsidR="00CC55C0" w:rsidRPr="0071228C">
        <w:rPr>
          <w:noProof/>
        </w:rPr>
        <w:t>dni</w:t>
      </w:r>
      <w:r w:rsidRPr="0071228C">
        <w:rPr>
          <w:noProof/>
        </w:rPr>
        <w:t>a 13 kwietnia 20</w:t>
      </w:r>
      <w:r w:rsidRPr="00CC55C0">
        <w:rPr>
          <w:noProof/>
        </w:rPr>
        <w:t>16</w:t>
      </w:r>
      <w:r w:rsidR="00CC55C0" w:rsidRPr="00CC55C0">
        <w:rPr>
          <w:noProof/>
        </w:rPr>
        <w:t> </w:t>
      </w:r>
      <w:r w:rsidRPr="00CC55C0">
        <w:rPr>
          <w:noProof/>
        </w:rPr>
        <w:t>r.</w:t>
      </w:r>
    </w:p>
    <w:p w14:paraId="35FCFEB6" w14:textId="79178570" w:rsidR="00064ADB" w:rsidRPr="0071228C" w:rsidRDefault="00064ADB" w:rsidP="00064ADB">
      <w:pPr>
        <w:ind w:left="709"/>
        <w:rPr>
          <w:noProof/>
        </w:rPr>
      </w:pPr>
      <w:r w:rsidRPr="0071228C">
        <w:rPr>
          <w:noProof/>
        </w:rPr>
        <w:t>5. Niezwłocznie po przyjęciu aktu delegowanego Komisja przekazuje go równocześnie Parlamentowi Europejskiemu</w:t>
      </w:r>
      <w:r w:rsidR="00CC55C0" w:rsidRPr="0071228C">
        <w:rPr>
          <w:noProof/>
        </w:rPr>
        <w:t xml:space="preserve"> i</w:t>
      </w:r>
      <w:r w:rsidR="00CC55C0">
        <w:rPr>
          <w:noProof/>
        </w:rPr>
        <w:t> </w:t>
      </w:r>
      <w:r w:rsidR="00CC55C0" w:rsidRPr="0071228C">
        <w:rPr>
          <w:noProof/>
        </w:rPr>
        <w:t>Rad</w:t>
      </w:r>
      <w:r w:rsidRPr="0071228C">
        <w:rPr>
          <w:noProof/>
        </w:rPr>
        <w:t>zie.</w:t>
      </w:r>
    </w:p>
    <w:p w14:paraId="45C46BA7" w14:textId="0C9530E2" w:rsidR="00064ADB" w:rsidRPr="0071228C" w:rsidRDefault="00064ADB" w:rsidP="00064ADB">
      <w:pPr>
        <w:ind w:left="709"/>
        <w:rPr>
          <w:noProof/>
        </w:rPr>
      </w:pPr>
      <w:r w:rsidRPr="0071228C">
        <w:rPr>
          <w:noProof/>
        </w:rPr>
        <w:t xml:space="preserve">6. Akt delegowany przyjęty na podstawie </w:t>
      </w:r>
      <w:r w:rsidRPr="00CC55C0">
        <w:rPr>
          <w:noProof/>
        </w:rPr>
        <w:t>art.</w:t>
      </w:r>
      <w:r w:rsidR="00CC55C0" w:rsidRPr="00CC55C0">
        <w:rPr>
          <w:noProof/>
        </w:rPr>
        <w:t> </w:t>
      </w:r>
      <w:r w:rsidRPr="00CC55C0">
        <w:rPr>
          <w:noProof/>
        </w:rPr>
        <w:t>2</w:t>
      </w:r>
      <w:r w:rsidRPr="0071228C">
        <w:rPr>
          <w:noProof/>
        </w:rPr>
        <w:t xml:space="preserve">0 </w:t>
      </w:r>
      <w:r w:rsidRPr="00CC55C0">
        <w:rPr>
          <w:noProof/>
        </w:rPr>
        <w:t>ust.</w:t>
      </w:r>
      <w:r w:rsidR="00CC55C0" w:rsidRPr="00CC55C0">
        <w:rPr>
          <w:noProof/>
        </w:rPr>
        <w:t> </w:t>
      </w:r>
      <w:r w:rsidRPr="00CC55C0">
        <w:rPr>
          <w:noProof/>
        </w:rPr>
        <w:t>1</w:t>
      </w:r>
      <w:r w:rsidRPr="0071228C">
        <w:rPr>
          <w:noProof/>
        </w:rPr>
        <w:t xml:space="preserve"> wchodzi</w:t>
      </w:r>
      <w:r w:rsidR="00CC55C0" w:rsidRPr="0071228C">
        <w:rPr>
          <w:noProof/>
        </w:rPr>
        <w:t xml:space="preserve"> w</w:t>
      </w:r>
      <w:r w:rsidR="00CC55C0">
        <w:rPr>
          <w:noProof/>
        </w:rPr>
        <w:t> </w:t>
      </w:r>
      <w:r w:rsidR="00CC55C0" w:rsidRPr="0071228C">
        <w:rPr>
          <w:noProof/>
        </w:rPr>
        <w:t>życ</w:t>
      </w:r>
      <w:r w:rsidRPr="0071228C">
        <w:rPr>
          <w:noProof/>
        </w:rPr>
        <w:t>ie tylko wówczas, gdy ani Parlament Europejski, ani Rada nie wyraziły sprzeciwu</w:t>
      </w:r>
      <w:r w:rsidR="00CC55C0" w:rsidRPr="0071228C">
        <w:rPr>
          <w:noProof/>
        </w:rPr>
        <w:t xml:space="preserve"> w</w:t>
      </w:r>
      <w:r w:rsidR="00CC55C0">
        <w:rPr>
          <w:noProof/>
        </w:rPr>
        <w:t> </w:t>
      </w:r>
      <w:r w:rsidR="00CC55C0" w:rsidRPr="0071228C">
        <w:rPr>
          <w:noProof/>
        </w:rPr>
        <w:t>ter</w:t>
      </w:r>
      <w:r w:rsidRPr="0071228C">
        <w:rPr>
          <w:noProof/>
        </w:rPr>
        <w:t>minie dwóch miesięcy od przekazania tego aktu Parlamentowi Europejskiemu</w:t>
      </w:r>
      <w:r w:rsidR="00CC55C0" w:rsidRPr="0071228C">
        <w:rPr>
          <w:noProof/>
        </w:rPr>
        <w:t xml:space="preserve"> i</w:t>
      </w:r>
      <w:r w:rsidR="00CC55C0">
        <w:rPr>
          <w:noProof/>
        </w:rPr>
        <w:t> </w:t>
      </w:r>
      <w:r w:rsidR="00CC55C0" w:rsidRPr="0071228C">
        <w:rPr>
          <w:noProof/>
        </w:rPr>
        <w:t>Rad</w:t>
      </w:r>
      <w:r w:rsidRPr="0071228C">
        <w:rPr>
          <w:noProof/>
        </w:rPr>
        <w:t>zie, lub gdy, przed upływem tego terminu, zarówno Parlament Europejski, jak</w:t>
      </w:r>
      <w:r w:rsidR="00CC55C0" w:rsidRPr="0071228C">
        <w:rPr>
          <w:noProof/>
        </w:rPr>
        <w:t xml:space="preserve"> i</w:t>
      </w:r>
      <w:r w:rsidR="00CC55C0">
        <w:rPr>
          <w:noProof/>
        </w:rPr>
        <w:t> </w:t>
      </w:r>
      <w:r w:rsidR="00CC55C0" w:rsidRPr="0071228C">
        <w:rPr>
          <w:noProof/>
        </w:rPr>
        <w:t>Rad</w:t>
      </w:r>
      <w:r w:rsidRPr="0071228C">
        <w:rPr>
          <w:noProof/>
        </w:rPr>
        <w:t>a poinformowały Komisję, że nie wniosą sprzeciwu. Termin ten przedłuża się</w:t>
      </w:r>
      <w:r w:rsidR="00CC55C0" w:rsidRPr="0071228C">
        <w:rPr>
          <w:noProof/>
        </w:rPr>
        <w:t xml:space="preserve"> o</w:t>
      </w:r>
      <w:r w:rsidR="00CC55C0">
        <w:rPr>
          <w:noProof/>
        </w:rPr>
        <w:t> </w:t>
      </w:r>
      <w:r w:rsidR="00CC55C0" w:rsidRPr="0071228C">
        <w:rPr>
          <w:noProof/>
        </w:rPr>
        <w:t>dwa</w:t>
      </w:r>
      <w:r w:rsidRPr="0071228C">
        <w:rPr>
          <w:noProof/>
        </w:rPr>
        <w:t xml:space="preserve"> miesiące</w:t>
      </w:r>
      <w:r w:rsidR="00CC55C0" w:rsidRPr="0071228C">
        <w:rPr>
          <w:noProof/>
        </w:rPr>
        <w:t xml:space="preserve"> z</w:t>
      </w:r>
      <w:r w:rsidR="00CC55C0">
        <w:rPr>
          <w:noProof/>
        </w:rPr>
        <w:t> </w:t>
      </w:r>
      <w:r w:rsidR="00CC55C0" w:rsidRPr="0071228C">
        <w:rPr>
          <w:noProof/>
        </w:rPr>
        <w:t>ini</w:t>
      </w:r>
      <w:r w:rsidRPr="0071228C">
        <w:rPr>
          <w:noProof/>
        </w:rPr>
        <w:t>cjatywy Parlamentu Europejskiego lub Rady.”;</w:t>
      </w:r>
    </w:p>
    <w:p w14:paraId="1B62AFD9" w14:textId="7BBC96BC" w:rsidR="00064ADB" w:rsidRPr="0071228C" w:rsidRDefault="00CC55C0" w:rsidP="00CC55C0">
      <w:pPr>
        <w:pStyle w:val="Point0"/>
        <w:rPr>
          <w:noProof/>
        </w:rPr>
      </w:pPr>
      <w:r>
        <w:rPr>
          <w:noProof/>
        </w:rPr>
        <w:t>16)</w:t>
      </w:r>
      <w:r>
        <w:rPr>
          <w:noProof/>
        </w:rPr>
        <w:tab/>
      </w:r>
      <w:r w:rsidR="00064ADB" w:rsidRPr="00CC55C0">
        <w:rPr>
          <w:noProof/>
        </w:rPr>
        <w:t>art.</w:t>
      </w:r>
      <w:r w:rsidRPr="00CC55C0">
        <w:rPr>
          <w:noProof/>
        </w:rPr>
        <w:t> </w:t>
      </w:r>
      <w:r w:rsidR="00064ADB" w:rsidRPr="00CC55C0">
        <w:rPr>
          <w:noProof/>
        </w:rPr>
        <w:t>2</w:t>
      </w:r>
      <w:r w:rsidR="00064ADB" w:rsidRPr="0071228C">
        <w:rPr>
          <w:noProof/>
        </w:rPr>
        <w:t>1 otrzymuje brzmienie:</w:t>
      </w:r>
    </w:p>
    <w:p w14:paraId="3400EAEE" w14:textId="77777777" w:rsidR="00064ADB" w:rsidRPr="0071228C" w:rsidRDefault="00064ADB" w:rsidP="00064ADB">
      <w:pPr>
        <w:ind w:left="709"/>
        <w:jc w:val="center"/>
        <w:rPr>
          <w:noProof/>
        </w:rPr>
      </w:pPr>
      <w:r w:rsidRPr="0071228C">
        <w:rPr>
          <w:noProof/>
        </w:rPr>
        <w:t>„</w:t>
      </w:r>
      <w:r w:rsidRPr="0071228C">
        <w:rPr>
          <w:i/>
          <w:noProof/>
        </w:rPr>
        <w:t>Artykuł 21</w:t>
      </w:r>
    </w:p>
    <w:p w14:paraId="224170CC" w14:textId="77777777" w:rsidR="00064ADB" w:rsidRPr="0071228C" w:rsidRDefault="00064ADB" w:rsidP="00064ADB">
      <w:pPr>
        <w:ind w:left="709"/>
        <w:jc w:val="center"/>
        <w:rPr>
          <w:b/>
          <w:noProof/>
        </w:rPr>
      </w:pPr>
      <w:r w:rsidRPr="0071228C">
        <w:rPr>
          <w:b/>
          <w:noProof/>
        </w:rPr>
        <w:t>Procedura komitetowa</w:t>
      </w:r>
    </w:p>
    <w:p w14:paraId="43910EC3" w14:textId="51AE25FB" w:rsidR="00064ADB" w:rsidRPr="0071228C" w:rsidRDefault="00064ADB" w:rsidP="00064ADB">
      <w:pPr>
        <w:ind w:left="709"/>
        <w:rPr>
          <w:noProof/>
        </w:rPr>
      </w:pPr>
      <w:r w:rsidRPr="0071228C">
        <w:rPr>
          <w:noProof/>
        </w:rPr>
        <w:t>1. Komisja jest wspomagana przez komitet. Komitet ten jest komitetem</w:t>
      </w:r>
      <w:r w:rsidR="00CC55C0" w:rsidRPr="0071228C">
        <w:rPr>
          <w:noProof/>
        </w:rPr>
        <w:t xml:space="preserve"> w</w:t>
      </w:r>
      <w:r w:rsidR="00CC55C0">
        <w:rPr>
          <w:noProof/>
        </w:rPr>
        <w:t> </w:t>
      </w:r>
      <w:r w:rsidR="00CC55C0" w:rsidRPr="0071228C">
        <w:rPr>
          <w:noProof/>
        </w:rPr>
        <w:t>roz</w:t>
      </w:r>
      <w:r w:rsidRPr="0071228C">
        <w:rPr>
          <w:noProof/>
        </w:rPr>
        <w:t>umieniu rozporządzenia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w:t>
      </w:r>
      <w:r w:rsidRPr="00CC55C0">
        <w:rPr>
          <w:noProof/>
        </w:rPr>
        <w:t>nr</w:t>
      </w:r>
      <w:r w:rsidR="00CC55C0" w:rsidRPr="00CC55C0">
        <w:rPr>
          <w:noProof/>
        </w:rPr>
        <w:t> </w:t>
      </w:r>
      <w:r w:rsidRPr="00CC55C0">
        <w:rPr>
          <w:noProof/>
        </w:rPr>
        <w:t>1</w:t>
      </w:r>
      <w:r w:rsidRPr="0071228C">
        <w:rPr>
          <w:noProof/>
        </w:rPr>
        <w:t>82/2011*.</w:t>
      </w:r>
    </w:p>
    <w:p w14:paraId="2EF021B6" w14:textId="5ECAE2B2" w:rsidR="00064ADB" w:rsidRPr="0071228C" w:rsidRDefault="00064ADB" w:rsidP="00064ADB">
      <w:pPr>
        <w:ind w:left="709"/>
        <w:rPr>
          <w:noProof/>
        </w:rPr>
      </w:pPr>
      <w:r w:rsidRPr="0071228C">
        <w:rPr>
          <w:noProof/>
        </w:rPr>
        <w:t>2</w:t>
      </w:r>
      <w:r w:rsidR="00CC55C0" w:rsidRPr="0071228C">
        <w:rPr>
          <w:noProof/>
        </w:rPr>
        <w:t>. W</w:t>
      </w:r>
      <w:r w:rsidR="00CC55C0">
        <w:rPr>
          <w:noProof/>
        </w:rPr>
        <w:t> </w:t>
      </w:r>
      <w:r w:rsidR="00CC55C0" w:rsidRPr="0071228C">
        <w:rPr>
          <w:noProof/>
        </w:rPr>
        <w:t>prz</w:t>
      </w:r>
      <w:r w:rsidRPr="0071228C">
        <w:rPr>
          <w:noProof/>
        </w:rPr>
        <w:t xml:space="preserve">ypadku odesłania do niniejszego ustępu stosuje się </w:t>
      </w:r>
      <w:r w:rsidRPr="00CC55C0">
        <w:rPr>
          <w:noProof/>
        </w:rPr>
        <w:t>art.</w:t>
      </w:r>
      <w:r w:rsidR="00CC55C0" w:rsidRPr="00CC55C0">
        <w:rPr>
          <w:noProof/>
        </w:rPr>
        <w:t> </w:t>
      </w:r>
      <w:r w:rsidRPr="00CC55C0">
        <w:rPr>
          <w:noProof/>
        </w:rPr>
        <w:t>5</w:t>
      </w:r>
      <w:r w:rsidRPr="0071228C">
        <w:rPr>
          <w:noProof/>
        </w:rPr>
        <w:t xml:space="preserve"> rozporządzenia (UE) </w:t>
      </w:r>
      <w:r w:rsidRPr="00CC55C0">
        <w:rPr>
          <w:noProof/>
        </w:rPr>
        <w:t>nr</w:t>
      </w:r>
      <w:r w:rsidR="00CC55C0" w:rsidRPr="00CC55C0">
        <w:rPr>
          <w:noProof/>
        </w:rPr>
        <w:t> </w:t>
      </w:r>
      <w:r w:rsidRPr="00CC55C0">
        <w:rPr>
          <w:noProof/>
        </w:rPr>
        <w:t>1</w:t>
      </w:r>
      <w:r w:rsidRPr="0071228C">
        <w:rPr>
          <w:noProof/>
        </w:rPr>
        <w:t>82/2011.</w:t>
      </w:r>
    </w:p>
    <w:p w14:paraId="4D4A18E9" w14:textId="57390B5B" w:rsidR="00064ADB" w:rsidRPr="0071228C" w:rsidRDefault="00064ADB" w:rsidP="00064ADB">
      <w:pPr>
        <w:ind w:left="709"/>
        <w:rPr>
          <w:noProof/>
        </w:rPr>
      </w:pPr>
      <w:r w:rsidRPr="0071228C">
        <w:rPr>
          <w:noProof/>
        </w:rPr>
        <w:t>W przypadku gdy komitet nie wyda żadnej opinii, Komisja nie przyjmuje projektu aktu wykonawczego</w:t>
      </w:r>
      <w:r w:rsidR="00CC55C0" w:rsidRPr="0071228C">
        <w:rPr>
          <w:noProof/>
        </w:rPr>
        <w:t xml:space="preserve"> i</w:t>
      </w:r>
      <w:r w:rsidR="00CC55C0">
        <w:rPr>
          <w:noProof/>
        </w:rPr>
        <w:t> </w:t>
      </w:r>
      <w:r w:rsidR="00CC55C0" w:rsidRPr="0071228C">
        <w:rPr>
          <w:noProof/>
        </w:rPr>
        <w:t>sto</w:t>
      </w:r>
      <w:r w:rsidRPr="0071228C">
        <w:rPr>
          <w:noProof/>
        </w:rPr>
        <w:t xml:space="preserve">suje się </w:t>
      </w:r>
      <w:r w:rsidRPr="00CC55C0">
        <w:rPr>
          <w:noProof/>
        </w:rPr>
        <w:t>art.</w:t>
      </w:r>
      <w:r w:rsidR="00CC55C0" w:rsidRPr="00CC55C0">
        <w:rPr>
          <w:noProof/>
        </w:rPr>
        <w:t> </w:t>
      </w:r>
      <w:r w:rsidRPr="00CC55C0">
        <w:rPr>
          <w:noProof/>
        </w:rPr>
        <w:t>5</w:t>
      </w:r>
      <w:r w:rsidRPr="0071228C">
        <w:rPr>
          <w:noProof/>
        </w:rPr>
        <w:t xml:space="preserve"> </w:t>
      </w:r>
      <w:r w:rsidRPr="00CC55C0">
        <w:rPr>
          <w:noProof/>
        </w:rPr>
        <w:t>ust.</w:t>
      </w:r>
      <w:r w:rsidR="00CC55C0" w:rsidRPr="00CC55C0">
        <w:rPr>
          <w:noProof/>
        </w:rPr>
        <w:t> </w:t>
      </w:r>
      <w:r w:rsidRPr="00CC55C0">
        <w:rPr>
          <w:noProof/>
        </w:rPr>
        <w:t>4</w:t>
      </w:r>
      <w:r w:rsidRPr="0071228C">
        <w:rPr>
          <w:noProof/>
        </w:rPr>
        <w:t xml:space="preserve"> akapit trzeci rozporządzenia (UE) </w:t>
      </w:r>
      <w:r w:rsidRPr="00CC55C0">
        <w:rPr>
          <w:noProof/>
        </w:rPr>
        <w:t>nr</w:t>
      </w:r>
      <w:r w:rsidR="00CC55C0" w:rsidRPr="00CC55C0">
        <w:rPr>
          <w:noProof/>
        </w:rPr>
        <w:t> </w:t>
      </w:r>
      <w:r w:rsidRPr="00CC55C0">
        <w:rPr>
          <w:noProof/>
        </w:rPr>
        <w:t>1</w:t>
      </w:r>
      <w:r w:rsidRPr="0071228C">
        <w:rPr>
          <w:noProof/>
        </w:rPr>
        <w:t>82/2011.</w:t>
      </w:r>
    </w:p>
    <w:p w14:paraId="2EAA7BA9" w14:textId="77777777" w:rsidR="00064ADB" w:rsidRPr="0071228C" w:rsidRDefault="00064ADB" w:rsidP="00064ADB">
      <w:pPr>
        <w:ind w:left="709"/>
        <w:rPr>
          <w:noProof/>
          <w:u w:val="single"/>
        </w:rPr>
      </w:pP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p>
    <w:p w14:paraId="5D56D424" w14:textId="6F046B9F" w:rsidR="00064ADB" w:rsidRPr="0071228C" w:rsidRDefault="00064ADB" w:rsidP="00064ADB">
      <w:pPr>
        <w:ind w:left="709"/>
        <w:rPr>
          <w:i/>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w:t>
      </w:r>
      <w:r w:rsidRPr="00CC55C0">
        <w:rPr>
          <w:noProof/>
        </w:rPr>
        <w:t>nr</w:t>
      </w:r>
      <w:r w:rsidR="00CC55C0" w:rsidRPr="00CC55C0">
        <w:rPr>
          <w:noProof/>
        </w:rPr>
        <w:t> </w:t>
      </w:r>
      <w:r w:rsidRPr="00CC55C0">
        <w:rPr>
          <w:noProof/>
        </w:rPr>
        <w:t>1</w:t>
      </w:r>
      <w:r w:rsidRPr="0071228C">
        <w:rPr>
          <w:noProof/>
        </w:rPr>
        <w:t>82/2011</w:t>
      </w:r>
      <w:r w:rsidR="00CC55C0" w:rsidRPr="0071228C">
        <w:rPr>
          <w:noProof/>
        </w:rPr>
        <w:t xml:space="preserve"> z</w:t>
      </w:r>
      <w:r w:rsidR="00CC55C0">
        <w:rPr>
          <w:noProof/>
        </w:rPr>
        <w:t> </w:t>
      </w:r>
      <w:r w:rsidR="00CC55C0" w:rsidRPr="0071228C">
        <w:rPr>
          <w:noProof/>
        </w:rPr>
        <w:t>dni</w:t>
      </w:r>
      <w:r w:rsidRPr="0071228C">
        <w:rPr>
          <w:noProof/>
        </w:rPr>
        <w:t>a 16 lutego 20</w:t>
      </w:r>
      <w:r w:rsidRPr="00CC55C0">
        <w:rPr>
          <w:noProof/>
        </w:rPr>
        <w:t>11</w:t>
      </w:r>
      <w:r w:rsidR="00CC55C0" w:rsidRPr="00CC55C0">
        <w:rPr>
          <w:noProof/>
        </w:rPr>
        <w:t> </w:t>
      </w:r>
      <w:r w:rsidRPr="00CC55C0">
        <w:rPr>
          <w:noProof/>
        </w:rPr>
        <w:t>r.</w:t>
      </w:r>
      <w:r w:rsidRPr="0071228C">
        <w:rPr>
          <w:noProof/>
        </w:rPr>
        <w:t xml:space="preserve"> ustanawiające przepisy</w:t>
      </w:r>
      <w:r w:rsidR="00CC55C0" w:rsidRPr="0071228C">
        <w:rPr>
          <w:noProof/>
        </w:rPr>
        <w:t xml:space="preserve"> i</w:t>
      </w:r>
      <w:r w:rsidR="00CC55C0">
        <w:rPr>
          <w:noProof/>
        </w:rPr>
        <w:t> </w:t>
      </w:r>
      <w:r w:rsidR="00CC55C0" w:rsidRPr="0071228C">
        <w:rPr>
          <w:noProof/>
        </w:rPr>
        <w:t>zas</w:t>
      </w:r>
      <w:r w:rsidRPr="0071228C">
        <w:rPr>
          <w:noProof/>
        </w:rPr>
        <w:t>ady ogólne dotyczące trybu kontroli przez państwa członkowskie wykonywania uprawnień wykonawczych przez Komisję (Dz.U. L 55</w:t>
      </w:r>
      <w:r w:rsidR="00CC55C0" w:rsidRPr="0071228C">
        <w:rPr>
          <w:noProof/>
        </w:rPr>
        <w:t xml:space="preserve"> z</w:t>
      </w:r>
      <w:r w:rsidR="00CC55C0">
        <w:rPr>
          <w:noProof/>
        </w:rPr>
        <w:t> </w:t>
      </w:r>
      <w:r w:rsidR="00CC55C0" w:rsidRPr="0071228C">
        <w:rPr>
          <w:noProof/>
        </w:rPr>
        <w:t>2</w:t>
      </w:r>
      <w:r w:rsidRPr="0071228C">
        <w:rPr>
          <w:noProof/>
        </w:rPr>
        <w:t>8.2.2011, s. 13).”;</w:t>
      </w:r>
    </w:p>
    <w:p w14:paraId="6715496F" w14:textId="7F961938" w:rsidR="00064ADB" w:rsidRPr="0071228C" w:rsidRDefault="00CC55C0" w:rsidP="00CC55C0">
      <w:pPr>
        <w:pStyle w:val="Point0"/>
        <w:rPr>
          <w:noProof/>
        </w:rPr>
      </w:pPr>
      <w:r>
        <w:rPr>
          <w:noProof/>
        </w:rPr>
        <w:t>17)</w:t>
      </w:r>
      <w:r>
        <w:rPr>
          <w:noProof/>
        </w:rPr>
        <w:tab/>
      </w:r>
      <w:r w:rsidR="00D54DDB" w:rsidRPr="0071228C">
        <w:rPr>
          <w:noProof/>
        </w:rPr>
        <w:t>art. 22 ust. 4 otrzymuje brzmienie:</w:t>
      </w:r>
    </w:p>
    <w:p w14:paraId="36AF17CB" w14:textId="2490FBFE" w:rsidR="00064ADB" w:rsidRPr="0071228C" w:rsidRDefault="00D54DDB" w:rsidP="00064ADB">
      <w:pPr>
        <w:pStyle w:val="Text1"/>
        <w:rPr>
          <w:i/>
          <w:noProof/>
        </w:rPr>
      </w:pPr>
      <w:r w:rsidRPr="0071228C">
        <w:rPr>
          <w:i/>
          <w:noProof/>
        </w:rPr>
        <w:t xml:space="preserve"> </w:t>
      </w:r>
      <w:r w:rsidRPr="0071228C">
        <w:rPr>
          <w:noProof/>
        </w:rPr>
        <w:t>„4. Cele środowiskowe wymienione</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00CC55C0" w:rsidRPr="0071228C">
        <w:rPr>
          <w:noProof/>
        </w:rPr>
        <w:t xml:space="preserve"> i</w:t>
      </w:r>
      <w:r w:rsidR="00CC55C0">
        <w:rPr>
          <w:noProof/>
        </w:rPr>
        <w:t> </w:t>
      </w:r>
      <w:r w:rsidR="00CC55C0" w:rsidRPr="0071228C">
        <w:rPr>
          <w:noProof/>
        </w:rPr>
        <w:t>śro</w:t>
      </w:r>
      <w:r w:rsidRPr="0071228C">
        <w:rPr>
          <w:noProof/>
        </w:rPr>
        <w:t>dowiskowe normy jakości określone</w:t>
      </w:r>
      <w:r w:rsidR="00CC55C0" w:rsidRPr="0071228C">
        <w:rPr>
          <w:noProof/>
        </w:rPr>
        <w:t xml:space="preserve"> w</w:t>
      </w:r>
      <w:r w:rsidR="00CC55C0">
        <w:rPr>
          <w:noProof/>
        </w:rPr>
        <w:t> </w:t>
      </w:r>
      <w:r w:rsidR="00CC55C0" w:rsidRPr="0071228C">
        <w:rPr>
          <w:noProof/>
        </w:rPr>
        <w:t>czę</w:t>
      </w:r>
      <w:r w:rsidRPr="0071228C">
        <w:rPr>
          <w:noProof/>
        </w:rPr>
        <w:t>ści A załącznika I do dyrektywy 2008/105/WE oraz progi dotyczące substancji zanieczyszczających specyficznych dla dorzeczy ustanowione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00CC55C0" w:rsidRPr="0071228C">
        <w:rPr>
          <w:noProof/>
        </w:rPr>
        <w:t xml:space="preserve"> i</w:t>
      </w:r>
      <w:r w:rsidR="00CC55C0">
        <w:rPr>
          <w:noProof/>
        </w:rPr>
        <w:t> </w:t>
      </w:r>
      <w:r w:rsidR="00CC55C0" w:rsidRPr="0071228C">
        <w:rPr>
          <w:noProof/>
        </w:rPr>
        <w:t>8</w:t>
      </w:r>
      <w:r w:rsidRPr="0071228C">
        <w:rPr>
          <w:noProof/>
        </w:rPr>
        <w:t>d tej dyrektywy uznaje się za środowiskowe normy jakości do celów dyrektywy 2010/75/UE.”;</w:t>
      </w:r>
    </w:p>
    <w:p w14:paraId="763092DF" w14:textId="2D1B43BA" w:rsidR="00064ADB" w:rsidRPr="0071228C" w:rsidRDefault="00CC55C0" w:rsidP="00CC55C0">
      <w:pPr>
        <w:pStyle w:val="Point0"/>
        <w:rPr>
          <w:i/>
          <w:noProof/>
        </w:rPr>
      </w:pPr>
      <w:r>
        <w:rPr>
          <w:noProof/>
        </w:rPr>
        <w:t>18)</w:t>
      </w:r>
      <w:r>
        <w:rPr>
          <w:noProof/>
        </w:rPr>
        <w:tab/>
      </w:r>
      <w:r w:rsidR="00064ADB" w:rsidRPr="0071228C">
        <w:rPr>
          <w:noProof/>
        </w:rPr>
        <w:t>W załączniku V wprowadza się zmiany zgodnie</w:t>
      </w:r>
      <w:r w:rsidRPr="0071228C">
        <w:rPr>
          <w:noProof/>
        </w:rPr>
        <w:t xml:space="preserve"> z</w:t>
      </w:r>
      <w:r>
        <w:rPr>
          <w:noProof/>
        </w:rPr>
        <w:t> </w:t>
      </w:r>
      <w:r w:rsidRPr="0071228C">
        <w:rPr>
          <w:noProof/>
        </w:rPr>
        <w:t>zał</w:t>
      </w:r>
      <w:r w:rsidR="00064ADB" w:rsidRPr="0071228C">
        <w:rPr>
          <w:noProof/>
        </w:rPr>
        <w:t>ącznikiem I do niniejszej dyrektywy;</w:t>
      </w:r>
    </w:p>
    <w:p w14:paraId="407F63D5" w14:textId="03DE472A" w:rsidR="00064ADB" w:rsidRPr="0071228C" w:rsidRDefault="00CC55C0" w:rsidP="00CC55C0">
      <w:pPr>
        <w:pStyle w:val="Point0"/>
        <w:rPr>
          <w:noProof/>
        </w:rPr>
      </w:pPr>
      <w:r>
        <w:rPr>
          <w:noProof/>
        </w:rPr>
        <w:t>19)</w:t>
      </w:r>
      <w:r>
        <w:rPr>
          <w:noProof/>
        </w:rPr>
        <w:tab/>
      </w:r>
      <w:r w:rsidR="00FC3F20" w:rsidRPr="0071228C">
        <w:rPr>
          <w:noProof/>
        </w:rPr>
        <w:t xml:space="preserve">załącznik VII część A </w:t>
      </w:r>
      <w:r w:rsidR="00FC3F20" w:rsidRPr="00CC55C0">
        <w:rPr>
          <w:noProof/>
        </w:rPr>
        <w:t>pkt</w:t>
      </w:r>
      <w:r w:rsidRPr="00CC55C0">
        <w:rPr>
          <w:noProof/>
        </w:rPr>
        <w:t> </w:t>
      </w:r>
      <w:r w:rsidR="00FC3F20" w:rsidRPr="00CC55C0">
        <w:rPr>
          <w:noProof/>
        </w:rPr>
        <w:t>7</w:t>
      </w:r>
      <w:r w:rsidR="00FC3F20" w:rsidRPr="0071228C">
        <w:rPr>
          <w:noProof/>
        </w:rPr>
        <w:t xml:space="preserve">.7 otrzymuje brzmienie: </w:t>
      </w:r>
    </w:p>
    <w:p w14:paraId="7225AEBA" w14:textId="3107BC37" w:rsidR="00064ADB" w:rsidRPr="0071228C" w:rsidRDefault="00064ADB" w:rsidP="00064ADB">
      <w:pPr>
        <w:pStyle w:val="Text1"/>
        <w:rPr>
          <w:noProof/>
        </w:rPr>
      </w:pPr>
      <w:r w:rsidRPr="0071228C">
        <w:rPr>
          <w:noProof/>
        </w:rPr>
        <w:t>„7.7. podsumowanie środków zastosowanych</w:t>
      </w:r>
      <w:r w:rsidR="00CC55C0" w:rsidRPr="0071228C">
        <w:rPr>
          <w:noProof/>
        </w:rPr>
        <w:t xml:space="preserve"> w</w:t>
      </w:r>
      <w:r w:rsidR="00CC55C0">
        <w:rPr>
          <w:noProof/>
        </w:rPr>
        <w:t> </w:t>
      </w:r>
      <w:r w:rsidR="00CC55C0" w:rsidRPr="0071228C">
        <w:rPr>
          <w:noProof/>
        </w:rPr>
        <w:t>cel</w:t>
      </w:r>
      <w:r w:rsidRPr="0071228C">
        <w:rPr>
          <w:noProof/>
        </w:rPr>
        <w:t>u redukcji emisji substancji priorytetowych</w:t>
      </w:r>
      <w:r w:rsidR="00CC55C0" w:rsidRPr="0071228C">
        <w:rPr>
          <w:noProof/>
        </w:rPr>
        <w:t xml:space="preserve"> i</w:t>
      </w:r>
      <w:r w:rsidR="00CC55C0">
        <w:rPr>
          <w:noProof/>
        </w:rPr>
        <w:t> </w:t>
      </w:r>
      <w:r w:rsidR="00CC55C0" w:rsidRPr="0071228C">
        <w:rPr>
          <w:noProof/>
        </w:rPr>
        <w:t>sto</w:t>
      </w:r>
      <w:r w:rsidRPr="0071228C">
        <w:rPr>
          <w:noProof/>
        </w:rPr>
        <w:t xml:space="preserve">pniowego wyeliminowania emisji priorytetowych substancji niebezpiecznych;”; </w:t>
      </w:r>
    </w:p>
    <w:p w14:paraId="2AAD194C" w14:textId="07F7468F" w:rsidR="00992E87" w:rsidRPr="00CC55C0" w:rsidRDefault="00CC55C0" w:rsidP="00CC55C0">
      <w:pPr>
        <w:pStyle w:val="Point0"/>
        <w:rPr>
          <w:noProof/>
        </w:rPr>
      </w:pPr>
      <w:r>
        <w:rPr>
          <w:noProof/>
        </w:rPr>
        <w:t>20)</w:t>
      </w:r>
      <w:r>
        <w:rPr>
          <w:noProof/>
        </w:rPr>
        <w:tab/>
      </w:r>
      <w:r w:rsidR="00793BC6" w:rsidRPr="0071228C">
        <w:rPr>
          <w:noProof/>
        </w:rPr>
        <w:t>W załączniku VIII wprowadza się zmiany zgodnie</w:t>
      </w:r>
      <w:r w:rsidRPr="0071228C">
        <w:rPr>
          <w:noProof/>
        </w:rPr>
        <w:t xml:space="preserve"> z</w:t>
      </w:r>
      <w:r>
        <w:rPr>
          <w:noProof/>
        </w:rPr>
        <w:t> </w:t>
      </w:r>
      <w:r w:rsidRPr="0071228C">
        <w:rPr>
          <w:noProof/>
        </w:rPr>
        <w:t>zał</w:t>
      </w:r>
      <w:r w:rsidR="00793BC6" w:rsidRPr="0071228C">
        <w:rPr>
          <w:noProof/>
        </w:rPr>
        <w:t>ącznikiem II do niniejszej dyrektywy</w:t>
      </w:r>
      <w:r w:rsidR="00793BC6" w:rsidRPr="00CC55C0">
        <w:rPr>
          <w:noProof/>
        </w:rPr>
        <w:t>;</w:t>
      </w:r>
      <w:r w:rsidRPr="00CC55C0">
        <w:rPr>
          <w:noProof/>
        </w:rPr>
        <w:t xml:space="preserve"> </w:t>
      </w:r>
    </w:p>
    <w:p w14:paraId="66355C85" w14:textId="7E71E297" w:rsidR="00064ADB" w:rsidRPr="0071228C" w:rsidRDefault="00CC55C0" w:rsidP="00CC55C0">
      <w:pPr>
        <w:pStyle w:val="Point0"/>
        <w:rPr>
          <w:i/>
          <w:noProof/>
        </w:rPr>
      </w:pPr>
      <w:r>
        <w:rPr>
          <w:noProof/>
        </w:rPr>
        <w:t>21)</w:t>
      </w:r>
      <w:r>
        <w:rPr>
          <w:noProof/>
        </w:rPr>
        <w:tab/>
      </w:r>
      <w:r w:rsidR="00064ADB" w:rsidRPr="0071228C">
        <w:rPr>
          <w:noProof/>
        </w:rPr>
        <w:t xml:space="preserve">uchyla się załącznik X. </w:t>
      </w:r>
    </w:p>
    <w:p w14:paraId="282B3F8C" w14:textId="77777777" w:rsidR="00EE492F" w:rsidRPr="0071228C" w:rsidRDefault="009D4140" w:rsidP="009D4140">
      <w:pPr>
        <w:pStyle w:val="Titrearticle"/>
        <w:rPr>
          <w:noProof/>
        </w:rPr>
      </w:pPr>
      <w:r w:rsidRPr="0071228C">
        <w:rPr>
          <w:noProof/>
        </w:rPr>
        <w:t>Artykuł 2</w:t>
      </w:r>
    </w:p>
    <w:p w14:paraId="1E31A08C" w14:textId="48830340" w:rsidR="009D4140" w:rsidRPr="0071228C" w:rsidRDefault="00F56605" w:rsidP="00FB7B4D">
      <w:pPr>
        <w:jc w:val="center"/>
        <w:rPr>
          <w:i/>
          <w:noProof/>
        </w:rPr>
      </w:pPr>
      <w:r w:rsidRPr="0071228C">
        <w:rPr>
          <w:i/>
          <w:noProof/>
        </w:rPr>
        <w:t>Zmiany</w:t>
      </w:r>
      <w:r w:rsidR="00CC55C0" w:rsidRPr="0071228C">
        <w:rPr>
          <w:i/>
          <w:noProof/>
        </w:rPr>
        <w:t xml:space="preserve"> w</w:t>
      </w:r>
      <w:r w:rsidR="00CC55C0">
        <w:rPr>
          <w:i/>
          <w:noProof/>
        </w:rPr>
        <w:t> </w:t>
      </w:r>
      <w:r w:rsidR="00CC55C0" w:rsidRPr="0071228C">
        <w:rPr>
          <w:i/>
          <w:noProof/>
        </w:rPr>
        <w:t>dyr</w:t>
      </w:r>
      <w:r w:rsidRPr="0071228C">
        <w:rPr>
          <w:i/>
          <w:noProof/>
        </w:rPr>
        <w:t>ektywie 2006/118/WE</w:t>
      </w:r>
    </w:p>
    <w:p w14:paraId="70E8E7A9" w14:textId="77777777" w:rsidR="00F56605" w:rsidRPr="0071228C" w:rsidRDefault="00F56605" w:rsidP="009D4140">
      <w:pPr>
        <w:rPr>
          <w:noProof/>
        </w:rPr>
      </w:pPr>
      <w:r w:rsidRPr="0071228C">
        <w:rPr>
          <w:noProof/>
        </w:rPr>
        <w:t>W dyrektywie 2006/118/WE wprowadza się następujące zmiany:</w:t>
      </w:r>
    </w:p>
    <w:p w14:paraId="320C1F34" w14:textId="358F96D3" w:rsidR="005C35CB" w:rsidRPr="0071228C" w:rsidRDefault="00CC55C0" w:rsidP="00CC55C0">
      <w:pPr>
        <w:pStyle w:val="Point0"/>
        <w:rPr>
          <w:noProof/>
        </w:rPr>
      </w:pPr>
      <w:r>
        <w:rPr>
          <w:noProof/>
        </w:rPr>
        <w:t>1)</w:t>
      </w:r>
      <w:r>
        <w:rPr>
          <w:noProof/>
        </w:rPr>
        <w:tab/>
      </w:r>
      <w:r w:rsidR="007117E3" w:rsidRPr="0071228C">
        <w:rPr>
          <w:noProof/>
        </w:rPr>
        <w:t xml:space="preserve">tytuł otrzymuje brzmienie: </w:t>
      </w:r>
    </w:p>
    <w:p w14:paraId="1615DB72" w14:textId="7EA96D34" w:rsidR="00147A70" w:rsidRPr="0071228C" w:rsidRDefault="005C35CB" w:rsidP="003D2594">
      <w:pPr>
        <w:pStyle w:val="Text1"/>
        <w:rPr>
          <w:i/>
          <w:noProof/>
        </w:rPr>
      </w:pPr>
      <w:r w:rsidRPr="0071228C">
        <w:rPr>
          <w:noProof/>
        </w:rPr>
        <w:t>„Dyrektywa 2006/118/WE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12 grudnia 20</w:t>
      </w:r>
      <w:r w:rsidRPr="00CC55C0">
        <w:rPr>
          <w:noProof/>
        </w:rPr>
        <w:t>06</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zapobiegania zanieczyszczeniu wód podziemnych</w:t>
      </w:r>
      <w:r w:rsidR="00CC55C0" w:rsidRPr="0071228C">
        <w:rPr>
          <w:noProof/>
        </w:rPr>
        <w:t xml:space="preserve"> i</w:t>
      </w:r>
      <w:r w:rsidR="00CC55C0">
        <w:rPr>
          <w:noProof/>
        </w:rPr>
        <w:t> </w:t>
      </w:r>
      <w:r w:rsidR="00CC55C0" w:rsidRPr="0071228C">
        <w:rPr>
          <w:noProof/>
        </w:rPr>
        <w:t>jeg</w:t>
      </w:r>
      <w:r w:rsidRPr="0071228C">
        <w:rPr>
          <w:noProof/>
        </w:rPr>
        <w:t>o kontroli”;</w:t>
      </w:r>
    </w:p>
    <w:p w14:paraId="5F9057D0" w14:textId="4B9530E7" w:rsidR="00680051" w:rsidRPr="0071228C" w:rsidRDefault="00CC55C0" w:rsidP="00CC55C0">
      <w:pPr>
        <w:pStyle w:val="Point0"/>
        <w:rPr>
          <w:noProof/>
        </w:rPr>
      </w:pPr>
      <w:r>
        <w:rPr>
          <w:noProof/>
        </w:rPr>
        <w:t>2)</w:t>
      </w:r>
      <w:r>
        <w:rPr>
          <w:noProof/>
        </w:rPr>
        <w:tab/>
      </w:r>
      <w:r w:rsidR="007117E3" w:rsidRPr="00CC55C0">
        <w:rPr>
          <w:noProof/>
        </w:rPr>
        <w:t>art.</w:t>
      </w:r>
      <w:r w:rsidRPr="00CC55C0">
        <w:rPr>
          <w:noProof/>
        </w:rPr>
        <w:t> </w:t>
      </w:r>
      <w:r w:rsidR="007117E3" w:rsidRPr="00CC55C0">
        <w:rPr>
          <w:noProof/>
        </w:rPr>
        <w:t>1</w:t>
      </w:r>
      <w:r w:rsidR="007117E3" w:rsidRPr="0071228C">
        <w:rPr>
          <w:noProof/>
        </w:rPr>
        <w:t xml:space="preserve"> </w:t>
      </w:r>
      <w:r w:rsidR="007117E3" w:rsidRPr="00CC55C0">
        <w:rPr>
          <w:noProof/>
        </w:rPr>
        <w:t>ust.</w:t>
      </w:r>
      <w:r w:rsidRPr="00CC55C0">
        <w:rPr>
          <w:noProof/>
        </w:rPr>
        <w:t> </w:t>
      </w:r>
      <w:r w:rsidR="007117E3" w:rsidRPr="00CC55C0">
        <w:rPr>
          <w:noProof/>
        </w:rPr>
        <w:t>1</w:t>
      </w:r>
      <w:r w:rsidR="007117E3" w:rsidRPr="0071228C">
        <w:rPr>
          <w:noProof/>
        </w:rPr>
        <w:t xml:space="preserve"> otrzymuje brzmienie:</w:t>
      </w:r>
    </w:p>
    <w:p w14:paraId="3F85B7A1" w14:textId="13BC7AE1" w:rsidR="00680051" w:rsidRPr="0071228C" w:rsidRDefault="00B03F56" w:rsidP="00DE7BA6">
      <w:pPr>
        <w:pStyle w:val="Text1"/>
        <w:rPr>
          <w:noProof/>
        </w:rPr>
      </w:pPr>
      <w:r w:rsidRPr="0071228C">
        <w:rPr>
          <w:noProof/>
        </w:rPr>
        <w:t>„1. Niniejszą dyrektywą ustanawia się szczególne środki służące zapobieganiu zanieczyszczeniu wód podziemnych</w:t>
      </w:r>
      <w:r w:rsidR="00CC55C0" w:rsidRPr="0071228C">
        <w:rPr>
          <w:noProof/>
        </w:rPr>
        <w:t xml:space="preserve"> i</w:t>
      </w:r>
      <w:r w:rsidR="00CC55C0">
        <w:rPr>
          <w:noProof/>
        </w:rPr>
        <w:t> </w:t>
      </w:r>
      <w:r w:rsidR="00CC55C0" w:rsidRPr="0071228C">
        <w:rPr>
          <w:noProof/>
        </w:rPr>
        <w:t>jeg</w:t>
      </w:r>
      <w:r w:rsidRPr="0071228C">
        <w:rPr>
          <w:noProof/>
        </w:rPr>
        <w:t>o kontroli</w:t>
      </w:r>
      <w:r w:rsidR="00CC55C0" w:rsidRPr="0071228C">
        <w:rPr>
          <w:noProof/>
        </w:rPr>
        <w:t xml:space="preserve"> w</w:t>
      </w:r>
      <w:r w:rsidR="00CC55C0">
        <w:rPr>
          <w:noProof/>
        </w:rPr>
        <w:t> </w:t>
      </w:r>
      <w:r w:rsidR="00CC55C0" w:rsidRPr="0071228C">
        <w:rPr>
          <w:noProof/>
        </w:rPr>
        <w:t>cel</w:t>
      </w:r>
      <w:r w:rsidRPr="0071228C">
        <w:rPr>
          <w:noProof/>
        </w:rPr>
        <w:t>u osiągnięcia celów środowiskowych określonych</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xml:space="preserve"> dyrektywy 2000/60/WE. Przedmiotowe środki obejmują:</w:t>
      </w:r>
    </w:p>
    <w:p w14:paraId="07E27901" w14:textId="77777777" w:rsidR="00680051" w:rsidRPr="0071228C" w:rsidRDefault="00B03F56" w:rsidP="0053029D">
      <w:pPr>
        <w:pStyle w:val="Text2"/>
        <w:rPr>
          <w:noProof/>
        </w:rPr>
      </w:pPr>
      <w:r w:rsidRPr="0071228C">
        <w:rPr>
          <w:noProof/>
        </w:rPr>
        <w:t>a) kryteria oceny dobrego stanu chemicznego wód podziemnych;</w:t>
      </w:r>
    </w:p>
    <w:p w14:paraId="1648C2DA" w14:textId="399082F7" w:rsidR="00147A70" w:rsidRPr="0071228C" w:rsidRDefault="00B03F56" w:rsidP="0053029D">
      <w:pPr>
        <w:pStyle w:val="Text2"/>
        <w:rPr>
          <w:i/>
          <w:noProof/>
        </w:rPr>
      </w:pPr>
      <w:r w:rsidRPr="0071228C">
        <w:rPr>
          <w:noProof/>
        </w:rPr>
        <w:t>b) kryteria służące identyfikacji</w:t>
      </w:r>
      <w:r w:rsidR="00CC55C0" w:rsidRPr="0071228C">
        <w:rPr>
          <w:noProof/>
        </w:rPr>
        <w:t xml:space="preserve"> i</w:t>
      </w:r>
      <w:r w:rsidR="00CC55C0">
        <w:rPr>
          <w:noProof/>
        </w:rPr>
        <w:t> </w:t>
      </w:r>
      <w:r w:rsidR="00CC55C0" w:rsidRPr="0071228C">
        <w:rPr>
          <w:noProof/>
        </w:rPr>
        <w:t>odw</w:t>
      </w:r>
      <w:r w:rsidRPr="0071228C">
        <w:rPr>
          <w:noProof/>
        </w:rPr>
        <w:t>róceniu znaczących</w:t>
      </w:r>
      <w:r w:rsidR="00CC55C0" w:rsidRPr="0071228C">
        <w:rPr>
          <w:noProof/>
        </w:rPr>
        <w:t xml:space="preserve"> i</w:t>
      </w:r>
      <w:r w:rsidR="00CC55C0">
        <w:rPr>
          <w:noProof/>
        </w:rPr>
        <w:t> </w:t>
      </w:r>
      <w:r w:rsidR="00CC55C0" w:rsidRPr="0071228C">
        <w:rPr>
          <w:noProof/>
        </w:rPr>
        <w:t>utr</w:t>
      </w:r>
      <w:r w:rsidRPr="0071228C">
        <w:rPr>
          <w:noProof/>
        </w:rPr>
        <w:t>zymujących się trendów wzrostowych oraz kryteria służące definiowaniu początkowych punktów odwrócenia takich trendów.”;</w:t>
      </w:r>
    </w:p>
    <w:p w14:paraId="0067F479" w14:textId="0CFBD23C" w:rsidR="00C04E70" w:rsidRPr="0071228C" w:rsidRDefault="00CC55C0" w:rsidP="00CC55C0">
      <w:pPr>
        <w:pStyle w:val="Point0"/>
        <w:rPr>
          <w:noProof/>
        </w:rPr>
      </w:pPr>
      <w:r>
        <w:rPr>
          <w:noProof/>
        </w:rPr>
        <w:t>3)</w:t>
      </w:r>
      <w:r>
        <w:rPr>
          <w:noProof/>
        </w:rPr>
        <w:tab/>
      </w:r>
      <w:r w:rsidR="007117E3" w:rsidRPr="00CC55C0">
        <w:rPr>
          <w:noProof/>
        </w:rPr>
        <w:t>art.</w:t>
      </w:r>
      <w:r w:rsidRPr="00CC55C0">
        <w:rPr>
          <w:noProof/>
        </w:rPr>
        <w:t> </w:t>
      </w:r>
      <w:r w:rsidR="007117E3" w:rsidRPr="00CC55C0">
        <w:rPr>
          <w:noProof/>
        </w:rPr>
        <w:t>2</w:t>
      </w:r>
      <w:r w:rsidR="007117E3" w:rsidRPr="0071228C">
        <w:rPr>
          <w:noProof/>
        </w:rPr>
        <w:t xml:space="preserve"> </w:t>
      </w:r>
      <w:r w:rsidR="007117E3" w:rsidRPr="00CC55C0">
        <w:rPr>
          <w:noProof/>
        </w:rPr>
        <w:t>pkt</w:t>
      </w:r>
      <w:r w:rsidRPr="00CC55C0">
        <w:rPr>
          <w:noProof/>
        </w:rPr>
        <w:t> </w:t>
      </w:r>
      <w:r w:rsidR="007117E3" w:rsidRPr="00CC55C0">
        <w:rPr>
          <w:noProof/>
        </w:rPr>
        <w:t>2</w:t>
      </w:r>
      <w:r w:rsidR="007117E3" w:rsidRPr="0071228C">
        <w:rPr>
          <w:noProof/>
        </w:rPr>
        <w:t xml:space="preserve"> otrzymuje brzmienie:</w:t>
      </w:r>
    </w:p>
    <w:p w14:paraId="2F1A802D" w14:textId="2C3261C6" w:rsidR="00147A70" w:rsidRPr="0071228C" w:rsidRDefault="00C04E70" w:rsidP="00DE7BA6">
      <w:pPr>
        <w:pStyle w:val="Text1"/>
        <w:rPr>
          <w:i/>
          <w:noProof/>
        </w:rPr>
      </w:pPr>
      <w:r w:rsidRPr="0071228C">
        <w:rPr>
          <w:noProof/>
        </w:rPr>
        <w:t>„2) »wartość progowa« oznacza normę jakości wód podziemnych ustaloną przez państwa członkowskie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xml:space="preserve"> lub na poziomie Unii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3</w:t>
      </w:r>
      <w:r w:rsidRPr="0071228C">
        <w:rPr>
          <w:noProof/>
        </w:rPr>
        <w:t>;”;</w:t>
      </w:r>
      <w:r w:rsidRPr="0071228C">
        <w:rPr>
          <w:i/>
          <w:noProof/>
        </w:rPr>
        <w:t xml:space="preserve"> </w:t>
      </w:r>
    </w:p>
    <w:p w14:paraId="26B41D5C" w14:textId="65E20E5C" w:rsidR="004458EE" w:rsidRPr="0071228C" w:rsidRDefault="00CC55C0" w:rsidP="00CC55C0">
      <w:pPr>
        <w:pStyle w:val="Point0"/>
        <w:rPr>
          <w:noProof/>
        </w:rPr>
      </w:pPr>
      <w:r>
        <w:rPr>
          <w:noProof/>
        </w:rPr>
        <w:t>4)</w:t>
      </w:r>
      <w:r>
        <w:rPr>
          <w:noProof/>
        </w:rPr>
        <w:tab/>
      </w:r>
      <w:r w:rsidR="004458EE" w:rsidRPr="0071228C">
        <w:rPr>
          <w:noProof/>
        </w:rPr>
        <w:t xml:space="preserve">w </w:t>
      </w:r>
      <w:r w:rsidR="004458EE" w:rsidRPr="00CC55C0">
        <w:rPr>
          <w:noProof/>
        </w:rPr>
        <w:t>art.</w:t>
      </w:r>
      <w:r w:rsidRPr="00CC55C0">
        <w:rPr>
          <w:noProof/>
        </w:rPr>
        <w:t> </w:t>
      </w:r>
      <w:r w:rsidR="004458EE" w:rsidRPr="00CC55C0">
        <w:rPr>
          <w:noProof/>
        </w:rPr>
        <w:t>3</w:t>
      </w:r>
      <w:r w:rsidR="004458EE" w:rsidRPr="0071228C">
        <w:rPr>
          <w:noProof/>
        </w:rPr>
        <w:t xml:space="preserve"> wprowadza się następujące zmiany: </w:t>
      </w:r>
    </w:p>
    <w:p w14:paraId="66D72092" w14:textId="1462A978" w:rsidR="0088519F" w:rsidRPr="0071228C" w:rsidRDefault="00CC55C0" w:rsidP="00CC55C0">
      <w:pPr>
        <w:pStyle w:val="Point1"/>
        <w:rPr>
          <w:noProof/>
        </w:rPr>
      </w:pPr>
      <w:r>
        <w:rPr>
          <w:noProof/>
        </w:rPr>
        <w:t>a)</w:t>
      </w:r>
      <w:r>
        <w:rPr>
          <w:noProof/>
        </w:rPr>
        <w:tab/>
      </w:r>
      <w:r w:rsidR="007225D5" w:rsidRPr="0071228C">
        <w:rPr>
          <w:noProof/>
        </w:rPr>
        <w:t xml:space="preserve">w </w:t>
      </w:r>
      <w:r w:rsidR="007225D5" w:rsidRPr="00CC55C0">
        <w:rPr>
          <w:noProof/>
        </w:rPr>
        <w:t>ust.</w:t>
      </w:r>
      <w:r w:rsidRPr="00CC55C0">
        <w:rPr>
          <w:noProof/>
        </w:rPr>
        <w:t> </w:t>
      </w:r>
      <w:r w:rsidR="007225D5" w:rsidRPr="00CC55C0">
        <w:rPr>
          <w:noProof/>
        </w:rPr>
        <w:t>1</w:t>
      </w:r>
      <w:r w:rsidR="007225D5" w:rsidRPr="0071228C">
        <w:rPr>
          <w:noProof/>
        </w:rPr>
        <w:t xml:space="preserve"> akapit pierwszy dodaje się </w:t>
      </w:r>
      <w:r w:rsidR="007225D5" w:rsidRPr="00CC55C0">
        <w:rPr>
          <w:noProof/>
        </w:rPr>
        <w:t>lit.</w:t>
      </w:r>
      <w:r w:rsidRPr="00CC55C0">
        <w:rPr>
          <w:noProof/>
        </w:rPr>
        <w:t> </w:t>
      </w:r>
      <w:r w:rsidR="007225D5" w:rsidRPr="00CC55C0">
        <w:rPr>
          <w:noProof/>
        </w:rPr>
        <w:t>c)</w:t>
      </w:r>
      <w:r w:rsidRPr="0071228C">
        <w:rPr>
          <w:noProof/>
        </w:rPr>
        <w:t xml:space="preserve"> w</w:t>
      </w:r>
      <w:r>
        <w:rPr>
          <w:noProof/>
        </w:rPr>
        <w:t> </w:t>
      </w:r>
      <w:r w:rsidRPr="0071228C">
        <w:rPr>
          <w:noProof/>
        </w:rPr>
        <w:t>brz</w:t>
      </w:r>
      <w:r w:rsidR="007225D5" w:rsidRPr="0071228C">
        <w:rPr>
          <w:noProof/>
        </w:rPr>
        <w:t>mieniu:</w:t>
      </w:r>
    </w:p>
    <w:p w14:paraId="66096C2F" w14:textId="06E69188" w:rsidR="00EB485B" w:rsidRPr="0071228C" w:rsidRDefault="00530D0F" w:rsidP="003D2594">
      <w:pPr>
        <w:pStyle w:val="Text2"/>
        <w:rPr>
          <w:noProof/>
        </w:rPr>
      </w:pPr>
      <w:r w:rsidRPr="0071228C">
        <w:rPr>
          <w:noProof/>
        </w:rPr>
        <w:t>„c) wartości progowe ustalone na poziomie Unii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3</w:t>
      </w:r>
      <w:r w:rsidR="00CC55C0" w:rsidRPr="0071228C">
        <w:rPr>
          <w:noProof/>
        </w:rPr>
        <w:t xml:space="preserve"> i</w:t>
      </w:r>
      <w:r w:rsidR="00CC55C0">
        <w:rPr>
          <w:noProof/>
        </w:rPr>
        <w:t> </w:t>
      </w:r>
      <w:r w:rsidR="00CC55C0" w:rsidRPr="0071228C">
        <w:rPr>
          <w:noProof/>
        </w:rPr>
        <w:t>wym</w:t>
      </w:r>
      <w:r w:rsidRPr="0071228C">
        <w:rPr>
          <w:noProof/>
        </w:rPr>
        <w:t>ienione</w:t>
      </w:r>
      <w:r w:rsidR="00CC55C0" w:rsidRPr="0071228C">
        <w:rPr>
          <w:noProof/>
        </w:rPr>
        <w:t xml:space="preserve"> w</w:t>
      </w:r>
      <w:r w:rsidR="00CC55C0">
        <w:rPr>
          <w:noProof/>
        </w:rPr>
        <w:t> </w:t>
      </w:r>
      <w:r w:rsidR="00CC55C0" w:rsidRPr="0071228C">
        <w:rPr>
          <w:noProof/>
        </w:rPr>
        <w:t>czę</w:t>
      </w:r>
      <w:r w:rsidRPr="0071228C">
        <w:rPr>
          <w:noProof/>
        </w:rPr>
        <w:t>ści D załącznika II do niniejszej dyrektywy;”;</w:t>
      </w:r>
    </w:p>
    <w:p w14:paraId="12883D8A" w14:textId="0EC60375" w:rsidR="00B3521C" w:rsidRPr="0071228C" w:rsidRDefault="00CC55C0" w:rsidP="00CC55C0">
      <w:pPr>
        <w:pStyle w:val="Point1"/>
        <w:rPr>
          <w:noProof/>
        </w:rPr>
      </w:pPr>
      <w:r>
        <w:rPr>
          <w:noProof/>
        </w:rPr>
        <w:t>b)</w:t>
      </w:r>
      <w:r>
        <w:rPr>
          <w:noProof/>
        </w:rPr>
        <w:tab/>
      </w:r>
      <w:r w:rsidR="007225D5" w:rsidRPr="0071228C">
        <w:rPr>
          <w:noProof/>
        </w:rPr>
        <w:t>ust. 2 otrzymuje brzmienie:</w:t>
      </w:r>
    </w:p>
    <w:p w14:paraId="0FAD9148" w14:textId="4217008F" w:rsidR="00B3521C" w:rsidRPr="0071228C" w:rsidRDefault="00B3521C" w:rsidP="00AF3050">
      <w:pPr>
        <w:pStyle w:val="Text1"/>
        <w:ind w:left="1418"/>
        <w:rPr>
          <w:noProof/>
        </w:rPr>
      </w:pPr>
      <w:r w:rsidRPr="0071228C">
        <w:rPr>
          <w:noProof/>
        </w:rPr>
        <w:t>„2. Wartości progowe,</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mogą być ustalane na poziomie kraju, obszaru dorzecza lub części międzynarodowego obszaru dorzecza znajdującej się na terytorium danego państwa członkowskiego, lub na poziomie jednolitej części wód podziemnych lub grupy takich części.</w:t>
      </w:r>
    </w:p>
    <w:p w14:paraId="10AB28D6" w14:textId="156CF7F6" w:rsidR="00EB485B" w:rsidRPr="0071228C" w:rsidRDefault="00CC55C0" w:rsidP="00CC55C0">
      <w:pPr>
        <w:pStyle w:val="Point1"/>
        <w:rPr>
          <w:noProof/>
        </w:rPr>
      </w:pPr>
      <w:r>
        <w:rPr>
          <w:noProof/>
        </w:rPr>
        <w:t>c)</w:t>
      </w:r>
      <w:r>
        <w:rPr>
          <w:noProof/>
        </w:rPr>
        <w:tab/>
      </w:r>
      <w:r w:rsidR="0089412A" w:rsidRPr="0071228C">
        <w:rPr>
          <w:noProof/>
        </w:rPr>
        <w:t>ust. 5 otrzymuje brzmienie:</w:t>
      </w:r>
    </w:p>
    <w:p w14:paraId="114A5DA1" w14:textId="360F326B" w:rsidR="005472DC" w:rsidRPr="0071228C" w:rsidRDefault="00831B96" w:rsidP="00DD039A">
      <w:pPr>
        <w:pStyle w:val="Text1"/>
        <w:ind w:left="1418"/>
        <w:rPr>
          <w:noProof/>
        </w:rPr>
      </w:pPr>
      <w:r w:rsidRPr="0071228C">
        <w:rPr>
          <w:noProof/>
        </w:rPr>
        <w:t>„5. Wszelkie ustalone wartości progowe,</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ogłasza się</w:t>
      </w:r>
      <w:r w:rsidR="00CC55C0" w:rsidRPr="0071228C">
        <w:rPr>
          <w:noProof/>
        </w:rPr>
        <w:t xml:space="preserve"> w</w:t>
      </w:r>
      <w:r w:rsidR="00CC55C0">
        <w:rPr>
          <w:noProof/>
        </w:rPr>
        <w:t> </w:t>
      </w:r>
      <w:r w:rsidR="00CC55C0" w:rsidRPr="0071228C">
        <w:rPr>
          <w:noProof/>
        </w:rPr>
        <w:t>pla</w:t>
      </w:r>
      <w:r w:rsidRPr="0071228C">
        <w:rPr>
          <w:noProof/>
        </w:rPr>
        <w:t>nach gospodarowania wodami</w:t>
      </w:r>
      <w:r w:rsidR="00CC55C0" w:rsidRPr="0071228C">
        <w:rPr>
          <w:noProof/>
        </w:rPr>
        <w:t xml:space="preserve"> w</w:t>
      </w:r>
      <w:r w:rsidR="00CC55C0">
        <w:rPr>
          <w:noProof/>
        </w:rPr>
        <w:t> </w:t>
      </w:r>
      <w:r w:rsidR="00CC55C0" w:rsidRPr="0071228C">
        <w:rPr>
          <w:noProof/>
        </w:rPr>
        <w:t>dor</w:t>
      </w:r>
      <w:r w:rsidRPr="0071228C">
        <w:rPr>
          <w:noProof/>
        </w:rPr>
        <w:t>zeczu, opracowywanych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3 dyrektywy 2000/60/WE, włączając w to podsumowanie informacji określonych</w:t>
      </w:r>
      <w:r w:rsidR="00CC55C0" w:rsidRPr="0071228C">
        <w:rPr>
          <w:noProof/>
        </w:rPr>
        <w:t xml:space="preserve"> w</w:t>
      </w:r>
      <w:r w:rsidR="00CC55C0">
        <w:rPr>
          <w:noProof/>
        </w:rPr>
        <w:t> </w:t>
      </w:r>
      <w:r w:rsidR="00CC55C0" w:rsidRPr="0071228C">
        <w:rPr>
          <w:noProof/>
        </w:rPr>
        <w:t>czę</w:t>
      </w:r>
      <w:r w:rsidRPr="0071228C">
        <w:rPr>
          <w:noProof/>
        </w:rPr>
        <w:t xml:space="preserve">ści C załącznika II do niniejszej dyrektywy. </w:t>
      </w:r>
    </w:p>
    <w:p w14:paraId="6CF6B2B1" w14:textId="60DA9852" w:rsidR="00831B96" w:rsidRPr="0071228C" w:rsidRDefault="001D461D" w:rsidP="00DD039A">
      <w:pPr>
        <w:pStyle w:val="Text1"/>
        <w:ind w:left="1418"/>
        <w:rPr>
          <w:noProof/>
        </w:rPr>
      </w:pPr>
      <w:r w:rsidRPr="0071228C">
        <w:rPr>
          <w:noProof/>
        </w:rPr>
        <w:t xml:space="preserve">Państwa członkowskie do [Urząd Publikacji: proszę wstawić datę = pierwszy dzień miesiąca następującego </w:t>
      </w:r>
      <w:r w:rsidRPr="00CC55C0">
        <w:rPr>
          <w:noProof/>
        </w:rPr>
        <w:t>po</w:t>
      </w:r>
      <w:r w:rsidR="00CC55C0" w:rsidRPr="00CC55C0">
        <w:rPr>
          <w:noProof/>
        </w:rPr>
        <w:t> </w:t>
      </w:r>
      <w:r w:rsidRPr="00CC55C0">
        <w:rPr>
          <w:noProof/>
        </w:rPr>
        <w:t>1</w:t>
      </w:r>
      <w:r w:rsidRPr="0071228C">
        <w:rPr>
          <w:noProof/>
        </w:rPr>
        <w:t>8 miesiącach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 informują Europejską Agencję Chemikaliów (ECHA)</w:t>
      </w:r>
      <w:r w:rsidR="00CC55C0" w:rsidRPr="0071228C">
        <w:rPr>
          <w:noProof/>
        </w:rPr>
        <w:t xml:space="preserve"> o</w:t>
      </w:r>
      <w:r w:rsidR="00CC55C0">
        <w:rPr>
          <w:noProof/>
        </w:rPr>
        <w:t> </w:t>
      </w:r>
      <w:r w:rsidR="00CC55C0" w:rsidRPr="0071228C">
        <w:rPr>
          <w:noProof/>
        </w:rPr>
        <w:t>kra</w:t>
      </w:r>
      <w:r w:rsidRPr="0071228C">
        <w:rPr>
          <w:noProof/>
        </w:rPr>
        <w:t>jowych wartościach progowych,</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ECHA podaje te informacje do wiadomości publicznej.”;</w:t>
      </w:r>
    </w:p>
    <w:p w14:paraId="4F321BE6" w14:textId="05EC8824" w:rsidR="0013709C" w:rsidRPr="0071228C" w:rsidRDefault="00CC55C0" w:rsidP="00CC55C0">
      <w:pPr>
        <w:pStyle w:val="Point1"/>
        <w:rPr>
          <w:noProof/>
        </w:rPr>
      </w:pPr>
      <w:r>
        <w:rPr>
          <w:noProof/>
        </w:rPr>
        <w:t>d)</w:t>
      </w:r>
      <w:r>
        <w:rPr>
          <w:noProof/>
        </w:rPr>
        <w:tab/>
      </w:r>
      <w:r w:rsidR="00265147" w:rsidRPr="0071228C">
        <w:rPr>
          <w:noProof/>
        </w:rPr>
        <w:t>ust. 6 akapit pierwszy otrzymuje brzmienie:</w:t>
      </w:r>
    </w:p>
    <w:p w14:paraId="50651A19" w14:textId="253B41A5" w:rsidR="005454EF" w:rsidRPr="0071228C" w:rsidRDefault="005454EF" w:rsidP="00AF3050">
      <w:pPr>
        <w:pStyle w:val="Text1"/>
        <w:ind w:left="1418"/>
        <w:rPr>
          <w:noProof/>
        </w:rPr>
      </w:pPr>
      <w:r w:rsidRPr="0071228C">
        <w:rPr>
          <w:noProof/>
        </w:rPr>
        <w:t>„Państwa członkowskie dokonują zmian</w:t>
      </w:r>
      <w:r w:rsidR="00CC55C0" w:rsidRPr="0071228C">
        <w:rPr>
          <w:noProof/>
        </w:rPr>
        <w:t xml:space="preserve"> w</w:t>
      </w:r>
      <w:r w:rsidR="00CC55C0">
        <w:rPr>
          <w:noProof/>
        </w:rPr>
        <w:t> </w:t>
      </w:r>
      <w:r w:rsidR="00CC55C0" w:rsidRPr="0071228C">
        <w:rPr>
          <w:noProof/>
        </w:rPr>
        <w:t>wyk</w:t>
      </w:r>
      <w:r w:rsidRPr="0071228C">
        <w:rPr>
          <w:noProof/>
        </w:rPr>
        <w:t>azie wartości progowych stosowanych na ich terytoriach, jeżeli nowe informacje</w:t>
      </w:r>
      <w:r w:rsidR="00CC55C0" w:rsidRPr="0071228C">
        <w:rPr>
          <w:noProof/>
        </w:rPr>
        <w:t xml:space="preserve"> o</w:t>
      </w:r>
      <w:r w:rsidR="00CC55C0">
        <w:rPr>
          <w:noProof/>
        </w:rPr>
        <w:t> </w:t>
      </w:r>
      <w:r w:rsidR="00CC55C0" w:rsidRPr="0071228C">
        <w:rPr>
          <w:noProof/>
        </w:rPr>
        <w:t>sub</w:t>
      </w:r>
      <w:r w:rsidRPr="0071228C">
        <w:rPr>
          <w:noProof/>
        </w:rPr>
        <w:t>stancjach zanieczyszczających, grupach substancji zanieczyszczających lub wskaźnikach dotyczących substancji zanieczyszczających wskazują na potrzebę ustalenia wartości progowej dla nowej substancji, zmianę istniejącej wartości progowej lub ponownego uwzględnienia wartości progowej uprzednio usuniętej</w:t>
      </w:r>
      <w:r w:rsidR="00CC55C0" w:rsidRPr="0071228C">
        <w:rPr>
          <w:noProof/>
        </w:rPr>
        <w:t xml:space="preserve"> z</w:t>
      </w:r>
      <w:r w:rsidR="00CC55C0">
        <w:rPr>
          <w:noProof/>
        </w:rPr>
        <w:t> </w:t>
      </w:r>
      <w:r w:rsidR="00CC55C0" w:rsidRPr="0071228C">
        <w:rPr>
          <w:noProof/>
        </w:rPr>
        <w:t>wyk</w:t>
      </w:r>
      <w:r w:rsidRPr="0071228C">
        <w:rPr>
          <w:noProof/>
        </w:rPr>
        <w:t>azu</w:t>
      </w:r>
      <w:r w:rsidR="00CC55C0" w:rsidRPr="0071228C">
        <w:rPr>
          <w:noProof/>
        </w:rPr>
        <w:t>. W</w:t>
      </w:r>
      <w:r w:rsidR="00CC55C0">
        <w:rPr>
          <w:noProof/>
        </w:rPr>
        <w:t> </w:t>
      </w:r>
      <w:r w:rsidR="00CC55C0" w:rsidRPr="0071228C">
        <w:rPr>
          <w:noProof/>
        </w:rPr>
        <w:t>prz</w:t>
      </w:r>
      <w:r w:rsidRPr="0071228C">
        <w:rPr>
          <w:noProof/>
        </w:rPr>
        <w:t>ypadku ustanowienia lub zmiany odpowiednich wartości progowych na szczeblu unijnym państwa członkowskie dostosowują do nich wykazy wartości progowych stosowanych na ich terytoriach</w:t>
      </w:r>
      <w:r w:rsidR="00CC55C0" w:rsidRPr="0071228C">
        <w:rPr>
          <w:noProof/>
        </w:rPr>
        <w:t>.”</w:t>
      </w:r>
      <w:r w:rsidRPr="0071228C">
        <w:rPr>
          <w:noProof/>
        </w:rPr>
        <w:t>;</w:t>
      </w:r>
    </w:p>
    <w:p w14:paraId="51A71F3A" w14:textId="00CF27AC" w:rsidR="005454EF" w:rsidRPr="0071228C" w:rsidRDefault="00CC55C0" w:rsidP="00CC55C0">
      <w:pPr>
        <w:pStyle w:val="Point0"/>
        <w:rPr>
          <w:noProof/>
        </w:rPr>
      </w:pPr>
      <w:r>
        <w:rPr>
          <w:noProof/>
        </w:rPr>
        <w:t>5)</w:t>
      </w:r>
      <w:r>
        <w:rPr>
          <w:noProof/>
        </w:rPr>
        <w:tab/>
      </w:r>
      <w:r w:rsidR="007117E3" w:rsidRPr="00CC55C0">
        <w:rPr>
          <w:noProof/>
        </w:rPr>
        <w:t>art.</w:t>
      </w:r>
      <w:r w:rsidRPr="00CC55C0">
        <w:rPr>
          <w:noProof/>
        </w:rPr>
        <w:t> </w:t>
      </w:r>
      <w:r w:rsidR="007117E3" w:rsidRPr="00CC55C0">
        <w:rPr>
          <w:noProof/>
        </w:rPr>
        <w:t>4</w:t>
      </w:r>
      <w:r w:rsidR="007117E3" w:rsidRPr="0071228C">
        <w:rPr>
          <w:noProof/>
        </w:rPr>
        <w:t xml:space="preserve"> </w:t>
      </w:r>
      <w:r w:rsidR="007117E3" w:rsidRPr="00CC55C0">
        <w:rPr>
          <w:noProof/>
        </w:rPr>
        <w:t>ust.</w:t>
      </w:r>
      <w:r w:rsidRPr="00CC55C0">
        <w:rPr>
          <w:noProof/>
        </w:rPr>
        <w:t> </w:t>
      </w:r>
      <w:r w:rsidR="007117E3" w:rsidRPr="00CC55C0">
        <w:rPr>
          <w:noProof/>
        </w:rPr>
        <w:t>2</w:t>
      </w:r>
      <w:r w:rsidR="007117E3" w:rsidRPr="0071228C">
        <w:rPr>
          <w:noProof/>
        </w:rPr>
        <w:t xml:space="preserve"> </w:t>
      </w:r>
      <w:r w:rsidR="007117E3" w:rsidRPr="00CC55C0">
        <w:rPr>
          <w:noProof/>
        </w:rPr>
        <w:t>lit.</w:t>
      </w:r>
      <w:r w:rsidRPr="00CC55C0">
        <w:rPr>
          <w:noProof/>
        </w:rPr>
        <w:t> </w:t>
      </w:r>
      <w:r w:rsidR="007117E3" w:rsidRPr="00CC55C0">
        <w:rPr>
          <w:noProof/>
        </w:rPr>
        <w:t>b)</w:t>
      </w:r>
      <w:r w:rsidR="007117E3" w:rsidRPr="0071228C">
        <w:rPr>
          <w:noProof/>
        </w:rPr>
        <w:t xml:space="preserve"> otrzymuje brzmienie:</w:t>
      </w:r>
    </w:p>
    <w:p w14:paraId="1365CE5D" w14:textId="01B12C5A" w:rsidR="000A56F9" w:rsidRPr="0071228C" w:rsidRDefault="005454EF" w:rsidP="008D3AC6">
      <w:pPr>
        <w:pStyle w:val="Text1"/>
        <w:rPr>
          <w:noProof/>
        </w:rPr>
      </w:pPr>
      <w:r w:rsidRPr="0071228C">
        <w:rPr>
          <w:noProof/>
        </w:rPr>
        <w:t>b) wartości określające normy jakości wód podziemnych wymienione</w:t>
      </w:r>
      <w:r w:rsidR="00CC55C0" w:rsidRPr="0071228C">
        <w:rPr>
          <w:noProof/>
        </w:rPr>
        <w:t xml:space="preserve"> w</w:t>
      </w:r>
      <w:r w:rsidR="00CC55C0">
        <w:rPr>
          <w:noProof/>
        </w:rPr>
        <w:t> </w:t>
      </w:r>
      <w:r w:rsidR="00CC55C0" w:rsidRPr="0071228C">
        <w:rPr>
          <w:noProof/>
        </w:rPr>
        <w:t>zał</w:t>
      </w:r>
      <w:r w:rsidRPr="0071228C">
        <w:rPr>
          <w:noProof/>
        </w:rPr>
        <w:t>ączniku I</w:t>
      </w:r>
      <w:r w:rsidR="00CC55C0" w:rsidRPr="0071228C">
        <w:rPr>
          <w:noProof/>
        </w:rPr>
        <w:t xml:space="preserve"> i</w:t>
      </w:r>
      <w:r w:rsidR="00CC55C0">
        <w:rPr>
          <w:noProof/>
        </w:rPr>
        <w:t> </w:t>
      </w:r>
      <w:r w:rsidR="00CC55C0" w:rsidRPr="0071228C">
        <w:rPr>
          <w:noProof/>
        </w:rPr>
        <w:t>war</w:t>
      </w:r>
      <w:r w:rsidRPr="0071228C">
        <w:rPr>
          <w:noProof/>
        </w:rPr>
        <w:t>tości progowe,</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xml:space="preserve"> i c) nie są przekroczone</w:t>
      </w:r>
      <w:r w:rsidR="00CC55C0" w:rsidRPr="0071228C">
        <w:rPr>
          <w:noProof/>
        </w:rPr>
        <w:t xml:space="preserve"> w</w:t>
      </w:r>
      <w:r w:rsidR="00CC55C0">
        <w:rPr>
          <w:noProof/>
        </w:rPr>
        <w:t> </w:t>
      </w:r>
      <w:r w:rsidR="00CC55C0" w:rsidRPr="0071228C">
        <w:rPr>
          <w:noProof/>
        </w:rPr>
        <w:t>żad</w:t>
      </w:r>
      <w:r w:rsidRPr="0071228C">
        <w:rPr>
          <w:noProof/>
        </w:rPr>
        <w:t>nym punkcie obserwacyjnym</w:t>
      </w:r>
      <w:r w:rsidR="00CC55C0" w:rsidRPr="0071228C">
        <w:rPr>
          <w:noProof/>
        </w:rPr>
        <w:t xml:space="preserve"> w</w:t>
      </w:r>
      <w:r w:rsidR="00CC55C0">
        <w:rPr>
          <w:noProof/>
        </w:rPr>
        <w:t> </w:t>
      </w:r>
      <w:r w:rsidR="00CC55C0" w:rsidRPr="0071228C">
        <w:rPr>
          <w:noProof/>
        </w:rPr>
        <w:t>dan</w:t>
      </w:r>
      <w:r w:rsidRPr="0071228C">
        <w:rPr>
          <w:noProof/>
        </w:rPr>
        <w:t>ej jednolitej części wód podziemnych lub grupie takich części; lub”;</w:t>
      </w:r>
    </w:p>
    <w:p w14:paraId="43AA748A" w14:textId="3B5E3AC5" w:rsidR="00F56605" w:rsidRPr="0071228C" w:rsidRDefault="00CC55C0" w:rsidP="00CC55C0">
      <w:pPr>
        <w:pStyle w:val="Point0"/>
        <w:rPr>
          <w:noProof/>
        </w:rPr>
      </w:pPr>
      <w:r>
        <w:rPr>
          <w:noProof/>
        </w:rPr>
        <w:t>6)</w:t>
      </w:r>
      <w:r>
        <w:rPr>
          <w:noProof/>
        </w:rPr>
        <w:tab/>
      </w:r>
      <w:r w:rsidR="0091470D" w:rsidRPr="0071228C">
        <w:rPr>
          <w:noProof/>
        </w:rPr>
        <w:t xml:space="preserve">dodaje się </w:t>
      </w:r>
      <w:r w:rsidR="0091470D" w:rsidRPr="00CC55C0">
        <w:rPr>
          <w:noProof/>
        </w:rPr>
        <w:t>art.</w:t>
      </w:r>
      <w:r w:rsidRPr="00CC55C0">
        <w:rPr>
          <w:noProof/>
        </w:rPr>
        <w:t> </w:t>
      </w:r>
      <w:r w:rsidR="0091470D" w:rsidRPr="00CC55C0">
        <w:rPr>
          <w:noProof/>
        </w:rPr>
        <w:t>6</w:t>
      </w:r>
      <w:r w:rsidR="0091470D" w:rsidRPr="0071228C">
        <w:rPr>
          <w:noProof/>
        </w:rPr>
        <w:t>a</w:t>
      </w:r>
      <w:r w:rsidRPr="0071228C">
        <w:rPr>
          <w:noProof/>
        </w:rPr>
        <w:t xml:space="preserve"> w</w:t>
      </w:r>
      <w:r>
        <w:rPr>
          <w:noProof/>
        </w:rPr>
        <w:t> </w:t>
      </w:r>
      <w:r w:rsidRPr="0071228C">
        <w:rPr>
          <w:noProof/>
        </w:rPr>
        <w:t>brz</w:t>
      </w:r>
      <w:r w:rsidR="0091470D" w:rsidRPr="0071228C">
        <w:rPr>
          <w:noProof/>
        </w:rPr>
        <w:t>mieniu:</w:t>
      </w:r>
    </w:p>
    <w:p w14:paraId="7D45B928" w14:textId="77777777" w:rsidR="005C35CB" w:rsidRPr="0071228C" w:rsidRDefault="000A2A0D" w:rsidP="00A27730">
      <w:pPr>
        <w:pStyle w:val="NormalCentered"/>
        <w:rPr>
          <w:i/>
          <w:noProof/>
        </w:rPr>
      </w:pPr>
      <w:r w:rsidRPr="0071228C">
        <w:rPr>
          <w:noProof/>
        </w:rPr>
        <w:t>„</w:t>
      </w:r>
      <w:r w:rsidRPr="0071228C">
        <w:rPr>
          <w:i/>
          <w:noProof/>
        </w:rPr>
        <w:t>Artykuł 6a</w:t>
      </w:r>
    </w:p>
    <w:p w14:paraId="76DD2A5D" w14:textId="77777777" w:rsidR="000A2A0D" w:rsidRPr="0071228C" w:rsidRDefault="00BD6E00" w:rsidP="00A27730">
      <w:pPr>
        <w:pStyle w:val="NormalCentered"/>
        <w:rPr>
          <w:b/>
          <w:noProof/>
        </w:rPr>
      </w:pPr>
      <w:r w:rsidRPr="0071228C">
        <w:rPr>
          <w:b/>
          <w:noProof/>
        </w:rPr>
        <w:t>Lista obserwacyjna</w:t>
      </w:r>
    </w:p>
    <w:p w14:paraId="1DAF3549" w14:textId="5A487132" w:rsidR="000A2A0D" w:rsidRPr="00CC55C0" w:rsidRDefault="00BD6E00" w:rsidP="00BD6E00">
      <w:pPr>
        <w:pStyle w:val="Text1"/>
        <w:rPr>
          <w:bCs/>
          <w:noProof/>
        </w:rPr>
      </w:pPr>
      <w:r w:rsidRPr="0071228C">
        <w:rPr>
          <w:noProof/>
        </w:rPr>
        <w:t>1. Komisja jest uprawniona do przyjmowania aktów wykonawczych</w:t>
      </w:r>
      <w:r w:rsidR="00CC55C0" w:rsidRPr="0071228C">
        <w:rPr>
          <w:noProof/>
        </w:rPr>
        <w:t xml:space="preserve"> w</w:t>
      </w:r>
      <w:r w:rsidR="00CC55C0">
        <w:rPr>
          <w:noProof/>
        </w:rPr>
        <w:t> </w:t>
      </w:r>
      <w:r w:rsidR="00CC55C0" w:rsidRPr="0071228C">
        <w:rPr>
          <w:noProof/>
        </w:rPr>
        <w:t>cel</w:t>
      </w:r>
      <w:r w:rsidRPr="0071228C">
        <w:rPr>
          <w:noProof/>
        </w:rPr>
        <w:t>u sporządzenia,</w:t>
      </w:r>
      <w:r w:rsidR="00CC55C0" w:rsidRPr="0071228C">
        <w:rPr>
          <w:noProof/>
        </w:rPr>
        <w:t xml:space="preserve"> z</w:t>
      </w:r>
      <w:r w:rsidR="00CC55C0">
        <w:rPr>
          <w:noProof/>
        </w:rPr>
        <w:t> </w:t>
      </w:r>
      <w:r w:rsidR="00CC55C0" w:rsidRPr="0071228C">
        <w:rPr>
          <w:noProof/>
        </w:rPr>
        <w:t>uwz</w:t>
      </w:r>
      <w:r w:rsidRPr="0071228C">
        <w:rPr>
          <w:noProof/>
        </w:rPr>
        <w:t>ględnieniem sprawozdań naukowych przygotowanych przez ECHA, listy obserwacyjnej substancji,</w:t>
      </w:r>
      <w:r w:rsidR="00CC55C0" w:rsidRPr="0071228C">
        <w:rPr>
          <w:noProof/>
        </w:rPr>
        <w:t xml:space="preserve"> w</w:t>
      </w:r>
      <w:r w:rsidR="00CC55C0">
        <w:rPr>
          <w:noProof/>
        </w:rPr>
        <w:t> </w:t>
      </w:r>
      <w:r w:rsidR="00CC55C0" w:rsidRPr="0071228C">
        <w:rPr>
          <w:noProof/>
        </w:rPr>
        <w:t>odn</w:t>
      </w:r>
      <w:r w:rsidRPr="0071228C">
        <w:rPr>
          <w:noProof/>
        </w:rPr>
        <w:t>iesieniu do których państwa członkowskie mają gromadzić dane</w:t>
      </w:r>
      <w:r w:rsidR="00CC55C0" w:rsidRPr="0071228C">
        <w:rPr>
          <w:noProof/>
        </w:rPr>
        <w:t xml:space="preserve"> z</w:t>
      </w:r>
      <w:r w:rsidR="00CC55C0">
        <w:rPr>
          <w:noProof/>
        </w:rPr>
        <w:t> </w:t>
      </w:r>
      <w:r w:rsidR="00CC55C0" w:rsidRPr="0071228C">
        <w:rPr>
          <w:noProof/>
        </w:rPr>
        <w:t>mon</w:t>
      </w:r>
      <w:r w:rsidRPr="0071228C">
        <w:rPr>
          <w:noProof/>
        </w:rPr>
        <w:t>itorowania obejmujące całą Unię, oraz</w:t>
      </w:r>
      <w:r w:rsidR="00CC55C0" w:rsidRPr="0071228C">
        <w:rPr>
          <w:noProof/>
        </w:rPr>
        <w:t xml:space="preserve"> w</w:t>
      </w:r>
      <w:r w:rsidR="00CC55C0">
        <w:rPr>
          <w:noProof/>
        </w:rPr>
        <w:t> </w:t>
      </w:r>
      <w:r w:rsidR="00CC55C0" w:rsidRPr="0071228C">
        <w:rPr>
          <w:noProof/>
        </w:rPr>
        <w:t>cel</w:t>
      </w:r>
      <w:r w:rsidRPr="0071228C">
        <w:rPr>
          <w:noProof/>
        </w:rPr>
        <w:t>u określenia formatów, które państwa członkowskie mają wykorzystywać do zgłaszania Komisji wyników tego monitorowania</w:t>
      </w:r>
      <w:r w:rsidR="00CC55C0" w:rsidRPr="0071228C">
        <w:rPr>
          <w:noProof/>
        </w:rPr>
        <w:t xml:space="preserve"> i</w:t>
      </w:r>
      <w:r w:rsidR="00CC55C0">
        <w:rPr>
          <w:noProof/>
        </w:rPr>
        <w:t> </w:t>
      </w:r>
      <w:r w:rsidR="00CC55C0" w:rsidRPr="0071228C">
        <w:rPr>
          <w:noProof/>
        </w:rPr>
        <w:t>pow</w:t>
      </w:r>
      <w:r w:rsidRPr="0071228C">
        <w:rPr>
          <w:noProof/>
        </w:rPr>
        <w:t>iązanych informacji. Przedmiotowe akty wykonawcze przyjmowane są zgodnie</w:t>
      </w:r>
      <w:r w:rsidR="00CC55C0" w:rsidRPr="0071228C">
        <w:rPr>
          <w:noProof/>
        </w:rPr>
        <w:t xml:space="preserve"> z</w:t>
      </w:r>
      <w:r w:rsidR="00CC55C0">
        <w:rPr>
          <w:noProof/>
        </w:rPr>
        <w:t> </w:t>
      </w:r>
      <w:r w:rsidR="00CC55C0" w:rsidRPr="0071228C">
        <w:rPr>
          <w:noProof/>
        </w:rPr>
        <w:t>pro</w:t>
      </w:r>
      <w:r w:rsidRPr="0071228C">
        <w:rPr>
          <w:noProof/>
        </w:rPr>
        <w:t>cedurą sprawdzającą,</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 xml:space="preserve"> </w:t>
      </w:r>
      <w:r w:rsidRPr="00CC55C0">
        <w:rPr>
          <w:noProof/>
        </w:rPr>
        <w:t>ust.</w:t>
      </w:r>
      <w:r w:rsidR="00CC55C0" w:rsidRPr="00CC55C0">
        <w:rPr>
          <w:noProof/>
        </w:rPr>
        <w:t> </w:t>
      </w:r>
      <w:r w:rsidRPr="00CC55C0">
        <w:rPr>
          <w:noProof/>
        </w:rPr>
        <w:t>2</w:t>
      </w:r>
      <w:r w:rsidRPr="0071228C">
        <w:rPr>
          <w:noProof/>
        </w:rPr>
        <w:t>.”</w:t>
      </w:r>
      <w:r w:rsidRPr="00CC55C0">
        <w:rPr>
          <w:noProof/>
        </w:rPr>
        <w:t>;</w:t>
      </w:r>
      <w:r w:rsidR="00CC55C0" w:rsidRPr="00CC55C0">
        <w:rPr>
          <w:noProof/>
        </w:rPr>
        <w:t xml:space="preserve"> </w:t>
      </w:r>
    </w:p>
    <w:p w14:paraId="659C02F7" w14:textId="70E0330D" w:rsidR="000A2A0D" w:rsidRPr="0071228C" w:rsidRDefault="000A2A0D" w:rsidP="00BD6E00">
      <w:pPr>
        <w:pStyle w:val="Text1"/>
        <w:rPr>
          <w:bCs/>
          <w:noProof/>
        </w:rPr>
      </w:pPr>
      <w:r w:rsidRPr="0071228C">
        <w:rPr>
          <w:noProof/>
        </w:rPr>
        <w:t>Lista obserwacyjna obejmuje maksymalnie pięć substancji lub grup substancji, przy czym wskazuje się</w:t>
      </w:r>
      <w:r w:rsidR="00CC55C0" w:rsidRPr="0071228C">
        <w:rPr>
          <w:noProof/>
        </w:rPr>
        <w:t xml:space="preserve"> w</w:t>
      </w:r>
      <w:r w:rsidR="00CC55C0">
        <w:rPr>
          <w:noProof/>
        </w:rPr>
        <w:t> </w:t>
      </w:r>
      <w:r w:rsidR="00CC55C0" w:rsidRPr="0071228C">
        <w:rPr>
          <w:noProof/>
        </w:rPr>
        <w:t>nie</w:t>
      </w:r>
      <w:r w:rsidRPr="0071228C">
        <w:rPr>
          <w:noProof/>
        </w:rPr>
        <w:t>j matryce do monitorowania oraz możliwe metody analizy dla poszczególnych substancji. Przedmiotowe matryce do monitorowania</w:t>
      </w:r>
      <w:r w:rsidR="00CC55C0" w:rsidRPr="0071228C">
        <w:rPr>
          <w:noProof/>
        </w:rPr>
        <w:t xml:space="preserve"> i</w:t>
      </w:r>
      <w:r w:rsidR="00CC55C0">
        <w:rPr>
          <w:noProof/>
        </w:rPr>
        <w:t> </w:t>
      </w:r>
      <w:r w:rsidR="00CC55C0" w:rsidRPr="0071228C">
        <w:rPr>
          <w:noProof/>
        </w:rPr>
        <w:t>met</w:t>
      </w:r>
      <w:r w:rsidRPr="0071228C">
        <w:rPr>
          <w:noProof/>
        </w:rPr>
        <w:t>ody monitorowania nie mogą pociągać za sobą nadmiernych kosztów dla właściwych organów. Substancje, które mają zostać umieszczone na liście obserwacyjnej, są wybierane spośród tych substancji,</w:t>
      </w:r>
      <w:r w:rsidR="00CC55C0" w:rsidRPr="0071228C">
        <w:rPr>
          <w:noProof/>
        </w:rPr>
        <w:t xml:space="preserve"> w</w:t>
      </w:r>
      <w:r w:rsidR="00CC55C0">
        <w:rPr>
          <w:noProof/>
        </w:rPr>
        <w:t> </w:t>
      </w:r>
      <w:r w:rsidR="00CC55C0" w:rsidRPr="0071228C">
        <w:rPr>
          <w:noProof/>
        </w:rPr>
        <w:t>prz</w:t>
      </w:r>
      <w:r w:rsidRPr="0071228C">
        <w:rPr>
          <w:noProof/>
        </w:rPr>
        <w:t>ypadku których dostępne informacje wskazują, że mogą one przedstawiać na poziomie Unii znaczne ryzyko dla środowiska wodnego lub za jego pośrednictwem,</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prz</w:t>
      </w:r>
      <w:r w:rsidRPr="0071228C">
        <w:rPr>
          <w:noProof/>
        </w:rPr>
        <w:t>ypadku których dane</w:t>
      </w:r>
      <w:r w:rsidR="00CC55C0" w:rsidRPr="0071228C">
        <w:rPr>
          <w:noProof/>
        </w:rPr>
        <w:t xml:space="preserve"> z</w:t>
      </w:r>
      <w:r w:rsidR="00CC55C0">
        <w:rPr>
          <w:noProof/>
        </w:rPr>
        <w:t> </w:t>
      </w:r>
      <w:r w:rsidR="00CC55C0" w:rsidRPr="0071228C">
        <w:rPr>
          <w:noProof/>
        </w:rPr>
        <w:t>mon</w:t>
      </w:r>
      <w:r w:rsidRPr="0071228C">
        <w:rPr>
          <w:noProof/>
        </w:rPr>
        <w:t>itorowania są niewystarczające. Lista obserwacyjna obejmuje nowo pojawiające się zanieczyszczenia.</w:t>
      </w:r>
    </w:p>
    <w:p w14:paraId="2D2AA894" w14:textId="56912F76" w:rsidR="009E48BA" w:rsidRPr="0071228C" w:rsidRDefault="008A0887" w:rsidP="00BD6E00">
      <w:pPr>
        <w:pStyle w:val="Text1"/>
        <w:rPr>
          <w:bCs/>
          <w:noProof/>
        </w:rPr>
      </w:pPr>
      <w:r w:rsidRPr="0071228C">
        <w:rPr>
          <w:noProof/>
        </w:rPr>
        <w:t>Gdy tylko zostaną określone odpowiednie metody monitorowania mikrodrobin plastiku</w:t>
      </w:r>
      <w:r w:rsidR="00CC55C0" w:rsidRPr="0071228C">
        <w:rPr>
          <w:noProof/>
        </w:rPr>
        <w:t xml:space="preserve"> i</w:t>
      </w:r>
      <w:r w:rsidR="00CC55C0">
        <w:rPr>
          <w:noProof/>
        </w:rPr>
        <w:t> </w:t>
      </w:r>
      <w:r w:rsidR="00CC55C0" w:rsidRPr="0071228C">
        <w:rPr>
          <w:noProof/>
        </w:rPr>
        <w:t>wyb</w:t>
      </w:r>
      <w:r w:rsidRPr="0071228C">
        <w:rPr>
          <w:noProof/>
        </w:rPr>
        <w:t xml:space="preserve">ranych genów oporności na środki przeciwdrobnoustrojowe, substancje te zostaną włączone do listy obserwacyjnej. </w:t>
      </w:r>
    </w:p>
    <w:p w14:paraId="5892105A" w14:textId="11787570" w:rsidR="000A2A0D" w:rsidRPr="0071228C" w:rsidRDefault="005713A7" w:rsidP="00BD6E00">
      <w:pPr>
        <w:pStyle w:val="Text1"/>
        <w:rPr>
          <w:bCs/>
          <w:noProof/>
        </w:rPr>
      </w:pPr>
      <w:r w:rsidRPr="0071228C">
        <w:rPr>
          <w:noProof/>
        </w:rPr>
        <w:t>ECHA przygotowuje sprawozdania naukowe, aby pomóc Komisji</w:t>
      </w:r>
      <w:r w:rsidR="00CC55C0" w:rsidRPr="0071228C">
        <w:rPr>
          <w:noProof/>
        </w:rPr>
        <w:t xml:space="preserve"> w</w:t>
      </w:r>
      <w:r w:rsidR="00CC55C0">
        <w:rPr>
          <w:noProof/>
        </w:rPr>
        <w:t> </w:t>
      </w:r>
      <w:r w:rsidR="00CC55C0" w:rsidRPr="0071228C">
        <w:rPr>
          <w:noProof/>
        </w:rPr>
        <w:t>wyb</w:t>
      </w:r>
      <w:r w:rsidRPr="0071228C">
        <w:rPr>
          <w:noProof/>
        </w:rPr>
        <w:t>orze substancji do listy obserwacyjnej, uwzględniając następujące informacje:</w:t>
      </w:r>
    </w:p>
    <w:p w14:paraId="768A3DAF" w14:textId="69C5AD6B" w:rsidR="000A2A0D" w:rsidRPr="0071228C" w:rsidRDefault="00CC55C0" w:rsidP="00CC55C0">
      <w:pPr>
        <w:pStyle w:val="Point2"/>
        <w:rPr>
          <w:noProof/>
        </w:rPr>
      </w:pPr>
      <w:r>
        <w:rPr>
          <w:noProof/>
        </w:rPr>
        <w:t>a)</w:t>
      </w:r>
      <w:r>
        <w:rPr>
          <w:noProof/>
        </w:rPr>
        <w:tab/>
      </w:r>
      <w:r w:rsidR="000A2A0D" w:rsidRPr="0071228C">
        <w:rPr>
          <w:noProof/>
        </w:rPr>
        <w:t>załącznik I do dyrektywy Parlamentu Europejskiego</w:t>
      </w:r>
      <w:r w:rsidRPr="0071228C">
        <w:rPr>
          <w:noProof/>
        </w:rPr>
        <w:t xml:space="preserve"> i</w:t>
      </w:r>
      <w:r>
        <w:rPr>
          <w:noProof/>
        </w:rPr>
        <w:t> </w:t>
      </w:r>
      <w:r w:rsidRPr="0071228C">
        <w:rPr>
          <w:noProof/>
        </w:rPr>
        <w:t>Rad</w:t>
      </w:r>
      <w:r w:rsidR="000A2A0D" w:rsidRPr="0071228C">
        <w:rPr>
          <w:noProof/>
        </w:rPr>
        <w:t>y 2008/105/WE* oraz wyniki najnowszego przeglądu tego załącznika;</w:t>
      </w:r>
    </w:p>
    <w:p w14:paraId="306D5F7B" w14:textId="6676EF03" w:rsidR="000A2A0D" w:rsidRPr="0071228C" w:rsidRDefault="00CC55C0" w:rsidP="00CC55C0">
      <w:pPr>
        <w:pStyle w:val="Point2"/>
        <w:rPr>
          <w:noProof/>
        </w:rPr>
      </w:pPr>
      <w:r>
        <w:rPr>
          <w:noProof/>
        </w:rPr>
        <w:t>b)</w:t>
      </w:r>
      <w:r>
        <w:rPr>
          <w:noProof/>
        </w:rPr>
        <w:tab/>
      </w:r>
      <w:r w:rsidR="000A2A0D" w:rsidRPr="0071228C">
        <w:rPr>
          <w:noProof/>
        </w:rPr>
        <w:t>listy obserwacyjne sporządzone zgodnie</w:t>
      </w:r>
      <w:r w:rsidRPr="0071228C">
        <w:rPr>
          <w:noProof/>
        </w:rPr>
        <w:t xml:space="preserve"> z</w:t>
      </w:r>
      <w:r>
        <w:rPr>
          <w:noProof/>
        </w:rPr>
        <w:t> </w:t>
      </w:r>
      <w:r w:rsidRPr="0071228C">
        <w:rPr>
          <w:noProof/>
        </w:rPr>
        <w:t>dyr</w:t>
      </w:r>
      <w:r w:rsidR="000A2A0D" w:rsidRPr="0071228C">
        <w:rPr>
          <w:noProof/>
        </w:rPr>
        <w:t>ektywą Parlamentu Europejskiego</w:t>
      </w:r>
      <w:r w:rsidRPr="0071228C">
        <w:rPr>
          <w:noProof/>
        </w:rPr>
        <w:t xml:space="preserve"> i</w:t>
      </w:r>
      <w:r>
        <w:rPr>
          <w:noProof/>
        </w:rPr>
        <w:t> </w:t>
      </w:r>
      <w:r w:rsidRPr="0071228C">
        <w:rPr>
          <w:noProof/>
        </w:rPr>
        <w:t>Rad</w:t>
      </w:r>
      <w:r w:rsidR="000A2A0D" w:rsidRPr="0071228C">
        <w:rPr>
          <w:noProof/>
        </w:rPr>
        <w:t>y 2008/105/WE</w:t>
      </w:r>
      <w:r w:rsidRPr="0071228C">
        <w:rPr>
          <w:noProof/>
        </w:rPr>
        <w:t xml:space="preserve"> i</w:t>
      </w:r>
      <w:r>
        <w:rPr>
          <w:noProof/>
        </w:rPr>
        <w:t> </w:t>
      </w:r>
      <w:r w:rsidRPr="0071228C">
        <w:rPr>
          <w:noProof/>
        </w:rPr>
        <w:t>dyr</w:t>
      </w:r>
      <w:r w:rsidR="000A2A0D" w:rsidRPr="0071228C">
        <w:rPr>
          <w:noProof/>
        </w:rPr>
        <w:t>ektywą Parlamentu Europejskiego</w:t>
      </w:r>
      <w:r w:rsidRPr="0071228C">
        <w:rPr>
          <w:noProof/>
        </w:rPr>
        <w:t xml:space="preserve"> i</w:t>
      </w:r>
      <w:r>
        <w:rPr>
          <w:noProof/>
        </w:rPr>
        <w:t> </w:t>
      </w:r>
      <w:r w:rsidRPr="0071228C">
        <w:rPr>
          <w:noProof/>
        </w:rPr>
        <w:t>Rad</w:t>
      </w:r>
      <w:r w:rsidR="000A2A0D" w:rsidRPr="0071228C">
        <w:rPr>
          <w:noProof/>
        </w:rPr>
        <w:t>y (UE) 2020/2184**;</w:t>
      </w:r>
    </w:p>
    <w:p w14:paraId="6EF4C3BA" w14:textId="23612BF0" w:rsidR="007114E4" w:rsidRPr="0071228C" w:rsidRDefault="00CC55C0" w:rsidP="00CC55C0">
      <w:pPr>
        <w:pStyle w:val="Point2"/>
        <w:rPr>
          <w:noProof/>
        </w:rPr>
      </w:pPr>
      <w:r>
        <w:rPr>
          <w:noProof/>
        </w:rPr>
        <w:t>c)</w:t>
      </w:r>
      <w:r>
        <w:rPr>
          <w:noProof/>
        </w:rPr>
        <w:tab/>
      </w:r>
      <w:r w:rsidR="00CF6A2E" w:rsidRPr="0071228C">
        <w:rPr>
          <w:noProof/>
        </w:rPr>
        <w:t>wymogi służące rozwiązaniu problemu zanieczyszczenia gleby,</w:t>
      </w:r>
      <w:r w:rsidRPr="0071228C">
        <w:rPr>
          <w:noProof/>
        </w:rPr>
        <w:t xml:space="preserve"> w</w:t>
      </w:r>
      <w:r>
        <w:rPr>
          <w:noProof/>
        </w:rPr>
        <w:t> </w:t>
      </w:r>
      <w:r w:rsidRPr="0071228C">
        <w:rPr>
          <w:noProof/>
        </w:rPr>
        <w:t>tym</w:t>
      </w:r>
      <w:r w:rsidR="00CF6A2E" w:rsidRPr="0071228C">
        <w:rPr>
          <w:noProof/>
        </w:rPr>
        <w:t xml:space="preserve"> powiązane dane</w:t>
      </w:r>
      <w:r w:rsidRPr="0071228C">
        <w:rPr>
          <w:noProof/>
        </w:rPr>
        <w:t xml:space="preserve"> z</w:t>
      </w:r>
      <w:r>
        <w:rPr>
          <w:noProof/>
        </w:rPr>
        <w:t> </w:t>
      </w:r>
      <w:r w:rsidRPr="0071228C">
        <w:rPr>
          <w:noProof/>
        </w:rPr>
        <w:t>mon</w:t>
      </w:r>
      <w:r w:rsidR="00CF6A2E" w:rsidRPr="0071228C">
        <w:rPr>
          <w:noProof/>
        </w:rPr>
        <w:t xml:space="preserve">itorowania; </w:t>
      </w:r>
    </w:p>
    <w:p w14:paraId="3F05B2CD" w14:textId="52B9D5D9" w:rsidR="000A2A0D" w:rsidRPr="0071228C" w:rsidRDefault="00CC55C0" w:rsidP="00CC55C0">
      <w:pPr>
        <w:pStyle w:val="Point2"/>
        <w:rPr>
          <w:noProof/>
        </w:rPr>
      </w:pPr>
      <w:r>
        <w:rPr>
          <w:noProof/>
        </w:rPr>
        <w:t>d)</w:t>
      </w:r>
      <w:r>
        <w:rPr>
          <w:noProof/>
        </w:rPr>
        <w:tab/>
      </w:r>
      <w:r w:rsidR="000A2A0D" w:rsidRPr="0071228C">
        <w:rPr>
          <w:noProof/>
        </w:rPr>
        <w:t>charakterystykę obszarów dorzeczy sporządzoną przez państwa członkowskie zgodnie</w:t>
      </w:r>
      <w:r w:rsidRPr="0071228C">
        <w:rPr>
          <w:noProof/>
        </w:rPr>
        <w:t xml:space="preserve"> z</w:t>
      </w:r>
      <w:r>
        <w:rPr>
          <w:noProof/>
        </w:rPr>
        <w:t> </w:t>
      </w:r>
      <w:r w:rsidRPr="00CC55C0">
        <w:rPr>
          <w:noProof/>
        </w:rPr>
        <w:t>art</w:t>
      </w:r>
      <w:r w:rsidR="000A2A0D" w:rsidRPr="00CC55C0">
        <w:rPr>
          <w:noProof/>
        </w:rPr>
        <w:t>.</w:t>
      </w:r>
      <w:r w:rsidRPr="00CC55C0">
        <w:rPr>
          <w:noProof/>
        </w:rPr>
        <w:t> </w:t>
      </w:r>
      <w:r w:rsidR="000A2A0D" w:rsidRPr="00CC55C0">
        <w:rPr>
          <w:noProof/>
        </w:rPr>
        <w:t>5</w:t>
      </w:r>
      <w:r w:rsidR="000A2A0D" w:rsidRPr="0071228C">
        <w:rPr>
          <w:noProof/>
        </w:rPr>
        <w:t xml:space="preserve"> dyrektywy 2000/60/WE oraz wyniki programów monitorowania ustanowionych zgodnie</w:t>
      </w:r>
      <w:r w:rsidRPr="0071228C">
        <w:rPr>
          <w:noProof/>
        </w:rPr>
        <w:t xml:space="preserve"> z</w:t>
      </w:r>
      <w:r>
        <w:rPr>
          <w:noProof/>
        </w:rPr>
        <w:t> </w:t>
      </w:r>
      <w:r w:rsidRPr="00CC55C0">
        <w:rPr>
          <w:noProof/>
        </w:rPr>
        <w:t>art</w:t>
      </w:r>
      <w:r w:rsidR="000A2A0D" w:rsidRPr="00CC55C0">
        <w:rPr>
          <w:noProof/>
        </w:rPr>
        <w:t>.</w:t>
      </w:r>
      <w:r w:rsidRPr="00CC55C0">
        <w:rPr>
          <w:noProof/>
        </w:rPr>
        <w:t> </w:t>
      </w:r>
      <w:r w:rsidR="000A2A0D" w:rsidRPr="00CC55C0">
        <w:rPr>
          <w:noProof/>
        </w:rPr>
        <w:t>8</w:t>
      </w:r>
      <w:r w:rsidR="000A2A0D" w:rsidRPr="0071228C">
        <w:rPr>
          <w:noProof/>
        </w:rPr>
        <w:t xml:space="preserve"> tej dyrektywy;</w:t>
      </w:r>
    </w:p>
    <w:p w14:paraId="58A9429B" w14:textId="6A077B0D" w:rsidR="000A2A0D" w:rsidRPr="0071228C" w:rsidRDefault="00CC55C0" w:rsidP="00CC55C0">
      <w:pPr>
        <w:pStyle w:val="Point2"/>
        <w:rPr>
          <w:noProof/>
        </w:rPr>
      </w:pPr>
      <w:r>
        <w:rPr>
          <w:noProof/>
        </w:rPr>
        <w:t>e)</w:t>
      </w:r>
      <w:r>
        <w:rPr>
          <w:noProof/>
        </w:rPr>
        <w:tab/>
      </w:r>
      <w:r w:rsidR="000A2A0D" w:rsidRPr="0071228C">
        <w:rPr>
          <w:noProof/>
        </w:rPr>
        <w:t>informacje na temat wielkości produkcji, sposobów użytkowania, swoistych właściwości (w tym mobilności</w:t>
      </w:r>
      <w:r w:rsidRPr="0071228C">
        <w:rPr>
          <w:noProof/>
        </w:rPr>
        <w:t xml:space="preserve"> w</w:t>
      </w:r>
      <w:r>
        <w:rPr>
          <w:noProof/>
        </w:rPr>
        <w:t> </w:t>
      </w:r>
      <w:r w:rsidRPr="0071228C">
        <w:rPr>
          <w:noProof/>
        </w:rPr>
        <w:t>gle</w:t>
      </w:r>
      <w:r w:rsidR="000A2A0D" w:rsidRPr="0071228C">
        <w:rPr>
          <w:noProof/>
        </w:rPr>
        <w:t>bie i,</w:t>
      </w:r>
      <w:r w:rsidRPr="0071228C">
        <w:rPr>
          <w:noProof/>
        </w:rPr>
        <w:t xml:space="preserve"> w</w:t>
      </w:r>
      <w:r>
        <w:rPr>
          <w:noProof/>
        </w:rPr>
        <w:t> </w:t>
      </w:r>
      <w:r w:rsidRPr="0071228C">
        <w:rPr>
          <w:noProof/>
        </w:rPr>
        <w:t>sto</w:t>
      </w:r>
      <w:r w:rsidR="000A2A0D" w:rsidRPr="0071228C">
        <w:rPr>
          <w:noProof/>
        </w:rPr>
        <w:t>sownych przypadkach, wielkości cząsteczek), stężenia</w:t>
      </w:r>
      <w:r w:rsidRPr="0071228C">
        <w:rPr>
          <w:noProof/>
        </w:rPr>
        <w:t xml:space="preserve"> w</w:t>
      </w:r>
      <w:r>
        <w:rPr>
          <w:noProof/>
        </w:rPr>
        <w:t> </w:t>
      </w:r>
      <w:r w:rsidRPr="0071228C">
        <w:rPr>
          <w:noProof/>
        </w:rPr>
        <w:t>śro</w:t>
      </w:r>
      <w:r w:rsidR="000A2A0D" w:rsidRPr="0071228C">
        <w:rPr>
          <w:noProof/>
        </w:rPr>
        <w:t>dowisku oraz szkodliwego wpływu na zdrowie człowieka</w:t>
      </w:r>
      <w:r w:rsidRPr="0071228C">
        <w:rPr>
          <w:noProof/>
        </w:rPr>
        <w:t xml:space="preserve"> i</w:t>
      </w:r>
      <w:r>
        <w:rPr>
          <w:noProof/>
        </w:rPr>
        <w:t> </w:t>
      </w:r>
      <w:r w:rsidRPr="0071228C">
        <w:rPr>
          <w:noProof/>
        </w:rPr>
        <w:t>śro</w:t>
      </w:r>
      <w:r w:rsidR="000A2A0D" w:rsidRPr="0071228C">
        <w:rPr>
          <w:noProof/>
        </w:rPr>
        <w:t>dowisko wodne danej substancji lub grupy substancji,</w:t>
      </w:r>
      <w:r w:rsidRPr="0071228C">
        <w:rPr>
          <w:noProof/>
        </w:rPr>
        <w:t xml:space="preserve"> w</w:t>
      </w:r>
      <w:r>
        <w:rPr>
          <w:noProof/>
        </w:rPr>
        <w:t> </w:t>
      </w:r>
      <w:r w:rsidRPr="0071228C">
        <w:rPr>
          <w:noProof/>
        </w:rPr>
        <w:t>tym</w:t>
      </w:r>
      <w:r w:rsidR="000A2A0D" w:rsidRPr="0071228C">
        <w:rPr>
          <w:noProof/>
        </w:rPr>
        <w:t xml:space="preserve"> informacje zebrane zgodnie</w:t>
      </w:r>
      <w:r w:rsidRPr="0071228C">
        <w:rPr>
          <w:noProof/>
        </w:rPr>
        <w:t xml:space="preserve"> z</w:t>
      </w:r>
      <w:r>
        <w:rPr>
          <w:noProof/>
        </w:rPr>
        <w:t> </w:t>
      </w:r>
      <w:r w:rsidRPr="0071228C">
        <w:rPr>
          <w:noProof/>
        </w:rPr>
        <w:t>roz</w:t>
      </w:r>
      <w:r w:rsidR="000A2A0D" w:rsidRPr="0071228C">
        <w:rPr>
          <w:noProof/>
        </w:rPr>
        <w:t xml:space="preserve">porządzeniem (WE) </w:t>
      </w:r>
      <w:r w:rsidR="000A2A0D" w:rsidRPr="00CC55C0">
        <w:rPr>
          <w:noProof/>
        </w:rPr>
        <w:t>nr</w:t>
      </w:r>
      <w:r w:rsidRPr="00CC55C0">
        <w:rPr>
          <w:noProof/>
        </w:rPr>
        <w:t> </w:t>
      </w:r>
      <w:r w:rsidR="000A2A0D" w:rsidRPr="00CC55C0">
        <w:rPr>
          <w:noProof/>
        </w:rPr>
        <w:t>1</w:t>
      </w:r>
      <w:r w:rsidR="000A2A0D" w:rsidRPr="0071228C">
        <w:rPr>
          <w:noProof/>
        </w:rPr>
        <w:t>907/2006 Parlamentu Europejskiego</w:t>
      </w:r>
      <w:r w:rsidRPr="0071228C">
        <w:rPr>
          <w:noProof/>
        </w:rPr>
        <w:t xml:space="preserve"> i</w:t>
      </w:r>
      <w:r>
        <w:rPr>
          <w:noProof/>
        </w:rPr>
        <w:t> </w:t>
      </w:r>
      <w:r w:rsidRPr="0071228C">
        <w:rPr>
          <w:noProof/>
        </w:rPr>
        <w:t>Rad</w:t>
      </w:r>
      <w:r w:rsidR="000A2A0D" w:rsidRPr="0071228C">
        <w:rPr>
          <w:noProof/>
        </w:rPr>
        <w:t>y***, rozporządzeniem (WE) Parlamentu Europejskiego</w:t>
      </w:r>
      <w:r w:rsidRPr="0071228C">
        <w:rPr>
          <w:noProof/>
        </w:rPr>
        <w:t xml:space="preserve"> i</w:t>
      </w:r>
      <w:r>
        <w:rPr>
          <w:noProof/>
        </w:rPr>
        <w:t> </w:t>
      </w:r>
      <w:r w:rsidRPr="0071228C">
        <w:rPr>
          <w:noProof/>
        </w:rPr>
        <w:t>Rad</w:t>
      </w:r>
      <w:r w:rsidR="000A2A0D" w:rsidRPr="0071228C">
        <w:rPr>
          <w:noProof/>
        </w:rPr>
        <w:t xml:space="preserve">y </w:t>
      </w:r>
      <w:r w:rsidR="000A2A0D" w:rsidRPr="00CC55C0">
        <w:rPr>
          <w:noProof/>
        </w:rPr>
        <w:t>nr</w:t>
      </w:r>
      <w:r w:rsidRPr="00CC55C0">
        <w:rPr>
          <w:noProof/>
        </w:rPr>
        <w:t> </w:t>
      </w:r>
      <w:r w:rsidR="000A2A0D" w:rsidRPr="00CC55C0">
        <w:rPr>
          <w:noProof/>
        </w:rPr>
        <w:t>1</w:t>
      </w:r>
      <w:r w:rsidR="000A2A0D" w:rsidRPr="0071228C">
        <w:rPr>
          <w:noProof/>
        </w:rPr>
        <w:t>107/2009****, rozporządzeniem Parlamentu Europejskiego</w:t>
      </w:r>
      <w:r w:rsidRPr="0071228C">
        <w:rPr>
          <w:noProof/>
        </w:rPr>
        <w:t xml:space="preserve"> i</w:t>
      </w:r>
      <w:r>
        <w:rPr>
          <w:noProof/>
        </w:rPr>
        <w:t> </w:t>
      </w:r>
      <w:r w:rsidRPr="0071228C">
        <w:rPr>
          <w:noProof/>
        </w:rPr>
        <w:t>Rad</w:t>
      </w:r>
      <w:r w:rsidR="000A2A0D" w:rsidRPr="0071228C">
        <w:rPr>
          <w:noProof/>
        </w:rPr>
        <w:t xml:space="preserve">y (UE) </w:t>
      </w:r>
      <w:r w:rsidR="000A2A0D" w:rsidRPr="00CC55C0">
        <w:rPr>
          <w:noProof/>
        </w:rPr>
        <w:t>nr</w:t>
      </w:r>
      <w:r w:rsidRPr="00CC55C0">
        <w:rPr>
          <w:noProof/>
        </w:rPr>
        <w:t> </w:t>
      </w:r>
      <w:r w:rsidR="000A2A0D" w:rsidRPr="00CC55C0">
        <w:rPr>
          <w:noProof/>
        </w:rPr>
        <w:t>5</w:t>
      </w:r>
      <w:r w:rsidR="000A2A0D" w:rsidRPr="0071228C">
        <w:rPr>
          <w:noProof/>
        </w:rPr>
        <w:t>28/2012*****, rozporządzeniem Parlamentu Europejskiego</w:t>
      </w:r>
      <w:r w:rsidRPr="0071228C">
        <w:rPr>
          <w:noProof/>
        </w:rPr>
        <w:t xml:space="preserve"> i</w:t>
      </w:r>
      <w:r>
        <w:rPr>
          <w:noProof/>
        </w:rPr>
        <w:t> </w:t>
      </w:r>
      <w:r w:rsidRPr="0071228C">
        <w:rPr>
          <w:noProof/>
        </w:rPr>
        <w:t>Rad</w:t>
      </w:r>
      <w:r w:rsidR="000A2A0D" w:rsidRPr="0071228C">
        <w:rPr>
          <w:noProof/>
        </w:rPr>
        <w:t>y (UE) 2019/6******, dyrektywą 2001/83/WE Parlamentu Europejskiego</w:t>
      </w:r>
      <w:r w:rsidRPr="0071228C">
        <w:rPr>
          <w:noProof/>
        </w:rPr>
        <w:t xml:space="preserve"> i</w:t>
      </w:r>
      <w:r>
        <w:rPr>
          <w:noProof/>
        </w:rPr>
        <w:t> </w:t>
      </w:r>
      <w:r w:rsidRPr="0071228C">
        <w:rPr>
          <w:noProof/>
        </w:rPr>
        <w:t>Rad</w:t>
      </w:r>
      <w:r w:rsidR="000A2A0D" w:rsidRPr="0071228C">
        <w:rPr>
          <w:noProof/>
        </w:rPr>
        <w:t>y******* oraz dyrektywą Parlamentu Europejskiego</w:t>
      </w:r>
      <w:r w:rsidRPr="0071228C">
        <w:rPr>
          <w:noProof/>
        </w:rPr>
        <w:t xml:space="preserve"> i</w:t>
      </w:r>
      <w:r>
        <w:rPr>
          <w:noProof/>
        </w:rPr>
        <w:t> </w:t>
      </w:r>
      <w:r w:rsidRPr="0071228C">
        <w:rPr>
          <w:noProof/>
        </w:rPr>
        <w:t>Rad</w:t>
      </w:r>
      <w:r w:rsidR="000A2A0D" w:rsidRPr="0071228C">
        <w:rPr>
          <w:noProof/>
        </w:rPr>
        <w:t>y 2009/128/WE********.</w:t>
      </w:r>
    </w:p>
    <w:p w14:paraId="706D0FDE" w14:textId="62EAF62D" w:rsidR="007114E4" w:rsidRPr="0071228C" w:rsidRDefault="00CC55C0" w:rsidP="00CC55C0">
      <w:pPr>
        <w:pStyle w:val="Point2"/>
        <w:rPr>
          <w:noProof/>
        </w:rPr>
      </w:pPr>
      <w:r>
        <w:rPr>
          <w:noProof/>
        </w:rPr>
        <w:t>f)</w:t>
      </w:r>
      <w:r>
        <w:rPr>
          <w:noProof/>
        </w:rPr>
        <w:tab/>
      </w:r>
      <w:r w:rsidR="007114E4" w:rsidRPr="0071228C">
        <w:rPr>
          <w:noProof/>
        </w:rPr>
        <w:t>projekty badawcze</w:t>
      </w:r>
      <w:r w:rsidRPr="0071228C">
        <w:rPr>
          <w:noProof/>
        </w:rPr>
        <w:t xml:space="preserve"> i</w:t>
      </w:r>
      <w:r>
        <w:rPr>
          <w:noProof/>
        </w:rPr>
        <w:t> </w:t>
      </w:r>
      <w:r w:rsidRPr="0071228C">
        <w:rPr>
          <w:noProof/>
        </w:rPr>
        <w:t>pub</w:t>
      </w:r>
      <w:r w:rsidR="007114E4" w:rsidRPr="0071228C">
        <w:rPr>
          <w:noProof/>
        </w:rPr>
        <w:t>likacje naukowe,</w:t>
      </w:r>
      <w:r w:rsidRPr="0071228C">
        <w:rPr>
          <w:noProof/>
        </w:rPr>
        <w:t xml:space="preserve"> w</w:t>
      </w:r>
      <w:r>
        <w:rPr>
          <w:noProof/>
        </w:rPr>
        <w:t> </w:t>
      </w:r>
      <w:r w:rsidRPr="0071228C">
        <w:rPr>
          <w:noProof/>
        </w:rPr>
        <w:t>tym</w:t>
      </w:r>
      <w:r w:rsidR="007114E4" w:rsidRPr="0071228C">
        <w:rPr>
          <w:noProof/>
        </w:rPr>
        <w:t xml:space="preserve"> informacje</w:t>
      </w:r>
      <w:r w:rsidRPr="0071228C">
        <w:rPr>
          <w:noProof/>
        </w:rPr>
        <w:t xml:space="preserve"> o</w:t>
      </w:r>
      <w:r>
        <w:rPr>
          <w:noProof/>
        </w:rPr>
        <w:t> </w:t>
      </w:r>
      <w:r w:rsidRPr="0071228C">
        <w:rPr>
          <w:noProof/>
        </w:rPr>
        <w:t>tre</w:t>
      </w:r>
      <w:r w:rsidR="007114E4" w:rsidRPr="0071228C">
        <w:rPr>
          <w:noProof/>
        </w:rPr>
        <w:t>ndach</w:t>
      </w:r>
      <w:r w:rsidRPr="0071228C">
        <w:rPr>
          <w:noProof/>
        </w:rPr>
        <w:t xml:space="preserve"> i</w:t>
      </w:r>
      <w:r>
        <w:rPr>
          <w:noProof/>
        </w:rPr>
        <w:t> </w:t>
      </w:r>
      <w:r w:rsidRPr="0071228C">
        <w:rPr>
          <w:noProof/>
        </w:rPr>
        <w:t>prz</w:t>
      </w:r>
      <w:r w:rsidR="007114E4" w:rsidRPr="0071228C">
        <w:rPr>
          <w:noProof/>
        </w:rPr>
        <w:t>ewidywaniach opartych na modelowaniu lub innych ocenach prognostycznych oraz danych</w:t>
      </w:r>
      <w:r w:rsidRPr="0071228C">
        <w:rPr>
          <w:noProof/>
        </w:rPr>
        <w:t xml:space="preserve"> i</w:t>
      </w:r>
      <w:r>
        <w:rPr>
          <w:noProof/>
        </w:rPr>
        <w:t> </w:t>
      </w:r>
      <w:r w:rsidRPr="0071228C">
        <w:rPr>
          <w:noProof/>
        </w:rPr>
        <w:t>inf</w:t>
      </w:r>
      <w:r w:rsidR="007114E4" w:rsidRPr="0071228C">
        <w:rPr>
          <w:noProof/>
        </w:rPr>
        <w:t>ormacjach pochodzących</w:t>
      </w:r>
      <w:r w:rsidRPr="0071228C">
        <w:rPr>
          <w:noProof/>
        </w:rPr>
        <w:t xml:space="preserve"> z</w:t>
      </w:r>
      <w:r>
        <w:rPr>
          <w:noProof/>
        </w:rPr>
        <w:t> </w:t>
      </w:r>
      <w:r w:rsidRPr="0071228C">
        <w:rPr>
          <w:noProof/>
        </w:rPr>
        <w:t>tec</w:t>
      </w:r>
      <w:r w:rsidR="007114E4" w:rsidRPr="0071228C">
        <w:rPr>
          <w:noProof/>
        </w:rPr>
        <w:t>hnologii teledetekcji, obserwacji Ziemi (usługi programu Copernicus), czujników</w:t>
      </w:r>
      <w:r w:rsidRPr="0071228C">
        <w:rPr>
          <w:noProof/>
        </w:rPr>
        <w:t xml:space="preserve"> i</w:t>
      </w:r>
      <w:r>
        <w:rPr>
          <w:noProof/>
        </w:rPr>
        <w:t> </w:t>
      </w:r>
      <w:r w:rsidRPr="0071228C">
        <w:rPr>
          <w:noProof/>
        </w:rPr>
        <w:t>urz</w:t>
      </w:r>
      <w:r w:rsidR="007114E4" w:rsidRPr="0071228C">
        <w:rPr>
          <w:noProof/>
        </w:rPr>
        <w:t>ądzeń in-situ lub danych uzyskanych dzięki badaniom metodą obywatelską, korzystając</w:t>
      </w:r>
      <w:r w:rsidRPr="0071228C">
        <w:rPr>
          <w:noProof/>
        </w:rPr>
        <w:t xml:space="preserve"> z</w:t>
      </w:r>
      <w:r>
        <w:rPr>
          <w:noProof/>
        </w:rPr>
        <w:t> </w:t>
      </w:r>
      <w:r w:rsidRPr="0071228C">
        <w:rPr>
          <w:noProof/>
        </w:rPr>
        <w:t>moż</w:t>
      </w:r>
      <w:r w:rsidR="007114E4" w:rsidRPr="0071228C">
        <w:rPr>
          <w:noProof/>
        </w:rPr>
        <w:t>liwości oferowanych przez sztuczną inteligencję oraz zaawansowaną analizę</w:t>
      </w:r>
      <w:r w:rsidRPr="0071228C">
        <w:rPr>
          <w:noProof/>
        </w:rPr>
        <w:t xml:space="preserve"> i</w:t>
      </w:r>
      <w:r>
        <w:rPr>
          <w:noProof/>
        </w:rPr>
        <w:t> </w:t>
      </w:r>
      <w:r w:rsidRPr="0071228C">
        <w:rPr>
          <w:noProof/>
        </w:rPr>
        <w:t>prz</w:t>
      </w:r>
      <w:r w:rsidR="007114E4" w:rsidRPr="0071228C">
        <w:rPr>
          <w:noProof/>
        </w:rPr>
        <w:t>etwarzanie danych;</w:t>
      </w:r>
    </w:p>
    <w:p w14:paraId="2306B681" w14:textId="2E98BCAF" w:rsidR="007114E4" w:rsidRPr="0071228C" w:rsidRDefault="00CC55C0" w:rsidP="00CC55C0">
      <w:pPr>
        <w:pStyle w:val="Point2"/>
        <w:rPr>
          <w:noProof/>
        </w:rPr>
      </w:pPr>
      <w:r>
        <w:rPr>
          <w:noProof/>
        </w:rPr>
        <w:t>g)</w:t>
      </w:r>
      <w:r>
        <w:rPr>
          <w:noProof/>
        </w:rPr>
        <w:tab/>
      </w:r>
      <w:r w:rsidR="007114E4" w:rsidRPr="0071228C">
        <w:rPr>
          <w:noProof/>
        </w:rPr>
        <w:t xml:space="preserve">zalecenia zainteresowanych stron. </w:t>
      </w:r>
    </w:p>
    <w:p w14:paraId="53943A45" w14:textId="23B03263" w:rsidR="005713A7" w:rsidRPr="0071228C" w:rsidRDefault="005713A7" w:rsidP="005713A7">
      <w:pPr>
        <w:pStyle w:val="Text1"/>
        <w:rPr>
          <w:noProof/>
        </w:rPr>
      </w:pPr>
      <w:r w:rsidRPr="0071228C">
        <w:rPr>
          <w:noProof/>
        </w:rPr>
        <w:t>Co trzy lata ECHA przygotowuje sprawozdanie podsumowujące wyniki sprawozdań naukowych sporządzonych na podstawie akapitu czwartego</w:t>
      </w:r>
      <w:r w:rsidR="00CC55C0" w:rsidRPr="0071228C">
        <w:rPr>
          <w:noProof/>
        </w:rPr>
        <w:t xml:space="preserve"> i</w:t>
      </w:r>
      <w:r w:rsidR="00CC55C0">
        <w:rPr>
          <w:noProof/>
        </w:rPr>
        <w:t> </w:t>
      </w:r>
      <w:r w:rsidR="00CC55C0" w:rsidRPr="0071228C">
        <w:rPr>
          <w:noProof/>
        </w:rPr>
        <w:t>pod</w:t>
      </w:r>
      <w:r w:rsidRPr="0071228C">
        <w:rPr>
          <w:noProof/>
        </w:rPr>
        <w:t>aje je do publicznej wiadomości. Pierwsze sprawozdanie należy udostępnić od X [Urząd Publikacji: proszę wstawić datę = pierwszy dzień 21. miesiąca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788C46E0" w14:textId="36196EE2" w:rsidR="005B710D" w:rsidRPr="0071228C" w:rsidRDefault="00BD6E00" w:rsidP="00BD6E00">
      <w:pPr>
        <w:pStyle w:val="Text1"/>
        <w:rPr>
          <w:bCs/>
          <w:noProof/>
        </w:rPr>
      </w:pPr>
      <w:r w:rsidRPr="0071228C">
        <w:rPr>
          <w:noProof/>
        </w:rPr>
        <w:t xml:space="preserve">2. Pierwszą listę obserwacyjną sporządza się do ... [Urząd Publikacji: proszę wstawić datę = pierwszy dzień miesiąca następującego </w:t>
      </w:r>
      <w:r w:rsidRPr="00CC55C0">
        <w:rPr>
          <w:noProof/>
        </w:rPr>
        <w:t>po</w:t>
      </w:r>
      <w:r w:rsidR="00CC55C0" w:rsidRPr="00CC55C0">
        <w:rPr>
          <w:noProof/>
        </w:rPr>
        <w:t> </w:t>
      </w:r>
      <w:r w:rsidRPr="00CC55C0">
        <w:rPr>
          <w:noProof/>
        </w:rPr>
        <w:t>2</w:t>
      </w:r>
      <w:r w:rsidRPr="0071228C">
        <w:rPr>
          <w:noProof/>
        </w:rPr>
        <w:t>4 miesiącach od daty wejścia</w:t>
      </w:r>
      <w:r w:rsidR="00CC55C0" w:rsidRPr="0071228C">
        <w:rPr>
          <w:noProof/>
        </w:rPr>
        <w:t xml:space="preserve"> w</w:t>
      </w:r>
      <w:r w:rsidR="00CC55C0">
        <w:rPr>
          <w:noProof/>
        </w:rPr>
        <w:t> </w:t>
      </w:r>
      <w:r w:rsidR="00CC55C0" w:rsidRPr="0071228C">
        <w:rPr>
          <w:noProof/>
        </w:rPr>
        <w:t>życ</w:t>
      </w:r>
      <w:r w:rsidRPr="0071228C">
        <w:rPr>
          <w:noProof/>
        </w:rPr>
        <w:t xml:space="preserve">ie niniejszej dyrektywy]. Listę obserwacyjną aktualizuje się następnie </w:t>
      </w:r>
      <w:r w:rsidRPr="00CC55C0">
        <w:rPr>
          <w:noProof/>
        </w:rPr>
        <w:t>co</w:t>
      </w:r>
      <w:r w:rsidR="00CC55C0" w:rsidRPr="00CC55C0">
        <w:rPr>
          <w:noProof/>
        </w:rPr>
        <w:t> </w:t>
      </w:r>
      <w:r w:rsidRPr="00CC55C0">
        <w:rPr>
          <w:noProof/>
        </w:rPr>
        <w:t>3</w:t>
      </w:r>
      <w:r w:rsidRPr="0071228C">
        <w:rPr>
          <w:noProof/>
        </w:rPr>
        <w:t xml:space="preserve">6 miesięcy. </w:t>
      </w:r>
    </w:p>
    <w:p w14:paraId="3887E919" w14:textId="5034C9B3" w:rsidR="000A2A0D" w:rsidRPr="0071228C" w:rsidRDefault="000A2A0D" w:rsidP="00BD6E00">
      <w:pPr>
        <w:pStyle w:val="Text1"/>
        <w:rPr>
          <w:bCs/>
          <w:noProof/>
        </w:rPr>
      </w:pPr>
      <w:r w:rsidRPr="0071228C">
        <w:rPr>
          <w:noProof/>
        </w:rPr>
        <w:t>Podczas aktualizacji listy obserwacyjnej Komisja usuwa wszelkie substancje lub grupy substancji</w:t>
      </w:r>
      <w:r w:rsidR="00CC55C0" w:rsidRPr="0071228C">
        <w:rPr>
          <w:noProof/>
        </w:rPr>
        <w:t xml:space="preserve"> z</w:t>
      </w:r>
      <w:r w:rsidR="00CC55C0">
        <w:rPr>
          <w:noProof/>
        </w:rPr>
        <w:t> </w:t>
      </w:r>
      <w:r w:rsidR="00CC55C0" w:rsidRPr="0071228C">
        <w:rPr>
          <w:noProof/>
        </w:rPr>
        <w:t>ist</w:t>
      </w:r>
      <w:r w:rsidRPr="0071228C">
        <w:rPr>
          <w:noProof/>
        </w:rPr>
        <w:t>niejącej listy obserwacyjnej,</w:t>
      </w:r>
      <w:r w:rsidR="00CC55C0" w:rsidRPr="0071228C">
        <w:rPr>
          <w:noProof/>
        </w:rPr>
        <w:t xml:space="preserve"> w</w:t>
      </w:r>
      <w:r w:rsidR="00CC55C0">
        <w:rPr>
          <w:noProof/>
        </w:rPr>
        <w:t> </w:t>
      </w:r>
      <w:r w:rsidR="00CC55C0" w:rsidRPr="0071228C">
        <w:rPr>
          <w:noProof/>
        </w:rPr>
        <w:t>prz</w:t>
      </w:r>
      <w:r w:rsidRPr="0071228C">
        <w:rPr>
          <w:noProof/>
        </w:rPr>
        <w:t>ypadku których uznaje, że możliwe jest przeprowadzenie oceny powodowanego przez nie ryzyka dla środowiska wodnego bez dodatkowych danych</w:t>
      </w:r>
      <w:r w:rsidR="00CC55C0" w:rsidRPr="0071228C">
        <w:rPr>
          <w:noProof/>
        </w:rPr>
        <w:t xml:space="preserve"> z</w:t>
      </w:r>
      <w:r w:rsidR="00CC55C0">
        <w:rPr>
          <w:noProof/>
        </w:rPr>
        <w:t> </w:t>
      </w:r>
      <w:r w:rsidR="00CC55C0" w:rsidRPr="0071228C">
        <w:rPr>
          <w:noProof/>
        </w:rPr>
        <w:t>mon</w:t>
      </w:r>
      <w:r w:rsidRPr="0071228C">
        <w:rPr>
          <w:noProof/>
        </w:rPr>
        <w:t>itorowania. Podczas aktualizacji listy możliwe jest utrzymanie pojedynczej substancji lub grupy substancji na liście obserwacyjnej przez kolejny okres trzech lat, jeżeli do przeprowadzenia oceny ryzyka dla środowiska wodnego potrzebne są dodatkowe dane</w:t>
      </w:r>
      <w:r w:rsidR="00CC55C0" w:rsidRPr="0071228C">
        <w:rPr>
          <w:noProof/>
        </w:rPr>
        <w:t xml:space="preserve"> z</w:t>
      </w:r>
      <w:r w:rsidR="00CC55C0">
        <w:rPr>
          <w:noProof/>
        </w:rPr>
        <w:t> </w:t>
      </w:r>
      <w:r w:rsidR="00CC55C0" w:rsidRPr="0071228C">
        <w:rPr>
          <w:noProof/>
        </w:rPr>
        <w:t>mon</w:t>
      </w:r>
      <w:r w:rsidRPr="0071228C">
        <w:rPr>
          <w:noProof/>
        </w:rPr>
        <w:t>itorowania. Zaktualizowana lista obserwacyjna zawiera również co najmniej jedną dodatkową substancję,</w:t>
      </w:r>
      <w:r w:rsidR="00CC55C0" w:rsidRPr="0071228C">
        <w:rPr>
          <w:noProof/>
        </w:rPr>
        <w:t xml:space="preserve"> w</w:t>
      </w:r>
      <w:r w:rsidR="00CC55C0">
        <w:rPr>
          <w:noProof/>
        </w:rPr>
        <w:t> </w:t>
      </w:r>
      <w:r w:rsidR="00CC55C0" w:rsidRPr="0071228C">
        <w:rPr>
          <w:noProof/>
        </w:rPr>
        <w:t>prz</w:t>
      </w:r>
      <w:r w:rsidRPr="0071228C">
        <w:rPr>
          <w:noProof/>
        </w:rPr>
        <w:t>ypadku której Komisja, uwzględniając sprawozdania naukowe ECHA, uważa, że może ona stwarzać ryzyko dla środowiska wodnego.</w:t>
      </w:r>
    </w:p>
    <w:p w14:paraId="5106494F" w14:textId="0A594898" w:rsidR="001E36E5" w:rsidRPr="0071228C" w:rsidRDefault="008A0887" w:rsidP="00BD6E00">
      <w:pPr>
        <w:pStyle w:val="Text1"/>
        <w:rPr>
          <w:bCs/>
          <w:noProof/>
        </w:rPr>
      </w:pPr>
      <w:r w:rsidRPr="0071228C">
        <w:rPr>
          <w:noProof/>
        </w:rPr>
        <w:t>3. Państwa członkowskie prowadzą monitorowanie każdej substancji lub grupy substancji znajdującej się na liście obserwacyjnej</w:t>
      </w:r>
      <w:r w:rsidR="00CC55C0" w:rsidRPr="0071228C">
        <w:rPr>
          <w:noProof/>
        </w:rPr>
        <w:t xml:space="preserve"> w</w:t>
      </w:r>
      <w:r w:rsidR="00CC55C0">
        <w:rPr>
          <w:noProof/>
        </w:rPr>
        <w:t> </w:t>
      </w:r>
      <w:r w:rsidR="00CC55C0" w:rsidRPr="0071228C">
        <w:rPr>
          <w:noProof/>
        </w:rPr>
        <w:t>wyb</w:t>
      </w:r>
      <w:r w:rsidRPr="0071228C">
        <w:rPr>
          <w:noProof/>
        </w:rPr>
        <w:t>ranych reprezentatywnych stacjach monitorowania przez okres 24 miesięcy. Okres monitorowania rozpoczyna się</w:t>
      </w:r>
      <w:r w:rsidR="00CC55C0" w:rsidRPr="0071228C">
        <w:rPr>
          <w:noProof/>
        </w:rPr>
        <w:t xml:space="preserve"> w</w:t>
      </w:r>
      <w:r w:rsidR="00CC55C0">
        <w:rPr>
          <w:noProof/>
        </w:rPr>
        <w:t> </w:t>
      </w:r>
      <w:r w:rsidR="00CC55C0" w:rsidRPr="0071228C">
        <w:rPr>
          <w:noProof/>
        </w:rPr>
        <w:t>cią</w:t>
      </w:r>
      <w:r w:rsidRPr="0071228C">
        <w:rPr>
          <w:noProof/>
        </w:rPr>
        <w:t xml:space="preserve">gu sześciu miesięcy od sporządzenia listy obserwacyjnej. </w:t>
      </w:r>
    </w:p>
    <w:p w14:paraId="793744BF" w14:textId="77777777" w:rsidR="000A2A0D" w:rsidRPr="0071228C" w:rsidRDefault="000A2A0D" w:rsidP="00BD6E00">
      <w:pPr>
        <w:pStyle w:val="Text1"/>
        <w:rPr>
          <w:bCs/>
          <w:noProof/>
        </w:rPr>
      </w:pPr>
      <w:r w:rsidRPr="0071228C">
        <w:rPr>
          <w:noProof/>
        </w:rPr>
        <w:t>Każde państwo członkowskie wybiera co najmniej jedną stację monitorowania oraz dodatkowo liczbę stacji równą jego całkowitej powierzchni części wód podziemnych wyrażonej w km</w:t>
      </w:r>
      <w:r w:rsidRPr="0071228C">
        <w:rPr>
          <w:noProof/>
          <w:vertAlign w:val="superscript"/>
        </w:rPr>
        <w:t>2</w:t>
      </w:r>
      <w:r w:rsidRPr="0071228C">
        <w:rPr>
          <w:noProof/>
        </w:rPr>
        <w:t xml:space="preserve"> podzielonej przez 60 000 (po zaokrągleniu do najbliższej liczby całkowitej). </w:t>
      </w:r>
    </w:p>
    <w:p w14:paraId="5855468D" w14:textId="47B6E7B5" w:rsidR="000A2A0D" w:rsidRPr="0071228C" w:rsidRDefault="000A2A0D" w:rsidP="00BD6E00">
      <w:pPr>
        <w:pStyle w:val="Text1"/>
        <w:rPr>
          <w:bCs/>
          <w:noProof/>
        </w:rPr>
      </w:pPr>
      <w:r w:rsidRPr="0071228C">
        <w:rPr>
          <w:noProof/>
        </w:rPr>
        <w:t>Wybierając reprezentatywne stacje monitorowania, częstotliwość</w:t>
      </w:r>
      <w:r w:rsidR="00CC55C0" w:rsidRPr="0071228C">
        <w:rPr>
          <w:noProof/>
        </w:rPr>
        <w:t xml:space="preserve"> i</w:t>
      </w:r>
      <w:r w:rsidR="00CC55C0">
        <w:rPr>
          <w:noProof/>
        </w:rPr>
        <w:t> </w:t>
      </w:r>
      <w:r w:rsidR="00CC55C0" w:rsidRPr="0071228C">
        <w:rPr>
          <w:noProof/>
        </w:rPr>
        <w:t>sez</w:t>
      </w:r>
      <w:r w:rsidRPr="0071228C">
        <w:rPr>
          <w:noProof/>
        </w:rPr>
        <w:t>onowy harmonogram monitorowania dla poszczególnych substancji lub grupy substancji, państwa członkowskie biorą pod uwagę sposoby wykorzystania</w:t>
      </w:r>
      <w:r w:rsidR="00CC55C0" w:rsidRPr="0071228C">
        <w:rPr>
          <w:noProof/>
        </w:rPr>
        <w:t xml:space="preserve"> i</w:t>
      </w:r>
      <w:r w:rsidR="00CC55C0">
        <w:rPr>
          <w:noProof/>
        </w:rPr>
        <w:t> </w:t>
      </w:r>
      <w:r w:rsidR="00CC55C0" w:rsidRPr="0071228C">
        <w:rPr>
          <w:noProof/>
        </w:rPr>
        <w:t>moż</w:t>
      </w:r>
      <w:r w:rsidRPr="0071228C">
        <w:rPr>
          <w:noProof/>
        </w:rPr>
        <w:t>liwe występowanie substancji lub grupy substancji. Monitorowanie prowadzone jest</w:t>
      </w:r>
      <w:r w:rsidR="00CC55C0" w:rsidRPr="0071228C">
        <w:rPr>
          <w:noProof/>
        </w:rPr>
        <w:t xml:space="preserve"> z</w:t>
      </w:r>
      <w:r w:rsidR="00CC55C0">
        <w:rPr>
          <w:noProof/>
        </w:rPr>
        <w:t> </w:t>
      </w:r>
      <w:r w:rsidR="00CC55C0" w:rsidRPr="0071228C">
        <w:rPr>
          <w:noProof/>
        </w:rPr>
        <w:t>czę</w:t>
      </w:r>
      <w:r w:rsidRPr="0071228C">
        <w:rPr>
          <w:noProof/>
        </w:rPr>
        <w:t>stotliwością nie mniejszą niż raz</w:t>
      </w:r>
      <w:r w:rsidR="00CC55C0" w:rsidRPr="0071228C">
        <w:rPr>
          <w:noProof/>
        </w:rPr>
        <w:t xml:space="preserve"> w</w:t>
      </w:r>
      <w:r w:rsidR="00CC55C0">
        <w:rPr>
          <w:noProof/>
        </w:rPr>
        <w:t> </w:t>
      </w:r>
      <w:r w:rsidR="00CC55C0" w:rsidRPr="0071228C">
        <w:rPr>
          <w:noProof/>
        </w:rPr>
        <w:t>rok</w:t>
      </w:r>
      <w:r w:rsidRPr="0071228C">
        <w:rPr>
          <w:noProof/>
        </w:rPr>
        <w:t xml:space="preserve">u. </w:t>
      </w:r>
    </w:p>
    <w:p w14:paraId="5A80701B" w14:textId="06BCB939" w:rsidR="000A2A0D" w:rsidRPr="0071228C" w:rsidRDefault="000A2A0D" w:rsidP="00BD6E00">
      <w:pPr>
        <w:pStyle w:val="Text1"/>
        <w:rPr>
          <w:bCs/>
          <w:noProof/>
        </w:rPr>
      </w:pPr>
      <w:r w:rsidRPr="0071228C">
        <w:rPr>
          <w:noProof/>
        </w:rPr>
        <w:t>W przypadku gdy państwo członkowskie jest</w:t>
      </w:r>
      <w:r w:rsidR="00CC55C0" w:rsidRPr="0071228C">
        <w:rPr>
          <w:noProof/>
        </w:rPr>
        <w:t xml:space="preserve"> w</w:t>
      </w:r>
      <w:r w:rsidR="00CC55C0">
        <w:rPr>
          <w:noProof/>
        </w:rPr>
        <w:t> </w:t>
      </w:r>
      <w:r w:rsidR="00CC55C0" w:rsidRPr="0071228C">
        <w:rPr>
          <w:noProof/>
        </w:rPr>
        <w:t>sta</w:t>
      </w:r>
      <w:r w:rsidRPr="0071228C">
        <w:rPr>
          <w:noProof/>
        </w:rPr>
        <w:t>nie pozyskać wystarczające, porównywalne, reprezentatywne</w:t>
      </w:r>
      <w:r w:rsidR="00CC55C0" w:rsidRPr="0071228C">
        <w:rPr>
          <w:noProof/>
        </w:rPr>
        <w:t xml:space="preserve"> i</w:t>
      </w:r>
      <w:r w:rsidR="00CC55C0">
        <w:rPr>
          <w:noProof/>
        </w:rPr>
        <w:t> </w:t>
      </w:r>
      <w:r w:rsidR="00CC55C0" w:rsidRPr="0071228C">
        <w:rPr>
          <w:noProof/>
        </w:rPr>
        <w:t>akt</w:t>
      </w:r>
      <w:r w:rsidRPr="0071228C">
        <w:rPr>
          <w:noProof/>
        </w:rPr>
        <w:t>ualne dane dotyczące monitorowania danej substancji lub grupy substancji</w:t>
      </w:r>
      <w:r w:rsidR="00CC55C0" w:rsidRPr="0071228C">
        <w:rPr>
          <w:noProof/>
        </w:rPr>
        <w:t xml:space="preserve"> w</w:t>
      </w:r>
      <w:r w:rsidR="00CC55C0">
        <w:rPr>
          <w:noProof/>
        </w:rPr>
        <w:t> </w:t>
      </w:r>
      <w:r w:rsidR="00CC55C0" w:rsidRPr="0071228C">
        <w:rPr>
          <w:noProof/>
        </w:rPr>
        <w:t>ram</w:t>
      </w:r>
      <w:r w:rsidRPr="0071228C">
        <w:rPr>
          <w:noProof/>
        </w:rPr>
        <w:t>ach istniejących programów monitorowania lub badań, może podjąć decyzję, że nie będzie prowadzić dodatkowego monitorowania</w:t>
      </w:r>
      <w:r w:rsidR="00CC55C0" w:rsidRPr="0071228C">
        <w:rPr>
          <w:noProof/>
        </w:rPr>
        <w:t xml:space="preserve"> w</w:t>
      </w:r>
      <w:r w:rsidR="00CC55C0">
        <w:rPr>
          <w:noProof/>
        </w:rPr>
        <w:t> </w:t>
      </w:r>
      <w:r w:rsidR="00CC55C0" w:rsidRPr="0071228C">
        <w:rPr>
          <w:noProof/>
        </w:rPr>
        <w:t>ram</w:t>
      </w:r>
      <w:r w:rsidRPr="0071228C">
        <w:rPr>
          <w:noProof/>
        </w:rPr>
        <w:t>ach mechanizmu listy obserwacyjnej dla tej substancji lub grupy substancji pod warunkiem że ta substancja lub grupa substancji były monitorowane przy użyciu metod zgodnych</w:t>
      </w:r>
      <w:r w:rsidR="00CC55C0" w:rsidRPr="0071228C">
        <w:rPr>
          <w:noProof/>
        </w:rPr>
        <w:t xml:space="preserve"> z</w:t>
      </w:r>
      <w:r w:rsidR="00CC55C0">
        <w:rPr>
          <w:noProof/>
        </w:rPr>
        <w:t> </w:t>
      </w:r>
      <w:r w:rsidR="00CC55C0" w:rsidRPr="0071228C">
        <w:rPr>
          <w:noProof/>
        </w:rPr>
        <w:t>mat</w:t>
      </w:r>
      <w:r w:rsidRPr="0071228C">
        <w:rPr>
          <w:noProof/>
        </w:rPr>
        <w:t>rycami monitorowania</w:t>
      </w:r>
      <w:r w:rsidR="00CC55C0" w:rsidRPr="0071228C">
        <w:rPr>
          <w:noProof/>
        </w:rPr>
        <w:t xml:space="preserve"> i</w:t>
      </w:r>
      <w:r w:rsidR="00CC55C0">
        <w:rPr>
          <w:noProof/>
        </w:rPr>
        <w:t> </w:t>
      </w:r>
      <w:r w:rsidR="00CC55C0" w:rsidRPr="0071228C">
        <w:rPr>
          <w:noProof/>
        </w:rPr>
        <w:t>met</w:t>
      </w:r>
      <w:r w:rsidRPr="0071228C">
        <w:rPr>
          <w:noProof/>
        </w:rPr>
        <w:t>odami analizy,</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akc</w:t>
      </w:r>
      <w:r w:rsidRPr="0071228C">
        <w:rPr>
          <w:noProof/>
        </w:rPr>
        <w:t xml:space="preserve">ie wykonawczym ustanawiającym listę obserwacyjną.   </w:t>
      </w:r>
    </w:p>
    <w:p w14:paraId="0C599055" w14:textId="7C3A708B" w:rsidR="000A2A0D" w:rsidRPr="0071228C" w:rsidRDefault="000E39F2" w:rsidP="00BD6E00">
      <w:pPr>
        <w:pStyle w:val="Text1"/>
        <w:rPr>
          <w:noProof/>
        </w:rPr>
      </w:pPr>
      <w:r w:rsidRPr="0071228C">
        <w:rPr>
          <w:noProof/>
        </w:rPr>
        <w:t>4. Państwa członkowskie udostępniają wyniki monitorowania,</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3</w:t>
      </w:r>
      <w:r w:rsidRPr="0071228C">
        <w:rPr>
          <w:noProof/>
        </w:rPr>
        <w:t xml:space="preserve"> niniejszego artykułu,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4</w:t>
      </w:r>
      <w:r w:rsidRPr="0071228C">
        <w:rPr>
          <w:noProof/>
        </w:rPr>
        <w:t xml:space="preserve"> dyrektywy 2000/60/WE oraz</w:t>
      </w:r>
      <w:r w:rsidR="00CC55C0" w:rsidRPr="0071228C">
        <w:rPr>
          <w:noProof/>
        </w:rPr>
        <w:t xml:space="preserve"> z</w:t>
      </w:r>
      <w:r w:rsidR="00CC55C0">
        <w:rPr>
          <w:noProof/>
        </w:rPr>
        <w:t> </w:t>
      </w:r>
      <w:r w:rsidR="00CC55C0" w:rsidRPr="0071228C">
        <w:rPr>
          <w:noProof/>
        </w:rPr>
        <w:t>akt</w:t>
      </w:r>
      <w:r w:rsidRPr="0071228C">
        <w:rPr>
          <w:noProof/>
        </w:rPr>
        <w:t>em wykonawczym ustanawiającym listę obserwacyjną przyjętym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xml:space="preserve">. Udostępniają również informacje na temat reprezentatywności stacji monitorowania oraz strategii monitorowania. </w:t>
      </w:r>
    </w:p>
    <w:p w14:paraId="6302BC28" w14:textId="5367C62E" w:rsidR="00F12EC6" w:rsidRPr="0071228C" w:rsidRDefault="000E39F2" w:rsidP="00BD6E00">
      <w:pPr>
        <w:pStyle w:val="Text1"/>
        <w:rPr>
          <w:bCs/>
          <w:noProof/>
        </w:rPr>
      </w:pPr>
      <w:r w:rsidRPr="0071228C">
        <w:rPr>
          <w:noProof/>
        </w:rPr>
        <w:t>5. ECHA dokonuje przeglądu wyników monitorowania na koniec 24-miesięcznego okresu,</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3</w:t>
      </w:r>
      <w:r w:rsidRPr="0071228C">
        <w:rPr>
          <w:noProof/>
        </w:rPr>
        <w:t>,</w:t>
      </w:r>
      <w:r w:rsidR="00CC55C0" w:rsidRPr="0071228C">
        <w:rPr>
          <w:noProof/>
        </w:rPr>
        <w:t xml:space="preserve"> i</w:t>
      </w:r>
      <w:r w:rsidR="00CC55C0">
        <w:rPr>
          <w:noProof/>
        </w:rPr>
        <w:t> </w:t>
      </w:r>
      <w:r w:rsidR="00CC55C0" w:rsidRPr="0071228C">
        <w:rPr>
          <w:noProof/>
        </w:rPr>
        <w:t>oce</w:t>
      </w:r>
      <w:r w:rsidRPr="0071228C">
        <w:rPr>
          <w:noProof/>
        </w:rPr>
        <w:t>nia, które substancje lub grupy substancji należy monitorować przez kolejne 24 miesiące</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utrzymać na liście obserwacyjnej,</w:t>
      </w:r>
      <w:r w:rsidR="00CC55C0" w:rsidRPr="0071228C">
        <w:rPr>
          <w:noProof/>
        </w:rPr>
        <w:t xml:space="preserve"> a</w:t>
      </w:r>
      <w:r w:rsidR="00CC55C0">
        <w:rPr>
          <w:noProof/>
        </w:rPr>
        <w:t> </w:t>
      </w:r>
      <w:r w:rsidR="00CC55C0" w:rsidRPr="0071228C">
        <w:rPr>
          <w:noProof/>
        </w:rPr>
        <w:t>któ</w:t>
      </w:r>
      <w:r w:rsidRPr="0071228C">
        <w:rPr>
          <w:noProof/>
        </w:rPr>
        <w:t>re substancje lub grupy substancji można usunąć</w:t>
      </w:r>
      <w:r w:rsidR="00CC55C0" w:rsidRPr="0071228C">
        <w:rPr>
          <w:noProof/>
        </w:rPr>
        <w:t xml:space="preserve"> z</w:t>
      </w:r>
      <w:r w:rsidR="00CC55C0">
        <w:rPr>
          <w:noProof/>
        </w:rPr>
        <w:t> </w:t>
      </w:r>
      <w:r w:rsidR="00CC55C0" w:rsidRPr="0071228C">
        <w:rPr>
          <w:noProof/>
        </w:rPr>
        <w:t>lis</w:t>
      </w:r>
      <w:r w:rsidRPr="0071228C">
        <w:rPr>
          <w:noProof/>
        </w:rPr>
        <w:t xml:space="preserve">ty obserwacyjnej. </w:t>
      </w:r>
    </w:p>
    <w:p w14:paraId="7AF93BF8" w14:textId="0D2BE562" w:rsidR="000E39F2" w:rsidRPr="0071228C" w:rsidRDefault="00516D15" w:rsidP="00BD6E00">
      <w:pPr>
        <w:pStyle w:val="Text1"/>
        <w:rPr>
          <w:bCs/>
          <w:noProof/>
        </w:rPr>
      </w:pPr>
      <w:r w:rsidRPr="0071228C">
        <w:rPr>
          <w:noProof/>
        </w:rPr>
        <w:t>W przypadku gdy Komisja stwierdzi, biorąc pod uwagę ocenę ECHA,</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71228C">
        <w:rPr>
          <w:noProof/>
        </w:rPr>
        <w:t>aka</w:t>
      </w:r>
      <w:r w:rsidRPr="0071228C">
        <w:rPr>
          <w:noProof/>
        </w:rPr>
        <w:t>picie pierwszym, że do celów dalszej oceny ryzyka dla środowiska wodnego nie jest wymagane dalsze monitorowanie, ocena ta jest uwzględniana</w:t>
      </w:r>
      <w:r w:rsidR="00CC55C0" w:rsidRPr="0071228C">
        <w:rPr>
          <w:noProof/>
        </w:rPr>
        <w:t xml:space="preserve"> w</w:t>
      </w:r>
      <w:r w:rsidR="00CC55C0">
        <w:rPr>
          <w:noProof/>
        </w:rPr>
        <w:t> </w:t>
      </w:r>
      <w:r w:rsidR="00CC55C0" w:rsidRPr="0071228C">
        <w:rPr>
          <w:noProof/>
        </w:rPr>
        <w:t>prz</w:t>
      </w:r>
      <w:r w:rsidRPr="0071228C">
        <w:rPr>
          <w:noProof/>
        </w:rPr>
        <w:t>eglądzie załącznika I lub II,</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w:t>
      </w:r>
    </w:p>
    <w:p w14:paraId="467E9972" w14:textId="77777777" w:rsidR="000E39F2" w:rsidRPr="0071228C" w:rsidRDefault="000E39F2" w:rsidP="000E39F2">
      <w:pPr>
        <w:pStyle w:val="Text2"/>
        <w:rPr>
          <w:noProof/>
          <w:u w:val="single"/>
        </w:rPr>
      </w:pPr>
      <w:r w:rsidRPr="0071228C">
        <w:rPr>
          <w:noProof/>
        </w:rPr>
        <w:tab/>
      </w:r>
      <w:r w:rsidRPr="0071228C">
        <w:rPr>
          <w:noProof/>
        </w:rPr>
        <w:tab/>
      </w:r>
      <w:r w:rsidRPr="0071228C">
        <w:rPr>
          <w:noProof/>
        </w:rPr>
        <w:tab/>
      </w:r>
      <w:r w:rsidRPr="0071228C">
        <w:rPr>
          <w:noProof/>
        </w:rPr>
        <w:tab/>
      </w:r>
      <w:r w:rsidRPr="0071228C">
        <w:rPr>
          <w:noProof/>
        </w:rPr>
        <w:tab/>
      </w:r>
    </w:p>
    <w:p w14:paraId="01D18A1A" w14:textId="77777777" w:rsidR="000E39F2" w:rsidRPr="0071228C" w:rsidRDefault="000E39F2" w:rsidP="000E39F2">
      <w:pPr>
        <w:pStyle w:val="Text2"/>
        <w:rPr>
          <w:noProof/>
        </w:rPr>
      </w:pPr>
      <w:r w:rsidRPr="0071228C">
        <w:rPr>
          <w:noProof/>
        </w:rPr>
        <w:tab/>
      </w:r>
      <w:r w:rsidRPr="0071228C">
        <w:rPr>
          <w:noProof/>
        </w:rPr>
        <w:tab/>
      </w:r>
      <w:r w:rsidRPr="0071228C">
        <w:rPr>
          <w:noProof/>
        </w:rPr>
        <w:tab/>
      </w:r>
      <w:r w:rsidRPr="0071228C">
        <w:rPr>
          <w:noProof/>
        </w:rPr>
        <w:tab/>
      </w:r>
      <w:r w:rsidRPr="0071228C">
        <w:rPr>
          <w:noProof/>
        </w:rPr>
        <w:tab/>
      </w:r>
    </w:p>
    <w:p w14:paraId="5EABB932" w14:textId="73F357F9" w:rsidR="005B710D" w:rsidRPr="0071228C" w:rsidRDefault="005B710D" w:rsidP="000E39F2">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2008/105/WE</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r w:rsidR="00CC55C0" w:rsidRPr="0071228C">
        <w:rPr>
          <w:noProof/>
        </w:rPr>
        <w:t xml:space="preserve"> w</w:t>
      </w:r>
      <w:r w:rsidR="00CC55C0">
        <w:rPr>
          <w:noProof/>
        </w:rPr>
        <w:t> </w:t>
      </w:r>
      <w:r w:rsidR="00CC55C0" w:rsidRPr="0071228C">
        <w:rPr>
          <w:noProof/>
        </w:rPr>
        <w:t>dzi</w:t>
      </w:r>
      <w:r w:rsidRPr="0071228C">
        <w:rPr>
          <w:noProof/>
        </w:rPr>
        <w:t>edzinie polityki wodnej, zmieniająca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nas</w:t>
      </w:r>
      <w:r w:rsidRPr="0071228C">
        <w:rPr>
          <w:noProof/>
        </w:rPr>
        <w:t>tępstwie uchylająca dyrektywy Rady 82/176/EWG, 83/513/EWG, 84/156/EWG, 84/491/EWG</w:t>
      </w:r>
      <w:r w:rsidR="00CC55C0" w:rsidRPr="0071228C">
        <w:rPr>
          <w:noProof/>
        </w:rPr>
        <w:t xml:space="preserve"> i</w:t>
      </w:r>
      <w:r w:rsidR="00CC55C0">
        <w:rPr>
          <w:noProof/>
        </w:rPr>
        <w:t> </w:t>
      </w:r>
      <w:r w:rsidR="00CC55C0" w:rsidRPr="0071228C">
        <w:rPr>
          <w:noProof/>
        </w:rPr>
        <w:t>8</w:t>
      </w:r>
      <w:r w:rsidRPr="0071228C">
        <w:rPr>
          <w:noProof/>
        </w:rPr>
        <w:t>6/280/EWG oraz zmieniająca dyrektywę 2000/60/WE Parlamentu Europejskiego</w:t>
      </w:r>
      <w:r w:rsidR="00CC55C0" w:rsidRPr="0071228C">
        <w:rPr>
          <w:noProof/>
        </w:rPr>
        <w:t xml:space="preserve"> i</w:t>
      </w:r>
      <w:r w:rsidR="00CC55C0">
        <w:rPr>
          <w:noProof/>
        </w:rPr>
        <w:t> </w:t>
      </w:r>
      <w:r w:rsidR="00CC55C0" w:rsidRPr="0071228C">
        <w:rPr>
          <w:noProof/>
        </w:rPr>
        <w:t>Rad</w:t>
      </w:r>
      <w:r w:rsidRPr="0071228C">
        <w:rPr>
          <w:noProof/>
        </w:rPr>
        <w:t>y (Dz.U. L 348</w:t>
      </w:r>
      <w:r w:rsidR="00CC55C0" w:rsidRPr="0071228C">
        <w:rPr>
          <w:noProof/>
        </w:rPr>
        <w:t xml:space="preserve"> z</w:t>
      </w:r>
      <w:r w:rsidR="00CC55C0">
        <w:rPr>
          <w:noProof/>
        </w:rPr>
        <w:t> </w:t>
      </w:r>
      <w:r w:rsidR="00CC55C0" w:rsidRPr="0071228C">
        <w:rPr>
          <w:noProof/>
        </w:rPr>
        <w:t>2</w:t>
      </w:r>
      <w:r w:rsidRPr="0071228C">
        <w:rPr>
          <w:noProof/>
        </w:rPr>
        <w:t>4.12.2008, s. 84).</w:t>
      </w:r>
    </w:p>
    <w:p w14:paraId="7CECA461" w14:textId="6936A5BC" w:rsidR="007D0085" w:rsidRPr="0071228C" w:rsidRDefault="007D0085" w:rsidP="000E39F2">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(UE) 2020/2184</w:t>
      </w:r>
      <w:r w:rsidR="00CC55C0" w:rsidRPr="0071228C">
        <w:rPr>
          <w:noProof/>
        </w:rPr>
        <w:t xml:space="preserve"> z</w:t>
      </w:r>
      <w:r w:rsidR="00CC55C0">
        <w:rPr>
          <w:noProof/>
        </w:rPr>
        <w:t> </w:t>
      </w:r>
      <w:r w:rsidR="00CC55C0" w:rsidRPr="0071228C">
        <w:rPr>
          <w:noProof/>
        </w:rPr>
        <w:t>dni</w:t>
      </w:r>
      <w:r w:rsidRPr="0071228C">
        <w:rPr>
          <w:noProof/>
        </w:rPr>
        <w:t>a 16 grudnia 20</w:t>
      </w:r>
      <w:r w:rsidRPr="00CC55C0">
        <w:rPr>
          <w:noProof/>
        </w:rPr>
        <w:t>20</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jakości wody przeznaczonej do spożycia przez ludzi, (Dz.U. L 435</w:t>
      </w:r>
      <w:r w:rsidR="00CC55C0" w:rsidRPr="0071228C">
        <w:rPr>
          <w:noProof/>
        </w:rPr>
        <w:t xml:space="preserve"> z</w:t>
      </w:r>
      <w:r w:rsidR="00CC55C0">
        <w:rPr>
          <w:noProof/>
        </w:rPr>
        <w:t> </w:t>
      </w:r>
      <w:r w:rsidR="00CC55C0" w:rsidRPr="0071228C">
        <w:rPr>
          <w:noProof/>
        </w:rPr>
        <w:t>2</w:t>
      </w:r>
      <w:r w:rsidRPr="0071228C">
        <w:rPr>
          <w:noProof/>
        </w:rPr>
        <w:t>3.12.2020, s. 1).</w:t>
      </w:r>
    </w:p>
    <w:p w14:paraId="1D6B1FB1" w14:textId="2909070D" w:rsidR="005D1D03" w:rsidRPr="0071228C" w:rsidRDefault="005D1D03" w:rsidP="005D1D03">
      <w:pPr>
        <w:pStyle w:val="Text2"/>
        <w:rPr>
          <w:noProof/>
        </w:rPr>
      </w:pPr>
      <w:r w:rsidRPr="0071228C">
        <w:rPr>
          <w:noProof/>
        </w:rPr>
        <w:t>*** Rozporządzenie (WE) nr 1907/2006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18 grudnia 2006 r.</w:t>
      </w:r>
      <w:r w:rsidR="00CC55C0" w:rsidRPr="0071228C">
        <w:rPr>
          <w:noProof/>
        </w:rPr>
        <w:t xml:space="preserve"> w</w:t>
      </w:r>
      <w:r w:rsidR="00CC55C0">
        <w:rPr>
          <w:noProof/>
        </w:rPr>
        <w:t> </w:t>
      </w:r>
      <w:r w:rsidR="00CC55C0" w:rsidRPr="0071228C">
        <w:rPr>
          <w:noProof/>
        </w:rPr>
        <w:t>spr</w:t>
      </w:r>
      <w:r w:rsidRPr="0071228C">
        <w:rPr>
          <w:noProof/>
        </w:rPr>
        <w:t>awie rejestracji, oceny, udzielania zezwoleń</w:t>
      </w:r>
      <w:r w:rsidR="00CC55C0" w:rsidRPr="0071228C">
        <w:rPr>
          <w:noProof/>
        </w:rPr>
        <w:t xml:space="preserve"> i</w:t>
      </w:r>
      <w:r w:rsidR="00CC55C0">
        <w:rPr>
          <w:noProof/>
        </w:rPr>
        <w:t> </w:t>
      </w:r>
      <w:r w:rsidR="00CC55C0" w:rsidRPr="0071228C">
        <w:rPr>
          <w:noProof/>
        </w:rPr>
        <w:t>sto</w:t>
      </w:r>
      <w:r w:rsidRPr="0071228C">
        <w:rPr>
          <w:noProof/>
        </w:rPr>
        <w:t>sowanych ograniczeń</w:t>
      </w:r>
      <w:r w:rsidR="00CC55C0" w:rsidRPr="0071228C">
        <w:rPr>
          <w:noProof/>
        </w:rPr>
        <w:t xml:space="preserve"> w</w:t>
      </w:r>
      <w:r w:rsidR="00CC55C0">
        <w:rPr>
          <w:noProof/>
        </w:rPr>
        <w:t> </w:t>
      </w:r>
      <w:r w:rsidR="00CC55C0" w:rsidRPr="0071228C">
        <w:rPr>
          <w:noProof/>
        </w:rPr>
        <w:t>zak</w:t>
      </w:r>
      <w:r w:rsidRPr="0071228C">
        <w:rPr>
          <w:noProof/>
        </w:rPr>
        <w:t>resie chemikaliów (Dz.U. L 396</w:t>
      </w:r>
      <w:r w:rsidR="00CC55C0" w:rsidRPr="0071228C">
        <w:rPr>
          <w:noProof/>
        </w:rPr>
        <w:t xml:space="preserve"> z</w:t>
      </w:r>
      <w:r w:rsidR="00CC55C0">
        <w:rPr>
          <w:noProof/>
        </w:rPr>
        <w:t> </w:t>
      </w:r>
      <w:r w:rsidR="00CC55C0" w:rsidRPr="0071228C">
        <w:rPr>
          <w:noProof/>
        </w:rPr>
        <w:t>3</w:t>
      </w:r>
      <w:r w:rsidRPr="0071228C">
        <w:rPr>
          <w:noProof/>
        </w:rPr>
        <w:t>0.12.2006, s. 1).</w:t>
      </w:r>
    </w:p>
    <w:p w14:paraId="31AB85EB" w14:textId="66673A0A" w:rsidR="005D1D03" w:rsidRPr="0071228C" w:rsidRDefault="005D1D03" w:rsidP="005D1D03">
      <w:pPr>
        <w:pStyle w:val="Text2"/>
        <w:rPr>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(WE) </w:t>
      </w:r>
      <w:r w:rsidRPr="00CC55C0">
        <w:rPr>
          <w:noProof/>
        </w:rPr>
        <w:t>nr</w:t>
      </w:r>
      <w:r w:rsidR="00CC55C0" w:rsidRPr="00CC55C0">
        <w:rPr>
          <w:noProof/>
        </w:rPr>
        <w:t> </w:t>
      </w:r>
      <w:r w:rsidRPr="00CC55C0">
        <w:rPr>
          <w:noProof/>
        </w:rPr>
        <w:t>1</w:t>
      </w:r>
      <w:r w:rsidRPr="0071228C">
        <w:rPr>
          <w:noProof/>
        </w:rPr>
        <w:t>107/2009</w:t>
      </w:r>
      <w:r w:rsidR="00CC55C0" w:rsidRPr="0071228C">
        <w:rPr>
          <w:noProof/>
        </w:rPr>
        <w:t xml:space="preserve"> z</w:t>
      </w:r>
      <w:r w:rsidR="00CC55C0">
        <w:rPr>
          <w:noProof/>
        </w:rPr>
        <w:t> </w:t>
      </w:r>
      <w:r w:rsidR="00CC55C0" w:rsidRPr="0071228C">
        <w:rPr>
          <w:noProof/>
        </w:rPr>
        <w:t>dni</w:t>
      </w:r>
      <w:r w:rsidRPr="0071228C">
        <w:rPr>
          <w:noProof/>
        </w:rPr>
        <w:t>a 21 października 20</w:t>
      </w:r>
      <w:r w:rsidRPr="00CC55C0">
        <w:rPr>
          <w:noProof/>
        </w:rPr>
        <w:t>09</w:t>
      </w:r>
      <w:r w:rsidR="00CC55C0" w:rsidRPr="00CC55C0">
        <w:rPr>
          <w:noProof/>
        </w:rPr>
        <w:t> </w:t>
      </w:r>
      <w:r w:rsidRPr="00CC55C0">
        <w:rPr>
          <w:noProof/>
        </w:rPr>
        <w:t>r.</w:t>
      </w:r>
      <w:r w:rsidRPr="0071228C">
        <w:rPr>
          <w:noProof/>
        </w:rPr>
        <w:t xml:space="preserve"> dotyczące wprowadzania do obrotu środków ochrony roślin (Dz.U. L 309</w:t>
      </w:r>
      <w:r w:rsidR="00CC55C0" w:rsidRPr="0071228C">
        <w:rPr>
          <w:noProof/>
        </w:rPr>
        <w:t xml:space="preserve"> z</w:t>
      </w:r>
      <w:r w:rsidR="00CC55C0">
        <w:rPr>
          <w:noProof/>
        </w:rPr>
        <w:t> </w:t>
      </w:r>
      <w:r w:rsidR="00CC55C0" w:rsidRPr="0071228C">
        <w:rPr>
          <w:noProof/>
        </w:rPr>
        <w:t>2</w:t>
      </w:r>
      <w:r w:rsidRPr="0071228C">
        <w:rPr>
          <w:noProof/>
        </w:rPr>
        <w:t>4.11.2009, s. 1).</w:t>
      </w:r>
    </w:p>
    <w:p w14:paraId="1C3D6031" w14:textId="0B2241DB" w:rsidR="005D1D03" w:rsidRPr="0071228C" w:rsidRDefault="005D1D03" w:rsidP="005D1D03">
      <w:pPr>
        <w:pStyle w:val="Text2"/>
        <w:rPr>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w:t>
      </w:r>
      <w:r w:rsidRPr="00CC55C0">
        <w:rPr>
          <w:noProof/>
        </w:rPr>
        <w:t>nr</w:t>
      </w:r>
      <w:r w:rsidR="00CC55C0" w:rsidRPr="00CC55C0">
        <w:rPr>
          <w:noProof/>
        </w:rPr>
        <w:t> </w:t>
      </w:r>
      <w:r w:rsidRPr="00CC55C0">
        <w:rPr>
          <w:noProof/>
        </w:rPr>
        <w:t>5</w:t>
      </w:r>
      <w:r w:rsidRPr="0071228C">
        <w:rPr>
          <w:noProof/>
        </w:rPr>
        <w:t>28/2012</w:t>
      </w:r>
      <w:r w:rsidR="00CC55C0" w:rsidRPr="0071228C">
        <w:rPr>
          <w:noProof/>
        </w:rPr>
        <w:t xml:space="preserve"> z</w:t>
      </w:r>
      <w:r w:rsidR="00CC55C0">
        <w:rPr>
          <w:noProof/>
        </w:rPr>
        <w:t> </w:t>
      </w:r>
      <w:r w:rsidR="00CC55C0" w:rsidRPr="0071228C">
        <w:rPr>
          <w:noProof/>
        </w:rPr>
        <w:t>dni</w:t>
      </w:r>
      <w:r w:rsidRPr="0071228C">
        <w:rPr>
          <w:noProof/>
        </w:rPr>
        <w:t>a 22 maja 20</w:t>
      </w:r>
      <w:r w:rsidRPr="00CC55C0">
        <w:rPr>
          <w:noProof/>
        </w:rPr>
        <w:t>12</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udostępniania na rynku</w:t>
      </w:r>
      <w:r w:rsidR="00CC55C0" w:rsidRPr="0071228C">
        <w:rPr>
          <w:noProof/>
        </w:rPr>
        <w:t xml:space="preserve"> i</w:t>
      </w:r>
      <w:r w:rsidR="00CC55C0">
        <w:rPr>
          <w:noProof/>
        </w:rPr>
        <w:t> </w:t>
      </w:r>
      <w:r w:rsidR="00CC55C0" w:rsidRPr="0071228C">
        <w:rPr>
          <w:noProof/>
        </w:rPr>
        <w:t>sto</w:t>
      </w:r>
      <w:r w:rsidRPr="0071228C">
        <w:rPr>
          <w:noProof/>
        </w:rPr>
        <w:t>sowania produktów biobójczych (Dz.U. L 167</w:t>
      </w:r>
      <w:r w:rsidR="00CC55C0" w:rsidRPr="0071228C">
        <w:rPr>
          <w:noProof/>
        </w:rPr>
        <w:t xml:space="preserve"> z</w:t>
      </w:r>
      <w:r w:rsidR="00CC55C0">
        <w:rPr>
          <w:noProof/>
        </w:rPr>
        <w:t> </w:t>
      </w:r>
      <w:r w:rsidR="00CC55C0" w:rsidRPr="0071228C">
        <w:rPr>
          <w:noProof/>
        </w:rPr>
        <w:t>2</w:t>
      </w:r>
      <w:r w:rsidRPr="0071228C">
        <w:rPr>
          <w:noProof/>
        </w:rPr>
        <w:t>7.6.2012, s. 1).</w:t>
      </w:r>
    </w:p>
    <w:p w14:paraId="799FE6C7" w14:textId="39842AE6" w:rsidR="005D1D03" w:rsidRPr="0071228C" w:rsidRDefault="005D1D03" w:rsidP="000E39F2">
      <w:pPr>
        <w:pStyle w:val="Text2"/>
        <w:rPr>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y (UE) 2019/6</w:t>
      </w:r>
      <w:r w:rsidR="00CC55C0" w:rsidRPr="0071228C">
        <w:rPr>
          <w:noProof/>
        </w:rPr>
        <w:t xml:space="preserve"> z</w:t>
      </w:r>
      <w:r w:rsidR="00CC55C0">
        <w:rPr>
          <w:noProof/>
        </w:rPr>
        <w:t> </w:t>
      </w:r>
      <w:r w:rsidR="00CC55C0" w:rsidRPr="0071228C">
        <w:rPr>
          <w:noProof/>
        </w:rPr>
        <w:t>dni</w:t>
      </w:r>
      <w:r w:rsidRPr="0071228C">
        <w:rPr>
          <w:noProof/>
        </w:rPr>
        <w:t>a 11 grudnia 20</w:t>
      </w:r>
      <w:r w:rsidRPr="00CC55C0">
        <w:rPr>
          <w:noProof/>
        </w:rPr>
        <w:t>18</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weterynaryjnych produktów leczniczych, (Dz.U. L 4</w:t>
      </w:r>
      <w:r w:rsidR="00CC55C0" w:rsidRPr="0071228C">
        <w:rPr>
          <w:noProof/>
        </w:rPr>
        <w:t xml:space="preserve"> z</w:t>
      </w:r>
      <w:r w:rsidR="00CC55C0">
        <w:rPr>
          <w:noProof/>
        </w:rPr>
        <w:t> </w:t>
      </w:r>
      <w:r w:rsidR="00CC55C0" w:rsidRPr="0071228C">
        <w:rPr>
          <w:noProof/>
        </w:rPr>
        <w:t>7</w:t>
      </w:r>
      <w:r w:rsidRPr="0071228C">
        <w:rPr>
          <w:noProof/>
        </w:rPr>
        <w:t>.1.2019, s. 43).</w:t>
      </w:r>
    </w:p>
    <w:p w14:paraId="06655C3A" w14:textId="1753F608" w:rsidR="005D1D03" w:rsidRPr="0071228C" w:rsidRDefault="005D1D03" w:rsidP="005D1D03">
      <w:pPr>
        <w:pStyle w:val="Text2"/>
        <w:rPr>
          <w:noProof/>
        </w:rPr>
      </w:pPr>
      <w:r w:rsidRPr="0071228C">
        <w:rPr>
          <w:noProof/>
        </w:rPr>
        <w:t>******* Dyrektywa 2001/83/WE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6 listopada 20</w:t>
      </w:r>
      <w:r w:rsidRPr="00CC55C0">
        <w:rPr>
          <w:noProof/>
        </w:rPr>
        <w:t>01</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wspólnotowego kodeksu odnoszącego się do produktów leczniczych stosowanych</w:t>
      </w:r>
      <w:r w:rsidR="00CC55C0" w:rsidRPr="0071228C">
        <w:rPr>
          <w:noProof/>
        </w:rPr>
        <w:t xml:space="preserve"> u</w:t>
      </w:r>
      <w:r w:rsidR="00CC55C0">
        <w:rPr>
          <w:noProof/>
        </w:rPr>
        <w:t> </w:t>
      </w:r>
      <w:r w:rsidR="00CC55C0" w:rsidRPr="0071228C">
        <w:rPr>
          <w:noProof/>
        </w:rPr>
        <w:t>lud</w:t>
      </w:r>
      <w:r w:rsidRPr="0071228C">
        <w:rPr>
          <w:noProof/>
        </w:rPr>
        <w:t>zi (Dz.U. L 311 z 28.11.2001, s. 67).</w:t>
      </w:r>
    </w:p>
    <w:p w14:paraId="798FE154" w14:textId="3AFB105F" w:rsidR="005D1D03" w:rsidRPr="00CC55C0" w:rsidRDefault="005D1D03" w:rsidP="005D1D03">
      <w:pPr>
        <w:pStyle w:val="Text2"/>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2009/128/WE</w:t>
      </w:r>
      <w:r w:rsidR="00CC55C0" w:rsidRPr="0071228C">
        <w:rPr>
          <w:noProof/>
        </w:rPr>
        <w:t xml:space="preserve"> z</w:t>
      </w:r>
      <w:r w:rsidR="00CC55C0">
        <w:rPr>
          <w:noProof/>
        </w:rPr>
        <w:t> </w:t>
      </w:r>
      <w:r w:rsidR="00CC55C0" w:rsidRPr="0071228C">
        <w:rPr>
          <w:noProof/>
        </w:rPr>
        <w:t>dni</w:t>
      </w:r>
      <w:r w:rsidRPr="0071228C">
        <w:rPr>
          <w:noProof/>
        </w:rPr>
        <w:t>a 21 października 20</w:t>
      </w:r>
      <w:r w:rsidRPr="00CC55C0">
        <w:rPr>
          <w:noProof/>
        </w:rPr>
        <w:t>09</w:t>
      </w:r>
      <w:r w:rsidR="00CC55C0" w:rsidRPr="00CC55C0">
        <w:rPr>
          <w:noProof/>
        </w:rPr>
        <w:t> </w:t>
      </w:r>
      <w:r w:rsidRPr="00CC55C0">
        <w:rPr>
          <w:noProof/>
        </w:rPr>
        <w:t>r.</w:t>
      </w:r>
      <w:r w:rsidRPr="0071228C">
        <w:rPr>
          <w:noProof/>
        </w:rPr>
        <w:t xml:space="preserve"> ustanawiająca ramy wspólnotowego działania na rzecz zrównoważonego stosowania pestycydów (Dz.U. L 309</w:t>
      </w:r>
      <w:r w:rsidR="00CC55C0" w:rsidRPr="0071228C">
        <w:rPr>
          <w:noProof/>
        </w:rPr>
        <w:t xml:space="preserve"> z</w:t>
      </w:r>
      <w:r w:rsidR="00CC55C0">
        <w:rPr>
          <w:noProof/>
        </w:rPr>
        <w:t> </w:t>
      </w:r>
      <w:r w:rsidR="00CC55C0" w:rsidRPr="0071228C">
        <w:rPr>
          <w:noProof/>
        </w:rPr>
        <w:t>2</w:t>
      </w:r>
      <w:r w:rsidRPr="0071228C">
        <w:rPr>
          <w:noProof/>
        </w:rPr>
        <w:t xml:space="preserve">4.11.2009, s. 71). </w:t>
      </w:r>
    </w:p>
    <w:p w14:paraId="1FC43F91" w14:textId="7EBBCCA7" w:rsidR="00C40326" w:rsidRPr="00CC55C0" w:rsidRDefault="00CC55C0" w:rsidP="00DC7B52">
      <w:pPr>
        <w:pStyle w:val="Text2"/>
        <w:rPr>
          <w:i/>
          <w:noProof/>
        </w:rPr>
      </w:pPr>
      <w:r w:rsidRPr="00CC55C0">
        <w:rPr>
          <w:noProof/>
        </w:rPr>
        <w:t xml:space="preserve"> </w:t>
      </w:r>
    </w:p>
    <w:p w14:paraId="46C74E74" w14:textId="50C13CB8" w:rsidR="00B95B85" w:rsidRPr="0071228C" w:rsidRDefault="00CC55C0" w:rsidP="00CC55C0">
      <w:pPr>
        <w:pStyle w:val="Point0"/>
        <w:rPr>
          <w:noProof/>
        </w:rPr>
      </w:pPr>
      <w:r>
        <w:rPr>
          <w:noProof/>
        </w:rPr>
        <w:t>7)</w:t>
      </w:r>
      <w:r>
        <w:rPr>
          <w:noProof/>
        </w:rPr>
        <w:tab/>
      </w:r>
      <w:r w:rsidR="00B95B85" w:rsidRPr="00CC55C0">
        <w:rPr>
          <w:noProof/>
        </w:rPr>
        <w:t>art.</w:t>
      </w:r>
      <w:r w:rsidRPr="00CC55C0">
        <w:rPr>
          <w:noProof/>
        </w:rPr>
        <w:t> </w:t>
      </w:r>
      <w:r w:rsidR="00B95B85" w:rsidRPr="00CC55C0">
        <w:rPr>
          <w:noProof/>
        </w:rPr>
        <w:t>8</w:t>
      </w:r>
      <w:r w:rsidR="00B95B85" w:rsidRPr="0071228C">
        <w:rPr>
          <w:noProof/>
        </w:rPr>
        <w:t xml:space="preserve"> otrzymuje brzmienie:</w:t>
      </w:r>
    </w:p>
    <w:p w14:paraId="67199B7E" w14:textId="77777777" w:rsidR="00296C68" w:rsidRPr="0071228C" w:rsidRDefault="004F0A0B" w:rsidP="00F756F5">
      <w:pPr>
        <w:pStyle w:val="NormalCentered"/>
        <w:rPr>
          <w:i/>
          <w:noProof/>
        </w:rPr>
      </w:pPr>
      <w:r w:rsidRPr="0071228C">
        <w:rPr>
          <w:noProof/>
        </w:rPr>
        <w:t>„</w:t>
      </w:r>
      <w:r w:rsidRPr="0071228C">
        <w:rPr>
          <w:i/>
          <w:noProof/>
        </w:rPr>
        <w:t>Artykuł 8</w:t>
      </w:r>
    </w:p>
    <w:p w14:paraId="5C6F2B6E" w14:textId="77777777" w:rsidR="00296C68" w:rsidRPr="0071228C" w:rsidRDefault="006825D3" w:rsidP="00F756F5">
      <w:pPr>
        <w:pStyle w:val="NormalCentered"/>
        <w:rPr>
          <w:b/>
          <w:bCs/>
          <w:noProof/>
        </w:rPr>
      </w:pPr>
      <w:r w:rsidRPr="0071228C">
        <w:rPr>
          <w:b/>
          <w:noProof/>
        </w:rPr>
        <w:t xml:space="preserve">Przegląd załączników I–IV </w:t>
      </w:r>
    </w:p>
    <w:p w14:paraId="2FE20210" w14:textId="11CB4D66" w:rsidR="00296C68" w:rsidRPr="0071228C" w:rsidRDefault="007767F8" w:rsidP="00296C68">
      <w:pPr>
        <w:ind w:left="709"/>
        <w:rPr>
          <w:bCs/>
          <w:noProof/>
        </w:rPr>
      </w:pPr>
      <w:r w:rsidRPr="0071228C">
        <w:rPr>
          <w:noProof/>
        </w:rPr>
        <w:t>1. Komisja dokonuje po raz pierwszy do ... [Urząd Publikacji: proszę wstawić datę = sześć lat od dnia wejścia</w:t>
      </w:r>
      <w:r w:rsidR="00CC55C0" w:rsidRPr="0071228C">
        <w:rPr>
          <w:noProof/>
        </w:rPr>
        <w:t xml:space="preserve"> w</w:t>
      </w:r>
      <w:r w:rsidR="00CC55C0">
        <w:rPr>
          <w:noProof/>
        </w:rPr>
        <w:t> </w:t>
      </w:r>
      <w:r w:rsidR="00CC55C0" w:rsidRPr="0071228C">
        <w:rPr>
          <w:noProof/>
        </w:rPr>
        <w:t>życ</w:t>
      </w:r>
      <w:r w:rsidRPr="0071228C">
        <w:rPr>
          <w:noProof/>
        </w:rPr>
        <w:t>ie niniejszej dyrektywy],</w:t>
      </w:r>
      <w:r w:rsidR="00CC55C0" w:rsidRPr="0071228C">
        <w:rPr>
          <w:noProof/>
        </w:rPr>
        <w:t xml:space="preserve"> a</w:t>
      </w:r>
      <w:r w:rsidR="00CC55C0">
        <w:rPr>
          <w:noProof/>
        </w:rPr>
        <w:t> </w:t>
      </w:r>
      <w:r w:rsidR="00CC55C0" w:rsidRPr="0071228C">
        <w:rPr>
          <w:noProof/>
        </w:rPr>
        <w:t>nas</w:t>
      </w:r>
      <w:r w:rsidRPr="0071228C">
        <w:rPr>
          <w:noProof/>
        </w:rPr>
        <w:t>tępnie co sześć lat, przeglądu wykazu zanieczyszczeń określonego</w:t>
      </w:r>
      <w:r w:rsidR="00CC55C0" w:rsidRPr="0071228C">
        <w:rPr>
          <w:noProof/>
        </w:rPr>
        <w:t xml:space="preserve"> w</w:t>
      </w:r>
      <w:r w:rsidR="00CC55C0">
        <w:rPr>
          <w:noProof/>
        </w:rPr>
        <w:t> </w:t>
      </w:r>
      <w:r w:rsidR="00CC55C0" w:rsidRPr="0071228C">
        <w:rPr>
          <w:noProof/>
        </w:rPr>
        <w:t>zał</w:t>
      </w:r>
      <w:r w:rsidRPr="0071228C">
        <w:rPr>
          <w:noProof/>
        </w:rPr>
        <w:t>ączniku I oraz norm jakości dla tych zanieczyszczeń określonych</w:t>
      </w:r>
      <w:r w:rsidR="00CC55C0" w:rsidRPr="0071228C">
        <w:rPr>
          <w:noProof/>
        </w:rPr>
        <w:t xml:space="preserve"> w</w:t>
      </w:r>
      <w:r w:rsidR="00CC55C0">
        <w:rPr>
          <w:noProof/>
        </w:rPr>
        <w:t> </w:t>
      </w:r>
      <w:r w:rsidR="00CC55C0" w:rsidRPr="0071228C">
        <w:rPr>
          <w:noProof/>
        </w:rPr>
        <w:t>tym</w:t>
      </w:r>
      <w:r w:rsidRPr="0071228C">
        <w:rPr>
          <w:noProof/>
        </w:rPr>
        <w:t xml:space="preserve"> załączniku, jak również wykazu zanieczyszczeń</w:t>
      </w:r>
      <w:r w:rsidR="00CC55C0" w:rsidRPr="0071228C">
        <w:rPr>
          <w:noProof/>
        </w:rPr>
        <w:t xml:space="preserve"> i</w:t>
      </w:r>
      <w:r w:rsidR="00CC55C0">
        <w:rPr>
          <w:noProof/>
        </w:rPr>
        <w:t> </w:t>
      </w:r>
      <w:r w:rsidR="00CC55C0" w:rsidRPr="0071228C">
        <w:rPr>
          <w:noProof/>
        </w:rPr>
        <w:t>wsk</w:t>
      </w:r>
      <w:r w:rsidRPr="0071228C">
        <w:rPr>
          <w:noProof/>
        </w:rPr>
        <w:t>aźników określonych</w:t>
      </w:r>
      <w:r w:rsidR="00CC55C0" w:rsidRPr="0071228C">
        <w:rPr>
          <w:noProof/>
        </w:rPr>
        <w:t xml:space="preserve"> w</w:t>
      </w:r>
      <w:r w:rsidR="00CC55C0">
        <w:rPr>
          <w:noProof/>
        </w:rPr>
        <w:t> </w:t>
      </w:r>
      <w:r w:rsidR="00CC55C0" w:rsidRPr="0071228C">
        <w:rPr>
          <w:noProof/>
        </w:rPr>
        <w:t>zał</w:t>
      </w:r>
      <w:r w:rsidRPr="0071228C">
        <w:rPr>
          <w:noProof/>
        </w:rPr>
        <w:t xml:space="preserve">ączniku II część B. </w:t>
      </w:r>
    </w:p>
    <w:p w14:paraId="0C75F742" w14:textId="20CC673A" w:rsidR="006825D3" w:rsidRPr="0071228C" w:rsidRDefault="00296C68" w:rsidP="00296C68">
      <w:pPr>
        <w:ind w:left="709"/>
        <w:rPr>
          <w:bCs/>
          <w:noProof/>
        </w:rPr>
      </w:pPr>
      <w:r w:rsidRPr="0071228C">
        <w:rPr>
          <w:noProof/>
        </w:rPr>
        <w:t>2. Komisja jest uprawniona do przyjmowania aktów delegowanych zgodnie</w:t>
      </w:r>
      <w:r w:rsidR="00CC55C0" w:rsidRPr="0071228C">
        <w:rPr>
          <w:noProof/>
        </w:rPr>
        <w:t xml:space="preserve"> z</w:t>
      </w:r>
      <w:r w:rsidR="00CC55C0">
        <w:rPr>
          <w:noProof/>
        </w:rPr>
        <w:t> </w:t>
      </w:r>
      <w:r w:rsidR="00CC55C0" w:rsidRPr="0071228C">
        <w:rPr>
          <w:noProof/>
        </w:rPr>
        <w:t>art</w:t>
      </w:r>
      <w:r w:rsidRPr="0071228C">
        <w:rPr>
          <w:noProof/>
        </w:rPr>
        <w:t>. 8a</w:t>
      </w:r>
      <w:r w:rsidR="00CC55C0" w:rsidRPr="0071228C">
        <w:rPr>
          <w:noProof/>
        </w:rPr>
        <w:t xml:space="preserve"> w</w:t>
      </w:r>
      <w:r w:rsidR="00CC55C0">
        <w:rPr>
          <w:noProof/>
        </w:rPr>
        <w:t> </w:t>
      </w:r>
      <w:r w:rsidR="00CC55C0" w:rsidRPr="0071228C">
        <w:rPr>
          <w:noProof/>
        </w:rPr>
        <w:t>cel</w:t>
      </w:r>
      <w:r w:rsidRPr="0071228C">
        <w:rPr>
          <w:noProof/>
        </w:rPr>
        <w:t>u zmiany załącznika I, aby dostosować go do postępu naukowo-technicznego poprzez dodanie lub usunięcie zanieczyszczeń wód podziemnych</w:t>
      </w:r>
      <w:r w:rsidR="00CC55C0" w:rsidRPr="0071228C">
        <w:rPr>
          <w:noProof/>
        </w:rPr>
        <w:t xml:space="preserve"> i</w:t>
      </w:r>
      <w:r w:rsidR="00CC55C0">
        <w:rPr>
          <w:noProof/>
        </w:rPr>
        <w:t> </w:t>
      </w:r>
      <w:r w:rsidR="00CC55C0" w:rsidRPr="0071228C">
        <w:rPr>
          <w:noProof/>
        </w:rPr>
        <w:t>nor</w:t>
      </w:r>
      <w:r w:rsidRPr="0071228C">
        <w:rPr>
          <w:noProof/>
        </w:rPr>
        <w:t>m jakości dla tych zanieczyszczeń określonych</w:t>
      </w:r>
      <w:r w:rsidR="00CC55C0" w:rsidRPr="0071228C">
        <w:rPr>
          <w:noProof/>
        </w:rPr>
        <w:t xml:space="preserve"> w</w:t>
      </w:r>
      <w:r w:rsidR="00CC55C0">
        <w:rPr>
          <w:noProof/>
        </w:rPr>
        <w:t> </w:t>
      </w:r>
      <w:r w:rsidR="00CC55C0" w:rsidRPr="0071228C">
        <w:rPr>
          <w:noProof/>
        </w:rPr>
        <w:t>tym</w:t>
      </w:r>
      <w:r w:rsidRPr="0071228C">
        <w:rPr>
          <w:noProof/>
        </w:rPr>
        <w:t xml:space="preserve"> załączniku oraz</w:t>
      </w:r>
      <w:r w:rsidR="00CC55C0" w:rsidRPr="0071228C">
        <w:rPr>
          <w:noProof/>
        </w:rPr>
        <w:t xml:space="preserve"> w</w:t>
      </w:r>
      <w:r w:rsidR="00CC55C0">
        <w:rPr>
          <w:noProof/>
        </w:rPr>
        <w:t> </w:t>
      </w:r>
      <w:r w:rsidR="00CC55C0" w:rsidRPr="0071228C">
        <w:rPr>
          <w:noProof/>
        </w:rPr>
        <w:t>cel</w:t>
      </w:r>
      <w:r w:rsidRPr="0071228C">
        <w:rPr>
          <w:noProof/>
        </w:rPr>
        <w:t>u zmiany części B, aby dostosować ją do postępu naukowo-technicznego poprzez dodanie zanieczyszczeń lub wskaźników,</w:t>
      </w:r>
      <w:r w:rsidR="00CC55C0" w:rsidRPr="0071228C">
        <w:rPr>
          <w:noProof/>
        </w:rPr>
        <w:t xml:space="preserve"> w</w:t>
      </w:r>
      <w:r w:rsidR="00CC55C0">
        <w:rPr>
          <w:noProof/>
        </w:rPr>
        <w:t> </w:t>
      </w:r>
      <w:r w:rsidR="00CC55C0" w:rsidRPr="0071228C">
        <w:rPr>
          <w:noProof/>
        </w:rPr>
        <w:t>prz</w:t>
      </w:r>
      <w:r w:rsidRPr="0071228C">
        <w:rPr>
          <w:noProof/>
        </w:rPr>
        <w:t>ypadku których państwa członkowskie muszą rozważyć ustanowienie progów krajowych.</w:t>
      </w:r>
    </w:p>
    <w:p w14:paraId="249B517B" w14:textId="69EA6651" w:rsidR="00EC4CE7" w:rsidRPr="00CC55C0" w:rsidRDefault="00EC4CE7" w:rsidP="006825D3">
      <w:pPr>
        <w:ind w:left="709"/>
        <w:rPr>
          <w:bCs/>
          <w:noProof/>
        </w:rPr>
      </w:pPr>
      <w:r w:rsidRPr="0071228C">
        <w:rPr>
          <w:noProof/>
        </w:rPr>
        <w:t>3. Komisja jest uprawniona do przyjmowania aktów delegowanych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a</w:t>
      </w:r>
      <w:r w:rsidR="00CC55C0" w:rsidRPr="0071228C">
        <w:rPr>
          <w:noProof/>
        </w:rPr>
        <w:t xml:space="preserve"> w</w:t>
      </w:r>
      <w:r w:rsidR="00CC55C0">
        <w:rPr>
          <w:noProof/>
        </w:rPr>
        <w:t> </w:t>
      </w:r>
      <w:r w:rsidR="00CC55C0" w:rsidRPr="0071228C">
        <w:rPr>
          <w:noProof/>
        </w:rPr>
        <w:t>cel</w:t>
      </w:r>
      <w:r w:rsidRPr="0071228C">
        <w:rPr>
          <w:noProof/>
        </w:rPr>
        <w:t>u zmiany załącznika II część D, aby dostosować go do postępu naukowo-technicznego poprzez dodanie lub zmianę zharmonizowanych wartości progowych dla co najmniej jednego</w:t>
      </w:r>
      <w:r w:rsidR="00CC55C0" w:rsidRPr="0071228C">
        <w:rPr>
          <w:noProof/>
        </w:rPr>
        <w:t xml:space="preserve"> z</w:t>
      </w:r>
      <w:r w:rsidR="00CC55C0">
        <w:rPr>
          <w:noProof/>
        </w:rPr>
        <w:t> </w:t>
      </w:r>
      <w:r w:rsidR="00CC55C0" w:rsidRPr="0071228C">
        <w:rPr>
          <w:noProof/>
        </w:rPr>
        <w:t>zan</w:t>
      </w:r>
      <w:r w:rsidRPr="0071228C">
        <w:rPr>
          <w:noProof/>
        </w:rPr>
        <w:t>ieczyszczeń wymienionych</w:t>
      </w:r>
      <w:r w:rsidR="00CC55C0" w:rsidRPr="0071228C">
        <w:rPr>
          <w:noProof/>
        </w:rPr>
        <w:t xml:space="preserve"> w</w:t>
      </w:r>
      <w:r w:rsidR="00CC55C0">
        <w:rPr>
          <w:noProof/>
        </w:rPr>
        <w:t> </w:t>
      </w:r>
      <w:r w:rsidR="00CC55C0" w:rsidRPr="0071228C">
        <w:rPr>
          <w:noProof/>
        </w:rPr>
        <w:t>czę</w:t>
      </w:r>
      <w:r w:rsidRPr="0071228C">
        <w:rPr>
          <w:noProof/>
        </w:rPr>
        <w:t>ści B tego załącznika</w:t>
      </w:r>
      <w:r w:rsidRPr="00CC55C0">
        <w:rPr>
          <w:noProof/>
        </w:rPr>
        <w:t>.</w:t>
      </w:r>
      <w:r w:rsidR="00CC55C0" w:rsidRPr="00CC55C0">
        <w:rPr>
          <w:noProof/>
        </w:rPr>
        <w:t xml:space="preserve"> </w:t>
      </w:r>
    </w:p>
    <w:p w14:paraId="75919F7E" w14:textId="35D08025" w:rsidR="00F9081D" w:rsidRPr="0071228C" w:rsidRDefault="00F9081D" w:rsidP="00F9081D">
      <w:pPr>
        <w:ind w:left="709"/>
        <w:rPr>
          <w:bCs/>
          <w:noProof/>
        </w:rPr>
      </w:pPr>
      <w:r w:rsidRPr="0071228C">
        <w:rPr>
          <w:noProof/>
        </w:rPr>
        <w:t>4. Przyjmując akty delegowane,</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2</w:t>
      </w:r>
      <w:r w:rsidR="00CC55C0" w:rsidRPr="0071228C">
        <w:rPr>
          <w:noProof/>
        </w:rPr>
        <w:t xml:space="preserve"> i</w:t>
      </w:r>
      <w:r w:rsidR="00CC55C0">
        <w:rPr>
          <w:noProof/>
        </w:rPr>
        <w:t> </w:t>
      </w:r>
      <w:r w:rsidR="00CC55C0" w:rsidRPr="0071228C">
        <w:rPr>
          <w:noProof/>
        </w:rPr>
        <w:t>3</w:t>
      </w:r>
      <w:r w:rsidRPr="0071228C">
        <w:rPr>
          <w:noProof/>
        </w:rPr>
        <w:t>, Komisja uwzględnia sprawozdania naukowe przygotowane przez ECHA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6</w:t>
      </w:r>
      <w:r w:rsidRPr="0071228C">
        <w:rPr>
          <w:noProof/>
        </w:rPr>
        <w:t xml:space="preserve"> niniejszego artykułu. </w:t>
      </w:r>
    </w:p>
    <w:p w14:paraId="6EA08D5F" w14:textId="0645A90D" w:rsidR="007767F8" w:rsidRPr="0071228C" w:rsidRDefault="00F9081D" w:rsidP="006825D3">
      <w:pPr>
        <w:ind w:left="709"/>
        <w:rPr>
          <w:bCs/>
          <w:noProof/>
        </w:rPr>
      </w:pPr>
      <w:r w:rsidRPr="0071228C">
        <w:rPr>
          <w:noProof/>
        </w:rPr>
        <w:t>5. Komisja jest uprawniona do przyjmowania aktów delegowanych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a, mających na celu zmianę załącznika II część A i C oraz załączników III i IV, aby dostosować je do postępu naukowego</w:t>
      </w:r>
      <w:r w:rsidR="00CC55C0" w:rsidRPr="0071228C">
        <w:rPr>
          <w:noProof/>
        </w:rPr>
        <w:t xml:space="preserve"> i</w:t>
      </w:r>
      <w:r w:rsidR="00CC55C0">
        <w:rPr>
          <w:noProof/>
        </w:rPr>
        <w:t> </w:t>
      </w:r>
      <w:r w:rsidR="00CC55C0" w:rsidRPr="0071228C">
        <w:rPr>
          <w:noProof/>
        </w:rPr>
        <w:t>tec</w:t>
      </w:r>
      <w:r w:rsidRPr="0071228C">
        <w:rPr>
          <w:noProof/>
        </w:rPr>
        <w:t>hnicznego.</w:t>
      </w:r>
    </w:p>
    <w:p w14:paraId="205C653B" w14:textId="29458AB6" w:rsidR="005D1F0F" w:rsidRPr="0071228C" w:rsidRDefault="00F9081D" w:rsidP="006825D3">
      <w:pPr>
        <w:ind w:left="709"/>
        <w:rPr>
          <w:bCs/>
          <w:noProof/>
        </w:rPr>
      </w:pPr>
      <w:r w:rsidRPr="0071228C">
        <w:rPr>
          <w:noProof/>
        </w:rPr>
        <w:t>6. Aby wesprzeć Komisję</w:t>
      </w:r>
      <w:r w:rsidR="00CC55C0" w:rsidRPr="0071228C">
        <w:rPr>
          <w:noProof/>
        </w:rPr>
        <w:t xml:space="preserve"> w</w:t>
      </w:r>
      <w:r w:rsidR="00CC55C0">
        <w:rPr>
          <w:noProof/>
        </w:rPr>
        <w:t> </w:t>
      </w:r>
      <w:r w:rsidR="00CC55C0" w:rsidRPr="0071228C">
        <w:rPr>
          <w:noProof/>
        </w:rPr>
        <w:t>prz</w:t>
      </w:r>
      <w:r w:rsidRPr="0071228C">
        <w:rPr>
          <w:noProof/>
        </w:rPr>
        <w:t>eglądzie załączników I i II, ECHA przygotowuje sprawozdania naukowe. Przedmiotowe sprawozdania uwzględniają, co następuje:</w:t>
      </w:r>
    </w:p>
    <w:p w14:paraId="13A45BAF" w14:textId="4AE455DC" w:rsidR="005D1F0F" w:rsidRPr="0071228C" w:rsidRDefault="005D1F0F" w:rsidP="00F756F5">
      <w:pPr>
        <w:pStyle w:val="Text2"/>
        <w:rPr>
          <w:noProof/>
        </w:rPr>
      </w:pPr>
      <w:r w:rsidRPr="0071228C">
        <w:rPr>
          <w:noProof/>
        </w:rPr>
        <w:t>a) opinię Komitetu ds. Oceny Ryzyka</w:t>
      </w:r>
      <w:r w:rsidR="00CC55C0" w:rsidRPr="0071228C">
        <w:rPr>
          <w:noProof/>
        </w:rPr>
        <w:t xml:space="preserve"> i</w:t>
      </w:r>
      <w:r w:rsidR="00CC55C0">
        <w:rPr>
          <w:noProof/>
        </w:rPr>
        <w:t> </w:t>
      </w:r>
      <w:r w:rsidR="00CC55C0" w:rsidRPr="0071228C">
        <w:rPr>
          <w:noProof/>
        </w:rPr>
        <w:t>Kom</w:t>
      </w:r>
      <w:r w:rsidRPr="0071228C">
        <w:rPr>
          <w:noProof/>
        </w:rPr>
        <w:t>itetu ds. Analiz Społeczno-Ekonomicznych ECHA;</w:t>
      </w:r>
    </w:p>
    <w:p w14:paraId="235DF47C" w14:textId="1F269D8E" w:rsidR="005D1F0F" w:rsidRPr="0071228C" w:rsidRDefault="005D1F0F" w:rsidP="00F756F5">
      <w:pPr>
        <w:pStyle w:val="Text2"/>
        <w:rPr>
          <w:noProof/>
        </w:rPr>
      </w:pPr>
      <w:r w:rsidRPr="0071228C">
        <w:rPr>
          <w:noProof/>
        </w:rPr>
        <w:t>b) wyniki programów monitorowania ustanowionych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dyrektywy 2000/60/WE;</w:t>
      </w:r>
    </w:p>
    <w:p w14:paraId="6678FD74" w14:textId="62DF2728" w:rsidR="0084742E" w:rsidRPr="0071228C" w:rsidRDefault="005D1F0F" w:rsidP="00F756F5">
      <w:pPr>
        <w:pStyle w:val="Text2"/>
        <w:rPr>
          <w:noProof/>
        </w:rPr>
      </w:pPr>
      <w:r w:rsidRPr="0071228C">
        <w:rPr>
          <w:noProof/>
        </w:rPr>
        <w:t>c) dane</w:t>
      </w:r>
      <w:r w:rsidR="00CC55C0" w:rsidRPr="0071228C">
        <w:rPr>
          <w:noProof/>
        </w:rPr>
        <w:t xml:space="preserve"> z</w:t>
      </w:r>
      <w:r w:rsidR="00CC55C0">
        <w:rPr>
          <w:noProof/>
        </w:rPr>
        <w:t> </w:t>
      </w:r>
      <w:r w:rsidR="00CC55C0" w:rsidRPr="0071228C">
        <w:rPr>
          <w:noProof/>
        </w:rPr>
        <w:t>mon</w:t>
      </w:r>
      <w:r w:rsidRPr="0071228C">
        <w:rPr>
          <w:noProof/>
        </w:rPr>
        <w:t>itorowania zgromadzone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6</w:t>
      </w:r>
      <w:r w:rsidRPr="0071228C">
        <w:rPr>
          <w:noProof/>
        </w:rPr>
        <w:t xml:space="preserve">a </w:t>
      </w:r>
      <w:r w:rsidRPr="00CC55C0">
        <w:rPr>
          <w:noProof/>
        </w:rPr>
        <w:t>ust.</w:t>
      </w:r>
      <w:r w:rsidR="00CC55C0" w:rsidRPr="00CC55C0">
        <w:rPr>
          <w:noProof/>
        </w:rPr>
        <w:t> </w:t>
      </w:r>
      <w:r w:rsidRPr="00CC55C0">
        <w:rPr>
          <w:noProof/>
        </w:rPr>
        <w:t>4</w:t>
      </w:r>
      <w:r w:rsidRPr="0071228C">
        <w:rPr>
          <w:noProof/>
        </w:rPr>
        <w:t xml:space="preserve"> niniejszej dyrektywy;</w:t>
      </w:r>
    </w:p>
    <w:p w14:paraId="4AA04520" w14:textId="184C1D3B" w:rsidR="00A519BB" w:rsidRPr="0071228C" w:rsidRDefault="00A519BB" w:rsidP="00F756F5">
      <w:pPr>
        <w:pStyle w:val="Text2"/>
        <w:rPr>
          <w:noProof/>
        </w:rPr>
      </w:pPr>
      <w:r w:rsidRPr="0071228C">
        <w:rPr>
          <w:noProof/>
        </w:rPr>
        <w:t>d) wyniki przeglądów załączników do dyrektywy 2008/105/WE</w:t>
      </w:r>
      <w:r w:rsidR="00CC55C0" w:rsidRPr="0071228C">
        <w:rPr>
          <w:noProof/>
        </w:rPr>
        <w:t xml:space="preserve"> i</w:t>
      </w:r>
      <w:r w:rsidR="00CC55C0">
        <w:rPr>
          <w:noProof/>
        </w:rPr>
        <w:t> </w:t>
      </w:r>
      <w:r w:rsidR="00CC55C0" w:rsidRPr="0071228C">
        <w:rPr>
          <w:noProof/>
        </w:rPr>
        <w:t>dyr</w:t>
      </w:r>
      <w:r w:rsidRPr="0071228C">
        <w:rPr>
          <w:noProof/>
        </w:rPr>
        <w:t>ektywy (UE) 2020/2184;</w:t>
      </w:r>
    </w:p>
    <w:p w14:paraId="0188AB61" w14:textId="4ADEE57F" w:rsidR="00F756F5" w:rsidRPr="0071228C" w:rsidRDefault="008D4508" w:rsidP="00F756F5">
      <w:pPr>
        <w:pStyle w:val="Text2"/>
        <w:rPr>
          <w:noProof/>
        </w:rPr>
      </w:pPr>
      <w:r w:rsidRPr="0071228C">
        <w:rPr>
          <w:noProof/>
        </w:rPr>
        <w:t>e) informacje</w:t>
      </w:r>
      <w:r w:rsidR="00CC55C0" w:rsidRPr="0071228C">
        <w:rPr>
          <w:noProof/>
        </w:rPr>
        <w:t xml:space="preserve"> i</w:t>
      </w:r>
      <w:r w:rsidR="00CC55C0">
        <w:rPr>
          <w:noProof/>
        </w:rPr>
        <w:t> </w:t>
      </w:r>
      <w:r w:rsidR="00CC55C0" w:rsidRPr="0071228C">
        <w:rPr>
          <w:noProof/>
        </w:rPr>
        <w:t>wym</w:t>
      </w:r>
      <w:r w:rsidRPr="0071228C">
        <w:rPr>
          <w:noProof/>
        </w:rPr>
        <w:t xml:space="preserve">ogi służące rozwiązaniu problemu zanieczyszczenia gleby; </w:t>
      </w:r>
    </w:p>
    <w:p w14:paraId="7323580A" w14:textId="06B9770C" w:rsidR="0084742E" w:rsidRPr="0071228C" w:rsidRDefault="0084742E" w:rsidP="00F756F5">
      <w:pPr>
        <w:pStyle w:val="Text2"/>
        <w:rPr>
          <w:noProof/>
        </w:rPr>
      </w:pPr>
      <w:r w:rsidRPr="0071228C">
        <w:rPr>
          <w:noProof/>
        </w:rPr>
        <w:t>f) unijne projekty badawcze</w:t>
      </w:r>
      <w:r w:rsidR="00CC55C0" w:rsidRPr="0071228C">
        <w:rPr>
          <w:noProof/>
        </w:rPr>
        <w:t xml:space="preserve"> i</w:t>
      </w:r>
      <w:r w:rsidR="00CC55C0">
        <w:rPr>
          <w:noProof/>
        </w:rPr>
        <w:t> </w:t>
      </w:r>
      <w:r w:rsidR="00CC55C0" w:rsidRPr="0071228C">
        <w:rPr>
          <w:noProof/>
        </w:rPr>
        <w:t>pub</w:t>
      </w:r>
      <w:r w:rsidRPr="0071228C">
        <w:rPr>
          <w:noProof/>
        </w:rPr>
        <w:t>likacje naukowe,</w:t>
      </w:r>
      <w:r w:rsidR="00CC55C0" w:rsidRPr="0071228C">
        <w:rPr>
          <w:noProof/>
        </w:rPr>
        <w:t xml:space="preserve"> w</w:t>
      </w:r>
      <w:r w:rsidR="00CC55C0">
        <w:rPr>
          <w:noProof/>
        </w:rPr>
        <w:t> </w:t>
      </w:r>
      <w:r w:rsidR="00CC55C0" w:rsidRPr="0071228C">
        <w:rPr>
          <w:noProof/>
        </w:rPr>
        <w:t>tym</w:t>
      </w:r>
      <w:r w:rsidRPr="0071228C">
        <w:rPr>
          <w:noProof/>
        </w:rPr>
        <w:t xml:space="preserve"> informacje pochodzące</w:t>
      </w:r>
      <w:r w:rsidR="00CC55C0" w:rsidRPr="0071228C">
        <w:rPr>
          <w:noProof/>
        </w:rPr>
        <w:t xml:space="preserve"> z</w:t>
      </w:r>
      <w:r w:rsidR="00CC55C0">
        <w:rPr>
          <w:noProof/>
        </w:rPr>
        <w:t> </w:t>
      </w:r>
      <w:r w:rsidR="00CC55C0" w:rsidRPr="0071228C">
        <w:rPr>
          <w:noProof/>
        </w:rPr>
        <w:t>tec</w:t>
      </w:r>
      <w:r w:rsidRPr="0071228C">
        <w:rPr>
          <w:noProof/>
        </w:rPr>
        <w:t>hnologii teledetekcji, obserwacji Ziemi (usługi programu Copernicus), czujników</w:t>
      </w:r>
      <w:r w:rsidR="00CC55C0" w:rsidRPr="0071228C">
        <w:rPr>
          <w:noProof/>
        </w:rPr>
        <w:t xml:space="preserve"> i</w:t>
      </w:r>
      <w:r w:rsidR="00CC55C0">
        <w:rPr>
          <w:noProof/>
        </w:rPr>
        <w:t> </w:t>
      </w:r>
      <w:r w:rsidR="00CC55C0" w:rsidRPr="0071228C">
        <w:rPr>
          <w:noProof/>
        </w:rPr>
        <w:t>urz</w:t>
      </w:r>
      <w:r w:rsidRPr="0071228C">
        <w:rPr>
          <w:noProof/>
        </w:rPr>
        <w:t>ądzeń in-situ lub danych uzyskanych dzięki badaniom metodą obywatelską, korzystając</w:t>
      </w:r>
      <w:r w:rsidR="00CC55C0" w:rsidRPr="0071228C">
        <w:rPr>
          <w:noProof/>
        </w:rPr>
        <w:t xml:space="preserve"> z</w:t>
      </w:r>
      <w:r w:rsidR="00CC55C0">
        <w:rPr>
          <w:noProof/>
        </w:rPr>
        <w:t> </w:t>
      </w:r>
      <w:r w:rsidR="00CC55C0" w:rsidRPr="0071228C">
        <w:rPr>
          <w:noProof/>
        </w:rPr>
        <w:t>moż</w:t>
      </w:r>
      <w:r w:rsidRPr="0071228C">
        <w:rPr>
          <w:noProof/>
        </w:rPr>
        <w:t>liwości oferowanych przez sztuczną inteligencję oraz zaawansowaną analizę</w:t>
      </w:r>
      <w:r w:rsidR="00CC55C0" w:rsidRPr="0071228C">
        <w:rPr>
          <w:noProof/>
        </w:rPr>
        <w:t xml:space="preserve"> i</w:t>
      </w:r>
      <w:r w:rsidR="00CC55C0">
        <w:rPr>
          <w:noProof/>
        </w:rPr>
        <w:t> </w:t>
      </w:r>
      <w:r w:rsidR="00CC55C0" w:rsidRPr="0071228C">
        <w:rPr>
          <w:noProof/>
        </w:rPr>
        <w:t>prz</w:t>
      </w:r>
      <w:r w:rsidRPr="0071228C">
        <w:rPr>
          <w:noProof/>
        </w:rPr>
        <w:t>etwarzanie danych;</w:t>
      </w:r>
    </w:p>
    <w:p w14:paraId="2DF5737E" w14:textId="4BBFB804" w:rsidR="0084742E" w:rsidRPr="0071228C" w:rsidRDefault="0084742E" w:rsidP="00F756F5">
      <w:pPr>
        <w:pStyle w:val="Text2"/>
        <w:rPr>
          <w:noProof/>
        </w:rPr>
      </w:pPr>
      <w:r w:rsidRPr="0071228C">
        <w:rPr>
          <w:noProof/>
        </w:rPr>
        <w:t>g) uwagi</w:t>
      </w:r>
      <w:r w:rsidR="00CC55C0" w:rsidRPr="0071228C">
        <w:rPr>
          <w:noProof/>
        </w:rPr>
        <w:t xml:space="preserve"> i</w:t>
      </w:r>
      <w:r w:rsidR="00CC55C0">
        <w:rPr>
          <w:noProof/>
        </w:rPr>
        <w:t> </w:t>
      </w:r>
      <w:r w:rsidR="00CC55C0" w:rsidRPr="0071228C">
        <w:rPr>
          <w:noProof/>
        </w:rPr>
        <w:t>inf</w:t>
      </w:r>
      <w:r w:rsidRPr="0071228C">
        <w:rPr>
          <w:noProof/>
        </w:rPr>
        <w:t xml:space="preserve">ormacje od istotnych zainteresowanych stron. </w:t>
      </w:r>
    </w:p>
    <w:p w14:paraId="3C5C7188" w14:textId="789B67E4" w:rsidR="00887BDB" w:rsidRPr="0071228C" w:rsidRDefault="007767F8" w:rsidP="00C520F3">
      <w:pPr>
        <w:ind w:left="709"/>
        <w:rPr>
          <w:i/>
          <w:noProof/>
        </w:rPr>
      </w:pPr>
      <w:r w:rsidRPr="0071228C">
        <w:rPr>
          <w:noProof/>
        </w:rPr>
        <w:t>6. Co sześć lat ECHA przygotowuje</w:t>
      </w:r>
      <w:r w:rsidR="00CC55C0" w:rsidRPr="0071228C">
        <w:rPr>
          <w:noProof/>
        </w:rPr>
        <w:t xml:space="preserve"> i</w:t>
      </w:r>
      <w:r w:rsidR="00CC55C0">
        <w:rPr>
          <w:noProof/>
        </w:rPr>
        <w:t> </w:t>
      </w:r>
      <w:r w:rsidR="00CC55C0" w:rsidRPr="0071228C">
        <w:rPr>
          <w:noProof/>
        </w:rPr>
        <w:t>pod</w:t>
      </w:r>
      <w:r w:rsidRPr="0071228C">
        <w:rPr>
          <w:noProof/>
        </w:rPr>
        <w:t>aje do publicznej wiadomości sprawozdanie podsumowujące wyniki przeglądu,</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2</w:t>
      </w:r>
      <w:r w:rsidR="00CC55C0" w:rsidRPr="0071228C">
        <w:rPr>
          <w:noProof/>
        </w:rPr>
        <w:t xml:space="preserve"> i</w:t>
      </w:r>
      <w:r w:rsidR="00CC55C0">
        <w:rPr>
          <w:noProof/>
        </w:rPr>
        <w:t> </w:t>
      </w:r>
      <w:r w:rsidR="00CC55C0" w:rsidRPr="0071228C">
        <w:rPr>
          <w:noProof/>
        </w:rPr>
        <w:t>3</w:t>
      </w:r>
      <w:r w:rsidRPr="0071228C">
        <w:rPr>
          <w:noProof/>
        </w:rPr>
        <w:t>. Pierwsze sprawozdanie</w:t>
      </w:r>
      <w:r w:rsidR="00CC55C0" w:rsidRPr="0071228C">
        <w:rPr>
          <w:noProof/>
        </w:rPr>
        <w:t xml:space="preserve"> z</w:t>
      </w:r>
      <w:r w:rsidR="00CC55C0">
        <w:rPr>
          <w:noProof/>
        </w:rPr>
        <w:t> </w:t>
      </w:r>
      <w:r w:rsidR="00CC55C0" w:rsidRPr="0071228C">
        <w:rPr>
          <w:noProof/>
        </w:rPr>
        <w:t>mon</w:t>
      </w:r>
      <w:r w:rsidRPr="0071228C">
        <w:rPr>
          <w:noProof/>
        </w:rPr>
        <w:t>itorowania jest przedkładane Komisji do ... [Urząd Publikacji: proszę wstawić datę = pięć lat od dnia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417C3032" w14:textId="6513F5D5" w:rsidR="005E1637" w:rsidRPr="0071228C" w:rsidRDefault="00CC55C0" w:rsidP="00CC55C0">
      <w:pPr>
        <w:pStyle w:val="Point0"/>
        <w:rPr>
          <w:noProof/>
        </w:rPr>
      </w:pPr>
      <w:r>
        <w:rPr>
          <w:noProof/>
        </w:rPr>
        <w:t>8)</w:t>
      </w:r>
      <w:r>
        <w:rPr>
          <w:noProof/>
        </w:rPr>
        <w:tab/>
      </w:r>
      <w:r w:rsidR="00085D30" w:rsidRPr="0071228C">
        <w:rPr>
          <w:noProof/>
        </w:rPr>
        <w:t xml:space="preserve">dodaje się </w:t>
      </w:r>
      <w:r w:rsidR="00085D30" w:rsidRPr="00CC55C0">
        <w:rPr>
          <w:noProof/>
        </w:rPr>
        <w:t>art.</w:t>
      </w:r>
      <w:r w:rsidRPr="00CC55C0">
        <w:rPr>
          <w:noProof/>
        </w:rPr>
        <w:t> </w:t>
      </w:r>
      <w:r w:rsidR="00085D30" w:rsidRPr="00CC55C0">
        <w:rPr>
          <w:noProof/>
        </w:rPr>
        <w:t>8</w:t>
      </w:r>
      <w:r w:rsidR="00085D30" w:rsidRPr="0071228C">
        <w:rPr>
          <w:noProof/>
        </w:rPr>
        <w:t>a</w:t>
      </w:r>
      <w:r w:rsidRPr="0071228C">
        <w:rPr>
          <w:noProof/>
        </w:rPr>
        <w:t xml:space="preserve"> w</w:t>
      </w:r>
      <w:r>
        <w:rPr>
          <w:noProof/>
        </w:rPr>
        <w:t> </w:t>
      </w:r>
      <w:r w:rsidRPr="0071228C">
        <w:rPr>
          <w:noProof/>
        </w:rPr>
        <w:t>brz</w:t>
      </w:r>
      <w:r w:rsidR="00085D30" w:rsidRPr="0071228C">
        <w:rPr>
          <w:noProof/>
        </w:rPr>
        <w:t>mieniu:</w:t>
      </w:r>
    </w:p>
    <w:p w14:paraId="5451B412" w14:textId="77777777" w:rsidR="005E1637" w:rsidRPr="0071228C" w:rsidRDefault="0084742E" w:rsidP="0079670C">
      <w:pPr>
        <w:ind w:left="709"/>
        <w:jc w:val="center"/>
        <w:rPr>
          <w:bCs/>
          <w:i/>
          <w:noProof/>
        </w:rPr>
      </w:pPr>
      <w:r w:rsidRPr="0071228C">
        <w:rPr>
          <w:noProof/>
        </w:rPr>
        <w:t>„</w:t>
      </w:r>
      <w:r w:rsidRPr="0071228C">
        <w:rPr>
          <w:i/>
          <w:noProof/>
        </w:rPr>
        <w:t>Artykuł 8a</w:t>
      </w:r>
    </w:p>
    <w:p w14:paraId="5D76026F" w14:textId="77777777" w:rsidR="0084742E" w:rsidRPr="0071228C" w:rsidRDefault="0084742E" w:rsidP="00FB7B4D">
      <w:pPr>
        <w:ind w:left="709"/>
        <w:jc w:val="center"/>
        <w:rPr>
          <w:b/>
          <w:bCs/>
          <w:noProof/>
        </w:rPr>
      </w:pPr>
      <w:r w:rsidRPr="0071228C">
        <w:rPr>
          <w:b/>
          <w:noProof/>
        </w:rPr>
        <w:t>Wykonywanie przekazanych uprawnień</w:t>
      </w:r>
    </w:p>
    <w:p w14:paraId="13484BBF" w14:textId="1B7186B7" w:rsidR="005E1637" w:rsidRPr="0071228C" w:rsidRDefault="005E1637" w:rsidP="005E1637">
      <w:pPr>
        <w:ind w:left="709"/>
        <w:rPr>
          <w:bCs/>
          <w:noProof/>
        </w:rPr>
      </w:pPr>
      <w:r w:rsidRPr="0071228C">
        <w:rPr>
          <w:noProof/>
        </w:rPr>
        <w:t>1. Powierzenie Komisji uprawnień do przyjmowania aktów delegowanych podlega warunkom określonym</w:t>
      </w:r>
      <w:r w:rsidR="00CC55C0" w:rsidRPr="0071228C">
        <w:rPr>
          <w:noProof/>
        </w:rPr>
        <w:t xml:space="preserve"> w</w:t>
      </w:r>
      <w:r w:rsidR="00CC55C0">
        <w:rPr>
          <w:noProof/>
        </w:rPr>
        <w:t> </w:t>
      </w:r>
      <w:r w:rsidR="00CC55C0" w:rsidRPr="0071228C">
        <w:rPr>
          <w:noProof/>
        </w:rPr>
        <w:t>nin</w:t>
      </w:r>
      <w:r w:rsidRPr="0071228C">
        <w:rPr>
          <w:noProof/>
        </w:rPr>
        <w:t>iejszym artykule.</w:t>
      </w:r>
    </w:p>
    <w:p w14:paraId="578E95AF" w14:textId="0ACFC887" w:rsidR="005E1637" w:rsidRPr="0071228C" w:rsidRDefault="005E1637" w:rsidP="005E1637">
      <w:pPr>
        <w:ind w:left="709"/>
        <w:rPr>
          <w:bCs/>
          <w:noProof/>
        </w:rPr>
      </w:pPr>
      <w:r w:rsidRPr="0071228C">
        <w:rPr>
          <w:noProof/>
        </w:rPr>
        <w:t>2. Uprawnienia do przyjmowania aktów delegowanych,</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1</w:t>
      </w:r>
      <w:r w:rsidR="00CC55C0" w:rsidRPr="0071228C">
        <w:rPr>
          <w:noProof/>
        </w:rPr>
        <w:t xml:space="preserve"> i</w:t>
      </w:r>
      <w:r w:rsidR="00CC55C0">
        <w:rPr>
          <w:noProof/>
        </w:rPr>
        <w:t> </w:t>
      </w:r>
      <w:r w:rsidR="00CC55C0" w:rsidRPr="0071228C">
        <w:rPr>
          <w:noProof/>
        </w:rPr>
        <w:t>2</w:t>
      </w:r>
      <w:r w:rsidRPr="0071228C">
        <w:rPr>
          <w:noProof/>
        </w:rPr>
        <w:t>, powierza się Komisji na czas nieokreślony od dnia [Urząd Publikacji: proszę wstawić datę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1411365D" w14:textId="3F8CFAB1" w:rsidR="005E1637" w:rsidRPr="0071228C" w:rsidRDefault="005E1637" w:rsidP="005E1637">
      <w:pPr>
        <w:ind w:left="709"/>
        <w:rPr>
          <w:bCs/>
          <w:noProof/>
        </w:rPr>
      </w:pPr>
      <w:r w:rsidRPr="0071228C">
        <w:rPr>
          <w:noProof/>
        </w:rPr>
        <w:t>3. Przekazanie uprawnień,</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1</w:t>
      </w:r>
      <w:r w:rsidR="00CC55C0" w:rsidRPr="0071228C">
        <w:rPr>
          <w:noProof/>
        </w:rPr>
        <w:t xml:space="preserve"> i</w:t>
      </w:r>
      <w:r w:rsidR="00CC55C0">
        <w:rPr>
          <w:noProof/>
        </w:rPr>
        <w:t> </w:t>
      </w:r>
      <w:r w:rsidR="00CC55C0" w:rsidRPr="0071228C">
        <w:rPr>
          <w:noProof/>
        </w:rPr>
        <w:t>2</w:t>
      </w:r>
      <w:r w:rsidRPr="0071228C">
        <w:rPr>
          <w:noProof/>
        </w:rPr>
        <w:t>, może zostać odwołane</w:t>
      </w:r>
      <w:r w:rsidR="00CC55C0" w:rsidRPr="0071228C">
        <w:rPr>
          <w:noProof/>
        </w:rPr>
        <w:t xml:space="preserve"> w</w:t>
      </w:r>
      <w:r w:rsidR="00CC55C0">
        <w:rPr>
          <w:noProof/>
        </w:rPr>
        <w:t> </w:t>
      </w:r>
      <w:r w:rsidR="00CC55C0" w:rsidRPr="0071228C">
        <w:rPr>
          <w:noProof/>
        </w:rPr>
        <w:t>dow</w:t>
      </w:r>
      <w:r w:rsidRPr="0071228C">
        <w:rPr>
          <w:noProof/>
        </w:rPr>
        <w:t>olnym momencie przez Parlament Europejski lub przez Radę. Decyzja</w:t>
      </w:r>
      <w:r w:rsidR="00CC55C0" w:rsidRPr="0071228C">
        <w:rPr>
          <w:noProof/>
        </w:rPr>
        <w:t xml:space="preserve"> o</w:t>
      </w:r>
      <w:r w:rsidR="00CC55C0">
        <w:rPr>
          <w:noProof/>
        </w:rPr>
        <w:t> </w:t>
      </w:r>
      <w:r w:rsidR="00CC55C0" w:rsidRPr="0071228C">
        <w:rPr>
          <w:noProof/>
        </w:rPr>
        <w:t>odw</w:t>
      </w:r>
      <w:r w:rsidRPr="0071228C">
        <w:rPr>
          <w:noProof/>
        </w:rPr>
        <w:t>ołaniu kończy przekazanie określonych</w:t>
      </w:r>
      <w:r w:rsidR="00CC55C0" w:rsidRPr="0071228C">
        <w:rPr>
          <w:noProof/>
        </w:rPr>
        <w:t xml:space="preserve"> w</w:t>
      </w:r>
      <w:r w:rsidR="00CC55C0">
        <w:rPr>
          <w:noProof/>
        </w:rPr>
        <w:t> </w:t>
      </w:r>
      <w:r w:rsidR="00CC55C0" w:rsidRPr="0071228C">
        <w:rPr>
          <w:noProof/>
        </w:rPr>
        <w:t>nie</w:t>
      </w:r>
      <w:r w:rsidRPr="0071228C">
        <w:rPr>
          <w:noProof/>
        </w:rPr>
        <w:t>j uprawnień. Decyzja</w:t>
      </w:r>
      <w:r w:rsidR="00CC55C0" w:rsidRPr="0071228C">
        <w:rPr>
          <w:noProof/>
        </w:rPr>
        <w:t xml:space="preserve"> o</w:t>
      </w:r>
      <w:r w:rsidR="00CC55C0">
        <w:rPr>
          <w:noProof/>
        </w:rPr>
        <w:t> </w:t>
      </w:r>
      <w:r w:rsidR="00CC55C0" w:rsidRPr="0071228C">
        <w:rPr>
          <w:noProof/>
        </w:rPr>
        <w:t>odw</w:t>
      </w:r>
      <w:r w:rsidRPr="0071228C">
        <w:rPr>
          <w:noProof/>
        </w:rPr>
        <w:t>ołaniu staje się skuteczna następnego dnia po jej opublikowaniu</w:t>
      </w:r>
      <w:r w:rsidR="00CC55C0" w:rsidRPr="0071228C">
        <w:rPr>
          <w:noProof/>
        </w:rPr>
        <w:t xml:space="preserve"> w</w:t>
      </w:r>
      <w:r w:rsidR="00CC55C0">
        <w:rPr>
          <w:noProof/>
        </w:rPr>
        <w:t> </w:t>
      </w:r>
      <w:r w:rsidR="00CC55C0" w:rsidRPr="0071228C">
        <w:rPr>
          <w:i/>
          <w:noProof/>
        </w:rPr>
        <w:t>Dzi</w:t>
      </w:r>
      <w:r w:rsidRPr="0071228C">
        <w:rPr>
          <w:i/>
          <w:noProof/>
        </w:rPr>
        <w:t>enniku Urzędowym Unii Europejskiej</w:t>
      </w:r>
      <w:r w:rsidRPr="0071228C">
        <w:rPr>
          <w:noProof/>
        </w:rPr>
        <w:t xml:space="preserve"> lub</w:t>
      </w:r>
      <w:r w:rsidR="00CC55C0" w:rsidRPr="0071228C">
        <w:rPr>
          <w:noProof/>
        </w:rPr>
        <w:t xml:space="preserve"> w</w:t>
      </w:r>
      <w:r w:rsidR="00CC55C0">
        <w:rPr>
          <w:noProof/>
        </w:rPr>
        <w:t> </w:t>
      </w:r>
      <w:r w:rsidR="00CC55C0" w:rsidRPr="0071228C">
        <w:rPr>
          <w:noProof/>
        </w:rPr>
        <w:t>póź</w:t>
      </w:r>
      <w:r w:rsidRPr="0071228C">
        <w:rPr>
          <w:noProof/>
        </w:rPr>
        <w:t>niejszym terminie określonym</w:t>
      </w:r>
      <w:r w:rsidR="00CC55C0" w:rsidRPr="0071228C">
        <w:rPr>
          <w:noProof/>
        </w:rPr>
        <w:t xml:space="preserve"> w</w:t>
      </w:r>
      <w:r w:rsidR="00CC55C0">
        <w:rPr>
          <w:noProof/>
        </w:rPr>
        <w:t> </w:t>
      </w:r>
      <w:r w:rsidR="00CC55C0" w:rsidRPr="0071228C">
        <w:rPr>
          <w:noProof/>
        </w:rPr>
        <w:t>tej</w:t>
      </w:r>
      <w:r w:rsidRPr="0071228C">
        <w:rPr>
          <w:noProof/>
        </w:rPr>
        <w:t xml:space="preserve"> decyzji. Nie wpływa ona na ważność aktów delegowanych już obowiązujących.</w:t>
      </w:r>
    </w:p>
    <w:p w14:paraId="735F54D0" w14:textId="5D70D25E" w:rsidR="005E1637" w:rsidRPr="0071228C" w:rsidRDefault="005E1637" w:rsidP="005E1637">
      <w:pPr>
        <w:ind w:left="709"/>
        <w:rPr>
          <w:bCs/>
          <w:noProof/>
        </w:rPr>
      </w:pPr>
      <w:r w:rsidRPr="0071228C">
        <w:rPr>
          <w:noProof/>
        </w:rPr>
        <w:t>4. Przed przyjęciem aktu delegowanego Komisja konsultuje się</w:t>
      </w:r>
      <w:r w:rsidR="00CC55C0" w:rsidRPr="0071228C">
        <w:rPr>
          <w:noProof/>
        </w:rPr>
        <w:t xml:space="preserve"> z</w:t>
      </w:r>
      <w:r w:rsidR="00CC55C0">
        <w:rPr>
          <w:noProof/>
        </w:rPr>
        <w:t> </w:t>
      </w:r>
      <w:r w:rsidR="00CC55C0" w:rsidRPr="0071228C">
        <w:rPr>
          <w:noProof/>
        </w:rPr>
        <w:t>eks</w:t>
      </w:r>
      <w:r w:rsidRPr="0071228C">
        <w:rPr>
          <w:noProof/>
        </w:rPr>
        <w:t>pertami wyznaczonymi przez każde państwo członkowskie zgodnie</w:t>
      </w:r>
      <w:r w:rsidR="00CC55C0" w:rsidRPr="0071228C">
        <w:rPr>
          <w:noProof/>
        </w:rPr>
        <w:t xml:space="preserve"> z</w:t>
      </w:r>
      <w:r w:rsidR="00CC55C0">
        <w:rPr>
          <w:noProof/>
        </w:rPr>
        <w:t> </w:t>
      </w:r>
      <w:r w:rsidR="00CC55C0" w:rsidRPr="0071228C">
        <w:rPr>
          <w:noProof/>
        </w:rPr>
        <w:t>zas</w:t>
      </w:r>
      <w:r w:rsidRPr="0071228C">
        <w:rPr>
          <w:noProof/>
        </w:rPr>
        <w:t>adami określonymi</w:t>
      </w:r>
      <w:r w:rsidR="00CC55C0" w:rsidRPr="0071228C">
        <w:rPr>
          <w:noProof/>
        </w:rPr>
        <w:t xml:space="preserve"> w</w:t>
      </w:r>
      <w:r w:rsidR="00CC55C0">
        <w:rPr>
          <w:noProof/>
        </w:rPr>
        <w:t> </w:t>
      </w:r>
      <w:r w:rsidR="00CC55C0" w:rsidRPr="0071228C">
        <w:rPr>
          <w:noProof/>
        </w:rPr>
        <w:t>Por</w:t>
      </w:r>
      <w:r w:rsidRPr="0071228C">
        <w:rPr>
          <w:noProof/>
        </w:rPr>
        <w:t>ozumieniu międzyinstytucjonalnym</w:t>
      </w:r>
      <w:r w:rsidR="00CC55C0" w:rsidRPr="0071228C">
        <w:rPr>
          <w:noProof/>
        </w:rPr>
        <w:t xml:space="preserve"> w</w:t>
      </w:r>
      <w:r w:rsidR="00CC55C0">
        <w:rPr>
          <w:noProof/>
        </w:rPr>
        <w:t> </w:t>
      </w:r>
      <w:r w:rsidR="00CC55C0" w:rsidRPr="0071228C">
        <w:rPr>
          <w:noProof/>
        </w:rPr>
        <w:t>spr</w:t>
      </w:r>
      <w:r w:rsidRPr="0071228C">
        <w:rPr>
          <w:noProof/>
        </w:rPr>
        <w:t>awie lepszego stanowienia prawa</w:t>
      </w:r>
      <w:r w:rsidR="00CC55C0" w:rsidRPr="0071228C">
        <w:rPr>
          <w:noProof/>
        </w:rPr>
        <w:t xml:space="preserve"> z</w:t>
      </w:r>
      <w:r w:rsidR="00CC55C0">
        <w:rPr>
          <w:noProof/>
        </w:rPr>
        <w:t> </w:t>
      </w:r>
      <w:r w:rsidR="00CC55C0" w:rsidRPr="0071228C">
        <w:rPr>
          <w:noProof/>
        </w:rPr>
        <w:t>dni</w:t>
      </w:r>
      <w:r w:rsidRPr="0071228C">
        <w:rPr>
          <w:noProof/>
        </w:rPr>
        <w:t>a 13 kwietnia 20</w:t>
      </w:r>
      <w:r w:rsidRPr="00CC55C0">
        <w:rPr>
          <w:noProof/>
        </w:rPr>
        <w:t>16</w:t>
      </w:r>
      <w:r w:rsidR="00CC55C0" w:rsidRPr="00CC55C0">
        <w:rPr>
          <w:noProof/>
        </w:rPr>
        <w:t> </w:t>
      </w:r>
      <w:r w:rsidRPr="00CC55C0">
        <w:rPr>
          <w:noProof/>
        </w:rPr>
        <w:t>r.</w:t>
      </w:r>
    </w:p>
    <w:p w14:paraId="2B45B742" w14:textId="1050FBBD" w:rsidR="005E1637" w:rsidRPr="0071228C" w:rsidRDefault="005E1637" w:rsidP="005E1637">
      <w:pPr>
        <w:ind w:left="709"/>
        <w:rPr>
          <w:bCs/>
          <w:noProof/>
        </w:rPr>
      </w:pPr>
      <w:r w:rsidRPr="0071228C">
        <w:rPr>
          <w:noProof/>
        </w:rPr>
        <w:t>5. Niezwłocznie po przyjęciu aktu delegowanego Komisja przekazuje go równocześnie Parlamentowi Europejskiemu</w:t>
      </w:r>
      <w:r w:rsidR="00CC55C0" w:rsidRPr="0071228C">
        <w:rPr>
          <w:noProof/>
        </w:rPr>
        <w:t xml:space="preserve"> i</w:t>
      </w:r>
      <w:r w:rsidR="00CC55C0">
        <w:rPr>
          <w:noProof/>
        </w:rPr>
        <w:t> </w:t>
      </w:r>
      <w:r w:rsidR="00CC55C0" w:rsidRPr="0071228C">
        <w:rPr>
          <w:noProof/>
        </w:rPr>
        <w:t>Rad</w:t>
      </w:r>
      <w:r w:rsidRPr="0071228C">
        <w:rPr>
          <w:noProof/>
        </w:rPr>
        <w:t>zie.</w:t>
      </w:r>
    </w:p>
    <w:p w14:paraId="2C943705" w14:textId="29C82AAF" w:rsidR="005E1637" w:rsidRPr="0071228C" w:rsidRDefault="005E1637" w:rsidP="005E1637">
      <w:pPr>
        <w:ind w:left="709"/>
        <w:rPr>
          <w:b/>
          <w:bCs/>
          <w:noProof/>
        </w:rPr>
      </w:pPr>
      <w:r w:rsidRPr="0071228C">
        <w:rPr>
          <w:noProof/>
        </w:rPr>
        <w:t xml:space="preserve">6. Akt delegowany przyjęty na podstawie </w:t>
      </w:r>
      <w:r w:rsidRPr="00CC55C0">
        <w:rPr>
          <w:noProof/>
        </w:rPr>
        <w:t>art.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lub</w:t>
      </w:r>
      <w:r w:rsidR="00CC55C0" w:rsidRPr="00CC55C0">
        <w:rPr>
          <w:noProof/>
        </w:rPr>
        <w:t> </w:t>
      </w:r>
      <w:r w:rsidRPr="00CC55C0">
        <w:rPr>
          <w:noProof/>
        </w:rPr>
        <w:t>2</w:t>
      </w:r>
      <w:r w:rsidRPr="0071228C">
        <w:rPr>
          <w:noProof/>
        </w:rPr>
        <w:t xml:space="preserve"> wchodzi</w:t>
      </w:r>
      <w:r w:rsidR="00CC55C0" w:rsidRPr="0071228C">
        <w:rPr>
          <w:noProof/>
        </w:rPr>
        <w:t xml:space="preserve"> w</w:t>
      </w:r>
      <w:r w:rsidR="00CC55C0">
        <w:rPr>
          <w:noProof/>
        </w:rPr>
        <w:t> </w:t>
      </w:r>
      <w:r w:rsidR="00CC55C0" w:rsidRPr="0071228C">
        <w:rPr>
          <w:noProof/>
        </w:rPr>
        <w:t>życ</w:t>
      </w:r>
      <w:r w:rsidRPr="0071228C">
        <w:rPr>
          <w:noProof/>
        </w:rPr>
        <w:t>ie tylko wówczas, gdy ani Parlament Europejski, ani Rada nie wyraziły sprzeciwu</w:t>
      </w:r>
      <w:r w:rsidR="00CC55C0" w:rsidRPr="0071228C">
        <w:rPr>
          <w:noProof/>
        </w:rPr>
        <w:t xml:space="preserve"> w</w:t>
      </w:r>
      <w:r w:rsidR="00CC55C0">
        <w:rPr>
          <w:noProof/>
        </w:rPr>
        <w:t> </w:t>
      </w:r>
      <w:r w:rsidR="00CC55C0" w:rsidRPr="0071228C">
        <w:rPr>
          <w:noProof/>
        </w:rPr>
        <w:t>ter</w:t>
      </w:r>
      <w:r w:rsidRPr="0071228C">
        <w:rPr>
          <w:noProof/>
        </w:rPr>
        <w:t>minie dwóch miesięcy od przekazania tego aktu Parlamentowi Europejskiemu</w:t>
      </w:r>
      <w:r w:rsidR="00CC55C0" w:rsidRPr="0071228C">
        <w:rPr>
          <w:noProof/>
        </w:rPr>
        <w:t xml:space="preserve"> i</w:t>
      </w:r>
      <w:r w:rsidR="00CC55C0">
        <w:rPr>
          <w:noProof/>
        </w:rPr>
        <w:t> </w:t>
      </w:r>
      <w:r w:rsidR="00CC55C0" w:rsidRPr="0071228C">
        <w:rPr>
          <w:noProof/>
        </w:rPr>
        <w:t>Rad</w:t>
      </w:r>
      <w:r w:rsidRPr="0071228C">
        <w:rPr>
          <w:noProof/>
        </w:rPr>
        <w:t>zie, lub gdy, przed upływem tego terminu, zarówno Parlament Europejski, jak</w:t>
      </w:r>
      <w:r w:rsidR="00CC55C0" w:rsidRPr="0071228C">
        <w:rPr>
          <w:noProof/>
        </w:rPr>
        <w:t xml:space="preserve"> i</w:t>
      </w:r>
      <w:r w:rsidR="00CC55C0">
        <w:rPr>
          <w:noProof/>
        </w:rPr>
        <w:t> </w:t>
      </w:r>
      <w:r w:rsidR="00CC55C0" w:rsidRPr="0071228C">
        <w:rPr>
          <w:noProof/>
        </w:rPr>
        <w:t>Rad</w:t>
      </w:r>
      <w:r w:rsidRPr="0071228C">
        <w:rPr>
          <w:noProof/>
        </w:rPr>
        <w:t>a poinformowały Komisję, że nie wniosą sprzeciwu. Termin ten przedłuża się</w:t>
      </w:r>
      <w:r w:rsidR="00CC55C0" w:rsidRPr="0071228C">
        <w:rPr>
          <w:noProof/>
        </w:rPr>
        <w:t xml:space="preserve"> o</w:t>
      </w:r>
      <w:r w:rsidR="00CC55C0">
        <w:rPr>
          <w:noProof/>
        </w:rPr>
        <w:t> </w:t>
      </w:r>
      <w:r w:rsidR="00CC55C0" w:rsidRPr="0071228C">
        <w:rPr>
          <w:noProof/>
        </w:rPr>
        <w:t>dwa</w:t>
      </w:r>
      <w:r w:rsidRPr="0071228C">
        <w:rPr>
          <w:noProof/>
        </w:rPr>
        <w:t xml:space="preserve"> miesiące</w:t>
      </w:r>
      <w:r w:rsidR="00CC55C0" w:rsidRPr="0071228C">
        <w:rPr>
          <w:noProof/>
        </w:rPr>
        <w:t xml:space="preserve"> z</w:t>
      </w:r>
      <w:r w:rsidR="00CC55C0">
        <w:rPr>
          <w:noProof/>
        </w:rPr>
        <w:t> </w:t>
      </w:r>
      <w:r w:rsidR="00CC55C0" w:rsidRPr="0071228C">
        <w:rPr>
          <w:noProof/>
        </w:rPr>
        <w:t>ini</w:t>
      </w:r>
      <w:r w:rsidRPr="0071228C">
        <w:rPr>
          <w:noProof/>
        </w:rPr>
        <w:t>cjatywy Parlamentu Europejskiego lub Rady.”;</w:t>
      </w:r>
    </w:p>
    <w:p w14:paraId="4D0F7EB3" w14:textId="089AC494" w:rsidR="00BE587E" w:rsidRPr="0071228C" w:rsidRDefault="00CC55C0" w:rsidP="00CC55C0">
      <w:pPr>
        <w:pStyle w:val="Point0"/>
        <w:rPr>
          <w:noProof/>
        </w:rPr>
      </w:pPr>
      <w:r>
        <w:rPr>
          <w:noProof/>
        </w:rPr>
        <w:t>9)</w:t>
      </w:r>
      <w:r>
        <w:rPr>
          <w:noProof/>
        </w:rPr>
        <w:tab/>
      </w:r>
      <w:r w:rsidR="006825D3" w:rsidRPr="00CC55C0">
        <w:rPr>
          <w:noProof/>
        </w:rPr>
        <w:t>art.</w:t>
      </w:r>
      <w:r w:rsidRPr="00CC55C0">
        <w:rPr>
          <w:noProof/>
        </w:rPr>
        <w:t> </w:t>
      </w:r>
      <w:r w:rsidR="006825D3" w:rsidRPr="00CC55C0">
        <w:rPr>
          <w:noProof/>
        </w:rPr>
        <w:t>9</w:t>
      </w:r>
      <w:r w:rsidR="006825D3" w:rsidRPr="0071228C">
        <w:rPr>
          <w:noProof/>
        </w:rPr>
        <w:t xml:space="preserve"> otrzymuje brzmienie:</w:t>
      </w:r>
    </w:p>
    <w:p w14:paraId="667C8898" w14:textId="77777777" w:rsidR="006825D3" w:rsidRPr="0071228C" w:rsidRDefault="0079670C" w:rsidP="0079670C">
      <w:pPr>
        <w:ind w:left="709"/>
        <w:jc w:val="center"/>
        <w:rPr>
          <w:noProof/>
        </w:rPr>
      </w:pPr>
      <w:r w:rsidRPr="0071228C">
        <w:rPr>
          <w:noProof/>
        </w:rPr>
        <w:t>„</w:t>
      </w:r>
      <w:r w:rsidRPr="0071228C">
        <w:rPr>
          <w:i/>
          <w:noProof/>
        </w:rPr>
        <w:t>Artykuł 9</w:t>
      </w:r>
    </w:p>
    <w:p w14:paraId="52911AD1" w14:textId="77777777" w:rsidR="006825D3" w:rsidRPr="0071228C" w:rsidRDefault="006825D3" w:rsidP="00FB7B4D">
      <w:pPr>
        <w:ind w:left="709"/>
        <w:jc w:val="center"/>
        <w:rPr>
          <w:b/>
          <w:noProof/>
        </w:rPr>
      </w:pPr>
      <w:r w:rsidRPr="0071228C">
        <w:rPr>
          <w:b/>
          <w:noProof/>
        </w:rPr>
        <w:t>Procedura komitetowa</w:t>
      </w:r>
    </w:p>
    <w:p w14:paraId="23BE9779" w14:textId="74D40A9D" w:rsidR="006825D3" w:rsidRPr="0071228C" w:rsidRDefault="006825D3" w:rsidP="006825D3">
      <w:pPr>
        <w:ind w:left="709"/>
        <w:rPr>
          <w:bCs/>
          <w:noProof/>
        </w:rPr>
      </w:pPr>
      <w:r w:rsidRPr="0071228C">
        <w:rPr>
          <w:noProof/>
        </w:rPr>
        <w:t>1. Komisja jest wspomagana przez komitet. Komitet ten jest komitetem</w:t>
      </w:r>
      <w:r w:rsidR="00CC55C0" w:rsidRPr="0071228C">
        <w:rPr>
          <w:noProof/>
        </w:rPr>
        <w:t xml:space="preserve"> w</w:t>
      </w:r>
      <w:r w:rsidR="00CC55C0">
        <w:rPr>
          <w:noProof/>
        </w:rPr>
        <w:t> </w:t>
      </w:r>
      <w:r w:rsidR="00CC55C0" w:rsidRPr="0071228C">
        <w:rPr>
          <w:noProof/>
        </w:rPr>
        <w:t>roz</w:t>
      </w:r>
      <w:r w:rsidRPr="0071228C">
        <w:rPr>
          <w:noProof/>
        </w:rPr>
        <w:t>umieniu rozporządzenia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w:t>
      </w:r>
      <w:r w:rsidRPr="00CC55C0">
        <w:rPr>
          <w:noProof/>
        </w:rPr>
        <w:t>nr</w:t>
      </w:r>
      <w:r w:rsidR="00CC55C0" w:rsidRPr="00CC55C0">
        <w:rPr>
          <w:noProof/>
        </w:rPr>
        <w:t> </w:t>
      </w:r>
      <w:r w:rsidRPr="00CC55C0">
        <w:rPr>
          <w:noProof/>
        </w:rPr>
        <w:t>1</w:t>
      </w:r>
      <w:r w:rsidRPr="0071228C">
        <w:rPr>
          <w:noProof/>
        </w:rPr>
        <w:t>82/2011*.</w:t>
      </w:r>
    </w:p>
    <w:p w14:paraId="61C5C4BD" w14:textId="7BDDB8A6" w:rsidR="006825D3" w:rsidRPr="0071228C" w:rsidRDefault="006825D3" w:rsidP="006825D3">
      <w:pPr>
        <w:ind w:left="709"/>
        <w:rPr>
          <w:bCs/>
          <w:noProof/>
        </w:rPr>
      </w:pPr>
      <w:r w:rsidRPr="0071228C">
        <w:rPr>
          <w:noProof/>
        </w:rPr>
        <w:t>2</w:t>
      </w:r>
      <w:r w:rsidR="00CC55C0" w:rsidRPr="0071228C">
        <w:rPr>
          <w:noProof/>
        </w:rPr>
        <w:t>. W</w:t>
      </w:r>
      <w:r w:rsidR="00CC55C0">
        <w:rPr>
          <w:noProof/>
        </w:rPr>
        <w:t> </w:t>
      </w:r>
      <w:r w:rsidR="00CC55C0" w:rsidRPr="0071228C">
        <w:rPr>
          <w:noProof/>
        </w:rPr>
        <w:t>prz</w:t>
      </w:r>
      <w:r w:rsidRPr="0071228C">
        <w:rPr>
          <w:noProof/>
        </w:rPr>
        <w:t xml:space="preserve">ypadku odesłania do niniejszego ustępu stosuje się </w:t>
      </w:r>
      <w:r w:rsidRPr="00CC55C0">
        <w:rPr>
          <w:noProof/>
        </w:rPr>
        <w:t>art.</w:t>
      </w:r>
      <w:r w:rsidR="00CC55C0" w:rsidRPr="00CC55C0">
        <w:rPr>
          <w:noProof/>
        </w:rPr>
        <w:t> </w:t>
      </w:r>
      <w:r w:rsidRPr="00CC55C0">
        <w:rPr>
          <w:noProof/>
        </w:rPr>
        <w:t>5</w:t>
      </w:r>
      <w:r w:rsidRPr="0071228C">
        <w:rPr>
          <w:noProof/>
        </w:rPr>
        <w:t xml:space="preserve"> rozporządzenia (UE) </w:t>
      </w:r>
      <w:r w:rsidRPr="00CC55C0">
        <w:rPr>
          <w:noProof/>
        </w:rPr>
        <w:t>nr</w:t>
      </w:r>
      <w:r w:rsidR="00CC55C0" w:rsidRPr="00CC55C0">
        <w:rPr>
          <w:noProof/>
        </w:rPr>
        <w:t> </w:t>
      </w:r>
      <w:r w:rsidRPr="00CC55C0">
        <w:rPr>
          <w:noProof/>
        </w:rPr>
        <w:t>1</w:t>
      </w:r>
      <w:r w:rsidRPr="0071228C">
        <w:rPr>
          <w:noProof/>
        </w:rPr>
        <w:t>82/2011.</w:t>
      </w:r>
    </w:p>
    <w:p w14:paraId="7B1960F2" w14:textId="4BF182C4" w:rsidR="00DD317F" w:rsidRPr="0071228C" w:rsidRDefault="006825D3" w:rsidP="006825D3">
      <w:pPr>
        <w:ind w:left="709"/>
        <w:rPr>
          <w:i/>
          <w:noProof/>
        </w:rPr>
      </w:pPr>
      <w:r w:rsidRPr="0071228C">
        <w:rPr>
          <w:noProof/>
        </w:rPr>
        <w:t>W przypadku gdy komitet nie wyda żadnej opinii, Komisja nie przyjmuje projektu aktu wykonawczego</w:t>
      </w:r>
      <w:r w:rsidR="00CC55C0" w:rsidRPr="0071228C">
        <w:rPr>
          <w:noProof/>
        </w:rPr>
        <w:t xml:space="preserve"> i</w:t>
      </w:r>
      <w:r w:rsidR="00CC55C0">
        <w:rPr>
          <w:noProof/>
        </w:rPr>
        <w:t> </w:t>
      </w:r>
      <w:r w:rsidR="00CC55C0" w:rsidRPr="0071228C">
        <w:rPr>
          <w:noProof/>
        </w:rPr>
        <w:t>sto</w:t>
      </w:r>
      <w:r w:rsidRPr="0071228C">
        <w:rPr>
          <w:noProof/>
        </w:rPr>
        <w:t xml:space="preserve">suje się </w:t>
      </w:r>
      <w:r w:rsidRPr="00CC55C0">
        <w:rPr>
          <w:noProof/>
        </w:rPr>
        <w:t>art.</w:t>
      </w:r>
      <w:r w:rsidR="00CC55C0" w:rsidRPr="00CC55C0">
        <w:rPr>
          <w:noProof/>
        </w:rPr>
        <w:t> </w:t>
      </w:r>
      <w:r w:rsidRPr="00CC55C0">
        <w:rPr>
          <w:noProof/>
        </w:rPr>
        <w:t>5</w:t>
      </w:r>
      <w:r w:rsidRPr="0071228C">
        <w:rPr>
          <w:noProof/>
        </w:rPr>
        <w:t xml:space="preserve"> </w:t>
      </w:r>
      <w:r w:rsidRPr="00CC55C0">
        <w:rPr>
          <w:noProof/>
        </w:rPr>
        <w:t>ust.</w:t>
      </w:r>
      <w:r w:rsidR="00CC55C0" w:rsidRPr="00CC55C0">
        <w:rPr>
          <w:noProof/>
        </w:rPr>
        <w:t> </w:t>
      </w:r>
      <w:r w:rsidRPr="00CC55C0">
        <w:rPr>
          <w:noProof/>
        </w:rPr>
        <w:t>4</w:t>
      </w:r>
      <w:r w:rsidRPr="0071228C">
        <w:rPr>
          <w:noProof/>
        </w:rPr>
        <w:t xml:space="preserve"> akapit trzeci rozporządzenia (UE) </w:t>
      </w:r>
      <w:r w:rsidRPr="00CC55C0">
        <w:rPr>
          <w:noProof/>
        </w:rPr>
        <w:t>nr</w:t>
      </w:r>
      <w:r w:rsidR="00CC55C0" w:rsidRPr="00CC55C0">
        <w:rPr>
          <w:noProof/>
        </w:rPr>
        <w:t> </w:t>
      </w:r>
      <w:r w:rsidRPr="00CC55C0">
        <w:rPr>
          <w:noProof/>
        </w:rPr>
        <w:t>1</w:t>
      </w:r>
      <w:r w:rsidRPr="0071228C">
        <w:rPr>
          <w:noProof/>
        </w:rPr>
        <w:t>82/2011.”;</w:t>
      </w:r>
      <w:r w:rsidRPr="0071228C">
        <w:rPr>
          <w:i/>
          <w:noProof/>
        </w:rPr>
        <w:t xml:space="preserve"> </w:t>
      </w:r>
    </w:p>
    <w:p w14:paraId="17A91F66" w14:textId="77777777" w:rsidR="007C36D6" w:rsidRPr="0071228C" w:rsidRDefault="007C36D6" w:rsidP="007C36D6">
      <w:pPr>
        <w:ind w:left="709"/>
        <w:rPr>
          <w:bCs/>
          <w:noProof/>
          <w:u w:val="single"/>
        </w:rPr>
      </w:pP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r w:rsidRPr="0071228C">
        <w:rPr>
          <w:noProof/>
        </w:rPr>
        <w:tab/>
      </w:r>
    </w:p>
    <w:p w14:paraId="4E264CB8" w14:textId="375EBBFE" w:rsidR="00F9081D" w:rsidRPr="0071228C" w:rsidRDefault="007C36D6" w:rsidP="00AA4E33">
      <w:pPr>
        <w:pStyle w:val="Text1"/>
        <w:rPr>
          <w:i/>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w:t>
      </w:r>
      <w:r w:rsidRPr="00CC55C0">
        <w:rPr>
          <w:noProof/>
        </w:rPr>
        <w:t>nr</w:t>
      </w:r>
      <w:r w:rsidR="00CC55C0" w:rsidRPr="00CC55C0">
        <w:rPr>
          <w:noProof/>
        </w:rPr>
        <w:t> </w:t>
      </w:r>
      <w:r w:rsidRPr="00CC55C0">
        <w:rPr>
          <w:noProof/>
        </w:rPr>
        <w:t>1</w:t>
      </w:r>
      <w:r w:rsidRPr="0071228C">
        <w:rPr>
          <w:noProof/>
        </w:rPr>
        <w:t>82/2011</w:t>
      </w:r>
      <w:r w:rsidR="00CC55C0" w:rsidRPr="0071228C">
        <w:rPr>
          <w:noProof/>
        </w:rPr>
        <w:t xml:space="preserve"> z</w:t>
      </w:r>
      <w:r w:rsidR="00CC55C0">
        <w:rPr>
          <w:noProof/>
        </w:rPr>
        <w:t> </w:t>
      </w:r>
      <w:r w:rsidR="00CC55C0" w:rsidRPr="0071228C">
        <w:rPr>
          <w:noProof/>
        </w:rPr>
        <w:t>dni</w:t>
      </w:r>
      <w:r w:rsidRPr="0071228C">
        <w:rPr>
          <w:noProof/>
        </w:rPr>
        <w:t>a 16 lutego 20</w:t>
      </w:r>
      <w:r w:rsidRPr="00CC55C0">
        <w:rPr>
          <w:noProof/>
        </w:rPr>
        <w:t>11</w:t>
      </w:r>
      <w:r w:rsidR="00CC55C0" w:rsidRPr="00CC55C0">
        <w:rPr>
          <w:noProof/>
        </w:rPr>
        <w:t> </w:t>
      </w:r>
      <w:r w:rsidRPr="00CC55C0">
        <w:rPr>
          <w:noProof/>
        </w:rPr>
        <w:t>r.</w:t>
      </w:r>
      <w:r w:rsidRPr="0071228C">
        <w:rPr>
          <w:noProof/>
        </w:rPr>
        <w:t xml:space="preserve"> ustanawiające przepisy</w:t>
      </w:r>
      <w:r w:rsidR="00CC55C0" w:rsidRPr="0071228C">
        <w:rPr>
          <w:noProof/>
        </w:rPr>
        <w:t xml:space="preserve"> i</w:t>
      </w:r>
      <w:r w:rsidR="00CC55C0">
        <w:rPr>
          <w:noProof/>
        </w:rPr>
        <w:t> </w:t>
      </w:r>
      <w:r w:rsidR="00CC55C0" w:rsidRPr="0071228C">
        <w:rPr>
          <w:noProof/>
        </w:rPr>
        <w:t>zas</w:t>
      </w:r>
      <w:r w:rsidRPr="0071228C">
        <w:rPr>
          <w:noProof/>
        </w:rPr>
        <w:t>ady ogólne dotyczące trybu kontroli przez państwa członkowskie wykonywania uprawnień wykonawczych przez Komisję (Dz.U. L 55</w:t>
      </w:r>
      <w:r w:rsidR="00CC55C0" w:rsidRPr="0071228C">
        <w:rPr>
          <w:noProof/>
        </w:rPr>
        <w:t xml:space="preserve"> z</w:t>
      </w:r>
      <w:r w:rsidR="00CC55C0">
        <w:rPr>
          <w:noProof/>
        </w:rPr>
        <w:t> </w:t>
      </w:r>
      <w:r w:rsidR="00CC55C0" w:rsidRPr="0071228C">
        <w:rPr>
          <w:noProof/>
        </w:rPr>
        <w:t>2</w:t>
      </w:r>
      <w:r w:rsidRPr="0071228C">
        <w:rPr>
          <w:noProof/>
        </w:rPr>
        <w:t>8.2.2011, s. 13).”;</w:t>
      </w:r>
      <w:r w:rsidRPr="0071228C">
        <w:rPr>
          <w:i/>
          <w:noProof/>
        </w:rPr>
        <w:t xml:space="preserve"> </w:t>
      </w:r>
    </w:p>
    <w:p w14:paraId="2E59FF51" w14:textId="3916D835" w:rsidR="00F569D1" w:rsidRPr="0071228C" w:rsidRDefault="00CC55C0" w:rsidP="00CC55C0">
      <w:pPr>
        <w:pStyle w:val="Point0"/>
        <w:rPr>
          <w:noProof/>
        </w:rPr>
      </w:pPr>
      <w:r>
        <w:rPr>
          <w:noProof/>
        </w:rPr>
        <w:t>10)</w:t>
      </w:r>
      <w:r>
        <w:rPr>
          <w:noProof/>
        </w:rPr>
        <w:tab/>
      </w:r>
      <w:r w:rsidR="00E241F3" w:rsidRPr="0071228C">
        <w:rPr>
          <w:noProof/>
        </w:rPr>
        <w:t xml:space="preserve">uchyla się </w:t>
      </w:r>
      <w:r w:rsidR="00E241F3" w:rsidRPr="00CC55C0">
        <w:rPr>
          <w:noProof/>
        </w:rPr>
        <w:t>art.</w:t>
      </w:r>
      <w:r w:rsidRPr="00CC55C0">
        <w:rPr>
          <w:noProof/>
        </w:rPr>
        <w:t> </w:t>
      </w:r>
      <w:r w:rsidR="00E241F3" w:rsidRPr="00CC55C0">
        <w:rPr>
          <w:noProof/>
        </w:rPr>
        <w:t>1</w:t>
      </w:r>
      <w:r w:rsidR="00E241F3" w:rsidRPr="0071228C">
        <w:rPr>
          <w:noProof/>
        </w:rPr>
        <w:t>0;</w:t>
      </w:r>
    </w:p>
    <w:p w14:paraId="4DA4A369" w14:textId="62D28F65" w:rsidR="007C36D6" w:rsidRPr="0071228C" w:rsidRDefault="00CC55C0" w:rsidP="00CC55C0">
      <w:pPr>
        <w:pStyle w:val="Point0"/>
        <w:rPr>
          <w:noProof/>
        </w:rPr>
      </w:pPr>
      <w:r>
        <w:rPr>
          <w:noProof/>
        </w:rPr>
        <w:t>11)</w:t>
      </w:r>
      <w:r>
        <w:rPr>
          <w:noProof/>
        </w:rPr>
        <w:tab/>
      </w:r>
      <w:r w:rsidR="00EC1621" w:rsidRPr="0071228C">
        <w:rPr>
          <w:noProof/>
        </w:rPr>
        <w:t>załącznik I zastępuje się tekstem znajdującym się</w:t>
      </w:r>
      <w:r w:rsidRPr="0071228C">
        <w:rPr>
          <w:noProof/>
        </w:rPr>
        <w:t xml:space="preserve"> w</w:t>
      </w:r>
      <w:r>
        <w:rPr>
          <w:noProof/>
        </w:rPr>
        <w:t> </w:t>
      </w:r>
      <w:r w:rsidRPr="0071228C">
        <w:rPr>
          <w:noProof/>
        </w:rPr>
        <w:t>zał</w:t>
      </w:r>
      <w:r w:rsidR="00EC1621" w:rsidRPr="0071228C">
        <w:rPr>
          <w:noProof/>
        </w:rPr>
        <w:t xml:space="preserve">ączniku III do niniejszej dyrektywy; </w:t>
      </w:r>
    </w:p>
    <w:p w14:paraId="401DDCF2" w14:textId="55759837" w:rsidR="00D76065" w:rsidRPr="0071228C" w:rsidRDefault="00CC55C0" w:rsidP="00CC55C0">
      <w:pPr>
        <w:pStyle w:val="Point0"/>
        <w:rPr>
          <w:noProof/>
        </w:rPr>
      </w:pPr>
      <w:r>
        <w:rPr>
          <w:noProof/>
        </w:rPr>
        <w:t>12)</w:t>
      </w:r>
      <w:r>
        <w:rPr>
          <w:noProof/>
        </w:rPr>
        <w:tab/>
      </w:r>
      <w:r w:rsidR="007C36D6" w:rsidRPr="0071228C">
        <w:rPr>
          <w:noProof/>
        </w:rPr>
        <w:t>w załączniku II wprowadza się zmiany zgodnie</w:t>
      </w:r>
      <w:r w:rsidRPr="0071228C">
        <w:rPr>
          <w:noProof/>
        </w:rPr>
        <w:t xml:space="preserve"> z</w:t>
      </w:r>
      <w:r>
        <w:rPr>
          <w:noProof/>
        </w:rPr>
        <w:t> </w:t>
      </w:r>
      <w:r w:rsidRPr="0071228C">
        <w:rPr>
          <w:noProof/>
        </w:rPr>
        <w:t>zał</w:t>
      </w:r>
      <w:r w:rsidR="007C36D6" w:rsidRPr="0071228C">
        <w:rPr>
          <w:noProof/>
        </w:rPr>
        <w:t xml:space="preserve">ącznikiem IV do niniejszej dyrektywy; </w:t>
      </w:r>
    </w:p>
    <w:p w14:paraId="54B1F5AC" w14:textId="1FD4B237" w:rsidR="00816750" w:rsidRPr="0071228C" w:rsidRDefault="00CC55C0" w:rsidP="00CC55C0">
      <w:pPr>
        <w:pStyle w:val="Point0"/>
        <w:rPr>
          <w:noProof/>
        </w:rPr>
      </w:pPr>
      <w:r>
        <w:rPr>
          <w:noProof/>
        </w:rPr>
        <w:t>13)</w:t>
      </w:r>
      <w:r>
        <w:rPr>
          <w:noProof/>
        </w:rPr>
        <w:tab/>
      </w:r>
      <w:r w:rsidR="00816750" w:rsidRPr="0071228C">
        <w:rPr>
          <w:noProof/>
        </w:rPr>
        <w:t xml:space="preserve">załącznik III </w:t>
      </w:r>
      <w:r w:rsidR="00816750" w:rsidRPr="00CC55C0">
        <w:rPr>
          <w:noProof/>
        </w:rPr>
        <w:t>pkt</w:t>
      </w:r>
      <w:r w:rsidRPr="00CC55C0">
        <w:rPr>
          <w:noProof/>
        </w:rPr>
        <w:t> </w:t>
      </w:r>
      <w:r w:rsidR="00816750" w:rsidRPr="00CC55C0">
        <w:rPr>
          <w:noProof/>
        </w:rPr>
        <w:t>2</w:t>
      </w:r>
      <w:r w:rsidR="00816750" w:rsidRPr="0071228C">
        <w:rPr>
          <w:noProof/>
        </w:rPr>
        <w:t xml:space="preserve"> </w:t>
      </w:r>
      <w:r w:rsidR="00816750" w:rsidRPr="00CC55C0">
        <w:rPr>
          <w:noProof/>
        </w:rPr>
        <w:t>lit.</w:t>
      </w:r>
      <w:r w:rsidRPr="00CC55C0">
        <w:rPr>
          <w:noProof/>
        </w:rPr>
        <w:t> </w:t>
      </w:r>
      <w:r w:rsidR="00816750" w:rsidRPr="00CC55C0">
        <w:rPr>
          <w:noProof/>
        </w:rPr>
        <w:t>c)</w:t>
      </w:r>
      <w:r w:rsidR="00816750" w:rsidRPr="0071228C">
        <w:rPr>
          <w:noProof/>
        </w:rPr>
        <w:t xml:space="preserve"> otrzymuje brzmienie:</w:t>
      </w:r>
    </w:p>
    <w:p w14:paraId="4A2AA572" w14:textId="0138D76C" w:rsidR="00881891" w:rsidRPr="0071228C" w:rsidRDefault="00816750" w:rsidP="008A166C">
      <w:pPr>
        <w:pStyle w:val="Text1"/>
        <w:rPr>
          <w:i/>
          <w:noProof/>
        </w:rPr>
      </w:pPr>
      <w:r w:rsidRPr="0071228C">
        <w:rPr>
          <w:noProof/>
        </w:rPr>
        <w:t>„c) wszelkie inne istotne informacje,</w:t>
      </w:r>
      <w:r w:rsidR="00CC55C0" w:rsidRPr="0071228C">
        <w:rPr>
          <w:noProof/>
        </w:rPr>
        <w:t xml:space="preserve"> w</w:t>
      </w:r>
      <w:r w:rsidR="00CC55C0">
        <w:rPr>
          <w:noProof/>
        </w:rPr>
        <w:t> </w:t>
      </w:r>
      <w:r w:rsidR="00CC55C0" w:rsidRPr="0071228C">
        <w:rPr>
          <w:noProof/>
        </w:rPr>
        <w:t>tym</w:t>
      </w:r>
      <w:r w:rsidRPr="0071228C">
        <w:rPr>
          <w:noProof/>
        </w:rPr>
        <w:t xml:space="preserve"> porównanie rocznej średniej arytmetycznej stężenia danych zanieczyszczeń</w:t>
      </w:r>
      <w:r w:rsidR="00CC55C0" w:rsidRPr="0071228C">
        <w:rPr>
          <w:noProof/>
        </w:rPr>
        <w:t xml:space="preserve"> w</w:t>
      </w:r>
      <w:r w:rsidR="00CC55C0">
        <w:rPr>
          <w:noProof/>
        </w:rPr>
        <w:t> </w:t>
      </w:r>
      <w:r w:rsidR="00CC55C0" w:rsidRPr="0071228C">
        <w:rPr>
          <w:noProof/>
        </w:rPr>
        <w:t>pun</w:t>
      </w:r>
      <w:r w:rsidRPr="0071228C">
        <w:rPr>
          <w:noProof/>
        </w:rPr>
        <w:t>kcie monitoringu</w:t>
      </w:r>
      <w:r w:rsidR="00CC55C0" w:rsidRPr="0071228C">
        <w:rPr>
          <w:noProof/>
        </w:rPr>
        <w:t xml:space="preserve"> z</w:t>
      </w:r>
      <w:r w:rsidR="00CC55C0">
        <w:rPr>
          <w:noProof/>
        </w:rPr>
        <w:t> </w:t>
      </w:r>
      <w:r w:rsidR="00CC55C0" w:rsidRPr="0071228C">
        <w:rPr>
          <w:noProof/>
        </w:rPr>
        <w:t>nor</w:t>
      </w:r>
      <w:r w:rsidRPr="0071228C">
        <w:rPr>
          <w:noProof/>
        </w:rPr>
        <w:t>mami jakości wód podziemnych ustalonymi</w:t>
      </w:r>
      <w:r w:rsidR="00CC55C0" w:rsidRPr="0071228C">
        <w:rPr>
          <w:noProof/>
        </w:rPr>
        <w:t xml:space="preserve"> w</w:t>
      </w:r>
      <w:r w:rsidR="00CC55C0">
        <w:rPr>
          <w:noProof/>
        </w:rPr>
        <w:t> </w:t>
      </w:r>
      <w:r w:rsidR="00CC55C0" w:rsidRPr="0071228C">
        <w:rPr>
          <w:noProof/>
        </w:rPr>
        <w:t>zał</w:t>
      </w:r>
      <w:r w:rsidRPr="0071228C">
        <w:rPr>
          <w:noProof/>
        </w:rPr>
        <w:t>ączniku I oraz wartościami progowymi,</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xml:space="preserve"> i c).”;</w:t>
      </w:r>
    </w:p>
    <w:p w14:paraId="6119D7B6" w14:textId="24BF48A8" w:rsidR="00816750" w:rsidRPr="0071228C" w:rsidRDefault="00CC55C0" w:rsidP="00CC55C0">
      <w:pPr>
        <w:pStyle w:val="Point0"/>
        <w:rPr>
          <w:noProof/>
        </w:rPr>
      </w:pPr>
      <w:r>
        <w:rPr>
          <w:noProof/>
        </w:rPr>
        <w:t>14)</w:t>
      </w:r>
      <w:r>
        <w:rPr>
          <w:noProof/>
        </w:rPr>
        <w:tab/>
      </w:r>
      <w:r w:rsidR="00816750" w:rsidRPr="0071228C">
        <w:rPr>
          <w:noProof/>
        </w:rPr>
        <w:t>zdanie wprowadzające</w:t>
      </w:r>
      <w:r w:rsidRPr="0071228C">
        <w:rPr>
          <w:noProof/>
        </w:rPr>
        <w:t xml:space="preserve"> w</w:t>
      </w:r>
      <w:r>
        <w:rPr>
          <w:noProof/>
        </w:rPr>
        <w:t> </w:t>
      </w:r>
      <w:r w:rsidRPr="0071228C">
        <w:rPr>
          <w:noProof/>
        </w:rPr>
        <w:t>zał</w:t>
      </w:r>
      <w:r w:rsidR="00816750" w:rsidRPr="0071228C">
        <w:rPr>
          <w:noProof/>
        </w:rPr>
        <w:t xml:space="preserve">ączniku IV część B </w:t>
      </w:r>
      <w:r w:rsidR="00816750" w:rsidRPr="00CC55C0">
        <w:rPr>
          <w:noProof/>
        </w:rPr>
        <w:t>pkt</w:t>
      </w:r>
      <w:r w:rsidRPr="00CC55C0">
        <w:rPr>
          <w:noProof/>
        </w:rPr>
        <w:t> </w:t>
      </w:r>
      <w:r w:rsidR="00816750" w:rsidRPr="00CC55C0">
        <w:rPr>
          <w:noProof/>
        </w:rPr>
        <w:t>1</w:t>
      </w:r>
      <w:r w:rsidR="00816750" w:rsidRPr="0071228C">
        <w:rPr>
          <w:noProof/>
        </w:rPr>
        <w:t xml:space="preserve"> otrzymuje brzmienie: </w:t>
      </w:r>
    </w:p>
    <w:p w14:paraId="37753E07" w14:textId="652910DD" w:rsidR="00816750" w:rsidRPr="0071228C" w:rsidRDefault="00816750" w:rsidP="004D78C0">
      <w:pPr>
        <w:pStyle w:val="Text1"/>
        <w:rPr>
          <w:noProof/>
        </w:rPr>
      </w:pPr>
      <w:r w:rsidRPr="0071228C">
        <w:rPr>
          <w:noProof/>
        </w:rPr>
        <w:t>„punktem początkowym inicjowania działań mających odwrócić znaczące</w:t>
      </w:r>
      <w:r w:rsidR="00CC55C0" w:rsidRPr="0071228C">
        <w:rPr>
          <w:noProof/>
        </w:rPr>
        <w:t xml:space="preserve"> i</w:t>
      </w:r>
      <w:r w:rsidR="00CC55C0">
        <w:rPr>
          <w:noProof/>
        </w:rPr>
        <w:t> </w:t>
      </w:r>
      <w:r w:rsidR="00CC55C0" w:rsidRPr="0071228C">
        <w:rPr>
          <w:noProof/>
        </w:rPr>
        <w:t>utr</w:t>
      </w:r>
      <w:r w:rsidRPr="0071228C">
        <w:rPr>
          <w:noProof/>
        </w:rPr>
        <w:t>zymujące się trendy wzrostowe jest stan, kiedy stężenie zanieczyszczenia osiąga 75 % wartości parametrów norm jakości wód podziemnych określonych</w:t>
      </w:r>
      <w:r w:rsidR="00CC55C0" w:rsidRPr="0071228C">
        <w:rPr>
          <w:noProof/>
        </w:rPr>
        <w:t xml:space="preserve"> w</w:t>
      </w:r>
      <w:r w:rsidR="00CC55C0">
        <w:rPr>
          <w:noProof/>
        </w:rPr>
        <w:t> </w:t>
      </w:r>
      <w:r w:rsidR="00CC55C0" w:rsidRPr="0071228C">
        <w:rPr>
          <w:noProof/>
        </w:rPr>
        <w:t>zał</w:t>
      </w:r>
      <w:r w:rsidRPr="0071228C">
        <w:rPr>
          <w:noProof/>
        </w:rPr>
        <w:t>ączniku I i wartości progowych,</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b)</w:t>
      </w:r>
      <w:r w:rsidRPr="0071228C">
        <w:rPr>
          <w:noProof/>
        </w:rPr>
        <w:t xml:space="preserve"> i c), chyba że:”.</w:t>
      </w:r>
    </w:p>
    <w:p w14:paraId="27D97560" w14:textId="77777777" w:rsidR="00064ADB" w:rsidRPr="0071228C" w:rsidRDefault="00064ADB" w:rsidP="00064ADB">
      <w:pPr>
        <w:pStyle w:val="Titrearticle"/>
        <w:rPr>
          <w:noProof/>
        </w:rPr>
      </w:pPr>
      <w:r w:rsidRPr="0071228C">
        <w:rPr>
          <w:noProof/>
        </w:rPr>
        <w:t>Artykuł 3</w:t>
      </w:r>
    </w:p>
    <w:p w14:paraId="5C78ADC1" w14:textId="66061A54" w:rsidR="00064ADB" w:rsidRPr="0071228C" w:rsidRDefault="00064ADB" w:rsidP="00064ADB">
      <w:pPr>
        <w:jc w:val="center"/>
        <w:rPr>
          <w:i/>
          <w:noProof/>
        </w:rPr>
      </w:pPr>
      <w:r w:rsidRPr="0071228C">
        <w:rPr>
          <w:i/>
          <w:noProof/>
        </w:rPr>
        <w:t>Zmiany</w:t>
      </w:r>
      <w:r w:rsidR="00CC55C0" w:rsidRPr="0071228C">
        <w:rPr>
          <w:i/>
          <w:noProof/>
        </w:rPr>
        <w:t xml:space="preserve"> w</w:t>
      </w:r>
      <w:r w:rsidR="00CC55C0">
        <w:rPr>
          <w:i/>
          <w:noProof/>
        </w:rPr>
        <w:t> </w:t>
      </w:r>
      <w:r w:rsidR="00CC55C0" w:rsidRPr="0071228C">
        <w:rPr>
          <w:i/>
          <w:noProof/>
        </w:rPr>
        <w:t>dyr</w:t>
      </w:r>
      <w:r w:rsidRPr="0071228C">
        <w:rPr>
          <w:i/>
          <w:noProof/>
        </w:rPr>
        <w:t>ektywie 2008/105/WE</w:t>
      </w:r>
    </w:p>
    <w:p w14:paraId="1CAEA2B4" w14:textId="77777777" w:rsidR="00064ADB" w:rsidRPr="0071228C" w:rsidRDefault="00064ADB" w:rsidP="00064ADB">
      <w:pPr>
        <w:rPr>
          <w:noProof/>
        </w:rPr>
      </w:pPr>
      <w:r w:rsidRPr="0071228C">
        <w:rPr>
          <w:noProof/>
        </w:rPr>
        <w:t>W dyrektywie 2008/105/WE wprowadza się następujące zmiany:</w:t>
      </w:r>
    </w:p>
    <w:p w14:paraId="72A481D8" w14:textId="71D7F87C" w:rsidR="00064ADB" w:rsidRPr="0071228C" w:rsidRDefault="00CC55C0" w:rsidP="00CC55C0">
      <w:pPr>
        <w:pStyle w:val="Point0"/>
        <w:rPr>
          <w:noProof/>
        </w:rPr>
      </w:pPr>
      <w:r>
        <w:rPr>
          <w:noProof/>
        </w:rPr>
        <w:t>1)</w:t>
      </w:r>
      <w:r>
        <w:rPr>
          <w:noProof/>
        </w:rPr>
        <w:tab/>
      </w:r>
      <w:r w:rsidR="00064ADB" w:rsidRPr="0071228C">
        <w:rPr>
          <w:noProof/>
        </w:rPr>
        <w:t xml:space="preserve">tytuł otrzymuje brzmienie: </w:t>
      </w:r>
    </w:p>
    <w:p w14:paraId="2C162CFD" w14:textId="10267151" w:rsidR="00064ADB" w:rsidRPr="0071228C" w:rsidRDefault="00064ADB" w:rsidP="00064ADB">
      <w:pPr>
        <w:pStyle w:val="Text1"/>
        <w:rPr>
          <w:i/>
          <w:noProof/>
        </w:rPr>
      </w:pPr>
      <w:r w:rsidRPr="0071228C">
        <w:rPr>
          <w:noProof/>
        </w:rPr>
        <w:t>„Dyrektywa Parlamentu Europejskiego</w:t>
      </w:r>
      <w:r w:rsidR="00CC55C0" w:rsidRPr="0071228C">
        <w:rPr>
          <w:noProof/>
        </w:rPr>
        <w:t xml:space="preserve"> i</w:t>
      </w:r>
      <w:r w:rsidR="00CC55C0">
        <w:rPr>
          <w:noProof/>
        </w:rPr>
        <w:t> </w:t>
      </w:r>
      <w:r w:rsidR="00CC55C0" w:rsidRPr="0071228C">
        <w:rPr>
          <w:noProof/>
        </w:rPr>
        <w:t>Rad</w:t>
      </w:r>
      <w:r w:rsidRPr="0071228C">
        <w:rPr>
          <w:noProof/>
        </w:rPr>
        <w:t>y 2008/105/WE</w:t>
      </w:r>
      <w:r w:rsidR="00CC55C0" w:rsidRPr="0071228C">
        <w:rPr>
          <w:noProof/>
        </w:rPr>
        <w:t xml:space="preserve"> z</w:t>
      </w:r>
      <w:r w:rsidR="00CC55C0">
        <w:rPr>
          <w:noProof/>
        </w:rPr>
        <w:t> </w:t>
      </w:r>
      <w:r w:rsidR="00CC55C0" w:rsidRPr="0071228C">
        <w:rPr>
          <w:noProof/>
        </w:rPr>
        <w:t>dni</w:t>
      </w:r>
      <w:r w:rsidRPr="0071228C">
        <w:rPr>
          <w:noProof/>
        </w:rPr>
        <w:t>a 16 grudnia 20</w:t>
      </w:r>
      <w:r w:rsidRPr="00CC55C0">
        <w:rPr>
          <w:noProof/>
        </w:rPr>
        <w:t>08</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zapobiegania zanieczyszczeniu wód powierzchniowych</w:t>
      </w:r>
      <w:r w:rsidR="00CC55C0" w:rsidRPr="0071228C">
        <w:rPr>
          <w:noProof/>
        </w:rPr>
        <w:t xml:space="preserve"> i</w:t>
      </w:r>
      <w:r w:rsidR="00CC55C0">
        <w:rPr>
          <w:noProof/>
        </w:rPr>
        <w:t> </w:t>
      </w:r>
      <w:r w:rsidR="00CC55C0" w:rsidRPr="0071228C">
        <w:rPr>
          <w:noProof/>
        </w:rPr>
        <w:t>jeg</w:t>
      </w:r>
      <w:r w:rsidRPr="0071228C">
        <w:rPr>
          <w:noProof/>
        </w:rPr>
        <w:t>o kontroli, zmieniająca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nas</w:t>
      </w:r>
      <w:r w:rsidRPr="0071228C">
        <w:rPr>
          <w:noProof/>
        </w:rPr>
        <w:t>tępstwie uchylająca dyrektywy Rady 82/176/EWG, 83/513/EWG, 84/156/EWG, 84/491/EWG</w:t>
      </w:r>
      <w:r w:rsidR="00CC55C0" w:rsidRPr="0071228C">
        <w:rPr>
          <w:noProof/>
        </w:rPr>
        <w:t xml:space="preserve"> i</w:t>
      </w:r>
      <w:r w:rsidR="00CC55C0">
        <w:rPr>
          <w:noProof/>
        </w:rPr>
        <w:t> </w:t>
      </w:r>
      <w:r w:rsidR="00CC55C0" w:rsidRPr="0071228C">
        <w:rPr>
          <w:noProof/>
        </w:rPr>
        <w:t>8</w:t>
      </w:r>
      <w:r w:rsidRPr="0071228C">
        <w:rPr>
          <w:noProof/>
        </w:rPr>
        <w:t>6/280/EWG oraz zmieniająca dyrektywę 2000/60/WE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w:t>
      </w:r>
    </w:p>
    <w:p w14:paraId="69C8A094" w14:textId="6E71D537" w:rsidR="00064ADB" w:rsidRPr="0071228C" w:rsidRDefault="00CC55C0" w:rsidP="00CC55C0">
      <w:pPr>
        <w:pStyle w:val="Point0"/>
        <w:rPr>
          <w:noProof/>
        </w:rPr>
      </w:pPr>
      <w:r>
        <w:rPr>
          <w:noProof/>
        </w:rPr>
        <w:t>2)</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3</w:t>
      </w:r>
      <w:r w:rsidR="00064ADB" w:rsidRPr="0071228C">
        <w:rPr>
          <w:noProof/>
        </w:rPr>
        <w:t xml:space="preserve"> wprowadza się następujące zmiany: </w:t>
      </w:r>
    </w:p>
    <w:p w14:paraId="50C53038" w14:textId="54962DEC" w:rsidR="00064ADB" w:rsidRPr="0071228C" w:rsidRDefault="00CC55C0" w:rsidP="00CC55C0">
      <w:pPr>
        <w:pStyle w:val="Point1"/>
        <w:rPr>
          <w:noProof/>
        </w:rPr>
      </w:pPr>
      <w:r>
        <w:rPr>
          <w:noProof/>
        </w:rPr>
        <w:t>a)</w:t>
      </w:r>
      <w:r>
        <w:rPr>
          <w:noProof/>
        </w:rPr>
        <w:tab/>
      </w:r>
      <w:r w:rsidR="00064ADB" w:rsidRPr="0071228C">
        <w:rPr>
          <w:noProof/>
        </w:rPr>
        <w:t xml:space="preserve">w </w:t>
      </w:r>
      <w:r w:rsidR="00064ADB" w:rsidRPr="00CC55C0">
        <w:rPr>
          <w:noProof/>
        </w:rPr>
        <w:t>ust.</w:t>
      </w:r>
      <w:r w:rsidRPr="00CC55C0">
        <w:rPr>
          <w:noProof/>
        </w:rPr>
        <w:t> </w:t>
      </w:r>
      <w:r w:rsidR="00064ADB" w:rsidRPr="00CC55C0">
        <w:rPr>
          <w:noProof/>
        </w:rPr>
        <w:t>1</w:t>
      </w:r>
      <w:r w:rsidR="00064ADB" w:rsidRPr="0071228C">
        <w:rPr>
          <w:noProof/>
        </w:rPr>
        <w:t>a akapit pierwszy dodaje się ppkt (iii)</w:t>
      </w:r>
      <w:r w:rsidRPr="0071228C">
        <w:rPr>
          <w:noProof/>
        </w:rPr>
        <w:t xml:space="preserve"> w</w:t>
      </w:r>
      <w:r>
        <w:rPr>
          <w:noProof/>
        </w:rPr>
        <w:t> </w:t>
      </w:r>
      <w:r w:rsidRPr="0071228C">
        <w:rPr>
          <w:noProof/>
        </w:rPr>
        <w:t>brz</w:t>
      </w:r>
      <w:r w:rsidR="00064ADB" w:rsidRPr="0071228C">
        <w:rPr>
          <w:noProof/>
        </w:rPr>
        <w:t>mieniu:</w:t>
      </w:r>
    </w:p>
    <w:p w14:paraId="37D7C81C" w14:textId="522D4A38" w:rsidR="00064ADB" w:rsidRPr="0071228C" w:rsidRDefault="00064ADB" w:rsidP="00064ADB">
      <w:pPr>
        <w:pStyle w:val="Text1"/>
        <w:rPr>
          <w:noProof/>
        </w:rPr>
      </w:pPr>
      <w:r w:rsidRPr="0071228C">
        <w:rPr>
          <w:noProof/>
        </w:rPr>
        <w:t>„(iii) substancji</w:t>
      </w:r>
      <w:r w:rsidR="00CC55C0" w:rsidRPr="0071228C">
        <w:rPr>
          <w:noProof/>
        </w:rPr>
        <w:t xml:space="preserve"> o</w:t>
      </w:r>
      <w:r w:rsidR="00CC55C0">
        <w:rPr>
          <w:noProof/>
        </w:rPr>
        <w:t> </w:t>
      </w:r>
      <w:r w:rsidR="00CC55C0" w:rsidRPr="0071228C">
        <w:rPr>
          <w:noProof/>
        </w:rPr>
        <w:t>num</w:t>
      </w:r>
      <w:r w:rsidRPr="0071228C">
        <w:rPr>
          <w:noProof/>
        </w:rPr>
        <w:t>erach 5, 9, 13, 15, 17, 21, 23, 24, 28, 30, 34, 37, 41, 44 wymienionych</w:t>
      </w:r>
      <w:r w:rsidR="00CC55C0" w:rsidRPr="0071228C">
        <w:rPr>
          <w:noProof/>
        </w:rPr>
        <w:t xml:space="preserve"> w</w:t>
      </w:r>
      <w:r w:rsidR="00CC55C0">
        <w:rPr>
          <w:noProof/>
        </w:rPr>
        <w:t> </w:t>
      </w:r>
      <w:r w:rsidR="00CC55C0" w:rsidRPr="0071228C">
        <w:rPr>
          <w:noProof/>
        </w:rPr>
        <w:t>zał</w:t>
      </w:r>
      <w:r w:rsidRPr="0071228C">
        <w:rPr>
          <w:noProof/>
        </w:rPr>
        <w:t>ączniku I część A,</w:t>
      </w:r>
      <w:r w:rsidR="00CC55C0" w:rsidRPr="0071228C">
        <w:rPr>
          <w:noProof/>
        </w:rPr>
        <w:t xml:space="preserve"> w</w:t>
      </w:r>
      <w:r w:rsidR="00CC55C0">
        <w:rPr>
          <w:noProof/>
        </w:rPr>
        <w:t> </w:t>
      </w:r>
      <w:r w:rsidR="00CC55C0" w:rsidRPr="0071228C">
        <w:rPr>
          <w:noProof/>
        </w:rPr>
        <w:t>prz</w:t>
      </w:r>
      <w:r w:rsidRPr="0071228C">
        <w:rPr>
          <w:noProof/>
        </w:rPr>
        <w:t>ypadku których określono zmienione środowiskowe normy jakości, oraz nowo zidentyfikowanych substancji</w:t>
      </w:r>
      <w:r w:rsidR="00CC55C0" w:rsidRPr="0071228C">
        <w:rPr>
          <w:noProof/>
        </w:rPr>
        <w:t xml:space="preserve"> o</w:t>
      </w:r>
      <w:r w:rsidR="00CC55C0">
        <w:rPr>
          <w:noProof/>
        </w:rPr>
        <w:t> </w:t>
      </w:r>
      <w:r w:rsidR="00CC55C0" w:rsidRPr="0071228C">
        <w:rPr>
          <w:noProof/>
        </w:rPr>
        <w:t>num</w:t>
      </w:r>
      <w:r w:rsidRPr="0071228C">
        <w:rPr>
          <w:noProof/>
        </w:rPr>
        <w:t>erach 46–70 wymienionych</w:t>
      </w:r>
      <w:r w:rsidR="00CC55C0" w:rsidRPr="0071228C">
        <w:rPr>
          <w:noProof/>
        </w:rPr>
        <w:t xml:space="preserve"> w</w:t>
      </w:r>
      <w:r w:rsidR="00CC55C0">
        <w:rPr>
          <w:noProof/>
        </w:rPr>
        <w:t> </w:t>
      </w:r>
      <w:r w:rsidR="00CC55C0" w:rsidRPr="0071228C">
        <w:rPr>
          <w:noProof/>
        </w:rPr>
        <w:t>zał</w:t>
      </w:r>
      <w:r w:rsidRPr="0071228C">
        <w:rPr>
          <w:noProof/>
        </w:rPr>
        <w:t>ączniku I część A, ze skutkiem od ... [Urząd Publikacji: proszę wstawić datę = pierwszy dzień miesiąca następującego po upływie 18 miesięcy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w:t>
      </w:r>
      <w:r w:rsidR="00CC55C0" w:rsidRPr="0071228C">
        <w:rPr>
          <w:noProof/>
        </w:rPr>
        <w:t xml:space="preserve"> w</w:t>
      </w:r>
      <w:r w:rsidR="00CC55C0">
        <w:rPr>
          <w:noProof/>
        </w:rPr>
        <w:t> </w:t>
      </w:r>
      <w:r w:rsidR="00CC55C0" w:rsidRPr="0071228C">
        <w:rPr>
          <w:noProof/>
        </w:rPr>
        <w:t>cel</w:t>
      </w:r>
      <w:r w:rsidRPr="0071228C">
        <w:rPr>
          <w:noProof/>
        </w:rPr>
        <w:t>u zapobiegania pogorszeniu stanu chemicznego jednolitej części wód powierzchniowych oraz osiągnięcia dobrego stanu chemicznego wód powierzchniowych</w:t>
      </w:r>
      <w:r w:rsidR="00CC55C0" w:rsidRPr="0071228C">
        <w:rPr>
          <w:noProof/>
        </w:rPr>
        <w:t xml:space="preserve"> w</w:t>
      </w:r>
      <w:r w:rsidR="00CC55C0">
        <w:rPr>
          <w:noProof/>
        </w:rPr>
        <w:t> </w:t>
      </w:r>
      <w:r w:rsidR="00CC55C0" w:rsidRPr="0071228C">
        <w:rPr>
          <w:noProof/>
        </w:rPr>
        <w:t>odn</w:t>
      </w:r>
      <w:r w:rsidRPr="0071228C">
        <w:rPr>
          <w:noProof/>
        </w:rPr>
        <w:t xml:space="preserve">iesieniu do tych substancji.”; </w:t>
      </w:r>
    </w:p>
    <w:p w14:paraId="6C24A5FF" w14:textId="2F643120" w:rsidR="00064ADB" w:rsidRPr="0071228C" w:rsidRDefault="00CC55C0" w:rsidP="00CC55C0">
      <w:pPr>
        <w:pStyle w:val="Point1"/>
        <w:rPr>
          <w:noProof/>
        </w:rPr>
      </w:pPr>
      <w:r>
        <w:rPr>
          <w:noProof/>
        </w:rPr>
        <w:t>b)</w:t>
      </w:r>
      <w:r>
        <w:rPr>
          <w:noProof/>
        </w:rPr>
        <w:tab/>
      </w:r>
      <w:r w:rsidR="00064ADB" w:rsidRPr="0071228C">
        <w:rPr>
          <w:noProof/>
        </w:rPr>
        <w:t>ust. 2 otrzymuje brzmienie:</w:t>
      </w:r>
    </w:p>
    <w:p w14:paraId="550120F2" w14:textId="6F35D774" w:rsidR="00064ADB" w:rsidRPr="0071228C" w:rsidRDefault="00064ADB" w:rsidP="00064ADB">
      <w:pPr>
        <w:pStyle w:val="Text1"/>
        <w:rPr>
          <w:noProof/>
        </w:rPr>
      </w:pPr>
      <w:r w:rsidRPr="0071228C">
        <w:rPr>
          <w:noProof/>
        </w:rPr>
        <w:t>„2</w:t>
      </w:r>
      <w:r w:rsidR="00CC55C0" w:rsidRPr="0071228C">
        <w:rPr>
          <w:noProof/>
        </w:rPr>
        <w:t>. W</w:t>
      </w:r>
      <w:r w:rsidR="00CC55C0">
        <w:rPr>
          <w:noProof/>
        </w:rPr>
        <w:t> </w:t>
      </w:r>
      <w:r w:rsidR="00CC55C0" w:rsidRPr="0071228C">
        <w:rPr>
          <w:noProof/>
        </w:rPr>
        <w:t>odn</w:t>
      </w:r>
      <w:r w:rsidRPr="0071228C">
        <w:rPr>
          <w:noProof/>
        </w:rPr>
        <w:t>iesieniu do substancji,</w:t>
      </w:r>
      <w:r w:rsidR="00CC55C0" w:rsidRPr="0071228C">
        <w:rPr>
          <w:noProof/>
        </w:rPr>
        <w:t xml:space="preserve"> w</w:t>
      </w:r>
      <w:r w:rsidR="00CC55C0">
        <w:rPr>
          <w:noProof/>
        </w:rPr>
        <w:t> </w:t>
      </w:r>
      <w:r w:rsidR="00CC55C0" w:rsidRPr="0071228C">
        <w:rPr>
          <w:noProof/>
        </w:rPr>
        <w:t>prz</w:t>
      </w:r>
      <w:r w:rsidRPr="0071228C">
        <w:rPr>
          <w:noProof/>
        </w:rPr>
        <w:t>ypadku których środowiskowe normy jakości dla fauny</w:t>
      </w:r>
      <w:r w:rsidR="00CC55C0" w:rsidRPr="0071228C">
        <w:rPr>
          <w:noProof/>
        </w:rPr>
        <w:t xml:space="preserve"> i</w:t>
      </w:r>
      <w:r w:rsidR="00CC55C0">
        <w:rPr>
          <w:noProof/>
        </w:rPr>
        <w:t> </w:t>
      </w:r>
      <w:r w:rsidR="00CC55C0" w:rsidRPr="0071228C">
        <w:rPr>
          <w:noProof/>
        </w:rPr>
        <w:t>flo</w:t>
      </w:r>
      <w:r w:rsidRPr="0071228C">
        <w:rPr>
          <w:noProof/>
        </w:rPr>
        <w:t>ry lub osadów zostały określone</w:t>
      </w:r>
      <w:r w:rsidR="00CC55C0" w:rsidRPr="0071228C">
        <w:rPr>
          <w:noProof/>
        </w:rPr>
        <w:t xml:space="preserve"> w</w:t>
      </w:r>
      <w:r w:rsidR="00CC55C0">
        <w:rPr>
          <w:noProof/>
        </w:rPr>
        <w:t> </w:t>
      </w:r>
      <w:r w:rsidR="00CC55C0" w:rsidRPr="0071228C">
        <w:rPr>
          <w:noProof/>
        </w:rPr>
        <w:t>zał</w:t>
      </w:r>
      <w:r w:rsidRPr="0071228C">
        <w:rPr>
          <w:noProof/>
        </w:rPr>
        <w:t>ączniku I część A, państwa członkowskie stosują takie normy jakości</w:t>
      </w:r>
      <w:r w:rsidR="00CC55C0" w:rsidRPr="0071228C">
        <w:rPr>
          <w:noProof/>
        </w:rPr>
        <w:t xml:space="preserve"> w</w:t>
      </w:r>
      <w:r w:rsidR="00CC55C0">
        <w:rPr>
          <w:noProof/>
        </w:rPr>
        <w:t> </w:t>
      </w:r>
      <w:r w:rsidR="00CC55C0" w:rsidRPr="0071228C">
        <w:rPr>
          <w:noProof/>
        </w:rPr>
        <w:t>odn</w:t>
      </w:r>
      <w:r w:rsidRPr="0071228C">
        <w:rPr>
          <w:noProof/>
        </w:rPr>
        <w:t>iesieniu do fauny</w:t>
      </w:r>
      <w:r w:rsidR="00CC55C0" w:rsidRPr="0071228C">
        <w:rPr>
          <w:noProof/>
        </w:rPr>
        <w:t xml:space="preserve"> i</w:t>
      </w:r>
      <w:r w:rsidR="00CC55C0">
        <w:rPr>
          <w:noProof/>
        </w:rPr>
        <w:t> </w:t>
      </w:r>
      <w:r w:rsidR="00CC55C0" w:rsidRPr="0071228C">
        <w:rPr>
          <w:noProof/>
        </w:rPr>
        <w:t>flo</w:t>
      </w:r>
      <w:r w:rsidRPr="0071228C">
        <w:rPr>
          <w:noProof/>
        </w:rPr>
        <w:t xml:space="preserve">ry lub osadów. </w:t>
      </w:r>
    </w:p>
    <w:p w14:paraId="2759C0C1" w14:textId="5D99578D" w:rsidR="00064ADB" w:rsidRPr="00CC55C0" w:rsidRDefault="00064ADB" w:rsidP="00064ADB">
      <w:pPr>
        <w:pStyle w:val="Text1"/>
        <w:rPr>
          <w:i/>
          <w:noProof/>
        </w:rPr>
      </w:pPr>
      <w:r w:rsidRPr="0071228C">
        <w:rPr>
          <w:noProof/>
        </w:rPr>
        <w:t>W odniesieniu do substancji innych niż te,</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picie pierwszym, państwa członkowskie stosują środowiskowe normy jakości dla wód określone</w:t>
      </w:r>
      <w:r w:rsidR="00CC55C0" w:rsidRPr="0071228C">
        <w:rPr>
          <w:noProof/>
        </w:rPr>
        <w:t xml:space="preserve"> w</w:t>
      </w:r>
      <w:r w:rsidR="00CC55C0">
        <w:rPr>
          <w:noProof/>
        </w:rPr>
        <w:t> </w:t>
      </w:r>
      <w:r w:rsidR="00CC55C0" w:rsidRPr="0071228C">
        <w:rPr>
          <w:noProof/>
        </w:rPr>
        <w:t>zał</w:t>
      </w:r>
      <w:r w:rsidRPr="0071228C">
        <w:rPr>
          <w:noProof/>
        </w:rPr>
        <w:t>ączniku I część A.”</w:t>
      </w:r>
      <w:r w:rsidRPr="00CC55C0">
        <w:rPr>
          <w:noProof/>
        </w:rPr>
        <w:t>;</w:t>
      </w:r>
      <w:r w:rsidR="00CC55C0" w:rsidRPr="00CC55C0">
        <w:rPr>
          <w:noProof/>
        </w:rPr>
        <w:t xml:space="preserve"> </w:t>
      </w:r>
    </w:p>
    <w:p w14:paraId="3944619D" w14:textId="0B7AE76C" w:rsidR="00064ADB" w:rsidRPr="0071228C" w:rsidRDefault="00CC55C0" w:rsidP="00CC55C0">
      <w:pPr>
        <w:pStyle w:val="Point1"/>
        <w:rPr>
          <w:noProof/>
        </w:rPr>
      </w:pPr>
      <w:r>
        <w:rPr>
          <w:noProof/>
        </w:rPr>
        <w:t>c)</w:t>
      </w:r>
      <w:r>
        <w:rPr>
          <w:noProof/>
        </w:rPr>
        <w:tab/>
      </w:r>
      <w:r w:rsidR="00064ADB" w:rsidRPr="0071228C">
        <w:rPr>
          <w:noProof/>
        </w:rPr>
        <w:t>ust. 6 akapit pierwszy zdanie pierwsze otrzymuje brzmienie:</w:t>
      </w:r>
    </w:p>
    <w:p w14:paraId="0F61920A" w14:textId="3672B374" w:rsidR="00064ADB" w:rsidRPr="0071228C" w:rsidRDefault="00064ADB" w:rsidP="00064ADB">
      <w:pPr>
        <w:pStyle w:val="Text1"/>
        <w:rPr>
          <w:i/>
          <w:noProof/>
        </w:rPr>
      </w:pPr>
      <w:r w:rsidRPr="0071228C">
        <w:rPr>
          <w:noProof/>
        </w:rPr>
        <w:t>„Państwa członkowskie przeprowadzają analizę długoterminowych trendów stężeń tych substancji priorytetowych zidentyfikowanych</w:t>
      </w:r>
      <w:r w:rsidR="00CC55C0" w:rsidRPr="0071228C">
        <w:rPr>
          <w:noProof/>
        </w:rPr>
        <w:t xml:space="preserve"> w</w:t>
      </w:r>
      <w:r w:rsidR="00CC55C0">
        <w:rPr>
          <w:noProof/>
        </w:rPr>
        <w:t> </w:t>
      </w:r>
      <w:r w:rsidR="00CC55C0" w:rsidRPr="0071228C">
        <w:rPr>
          <w:noProof/>
        </w:rPr>
        <w:t>zał</w:t>
      </w:r>
      <w:r w:rsidRPr="0071228C">
        <w:rPr>
          <w:noProof/>
        </w:rPr>
        <w:t>ączniku I część A jako substancje, które wykazują tendencję do akumulowania się</w:t>
      </w:r>
      <w:r w:rsidR="00CC55C0" w:rsidRPr="0071228C">
        <w:rPr>
          <w:noProof/>
        </w:rPr>
        <w:t xml:space="preserve"> w</w:t>
      </w:r>
      <w:r w:rsidR="00CC55C0">
        <w:rPr>
          <w:noProof/>
        </w:rPr>
        <w:t> </w:t>
      </w:r>
      <w:r w:rsidR="00CC55C0" w:rsidRPr="0071228C">
        <w:rPr>
          <w:noProof/>
        </w:rPr>
        <w:t>osa</w:t>
      </w:r>
      <w:r w:rsidRPr="0071228C">
        <w:rPr>
          <w:noProof/>
        </w:rPr>
        <w:t>dach lub faunie</w:t>
      </w:r>
      <w:r w:rsidR="00CC55C0" w:rsidRPr="0071228C">
        <w:rPr>
          <w:noProof/>
        </w:rPr>
        <w:t xml:space="preserve"> i</w:t>
      </w:r>
      <w:r w:rsidR="00CC55C0">
        <w:rPr>
          <w:noProof/>
        </w:rPr>
        <w:t> </w:t>
      </w:r>
      <w:r w:rsidR="00CC55C0" w:rsidRPr="0071228C">
        <w:rPr>
          <w:noProof/>
        </w:rPr>
        <w:t>flo</w:t>
      </w:r>
      <w:r w:rsidRPr="0071228C">
        <w:rPr>
          <w:noProof/>
        </w:rPr>
        <w:t>rze na podstawie monitorowania</w:t>
      </w:r>
      <w:r w:rsidR="00CC55C0" w:rsidRPr="0071228C">
        <w:rPr>
          <w:noProof/>
        </w:rPr>
        <w:t xml:space="preserve"> w</w:t>
      </w:r>
      <w:r w:rsidR="00CC55C0">
        <w:rPr>
          <w:noProof/>
        </w:rPr>
        <w:t> </w:t>
      </w:r>
      <w:r w:rsidR="00CC55C0" w:rsidRPr="0071228C">
        <w:rPr>
          <w:noProof/>
        </w:rPr>
        <w:t>osa</w:t>
      </w:r>
      <w:r w:rsidRPr="0071228C">
        <w:rPr>
          <w:noProof/>
        </w:rPr>
        <w:t>dach lub faunie</w:t>
      </w:r>
      <w:r w:rsidR="00CC55C0" w:rsidRPr="0071228C">
        <w:rPr>
          <w:noProof/>
        </w:rPr>
        <w:t xml:space="preserve"> i</w:t>
      </w:r>
      <w:r w:rsidR="00CC55C0">
        <w:rPr>
          <w:noProof/>
        </w:rPr>
        <w:t> </w:t>
      </w:r>
      <w:r w:rsidR="00CC55C0" w:rsidRPr="0071228C">
        <w:rPr>
          <w:noProof/>
        </w:rPr>
        <w:t>flo</w:t>
      </w:r>
      <w:r w:rsidRPr="0071228C">
        <w:rPr>
          <w:noProof/>
        </w:rPr>
        <w:t>rze prowadzonego</w:t>
      </w:r>
      <w:r w:rsidR="00CC55C0" w:rsidRPr="0071228C">
        <w:rPr>
          <w:noProof/>
        </w:rPr>
        <w:t xml:space="preserve"> w</w:t>
      </w:r>
      <w:r w:rsidR="00CC55C0">
        <w:rPr>
          <w:noProof/>
        </w:rPr>
        <w:t> </w:t>
      </w:r>
      <w:r w:rsidR="00CC55C0" w:rsidRPr="0071228C">
        <w:rPr>
          <w:noProof/>
        </w:rPr>
        <w:t>ram</w:t>
      </w:r>
      <w:r w:rsidRPr="0071228C">
        <w:rPr>
          <w:noProof/>
        </w:rPr>
        <w:t>ach monitorowania stanu wód powierzchniowych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dyrektywy 2000/60/WE.”;</w:t>
      </w:r>
      <w:r w:rsidRPr="0071228C">
        <w:rPr>
          <w:i/>
          <w:noProof/>
        </w:rPr>
        <w:t xml:space="preserve"> </w:t>
      </w:r>
    </w:p>
    <w:p w14:paraId="2D2C407B" w14:textId="440CC45C" w:rsidR="00064ADB" w:rsidRPr="0071228C" w:rsidRDefault="00CC55C0" w:rsidP="00CC55C0">
      <w:pPr>
        <w:pStyle w:val="Point1"/>
        <w:rPr>
          <w:noProof/>
        </w:rPr>
      </w:pPr>
      <w:r>
        <w:rPr>
          <w:noProof/>
        </w:rPr>
        <w:t>d)</w:t>
      </w:r>
      <w:r>
        <w:rPr>
          <w:noProof/>
        </w:rPr>
        <w:tab/>
      </w:r>
      <w:r w:rsidR="00064ADB" w:rsidRPr="0071228C">
        <w:rPr>
          <w:noProof/>
        </w:rPr>
        <w:t xml:space="preserve">uchyla się </w:t>
      </w:r>
      <w:r w:rsidR="00064ADB" w:rsidRPr="00CC55C0">
        <w:rPr>
          <w:noProof/>
        </w:rPr>
        <w:t>ust.</w:t>
      </w:r>
      <w:r w:rsidRPr="00CC55C0">
        <w:rPr>
          <w:noProof/>
        </w:rPr>
        <w:t> </w:t>
      </w:r>
      <w:r w:rsidR="00064ADB" w:rsidRPr="00CC55C0">
        <w:rPr>
          <w:noProof/>
        </w:rPr>
        <w:t>7</w:t>
      </w:r>
      <w:r w:rsidR="00064ADB" w:rsidRPr="0071228C">
        <w:rPr>
          <w:noProof/>
        </w:rPr>
        <w:t xml:space="preserve">; </w:t>
      </w:r>
    </w:p>
    <w:p w14:paraId="15B28707" w14:textId="2C3CDC35" w:rsidR="00064ADB" w:rsidRPr="0071228C" w:rsidRDefault="00CC55C0" w:rsidP="00CC55C0">
      <w:pPr>
        <w:pStyle w:val="Point1"/>
        <w:rPr>
          <w:noProof/>
        </w:rPr>
      </w:pPr>
      <w:r>
        <w:rPr>
          <w:noProof/>
        </w:rPr>
        <w:t>e)</w:t>
      </w:r>
      <w:r>
        <w:rPr>
          <w:noProof/>
        </w:rPr>
        <w:tab/>
      </w:r>
      <w:r w:rsidR="00064ADB" w:rsidRPr="0071228C">
        <w:rPr>
          <w:noProof/>
        </w:rPr>
        <w:t xml:space="preserve">ust. 8 otrzymuje brzmienie: </w:t>
      </w:r>
    </w:p>
    <w:p w14:paraId="7CF2D0EF" w14:textId="5CEFEFDC" w:rsidR="00064ADB" w:rsidRPr="0071228C" w:rsidRDefault="00064ADB" w:rsidP="00AA4E33">
      <w:pPr>
        <w:pStyle w:val="Text1"/>
        <w:rPr>
          <w:noProof/>
        </w:rPr>
      </w:pPr>
      <w:r w:rsidRPr="0071228C">
        <w:rPr>
          <w:noProof/>
        </w:rPr>
        <w:t>„8. Komisja jest uprawniona do przyjmowania aktów delegowanych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a</w:t>
      </w:r>
      <w:r w:rsidR="00CC55C0" w:rsidRPr="0071228C">
        <w:rPr>
          <w:noProof/>
        </w:rPr>
        <w:t xml:space="preserve"> w</w:t>
      </w:r>
      <w:r w:rsidR="00CC55C0">
        <w:rPr>
          <w:noProof/>
        </w:rPr>
        <w:t> </w:t>
      </w:r>
      <w:r w:rsidR="00CC55C0" w:rsidRPr="0071228C">
        <w:rPr>
          <w:noProof/>
        </w:rPr>
        <w:t>cel</w:t>
      </w:r>
      <w:r w:rsidRPr="0071228C">
        <w:rPr>
          <w:noProof/>
        </w:rPr>
        <w:t xml:space="preserve">u zmiany załącznika I część B </w:t>
      </w:r>
      <w:r w:rsidRPr="00CC55C0">
        <w:rPr>
          <w:noProof/>
        </w:rPr>
        <w:t>pkt</w:t>
      </w:r>
      <w:r w:rsidR="00CC55C0" w:rsidRPr="00CC55C0">
        <w:rPr>
          <w:noProof/>
        </w:rPr>
        <w:t> </w:t>
      </w:r>
      <w:r w:rsidRPr="00CC55C0">
        <w:rPr>
          <w:noProof/>
        </w:rPr>
        <w:t>3</w:t>
      </w:r>
      <w:r w:rsidRPr="0071228C">
        <w:rPr>
          <w:noProof/>
        </w:rPr>
        <w:t>, aby dostosować go do postępu naukowego lub technicznego.”;</w:t>
      </w:r>
    </w:p>
    <w:p w14:paraId="0A466646" w14:textId="17C50BC2" w:rsidR="00064ADB" w:rsidRPr="0071228C" w:rsidRDefault="00CC55C0" w:rsidP="00CC55C0">
      <w:pPr>
        <w:pStyle w:val="Point0"/>
        <w:rPr>
          <w:noProof/>
        </w:rPr>
      </w:pPr>
      <w:r>
        <w:rPr>
          <w:noProof/>
        </w:rPr>
        <w:t>3)</w:t>
      </w:r>
      <w:r>
        <w:rPr>
          <w:noProof/>
        </w:rPr>
        <w:tab/>
      </w:r>
      <w:r w:rsidR="00064ADB" w:rsidRPr="0071228C">
        <w:rPr>
          <w:noProof/>
        </w:rPr>
        <w:t xml:space="preserve">w </w:t>
      </w:r>
      <w:r w:rsidR="00064ADB" w:rsidRPr="00CC55C0">
        <w:rPr>
          <w:noProof/>
        </w:rPr>
        <w:t>art.</w:t>
      </w:r>
      <w:r w:rsidRPr="00CC55C0">
        <w:rPr>
          <w:noProof/>
        </w:rPr>
        <w:t> </w:t>
      </w:r>
      <w:r w:rsidR="00064ADB" w:rsidRPr="00CC55C0">
        <w:rPr>
          <w:noProof/>
        </w:rPr>
        <w:t>5</w:t>
      </w:r>
      <w:r w:rsidR="00064ADB" w:rsidRPr="0071228C">
        <w:rPr>
          <w:noProof/>
        </w:rPr>
        <w:t xml:space="preserve"> wprowadza się następujące zmiany:</w:t>
      </w:r>
    </w:p>
    <w:p w14:paraId="49CE523D" w14:textId="42A7E065" w:rsidR="00064ADB" w:rsidRPr="0071228C" w:rsidRDefault="00CC55C0" w:rsidP="00CC55C0">
      <w:pPr>
        <w:pStyle w:val="Point1"/>
        <w:rPr>
          <w:noProof/>
        </w:rPr>
      </w:pPr>
      <w:r>
        <w:rPr>
          <w:noProof/>
        </w:rPr>
        <w:t>a)</w:t>
      </w:r>
      <w:r>
        <w:rPr>
          <w:noProof/>
        </w:rPr>
        <w:tab/>
      </w:r>
      <w:r w:rsidR="00064ADB" w:rsidRPr="0071228C">
        <w:rPr>
          <w:noProof/>
        </w:rPr>
        <w:t xml:space="preserve">ust. 1 otrzymuje brzmienie: </w:t>
      </w:r>
    </w:p>
    <w:p w14:paraId="0B35BA97" w14:textId="70DB7E24" w:rsidR="00064ADB" w:rsidRPr="0071228C" w:rsidRDefault="00064ADB" w:rsidP="00064ADB">
      <w:pPr>
        <w:pStyle w:val="Text1"/>
        <w:rPr>
          <w:noProof/>
        </w:rPr>
      </w:pPr>
      <w:r w:rsidRPr="0071228C">
        <w:rPr>
          <w:noProof/>
        </w:rPr>
        <w:t>„1. Na podstawie informacji zebranych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5</w:t>
      </w:r>
      <w:r w:rsidR="00CC55C0" w:rsidRPr="0071228C">
        <w:rPr>
          <w:noProof/>
        </w:rPr>
        <w:t xml:space="preserve"> i</w:t>
      </w:r>
      <w:r w:rsidR="00CC55C0">
        <w:rPr>
          <w:noProof/>
        </w:rPr>
        <w:t> </w:t>
      </w:r>
      <w:r w:rsidR="00CC55C0" w:rsidRPr="0071228C">
        <w:rPr>
          <w:noProof/>
        </w:rPr>
        <w:t>8</w:t>
      </w:r>
      <w:r w:rsidRPr="0071228C">
        <w:rPr>
          <w:noProof/>
        </w:rPr>
        <w:t xml:space="preserve"> dyrektywy 2000/60/WE oraz innych dostępnych danych państwa członkowskie opracowują wykaz, obejmujący mapy, jeżeli są dostępne, emisji, zrzutów</w:t>
      </w:r>
      <w:r w:rsidR="00CC55C0" w:rsidRPr="0071228C">
        <w:rPr>
          <w:noProof/>
        </w:rPr>
        <w:t xml:space="preserve"> i</w:t>
      </w:r>
      <w:r w:rsidR="00CC55C0">
        <w:rPr>
          <w:noProof/>
        </w:rPr>
        <w:t> </w:t>
      </w:r>
      <w:r w:rsidR="00CC55C0" w:rsidRPr="0071228C">
        <w:rPr>
          <w:noProof/>
        </w:rPr>
        <w:t>str</w:t>
      </w:r>
      <w:r w:rsidRPr="0071228C">
        <w:rPr>
          <w:noProof/>
        </w:rPr>
        <w:t>at wszystkich substancji priorytetowych wymienionych</w:t>
      </w:r>
      <w:r w:rsidR="00CC55C0" w:rsidRPr="0071228C">
        <w:rPr>
          <w:noProof/>
        </w:rPr>
        <w:t xml:space="preserve"> w</w:t>
      </w:r>
      <w:r w:rsidR="00CC55C0">
        <w:rPr>
          <w:noProof/>
        </w:rPr>
        <w:t> </w:t>
      </w:r>
      <w:r w:rsidR="00CC55C0" w:rsidRPr="0071228C">
        <w:rPr>
          <w:noProof/>
        </w:rPr>
        <w:t>zał</w:t>
      </w:r>
      <w:r w:rsidRPr="0071228C">
        <w:rPr>
          <w:noProof/>
        </w:rPr>
        <w:t>ączniku I część A do niniejszej dyrektywy oraz wszystkich substancji zanieczyszczających wymienionych</w:t>
      </w:r>
      <w:r w:rsidR="00CC55C0" w:rsidRPr="0071228C">
        <w:rPr>
          <w:noProof/>
        </w:rPr>
        <w:t xml:space="preserve"> w</w:t>
      </w:r>
      <w:r w:rsidR="00CC55C0">
        <w:rPr>
          <w:noProof/>
        </w:rPr>
        <w:t> </w:t>
      </w:r>
      <w:r w:rsidR="00CC55C0" w:rsidRPr="0071228C">
        <w:rPr>
          <w:noProof/>
        </w:rPr>
        <w:t>zał</w:t>
      </w:r>
      <w:r w:rsidRPr="0071228C">
        <w:rPr>
          <w:noProof/>
        </w:rPr>
        <w:t>ączniku II część A do niniejszej dyrektywy dla każdego obszaru dorzecza lub części obszaru dorzecza znajdujących się na ich terytorium,</w:t>
      </w:r>
      <w:r w:rsidR="00CC55C0" w:rsidRPr="0071228C">
        <w:rPr>
          <w:noProof/>
        </w:rPr>
        <w:t xml:space="preserve"> w</w:t>
      </w:r>
      <w:r w:rsidR="00CC55C0">
        <w:rPr>
          <w:noProof/>
        </w:rPr>
        <w:t> </w:t>
      </w:r>
      <w:r w:rsidR="00CC55C0" w:rsidRPr="0071228C">
        <w:rPr>
          <w:noProof/>
        </w:rPr>
        <w:t>tym</w:t>
      </w:r>
      <w:r w:rsidRPr="0071228C">
        <w:rPr>
          <w:noProof/>
        </w:rPr>
        <w:t>,</w:t>
      </w:r>
      <w:r w:rsidR="00CC55C0" w:rsidRPr="0071228C">
        <w:rPr>
          <w:noProof/>
        </w:rPr>
        <w:t xml:space="preserve"> w</w:t>
      </w:r>
      <w:r w:rsidR="00CC55C0">
        <w:rPr>
          <w:noProof/>
        </w:rPr>
        <w:t> </w:t>
      </w:r>
      <w:r w:rsidR="00CC55C0" w:rsidRPr="0071228C">
        <w:rPr>
          <w:noProof/>
        </w:rPr>
        <w:t>sto</w:t>
      </w:r>
      <w:r w:rsidRPr="0071228C">
        <w:rPr>
          <w:noProof/>
        </w:rPr>
        <w:t>sownych przypadkach, ich stężenie</w:t>
      </w:r>
      <w:r w:rsidR="00CC55C0" w:rsidRPr="0071228C">
        <w:rPr>
          <w:noProof/>
        </w:rPr>
        <w:t xml:space="preserve"> w</w:t>
      </w:r>
      <w:r w:rsidR="00CC55C0">
        <w:rPr>
          <w:noProof/>
        </w:rPr>
        <w:t> </w:t>
      </w:r>
      <w:r w:rsidR="00CC55C0" w:rsidRPr="0071228C">
        <w:rPr>
          <w:noProof/>
        </w:rPr>
        <w:t>osa</w:t>
      </w:r>
      <w:r w:rsidRPr="0071228C">
        <w:rPr>
          <w:noProof/>
        </w:rPr>
        <w:t>dach oraz florze</w:t>
      </w:r>
      <w:r w:rsidR="00CC55C0" w:rsidRPr="0071228C">
        <w:rPr>
          <w:noProof/>
        </w:rPr>
        <w:t xml:space="preserve"> i</w:t>
      </w:r>
      <w:r w:rsidR="00CC55C0">
        <w:rPr>
          <w:noProof/>
        </w:rPr>
        <w:t> </w:t>
      </w:r>
      <w:r w:rsidR="00CC55C0" w:rsidRPr="0071228C">
        <w:rPr>
          <w:noProof/>
        </w:rPr>
        <w:t>fau</w:t>
      </w:r>
      <w:r w:rsidRPr="0071228C">
        <w:rPr>
          <w:noProof/>
        </w:rPr>
        <w:t xml:space="preserve">nie. </w:t>
      </w:r>
    </w:p>
    <w:p w14:paraId="2743F0D3" w14:textId="2A9B7A59" w:rsidR="00064ADB" w:rsidRPr="0071228C" w:rsidRDefault="00064ADB" w:rsidP="00064ADB">
      <w:pPr>
        <w:pStyle w:val="Text1"/>
        <w:rPr>
          <w:i/>
          <w:noProof/>
        </w:rPr>
      </w:pPr>
      <w:r w:rsidRPr="0071228C">
        <w:rPr>
          <w:noProof/>
        </w:rPr>
        <w:t>Akapit pierwszy nie ma zastosowania do emisji, zrzutów</w:t>
      </w:r>
      <w:r w:rsidR="00CC55C0" w:rsidRPr="0071228C">
        <w:rPr>
          <w:noProof/>
        </w:rPr>
        <w:t xml:space="preserve"> i</w:t>
      </w:r>
      <w:r w:rsidR="00CC55C0">
        <w:rPr>
          <w:noProof/>
        </w:rPr>
        <w:t> </w:t>
      </w:r>
      <w:r w:rsidR="00CC55C0" w:rsidRPr="0071228C">
        <w:rPr>
          <w:noProof/>
        </w:rPr>
        <w:t>str</w:t>
      </w:r>
      <w:r w:rsidRPr="0071228C">
        <w:rPr>
          <w:noProof/>
        </w:rPr>
        <w:t>at zgłaszanych Komisji drogą elektroniczną zgodnie</w:t>
      </w:r>
      <w:r w:rsidR="00CC55C0" w:rsidRPr="0071228C">
        <w:rPr>
          <w:noProof/>
        </w:rPr>
        <w:t xml:space="preserve"> z</w:t>
      </w:r>
      <w:r w:rsidR="00CC55C0">
        <w:rPr>
          <w:noProof/>
        </w:rPr>
        <w:t> </w:t>
      </w:r>
      <w:r w:rsidR="00CC55C0" w:rsidRPr="0071228C">
        <w:rPr>
          <w:noProof/>
        </w:rPr>
        <w:t>roz</w:t>
      </w:r>
      <w:r w:rsidRPr="0071228C">
        <w:rPr>
          <w:noProof/>
        </w:rPr>
        <w:t>porządzeniem (UE) .../...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Pr="0071228C">
        <w:rPr>
          <w:rStyle w:val="FootnoteReference"/>
          <w:bCs/>
          <w:noProof/>
        </w:rPr>
        <w:footnoteReference w:customMarkFollows="1" w:id="66"/>
        <w:t>+</w:t>
      </w:r>
      <w:r w:rsidR="00CC55C0" w:rsidRPr="0071228C">
        <w:rPr>
          <w:noProof/>
        </w:rPr>
        <w:t>.”</w:t>
      </w:r>
      <w:r w:rsidRPr="0071228C">
        <w:rPr>
          <w:noProof/>
        </w:rPr>
        <w:t>;</w:t>
      </w:r>
    </w:p>
    <w:p w14:paraId="747A8A71" w14:textId="68B5E7F1" w:rsidR="00064ADB" w:rsidRPr="0071228C" w:rsidRDefault="00CC55C0" w:rsidP="00CC55C0">
      <w:pPr>
        <w:pStyle w:val="Point1"/>
        <w:rPr>
          <w:i/>
          <w:noProof/>
        </w:rPr>
      </w:pPr>
      <w:r>
        <w:rPr>
          <w:noProof/>
        </w:rPr>
        <w:t>b)</w:t>
      </w:r>
      <w:r>
        <w:rPr>
          <w:noProof/>
        </w:rPr>
        <w:tab/>
      </w:r>
      <w:r w:rsidR="00064ADB" w:rsidRPr="0071228C">
        <w:rPr>
          <w:noProof/>
        </w:rPr>
        <w:t xml:space="preserve">uchyla się </w:t>
      </w:r>
      <w:r w:rsidR="00064ADB" w:rsidRPr="00CC55C0">
        <w:rPr>
          <w:noProof/>
        </w:rPr>
        <w:t>ust.</w:t>
      </w:r>
      <w:r w:rsidRPr="00CC55C0">
        <w:rPr>
          <w:noProof/>
        </w:rPr>
        <w:t> </w:t>
      </w:r>
      <w:r w:rsidR="00064ADB" w:rsidRPr="00CC55C0">
        <w:rPr>
          <w:noProof/>
        </w:rPr>
        <w:t>2</w:t>
      </w:r>
      <w:r w:rsidRPr="0071228C">
        <w:rPr>
          <w:noProof/>
        </w:rPr>
        <w:t xml:space="preserve"> i</w:t>
      </w:r>
      <w:r>
        <w:rPr>
          <w:noProof/>
        </w:rPr>
        <w:t> </w:t>
      </w:r>
      <w:r w:rsidRPr="0071228C">
        <w:rPr>
          <w:noProof/>
        </w:rPr>
        <w:t>3</w:t>
      </w:r>
      <w:r w:rsidR="00064ADB" w:rsidRPr="0071228C">
        <w:rPr>
          <w:noProof/>
        </w:rPr>
        <w:t xml:space="preserve">; </w:t>
      </w:r>
    </w:p>
    <w:p w14:paraId="1C1E0F4F" w14:textId="6FCFE70B" w:rsidR="00064ADB" w:rsidRPr="00CC55C0" w:rsidRDefault="00CC55C0" w:rsidP="00CC55C0">
      <w:pPr>
        <w:pStyle w:val="Point1"/>
        <w:rPr>
          <w:noProof/>
        </w:rPr>
      </w:pPr>
      <w:r>
        <w:rPr>
          <w:noProof/>
        </w:rPr>
        <w:t>c)</w:t>
      </w:r>
      <w:r>
        <w:rPr>
          <w:noProof/>
        </w:rPr>
        <w:tab/>
      </w:r>
      <w:r w:rsidR="00064ADB" w:rsidRPr="0071228C">
        <w:rPr>
          <w:noProof/>
        </w:rPr>
        <w:t>ust. 4 otrzymuje brzmienie</w:t>
      </w:r>
      <w:r w:rsidR="00064ADB" w:rsidRPr="00CC55C0">
        <w:rPr>
          <w:noProof/>
        </w:rPr>
        <w:t>:</w:t>
      </w:r>
      <w:r w:rsidRPr="00CC55C0">
        <w:rPr>
          <w:noProof/>
        </w:rPr>
        <w:t xml:space="preserve"> </w:t>
      </w:r>
    </w:p>
    <w:p w14:paraId="483DFFB9" w14:textId="0E0B2DE5" w:rsidR="00064ADB" w:rsidRPr="0071228C" w:rsidRDefault="00064ADB" w:rsidP="00064ADB">
      <w:pPr>
        <w:pStyle w:val="Text1"/>
        <w:rPr>
          <w:noProof/>
        </w:rPr>
      </w:pPr>
      <w:r w:rsidRPr="0071228C">
        <w:rPr>
          <w:noProof/>
        </w:rPr>
        <w:t>„4. Państwa członkowskie uaktualniają swoje wykazy</w:t>
      </w:r>
      <w:r w:rsidR="00CC55C0" w:rsidRPr="0071228C">
        <w:rPr>
          <w:noProof/>
        </w:rPr>
        <w:t xml:space="preserve"> w</w:t>
      </w:r>
      <w:r w:rsidR="00CC55C0">
        <w:rPr>
          <w:noProof/>
        </w:rPr>
        <w:t> </w:t>
      </w:r>
      <w:r w:rsidR="00CC55C0" w:rsidRPr="0071228C">
        <w:rPr>
          <w:noProof/>
        </w:rPr>
        <w:t>ram</w:t>
      </w:r>
      <w:r w:rsidRPr="0071228C">
        <w:rPr>
          <w:noProof/>
        </w:rPr>
        <w:t>ach przeglądów analiz określonych</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5</w:t>
      </w:r>
      <w:r w:rsidRPr="0071228C">
        <w:rPr>
          <w:noProof/>
        </w:rPr>
        <w:t xml:space="preserve"> </w:t>
      </w:r>
      <w:r w:rsidRPr="00CC55C0">
        <w:rPr>
          <w:noProof/>
        </w:rPr>
        <w:t>ust.</w:t>
      </w:r>
      <w:r w:rsidR="00CC55C0" w:rsidRPr="00CC55C0">
        <w:rPr>
          <w:noProof/>
        </w:rPr>
        <w:t> </w:t>
      </w:r>
      <w:r w:rsidRPr="00CC55C0">
        <w:rPr>
          <w:noProof/>
        </w:rPr>
        <w:t>2</w:t>
      </w:r>
      <w:r w:rsidRPr="0071228C">
        <w:rPr>
          <w:noProof/>
        </w:rPr>
        <w:t xml:space="preserve"> dyrektywy 2000/60/WE</w:t>
      </w:r>
      <w:r w:rsidR="00CC55C0" w:rsidRPr="0071228C">
        <w:rPr>
          <w:noProof/>
        </w:rPr>
        <w:t xml:space="preserve"> i</w:t>
      </w:r>
      <w:r w:rsidR="00CC55C0">
        <w:rPr>
          <w:noProof/>
        </w:rPr>
        <w:t> </w:t>
      </w:r>
      <w:r w:rsidR="00CC55C0" w:rsidRPr="0071228C">
        <w:rPr>
          <w:noProof/>
        </w:rPr>
        <w:t>zap</w:t>
      </w:r>
      <w:r w:rsidRPr="0071228C">
        <w:rPr>
          <w:noProof/>
        </w:rPr>
        <w:t>ewniają, aby emisje niezgłoszone na Europejskim Portalu Emisji Przemysłowych ustanowionym na mocy rozporządzenia (UE) .../...++ zostały opublikowane</w:t>
      </w:r>
      <w:r w:rsidR="00CC55C0" w:rsidRPr="0071228C">
        <w:rPr>
          <w:noProof/>
        </w:rPr>
        <w:t xml:space="preserve"> w</w:t>
      </w:r>
      <w:r w:rsidR="00CC55C0">
        <w:rPr>
          <w:noProof/>
        </w:rPr>
        <w:t> </w:t>
      </w:r>
      <w:r w:rsidR="00CC55C0" w:rsidRPr="0071228C">
        <w:rPr>
          <w:noProof/>
        </w:rPr>
        <w:t>ich</w:t>
      </w:r>
      <w:r w:rsidRPr="0071228C">
        <w:rPr>
          <w:noProof/>
        </w:rPr>
        <w:t xml:space="preserve"> planach gospodarowania wodami</w:t>
      </w:r>
      <w:r w:rsidR="00CC55C0" w:rsidRPr="0071228C">
        <w:rPr>
          <w:noProof/>
        </w:rPr>
        <w:t xml:space="preserve"> w</w:t>
      </w:r>
      <w:r w:rsidR="00CC55C0">
        <w:rPr>
          <w:noProof/>
        </w:rPr>
        <w:t> </w:t>
      </w:r>
      <w:r w:rsidR="00CC55C0" w:rsidRPr="0071228C">
        <w:rPr>
          <w:noProof/>
        </w:rPr>
        <w:t>dor</w:t>
      </w:r>
      <w:r w:rsidRPr="0071228C">
        <w:rPr>
          <w:noProof/>
        </w:rPr>
        <w:t>zeczu uaktualnionych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 xml:space="preserve">3 </w:t>
      </w:r>
      <w:r w:rsidRPr="00CC55C0">
        <w:rPr>
          <w:noProof/>
        </w:rPr>
        <w:t>ust.</w:t>
      </w:r>
      <w:r w:rsidR="00CC55C0" w:rsidRPr="00CC55C0">
        <w:rPr>
          <w:noProof/>
        </w:rPr>
        <w:t> </w:t>
      </w:r>
      <w:r w:rsidRPr="00CC55C0">
        <w:rPr>
          <w:noProof/>
        </w:rPr>
        <w:t>7</w:t>
      </w:r>
      <w:r w:rsidRPr="0071228C">
        <w:rPr>
          <w:noProof/>
        </w:rPr>
        <w:t xml:space="preserve"> tej dyrektywy. </w:t>
      </w:r>
    </w:p>
    <w:p w14:paraId="0D8834A0" w14:textId="6B062A51" w:rsidR="00064ADB" w:rsidRPr="0071228C" w:rsidRDefault="00064ADB" w:rsidP="00064ADB">
      <w:pPr>
        <w:pStyle w:val="Text1"/>
        <w:rPr>
          <w:noProof/>
        </w:rPr>
      </w:pPr>
      <w:r w:rsidRPr="0071228C">
        <w:rPr>
          <w:noProof/>
        </w:rPr>
        <w:t>Okresem referencyjnym dla ustalenia wartości</w:t>
      </w:r>
      <w:r w:rsidR="00CC55C0" w:rsidRPr="0071228C">
        <w:rPr>
          <w:noProof/>
        </w:rPr>
        <w:t xml:space="preserve"> w</w:t>
      </w:r>
      <w:r w:rsidR="00CC55C0">
        <w:rPr>
          <w:noProof/>
        </w:rPr>
        <w:t> </w:t>
      </w:r>
      <w:r w:rsidR="00CC55C0" w:rsidRPr="0071228C">
        <w:rPr>
          <w:noProof/>
        </w:rPr>
        <w:t>uak</w:t>
      </w:r>
      <w:r w:rsidRPr="0071228C">
        <w:rPr>
          <w:noProof/>
        </w:rPr>
        <w:t>tualnionych wykazach jest rok poprzedzający przewidziany rok zakończenia analiz,</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 xml:space="preserve">picie pierwszym. </w:t>
      </w:r>
    </w:p>
    <w:p w14:paraId="3D579E7D" w14:textId="4F21A209" w:rsidR="00064ADB" w:rsidRPr="0071228C" w:rsidRDefault="00064ADB" w:rsidP="00064ADB">
      <w:pPr>
        <w:pStyle w:val="Text1"/>
        <w:rPr>
          <w:noProof/>
        </w:rPr>
      </w:pPr>
      <w:r w:rsidRPr="0071228C">
        <w:rPr>
          <w:noProof/>
        </w:rPr>
        <w:t xml:space="preserve">Dla substancji priorytetowych lub substancji zanieczyszczających objętych rozporządzeniem (WE) </w:t>
      </w:r>
      <w:r w:rsidRPr="00CC55C0">
        <w:rPr>
          <w:noProof/>
        </w:rPr>
        <w:t>nr</w:t>
      </w:r>
      <w:r w:rsidR="00CC55C0" w:rsidRPr="00CC55C0">
        <w:rPr>
          <w:noProof/>
        </w:rPr>
        <w:t> </w:t>
      </w:r>
      <w:r w:rsidRPr="00CC55C0">
        <w:rPr>
          <w:noProof/>
        </w:rPr>
        <w:t>1</w:t>
      </w:r>
      <w:r w:rsidRPr="0071228C">
        <w:rPr>
          <w:noProof/>
        </w:rPr>
        <w:t>107/2009 wartości</w:t>
      </w:r>
      <w:r w:rsidR="00CC55C0" w:rsidRPr="0071228C">
        <w:rPr>
          <w:noProof/>
        </w:rPr>
        <w:t xml:space="preserve"> w</w:t>
      </w:r>
      <w:r w:rsidR="00CC55C0">
        <w:rPr>
          <w:noProof/>
        </w:rPr>
        <w:t> </w:t>
      </w:r>
      <w:r w:rsidR="00CC55C0" w:rsidRPr="0071228C">
        <w:rPr>
          <w:noProof/>
        </w:rPr>
        <w:t>wyk</w:t>
      </w:r>
      <w:r w:rsidRPr="0071228C">
        <w:rPr>
          <w:noProof/>
        </w:rPr>
        <w:t>azie mogą być wyliczone jako średnia</w:t>
      </w:r>
      <w:r w:rsidR="00CC55C0" w:rsidRPr="0071228C">
        <w:rPr>
          <w:noProof/>
        </w:rPr>
        <w:t xml:space="preserve"> z</w:t>
      </w:r>
      <w:r w:rsidR="00CC55C0">
        <w:rPr>
          <w:noProof/>
        </w:rPr>
        <w:t> </w:t>
      </w:r>
      <w:r w:rsidR="00CC55C0" w:rsidRPr="0071228C">
        <w:rPr>
          <w:noProof/>
        </w:rPr>
        <w:t>trz</w:t>
      </w:r>
      <w:r w:rsidRPr="0071228C">
        <w:rPr>
          <w:noProof/>
        </w:rPr>
        <w:t>ech lat poprzedzających datę zakończenia analizy,</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71228C">
        <w:rPr>
          <w:noProof/>
        </w:rPr>
        <w:t>aka</w:t>
      </w:r>
      <w:r w:rsidRPr="0071228C">
        <w:rPr>
          <w:noProof/>
        </w:rPr>
        <w:t>picie pierwszym.</w:t>
      </w:r>
    </w:p>
    <w:p w14:paraId="6567FC5F" w14:textId="319E709F" w:rsidR="00064ADB" w:rsidRPr="0071228C" w:rsidRDefault="00064ADB" w:rsidP="00064ADB">
      <w:pPr>
        <w:pStyle w:val="Text1"/>
        <w:rPr>
          <w:bCs/>
          <w:noProof/>
        </w:rPr>
      </w:pPr>
      <w:r w:rsidRPr="0071228C">
        <w:rPr>
          <w:noProof/>
        </w:rPr>
        <w:t>W przypadku emisji ze źródeł punktowych, które nie są objęte sprawozdawczością zgodnie</w:t>
      </w:r>
      <w:r w:rsidR="00CC55C0" w:rsidRPr="0071228C">
        <w:rPr>
          <w:noProof/>
        </w:rPr>
        <w:t xml:space="preserve"> z</w:t>
      </w:r>
      <w:r w:rsidR="00CC55C0">
        <w:rPr>
          <w:noProof/>
        </w:rPr>
        <w:t> </w:t>
      </w:r>
      <w:r w:rsidR="00CC55C0" w:rsidRPr="0071228C">
        <w:rPr>
          <w:noProof/>
        </w:rPr>
        <w:t>roz</w:t>
      </w:r>
      <w:r w:rsidRPr="0071228C">
        <w:rPr>
          <w:noProof/>
        </w:rPr>
        <w:t>porządzeniem (UE) .../...</w:t>
      </w:r>
      <w:r w:rsidRPr="0071228C">
        <w:rPr>
          <w:rStyle w:val="FootnoteReference"/>
          <w:noProof/>
        </w:rPr>
        <w:t xml:space="preserve"> </w:t>
      </w:r>
      <w:r w:rsidRPr="0071228C">
        <w:rPr>
          <w:noProof/>
        </w:rPr>
        <w:t>+++, ponieważ nie wchodzą</w:t>
      </w:r>
      <w:r w:rsidR="00CC55C0" w:rsidRPr="0071228C">
        <w:rPr>
          <w:noProof/>
        </w:rPr>
        <w:t xml:space="preserve"> w</w:t>
      </w:r>
      <w:r w:rsidR="00CC55C0">
        <w:rPr>
          <w:noProof/>
        </w:rPr>
        <w:t> </w:t>
      </w:r>
      <w:r w:rsidR="00CC55C0" w:rsidRPr="0071228C">
        <w:rPr>
          <w:noProof/>
        </w:rPr>
        <w:t>zak</w:t>
      </w:r>
      <w:r w:rsidRPr="0071228C">
        <w:rPr>
          <w:noProof/>
        </w:rPr>
        <w:t>res tego rozporządzenia lub są poniżej rocznych progów sprawozdawczości określonych</w:t>
      </w:r>
      <w:r w:rsidR="00CC55C0" w:rsidRPr="0071228C">
        <w:rPr>
          <w:noProof/>
        </w:rPr>
        <w:t xml:space="preserve"> w</w:t>
      </w:r>
      <w:r w:rsidR="00CC55C0">
        <w:rPr>
          <w:noProof/>
        </w:rPr>
        <w:t> </w:t>
      </w:r>
      <w:r w:rsidR="00CC55C0" w:rsidRPr="0071228C">
        <w:rPr>
          <w:noProof/>
        </w:rPr>
        <w:t>tym</w:t>
      </w:r>
      <w:r w:rsidRPr="0071228C">
        <w:rPr>
          <w:noProof/>
        </w:rPr>
        <w:t xml:space="preserve"> rozporządzeniu, obowiązek sprawozdawczy określony</w:t>
      </w:r>
      <w:r w:rsidR="00CC55C0" w:rsidRPr="0071228C">
        <w:rPr>
          <w:noProof/>
        </w:rPr>
        <w:t xml:space="preserve"> w</w:t>
      </w:r>
      <w:r w:rsidR="00CC55C0">
        <w:rPr>
          <w:noProof/>
        </w:rPr>
        <w:t> </w:t>
      </w:r>
      <w:r w:rsidR="00CC55C0" w:rsidRPr="0071228C">
        <w:rPr>
          <w:noProof/>
        </w:rPr>
        <w:t>aka</w:t>
      </w:r>
      <w:r w:rsidRPr="0071228C">
        <w:rPr>
          <w:noProof/>
        </w:rPr>
        <w:t>picie pierwszym niniejszego artykułu wypełnia się</w:t>
      </w:r>
      <w:r w:rsidR="00CC55C0" w:rsidRPr="0071228C">
        <w:rPr>
          <w:noProof/>
        </w:rPr>
        <w:t xml:space="preserve"> w</w:t>
      </w:r>
      <w:r w:rsidR="00CC55C0">
        <w:rPr>
          <w:noProof/>
        </w:rPr>
        <w:t> </w:t>
      </w:r>
      <w:r w:rsidR="00CC55C0" w:rsidRPr="0071228C">
        <w:rPr>
          <w:noProof/>
        </w:rPr>
        <w:t>dro</w:t>
      </w:r>
      <w:r w:rsidRPr="0071228C">
        <w:rPr>
          <w:noProof/>
        </w:rPr>
        <w:t xml:space="preserve">dze składania sprawozdań drogą elektroniczną na Europejskim Portalu Emisji Przemysłowych ustanowionym na podstawie tego rozporządzenia. </w:t>
      </w:r>
    </w:p>
    <w:p w14:paraId="6149B5FB" w14:textId="2483CA1E" w:rsidR="00064ADB" w:rsidRPr="0071228C" w:rsidRDefault="00064ADB" w:rsidP="00064ADB">
      <w:pPr>
        <w:pStyle w:val="Text1"/>
        <w:rPr>
          <w:noProof/>
        </w:rPr>
      </w:pPr>
      <w:r w:rsidRPr="0071228C">
        <w:rPr>
          <w:noProof/>
        </w:rPr>
        <w:t>Komisja – przy wsparciu Europejskiej Agencji Środowiska – przyjmuje akt wykonawczy ustanawiający format, poziom szczegółowości</w:t>
      </w:r>
      <w:r w:rsidR="00CC55C0" w:rsidRPr="0071228C">
        <w:rPr>
          <w:noProof/>
        </w:rPr>
        <w:t xml:space="preserve"> i</w:t>
      </w:r>
      <w:r w:rsidR="00CC55C0">
        <w:rPr>
          <w:noProof/>
        </w:rPr>
        <w:t> </w:t>
      </w:r>
      <w:r w:rsidR="00CC55C0" w:rsidRPr="0071228C">
        <w:rPr>
          <w:noProof/>
        </w:rPr>
        <w:t>czę</w:t>
      </w:r>
      <w:r w:rsidRPr="0071228C">
        <w:rPr>
          <w:noProof/>
        </w:rPr>
        <w:t>stotliwość składania sprawozdań,</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picie czwartym. Akt wykonawczy przyjmuje się zgodnie</w:t>
      </w:r>
      <w:r w:rsidR="00CC55C0" w:rsidRPr="0071228C">
        <w:rPr>
          <w:noProof/>
        </w:rPr>
        <w:t xml:space="preserve"> z</w:t>
      </w:r>
      <w:r w:rsidR="00CC55C0">
        <w:rPr>
          <w:noProof/>
        </w:rPr>
        <w:t> </w:t>
      </w:r>
      <w:r w:rsidR="00CC55C0" w:rsidRPr="0071228C">
        <w:rPr>
          <w:noProof/>
        </w:rPr>
        <w:t>pro</w:t>
      </w:r>
      <w:r w:rsidRPr="0071228C">
        <w:rPr>
          <w:noProof/>
        </w:rPr>
        <w:t>cedurą sprawdzającą,</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 xml:space="preserve"> </w:t>
      </w:r>
      <w:r w:rsidRPr="00CC55C0">
        <w:rPr>
          <w:noProof/>
        </w:rPr>
        <w:t>ust.</w:t>
      </w:r>
      <w:r w:rsidR="00CC55C0" w:rsidRPr="00CC55C0">
        <w:rPr>
          <w:noProof/>
        </w:rPr>
        <w:t> </w:t>
      </w:r>
      <w:r w:rsidRPr="00CC55C0">
        <w:rPr>
          <w:noProof/>
        </w:rPr>
        <w:t>2</w:t>
      </w:r>
      <w:r w:rsidRPr="0071228C">
        <w:rPr>
          <w:noProof/>
        </w:rPr>
        <w:t xml:space="preserve">.”;   </w:t>
      </w:r>
    </w:p>
    <w:p w14:paraId="63D7467B" w14:textId="3FC8BDA5" w:rsidR="00064ADB" w:rsidRPr="0071228C" w:rsidRDefault="00CC55C0" w:rsidP="00CC55C0">
      <w:pPr>
        <w:pStyle w:val="Point1"/>
        <w:rPr>
          <w:noProof/>
        </w:rPr>
      </w:pPr>
      <w:r>
        <w:rPr>
          <w:noProof/>
        </w:rPr>
        <w:t>d)</w:t>
      </w:r>
      <w:r>
        <w:rPr>
          <w:noProof/>
        </w:rPr>
        <w:tab/>
      </w:r>
      <w:r w:rsidR="00064ADB" w:rsidRPr="0071228C">
        <w:rPr>
          <w:noProof/>
        </w:rPr>
        <w:t xml:space="preserve">uchyla się </w:t>
      </w:r>
      <w:r w:rsidR="00064ADB" w:rsidRPr="00CC55C0">
        <w:rPr>
          <w:noProof/>
        </w:rPr>
        <w:t>ust.</w:t>
      </w:r>
      <w:r w:rsidRPr="00CC55C0">
        <w:rPr>
          <w:noProof/>
        </w:rPr>
        <w:t> </w:t>
      </w:r>
      <w:r w:rsidR="00064ADB" w:rsidRPr="00CC55C0">
        <w:rPr>
          <w:noProof/>
        </w:rPr>
        <w:t>5</w:t>
      </w:r>
      <w:r w:rsidR="00064ADB" w:rsidRPr="0071228C">
        <w:rPr>
          <w:noProof/>
        </w:rPr>
        <w:t xml:space="preserve">; </w:t>
      </w:r>
    </w:p>
    <w:p w14:paraId="5EA07ADA" w14:textId="4E416C31" w:rsidR="00064ADB" w:rsidRPr="0071228C" w:rsidRDefault="00CC55C0" w:rsidP="00CC55C0">
      <w:pPr>
        <w:pStyle w:val="Point0"/>
        <w:rPr>
          <w:noProof/>
        </w:rPr>
      </w:pPr>
      <w:r>
        <w:rPr>
          <w:noProof/>
        </w:rPr>
        <w:t>4)</w:t>
      </w:r>
      <w:r>
        <w:rPr>
          <w:noProof/>
        </w:rPr>
        <w:tab/>
      </w:r>
      <w:r w:rsidR="008245BD" w:rsidRPr="0071228C">
        <w:rPr>
          <w:noProof/>
        </w:rPr>
        <w:t xml:space="preserve">Art. 7a </w:t>
      </w:r>
      <w:r w:rsidR="008245BD" w:rsidRPr="00CC55C0">
        <w:rPr>
          <w:noProof/>
        </w:rPr>
        <w:t>ust.</w:t>
      </w:r>
      <w:r w:rsidRPr="00CC55C0">
        <w:rPr>
          <w:noProof/>
        </w:rPr>
        <w:t> </w:t>
      </w:r>
      <w:r w:rsidR="008245BD" w:rsidRPr="00CC55C0">
        <w:rPr>
          <w:noProof/>
        </w:rPr>
        <w:t>1</w:t>
      </w:r>
      <w:r w:rsidR="008245BD" w:rsidRPr="0071228C">
        <w:rPr>
          <w:noProof/>
        </w:rPr>
        <w:t xml:space="preserve"> akapit pierwszy otrzymuje brzmienie: </w:t>
      </w:r>
    </w:p>
    <w:p w14:paraId="4D95D3D0" w14:textId="59A896A9" w:rsidR="00064ADB" w:rsidRPr="0071228C" w:rsidRDefault="008245BD" w:rsidP="00064ADB">
      <w:pPr>
        <w:pStyle w:val="Text1"/>
        <w:rPr>
          <w:noProof/>
        </w:rPr>
      </w:pPr>
      <w:r w:rsidRPr="0071228C">
        <w:rPr>
          <w:noProof/>
        </w:rPr>
        <w:t>„1</w:t>
      </w:r>
      <w:r w:rsidR="00CC55C0" w:rsidRPr="0071228C">
        <w:rPr>
          <w:noProof/>
        </w:rPr>
        <w:t>. W</w:t>
      </w:r>
      <w:r w:rsidR="00CC55C0">
        <w:rPr>
          <w:noProof/>
        </w:rPr>
        <w:t> </w:t>
      </w:r>
      <w:r w:rsidR="00CC55C0" w:rsidRPr="0071228C">
        <w:rPr>
          <w:noProof/>
        </w:rPr>
        <w:t>prz</w:t>
      </w:r>
      <w:r w:rsidRPr="0071228C">
        <w:rPr>
          <w:noProof/>
        </w:rPr>
        <w:t>ypadku substancji priorytetowych, które wchodzą</w:t>
      </w:r>
      <w:r w:rsidR="00CC55C0" w:rsidRPr="0071228C">
        <w:rPr>
          <w:noProof/>
        </w:rPr>
        <w:t xml:space="preserve"> w</w:t>
      </w:r>
      <w:r w:rsidR="00CC55C0">
        <w:rPr>
          <w:noProof/>
        </w:rPr>
        <w:t> </w:t>
      </w:r>
      <w:r w:rsidR="00CC55C0" w:rsidRPr="0071228C">
        <w:rPr>
          <w:noProof/>
        </w:rPr>
        <w:t>zak</w:t>
      </w:r>
      <w:r w:rsidRPr="0071228C">
        <w:rPr>
          <w:noProof/>
        </w:rPr>
        <w:t xml:space="preserve">res rozporządzenia (WE) </w:t>
      </w:r>
      <w:r w:rsidRPr="00CC55C0">
        <w:rPr>
          <w:noProof/>
        </w:rPr>
        <w:t>nr</w:t>
      </w:r>
      <w:r w:rsidR="00CC55C0" w:rsidRPr="00CC55C0">
        <w:rPr>
          <w:noProof/>
        </w:rPr>
        <w:t> </w:t>
      </w:r>
      <w:r w:rsidRPr="00CC55C0">
        <w:rPr>
          <w:noProof/>
        </w:rPr>
        <w:t>1</w:t>
      </w:r>
      <w:r w:rsidRPr="0071228C">
        <w:rPr>
          <w:noProof/>
        </w:rPr>
        <w:t xml:space="preserve">907/2006, rozporządzenia (WE) </w:t>
      </w:r>
      <w:r w:rsidRPr="00CC55C0">
        <w:rPr>
          <w:noProof/>
        </w:rPr>
        <w:t>nr</w:t>
      </w:r>
      <w:r w:rsidR="00CC55C0" w:rsidRPr="00CC55C0">
        <w:rPr>
          <w:noProof/>
        </w:rPr>
        <w:t> </w:t>
      </w:r>
      <w:r w:rsidRPr="00CC55C0">
        <w:rPr>
          <w:noProof/>
        </w:rPr>
        <w:t>1</w:t>
      </w:r>
      <w:r w:rsidRPr="0071228C">
        <w:rPr>
          <w:noProof/>
        </w:rPr>
        <w:t xml:space="preserve">107/2009, rozporządzenia (UE) </w:t>
      </w:r>
      <w:r w:rsidRPr="00CC55C0">
        <w:rPr>
          <w:noProof/>
        </w:rPr>
        <w:t>nr</w:t>
      </w:r>
      <w:r w:rsidR="00CC55C0" w:rsidRPr="00CC55C0">
        <w:rPr>
          <w:noProof/>
        </w:rPr>
        <w:t> </w:t>
      </w:r>
      <w:r w:rsidRPr="00CC55C0">
        <w:rPr>
          <w:noProof/>
        </w:rPr>
        <w:t>5</w:t>
      </w:r>
      <w:r w:rsidRPr="0071228C">
        <w:rPr>
          <w:noProof/>
        </w:rPr>
        <w:t>28/2012, rozporządzenia Parlamentu Europejskiego</w:t>
      </w:r>
      <w:r w:rsidR="00CC55C0" w:rsidRPr="0071228C">
        <w:rPr>
          <w:noProof/>
        </w:rPr>
        <w:t xml:space="preserve"> i</w:t>
      </w:r>
      <w:r w:rsidR="00CC55C0">
        <w:rPr>
          <w:noProof/>
        </w:rPr>
        <w:t> </w:t>
      </w:r>
      <w:r w:rsidR="00CC55C0" w:rsidRPr="0071228C">
        <w:rPr>
          <w:noProof/>
        </w:rPr>
        <w:t>Rad</w:t>
      </w:r>
      <w:r w:rsidRPr="0071228C">
        <w:rPr>
          <w:noProof/>
        </w:rPr>
        <w:t>y (UE) 2019/6* lub</w:t>
      </w:r>
      <w:r w:rsidR="00CC55C0" w:rsidRPr="0071228C">
        <w:rPr>
          <w:noProof/>
        </w:rPr>
        <w:t xml:space="preserve"> w</w:t>
      </w:r>
      <w:r w:rsidR="00CC55C0">
        <w:rPr>
          <w:noProof/>
        </w:rPr>
        <w:t> </w:t>
      </w:r>
      <w:r w:rsidR="00CC55C0" w:rsidRPr="0071228C">
        <w:rPr>
          <w:noProof/>
        </w:rPr>
        <w:t>zak</w:t>
      </w:r>
      <w:r w:rsidRPr="0071228C">
        <w:rPr>
          <w:noProof/>
        </w:rPr>
        <w:t>res dyrektywy 2001/83/WE Parlamentu Europejskiego</w:t>
      </w:r>
      <w:r w:rsidR="00CC55C0" w:rsidRPr="0071228C">
        <w:rPr>
          <w:noProof/>
        </w:rPr>
        <w:t xml:space="preserve"> i</w:t>
      </w:r>
      <w:r w:rsidR="00CC55C0">
        <w:rPr>
          <w:noProof/>
        </w:rPr>
        <w:t> </w:t>
      </w:r>
      <w:r w:rsidR="00CC55C0" w:rsidRPr="0071228C">
        <w:rPr>
          <w:noProof/>
        </w:rPr>
        <w:t>Rad</w:t>
      </w:r>
      <w:r w:rsidRPr="0071228C">
        <w:rPr>
          <w:noProof/>
        </w:rPr>
        <w:t>y**, dyrektywy 2009/128/WE Parlamentu Europejskiego</w:t>
      </w:r>
      <w:r w:rsidR="00CC55C0" w:rsidRPr="0071228C">
        <w:rPr>
          <w:noProof/>
        </w:rPr>
        <w:t xml:space="preserve"> i</w:t>
      </w:r>
      <w:r w:rsidR="00CC55C0">
        <w:rPr>
          <w:noProof/>
        </w:rPr>
        <w:t> </w:t>
      </w:r>
      <w:r w:rsidR="00CC55C0" w:rsidRPr="0071228C">
        <w:rPr>
          <w:noProof/>
        </w:rPr>
        <w:t>Rad</w:t>
      </w:r>
      <w:r w:rsidRPr="0071228C">
        <w:rPr>
          <w:noProof/>
        </w:rPr>
        <w:t>y*** lub dyrektywy 2010/75/UE, Komisja,</w:t>
      </w:r>
      <w:r w:rsidR="00CC55C0" w:rsidRPr="0071228C">
        <w:rPr>
          <w:noProof/>
        </w:rPr>
        <w:t xml:space="preserve"> w</w:t>
      </w:r>
      <w:r w:rsidR="00CC55C0">
        <w:rPr>
          <w:noProof/>
        </w:rPr>
        <w:t> </w:t>
      </w:r>
      <w:r w:rsidR="00CC55C0" w:rsidRPr="0071228C">
        <w:rPr>
          <w:noProof/>
        </w:rPr>
        <w:t>ram</w:t>
      </w:r>
      <w:r w:rsidRPr="0071228C">
        <w:rPr>
          <w:noProof/>
        </w:rPr>
        <w:t>ach sprawozdania,</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 xml:space="preserve">8 </w:t>
      </w:r>
      <w:r w:rsidRPr="00CC55C0">
        <w:rPr>
          <w:noProof/>
        </w:rPr>
        <w:t>ust.</w:t>
      </w:r>
      <w:r w:rsidR="00CC55C0" w:rsidRPr="00CC55C0">
        <w:rPr>
          <w:noProof/>
        </w:rPr>
        <w:t> </w:t>
      </w:r>
      <w:r w:rsidRPr="00CC55C0">
        <w:rPr>
          <w:noProof/>
        </w:rPr>
        <w:t>1</w:t>
      </w:r>
      <w:r w:rsidRPr="0071228C">
        <w:rPr>
          <w:noProof/>
        </w:rPr>
        <w:t xml:space="preserve"> dyrektywy 2000/60/WE, ocenia, czy środki stosowane na poziomie Unii</w:t>
      </w:r>
      <w:r w:rsidR="00CC55C0" w:rsidRPr="0071228C">
        <w:rPr>
          <w:noProof/>
        </w:rPr>
        <w:t xml:space="preserve"> i</w:t>
      </w:r>
      <w:r w:rsidR="00CC55C0">
        <w:rPr>
          <w:noProof/>
        </w:rPr>
        <w:t> </w:t>
      </w:r>
      <w:r w:rsidR="00CC55C0" w:rsidRPr="0071228C">
        <w:rPr>
          <w:noProof/>
        </w:rPr>
        <w:t>pań</w:t>
      </w:r>
      <w:r w:rsidRPr="0071228C">
        <w:rPr>
          <w:noProof/>
        </w:rPr>
        <w:t>stw członkowskich są wystarczające do celów osiągnięcia środowiskowych norm jakości dla substancji priorytetowych oraz osiągnięcia celu dotyczącego zaprzestania lub stopniowego eliminowania zrzutów, emisji</w:t>
      </w:r>
      <w:r w:rsidR="00CC55C0" w:rsidRPr="0071228C">
        <w:rPr>
          <w:noProof/>
        </w:rPr>
        <w:t xml:space="preserve"> i</w:t>
      </w:r>
      <w:r w:rsidR="00CC55C0">
        <w:rPr>
          <w:noProof/>
        </w:rPr>
        <w:t> </w:t>
      </w:r>
      <w:r w:rsidR="00CC55C0" w:rsidRPr="0071228C">
        <w:rPr>
          <w:noProof/>
        </w:rPr>
        <w:t>str</w:t>
      </w:r>
      <w:r w:rsidRPr="0071228C">
        <w:rPr>
          <w:noProof/>
        </w:rPr>
        <w:t>at priorytetowych substancji niebezpiecznych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a)</w:t>
      </w:r>
      <w:r w:rsidRPr="0071228C">
        <w:rPr>
          <w:noProof/>
        </w:rPr>
        <w:t xml:space="preserve"> dyrektywy 2000/60/WE.</w:t>
      </w:r>
    </w:p>
    <w:p w14:paraId="07EBAB82" w14:textId="77777777" w:rsidR="00064ADB" w:rsidRPr="0071228C" w:rsidRDefault="00064ADB" w:rsidP="00064ADB">
      <w:pPr>
        <w:ind w:left="1417"/>
        <w:rPr>
          <w:noProof/>
          <w:u w:val="single"/>
        </w:rPr>
      </w:pPr>
      <w:r w:rsidRPr="0071228C">
        <w:rPr>
          <w:noProof/>
        </w:rPr>
        <w:tab/>
      </w:r>
      <w:r w:rsidRPr="0071228C">
        <w:rPr>
          <w:noProof/>
        </w:rPr>
        <w:tab/>
      </w:r>
      <w:r w:rsidRPr="0071228C">
        <w:rPr>
          <w:noProof/>
        </w:rPr>
        <w:tab/>
      </w:r>
      <w:r w:rsidRPr="0071228C">
        <w:rPr>
          <w:noProof/>
        </w:rPr>
        <w:tab/>
      </w:r>
      <w:r w:rsidRPr="0071228C">
        <w:rPr>
          <w:noProof/>
        </w:rPr>
        <w:tab/>
      </w:r>
    </w:p>
    <w:p w14:paraId="771F3EA4" w14:textId="77777777" w:rsidR="00064ADB" w:rsidRPr="0071228C" w:rsidRDefault="00064ADB" w:rsidP="00064ADB">
      <w:pPr>
        <w:pStyle w:val="Text1"/>
        <w:rPr>
          <w:noProof/>
        </w:rPr>
      </w:pPr>
      <w:r w:rsidRPr="0071228C">
        <w:rPr>
          <w:noProof/>
        </w:rPr>
        <w:tab/>
      </w:r>
      <w:r w:rsidRPr="0071228C">
        <w:rPr>
          <w:i/>
          <w:noProof/>
        </w:rPr>
        <w:t xml:space="preserve"> </w:t>
      </w:r>
      <w:r w:rsidRPr="0071228C">
        <w:rPr>
          <w:noProof/>
        </w:rPr>
        <w:tab/>
      </w:r>
      <w:r w:rsidRPr="0071228C">
        <w:rPr>
          <w:noProof/>
        </w:rPr>
        <w:tab/>
      </w:r>
    </w:p>
    <w:p w14:paraId="04B2FE10" w14:textId="3980B511" w:rsidR="00064ADB" w:rsidRPr="0071228C" w:rsidRDefault="00064ADB" w:rsidP="00064ADB">
      <w:pPr>
        <w:pStyle w:val="Text1"/>
        <w:rPr>
          <w:noProof/>
        </w:rPr>
      </w:pPr>
      <w:r w:rsidRPr="0071228C">
        <w:rPr>
          <w:noProof/>
        </w:rPr>
        <w:t>* Rozporządzenie Parlamentu Europejskiego</w:t>
      </w:r>
      <w:r w:rsidR="00CC55C0" w:rsidRPr="0071228C">
        <w:rPr>
          <w:noProof/>
        </w:rPr>
        <w:t xml:space="preserve"> i</w:t>
      </w:r>
      <w:r w:rsidR="00CC55C0">
        <w:rPr>
          <w:noProof/>
        </w:rPr>
        <w:t> </w:t>
      </w:r>
      <w:r w:rsidR="00CC55C0" w:rsidRPr="0071228C">
        <w:rPr>
          <w:noProof/>
        </w:rPr>
        <w:t>Rad</w:t>
      </w:r>
      <w:r w:rsidRPr="0071228C">
        <w:rPr>
          <w:noProof/>
        </w:rPr>
        <w:t>y (UE) 2019/6</w:t>
      </w:r>
      <w:r w:rsidR="00CC55C0" w:rsidRPr="0071228C">
        <w:rPr>
          <w:noProof/>
        </w:rPr>
        <w:t xml:space="preserve"> z</w:t>
      </w:r>
      <w:r w:rsidR="00CC55C0">
        <w:rPr>
          <w:noProof/>
        </w:rPr>
        <w:t> </w:t>
      </w:r>
      <w:r w:rsidR="00CC55C0" w:rsidRPr="0071228C">
        <w:rPr>
          <w:noProof/>
        </w:rPr>
        <w:t>dni</w:t>
      </w:r>
      <w:r w:rsidRPr="0071228C">
        <w:rPr>
          <w:noProof/>
        </w:rPr>
        <w:t>a 11 grudnia 2018 r.</w:t>
      </w:r>
      <w:r w:rsidR="00CC55C0" w:rsidRPr="0071228C">
        <w:rPr>
          <w:noProof/>
        </w:rPr>
        <w:t xml:space="preserve"> w</w:t>
      </w:r>
      <w:r w:rsidR="00CC55C0">
        <w:rPr>
          <w:noProof/>
        </w:rPr>
        <w:t> </w:t>
      </w:r>
      <w:r w:rsidR="00CC55C0" w:rsidRPr="0071228C">
        <w:rPr>
          <w:noProof/>
        </w:rPr>
        <w:t>spr</w:t>
      </w:r>
      <w:r w:rsidRPr="0071228C">
        <w:rPr>
          <w:noProof/>
        </w:rPr>
        <w:t>awie weterynaryjnych produktów leczniczych</w:t>
      </w:r>
      <w:r w:rsidR="00CC55C0" w:rsidRPr="0071228C">
        <w:rPr>
          <w:noProof/>
        </w:rPr>
        <w:t xml:space="preserve"> i</w:t>
      </w:r>
      <w:r w:rsidR="00CC55C0">
        <w:rPr>
          <w:noProof/>
        </w:rPr>
        <w:t> </w:t>
      </w:r>
      <w:r w:rsidR="00CC55C0" w:rsidRPr="0071228C">
        <w:rPr>
          <w:noProof/>
        </w:rPr>
        <w:t>uch</w:t>
      </w:r>
      <w:r w:rsidRPr="0071228C">
        <w:rPr>
          <w:noProof/>
        </w:rPr>
        <w:t>ylające dyrektywę 2001/82/WE (Dz.U. L 4</w:t>
      </w:r>
      <w:r w:rsidR="00CC55C0" w:rsidRPr="0071228C">
        <w:rPr>
          <w:noProof/>
        </w:rPr>
        <w:t xml:space="preserve"> z</w:t>
      </w:r>
      <w:r w:rsidR="00CC55C0">
        <w:rPr>
          <w:noProof/>
        </w:rPr>
        <w:t> </w:t>
      </w:r>
      <w:r w:rsidR="00CC55C0" w:rsidRPr="0071228C">
        <w:rPr>
          <w:noProof/>
        </w:rPr>
        <w:t>7</w:t>
      </w:r>
      <w:r w:rsidRPr="0071228C">
        <w:rPr>
          <w:noProof/>
        </w:rPr>
        <w:t>.1.2019, s. 43).</w:t>
      </w:r>
    </w:p>
    <w:p w14:paraId="61C94F40" w14:textId="27A040DE" w:rsidR="00064ADB" w:rsidRPr="0071228C" w:rsidRDefault="00064ADB" w:rsidP="00064ADB">
      <w:pPr>
        <w:pStyle w:val="Text1"/>
        <w:rPr>
          <w:noProof/>
        </w:rPr>
      </w:pPr>
      <w:r w:rsidRPr="0071228C">
        <w:rPr>
          <w:noProof/>
        </w:rPr>
        <w:t>** Dyrektywa 2001/83/WE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6 listopada 20</w:t>
      </w:r>
      <w:r w:rsidRPr="00CC55C0">
        <w:rPr>
          <w:noProof/>
        </w:rPr>
        <w:t>01</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wspólnotowego kodeksu odnoszącego się do produktów leczniczych stosowanych</w:t>
      </w:r>
      <w:r w:rsidR="00CC55C0" w:rsidRPr="0071228C">
        <w:rPr>
          <w:noProof/>
        </w:rPr>
        <w:t xml:space="preserve"> u</w:t>
      </w:r>
      <w:r w:rsidR="00CC55C0">
        <w:rPr>
          <w:noProof/>
        </w:rPr>
        <w:t> </w:t>
      </w:r>
      <w:r w:rsidR="00CC55C0" w:rsidRPr="0071228C">
        <w:rPr>
          <w:noProof/>
        </w:rPr>
        <w:t>lud</w:t>
      </w:r>
      <w:r w:rsidRPr="0071228C">
        <w:rPr>
          <w:noProof/>
        </w:rPr>
        <w:t xml:space="preserve">zi (Dz.U. L 311 z 28.11.2001, s. 67). </w:t>
      </w:r>
    </w:p>
    <w:p w14:paraId="02F2473C" w14:textId="5D81668B" w:rsidR="00064ADB" w:rsidRPr="0071228C" w:rsidRDefault="00064ADB" w:rsidP="00064ADB">
      <w:pPr>
        <w:pStyle w:val="Text1"/>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2009/128/WE</w:t>
      </w:r>
      <w:r w:rsidR="00CC55C0" w:rsidRPr="0071228C">
        <w:rPr>
          <w:noProof/>
        </w:rPr>
        <w:t xml:space="preserve"> z</w:t>
      </w:r>
      <w:r w:rsidR="00CC55C0">
        <w:rPr>
          <w:noProof/>
        </w:rPr>
        <w:t> </w:t>
      </w:r>
      <w:r w:rsidR="00CC55C0" w:rsidRPr="0071228C">
        <w:rPr>
          <w:noProof/>
        </w:rPr>
        <w:t>dni</w:t>
      </w:r>
      <w:r w:rsidRPr="0071228C">
        <w:rPr>
          <w:noProof/>
        </w:rPr>
        <w:t>a 21 października 20</w:t>
      </w:r>
      <w:r w:rsidRPr="00CC55C0">
        <w:rPr>
          <w:noProof/>
        </w:rPr>
        <w:t>09</w:t>
      </w:r>
      <w:r w:rsidR="00CC55C0" w:rsidRPr="00CC55C0">
        <w:rPr>
          <w:noProof/>
        </w:rPr>
        <w:t> </w:t>
      </w:r>
      <w:r w:rsidRPr="00CC55C0">
        <w:rPr>
          <w:noProof/>
        </w:rPr>
        <w:t>r.</w:t>
      </w:r>
      <w:r w:rsidRPr="0071228C">
        <w:rPr>
          <w:noProof/>
        </w:rPr>
        <w:t xml:space="preserve"> ustanawiająca ramy wspólnotowego działania na rzecz zrównoważonego stosowania pestycydów (Dz.U. L 309</w:t>
      </w:r>
      <w:r w:rsidR="00CC55C0" w:rsidRPr="0071228C">
        <w:rPr>
          <w:noProof/>
        </w:rPr>
        <w:t xml:space="preserve"> z</w:t>
      </w:r>
      <w:r w:rsidR="00CC55C0">
        <w:rPr>
          <w:noProof/>
        </w:rPr>
        <w:t> </w:t>
      </w:r>
      <w:r w:rsidR="00CC55C0" w:rsidRPr="0071228C">
        <w:rPr>
          <w:noProof/>
        </w:rPr>
        <w:t>2</w:t>
      </w:r>
      <w:r w:rsidRPr="0071228C">
        <w:rPr>
          <w:noProof/>
        </w:rPr>
        <w:t>4.11.2009, s. 71).”;</w:t>
      </w:r>
    </w:p>
    <w:p w14:paraId="23A37B60" w14:textId="1236DC57" w:rsidR="00064ADB" w:rsidRPr="0071228C" w:rsidRDefault="00CC55C0" w:rsidP="00CC55C0">
      <w:pPr>
        <w:pStyle w:val="Point0"/>
        <w:rPr>
          <w:noProof/>
        </w:rPr>
      </w:pPr>
      <w:r>
        <w:rPr>
          <w:noProof/>
        </w:rPr>
        <w:t>5)</w:t>
      </w:r>
      <w:r>
        <w:rPr>
          <w:noProof/>
        </w:rPr>
        <w:tab/>
      </w:r>
      <w:r w:rsidR="00064ADB" w:rsidRPr="00CC55C0">
        <w:rPr>
          <w:noProof/>
        </w:rPr>
        <w:t>art.</w:t>
      </w:r>
      <w:r w:rsidRPr="00CC55C0">
        <w:rPr>
          <w:noProof/>
        </w:rPr>
        <w:t> </w:t>
      </w:r>
      <w:r w:rsidR="00064ADB" w:rsidRPr="00CC55C0">
        <w:rPr>
          <w:noProof/>
        </w:rPr>
        <w:t>8</w:t>
      </w:r>
      <w:r w:rsidR="00064ADB" w:rsidRPr="0071228C">
        <w:rPr>
          <w:noProof/>
        </w:rPr>
        <w:t xml:space="preserve"> otrzymuje brzmienie:</w:t>
      </w:r>
    </w:p>
    <w:p w14:paraId="51C0DCA8" w14:textId="77777777" w:rsidR="00064ADB" w:rsidRPr="0071228C" w:rsidRDefault="00064ADB" w:rsidP="00064ADB">
      <w:pPr>
        <w:ind w:left="709"/>
        <w:jc w:val="center"/>
        <w:rPr>
          <w:noProof/>
        </w:rPr>
      </w:pPr>
      <w:r w:rsidRPr="0071228C">
        <w:rPr>
          <w:i/>
          <w:noProof/>
        </w:rPr>
        <w:t>„Artykuł 8</w:t>
      </w:r>
    </w:p>
    <w:p w14:paraId="6EDDEE26" w14:textId="77777777" w:rsidR="00064ADB" w:rsidRPr="0071228C" w:rsidRDefault="00064ADB" w:rsidP="00064ADB">
      <w:pPr>
        <w:ind w:left="709"/>
        <w:jc w:val="center"/>
        <w:rPr>
          <w:b/>
          <w:bCs/>
          <w:noProof/>
        </w:rPr>
      </w:pPr>
      <w:r w:rsidRPr="0071228C">
        <w:rPr>
          <w:b/>
          <w:noProof/>
        </w:rPr>
        <w:t>Przegląd załączników I i II</w:t>
      </w:r>
    </w:p>
    <w:p w14:paraId="53060ED5" w14:textId="07602BB4" w:rsidR="00064ADB" w:rsidRPr="0071228C" w:rsidRDefault="00064ADB" w:rsidP="00064ADB">
      <w:pPr>
        <w:ind w:left="709"/>
        <w:rPr>
          <w:bCs/>
          <w:noProof/>
        </w:rPr>
      </w:pPr>
      <w:r w:rsidRPr="0071228C">
        <w:rPr>
          <w:noProof/>
        </w:rPr>
        <w:t>„1. Komisja dokonuje po raz pierwszy do ... [Urząd Publikacji: proszę wstawić datę = sześć lat od dnia wejścia</w:t>
      </w:r>
      <w:r w:rsidR="00CC55C0" w:rsidRPr="0071228C">
        <w:rPr>
          <w:noProof/>
        </w:rPr>
        <w:t xml:space="preserve"> w</w:t>
      </w:r>
      <w:r w:rsidR="00CC55C0">
        <w:rPr>
          <w:noProof/>
        </w:rPr>
        <w:t> </w:t>
      </w:r>
      <w:r w:rsidR="00CC55C0" w:rsidRPr="0071228C">
        <w:rPr>
          <w:noProof/>
        </w:rPr>
        <w:t>życ</w:t>
      </w:r>
      <w:r w:rsidRPr="0071228C">
        <w:rPr>
          <w:noProof/>
        </w:rPr>
        <w:t>ie niniejszej dyrektywy],</w:t>
      </w:r>
      <w:r w:rsidR="00CC55C0" w:rsidRPr="0071228C">
        <w:rPr>
          <w:noProof/>
        </w:rPr>
        <w:t xml:space="preserve"> a</w:t>
      </w:r>
      <w:r w:rsidR="00CC55C0">
        <w:rPr>
          <w:noProof/>
        </w:rPr>
        <w:t> </w:t>
      </w:r>
      <w:r w:rsidR="00CC55C0" w:rsidRPr="0071228C">
        <w:rPr>
          <w:noProof/>
        </w:rPr>
        <w:t>nas</w:t>
      </w:r>
      <w:r w:rsidRPr="0071228C">
        <w:rPr>
          <w:noProof/>
        </w:rPr>
        <w:t>tępnie co sześć lat przeglądu wykazu substancji priorytetowych</w:t>
      </w:r>
      <w:r w:rsidR="00CC55C0" w:rsidRPr="0071228C">
        <w:rPr>
          <w:noProof/>
        </w:rPr>
        <w:t xml:space="preserve"> i</w:t>
      </w:r>
      <w:r w:rsidR="00CC55C0">
        <w:rPr>
          <w:noProof/>
        </w:rPr>
        <w:t> </w:t>
      </w:r>
      <w:r w:rsidR="00CC55C0" w:rsidRPr="0071228C">
        <w:rPr>
          <w:noProof/>
        </w:rPr>
        <w:t>odp</w:t>
      </w:r>
      <w:r w:rsidRPr="0071228C">
        <w:rPr>
          <w:noProof/>
        </w:rPr>
        <w:t>owiadających im środowiskowych norm jakości określonych</w:t>
      </w:r>
      <w:r w:rsidR="00CC55C0" w:rsidRPr="0071228C">
        <w:rPr>
          <w:noProof/>
        </w:rPr>
        <w:t xml:space="preserve"> w</w:t>
      </w:r>
      <w:r w:rsidR="00CC55C0">
        <w:rPr>
          <w:noProof/>
        </w:rPr>
        <w:t> </w:t>
      </w:r>
      <w:r w:rsidR="00CC55C0" w:rsidRPr="0071228C">
        <w:rPr>
          <w:noProof/>
        </w:rPr>
        <w:t>zał</w:t>
      </w:r>
      <w:r w:rsidRPr="0071228C">
        <w:rPr>
          <w:noProof/>
        </w:rPr>
        <w:t>ączniku I część A oraz wykazu zanieczyszczeń określonego</w:t>
      </w:r>
      <w:r w:rsidR="00CC55C0" w:rsidRPr="0071228C">
        <w:rPr>
          <w:noProof/>
        </w:rPr>
        <w:t xml:space="preserve"> w</w:t>
      </w:r>
      <w:r w:rsidR="00CC55C0">
        <w:rPr>
          <w:noProof/>
        </w:rPr>
        <w:t> </w:t>
      </w:r>
      <w:r w:rsidR="00CC55C0" w:rsidRPr="0071228C">
        <w:rPr>
          <w:noProof/>
        </w:rPr>
        <w:t>zał</w:t>
      </w:r>
      <w:r w:rsidRPr="0071228C">
        <w:rPr>
          <w:noProof/>
        </w:rPr>
        <w:t>ączniku II część A.</w:t>
      </w:r>
    </w:p>
    <w:p w14:paraId="2A73D1EE" w14:textId="701AFECF" w:rsidR="00064ADB" w:rsidRPr="0071228C" w:rsidRDefault="00064ADB" w:rsidP="00064ADB">
      <w:pPr>
        <w:ind w:left="709"/>
        <w:rPr>
          <w:bCs/>
          <w:noProof/>
        </w:rPr>
      </w:pPr>
      <w:r w:rsidRPr="0071228C">
        <w:rPr>
          <w:noProof/>
        </w:rPr>
        <w:t>2. Komisja jest uprawniona do przyjmowania aktów delegowanych</w:t>
      </w:r>
      <w:r w:rsidR="00CC55C0" w:rsidRPr="0071228C">
        <w:rPr>
          <w:noProof/>
        </w:rPr>
        <w:t xml:space="preserve"> z</w:t>
      </w:r>
      <w:r w:rsidR="00CC55C0">
        <w:rPr>
          <w:noProof/>
        </w:rPr>
        <w:t> </w:t>
      </w:r>
      <w:r w:rsidR="00CC55C0" w:rsidRPr="0071228C">
        <w:rPr>
          <w:noProof/>
        </w:rPr>
        <w:t>uwz</w:t>
      </w:r>
      <w:r w:rsidRPr="0071228C">
        <w:rPr>
          <w:noProof/>
        </w:rPr>
        <w:t xml:space="preserve">ględnieniem sprawozdań naukowych przygotowanych przez Europejską Agencję Chemikaliów (ECHA) na podstawie </w:t>
      </w:r>
      <w:r w:rsidRPr="00CC55C0">
        <w:rPr>
          <w:noProof/>
        </w:rPr>
        <w:t>ust.</w:t>
      </w:r>
      <w:r w:rsidR="00CC55C0" w:rsidRPr="00CC55C0">
        <w:rPr>
          <w:noProof/>
        </w:rPr>
        <w:t> </w:t>
      </w:r>
      <w:r w:rsidRPr="00CC55C0">
        <w:rPr>
          <w:noProof/>
        </w:rPr>
        <w:t>6</w:t>
      </w:r>
      <w:r w:rsidRPr="0071228C">
        <w:rPr>
          <w:noProof/>
        </w:rPr>
        <w:t xml:space="preserve"> niniejszego artykułu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a</w:t>
      </w:r>
      <w:r w:rsidR="00CC55C0" w:rsidRPr="0071228C">
        <w:rPr>
          <w:noProof/>
        </w:rPr>
        <w:t xml:space="preserve"> w</w:t>
      </w:r>
      <w:r w:rsidR="00CC55C0">
        <w:rPr>
          <w:noProof/>
        </w:rPr>
        <w:t> </w:t>
      </w:r>
      <w:r w:rsidR="00CC55C0" w:rsidRPr="0071228C">
        <w:rPr>
          <w:noProof/>
        </w:rPr>
        <w:t>cel</w:t>
      </w:r>
      <w:r w:rsidRPr="0071228C">
        <w:rPr>
          <w:noProof/>
        </w:rPr>
        <w:t>u zmiany załącznika I, aby dostosować go do postępu naukowo-technicznego,</w:t>
      </w:r>
      <w:r w:rsidR="00CC55C0" w:rsidRPr="0071228C">
        <w:rPr>
          <w:noProof/>
        </w:rPr>
        <w:t xml:space="preserve"> w</w:t>
      </w:r>
      <w:r w:rsidR="00CC55C0">
        <w:rPr>
          <w:noProof/>
        </w:rPr>
        <w:t> </w:t>
      </w:r>
      <w:r w:rsidR="00CC55C0" w:rsidRPr="0071228C">
        <w:rPr>
          <w:noProof/>
        </w:rPr>
        <w:t>dro</w:t>
      </w:r>
      <w:r w:rsidRPr="0071228C">
        <w:rPr>
          <w:noProof/>
        </w:rPr>
        <w:t xml:space="preserve">dze: </w:t>
      </w:r>
    </w:p>
    <w:p w14:paraId="3849550E" w14:textId="7114A51C" w:rsidR="00064ADB" w:rsidRPr="0071228C" w:rsidRDefault="00064ADB" w:rsidP="00064ADB">
      <w:pPr>
        <w:ind w:left="709"/>
        <w:rPr>
          <w:noProof/>
        </w:rPr>
      </w:pPr>
      <w:r w:rsidRPr="0071228C">
        <w:rPr>
          <w:noProof/>
        </w:rPr>
        <w:t xml:space="preserve">a) </w:t>
      </w:r>
      <w:r w:rsidRPr="0071228C">
        <w:rPr>
          <w:noProof/>
        </w:rPr>
        <w:tab/>
        <w:t>dodania substancji do wykazu substancji priorytetowych lub ich usunięcia</w:t>
      </w:r>
      <w:r w:rsidR="00CC55C0" w:rsidRPr="0071228C">
        <w:rPr>
          <w:noProof/>
        </w:rPr>
        <w:t xml:space="preserve"> z</w:t>
      </w:r>
      <w:r w:rsidR="00CC55C0">
        <w:rPr>
          <w:noProof/>
        </w:rPr>
        <w:t> </w:t>
      </w:r>
      <w:r w:rsidR="00CC55C0" w:rsidRPr="0071228C">
        <w:rPr>
          <w:noProof/>
        </w:rPr>
        <w:t>nie</w:t>
      </w:r>
      <w:r w:rsidRPr="0071228C">
        <w:rPr>
          <w:noProof/>
        </w:rPr>
        <w:t xml:space="preserve">go; </w:t>
      </w:r>
    </w:p>
    <w:p w14:paraId="7050B966" w14:textId="525111D0" w:rsidR="00064ADB" w:rsidRPr="0071228C" w:rsidRDefault="00064ADB" w:rsidP="00064ADB">
      <w:pPr>
        <w:ind w:left="709"/>
        <w:rPr>
          <w:noProof/>
        </w:rPr>
      </w:pPr>
      <w:r w:rsidRPr="0071228C">
        <w:rPr>
          <w:noProof/>
        </w:rPr>
        <w:t xml:space="preserve">b) </w:t>
      </w:r>
      <w:r w:rsidRPr="0071228C">
        <w:rPr>
          <w:noProof/>
        </w:rPr>
        <w:tab/>
        <w:t>oznaczania</w:t>
      </w:r>
      <w:r w:rsidR="00CC55C0" w:rsidRPr="0071228C">
        <w:rPr>
          <w:noProof/>
        </w:rPr>
        <w:t xml:space="preserve"> w</w:t>
      </w:r>
      <w:r w:rsidR="00CC55C0">
        <w:rPr>
          <w:noProof/>
        </w:rPr>
        <w:t> </w:t>
      </w:r>
      <w:r w:rsidR="00CC55C0" w:rsidRPr="0071228C">
        <w:rPr>
          <w:noProof/>
        </w:rPr>
        <w:t>tym</w:t>
      </w:r>
      <w:r w:rsidRPr="0071228C">
        <w:rPr>
          <w:noProof/>
        </w:rPr>
        <w:t xml:space="preserve"> wykazie wybranych substancji jako priorytetowych substancji niebezpiecznych jako wszechobecnych trwałych, wykazujących zdolność do bioakumulacji</w:t>
      </w:r>
      <w:r w:rsidR="00CC55C0" w:rsidRPr="0071228C">
        <w:rPr>
          <w:noProof/>
        </w:rPr>
        <w:t xml:space="preserve"> i</w:t>
      </w:r>
      <w:r w:rsidR="00CC55C0">
        <w:rPr>
          <w:noProof/>
        </w:rPr>
        <w:t> </w:t>
      </w:r>
      <w:r w:rsidR="00CC55C0" w:rsidRPr="0071228C">
        <w:rPr>
          <w:noProof/>
        </w:rPr>
        <w:t>tok</w:t>
      </w:r>
      <w:r w:rsidRPr="0071228C">
        <w:rPr>
          <w:noProof/>
        </w:rPr>
        <w:t>sycznych substancji (PBT) lub jako substancji wykazujących tendencję do akumulowania się</w:t>
      </w:r>
      <w:r w:rsidR="00CC55C0" w:rsidRPr="0071228C">
        <w:rPr>
          <w:noProof/>
        </w:rPr>
        <w:t xml:space="preserve"> w</w:t>
      </w:r>
      <w:r w:rsidR="00CC55C0">
        <w:rPr>
          <w:noProof/>
        </w:rPr>
        <w:t> </w:t>
      </w:r>
      <w:r w:rsidR="00CC55C0" w:rsidRPr="0071228C">
        <w:rPr>
          <w:noProof/>
        </w:rPr>
        <w:t>osa</w:t>
      </w:r>
      <w:r w:rsidRPr="0071228C">
        <w:rPr>
          <w:noProof/>
        </w:rPr>
        <w:t>dach lub faunie</w:t>
      </w:r>
      <w:r w:rsidR="00CC55C0" w:rsidRPr="0071228C">
        <w:rPr>
          <w:noProof/>
        </w:rPr>
        <w:t xml:space="preserve"> i</w:t>
      </w:r>
      <w:r w:rsidR="00CC55C0">
        <w:rPr>
          <w:noProof/>
        </w:rPr>
        <w:t> </w:t>
      </w:r>
      <w:r w:rsidR="00CC55C0" w:rsidRPr="0071228C">
        <w:rPr>
          <w:noProof/>
        </w:rPr>
        <w:t>flo</w:t>
      </w:r>
      <w:r w:rsidRPr="0071228C">
        <w:rPr>
          <w:noProof/>
        </w:rPr>
        <w:t>rze, lub usuwania takiego oznaczenia;</w:t>
      </w:r>
    </w:p>
    <w:p w14:paraId="63E56A8D" w14:textId="03D9C19F" w:rsidR="00064ADB" w:rsidRPr="0071228C" w:rsidRDefault="00064ADB" w:rsidP="00064ADB">
      <w:pPr>
        <w:ind w:left="709"/>
        <w:rPr>
          <w:noProof/>
        </w:rPr>
      </w:pPr>
      <w:r w:rsidRPr="0071228C">
        <w:rPr>
          <w:noProof/>
        </w:rPr>
        <w:t xml:space="preserve">c) </w:t>
      </w:r>
      <w:r w:rsidRPr="0071228C">
        <w:rPr>
          <w:noProof/>
        </w:rPr>
        <w:tab/>
        <w:t>ustalania odpowiednich środowiskowych norm jakości odpowiednio dla wód powierzchniowych, osadów lub fauny</w:t>
      </w:r>
      <w:r w:rsidR="00CC55C0" w:rsidRPr="0071228C">
        <w:rPr>
          <w:noProof/>
        </w:rPr>
        <w:t xml:space="preserve"> i</w:t>
      </w:r>
      <w:r w:rsidR="00CC55C0">
        <w:rPr>
          <w:noProof/>
        </w:rPr>
        <w:t> </w:t>
      </w:r>
      <w:r w:rsidR="00CC55C0" w:rsidRPr="0071228C">
        <w:rPr>
          <w:noProof/>
        </w:rPr>
        <w:t>flo</w:t>
      </w:r>
      <w:r w:rsidRPr="0071228C">
        <w:rPr>
          <w:noProof/>
        </w:rPr>
        <w:t>ry.</w:t>
      </w:r>
    </w:p>
    <w:p w14:paraId="73357DA9" w14:textId="14AC7DE3" w:rsidR="00064ADB" w:rsidRPr="0071228C" w:rsidRDefault="00064ADB" w:rsidP="00064ADB">
      <w:pPr>
        <w:ind w:left="709"/>
        <w:rPr>
          <w:rFonts w:eastAsia="Calibri"/>
          <w:bCs/>
          <w:noProof/>
        </w:rPr>
      </w:pPr>
      <w:r w:rsidRPr="0071228C">
        <w:rPr>
          <w:noProof/>
        </w:rPr>
        <w:t>3. Komisja jest uprawniona do przyjmowania aktów delegowanych</w:t>
      </w:r>
      <w:r w:rsidR="00CC55C0" w:rsidRPr="0071228C">
        <w:rPr>
          <w:noProof/>
        </w:rPr>
        <w:t xml:space="preserve"> z</w:t>
      </w:r>
      <w:r w:rsidR="00CC55C0">
        <w:rPr>
          <w:noProof/>
        </w:rPr>
        <w:t> </w:t>
      </w:r>
      <w:r w:rsidR="00CC55C0" w:rsidRPr="0071228C">
        <w:rPr>
          <w:noProof/>
        </w:rPr>
        <w:t>uwz</w:t>
      </w:r>
      <w:r w:rsidRPr="0071228C">
        <w:rPr>
          <w:noProof/>
        </w:rPr>
        <w:t xml:space="preserve">ględnieniem sprawozdań naukowych przygotowanych przez ECHA na podstawie </w:t>
      </w:r>
      <w:r w:rsidRPr="00CC55C0">
        <w:rPr>
          <w:noProof/>
        </w:rPr>
        <w:t>ust.</w:t>
      </w:r>
      <w:r w:rsidR="00CC55C0" w:rsidRPr="00CC55C0">
        <w:rPr>
          <w:noProof/>
        </w:rPr>
        <w:t> </w:t>
      </w:r>
      <w:r w:rsidRPr="00CC55C0">
        <w:rPr>
          <w:noProof/>
        </w:rPr>
        <w:t>6</w:t>
      </w:r>
      <w:r w:rsidRPr="0071228C">
        <w:rPr>
          <w:noProof/>
        </w:rPr>
        <w:t xml:space="preserve"> niniejszego artykułu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a</w:t>
      </w:r>
      <w:r w:rsidR="00CC55C0" w:rsidRPr="0071228C">
        <w:rPr>
          <w:noProof/>
        </w:rPr>
        <w:t xml:space="preserve"> w</w:t>
      </w:r>
      <w:r w:rsidR="00CC55C0">
        <w:rPr>
          <w:noProof/>
        </w:rPr>
        <w:t> </w:t>
      </w:r>
      <w:r w:rsidR="00CC55C0" w:rsidRPr="0071228C">
        <w:rPr>
          <w:noProof/>
        </w:rPr>
        <w:t>cel</w:t>
      </w:r>
      <w:r w:rsidRPr="0071228C">
        <w:rPr>
          <w:noProof/>
        </w:rPr>
        <w:t>u zmiany załącznika II, aby dostosować go do postępu naukowo-technicznego,</w:t>
      </w:r>
      <w:r w:rsidR="00CC55C0" w:rsidRPr="0071228C">
        <w:rPr>
          <w:noProof/>
        </w:rPr>
        <w:t xml:space="preserve"> w</w:t>
      </w:r>
      <w:r w:rsidR="00CC55C0">
        <w:rPr>
          <w:noProof/>
        </w:rPr>
        <w:t> </w:t>
      </w:r>
      <w:r w:rsidR="00CC55C0" w:rsidRPr="0071228C">
        <w:rPr>
          <w:noProof/>
        </w:rPr>
        <w:t>dro</w:t>
      </w:r>
      <w:r w:rsidRPr="0071228C">
        <w:rPr>
          <w:noProof/>
        </w:rPr>
        <w:t>dze:</w:t>
      </w:r>
    </w:p>
    <w:p w14:paraId="66229F73" w14:textId="742EDED8" w:rsidR="00064ADB" w:rsidRPr="0071228C" w:rsidRDefault="00CC55C0" w:rsidP="00CC55C0">
      <w:pPr>
        <w:pStyle w:val="Point1"/>
        <w:rPr>
          <w:noProof/>
        </w:rPr>
      </w:pPr>
      <w:r>
        <w:rPr>
          <w:noProof/>
        </w:rPr>
        <w:t>a)</w:t>
      </w:r>
      <w:r>
        <w:rPr>
          <w:noProof/>
        </w:rPr>
        <w:tab/>
      </w:r>
      <w:r w:rsidR="00064ADB" w:rsidRPr="0071228C">
        <w:rPr>
          <w:noProof/>
        </w:rPr>
        <w:t>dodania lub usunięcia substancji zanieczyszczających</w:t>
      </w:r>
      <w:r w:rsidRPr="0071228C">
        <w:rPr>
          <w:noProof/>
        </w:rPr>
        <w:t xml:space="preserve"> z</w:t>
      </w:r>
      <w:r>
        <w:rPr>
          <w:noProof/>
        </w:rPr>
        <w:t> </w:t>
      </w:r>
      <w:r w:rsidRPr="0071228C">
        <w:rPr>
          <w:noProof/>
        </w:rPr>
        <w:t>wyk</w:t>
      </w:r>
      <w:r w:rsidR="00064ADB" w:rsidRPr="0071228C">
        <w:rPr>
          <w:noProof/>
        </w:rPr>
        <w:t>azu kategorii substancji zanieczyszczających określonego</w:t>
      </w:r>
      <w:r w:rsidRPr="0071228C">
        <w:rPr>
          <w:noProof/>
        </w:rPr>
        <w:t xml:space="preserve"> w</w:t>
      </w:r>
      <w:r>
        <w:rPr>
          <w:noProof/>
        </w:rPr>
        <w:t> </w:t>
      </w:r>
      <w:r w:rsidRPr="0071228C">
        <w:rPr>
          <w:noProof/>
        </w:rPr>
        <w:t>zał</w:t>
      </w:r>
      <w:r w:rsidR="00064ADB" w:rsidRPr="0071228C">
        <w:rPr>
          <w:noProof/>
        </w:rPr>
        <w:t>ączniku II część A;</w:t>
      </w:r>
    </w:p>
    <w:p w14:paraId="594BDDB6" w14:textId="23856665" w:rsidR="00064ADB" w:rsidRPr="0071228C" w:rsidRDefault="00CC55C0" w:rsidP="00CC55C0">
      <w:pPr>
        <w:pStyle w:val="Point1"/>
        <w:rPr>
          <w:noProof/>
        </w:rPr>
      </w:pPr>
      <w:r>
        <w:rPr>
          <w:noProof/>
        </w:rPr>
        <w:t>b)</w:t>
      </w:r>
      <w:r>
        <w:rPr>
          <w:noProof/>
        </w:rPr>
        <w:tab/>
      </w:r>
      <w:r w:rsidR="00064ADB" w:rsidRPr="0071228C">
        <w:rPr>
          <w:noProof/>
        </w:rPr>
        <w:t>aktualizacji metodyki określonej</w:t>
      </w:r>
      <w:r w:rsidRPr="0071228C">
        <w:rPr>
          <w:noProof/>
        </w:rPr>
        <w:t xml:space="preserve"> w</w:t>
      </w:r>
      <w:r>
        <w:rPr>
          <w:noProof/>
        </w:rPr>
        <w:t> </w:t>
      </w:r>
      <w:r w:rsidRPr="0071228C">
        <w:rPr>
          <w:noProof/>
        </w:rPr>
        <w:t>zał</w:t>
      </w:r>
      <w:r w:rsidR="00064ADB" w:rsidRPr="0071228C">
        <w:rPr>
          <w:noProof/>
        </w:rPr>
        <w:t>ączniku II część B;</w:t>
      </w:r>
    </w:p>
    <w:p w14:paraId="4E856E47" w14:textId="42763E60" w:rsidR="00064ADB" w:rsidRPr="0071228C" w:rsidRDefault="00CC55C0" w:rsidP="00CC55C0">
      <w:pPr>
        <w:pStyle w:val="Point1"/>
        <w:rPr>
          <w:noProof/>
        </w:rPr>
      </w:pPr>
      <w:r>
        <w:rPr>
          <w:noProof/>
        </w:rPr>
        <w:t>c)</w:t>
      </w:r>
      <w:r>
        <w:rPr>
          <w:noProof/>
        </w:rPr>
        <w:tab/>
      </w:r>
      <w:r w:rsidR="00064ADB" w:rsidRPr="0071228C">
        <w:rPr>
          <w:noProof/>
        </w:rPr>
        <w:t>wymienienia</w:t>
      </w:r>
      <w:r w:rsidRPr="0071228C">
        <w:rPr>
          <w:noProof/>
        </w:rPr>
        <w:t xml:space="preserve"> w</w:t>
      </w:r>
      <w:r>
        <w:rPr>
          <w:noProof/>
        </w:rPr>
        <w:t> </w:t>
      </w:r>
      <w:r w:rsidRPr="0071228C">
        <w:rPr>
          <w:noProof/>
        </w:rPr>
        <w:t>czę</w:t>
      </w:r>
      <w:r w:rsidR="00064ADB" w:rsidRPr="0071228C">
        <w:rPr>
          <w:noProof/>
        </w:rPr>
        <w:t>ści C załącznika II do niniejszej dyrektywy substancji zanieczyszczających specyficznych dla dorzeczy,</w:t>
      </w:r>
      <w:r w:rsidRPr="0071228C">
        <w:rPr>
          <w:noProof/>
        </w:rPr>
        <w:t xml:space="preserve"> w</w:t>
      </w:r>
      <w:r>
        <w:rPr>
          <w:noProof/>
        </w:rPr>
        <w:t> </w:t>
      </w:r>
      <w:r w:rsidRPr="0071228C">
        <w:rPr>
          <w:noProof/>
        </w:rPr>
        <w:t>odn</w:t>
      </w:r>
      <w:r w:rsidR="00064ADB" w:rsidRPr="0071228C">
        <w:rPr>
          <w:noProof/>
        </w:rPr>
        <w:t>iesieniu do których ustaliła, że</w:t>
      </w:r>
      <w:r w:rsidRPr="0071228C">
        <w:rPr>
          <w:noProof/>
        </w:rPr>
        <w:t xml:space="preserve"> w</w:t>
      </w:r>
      <w:r>
        <w:rPr>
          <w:noProof/>
        </w:rPr>
        <w:t> </w:t>
      </w:r>
      <w:r w:rsidRPr="0071228C">
        <w:rPr>
          <w:noProof/>
        </w:rPr>
        <w:t>sto</w:t>
      </w:r>
      <w:r w:rsidR="00064ADB" w:rsidRPr="0071228C">
        <w:rPr>
          <w:noProof/>
        </w:rPr>
        <w:t>sownych przypadkach należy stosować środowiskowe normy jakości ustalone na poziomie Unii</w:t>
      </w:r>
      <w:r w:rsidRPr="0071228C">
        <w:rPr>
          <w:noProof/>
        </w:rPr>
        <w:t xml:space="preserve"> w</w:t>
      </w:r>
      <w:r>
        <w:rPr>
          <w:noProof/>
        </w:rPr>
        <w:t> </w:t>
      </w:r>
      <w:r w:rsidRPr="0071228C">
        <w:rPr>
          <w:noProof/>
        </w:rPr>
        <w:t>cel</w:t>
      </w:r>
      <w:r w:rsidR="00064ADB" w:rsidRPr="0071228C">
        <w:rPr>
          <w:noProof/>
        </w:rPr>
        <w:t>u zapewnienia zharmonizowanej</w:t>
      </w:r>
      <w:r w:rsidRPr="0071228C">
        <w:rPr>
          <w:noProof/>
        </w:rPr>
        <w:t xml:space="preserve"> i</w:t>
      </w:r>
      <w:r>
        <w:rPr>
          <w:noProof/>
        </w:rPr>
        <w:t> </w:t>
      </w:r>
      <w:r w:rsidRPr="0071228C">
        <w:rPr>
          <w:noProof/>
        </w:rPr>
        <w:t>opa</w:t>
      </w:r>
      <w:r w:rsidR="00064ADB" w:rsidRPr="0071228C">
        <w:rPr>
          <w:noProof/>
        </w:rPr>
        <w:t>rtej na wiedzy naukowej realizacji celów określonych</w:t>
      </w:r>
      <w:r w:rsidRPr="0071228C">
        <w:rPr>
          <w:noProof/>
        </w:rPr>
        <w:t xml:space="preserve"> w</w:t>
      </w:r>
      <w:r>
        <w:rPr>
          <w:noProof/>
        </w:rPr>
        <w:t> </w:t>
      </w:r>
      <w:r w:rsidRPr="00CC55C0">
        <w:rPr>
          <w:noProof/>
        </w:rPr>
        <w:t>art</w:t>
      </w:r>
      <w:r w:rsidR="00064ADB" w:rsidRPr="00CC55C0">
        <w:rPr>
          <w:noProof/>
        </w:rPr>
        <w:t>.</w:t>
      </w:r>
      <w:r w:rsidRPr="00CC55C0">
        <w:rPr>
          <w:noProof/>
        </w:rPr>
        <w:t> </w:t>
      </w:r>
      <w:r w:rsidR="00064ADB" w:rsidRPr="00CC55C0">
        <w:rPr>
          <w:noProof/>
        </w:rPr>
        <w:t>4</w:t>
      </w:r>
      <w:r w:rsidR="00064ADB" w:rsidRPr="0071228C">
        <w:rPr>
          <w:noProof/>
        </w:rPr>
        <w:t xml:space="preserve"> dyrektywy 2000/60/WE, oraz wymienienia odpowiadających im środowiskowych norm jakości</w:t>
      </w:r>
      <w:r w:rsidRPr="0071228C">
        <w:rPr>
          <w:noProof/>
        </w:rPr>
        <w:t xml:space="preserve"> w</w:t>
      </w:r>
      <w:r>
        <w:rPr>
          <w:noProof/>
        </w:rPr>
        <w:t> </w:t>
      </w:r>
      <w:r w:rsidRPr="0071228C">
        <w:rPr>
          <w:noProof/>
        </w:rPr>
        <w:t>czę</w:t>
      </w:r>
      <w:r w:rsidR="00064ADB" w:rsidRPr="0071228C">
        <w:rPr>
          <w:noProof/>
        </w:rPr>
        <w:t xml:space="preserve">ści C załącznika II do niniejszej dyrektywy. </w:t>
      </w:r>
    </w:p>
    <w:p w14:paraId="6FE4677E" w14:textId="77777777" w:rsidR="00064ADB" w:rsidRPr="0071228C" w:rsidRDefault="00064ADB" w:rsidP="00064ADB">
      <w:pPr>
        <w:ind w:left="709"/>
        <w:rPr>
          <w:rFonts w:eastAsia="Calibri"/>
          <w:bCs/>
          <w:noProof/>
        </w:rPr>
      </w:pPr>
      <w:r w:rsidRPr="0071228C">
        <w:rPr>
          <w:noProof/>
        </w:rPr>
        <w:t>4. Identyfikując substancje zanieczyszczające specyficzne dla dorzeczy, dla których może być konieczne ustanowienie środowiskowych norm jakości poziomie Unii, Komisja uwzględnia następujące kryteria:</w:t>
      </w:r>
    </w:p>
    <w:p w14:paraId="2863347A" w14:textId="699F7E03" w:rsidR="00064ADB" w:rsidRPr="0071228C" w:rsidRDefault="00064ADB" w:rsidP="00064ADB">
      <w:pPr>
        <w:pStyle w:val="Text2"/>
        <w:rPr>
          <w:noProof/>
        </w:rPr>
      </w:pPr>
      <w:r w:rsidRPr="0071228C">
        <w:rPr>
          <w:noProof/>
        </w:rPr>
        <w:t>a) ryzyko, które niosą ze sobą substancje zanieczyszczające,</w:t>
      </w:r>
      <w:r w:rsidR="00CC55C0" w:rsidRPr="0071228C">
        <w:rPr>
          <w:noProof/>
        </w:rPr>
        <w:t xml:space="preserve"> w</w:t>
      </w:r>
      <w:r w:rsidR="00CC55C0">
        <w:rPr>
          <w:noProof/>
        </w:rPr>
        <w:t> </w:t>
      </w:r>
      <w:r w:rsidR="00CC55C0" w:rsidRPr="0071228C">
        <w:rPr>
          <w:noProof/>
        </w:rPr>
        <w:t>tym</w:t>
      </w:r>
      <w:r w:rsidRPr="0071228C">
        <w:rPr>
          <w:noProof/>
        </w:rPr>
        <w:t xml:space="preserve"> wynikające</w:t>
      </w:r>
      <w:r w:rsidR="00CC55C0" w:rsidRPr="0071228C">
        <w:rPr>
          <w:noProof/>
        </w:rPr>
        <w:t xml:space="preserve"> z</w:t>
      </w:r>
      <w:r w:rsidR="00CC55C0">
        <w:rPr>
          <w:noProof/>
        </w:rPr>
        <w:t> </w:t>
      </w:r>
      <w:r w:rsidR="00CC55C0" w:rsidRPr="0071228C">
        <w:rPr>
          <w:noProof/>
        </w:rPr>
        <w:t>nic</w:t>
      </w:r>
      <w:r w:rsidRPr="0071228C">
        <w:rPr>
          <w:noProof/>
        </w:rPr>
        <w:t>h zagrożenie, stężenie</w:t>
      </w:r>
      <w:r w:rsidR="00CC55C0" w:rsidRPr="0071228C">
        <w:rPr>
          <w:noProof/>
        </w:rPr>
        <w:t xml:space="preserve"> w</w:t>
      </w:r>
      <w:r w:rsidR="00CC55C0">
        <w:rPr>
          <w:noProof/>
        </w:rPr>
        <w:t> </w:t>
      </w:r>
      <w:r w:rsidR="00CC55C0" w:rsidRPr="0071228C">
        <w:rPr>
          <w:noProof/>
        </w:rPr>
        <w:t>śro</w:t>
      </w:r>
      <w:r w:rsidRPr="0071228C">
        <w:rPr>
          <w:noProof/>
        </w:rPr>
        <w:t>dowisku oraz stężenie, powyżej którego można spodziewać się skutków;</w:t>
      </w:r>
    </w:p>
    <w:p w14:paraId="00E0EEC9" w14:textId="1DBCD428" w:rsidR="00064ADB" w:rsidRPr="0071228C" w:rsidRDefault="00064ADB" w:rsidP="00064ADB">
      <w:pPr>
        <w:pStyle w:val="Text2"/>
        <w:rPr>
          <w:noProof/>
        </w:rPr>
      </w:pPr>
      <w:r w:rsidRPr="0071228C">
        <w:rPr>
          <w:noProof/>
        </w:rPr>
        <w:t>b) rozbieżności między krajowymi środowiskowymi normami jakości ustalonymi dla substancji zanieczyszczających specyficznych dla dorzeczy przez różne państwa członkowskie oraz stopień,</w:t>
      </w:r>
      <w:r w:rsidR="00CC55C0" w:rsidRPr="0071228C">
        <w:rPr>
          <w:noProof/>
        </w:rPr>
        <w:t xml:space="preserve"> w</w:t>
      </w:r>
      <w:r w:rsidR="00CC55C0">
        <w:rPr>
          <w:noProof/>
        </w:rPr>
        <w:t> </w:t>
      </w:r>
      <w:r w:rsidR="00CC55C0" w:rsidRPr="0071228C">
        <w:rPr>
          <w:noProof/>
        </w:rPr>
        <w:t>jak</w:t>
      </w:r>
      <w:r w:rsidRPr="0071228C">
        <w:rPr>
          <w:noProof/>
        </w:rPr>
        <w:t>im te rozbieżności są uzasadnione;</w:t>
      </w:r>
    </w:p>
    <w:p w14:paraId="50354CEA" w14:textId="77777777" w:rsidR="00064ADB" w:rsidRPr="0071228C" w:rsidRDefault="00064ADB" w:rsidP="00064ADB">
      <w:pPr>
        <w:pStyle w:val="Text2"/>
        <w:rPr>
          <w:noProof/>
        </w:rPr>
      </w:pPr>
      <w:r w:rsidRPr="0071228C">
        <w:rPr>
          <w:noProof/>
        </w:rPr>
        <w:t xml:space="preserve">c) liczba państw członkowskich już wdrażających środowiskowe normy jakości dla danych substancji zanieczyszczających specyficznych dla dorzeczy. </w:t>
      </w:r>
    </w:p>
    <w:p w14:paraId="27D49A2E" w14:textId="76E7662E" w:rsidR="00064ADB" w:rsidRPr="00CC55C0" w:rsidRDefault="00064ADB" w:rsidP="00064ADB">
      <w:pPr>
        <w:ind w:left="709"/>
        <w:rPr>
          <w:bCs/>
          <w:noProof/>
        </w:rPr>
      </w:pPr>
      <w:r w:rsidRPr="0071228C">
        <w:rPr>
          <w:noProof/>
        </w:rPr>
        <w:t>5. Substancje priorytetowe, które</w:t>
      </w:r>
      <w:r w:rsidR="00CC55C0" w:rsidRPr="0071228C">
        <w:rPr>
          <w:noProof/>
        </w:rPr>
        <w:t xml:space="preserve"> w</w:t>
      </w:r>
      <w:r w:rsidR="00CC55C0">
        <w:rPr>
          <w:noProof/>
        </w:rPr>
        <w:t> </w:t>
      </w:r>
      <w:r w:rsidR="00CC55C0" w:rsidRPr="0071228C">
        <w:rPr>
          <w:noProof/>
        </w:rPr>
        <w:t>wyn</w:t>
      </w:r>
      <w:r w:rsidRPr="0071228C">
        <w:rPr>
          <w:noProof/>
        </w:rPr>
        <w:t>iku przeglądu,</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usunięto</w:t>
      </w:r>
      <w:r w:rsidR="00CC55C0" w:rsidRPr="0071228C">
        <w:rPr>
          <w:noProof/>
        </w:rPr>
        <w:t xml:space="preserve"> z</w:t>
      </w:r>
      <w:r w:rsidR="00CC55C0">
        <w:rPr>
          <w:noProof/>
        </w:rPr>
        <w:t> </w:t>
      </w:r>
      <w:r w:rsidR="00CC55C0" w:rsidRPr="0071228C">
        <w:rPr>
          <w:noProof/>
        </w:rPr>
        <w:t>wyk</w:t>
      </w:r>
      <w:r w:rsidRPr="0071228C">
        <w:rPr>
          <w:noProof/>
        </w:rPr>
        <w:t>azu substancji priorytetowych, ponieważ nie stwarzają już ogólnounijnego ryzyka, włącza się do załącznika II część C,</w:t>
      </w:r>
      <w:r w:rsidR="00CC55C0" w:rsidRPr="0071228C">
        <w:rPr>
          <w:noProof/>
        </w:rPr>
        <w:t xml:space="preserve"> w</w:t>
      </w:r>
      <w:r w:rsidR="00CC55C0">
        <w:rPr>
          <w:noProof/>
        </w:rPr>
        <w:t> </w:t>
      </w:r>
      <w:r w:rsidR="00CC55C0" w:rsidRPr="0071228C">
        <w:rPr>
          <w:noProof/>
        </w:rPr>
        <w:t>któ</w:t>
      </w:r>
      <w:r w:rsidRPr="0071228C">
        <w:rPr>
          <w:noProof/>
        </w:rPr>
        <w:t>rej wymienia się substancje zanieczyszczające specyficzne dla dorzeczy</w:t>
      </w:r>
      <w:r w:rsidR="00CC55C0" w:rsidRPr="0071228C">
        <w:rPr>
          <w:noProof/>
        </w:rPr>
        <w:t xml:space="preserve"> i</w:t>
      </w:r>
      <w:r w:rsidR="00CC55C0">
        <w:rPr>
          <w:noProof/>
        </w:rPr>
        <w:t> </w:t>
      </w:r>
      <w:r w:rsidR="00CC55C0" w:rsidRPr="0071228C">
        <w:rPr>
          <w:noProof/>
        </w:rPr>
        <w:t>pow</w:t>
      </w:r>
      <w:r w:rsidRPr="0071228C">
        <w:rPr>
          <w:noProof/>
        </w:rPr>
        <w:t>iązane zharmonizowane środowiskowe normy jakości, które należy wdrożyć, gdy zanieczyszczenia te mają znaczenie na poziomie krajowym lub regionalnym,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d</w:t>
      </w:r>
      <w:r w:rsidRPr="00CC55C0">
        <w:rPr>
          <w:noProof/>
        </w:rPr>
        <w:t>.</w:t>
      </w:r>
      <w:r w:rsidR="00CC55C0" w:rsidRPr="00CC55C0">
        <w:rPr>
          <w:noProof/>
        </w:rPr>
        <w:t xml:space="preserve"> </w:t>
      </w:r>
    </w:p>
    <w:p w14:paraId="222BAE9B" w14:textId="3813B87E" w:rsidR="00064ADB" w:rsidRPr="0071228C" w:rsidRDefault="00064ADB" w:rsidP="00064ADB">
      <w:pPr>
        <w:ind w:left="709"/>
        <w:rPr>
          <w:bCs/>
          <w:noProof/>
        </w:rPr>
      </w:pPr>
      <w:r w:rsidRPr="0071228C">
        <w:rPr>
          <w:noProof/>
        </w:rPr>
        <w:t>6. Aby wesprzeć Komisję</w:t>
      </w:r>
      <w:r w:rsidR="00CC55C0" w:rsidRPr="0071228C">
        <w:rPr>
          <w:noProof/>
        </w:rPr>
        <w:t xml:space="preserve"> w</w:t>
      </w:r>
      <w:r w:rsidR="00CC55C0">
        <w:rPr>
          <w:noProof/>
        </w:rPr>
        <w:t> </w:t>
      </w:r>
      <w:r w:rsidR="00CC55C0" w:rsidRPr="0071228C">
        <w:rPr>
          <w:noProof/>
        </w:rPr>
        <w:t>prz</w:t>
      </w:r>
      <w:r w:rsidRPr="0071228C">
        <w:rPr>
          <w:noProof/>
        </w:rPr>
        <w:t>eglądzie załączników I i II, ECHA przygotowuje sprawozdania naukowe. Przedmiotowe sprawozdania naukowe uwzględniają, co następuje:</w:t>
      </w:r>
    </w:p>
    <w:p w14:paraId="00D62643" w14:textId="25FAFED7" w:rsidR="00064ADB" w:rsidRPr="0071228C" w:rsidRDefault="00064ADB" w:rsidP="00064ADB">
      <w:pPr>
        <w:pStyle w:val="Text2"/>
        <w:rPr>
          <w:noProof/>
        </w:rPr>
      </w:pPr>
      <w:r w:rsidRPr="0071228C">
        <w:rPr>
          <w:noProof/>
        </w:rPr>
        <w:t>a) opinie Komitetu ds. Oceny Ryzyka</w:t>
      </w:r>
      <w:r w:rsidR="00CC55C0" w:rsidRPr="0071228C">
        <w:rPr>
          <w:noProof/>
        </w:rPr>
        <w:t xml:space="preserve"> i</w:t>
      </w:r>
      <w:r w:rsidR="00CC55C0">
        <w:rPr>
          <w:noProof/>
        </w:rPr>
        <w:t> </w:t>
      </w:r>
      <w:r w:rsidR="00CC55C0" w:rsidRPr="0071228C">
        <w:rPr>
          <w:noProof/>
        </w:rPr>
        <w:t>Kom</w:t>
      </w:r>
      <w:r w:rsidRPr="0071228C">
        <w:rPr>
          <w:noProof/>
        </w:rPr>
        <w:t>itetu ds. Analiz Społeczno-Ekonomicznych ECHA;</w:t>
      </w:r>
    </w:p>
    <w:p w14:paraId="3286836D" w14:textId="30C2A411" w:rsidR="00064ADB" w:rsidRPr="0071228C" w:rsidRDefault="00064ADB" w:rsidP="00064ADB">
      <w:pPr>
        <w:pStyle w:val="Text2"/>
        <w:rPr>
          <w:noProof/>
        </w:rPr>
      </w:pPr>
      <w:r w:rsidRPr="0071228C">
        <w:rPr>
          <w:noProof/>
        </w:rPr>
        <w:t>b) wyniki programów monitorowania ustanowionych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dyrektywy 2000/60/WE;</w:t>
      </w:r>
    </w:p>
    <w:p w14:paraId="6D6CB115" w14:textId="0EA9F363" w:rsidR="00064ADB" w:rsidRPr="0071228C" w:rsidRDefault="00064ADB" w:rsidP="00064ADB">
      <w:pPr>
        <w:pStyle w:val="Text2"/>
        <w:rPr>
          <w:noProof/>
        </w:rPr>
      </w:pPr>
      <w:r w:rsidRPr="0071228C">
        <w:rPr>
          <w:noProof/>
        </w:rPr>
        <w:t>c) dane</w:t>
      </w:r>
      <w:r w:rsidR="00CC55C0" w:rsidRPr="0071228C">
        <w:rPr>
          <w:noProof/>
        </w:rPr>
        <w:t xml:space="preserve"> z</w:t>
      </w:r>
      <w:r w:rsidR="00CC55C0">
        <w:rPr>
          <w:noProof/>
        </w:rPr>
        <w:t> </w:t>
      </w:r>
      <w:r w:rsidR="00CC55C0" w:rsidRPr="0071228C">
        <w:rPr>
          <w:noProof/>
        </w:rPr>
        <w:t>mon</w:t>
      </w:r>
      <w:r w:rsidRPr="0071228C">
        <w:rPr>
          <w:noProof/>
        </w:rPr>
        <w:t>itorowania zgromadzone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a </w:t>
      </w:r>
      <w:r w:rsidRPr="00CC55C0">
        <w:rPr>
          <w:noProof/>
        </w:rPr>
        <w:t>ust.</w:t>
      </w:r>
      <w:r w:rsidR="00CC55C0" w:rsidRPr="00CC55C0">
        <w:rPr>
          <w:noProof/>
        </w:rPr>
        <w:t> </w:t>
      </w:r>
      <w:r w:rsidRPr="00CC55C0">
        <w:rPr>
          <w:noProof/>
        </w:rPr>
        <w:t>4</w:t>
      </w:r>
      <w:r w:rsidRPr="0071228C">
        <w:rPr>
          <w:noProof/>
        </w:rPr>
        <w:t xml:space="preserve"> niniejszej dyrektywy;</w:t>
      </w:r>
    </w:p>
    <w:p w14:paraId="7DD258B7" w14:textId="017EECAD" w:rsidR="00064ADB" w:rsidRPr="0071228C" w:rsidRDefault="00064ADB" w:rsidP="00064ADB">
      <w:pPr>
        <w:pStyle w:val="Text2"/>
        <w:rPr>
          <w:noProof/>
        </w:rPr>
      </w:pPr>
      <w:r w:rsidRPr="0071228C">
        <w:rPr>
          <w:noProof/>
        </w:rPr>
        <w:t>d) wyniki przeglądów załączników do dyrektywy 2006/118/WE Parlamentu Europejskiego</w:t>
      </w:r>
      <w:r w:rsidR="00CC55C0" w:rsidRPr="0071228C">
        <w:rPr>
          <w:noProof/>
        </w:rPr>
        <w:t xml:space="preserve"> i</w:t>
      </w:r>
      <w:r w:rsidR="00CC55C0">
        <w:rPr>
          <w:noProof/>
        </w:rPr>
        <w:t> </w:t>
      </w:r>
      <w:r w:rsidR="00CC55C0" w:rsidRPr="0071228C">
        <w:rPr>
          <w:noProof/>
        </w:rPr>
        <w:t>Rad</w:t>
      </w:r>
      <w:r w:rsidRPr="0071228C">
        <w:rPr>
          <w:noProof/>
        </w:rPr>
        <w:t>y* oraz dyrektywy Parlamentu Europejskiego</w:t>
      </w:r>
      <w:r w:rsidR="00CC55C0" w:rsidRPr="0071228C">
        <w:rPr>
          <w:noProof/>
        </w:rPr>
        <w:t xml:space="preserve"> i</w:t>
      </w:r>
      <w:r w:rsidR="00CC55C0">
        <w:rPr>
          <w:noProof/>
        </w:rPr>
        <w:t> </w:t>
      </w:r>
      <w:r w:rsidR="00CC55C0" w:rsidRPr="0071228C">
        <w:rPr>
          <w:noProof/>
        </w:rPr>
        <w:t>Rad</w:t>
      </w:r>
      <w:r w:rsidRPr="0071228C">
        <w:rPr>
          <w:noProof/>
        </w:rPr>
        <w:t>y (UE) 2020/2184**;</w:t>
      </w:r>
    </w:p>
    <w:p w14:paraId="09A2643D" w14:textId="35B8B4CF" w:rsidR="00064ADB" w:rsidRPr="0071228C" w:rsidRDefault="00064ADB" w:rsidP="00064ADB">
      <w:pPr>
        <w:pStyle w:val="Text2"/>
        <w:rPr>
          <w:noProof/>
        </w:rPr>
      </w:pPr>
      <w:r w:rsidRPr="0071228C">
        <w:rPr>
          <w:noProof/>
        </w:rPr>
        <w:t>e) wymogi służące rozwiązaniu problemu zanieczyszczenia gleby,</w:t>
      </w:r>
      <w:r w:rsidR="00CC55C0" w:rsidRPr="0071228C">
        <w:rPr>
          <w:noProof/>
        </w:rPr>
        <w:t xml:space="preserve"> w</w:t>
      </w:r>
      <w:r w:rsidR="00CC55C0">
        <w:rPr>
          <w:noProof/>
        </w:rPr>
        <w:t> </w:t>
      </w:r>
      <w:r w:rsidR="00CC55C0" w:rsidRPr="0071228C">
        <w:rPr>
          <w:noProof/>
        </w:rPr>
        <w:t>tym</w:t>
      </w:r>
      <w:r w:rsidRPr="0071228C">
        <w:rPr>
          <w:noProof/>
        </w:rPr>
        <w:t xml:space="preserve"> powiązane dane</w:t>
      </w:r>
      <w:r w:rsidR="00CC55C0" w:rsidRPr="0071228C">
        <w:rPr>
          <w:noProof/>
        </w:rPr>
        <w:t xml:space="preserve"> z</w:t>
      </w:r>
      <w:r w:rsidR="00CC55C0">
        <w:rPr>
          <w:noProof/>
        </w:rPr>
        <w:t> </w:t>
      </w:r>
      <w:r w:rsidR="00CC55C0" w:rsidRPr="0071228C">
        <w:rPr>
          <w:noProof/>
        </w:rPr>
        <w:t>mon</w:t>
      </w:r>
      <w:r w:rsidRPr="0071228C">
        <w:rPr>
          <w:noProof/>
        </w:rPr>
        <w:t>itorowania;</w:t>
      </w:r>
    </w:p>
    <w:p w14:paraId="35EC2019" w14:textId="372BD200" w:rsidR="00064ADB" w:rsidRPr="0071228C" w:rsidRDefault="00064ADB" w:rsidP="00064ADB">
      <w:pPr>
        <w:pStyle w:val="Text2"/>
        <w:rPr>
          <w:noProof/>
        </w:rPr>
      </w:pPr>
      <w:r w:rsidRPr="0071228C">
        <w:rPr>
          <w:noProof/>
        </w:rPr>
        <w:t>f) unijne projekty badawcze</w:t>
      </w:r>
      <w:r w:rsidR="00CC55C0" w:rsidRPr="0071228C">
        <w:rPr>
          <w:noProof/>
        </w:rPr>
        <w:t xml:space="preserve"> i</w:t>
      </w:r>
      <w:r w:rsidR="00CC55C0">
        <w:rPr>
          <w:noProof/>
        </w:rPr>
        <w:t> </w:t>
      </w:r>
      <w:r w:rsidR="00CC55C0" w:rsidRPr="0071228C">
        <w:rPr>
          <w:noProof/>
        </w:rPr>
        <w:t>pub</w:t>
      </w:r>
      <w:r w:rsidRPr="0071228C">
        <w:rPr>
          <w:noProof/>
        </w:rPr>
        <w:t>likacje naukowe,</w:t>
      </w:r>
      <w:r w:rsidR="00CC55C0" w:rsidRPr="0071228C">
        <w:rPr>
          <w:noProof/>
        </w:rPr>
        <w:t xml:space="preserve"> w</w:t>
      </w:r>
      <w:r w:rsidR="00CC55C0">
        <w:rPr>
          <w:noProof/>
        </w:rPr>
        <w:t> </w:t>
      </w:r>
      <w:r w:rsidR="00CC55C0" w:rsidRPr="0071228C">
        <w:rPr>
          <w:noProof/>
        </w:rPr>
        <w:t>tym</w:t>
      </w:r>
      <w:r w:rsidRPr="0071228C">
        <w:rPr>
          <w:noProof/>
        </w:rPr>
        <w:t xml:space="preserve"> informacje wynikające</w:t>
      </w:r>
      <w:r w:rsidR="00CC55C0" w:rsidRPr="0071228C">
        <w:rPr>
          <w:noProof/>
        </w:rPr>
        <w:t xml:space="preserve"> z</w:t>
      </w:r>
      <w:r w:rsidR="00CC55C0">
        <w:rPr>
          <w:noProof/>
        </w:rPr>
        <w:t> </w:t>
      </w:r>
      <w:r w:rsidR="00CC55C0" w:rsidRPr="0071228C">
        <w:rPr>
          <w:noProof/>
        </w:rPr>
        <w:t>zas</w:t>
      </w:r>
      <w:r w:rsidRPr="0071228C">
        <w:rPr>
          <w:noProof/>
        </w:rPr>
        <w:t>tosowania technologii teledetekcji, obserwacji Ziemi (usługi programu Copernicus), czujników</w:t>
      </w:r>
      <w:r w:rsidR="00CC55C0" w:rsidRPr="0071228C">
        <w:rPr>
          <w:noProof/>
        </w:rPr>
        <w:t xml:space="preserve"> i</w:t>
      </w:r>
      <w:r w:rsidR="00CC55C0">
        <w:rPr>
          <w:noProof/>
        </w:rPr>
        <w:t> </w:t>
      </w:r>
      <w:r w:rsidR="00CC55C0" w:rsidRPr="0071228C">
        <w:rPr>
          <w:noProof/>
        </w:rPr>
        <w:t>urz</w:t>
      </w:r>
      <w:r w:rsidRPr="0071228C">
        <w:rPr>
          <w:noProof/>
        </w:rPr>
        <w:t>ądzeń in-situ lub danych uzyskanych dzięki badaniom metodą obywatelską, korzystając</w:t>
      </w:r>
      <w:r w:rsidR="00CC55C0" w:rsidRPr="0071228C">
        <w:rPr>
          <w:noProof/>
        </w:rPr>
        <w:t xml:space="preserve"> z</w:t>
      </w:r>
      <w:r w:rsidR="00CC55C0">
        <w:rPr>
          <w:noProof/>
        </w:rPr>
        <w:t> </w:t>
      </w:r>
      <w:r w:rsidR="00CC55C0" w:rsidRPr="0071228C">
        <w:rPr>
          <w:noProof/>
        </w:rPr>
        <w:t>moż</w:t>
      </w:r>
      <w:r w:rsidRPr="0071228C">
        <w:rPr>
          <w:noProof/>
        </w:rPr>
        <w:t>liwości oferowanych przez sztuczną inteligencję oraz zaawansowaną analizę</w:t>
      </w:r>
      <w:r w:rsidR="00CC55C0" w:rsidRPr="0071228C">
        <w:rPr>
          <w:noProof/>
        </w:rPr>
        <w:t xml:space="preserve"> i</w:t>
      </w:r>
      <w:r w:rsidR="00CC55C0">
        <w:rPr>
          <w:noProof/>
        </w:rPr>
        <w:t> </w:t>
      </w:r>
      <w:r w:rsidR="00CC55C0" w:rsidRPr="0071228C">
        <w:rPr>
          <w:noProof/>
        </w:rPr>
        <w:t>prz</w:t>
      </w:r>
      <w:r w:rsidRPr="0071228C">
        <w:rPr>
          <w:noProof/>
        </w:rPr>
        <w:t>etwarzanie danych;</w:t>
      </w:r>
      <w:r w:rsidRPr="0071228C">
        <w:rPr>
          <w:noProof/>
        </w:rPr>
        <w:tab/>
      </w:r>
    </w:p>
    <w:p w14:paraId="3E9831CE" w14:textId="2A71928F" w:rsidR="00064ADB" w:rsidRPr="0071228C" w:rsidRDefault="00064ADB" w:rsidP="00064ADB">
      <w:pPr>
        <w:pStyle w:val="Text2"/>
        <w:rPr>
          <w:noProof/>
        </w:rPr>
      </w:pPr>
      <w:r w:rsidRPr="0071228C">
        <w:rPr>
          <w:noProof/>
        </w:rPr>
        <w:t>e) uwagi</w:t>
      </w:r>
      <w:r w:rsidR="00CC55C0" w:rsidRPr="0071228C">
        <w:rPr>
          <w:noProof/>
        </w:rPr>
        <w:t xml:space="preserve"> i</w:t>
      </w:r>
      <w:r w:rsidR="00CC55C0">
        <w:rPr>
          <w:noProof/>
        </w:rPr>
        <w:t> </w:t>
      </w:r>
      <w:r w:rsidR="00CC55C0" w:rsidRPr="0071228C">
        <w:rPr>
          <w:noProof/>
        </w:rPr>
        <w:t>inf</w:t>
      </w:r>
      <w:r w:rsidRPr="0071228C">
        <w:rPr>
          <w:noProof/>
        </w:rPr>
        <w:t>ormacje od istotnych zainteresowanych stron.</w:t>
      </w:r>
    </w:p>
    <w:p w14:paraId="6FBB73B1" w14:textId="26B4F5AB" w:rsidR="00064ADB" w:rsidRPr="0071228C" w:rsidRDefault="00064ADB" w:rsidP="00064ADB">
      <w:pPr>
        <w:ind w:left="709"/>
        <w:rPr>
          <w:bCs/>
          <w:noProof/>
        </w:rPr>
      </w:pPr>
      <w:r w:rsidRPr="0071228C">
        <w:rPr>
          <w:noProof/>
        </w:rPr>
        <w:t>7. Co sześć lat ECHA przygotowuje</w:t>
      </w:r>
      <w:r w:rsidR="00CC55C0" w:rsidRPr="0071228C">
        <w:rPr>
          <w:noProof/>
        </w:rPr>
        <w:t xml:space="preserve"> i</w:t>
      </w:r>
      <w:r w:rsidR="00CC55C0">
        <w:rPr>
          <w:noProof/>
        </w:rPr>
        <w:t> </w:t>
      </w:r>
      <w:r w:rsidR="00CC55C0" w:rsidRPr="0071228C">
        <w:rPr>
          <w:noProof/>
        </w:rPr>
        <w:t>pod</w:t>
      </w:r>
      <w:r w:rsidRPr="0071228C">
        <w:rPr>
          <w:noProof/>
        </w:rPr>
        <w:t xml:space="preserve">aje do publicznej wiadomości sprawozdanie podsumowujące wyniki sprawozdań naukowych sporządzonych na podstawie </w:t>
      </w:r>
      <w:r w:rsidRPr="00CC55C0">
        <w:rPr>
          <w:noProof/>
        </w:rPr>
        <w:t>ust.</w:t>
      </w:r>
      <w:r w:rsidR="00CC55C0" w:rsidRPr="00CC55C0">
        <w:rPr>
          <w:noProof/>
        </w:rPr>
        <w:t> </w:t>
      </w:r>
      <w:r w:rsidRPr="00CC55C0">
        <w:rPr>
          <w:noProof/>
        </w:rPr>
        <w:t>6</w:t>
      </w:r>
      <w:r w:rsidRPr="0071228C">
        <w:rPr>
          <w:noProof/>
        </w:rPr>
        <w:t>. Pierwsze sprawozdanie</w:t>
      </w:r>
      <w:r w:rsidR="00CC55C0" w:rsidRPr="0071228C">
        <w:rPr>
          <w:noProof/>
        </w:rPr>
        <w:t xml:space="preserve"> z</w:t>
      </w:r>
      <w:r w:rsidR="00CC55C0">
        <w:rPr>
          <w:noProof/>
        </w:rPr>
        <w:t> </w:t>
      </w:r>
      <w:r w:rsidR="00CC55C0" w:rsidRPr="0071228C">
        <w:rPr>
          <w:noProof/>
        </w:rPr>
        <w:t>mon</w:t>
      </w:r>
      <w:r w:rsidRPr="0071228C">
        <w:rPr>
          <w:noProof/>
        </w:rPr>
        <w:t>itorowania jest przedkładane Komisji do ... [Urząd Publikacji: proszę wstawić datę = pięć lat od dnia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05522E90" w14:textId="77777777" w:rsidR="00064ADB" w:rsidRPr="0071228C" w:rsidRDefault="00064ADB" w:rsidP="00064ADB">
      <w:pPr>
        <w:ind w:left="709"/>
        <w:rPr>
          <w:bCs/>
          <w:noProof/>
          <w:u w:val="single"/>
        </w:rPr>
      </w:pPr>
      <w:r w:rsidRPr="0071228C">
        <w:rPr>
          <w:i/>
          <w:noProof/>
        </w:rPr>
        <w:t xml:space="preserve"> </w:t>
      </w:r>
      <w:r w:rsidRPr="0071228C">
        <w:rPr>
          <w:noProof/>
        </w:rPr>
        <w:tab/>
      </w:r>
      <w:r w:rsidRPr="0071228C">
        <w:rPr>
          <w:noProof/>
        </w:rPr>
        <w:tab/>
      </w:r>
      <w:r w:rsidRPr="0071228C">
        <w:rPr>
          <w:noProof/>
        </w:rPr>
        <w:tab/>
      </w:r>
      <w:r w:rsidRPr="0071228C">
        <w:rPr>
          <w:noProof/>
        </w:rPr>
        <w:tab/>
      </w:r>
      <w:r w:rsidRPr="0071228C">
        <w:rPr>
          <w:noProof/>
        </w:rPr>
        <w:tab/>
      </w:r>
    </w:p>
    <w:p w14:paraId="3CD0F519" w14:textId="28F103EF" w:rsidR="00064ADB" w:rsidRPr="0071228C" w:rsidRDefault="00064ADB" w:rsidP="00064ADB">
      <w:pPr>
        <w:ind w:left="709"/>
        <w:rPr>
          <w:bCs/>
          <w:noProof/>
        </w:rPr>
      </w:pPr>
      <w:r w:rsidRPr="0071228C">
        <w:rPr>
          <w:noProof/>
        </w:rPr>
        <w:t>* Dyrektywa 2006/118/WE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12 grudnia 2006 r.</w:t>
      </w:r>
      <w:r w:rsidR="00CC55C0" w:rsidRPr="0071228C">
        <w:rPr>
          <w:noProof/>
        </w:rPr>
        <w:t xml:space="preserve"> w</w:t>
      </w:r>
      <w:r w:rsidR="00CC55C0">
        <w:rPr>
          <w:noProof/>
        </w:rPr>
        <w:t> </w:t>
      </w:r>
      <w:r w:rsidR="00CC55C0" w:rsidRPr="0071228C">
        <w:rPr>
          <w:noProof/>
        </w:rPr>
        <w:t>spr</w:t>
      </w:r>
      <w:r w:rsidRPr="0071228C">
        <w:rPr>
          <w:noProof/>
        </w:rPr>
        <w:t>awie oceny ryzyka powodziowego</w:t>
      </w:r>
      <w:r w:rsidR="00CC55C0" w:rsidRPr="0071228C">
        <w:rPr>
          <w:noProof/>
        </w:rPr>
        <w:t xml:space="preserve"> i</w:t>
      </w:r>
      <w:r w:rsidR="00CC55C0">
        <w:rPr>
          <w:noProof/>
        </w:rPr>
        <w:t> </w:t>
      </w:r>
      <w:r w:rsidR="00CC55C0" w:rsidRPr="0071228C">
        <w:rPr>
          <w:noProof/>
        </w:rPr>
        <w:t>zar</w:t>
      </w:r>
      <w:r w:rsidRPr="0071228C">
        <w:rPr>
          <w:noProof/>
        </w:rPr>
        <w:t>ządzania nim, (Dz.U. L 372</w:t>
      </w:r>
      <w:r w:rsidR="00CC55C0" w:rsidRPr="0071228C">
        <w:rPr>
          <w:noProof/>
        </w:rPr>
        <w:t xml:space="preserve"> z</w:t>
      </w:r>
      <w:r w:rsidR="00CC55C0">
        <w:rPr>
          <w:noProof/>
        </w:rPr>
        <w:t> </w:t>
      </w:r>
      <w:r w:rsidR="00CC55C0" w:rsidRPr="0071228C">
        <w:rPr>
          <w:noProof/>
        </w:rPr>
        <w:t>2</w:t>
      </w:r>
      <w:r w:rsidRPr="0071228C">
        <w:rPr>
          <w:noProof/>
        </w:rPr>
        <w:t>7.12.2006, s. 19).</w:t>
      </w:r>
    </w:p>
    <w:p w14:paraId="37578F0F" w14:textId="19B927FD" w:rsidR="00064ADB" w:rsidRPr="0071228C" w:rsidRDefault="00064ADB" w:rsidP="00064ADB">
      <w:pPr>
        <w:ind w:left="709"/>
        <w:rPr>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(UE) 2020/2184</w:t>
      </w:r>
      <w:r w:rsidR="00CC55C0" w:rsidRPr="0071228C">
        <w:rPr>
          <w:noProof/>
        </w:rPr>
        <w:t xml:space="preserve"> z</w:t>
      </w:r>
      <w:r w:rsidR="00CC55C0">
        <w:rPr>
          <w:noProof/>
        </w:rPr>
        <w:t> </w:t>
      </w:r>
      <w:r w:rsidR="00CC55C0" w:rsidRPr="0071228C">
        <w:rPr>
          <w:noProof/>
        </w:rPr>
        <w:t>dni</w:t>
      </w:r>
      <w:r w:rsidRPr="0071228C">
        <w:rPr>
          <w:noProof/>
        </w:rPr>
        <w:t>a 16 grudnia 20</w:t>
      </w:r>
      <w:r w:rsidRPr="00CC55C0">
        <w:rPr>
          <w:noProof/>
        </w:rPr>
        <w:t>20</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jakości wody przeznaczonej do spożycia przez ludzi (Dz.U. L 435</w:t>
      </w:r>
      <w:r w:rsidR="00CC55C0" w:rsidRPr="0071228C">
        <w:rPr>
          <w:noProof/>
        </w:rPr>
        <w:t xml:space="preserve"> z</w:t>
      </w:r>
      <w:r w:rsidR="00CC55C0">
        <w:rPr>
          <w:noProof/>
        </w:rPr>
        <w:t> </w:t>
      </w:r>
      <w:r w:rsidR="00CC55C0" w:rsidRPr="0071228C">
        <w:rPr>
          <w:noProof/>
        </w:rPr>
        <w:t>2</w:t>
      </w:r>
      <w:r w:rsidRPr="0071228C">
        <w:rPr>
          <w:noProof/>
        </w:rPr>
        <w:t xml:space="preserve">3.12.2020, s. 1).”; </w:t>
      </w:r>
    </w:p>
    <w:p w14:paraId="3517F729" w14:textId="77777777" w:rsidR="00064ADB" w:rsidRPr="0071228C" w:rsidRDefault="00064ADB" w:rsidP="00064ADB">
      <w:pPr>
        <w:ind w:left="709"/>
        <w:rPr>
          <w:i/>
          <w:noProof/>
        </w:rPr>
      </w:pPr>
    </w:p>
    <w:p w14:paraId="7371A906" w14:textId="51023988" w:rsidR="00064ADB" w:rsidRPr="0071228C" w:rsidRDefault="00CC55C0" w:rsidP="00CC55C0">
      <w:pPr>
        <w:pStyle w:val="Point0"/>
        <w:rPr>
          <w:noProof/>
        </w:rPr>
      </w:pPr>
      <w:r>
        <w:rPr>
          <w:noProof/>
        </w:rPr>
        <w:t>6)</w:t>
      </w:r>
      <w:r>
        <w:rPr>
          <w:noProof/>
        </w:rPr>
        <w:tab/>
      </w:r>
      <w:r w:rsidR="00064ADB" w:rsidRPr="0071228C">
        <w:rPr>
          <w:noProof/>
        </w:rPr>
        <w:t>art. 8a otrzymuje brzmienie:</w:t>
      </w:r>
    </w:p>
    <w:p w14:paraId="6A6E2FCE" w14:textId="77777777" w:rsidR="00064ADB" w:rsidRPr="0071228C" w:rsidRDefault="00064ADB" w:rsidP="009856AE">
      <w:pPr>
        <w:pStyle w:val="Titrearticle"/>
        <w:rPr>
          <w:noProof/>
        </w:rPr>
      </w:pPr>
      <w:r w:rsidRPr="0071228C">
        <w:rPr>
          <w:noProof/>
        </w:rPr>
        <w:t>„Artykuł 8a</w:t>
      </w:r>
    </w:p>
    <w:p w14:paraId="202CEFF1" w14:textId="77777777" w:rsidR="00064ADB" w:rsidRPr="0071228C" w:rsidRDefault="00064ADB" w:rsidP="009856AE">
      <w:pPr>
        <w:pStyle w:val="Titrearticle"/>
        <w:rPr>
          <w:b/>
          <w:noProof/>
        </w:rPr>
      </w:pPr>
      <w:r w:rsidRPr="0071228C">
        <w:rPr>
          <w:b/>
          <w:i w:val="0"/>
          <w:noProof/>
        </w:rPr>
        <w:t>Przepisy szczegółowe dotyczące niektórych substancji</w:t>
      </w:r>
    </w:p>
    <w:p w14:paraId="76FDBEEC" w14:textId="16A77EAA" w:rsidR="00064ADB" w:rsidRPr="0071228C" w:rsidRDefault="00064ADB" w:rsidP="00064ADB">
      <w:pPr>
        <w:pStyle w:val="Text1"/>
        <w:rPr>
          <w:noProof/>
        </w:rPr>
      </w:pPr>
      <w:r w:rsidRPr="0071228C">
        <w:rPr>
          <w:noProof/>
        </w:rPr>
        <w:t>1</w:t>
      </w:r>
      <w:r w:rsidR="00CC55C0" w:rsidRPr="0071228C">
        <w:rPr>
          <w:noProof/>
        </w:rPr>
        <w:t>. W</w:t>
      </w:r>
      <w:r w:rsidR="00CC55C0">
        <w:rPr>
          <w:noProof/>
        </w:rPr>
        <w:t> </w:t>
      </w:r>
      <w:r w:rsidR="00CC55C0" w:rsidRPr="0071228C">
        <w:rPr>
          <w:noProof/>
        </w:rPr>
        <w:t>pla</w:t>
      </w:r>
      <w:r w:rsidRPr="0071228C">
        <w:rPr>
          <w:noProof/>
        </w:rPr>
        <w:t>nach gospodarowania wodami</w:t>
      </w:r>
      <w:r w:rsidR="00CC55C0" w:rsidRPr="0071228C">
        <w:rPr>
          <w:noProof/>
        </w:rPr>
        <w:t xml:space="preserve"> w</w:t>
      </w:r>
      <w:r w:rsidR="00CC55C0">
        <w:rPr>
          <w:noProof/>
        </w:rPr>
        <w:t> </w:t>
      </w:r>
      <w:r w:rsidR="00CC55C0" w:rsidRPr="0071228C">
        <w:rPr>
          <w:noProof/>
        </w:rPr>
        <w:t>dor</w:t>
      </w:r>
      <w:r w:rsidRPr="0071228C">
        <w:rPr>
          <w:noProof/>
        </w:rPr>
        <w:t>zeczu opracowanych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3 dyrektywy 2000/60/WE, bez uszczerbku dla wymogów sekcji 1.4.3 załącznika V do tej dyrektywy</w:t>
      </w:r>
      <w:r w:rsidR="00CC55C0" w:rsidRPr="0071228C">
        <w:rPr>
          <w:noProof/>
        </w:rPr>
        <w:t xml:space="preserve"> w</w:t>
      </w:r>
      <w:r w:rsidR="00CC55C0">
        <w:rPr>
          <w:noProof/>
        </w:rPr>
        <w:t> </w:t>
      </w:r>
      <w:r w:rsidR="00CC55C0" w:rsidRPr="0071228C">
        <w:rPr>
          <w:noProof/>
        </w:rPr>
        <w:t>zak</w:t>
      </w:r>
      <w:r w:rsidRPr="0071228C">
        <w:rPr>
          <w:noProof/>
        </w:rPr>
        <w:t>resie przedstawiania ogólnego stanu chemicznego oraz celów</w:t>
      </w:r>
      <w:r w:rsidR="00CC55C0" w:rsidRPr="0071228C">
        <w:rPr>
          <w:noProof/>
        </w:rPr>
        <w:t xml:space="preserve"> i</w:t>
      </w:r>
      <w:r w:rsidR="00CC55C0">
        <w:rPr>
          <w:noProof/>
        </w:rPr>
        <w:t> </w:t>
      </w:r>
      <w:r w:rsidR="00CC55C0" w:rsidRPr="0071228C">
        <w:rPr>
          <w:noProof/>
        </w:rPr>
        <w:t>obo</w:t>
      </w:r>
      <w:r w:rsidRPr="0071228C">
        <w:rPr>
          <w:noProof/>
        </w:rPr>
        <w:t>wiązków określonych</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4</w:t>
      </w:r>
      <w:r w:rsidRPr="0071228C">
        <w:rPr>
          <w:noProof/>
        </w:rPr>
        <w:t xml:space="preserve"> </w:t>
      </w:r>
      <w:r w:rsidRPr="00CC55C0">
        <w:rPr>
          <w:noProof/>
        </w:rPr>
        <w:t>ust.</w:t>
      </w:r>
      <w:r w:rsidR="00CC55C0" w:rsidRPr="00CC55C0">
        <w:rPr>
          <w:noProof/>
        </w:rPr>
        <w:t> </w:t>
      </w:r>
      <w:r w:rsidRPr="00CC55C0">
        <w:rPr>
          <w:noProof/>
        </w:rPr>
        <w:t>1</w:t>
      </w:r>
      <w:r w:rsidRPr="0071228C">
        <w:rPr>
          <w:noProof/>
        </w:rPr>
        <w:t xml:space="preserve"> </w:t>
      </w:r>
      <w:r w:rsidRPr="00CC55C0">
        <w:rPr>
          <w:noProof/>
        </w:rPr>
        <w:t>lit.</w:t>
      </w:r>
      <w:r w:rsidR="00CC55C0" w:rsidRPr="00CC55C0">
        <w:rPr>
          <w:noProof/>
        </w:rPr>
        <w:t> </w:t>
      </w:r>
      <w:r w:rsidRPr="00CC55C0">
        <w:rPr>
          <w:noProof/>
        </w:rPr>
        <w:t>a)</w:t>
      </w:r>
      <w:r w:rsidRPr="0071228C">
        <w:rPr>
          <w:noProof/>
        </w:rPr>
        <w:t xml:space="preserve"> tej dyrektywy, państwa członkowskie mogą dostarczyć dodatkowe mapy przedstawiające informacje</w:t>
      </w:r>
      <w:r w:rsidR="00CC55C0" w:rsidRPr="0071228C">
        <w:rPr>
          <w:noProof/>
        </w:rPr>
        <w:t xml:space="preserve"> o</w:t>
      </w:r>
      <w:r w:rsidR="00CC55C0">
        <w:rPr>
          <w:noProof/>
        </w:rPr>
        <w:t> </w:t>
      </w:r>
      <w:r w:rsidR="00CC55C0" w:rsidRPr="0071228C">
        <w:rPr>
          <w:noProof/>
        </w:rPr>
        <w:t>sta</w:t>
      </w:r>
      <w:r w:rsidRPr="0071228C">
        <w:rPr>
          <w:noProof/>
        </w:rPr>
        <w:t>nie chemicznym</w:t>
      </w:r>
      <w:r w:rsidR="00CC55C0" w:rsidRPr="0071228C">
        <w:rPr>
          <w:noProof/>
        </w:rPr>
        <w:t xml:space="preserve"> w</w:t>
      </w:r>
      <w:r w:rsidR="00CC55C0">
        <w:rPr>
          <w:noProof/>
        </w:rPr>
        <w:t> </w:t>
      </w:r>
      <w:r w:rsidR="00CC55C0" w:rsidRPr="0071228C">
        <w:rPr>
          <w:noProof/>
        </w:rPr>
        <w:t>odn</w:t>
      </w:r>
      <w:r w:rsidRPr="0071228C">
        <w:rPr>
          <w:noProof/>
        </w:rPr>
        <w:t>iesieniu do jednej lub większej liczby substancji wymienionych poniżej oddzielnie od informacji dotyczących pozostałych substancji określonych</w:t>
      </w:r>
      <w:r w:rsidR="00CC55C0" w:rsidRPr="0071228C">
        <w:rPr>
          <w:noProof/>
        </w:rPr>
        <w:t xml:space="preserve"> w</w:t>
      </w:r>
      <w:r w:rsidR="00CC55C0">
        <w:rPr>
          <w:noProof/>
        </w:rPr>
        <w:t> </w:t>
      </w:r>
      <w:r w:rsidR="00CC55C0" w:rsidRPr="0071228C">
        <w:rPr>
          <w:noProof/>
        </w:rPr>
        <w:t>czę</w:t>
      </w:r>
      <w:r w:rsidRPr="0071228C">
        <w:rPr>
          <w:noProof/>
        </w:rPr>
        <w:t xml:space="preserve">ści A załącznika I do niniejszej dyrektywy: </w:t>
      </w:r>
    </w:p>
    <w:p w14:paraId="7F9263C9" w14:textId="7E018B3A" w:rsidR="00064ADB" w:rsidRPr="0071228C" w:rsidRDefault="00CC55C0" w:rsidP="00CC55C0">
      <w:pPr>
        <w:pStyle w:val="Point2"/>
        <w:rPr>
          <w:noProof/>
        </w:rPr>
      </w:pPr>
      <w:r>
        <w:rPr>
          <w:noProof/>
        </w:rPr>
        <w:t>a)</w:t>
      </w:r>
      <w:r>
        <w:rPr>
          <w:noProof/>
        </w:rPr>
        <w:tab/>
      </w:r>
      <w:r w:rsidR="00064ADB" w:rsidRPr="0071228C">
        <w:rPr>
          <w:noProof/>
        </w:rPr>
        <w:t xml:space="preserve">substancji zidentyfikowanych załączniku I część A jako substancje zachowujące się jak wszechobecne PBT; </w:t>
      </w:r>
    </w:p>
    <w:p w14:paraId="2E0B0032" w14:textId="1E4314B2" w:rsidR="00064ADB" w:rsidRPr="0071228C" w:rsidRDefault="00CC55C0" w:rsidP="00CC55C0">
      <w:pPr>
        <w:pStyle w:val="Point2"/>
        <w:rPr>
          <w:noProof/>
        </w:rPr>
      </w:pPr>
      <w:r>
        <w:rPr>
          <w:noProof/>
        </w:rPr>
        <w:t>b)</w:t>
      </w:r>
      <w:r>
        <w:rPr>
          <w:noProof/>
        </w:rPr>
        <w:tab/>
      </w:r>
      <w:r w:rsidR="00064ADB" w:rsidRPr="0071228C">
        <w:rPr>
          <w:noProof/>
        </w:rPr>
        <w:t>substancji nowo zidentyfikowanych podczas ostatniego przeglądu zgodnie</w:t>
      </w:r>
      <w:r w:rsidRPr="0071228C">
        <w:rPr>
          <w:noProof/>
        </w:rPr>
        <w:t xml:space="preserve"> z</w:t>
      </w:r>
      <w:r>
        <w:rPr>
          <w:noProof/>
        </w:rPr>
        <w:t> </w:t>
      </w:r>
      <w:r w:rsidRPr="00CC55C0">
        <w:rPr>
          <w:noProof/>
        </w:rPr>
        <w:t>art</w:t>
      </w:r>
      <w:r w:rsidR="00064ADB" w:rsidRPr="00CC55C0">
        <w:rPr>
          <w:noProof/>
        </w:rPr>
        <w:t>.</w:t>
      </w:r>
      <w:r w:rsidRPr="00CC55C0">
        <w:rPr>
          <w:noProof/>
        </w:rPr>
        <w:t> </w:t>
      </w:r>
      <w:r w:rsidR="00064ADB" w:rsidRPr="00CC55C0">
        <w:rPr>
          <w:noProof/>
        </w:rPr>
        <w:t>8</w:t>
      </w:r>
      <w:r w:rsidR="00064ADB" w:rsidRPr="0071228C">
        <w:rPr>
          <w:noProof/>
        </w:rPr>
        <w:t xml:space="preserve">; </w:t>
      </w:r>
    </w:p>
    <w:p w14:paraId="77134079" w14:textId="7DD21490" w:rsidR="00064ADB" w:rsidRPr="0071228C" w:rsidRDefault="00CC55C0" w:rsidP="00CC55C0">
      <w:pPr>
        <w:pStyle w:val="Point2"/>
        <w:rPr>
          <w:noProof/>
        </w:rPr>
      </w:pPr>
      <w:r>
        <w:rPr>
          <w:noProof/>
        </w:rPr>
        <w:t>c)</w:t>
      </w:r>
      <w:r>
        <w:rPr>
          <w:noProof/>
        </w:rPr>
        <w:tab/>
      </w:r>
      <w:r w:rsidR="00064ADB" w:rsidRPr="0071228C">
        <w:rPr>
          <w:noProof/>
        </w:rPr>
        <w:t>substancji,</w:t>
      </w:r>
      <w:r w:rsidRPr="0071228C">
        <w:rPr>
          <w:noProof/>
        </w:rPr>
        <w:t xml:space="preserve"> w</w:t>
      </w:r>
      <w:r>
        <w:rPr>
          <w:noProof/>
        </w:rPr>
        <w:t> </w:t>
      </w:r>
      <w:r w:rsidRPr="0071228C">
        <w:rPr>
          <w:noProof/>
        </w:rPr>
        <w:t>prz</w:t>
      </w:r>
      <w:r w:rsidR="00064ADB" w:rsidRPr="0071228C">
        <w:rPr>
          <w:noProof/>
        </w:rPr>
        <w:t>ypadku których</w:t>
      </w:r>
      <w:r w:rsidRPr="0071228C">
        <w:rPr>
          <w:noProof/>
        </w:rPr>
        <w:t xml:space="preserve"> w</w:t>
      </w:r>
      <w:r>
        <w:rPr>
          <w:noProof/>
        </w:rPr>
        <w:t> </w:t>
      </w:r>
      <w:r w:rsidRPr="0071228C">
        <w:rPr>
          <w:noProof/>
        </w:rPr>
        <w:t>ram</w:t>
      </w:r>
      <w:r w:rsidR="00064ADB" w:rsidRPr="0071228C">
        <w:rPr>
          <w:noProof/>
        </w:rPr>
        <w:t>ach ostatniego przeglądu ustalono bardziej rygorystyczne środowiskowe normy jakości zgodnie</w:t>
      </w:r>
      <w:r w:rsidRPr="0071228C">
        <w:rPr>
          <w:noProof/>
        </w:rPr>
        <w:t xml:space="preserve"> z</w:t>
      </w:r>
      <w:r>
        <w:rPr>
          <w:noProof/>
        </w:rPr>
        <w:t> </w:t>
      </w:r>
      <w:r w:rsidRPr="00CC55C0">
        <w:rPr>
          <w:noProof/>
        </w:rPr>
        <w:t>art</w:t>
      </w:r>
      <w:r w:rsidR="00064ADB" w:rsidRPr="00CC55C0">
        <w:rPr>
          <w:noProof/>
        </w:rPr>
        <w:t>.</w:t>
      </w:r>
      <w:r w:rsidRPr="00CC55C0">
        <w:rPr>
          <w:noProof/>
        </w:rPr>
        <w:t> </w:t>
      </w:r>
      <w:r w:rsidR="00064ADB" w:rsidRPr="00CC55C0">
        <w:rPr>
          <w:noProof/>
        </w:rPr>
        <w:t>8</w:t>
      </w:r>
      <w:r w:rsidR="00064ADB" w:rsidRPr="0071228C">
        <w:rPr>
          <w:noProof/>
        </w:rPr>
        <w:t>.</w:t>
      </w:r>
    </w:p>
    <w:p w14:paraId="389D58A5" w14:textId="00E55C0A" w:rsidR="00064ADB" w:rsidRPr="0071228C" w:rsidRDefault="00064ADB" w:rsidP="00064ADB">
      <w:pPr>
        <w:pStyle w:val="Text1"/>
        <w:rPr>
          <w:noProof/>
        </w:rPr>
      </w:pPr>
      <w:r w:rsidRPr="0071228C">
        <w:rPr>
          <w:noProof/>
        </w:rPr>
        <w:t>Państwa członkowskie mogą przedstawić zakres wszelkich odchyleń od wartości środowiskowych norm jakości</w:t>
      </w:r>
      <w:r w:rsidR="00CC55C0" w:rsidRPr="0071228C">
        <w:rPr>
          <w:noProof/>
        </w:rPr>
        <w:t xml:space="preserve"> w</w:t>
      </w:r>
      <w:r w:rsidR="00CC55C0">
        <w:rPr>
          <w:noProof/>
        </w:rPr>
        <w:t> </w:t>
      </w:r>
      <w:r w:rsidR="00CC55C0" w:rsidRPr="0071228C">
        <w:rPr>
          <w:noProof/>
        </w:rPr>
        <w:t>odn</w:t>
      </w:r>
      <w:r w:rsidRPr="0071228C">
        <w:rPr>
          <w:noProof/>
        </w:rPr>
        <w:t>iesieniu do substancji,</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 xml:space="preserve">picie pierwszym </w:t>
      </w:r>
      <w:r w:rsidRPr="00CC55C0">
        <w:rPr>
          <w:noProof/>
        </w:rPr>
        <w:t>lit.</w:t>
      </w:r>
      <w:r w:rsidR="00CC55C0" w:rsidRPr="00CC55C0">
        <w:rPr>
          <w:noProof/>
        </w:rPr>
        <w:t> </w:t>
      </w:r>
      <w:r w:rsidRPr="00CC55C0">
        <w:rPr>
          <w:noProof/>
        </w:rPr>
        <w:t>a)</w:t>
      </w:r>
      <w:r w:rsidRPr="0071228C">
        <w:rPr>
          <w:noProof/>
        </w:rPr>
        <w:t>, b) i c),</w:t>
      </w:r>
      <w:r w:rsidR="00CC55C0" w:rsidRPr="0071228C">
        <w:rPr>
          <w:noProof/>
        </w:rPr>
        <w:t xml:space="preserve"> w</w:t>
      </w:r>
      <w:r w:rsidR="00CC55C0">
        <w:rPr>
          <w:noProof/>
        </w:rPr>
        <w:t> </w:t>
      </w:r>
      <w:r w:rsidR="00CC55C0" w:rsidRPr="0071228C">
        <w:rPr>
          <w:noProof/>
        </w:rPr>
        <w:t>pla</w:t>
      </w:r>
      <w:r w:rsidRPr="0071228C">
        <w:rPr>
          <w:noProof/>
        </w:rPr>
        <w:t>nach gospodarowania wodami</w:t>
      </w:r>
      <w:r w:rsidR="00CC55C0" w:rsidRPr="0071228C">
        <w:rPr>
          <w:noProof/>
        </w:rPr>
        <w:t xml:space="preserve"> w</w:t>
      </w:r>
      <w:r w:rsidR="00CC55C0">
        <w:rPr>
          <w:noProof/>
        </w:rPr>
        <w:t> </w:t>
      </w:r>
      <w:r w:rsidR="00CC55C0" w:rsidRPr="0071228C">
        <w:rPr>
          <w:noProof/>
        </w:rPr>
        <w:t>dor</w:t>
      </w:r>
      <w:r w:rsidRPr="0071228C">
        <w:rPr>
          <w:noProof/>
        </w:rPr>
        <w:t>zeczu opracowanych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3 dyrektywy 2000/60/WE. Państwa członkowskie dostarczające dodatkowe mapy,</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picie pierwszym, dążą do zapewnienia ich wzajemnej porównywalności na poziomie dorzecza</w:t>
      </w:r>
      <w:r w:rsidR="00CC55C0" w:rsidRPr="0071228C">
        <w:rPr>
          <w:noProof/>
        </w:rPr>
        <w:t xml:space="preserve"> i</w:t>
      </w:r>
      <w:r w:rsidR="00CC55C0">
        <w:rPr>
          <w:noProof/>
        </w:rPr>
        <w:t> </w:t>
      </w:r>
      <w:r w:rsidR="00CC55C0" w:rsidRPr="0071228C">
        <w:rPr>
          <w:noProof/>
        </w:rPr>
        <w:t>Uni</w:t>
      </w:r>
      <w:r w:rsidRPr="0071228C">
        <w:rPr>
          <w:noProof/>
        </w:rPr>
        <w:t>i oraz udostępniają dane zgodnie</w:t>
      </w:r>
      <w:r w:rsidR="00CC55C0" w:rsidRPr="0071228C">
        <w:rPr>
          <w:noProof/>
        </w:rPr>
        <w:t xml:space="preserve"> z</w:t>
      </w:r>
      <w:r w:rsidR="00CC55C0">
        <w:rPr>
          <w:noProof/>
        </w:rPr>
        <w:t> </w:t>
      </w:r>
      <w:r w:rsidR="00CC55C0" w:rsidRPr="0071228C">
        <w:rPr>
          <w:noProof/>
        </w:rPr>
        <w:t>dyr</w:t>
      </w:r>
      <w:r w:rsidRPr="0071228C">
        <w:rPr>
          <w:noProof/>
        </w:rPr>
        <w:t>ektywą 2003/4/WE Parlamentu Europejskiego</w:t>
      </w:r>
      <w:r w:rsidR="00CC55C0" w:rsidRPr="0071228C">
        <w:rPr>
          <w:noProof/>
        </w:rPr>
        <w:t xml:space="preserve"> i</w:t>
      </w:r>
      <w:r w:rsidR="00CC55C0">
        <w:rPr>
          <w:noProof/>
        </w:rPr>
        <w:t> </w:t>
      </w:r>
      <w:r w:rsidR="00CC55C0" w:rsidRPr="0071228C">
        <w:rPr>
          <w:noProof/>
        </w:rPr>
        <w:t>Rad</w:t>
      </w:r>
      <w:r w:rsidRPr="0071228C">
        <w:rPr>
          <w:noProof/>
        </w:rPr>
        <w:t>y, dyrektywą 2007/2/WE Parlamentu Europejskiego</w:t>
      </w:r>
      <w:r w:rsidR="00CC55C0" w:rsidRPr="0071228C">
        <w:rPr>
          <w:noProof/>
        </w:rPr>
        <w:t xml:space="preserve"> i</w:t>
      </w:r>
      <w:r w:rsidR="00CC55C0">
        <w:rPr>
          <w:noProof/>
        </w:rPr>
        <w:t> </w:t>
      </w:r>
      <w:r w:rsidR="00CC55C0" w:rsidRPr="0071228C">
        <w:rPr>
          <w:noProof/>
        </w:rPr>
        <w:t>Rad</w:t>
      </w:r>
      <w:r w:rsidRPr="0071228C">
        <w:rPr>
          <w:noProof/>
        </w:rPr>
        <w:t>y* oraz dyrektywą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(UE) 2019/1024**. </w:t>
      </w:r>
    </w:p>
    <w:p w14:paraId="075E80FF" w14:textId="06701EDE" w:rsidR="00064ADB" w:rsidRPr="0071228C" w:rsidRDefault="00064ADB" w:rsidP="00064ADB">
      <w:pPr>
        <w:pStyle w:val="Text1"/>
        <w:rPr>
          <w:noProof/>
        </w:rPr>
      </w:pPr>
      <w:r w:rsidRPr="0071228C">
        <w:rPr>
          <w:noProof/>
        </w:rPr>
        <w:t>2. Państwa członkowskie mogą monitorować substancje zidentyfikowane</w:t>
      </w:r>
      <w:r w:rsidR="00CC55C0" w:rsidRPr="0071228C">
        <w:rPr>
          <w:noProof/>
        </w:rPr>
        <w:t xml:space="preserve"> w</w:t>
      </w:r>
      <w:r w:rsidR="00CC55C0">
        <w:rPr>
          <w:noProof/>
        </w:rPr>
        <w:t> </w:t>
      </w:r>
      <w:r w:rsidR="00CC55C0" w:rsidRPr="0071228C">
        <w:rPr>
          <w:noProof/>
        </w:rPr>
        <w:t>zał</w:t>
      </w:r>
      <w:r w:rsidRPr="0071228C">
        <w:rPr>
          <w:noProof/>
        </w:rPr>
        <w:t>ączniku I część A jako substancje zachowujące się jak wszechobecne PBT</w:t>
      </w:r>
      <w:r w:rsidR="00CC55C0" w:rsidRPr="0071228C">
        <w:rPr>
          <w:noProof/>
        </w:rPr>
        <w:t xml:space="preserve"> z</w:t>
      </w:r>
      <w:r w:rsidR="00CC55C0">
        <w:rPr>
          <w:noProof/>
        </w:rPr>
        <w:t> </w:t>
      </w:r>
      <w:r w:rsidR="00CC55C0" w:rsidRPr="0071228C">
        <w:rPr>
          <w:noProof/>
        </w:rPr>
        <w:t>mni</w:t>
      </w:r>
      <w:r w:rsidRPr="0071228C">
        <w:rPr>
          <w:noProof/>
        </w:rPr>
        <w:t>ejszą intensywnością, niż jest to wymagane</w:t>
      </w:r>
      <w:r w:rsidR="00CC55C0" w:rsidRPr="0071228C">
        <w:rPr>
          <w:noProof/>
        </w:rPr>
        <w:t xml:space="preserve"> w</w:t>
      </w:r>
      <w:r w:rsidR="00CC55C0">
        <w:rPr>
          <w:noProof/>
        </w:rPr>
        <w:t> </w:t>
      </w:r>
      <w:r w:rsidR="00CC55C0" w:rsidRPr="0071228C">
        <w:rPr>
          <w:noProof/>
        </w:rPr>
        <w:t>odn</w:t>
      </w:r>
      <w:r w:rsidRPr="0071228C">
        <w:rPr>
          <w:noProof/>
        </w:rPr>
        <w:t>iesieniu do substancji priorytetowych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4</w:t>
      </w:r>
      <w:r w:rsidRPr="0071228C">
        <w:rPr>
          <w:noProof/>
        </w:rPr>
        <w:t xml:space="preserve"> niniejszej dyrektywy</w:t>
      </w:r>
      <w:r w:rsidR="00CC55C0" w:rsidRPr="0071228C">
        <w:rPr>
          <w:noProof/>
        </w:rPr>
        <w:t xml:space="preserve"> i</w:t>
      </w:r>
      <w:r w:rsidR="00CC55C0">
        <w:rPr>
          <w:noProof/>
        </w:rPr>
        <w:t> </w:t>
      </w:r>
      <w:r w:rsidR="00CC55C0" w:rsidRPr="0071228C">
        <w:rPr>
          <w:noProof/>
        </w:rPr>
        <w:t>zał</w:t>
      </w:r>
      <w:r w:rsidRPr="0071228C">
        <w:rPr>
          <w:noProof/>
        </w:rPr>
        <w:t>ącznikiem V do dyrektywy 2000/60/WE, pod warunkiem że monitorowanie jest reprezentatywne</w:t>
      </w:r>
      <w:r w:rsidR="00CC55C0" w:rsidRPr="0071228C">
        <w:rPr>
          <w:noProof/>
        </w:rPr>
        <w:t xml:space="preserve"> i</w:t>
      </w:r>
      <w:r w:rsidR="00CC55C0">
        <w:rPr>
          <w:noProof/>
        </w:rPr>
        <w:t> </w:t>
      </w:r>
      <w:r w:rsidR="00CC55C0" w:rsidRPr="0071228C">
        <w:rPr>
          <w:noProof/>
        </w:rPr>
        <w:t>dos</w:t>
      </w:r>
      <w:r w:rsidRPr="0071228C">
        <w:rPr>
          <w:noProof/>
        </w:rPr>
        <w:t>tępne są wiarygodne dane statystyczne dokumentujące występowanie tych substancji</w:t>
      </w:r>
      <w:r w:rsidR="00CC55C0" w:rsidRPr="0071228C">
        <w:rPr>
          <w:noProof/>
        </w:rPr>
        <w:t xml:space="preserve"> w</w:t>
      </w:r>
      <w:r w:rsidR="00CC55C0">
        <w:rPr>
          <w:noProof/>
        </w:rPr>
        <w:t> </w:t>
      </w:r>
      <w:r w:rsidR="00CC55C0" w:rsidRPr="0071228C">
        <w:rPr>
          <w:noProof/>
        </w:rPr>
        <w:t>śro</w:t>
      </w:r>
      <w:r w:rsidRPr="0071228C">
        <w:rPr>
          <w:noProof/>
        </w:rPr>
        <w:t>dowisku wodnym. Zasadniczo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3</w:t>
      </w:r>
      <w:r w:rsidRPr="0071228C">
        <w:rPr>
          <w:noProof/>
        </w:rPr>
        <w:t xml:space="preserve"> </w:t>
      </w:r>
      <w:r w:rsidRPr="00CC55C0">
        <w:rPr>
          <w:noProof/>
        </w:rPr>
        <w:t>ust.</w:t>
      </w:r>
      <w:r w:rsidR="00CC55C0" w:rsidRPr="00CC55C0">
        <w:rPr>
          <w:noProof/>
        </w:rPr>
        <w:t> </w:t>
      </w:r>
      <w:r w:rsidRPr="00CC55C0">
        <w:rPr>
          <w:noProof/>
        </w:rPr>
        <w:t>6</w:t>
      </w:r>
      <w:r w:rsidRPr="0071228C">
        <w:rPr>
          <w:noProof/>
        </w:rPr>
        <w:t xml:space="preserve"> akapit drugi niniejszej dyrektywy monitorowanie należy przeprowadzać co trzy lata,</w:t>
      </w:r>
      <w:r w:rsidR="00CC55C0" w:rsidRPr="0071228C">
        <w:rPr>
          <w:noProof/>
        </w:rPr>
        <w:t xml:space="preserve"> o</w:t>
      </w:r>
      <w:r w:rsidR="00CC55C0">
        <w:rPr>
          <w:noProof/>
        </w:rPr>
        <w:t> </w:t>
      </w:r>
      <w:r w:rsidR="00CC55C0" w:rsidRPr="0071228C">
        <w:rPr>
          <w:noProof/>
        </w:rPr>
        <w:t>ile</w:t>
      </w:r>
      <w:r w:rsidRPr="0071228C">
        <w:rPr>
          <w:noProof/>
        </w:rPr>
        <w:t xml:space="preserve"> wiedza techniczna</w:t>
      </w:r>
      <w:r w:rsidR="00CC55C0" w:rsidRPr="0071228C">
        <w:rPr>
          <w:noProof/>
        </w:rPr>
        <w:t xml:space="preserve"> i</w:t>
      </w:r>
      <w:r w:rsidR="00CC55C0">
        <w:rPr>
          <w:noProof/>
        </w:rPr>
        <w:t> </w:t>
      </w:r>
      <w:r w:rsidR="00CC55C0" w:rsidRPr="0071228C">
        <w:rPr>
          <w:noProof/>
        </w:rPr>
        <w:t>fac</w:t>
      </w:r>
      <w:r w:rsidRPr="0071228C">
        <w:rPr>
          <w:noProof/>
        </w:rPr>
        <w:t xml:space="preserve">howe opinie nie uzasadniają innego odstępu czasowego. </w:t>
      </w:r>
    </w:p>
    <w:p w14:paraId="4F875BF3" w14:textId="669E1A7D" w:rsidR="00064ADB" w:rsidRPr="0071228C" w:rsidRDefault="00064ADB" w:rsidP="00064ADB">
      <w:pPr>
        <w:pStyle w:val="Text1"/>
        <w:rPr>
          <w:bCs/>
          <w:noProof/>
        </w:rPr>
      </w:pPr>
      <w:r w:rsidRPr="0071228C">
        <w:rPr>
          <w:noProof/>
        </w:rPr>
        <w:t xml:space="preserve">3. Państwa członkowskie od ... [Urząd Publikacji: proszę wstawić datę = pierwszy dzień miesiąca następującego </w:t>
      </w:r>
      <w:r w:rsidRPr="00CC55C0">
        <w:rPr>
          <w:noProof/>
        </w:rPr>
        <w:t>po</w:t>
      </w:r>
      <w:r w:rsidR="00CC55C0" w:rsidRPr="00CC55C0">
        <w:rPr>
          <w:noProof/>
        </w:rPr>
        <w:t> </w:t>
      </w:r>
      <w:r w:rsidRPr="00CC55C0">
        <w:rPr>
          <w:noProof/>
        </w:rPr>
        <w:t>1</w:t>
      </w:r>
      <w:r w:rsidRPr="0071228C">
        <w:rPr>
          <w:noProof/>
        </w:rPr>
        <w:t>8 miesiącach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 przez okres dwóch lat monitorują obecność substancji estrogennych</w:t>
      </w:r>
      <w:r w:rsidR="00CC55C0" w:rsidRPr="0071228C">
        <w:rPr>
          <w:noProof/>
        </w:rPr>
        <w:t xml:space="preserve"> w</w:t>
      </w:r>
      <w:r w:rsidR="00CC55C0">
        <w:rPr>
          <w:noProof/>
        </w:rPr>
        <w:t> </w:t>
      </w:r>
      <w:r w:rsidR="00CC55C0" w:rsidRPr="0071228C">
        <w:rPr>
          <w:noProof/>
        </w:rPr>
        <w:t>jed</w:t>
      </w:r>
      <w:r w:rsidRPr="0071228C">
        <w:rPr>
          <w:noProof/>
        </w:rPr>
        <w:t>nolitych częściach wód, stosując metody monitorowania oparte na skutkach. Państwa członkowskie</w:t>
      </w:r>
      <w:r w:rsidR="00CC55C0" w:rsidRPr="0071228C">
        <w:rPr>
          <w:noProof/>
        </w:rPr>
        <w:t xml:space="preserve"> w</w:t>
      </w:r>
      <w:r w:rsidR="00CC55C0">
        <w:rPr>
          <w:noProof/>
        </w:rPr>
        <w:t> </w:t>
      </w:r>
      <w:r w:rsidR="00CC55C0" w:rsidRPr="0071228C">
        <w:rPr>
          <w:noProof/>
        </w:rPr>
        <w:t>każ</w:t>
      </w:r>
      <w:r w:rsidRPr="0071228C">
        <w:rPr>
          <w:noProof/>
        </w:rPr>
        <w:t>dym roku</w:t>
      </w:r>
      <w:r w:rsidR="00CC55C0" w:rsidRPr="0071228C">
        <w:rPr>
          <w:noProof/>
        </w:rPr>
        <w:t xml:space="preserve"> z</w:t>
      </w:r>
      <w:r w:rsidR="00CC55C0">
        <w:rPr>
          <w:noProof/>
        </w:rPr>
        <w:t> </w:t>
      </w:r>
      <w:r w:rsidR="00CC55C0" w:rsidRPr="0071228C">
        <w:rPr>
          <w:noProof/>
        </w:rPr>
        <w:t>tyc</w:t>
      </w:r>
      <w:r w:rsidRPr="0071228C">
        <w:rPr>
          <w:noProof/>
        </w:rPr>
        <w:t>h dwóch lat co najmniej czterokrotnie prowadzą monitorowanie</w:t>
      </w:r>
      <w:r w:rsidR="00CC55C0" w:rsidRPr="0071228C">
        <w:rPr>
          <w:noProof/>
        </w:rPr>
        <w:t xml:space="preserve"> w</w:t>
      </w:r>
      <w:r w:rsidR="00CC55C0">
        <w:rPr>
          <w:noProof/>
        </w:rPr>
        <w:t> </w:t>
      </w:r>
      <w:r w:rsidR="00CC55C0" w:rsidRPr="0071228C">
        <w:rPr>
          <w:noProof/>
        </w:rPr>
        <w:t>mie</w:t>
      </w:r>
      <w:r w:rsidRPr="0071228C">
        <w:rPr>
          <w:noProof/>
        </w:rPr>
        <w:t>jscach,</w:t>
      </w:r>
      <w:r w:rsidR="00CC55C0" w:rsidRPr="0071228C">
        <w:rPr>
          <w:noProof/>
        </w:rPr>
        <w:t xml:space="preserve"> w</w:t>
      </w:r>
      <w:r w:rsidR="00CC55C0">
        <w:rPr>
          <w:noProof/>
        </w:rPr>
        <w:t> </w:t>
      </w:r>
      <w:r w:rsidR="00CC55C0" w:rsidRPr="0071228C">
        <w:rPr>
          <w:noProof/>
        </w:rPr>
        <w:t>któ</w:t>
      </w:r>
      <w:r w:rsidRPr="0071228C">
        <w:rPr>
          <w:noProof/>
        </w:rPr>
        <w:t>rych monitorowane są trzy hormony estrogenne – 7-β-estradiol (E2), estron (E1)</w:t>
      </w:r>
      <w:r w:rsidR="00CC55C0" w:rsidRPr="0071228C">
        <w:rPr>
          <w:noProof/>
        </w:rPr>
        <w:t xml:space="preserve"> i</w:t>
      </w:r>
      <w:r w:rsidR="00CC55C0">
        <w:rPr>
          <w:noProof/>
        </w:rPr>
        <w:t> </w:t>
      </w:r>
      <w:r w:rsidR="00CC55C0" w:rsidRPr="0071228C">
        <w:rPr>
          <w:noProof/>
        </w:rPr>
        <w:t>alf</w:t>
      </w:r>
      <w:r w:rsidRPr="0071228C">
        <w:rPr>
          <w:noProof/>
        </w:rPr>
        <w:t>a-etynyloestradiol (EE2) wymienione</w:t>
      </w:r>
      <w:r w:rsidR="00CC55C0" w:rsidRPr="0071228C">
        <w:rPr>
          <w:noProof/>
        </w:rPr>
        <w:t xml:space="preserve"> w</w:t>
      </w:r>
      <w:r w:rsidR="00CC55C0">
        <w:rPr>
          <w:noProof/>
        </w:rPr>
        <w:t> </w:t>
      </w:r>
      <w:r w:rsidR="00CC55C0" w:rsidRPr="0071228C">
        <w:rPr>
          <w:noProof/>
        </w:rPr>
        <w:t>czę</w:t>
      </w:r>
      <w:r w:rsidRPr="0071228C">
        <w:rPr>
          <w:noProof/>
        </w:rPr>
        <w:t>ści A załącznika I do niniejszej dyrektywy, przy użyciu konwencjonalnych metod analitycznych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dyrektywy 2000/60/WE</w:t>
      </w:r>
      <w:r w:rsidR="00CC55C0" w:rsidRPr="0071228C">
        <w:rPr>
          <w:noProof/>
        </w:rPr>
        <w:t xml:space="preserve"> i</w:t>
      </w:r>
      <w:r w:rsidR="00CC55C0">
        <w:rPr>
          <w:noProof/>
        </w:rPr>
        <w:t> </w:t>
      </w:r>
      <w:r w:rsidR="00CC55C0" w:rsidRPr="0071228C">
        <w:rPr>
          <w:noProof/>
        </w:rPr>
        <w:t>zał</w:t>
      </w:r>
      <w:r w:rsidRPr="0071228C">
        <w:rPr>
          <w:noProof/>
        </w:rPr>
        <w:t>ącznikiem V do tej dyrektywy. Państwa członkowskie mogą korzystać</w:t>
      </w:r>
      <w:r w:rsidR="00CC55C0" w:rsidRPr="0071228C">
        <w:rPr>
          <w:noProof/>
        </w:rPr>
        <w:t xml:space="preserve"> z</w:t>
      </w:r>
      <w:r w:rsidR="00CC55C0">
        <w:rPr>
          <w:noProof/>
        </w:rPr>
        <w:t> </w:t>
      </w:r>
      <w:r w:rsidR="00CC55C0" w:rsidRPr="0071228C">
        <w:rPr>
          <w:noProof/>
        </w:rPr>
        <w:t>sie</w:t>
      </w:r>
      <w:r w:rsidRPr="0071228C">
        <w:rPr>
          <w:noProof/>
        </w:rPr>
        <w:t>ci miejsc monitorowania, zidentyfikowanych do celów monitorowania diagnostycznego, reprezentatywnych jednolitych części wód powierzchniowych zgodnie</w:t>
      </w:r>
      <w:r w:rsidR="00CC55C0" w:rsidRPr="0071228C">
        <w:rPr>
          <w:noProof/>
        </w:rPr>
        <w:t xml:space="preserve"> z</w:t>
      </w:r>
      <w:r w:rsidR="00CC55C0">
        <w:rPr>
          <w:noProof/>
        </w:rPr>
        <w:t> </w:t>
      </w:r>
      <w:r w:rsidR="00CC55C0" w:rsidRPr="00CC55C0">
        <w:rPr>
          <w:noProof/>
        </w:rPr>
        <w:t>pkt </w:t>
      </w:r>
      <w:r w:rsidRPr="00CC55C0">
        <w:rPr>
          <w:noProof/>
        </w:rPr>
        <w:t>1</w:t>
      </w:r>
      <w:r w:rsidRPr="0071228C">
        <w:rPr>
          <w:noProof/>
        </w:rPr>
        <w:t>.3.1 załącznika V do dyrektywy 2000/60/WE.</w:t>
      </w:r>
    </w:p>
    <w:p w14:paraId="16DF64A7" w14:textId="77777777" w:rsidR="00064ADB" w:rsidRPr="0071228C" w:rsidRDefault="00064ADB" w:rsidP="00064ADB">
      <w:pPr>
        <w:ind w:left="1417"/>
        <w:rPr>
          <w:noProof/>
          <w:u w:val="single"/>
        </w:rPr>
      </w:pPr>
      <w:r w:rsidRPr="0071228C">
        <w:rPr>
          <w:i/>
          <w:noProof/>
        </w:rPr>
        <w:t xml:space="preserve"> </w:t>
      </w:r>
      <w:r w:rsidRPr="0071228C">
        <w:rPr>
          <w:noProof/>
        </w:rPr>
        <w:tab/>
      </w:r>
      <w:r w:rsidRPr="0071228C">
        <w:rPr>
          <w:noProof/>
        </w:rPr>
        <w:tab/>
      </w:r>
      <w:r w:rsidRPr="0071228C">
        <w:rPr>
          <w:noProof/>
        </w:rPr>
        <w:tab/>
      </w:r>
      <w:r w:rsidRPr="0071228C">
        <w:rPr>
          <w:noProof/>
        </w:rPr>
        <w:tab/>
      </w:r>
      <w:r w:rsidRPr="0071228C">
        <w:rPr>
          <w:noProof/>
        </w:rPr>
        <w:tab/>
      </w:r>
    </w:p>
    <w:p w14:paraId="13251950" w14:textId="178EB4C6" w:rsidR="00064ADB" w:rsidRPr="0071228C" w:rsidRDefault="00064ADB" w:rsidP="00064ADB">
      <w:pPr>
        <w:pStyle w:val="Text1"/>
        <w:rPr>
          <w:noProof/>
        </w:rPr>
      </w:pPr>
      <w:r w:rsidRPr="0071228C">
        <w:rPr>
          <w:noProof/>
        </w:rPr>
        <w:t>* Dyrektywa 2007/2/WE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z</w:t>
      </w:r>
      <w:r w:rsidR="00CC55C0">
        <w:rPr>
          <w:noProof/>
        </w:rPr>
        <w:t> </w:t>
      </w:r>
      <w:r w:rsidR="00CC55C0" w:rsidRPr="0071228C">
        <w:rPr>
          <w:noProof/>
        </w:rPr>
        <w:t>dni</w:t>
      </w:r>
      <w:r w:rsidRPr="0071228C">
        <w:rPr>
          <w:noProof/>
        </w:rPr>
        <w:t>a 14 marca 2007 r. ustanawiająca infrastrukturę informacji przestrzennej we Wspólnocie Europejskiej (INSPIRE) (Dz.U. L 108</w:t>
      </w:r>
      <w:r w:rsidR="00CC55C0" w:rsidRPr="0071228C">
        <w:rPr>
          <w:noProof/>
        </w:rPr>
        <w:t xml:space="preserve"> z</w:t>
      </w:r>
      <w:r w:rsidR="00CC55C0">
        <w:rPr>
          <w:noProof/>
        </w:rPr>
        <w:t> </w:t>
      </w:r>
      <w:r w:rsidR="00CC55C0" w:rsidRPr="0071228C">
        <w:rPr>
          <w:noProof/>
        </w:rPr>
        <w:t>2</w:t>
      </w:r>
      <w:r w:rsidRPr="0071228C">
        <w:rPr>
          <w:noProof/>
        </w:rPr>
        <w:t>5.4.2007, s. 1).</w:t>
      </w:r>
    </w:p>
    <w:p w14:paraId="1148BFD9" w14:textId="740D15F9" w:rsidR="00064ADB" w:rsidRPr="0071228C" w:rsidRDefault="00064ADB" w:rsidP="00064ADB">
      <w:pPr>
        <w:pStyle w:val="Text1"/>
        <w:rPr>
          <w:i/>
          <w:noProof/>
        </w:rPr>
      </w:pPr>
      <w:r w:rsidRPr="0071228C">
        <w:rPr>
          <w:noProof/>
        </w:rPr>
        <w:t>** Dyrektywa Parlamentu Europejskiego</w:t>
      </w:r>
      <w:r w:rsidR="00CC55C0" w:rsidRPr="0071228C">
        <w:rPr>
          <w:noProof/>
        </w:rPr>
        <w:t xml:space="preserve"> i</w:t>
      </w:r>
      <w:r w:rsidR="00CC55C0">
        <w:rPr>
          <w:noProof/>
        </w:rPr>
        <w:t> </w:t>
      </w:r>
      <w:r w:rsidR="00CC55C0" w:rsidRPr="0071228C">
        <w:rPr>
          <w:noProof/>
        </w:rPr>
        <w:t>Rad</w:t>
      </w:r>
      <w:r w:rsidRPr="0071228C">
        <w:rPr>
          <w:noProof/>
        </w:rPr>
        <w:t>y (UE) 2019/1024</w:t>
      </w:r>
      <w:r w:rsidR="00CC55C0" w:rsidRPr="0071228C">
        <w:rPr>
          <w:noProof/>
        </w:rPr>
        <w:t xml:space="preserve"> z</w:t>
      </w:r>
      <w:r w:rsidR="00CC55C0">
        <w:rPr>
          <w:noProof/>
        </w:rPr>
        <w:t> </w:t>
      </w:r>
      <w:r w:rsidR="00CC55C0" w:rsidRPr="0071228C">
        <w:rPr>
          <w:noProof/>
        </w:rPr>
        <w:t>dni</w:t>
      </w:r>
      <w:r w:rsidRPr="0071228C">
        <w:rPr>
          <w:noProof/>
        </w:rPr>
        <w:t>a 20 czerwca 20</w:t>
      </w:r>
      <w:r w:rsidRPr="00CC55C0">
        <w:rPr>
          <w:noProof/>
        </w:rPr>
        <w:t>19</w:t>
      </w:r>
      <w:r w:rsidR="00CC55C0" w:rsidRPr="00CC55C0">
        <w:rPr>
          <w:noProof/>
        </w:rPr>
        <w:t> </w:t>
      </w:r>
      <w:r w:rsidRPr="00CC55C0">
        <w:rPr>
          <w:noProof/>
        </w:rPr>
        <w:t>r.</w:t>
      </w:r>
      <w:r w:rsidR="00CC55C0" w:rsidRPr="0071228C">
        <w:rPr>
          <w:noProof/>
        </w:rPr>
        <w:t xml:space="preserve"> w</w:t>
      </w:r>
      <w:r w:rsidR="00CC55C0">
        <w:rPr>
          <w:noProof/>
        </w:rPr>
        <w:t> </w:t>
      </w:r>
      <w:r w:rsidR="00CC55C0" w:rsidRPr="0071228C">
        <w:rPr>
          <w:noProof/>
        </w:rPr>
        <w:t>spr</w:t>
      </w:r>
      <w:r w:rsidRPr="0071228C">
        <w:rPr>
          <w:noProof/>
        </w:rPr>
        <w:t>awie otwartych danych</w:t>
      </w:r>
      <w:r w:rsidR="00CC55C0" w:rsidRPr="0071228C">
        <w:rPr>
          <w:noProof/>
        </w:rPr>
        <w:t xml:space="preserve"> i</w:t>
      </w:r>
      <w:r w:rsidR="00CC55C0">
        <w:rPr>
          <w:noProof/>
        </w:rPr>
        <w:t> </w:t>
      </w:r>
      <w:r w:rsidR="00CC55C0" w:rsidRPr="0071228C">
        <w:rPr>
          <w:noProof/>
        </w:rPr>
        <w:t>pon</w:t>
      </w:r>
      <w:r w:rsidRPr="0071228C">
        <w:rPr>
          <w:noProof/>
        </w:rPr>
        <w:t>ownego wykorzystywania informacji sektora publicznego (Dz.U. L 172</w:t>
      </w:r>
      <w:r w:rsidR="00CC55C0" w:rsidRPr="0071228C">
        <w:rPr>
          <w:noProof/>
        </w:rPr>
        <w:t xml:space="preserve"> z</w:t>
      </w:r>
      <w:r w:rsidR="00CC55C0">
        <w:rPr>
          <w:noProof/>
        </w:rPr>
        <w:t> </w:t>
      </w:r>
      <w:r w:rsidR="00CC55C0" w:rsidRPr="0071228C">
        <w:rPr>
          <w:noProof/>
        </w:rPr>
        <w:t>2</w:t>
      </w:r>
      <w:r w:rsidRPr="0071228C">
        <w:rPr>
          <w:noProof/>
        </w:rPr>
        <w:t xml:space="preserve">6.6.2019, s. 56).”; </w:t>
      </w:r>
    </w:p>
    <w:p w14:paraId="2EF49AA3" w14:textId="20673F57" w:rsidR="00064ADB" w:rsidRPr="0071228C" w:rsidRDefault="00CC55C0" w:rsidP="00CC55C0">
      <w:pPr>
        <w:pStyle w:val="Point0"/>
        <w:rPr>
          <w:noProof/>
        </w:rPr>
      </w:pPr>
      <w:r>
        <w:rPr>
          <w:noProof/>
        </w:rPr>
        <w:t>7)</w:t>
      </w:r>
      <w:r>
        <w:rPr>
          <w:noProof/>
        </w:rPr>
        <w:tab/>
      </w:r>
      <w:r w:rsidR="00064ADB" w:rsidRPr="00CC55C0">
        <w:rPr>
          <w:noProof/>
        </w:rPr>
        <w:t>art.</w:t>
      </w:r>
      <w:r w:rsidRPr="00CC55C0">
        <w:rPr>
          <w:noProof/>
        </w:rPr>
        <w:t> </w:t>
      </w:r>
      <w:r w:rsidR="00064ADB" w:rsidRPr="00CC55C0">
        <w:rPr>
          <w:noProof/>
        </w:rPr>
        <w:t>8</w:t>
      </w:r>
      <w:r w:rsidR="00064ADB" w:rsidRPr="0071228C">
        <w:rPr>
          <w:noProof/>
        </w:rPr>
        <w:t xml:space="preserve">b otrzymuje brzmienie: </w:t>
      </w:r>
    </w:p>
    <w:p w14:paraId="78DD1888" w14:textId="77777777" w:rsidR="00064ADB" w:rsidRPr="0071228C" w:rsidRDefault="00064ADB" w:rsidP="00064ADB">
      <w:pPr>
        <w:pStyle w:val="Titrearticle"/>
        <w:rPr>
          <w:noProof/>
        </w:rPr>
      </w:pPr>
      <w:r w:rsidRPr="0071228C">
        <w:rPr>
          <w:noProof/>
        </w:rPr>
        <w:t>„Artykuł 8b</w:t>
      </w:r>
    </w:p>
    <w:p w14:paraId="550317E2" w14:textId="77777777" w:rsidR="00064ADB" w:rsidRPr="0071228C" w:rsidRDefault="00064ADB" w:rsidP="00064ADB">
      <w:pPr>
        <w:pStyle w:val="Titrearticle"/>
        <w:rPr>
          <w:b/>
          <w:i w:val="0"/>
          <w:noProof/>
        </w:rPr>
      </w:pPr>
      <w:r w:rsidRPr="0071228C">
        <w:rPr>
          <w:b/>
          <w:i w:val="0"/>
          <w:noProof/>
        </w:rPr>
        <w:t>Lista obserwacyjna</w:t>
      </w:r>
    </w:p>
    <w:p w14:paraId="72B82A51" w14:textId="1A25E848" w:rsidR="00064ADB" w:rsidRPr="0071228C" w:rsidRDefault="00064ADB" w:rsidP="00064ADB">
      <w:pPr>
        <w:pStyle w:val="Text1"/>
        <w:rPr>
          <w:bCs/>
          <w:noProof/>
        </w:rPr>
      </w:pPr>
      <w:r w:rsidRPr="0071228C">
        <w:rPr>
          <w:noProof/>
        </w:rPr>
        <w:t xml:space="preserve"> „1. Komisja jest uprawniona do przyjmowania aktów wykonawczych</w:t>
      </w:r>
      <w:r w:rsidR="00CC55C0" w:rsidRPr="0071228C">
        <w:rPr>
          <w:noProof/>
        </w:rPr>
        <w:t xml:space="preserve"> w</w:t>
      </w:r>
      <w:r w:rsidR="00CC55C0">
        <w:rPr>
          <w:noProof/>
        </w:rPr>
        <w:t> </w:t>
      </w:r>
      <w:r w:rsidR="00CC55C0" w:rsidRPr="0071228C">
        <w:rPr>
          <w:noProof/>
        </w:rPr>
        <w:t>cel</w:t>
      </w:r>
      <w:r w:rsidRPr="0071228C">
        <w:rPr>
          <w:noProof/>
        </w:rPr>
        <w:t>u sporządzenia,</w:t>
      </w:r>
      <w:r w:rsidR="00CC55C0" w:rsidRPr="0071228C">
        <w:rPr>
          <w:noProof/>
        </w:rPr>
        <w:t xml:space="preserve"> z</w:t>
      </w:r>
      <w:r w:rsidR="00CC55C0">
        <w:rPr>
          <w:noProof/>
        </w:rPr>
        <w:t> </w:t>
      </w:r>
      <w:r w:rsidR="00CC55C0" w:rsidRPr="0071228C">
        <w:rPr>
          <w:noProof/>
        </w:rPr>
        <w:t>uwz</w:t>
      </w:r>
      <w:r w:rsidRPr="0071228C">
        <w:rPr>
          <w:noProof/>
        </w:rPr>
        <w:t>ględnieniem sprawozdań naukowych przygotowanych przez ECHA, listy obserwacyjnej substancji,</w:t>
      </w:r>
      <w:r w:rsidR="00CC55C0" w:rsidRPr="0071228C">
        <w:rPr>
          <w:noProof/>
        </w:rPr>
        <w:t xml:space="preserve"> w</w:t>
      </w:r>
      <w:r w:rsidR="00CC55C0">
        <w:rPr>
          <w:noProof/>
        </w:rPr>
        <w:t> </w:t>
      </w:r>
      <w:r w:rsidR="00CC55C0" w:rsidRPr="0071228C">
        <w:rPr>
          <w:noProof/>
        </w:rPr>
        <w:t>odn</w:t>
      </w:r>
      <w:r w:rsidRPr="0071228C">
        <w:rPr>
          <w:noProof/>
        </w:rPr>
        <w:t>iesieniu do których konieczne jest obejmujące całą Unię gromadzenie danych</w:t>
      </w:r>
      <w:r w:rsidR="00CC55C0" w:rsidRPr="0071228C">
        <w:rPr>
          <w:noProof/>
        </w:rPr>
        <w:t xml:space="preserve"> z</w:t>
      </w:r>
      <w:r w:rsidR="00CC55C0">
        <w:rPr>
          <w:noProof/>
        </w:rPr>
        <w:t> </w:t>
      </w:r>
      <w:r w:rsidR="00CC55C0" w:rsidRPr="0071228C">
        <w:rPr>
          <w:noProof/>
        </w:rPr>
        <w:t>mon</w:t>
      </w:r>
      <w:r w:rsidRPr="0071228C">
        <w:rPr>
          <w:noProof/>
        </w:rPr>
        <w:t>itorowania pochodzących do państw członkowskich, oraz</w:t>
      </w:r>
      <w:r w:rsidR="00CC55C0" w:rsidRPr="0071228C">
        <w:rPr>
          <w:noProof/>
        </w:rPr>
        <w:t xml:space="preserve"> w</w:t>
      </w:r>
      <w:r w:rsidR="00CC55C0">
        <w:rPr>
          <w:noProof/>
        </w:rPr>
        <w:t> </w:t>
      </w:r>
      <w:r w:rsidR="00CC55C0" w:rsidRPr="0071228C">
        <w:rPr>
          <w:noProof/>
        </w:rPr>
        <w:t>cel</w:t>
      </w:r>
      <w:r w:rsidRPr="0071228C">
        <w:rPr>
          <w:noProof/>
        </w:rPr>
        <w:t>u określenia formatów, które mają być stosowane przez państwa członkowskie do zgłaszania Komisji wyników tego monitorowania</w:t>
      </w:r>
      <w:r w:rsidR="00CC55C0" w:rsidRPr="0071228C">
        <w:rPr>
          <w:noProof/>
        </w:rPr>
        <w:t xml:space="preserve"> i</w:t>
      </w:r>
      <w:r w:rsidR="00CC55C0">
        <w:rPr>
          <w:noProof/>
        </w:rPr>
        <w:t> </w:t>
      </w:r>
      <w:r w:rsidR="00CC55C0" w:rsidRPr="0071228C">
        <w:rPr>
          <w:noProof/>
        </w:rPr>
        <w:t>pow</w:t>
      </w:r>
      <w:r w:rsidRPr="0071228C">
        <w:rPr>
          <w:noProof/>
        </w:rPr>
        <w:t>iązanych informacji. Przedmiotowe akty wykonawcze przyjmowane są zgodnie</w:t>
      </w:r>
      <w:r w:rsidR="00CC55C0" w:rsidRPr="0071228C">
        <w:rPr>
          <w:noProof/>
        </w:rPr>
        <w:t xml:space="preserve"> z</w:t>
      </w:r>
      <w:r w:rsidR="00CC55C0">
        <w:rPr>
          <w:noProof/>
        </w:rPr>
        <w:t> </w:t>
      </w:r>
      <w:r w:rsidR="00CC55C0" w:rsidRPr="0071228C">
        <w:rPr>
          <w:noProof/>
        </w:rPr>
        <w:t>pro</w:t>
      </w:r>
      <w:r w:rsidRPr="0071228C">
        <w:rPr>
          <w:noProof/>
        </w:rPr>
        <w:t>cedurą sprawdzającą,</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9</w:t>
      </w:r>
      <w:r w:rsidRPr="0071228C">
        <w:rPr>
          <w:noProof/>
        </w:rPr>
        <w:t xml:space="preserve"> </w:t>
      </w:r>
      <w:r w:rsidRPr="00CC55C0">
        <w:rPr>
          <w:noProof/>
        </w:rPr>
        <w:t>ust.</w:t>
      </w:r>
      <w:r w:rsidR="00CC55C0" w:rsidRPr="00CC55C0">
        <w:rPr>
          <w:noProof/>
        </w:rPr>
        <w:t> </w:t>
      </w:r>
      <w:r w:rsidRPr="00CC55C0">
        <w:rPr>
          <w:noProof/>
        </w:rPr>
        <w:t>2</w:t>
      </w:r>
      <w:r w:rsidRPr="0071228C">
        <w:rPr>
          <w:noProof/>
        </w:rPr>
        <w:t xml:space="preserve">.”; </w:t>
      </w:r>
    </w:p>
    <w:p w14:paraId="1E3C50E0" w14:textId="2F669019" w:rsidR="00064ADB" w:rsidRPr="0071228C" w:rsidRDefault="00064ADB" w:rsidP="00064ADB">
      <w:pPr>
        <w:pStyle w:val="Text1"/>
        <w:rPr>
          <w:noProof/>
        </w:rPr>
      </w:pPr>
      <w:r w:rsidRPr="0071228C">
        <w:rPr>
          <w:noProof/>
        </w:rPr>
        <w:t>Lista obserwacyjna obejmuje jednocześnie maksymalnie 10 substancji lub grup substancji</w:t>
      </w:r>
      <w:r w:rsidR="00CC55C0" w:rsidRPr="0071228C">
        <w:rPr>
          <w:noProof/>
        </w:rPr>
        <w:t xml:space="preserve"> i</w:t>
      </w:r>
      <w:r w:rsidR="00CC55C0">
        <w:rPr>
          <w:noProof/>
        </w:rPr>
        <w:t> </w:t>
      </w:r>
      <w:r w:rsidR="00CC55C0" w:rsidRPr="0071228C">
        <w:rPr>
          <w:noProof/>
        </w:rPr>
        <w:t>wsk</w:t>
      </w:r>
      <w:r w:rsidRPr="0071228C">
        <w:rPr>
          <w:noProof/>
        </w:rPr>
        <w:t>azuje się</w:t>
      </w:r>
      <w:r w:rsidR="00CC55C0" w:rsidRPr="0071228C">
        <w:rPr>
          <w:noProof/>
        </w:rPr>
        <w:t xml:space="preserve"> w</w:t>
      </w:r>
      <w:r w:rsidR="00CC55C0">
        <w:rPr>
          <w:noProof/>
        </w:rPr>
        <w:t> </w:t>
      </w:r>
      <w:r w:rsidR="00CC55C0" w:rsidRPr="0071228C">
        <w:rPr>
          <w:noProof/>
        </w:rPr>
        <w:t>nie</w:t>
      </w:r>
      <w:r w:rsidRPr="0071228C">
        <w:rPr>
          <w:noProof/>
        </w:rPr>
        <w:t>j matryce do monitorowania oraz możliwe metody analizy dla poszczególnych substancji. Przedmiotowe matryce do monitorowania</w:t>
      </w:r>
      <w:r w:rsidR="00CC55C0" w:rsidRPr="0071228C">
        <w:rPr>
          <w:noProof/>
        </w:rPr>
        <w:t xml:space="preserve"> i</w:t>
      </w:r>
      <w:r w:rsidR="00CC55C0">
        <w:rPr>
          <w:noProof/>
        </w:rPr>
        <w:t> </w:t>
      </w:r>
      <w:r w:rsidR="00CC55C0" w:rsidRPr="0071228C">
        <w:rPr>
          <w:noProof/>
        </w:rPr>
        <w:t>met</w:t>
      </w:r>
      <w:r w:rsidRPr="0071228C">
        <w:rPr>
          <w:noProof/>
        </w:rPr>
        <w:t>ody monitorowania nie mogą pociągać za sobą nadmiernych kosztów</w:t>
      </w:r>
      <w:r w:rsidR="00CC55C0" w:rsidRPr="0071228C">
        <w:rPr>
          <w:noProof/>
        </w:rPr>
        <w:t xml:space="preserve"> w</w:t>
      </w:r>
      <w:r w:rsidR="00CC55C0">
        <w:rPr>
          <w:noProof/>
        </w:rPr>
        <w:t> </w:t>
      </w:r>
      <w:r w:rsidR="00CC55C0" w:rsidRPr="0071228C">
        <w:rPr>
          <w:noProof/>
        </w:rPr>
        <w:t>odn</w:t>
      </w:r>
      <w:r w:rsidRPr="0071228C">
        <w:rPr>
          <w:noProof/>
        </w:rPr>
        <w:t>iesieniu do właściwych organów. Substancje, które mają zostać umieszczone na liście obserwacyjnej, są wybierane spośród substancji,</w:t>
      </w:r>
      <w:r w:rsidR="00CC55C0" w:rsidRPr="0071228C">
        <w:rPr>
          <w:noProof/>
        </w:rPr>
        <w:t xml:space="preserve"> w</w:t>
      </w:r>
      <w:r w:rsidR="00CC55C0">
        <w:rPr>
          <w:noProof/>
        </w:rPr>
        <w:t> </w:t>
      </w:r>
      <w:r w:rsidR="00CC55C0" w:rsidRPr="0071228C">
        <w:rPr>
          <w:noProof/>
        </w:rPr>
        <w:t>prz</w:t>
      </w:r>
      <w:r w:rsidRPr="0071228C">
        <w:rPr>
          <w:noProof/>
        </w:rPr>
        <w:t>ypadku których dostępne informacje wskazują, że mogą one stanowić na poziomie Unii znaczne ryzyko dla środowiska wodnego lub za jego pośrednictwem,</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prz</w:t>
      </w:r>
      <w:r w:rsidRPr="0071228C">
        <w:rPr>
          <w:noProof/>
        </w:rPr>
        <w:t>ypadku których dane</w:t>
      </w:r>
      <w:r w:rsidR="00CC55C0" w:rsidRPr="0071228C">
        <w:rPr>
          <w:noProof/>
        </w:rPr>
        <w:t xml:space="preserve"> z</w:t>
      </w:r>
      <w:r w:rsidR="00CC55C0">
        <w:rPr>
          <w:noProof/>
        </w:rPr>
        <w:t> </w:t>
      </w:r>
      <w:r w:rsidR="00CC55C0" w:rsidRPr="0071228C">
        <w:rPr>
          <w:noProof/>
        </w:rPr>
        <w:t>mon</w:t>
      </w:r>
      <w:r w:rsidRPr="0071228C">
        <w:rPr>
          <w:noProof/>
        </w:rPr>
        <w:t>itorowania są niewystarczające. Lista obserwacyjna obejmuje nowo pojawiające się zanieczyszczenia.</w:t>
      </w:r>
    </w:p>
    <w:p w14:paraId="0AF76723" w14:textId="68EC58AA" w:rsidR="00064ADB" w:rsidRPr="0071228C" w:rsidRDefault="00064ADB" w:rsidP="00064ADB">
      <w:pPr>
        <w:pStyle w:val="Text1"/>
        <w:rPr>
          <w:noProof/>
        </w:rPr>
      </w:pPr>
      <w:r w:rsidRPr="0071228C">
        <w:rPr>
          <w:noProof/>
        </w:rPr>
        <w:t>Gdy tylko zostaną określone odpowiednie metody monitorowania mikrodrobin plastiku</w:t>
      </w:r>
      <w:r w:rsidR="00CC55C0" w:rsidRPr="0071228C">
        <w:rPr>
          <w:noProof/>
        </w:rPr>
        <w:t xml:space="preserve"> i</w:t>
      </w:r>
      <w:r w:rsidR="00CC55C0">
        <w:rPr>
          <w:noProof/>
        </w:rPr>
        <w:t> </w:t>
      </w:r>
      <w:r w:rsidR="00CC55C0" w:rsidRPr="0071228C">
        <w:rPr>
          <w:noProof/>
        </w:rPr>
        <w:t>wyb</w:t>
      </w:r>
      <w:r w:rsidRPr="0071228C">
        <w:rPr>
          <w:noProof/>
        </w:rPr>
        <w:t>ranych genów oporności na środki przeciwdrobnoustrojowe, substancje te zostaną włączone do listy obserwacyjnej.</w:t>
      </w:r>
    </w:p>
    <w:p w14:paraId="503C6150" w14:textId="049789B2" w:rsidR="00064ADB" w:rsidRPr="0071228C" w:rsidRDefault="00064ADB" w:rsidP="00064ADB">
      <w:pPr>
        <w:pStyle w:val="Text1"/>
        <w:rPr>
          <w:noProof/>
        </w:rPr>
      </w:pPr>
      <w:r w:rsidRPr="0071228C">
        <w:rPr>
          <w:noProof/>
        </w:rPr>
        <w:t>ECHA przygotowuje sprawozdania naukowe, aby pomóc Komisji</w:t>
      </w:r>
      <w:r w:rsidR="00CC55C0" w:rsidRPr="0071228C">
        <w:rPr>
          <w:noProof/>
        </w:rPr>
        <w:t xml:space="preserve"> w</w:t>
      </w:r>
      <w:r w:rsidR="00CC55C0">
        <w:rPr>
          <w:noProof/>
        </w:rPr>
        <w:t> </w:t>
      </w:r>
      <w:r w:rsidR="00CC55C0" w:rsidRPr="0071228C">
        <w:rPr>
          <w:noProof/>
        </w:rPr>
        <w:t>wyb</w:t>
      </w:r>
      <w:r w:rsidRPr="0071228C">
        <w:rPr>
          <w:noProof/>
        </w:rPr>
        <w:t>orze substancji do listy obserwacyjnej, uwzględniając następujące informacje:</w:t>
      </w:r>
    </w:p>
    <w:p w14:paraId="376E0B5C" w14:textId="061C46D7" w:rsidR="00064ADB" w:rsidRPr="0071228C" w:rsidRDefault="00CC55C0" w:rsidP="00CC55C0">
      <w:pPr>
        <w:pStyle w:val="Point2"/>
        <w:rPr>
          <w:noProof/>
        </w:rPr>
      </w:pPr>
      <w:r>
        <w:rPr>
          <w:noProof/>
        </w:rPr>
        <w:t>a)</w:t>
      </w:r>
      <w:r>
        <w:rPr>
          <w:noProof/>
        </w:rPr>
        <w:tab/>
      </w:r>
      <w:r w:rsidR="00064ADB" w:rsidRPr="0071228C">
        <w:rPr>
          <w:noProof/>
        </w:rPr>
        <w:t>wyniki najnowszego przeglądu załącznika I do niniejszej dyrektywy;</w:t>
      </w:r>
    </w:p>
    <w:p w14:paraId="13B6A556" w14:textId="36E03890" w:rsidR="00064ADB" w:rsidRPr="0071228C" w:rsidRDefault="00CC55C0" w:rsidP="00CC55C0">
      <w:pPr>
        <w:pStyle w:val="Point2"/>
        <w:rPr>
          <w:noProof/>
        </w:rPr>
      </w:pPr>
      <w:r>
        <w:rPr>
          <w:noProof/>
        </w:rPr>
        <w:t>b)</w:t>
      </w:r>
      <w:r>
        <w:rPr>
          <w:noProof/>
        </w:rPr>
        <w:tab/>
      </w:r>
      <w:r w:rsidR="00064ADB" w:rsidRPr="0071228C">
        <w:rPr>
          <w:noProof/>
        </w:rPr>
        <w:t>zalecenia zainteresowanych stron,</w:t>
      </w:r>
      <w:r w:rsidRPr="0071228C">
        <w:rPr>
          <w:noProof/>
        </w:rPr>
        <w:t xml:space="preserve"> o</w:t>
      </w:r>
      <w:r>
        <w:rPr>
          <w:noProof/>
        </w:rPr>
        <w:t> </w:t>
      </w:r>
      <w:r w:rsidRPr="0071228C">
        <w:rPr>
          <w:noProof/>
        </w:rPr>
        <w:t>któ</w:t>
      </w:r>
      <w:r w:rsidR="00064ADB" w:rsidRPr="0071228C">
        <w:rPr>
          <w:noProof/>
        </w:rPr>
        <w:t>rych mowa</w:t>
      </w:r>
      <w:r w:rsidRPr="0071228C">
        <w:rPr>
          <w:noProof/>
        </w:rPr>
        <w:t xml:space="preserve"> w</w:t>
      </w:r>
      <w:r>
        <w:rPr>
          <w:noProof/>
        </w:rPr>
        <w:t> </w:t>
      </w:r>
      <w:r w:rsidRPr="00CC55C0">
        <w:rPr>
          <w:noProof/>
        </w:rPr>
        <w:t>art</w:t>
      </w:r>
      <w:r w:rsidR="00064ADB" w:rsidRPr="00CC55C0">
        <w:rPr>
          <w:noProof/>
        </w:rPr>
        <w:t>.</w:t>
      </w:r>
      <w:r w:rsidRPr="00CC55C0">
        <w:rPr>
          <w:noProof/>
        </w:rPr>
        <w:t> </w:t>
      </w:r>
      <w:r w:rsidR="00064ADB" w:rsidRPr="00CC55C0">
        <w:rPr>
          <w:noProof/>
        </w:rPr>
        <w:t>8</w:t>
      </w:r>
      <w:r w:rsidR="00064ADB" w:rsidRPr="0071228C">
        <w:rPr>
          <w:noProof/>
        </w:rPr>
        <w:t xml:space="preserve"> dyrektywy 2008/105/WE; </w:t>
      </w:r>
    </w:p>
    <w:p w14:paraId="60F190B5" w14:textId="097ABE49" w:rsidR="00064ADB" w:rsidRPr="0071228C" w:rsidRDefault="00CC55C0" w:rsidP="00CC55C0">
      <w:pPr>
        <w:pStyle w:val="Point2"/>
        <w:rPr>
          <w:noProof/>
        </w:rPr>
      </w:pPr>
      <w:r>
        <w:rPr>
          <w:noProof/>
        </w:rPr>
        <w:t>c)</w:t>
      </w:r>
      <w:r>
        <w:rPr>
          <w:noProof/>
        </w:rPr>
        <w:tab/>
      </w:r>
      <w:r w:rsidR="00064ADB" w:rsidRPr="0071228C">
        <w:rPr>
          <w:noProof/>
        </w:rPr>
        <w:t>charakterystykę obszarów dorzeczy sporządzoną przez państwa członkowskie zgodnie</w:t>
      </w:r>
      <w:r w:rsidRPr="0071228C">
        <w:rPr>
          <w:noProof/>
        </w:rPr>
        <w:t xml:space="preserve"> z</w:t>
      </w:r>
      <w:r>
        <w:rPr>
          <w:noProof/>
        </w:rPr>
        <w:t> </w:t>
      </w:r>
      <w:r w:rsidRPr="00CC55C0">
        <w:rPr>
          <w:noProof/>
        </w:rPr>
        <w:t>art</w:t>
      </w:r>
      <w:r w:rsidR="00064ADB" w:rsidRPr="00CC55C0">
        <w:rPr>
          <w:noProof/>
        </w:rPr>
        <w:t>.</w:t>
      </w:r>
      <w:r w:rsidRPr="00CC55C0">
        <w:rPr>
          <w:noProof/>
        </w:rPr>
        <w:t> </w:t>
      </w:r>
      <w:r w:rsidR="00064ADB" w:rsidRPr="00CC55C0">
        <w:rPr>
          <w:noProof/>
        </w:rPr>
        <w:t>5</w:t>
      </w:r>
      <w:r w:rsidR="00064ADB" w:rsidRPr="0071228C">
        <w:rPr>
          <w:noProof/>
        </w:rPr>
        <w:t xml:space="preserve"> dyrektywy 2000/60/WE oraz wyniki programów monitorowania ustanowionych zgodnie</w:t>
      </w:r>
      <w:r w:rsidRPr="0071228C">
        <w:rPr>
          <w:noProof/>
        </w:rPr>
        <w:t xml:space="preserve"> z</w:t>
      </w:r>
      <w:r>
        <w:rPr>
          <w:noProof/>
        </w:rPr>
        <w:t> </w:t>
      </w:r>
      <w:r w:rsidRPr="00CC55C0">
        <w:rPr>
          <w:noProof/>
        </w:rPr>
        <w:t>art</w:t>
      </w:r>
      <w:r w:rsidR="00064ADB" w:rsidRPr="00CC55C0">
        <w:rPr>
          <w:noProof/>
        </w:rPr>
        <w:t>.</w:t>
      </w:r>
      <w:r w:rsidRPr="00CC55C0">
        <w:rPr>
          <w:noProof/>
        </w:rPr>
        <w:t> </w:t>
      </w:r>
      <w:r w:rsidR="00064ADB" w:rsidRPr="00CC55C0">
        <w:rPr>
          <w:noProof/>
        </w:rPr>
        <w:t>8</w:t>
      </w:r>
      <w:r w:rsidR="00064ADB" w:rsidRPr="0071228C">
        <w:rPr>
          <w:noProof/>
        </w:rPr>
        <w:t xml:space="preserve"> tej dyrektywy;</w:t>
      </w:r>
    </w:p>
    <w:p w14:paraId="2E495FFF" w14:textId="7683346B" w:rsidR="00064ADB" w:rsidRPr="0071228C" w:rsidRDefault="00CC55C0" w:rsidP="00CC55C0">
      <w:pPr>
        <w:pStyle w:val="Point2"/>
        <w:rPr>
          <w:noProof/>
        </w:rPr>
      </w:pPr>
      <w:r>
        <w:rPr>
          <w:noProof/>
        </w:rPr>
        <w:t>d)</w:t>
      </w:r>
      <w:r>
        <w:rPr>
          <w:noProof/>
        </w:rPr>
        <w:tab/>
      </w:r>
      <w:r w:rsidR="00064ADB" w:rsidRPr="0071228C">
        <w:rPr>
          <w:noProof/>
        </w:rPr>
        <w:t>informacje na temat wielkości produkcji, sposobów użytkowania, swoistych właściwości (w tym,</w:t>
      </w:r>
      <w:r w:rsidRPr="0071228C">
        <w:rPr>
          <w:noProof/>
        </w:rPr>
        <w:t xml:space="preserve"> w</w:t>
      </w:r>
      <w:r>
        <w:rPr>
          <w:noProof/>
        </w:rPr>
        <w:t> </w:t>
      </w:r>
      <w:r w:rsidRPr="0071228C">
        <w:rPr>
          <w:noProof/>
        </w:rPr>
        <w:t>sto</w:t>
      </w:r>
      <w:r w:rsidR="00064ADB" w:rsidRPr="0071228C">
        <w:rPr>
          <w:noProof/>
        </w:rPr>
        <w:t>sownych przypadkach, wielkości cząsteczek), stężenia</w:t>
      </w:r>
      <w:r w:rsidRPr="0071228C">
        <w:rPr>
          <w:noProof/>
        </w:rPr>
        <w:t xml:space="preserve"> w</w:t>
      </w:r>
      <w:r>
        <w:rPr>
          <w:noProof/>
        </w:rPr>
        <w:t> </w:t>
      </w:r>
      <w:r w:rsidRPr="0071228C">
        <w:rPr>
          <w:noProof/>
        </w:rPr>
        <w:t>śro</w:t>
      </w:r>
      <w:r w:rsidR="00064ADB" w:rsidRPr="0071228C">
        <w:rPr>
          <w:noProof/>
        </w:rPr>
        <w:t>dowisku oraz szkodliwego wpływu na zdrowie człowieka</w:t>
      </w:r>
      <w:r w:rsidRPr="0071228C">
        <w:rPr>
          <w:noProof/>
        </w:rPr>
        <w:t xml:space="preserve"> i</w:t>
      </w:r>
      <w:r>
        <w:rPr>
          <w:noProof/>
        </w:rPr>
        <w:t> </w:t>
      </w:r>
      <w:r w:rsidRPr="0071228C">
        <w:rPr>
          <w:noProof/>
        </w:rPr>
        <w:t>śro</w:t>
      </w:r>
      <w:r w:rsidR="00064ADB" w:rsidRPr="0071228C">
        <w:rPr>
          <w:noProof/>
        </w:rPr>
        <w:t>dowisko wodne danej substancji,</w:t>
      </w:r>
      <w:r w:rsidRPr="0071228C">
        <w:rPr>
          <w:noProof/>
        </w:rPr>
        <w:t xml:space="preserve"> w</w:t>
      </w:r>
      <w:r>
        <w:rPr>
          <w:noProof/>
        </w:rPr>
        <w:t> </w:t>
      </w:r>
      <w:r w:rsidRPr="0071228C">
        <w:rPr>
          <w:noProof/>
        </w:rPr>
        <w:t>tym</w:t>
      </w:r>
      <w:r w:rsidR="00064ADB" w:rsidRPr="0071228C">
        <w:rPr>
          <w:noProof/>
        </w:rPr>
        <w:t xml:space="preserve"> informacje zebrane zgodnie</w:t>
      </w:r>
      <w:r w:rsidRPr="0071228C">
        <w:rPr>
          <w:noProof/>
        </w:rPr>
        <w:t xml:space="preserve"> z</w:t>
      </w:r>
      <w:r>
        <w:rPr>
          <w:noProof/>
        </w:rPr>
        <w:t> </w:t>
      </w:r>
      <w:r w:rsidRPr="0071228C">
        <w:rPr>
          <w:noProof/>
        </w:rPr>
        <w:t>roz</w:t>
      </w:r>
      <w:r w:rsidR="00064ADB" w:rsidRPr="0071228C">
        <w:rPr>
          <w:noProof/>
        </w:rPr>
        <w:t xml:space="preserve">porządzeniem (WE) </w:t>
      </w:r>
      <w:r w:rsidR="00064ADB" w:rsidRPr="00CC55C0">
        <w:rPr>
          <w:noProof/>
        </w:rPr>
        <w:t>nr</w:t>
      </w:r>
      <w:r w:rsidRPr="00CC55C0">
        <w:rPr>
          <w:noProof/>
        </w:rPr>
        <w:t> </w:t>
      </w:r>
      <w:r w:rsidR="00064ADB" w:rsidRPr="00CC55C0">
        <w:rPr>
          <w:noProof/>
        </w:rPr>
        <w:t>1</w:t>
      </w:r>
      <w:r w:rsidR="00064ADB" w:rsidRPr="0071228C">
        <w:rPr>
          <w:noProof/>
        </w:rPr>
        <w:t xml:space="preserve">907/2006, rozporządzeniem (WE) </w:t>
      </w:r>
      <w:r w:rsidR="00064ADB" w:rsidRPr="00CC55C0">
        <w:rPr>
          <w:noProof/>
        </w:rPr>
        <w:t>nr</w:t>
      </w:r>
      <w:r w:rsidRPr="00CC55C0">
        <w:rPr>
          <w:noProof/>
        </w:rPr>
        <w:t> </w:t>
      </w:r>
      <w:r w:rsidR="00064ADB" w:rsidRPr="00CC55C0">
        <w:rPr>
          <w:noProof/>
        </w:rPr>
        <w:t>1</w:t>
      </w:r>
      <w:r w:rsidR="00064ADB" w:rsidRPr="0071228C">
        <w:rPr>
          <w:noProof/>
        </w:rPr>
        <w:t xml:space="preserve">107/2009, rozporządzeniem (UE) </w:t>
      </w:r>
      <w:r w:rsidR="00064ADB" w:rsidRPr="00CC55C0">
        <w:rPr>
          <w:noProof/>
        </w:rPr>
        <w:t>nr</w:t>
      </w:r>
      <w:r w:rsidRPr="00CC55C0">
        <w:rPr>
          <w:noProof/>
        </w:rPr>
        <w:t> </w:t>
      </w:r>
      <w:r w:rsidR="00064ADB" w:rsidRPr="00CC55C0">
        <w:rPr>
          <w:noProof/>
        </w:rPr>
        <w:t>5</w:t>
      </w:r>
      <w:r w:rsidR="00064ADB" w:rsidRPr="0071228C">
        <w:rPr>
          <w:noProof/>
        </w:rPr>
        <w:t xml:space="preserve">28/2012, rozporządzeniem (UE) 2019/6, dyrektywą 2001/83/WE oraz dyrektywą 2009/128/WE. </w:t>
      </w:r>
      <w:r w:rsidR="00064ADB" w:rsidRPr="0071228C">
        <w:rPr>
          <w:noProof/>
        </w:rPr>
        <w:tab/>
      </w:r>
    </w:p>
    <w:p w14:paraId="4FF49739" w14:textId="7F907191" w:rsidR="00064ADB" w:rsidRPr="0071228C" w:rsidRDefault="00CC55C0" w:rsidP="00CC55C0">
      <w:pPr>
        <w:pStyle w:val="Point2"/>
        <w:rPr>
          <w:noProof/>
        </w:rPr>
      </w:pPr>
      <w:r>
        <w:rPr>
          <w:noProof/>
        </w:rPr>
        <w:t>e)</w:t>
      </w:r>
      <w:r>
        <w:rPr>
          <w:noProof/>
        </w:rPr>
        <w:tab/>
      </w:r>
      <w:r w:rsidR="00064ADB" w:rsidRPr="0071228C">
        <w:rPr>
          <w:noProof/>
        </w:rPr>
        <w:t>projekty badawcze</w:t>
      </w:r>
      <w:r w:rsidRPr="0071228C">
        <w:rPr>
          <w:noProof/>
        </w:rPr>
        <w:t xml:space="preserve"> i</w:t>
      </w:r>
      <w:r>
        <w:rPr>
          <w:noProof/>
        </w:rPr>
        <w:t> </w:t>
      </w:r>
      <w:r w:rsidRPr="0071228C">
        <w:rPr>
          <w:noProof/>
        </w:rPr>
        <w:t>pub</w:t>
      </w:r>
      <w:r w:rsidR="00064ADB" w:rsidRPr="0071228C">
        <w:rPr>
          <w:noProof/>
        </w:rPr>
        <w:t>likacje naukowe,</w:t>
      </w:r>
      <w:r w:rsidRPr="0071228C">
        <w:rPr>
          <w:noProof/>
        </w:rPr>
        <w:t xml:space="preserve"> w</w:t>
      </w:r>
      <w:r>
        <w:rPr>
          <w:noProof/>
        </w:rPr>
        <w:t> </w:t>
      </w:r>
      <w:r w:rsidRPr="0071228C">
        <w:rPr>
          <w:noProof/>
        </w:rPr>
        <w:t>tym</w:t>
      </w:r>
      <w:r w:rsidR="00064ADB" w:rsidRPr="0071228C">
        <w:rPr>
          <w:noProof/>
        </w:rPr>
        <w:t xml:space="preserve"> informacje</w:t>
      </w:r>
      <w:r w:rsidRPr="0071228C">
        <w:rPr>
          <w:noProof/>
        </w:rPr>
        <w:t xml:space="preserve"> o</w:t>
      </w:r>
      <w:r>
        <w:rPr>
          <w:noProof/>
        </w:rPr>
        <w:t> </w:t>
      </w:r>
      <w:r w:rsidRPr="0071228C">
        <w:rPr>
          <w:noProof/>
        </w:rPr>
        <w:t>tre</w:t>
      </w:r>
      <w:r w:rsidR="00064ADB" w:rsidRPr="0071228C">
        <w:rPr>
          <w:noProof/>
        </w:rPr>
        <w:t>ndach</w:t>
      </w:r>
      <w:r w:rsidRPr="0071228C">
        <w:rPr>
          <w:noProof/>
        </w:rPr>
        <w:t xml:space="preserve"> i</w:t>
      </w:r>
      <w:r>
        <w:rPr>
          <w:noProof/>
        </w:rPr>
        <w:t> </w:t>
      </w:r>
      <w:r w:rsidRPr="0071228C">
        <w:rPr>
          <w:noProof/>
        </w:rPr>
        <w:t>prz</w:t>
      </w:r>
      <w:r w:rsidR="00064ADB" w:rsidRPr="0071228C">
        <w:rPr>
          <w:noProof/>
        </w:rPr>
        <w:t>ewidywaniach opartych na modelowaniu lub innych ocenach prognostycznych oraz danych</w:t>
      </w:r>
      <w:r w:rsidRPr="0071228C">
        <w:rPr>
          <w:noProof/>
        </w:rPr>
        <w:t xml:space="preserve"> i</w:t>
      </w:r>
      <w:r>
        <w:rPr>
          <w:noProof/>
        </w:rPr>
        <w:t> </w:t>
      </w:r>
      <w:r w:rsidRPr="0071228C">
        <w:rPr>
          <w:noProof/>
        </w:rPr>
        <w:t>inf</w:t>
      </w:r>
      <w:r w:rsidR="00064ADB" w:rsidRPr="0071228C">
        <w:rPr>
          <w:noProof/>
        </w:rPr>
        <w:t>ormacjach pochodzących</w:t>
      </w:r>
      <w:r w:rsidRPr="0071228C">
        <w:rPr>
          <w:noProof/>
        </w:rPr>
        <w:t xml:space="preserve"> z</w:t>
      </w:r>
      <w:r>
        <w:rPr>
          <w:noProof/>
        </w:rPr>
        <w:t> </w:t>
      </w:r>
      <w:r w:rsidRPr="0071228C">
        <w:rPr>
          <w:noProof/>
        </w:rPr>
        <w:t>tec</w:t>
      </w:r>
      <w:r w:rsidR="00064ADB" w:rsidRPr="0071228C">
        <w:rPr>
          <w:noProof/>
        </w:rPr>
        <w:t>hnologii teledetekcji, obserwacji Ziemi (usługi programu Copernicus), czujników</w:t>
      </w:r>
      <w:r w:rsidRPr="0071228C">
        <w:rPr>
          <w:noProof/>
        </w:rPr>
        <w:t xml:space="preserve"> i</w:t>
      </w:r>
      <w:r>
        <w:rPr>
          <w:noProof/>
        </w:rPr>
        <w:t> </w:t>
      </w:r>
      <w:r w:rsidRPr="0071228C">
        <w:rPr>
          <w:noProof/>
        </w:rPr>
        <w:t>urz</w:t>
      </w:r>
      <w:r w:rsidR="00064ADB" w:rsidRPr="0071228C">
        <w:rPr>
          <w:noProof/>
        </w:rPr>
        <w:t>ądzeń in-situ lub danych uzyskanych dzięki badaniom metodą obywatelską, korzystając</w:t>
      </w:r>
      <w:r w:rsidRPr="0071228C">
        <w:rPr>
          <w:noProof/>
        </w:rPr>
        <w:t xml:space="preserve"> z</w:t>
      </w:r>
      <w:r>
        <w:rPr>
          <w:noProof/>
        </w:rPr>
        <w:t> </w:t>
      </w:r>
      <w:r w:rsidRPr="0071228C">
        <w:rPr>
          <w:noProof/>
        </w:rPr>
        <w:t>moż</w:t>
      </w:r>
      <w:r w:rsidR="00064ADB" w:rsidRPr="0071228C">
        <w:rPr>
          <w:noProof/>
        </w:rPr>
        <w:t>liwości oferowanych przez sztuczną inteligencję oraz zaawansowaną analizę</w:t>
      </w:r>
      <w:r w:rsidRPr="0071228C">
        <w:rPr>
          <w:noProof/>
        </w:rPr>
        <w:t xml:space="preserve"> i</w:t>
      </w:r>
      <w:r>
        <w:rPr>
          <w:noProof/>
        </w:rPr>
        <w:t> </w:t>
      </w:r>
      <w:r w:rsidRPr="0071228C">
        <w:rPr>
          <w:noProof/>
        </w:rPr>
        <w:t>prz</w:t>
      </w:r>
      <w:r w:rsidR="00064ADB" w:rsidRPr="0071228C">
        <w:rPr>
          <w:noProof/>
        </w:rPr>
        <w:t>etwarzanie danych.</w:t>
      </w:r>
      <w:r w:rsidR="00064ADB" w:rsidRPr="0071228C">
        <w:rPr>
          <w:noProof/>
        </w:rPr>
        <w:tab/>
      </w:r>
    </w:p>
    <w:p w14:paraId="755A3A86" w14:textId="4F7272C9" w:rsidR="00064ADB" w:rsidRPr="0071228C" w:rsidRDefault="00064ADB" w:rsidP="00064ADB">
      <w:pPr>
        <w:pStyle w:val="Text1"/>
        <w:rPr>
          <w:noProof/>
        </w:rPr>
      </w:pPr>
      <w:r w:rsidRPr="0071228C">
        <w:rPr>
          <w:noProof/>
        </w:rPr>
        <w:t>Co trzy lata ECHA przygotowuje sprawozdanie podsumowujące wyniki sprawozdań naukowych sporządzonych na podstawie akapitu czwartego</w:t>
      </w:r>
      <w:r w:rsidR="00CC55C0" w:rsidRPr="0071228C">
        <w:rPr>
          <w:noProof/>
        </w:rPr>
        <w:t xml:space="preserve"> i</w:t>
      </w:r>
      <w:r w:rsidR="00CC55C0">
        <w:rPr>
          <w:noProof/>
        </w:rPr>
        <w:t> </w:t>
      </w:r>
      <w:r w:rsidR="00CC55C0" w:rsidRPr="0071228C">
        <w:rPr>
          <w:noProof/>
        </w:rPr>
        <w:t>pod</w:t>
      </w:r>
      <w:r w:rsidRPr="0071228C">
        <w:rPr>
          <w:noProof/>
        </w:rPr>
        <w:t>aje je do publicznej wiadomości. ECHA publikuje pierwsze sprawozdanie do ... [Urząd Publikacji: proszę wstawić datę = pierwszy dzień 21. miesiąca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w:t>
      </w:r>
    </w:p>
    <w:p w14:paraId="21841833" w14:textId="1DAEAB28" w:rsidR="00064ADB" w:rsidRPr="0071228C" w:rsidRDefault="00064ADB" w:rsidP="00064ADB">
      <w:pPr>
        <w:pStyle w:val="Text1"/>
        <w:rPr>
          <w:noProof/>
        </w:rPr>
      </w:pPr>
      <w:r w:rsidRPr="0071228C">
        <w:rPr>
          <w:noProof/>
        </w:rPr>
        <w:t>2</w:t>
      </w:r>
      <w:r w:rsidRPr="00CC55C0">
        <w:rPr>
          <w:noProof/>
        </w:rPr>
        <w:t>.</w:t>
      </w:r>
      <w:r w:rsidR="00CC55C0" w:rsidRPr="00CC55C0">
        <w:rPr>
          <w:noProof/>
        </w:rPr>
        <w:t xml:space="preserve"> </w:t>
      </w:r>
      <w:r w:rsidRPr="00CC55C0">
        <w:rPr>
          <w:noProof/>
        </w:rPr>
        <w:t>L</w:t>
      </w:r>
      <w:r w:rsidRPr="0071228C">
        <w:rPr>
          <w:noProof/>
        </w:rPr>
        <w:t>istę obserwacyjną aktualizuje się do X [Urząd Publikacji: proszę wstawić datę = ostatni dzień 23. miesiąca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w:t>
      </w:r>
      <w:r w:rsidR="00CC55C0" w:rsidRPr="0071228C">
        <w:rPr>
          <w:noProof/>
        </w:rPr>
        <w:t xml:space="preserve"> a</w:t>
      </w:r>
      <w:r w:rsidR="00CC55C0">
        <w:rPr>
          <w:noProof/>
        </w:rPr>
        <w:t> </w:t>
      </w:r>
      <w:r w:rsidR="00CC55C0" w:rsidRPr="0071228C">
        <w:rPr>
          <w:noProof/>
        </w:rPr>
        <w:t>nas</w:t>
      </w:r>
      <w:r w:rsidRPr="0071228C">
        <w:rPr>
          <w:noProof/>
        </w:rPr>
        <w:t xml:space="preserve">tępnie </w:t>
      </w:r>
      <w:r w:rsidRPr="00CC55C0">
        <w:rPr>
          <w:noProof/>
        </w:rPr>
        <w:t>co</w:t>
      </w:r>
      <w:r w:rsidR="00CC55C0" w:rsidRPr="00CC55C0">
        <w:rPr>
          <w:noProof/>
        </w:rPr>
        <w:t> </w:t>
      </w:r>
      <w:r w:rsidRPr="00CC55C0">
        <w:rPr>
          <w:noProof/>
        </w:rPr>
        <w:t>3</w:t>
      </w:r>
      <w:r w:rsidRPr="0071228C">
        <w:rPr>
          <w:noProof/>
        </w:rPr>
        <w:t>6 miesięcy. Aktualizując listę obserwacyjną, Komisja usuwa wszelkie substancje</w:t>
      </w:r>
      <w:r w:rsidR="00CC55C0" w:rsidRPr="0071228C">
        <w:rPr>
          <w:noProof/>
        </w:rPr>
        <w:t xml:space="preserve"> z</w:t>
      </w:r>
      <w:r w:rsidR="00CC55C0">
        <w:rPr>
          <w:noProof/>
        </w:rPr>
        <w:t> </w:t>
      </w:r>
      <w:r w:rsidR="00CC55C0" w:rsidRPr="0071228C">
        <w:rPr>
          <w:noProof/>
        </w:rPr>
        <w:t>ist</w:t>
      </w:r>
      <w:r w:rsidRPr="0071228C">
        <w:rPr>
          <w:noProof/>
        </w:rPr>
        <w:t>niejącej listy obserwacyjnej,</w:t>
      </w:r>
      <w:r w:rsidR="00CC55C0" w:rsidRPr="0071228C">
        <w:rPr>
          <w:noProof/>
        </w:rPr>
        <w:t xml:space="preserve"> w</w:t>
      </w:r>
      <w:r w:rsidR="00CC55C0">
        <w:rPr>
          <w:noProof/>
        </w:rPr>
        <w:t> </w:t>
      </w:r>
      <w:r w:rsidR="00CC55C0" w:rsidRPr="0071228C">
        <w:rPr>
          <w:noProof/>
        </w:rPr>
        <w:t>prz</w:t>
      </w:r>
      <w:r w:rsidRPr="0071228C">
        <w:rPr>
          <w:noProof/>
        </w:rPr>
        <w:t>ypadku których uznaje, że możliwe jest przeprowadzenie oceny niesionego przez nie ryzyka dla środowiska wodnego bez dodatkowych danych</w:t>
      </w:r>
      <w:r w:rsidR="00CC55C0" w:rsidRPr="0071228C">
        <w:rPr>
          <w:noProof/>
        </w:rPr>
        <w:t xml:space="preserve"> z</w:t>
      </w:r>
      <w:r w:rsidR="00CC55C0">
        <w:rPr>
          <w:noProof/>
        </w:rPr>
        <w:t> </w:t>
      </w:r>
      <w:r w:rsidR="00CC55C0" w:rsidRPr="0071228C">
        <w:rPr>
          <w:noProof/>
        </w:rPr>
        <w:t>mon</w:t>
      </w:r>
      <w:r w:rsidRPr="0071228C">
        <w:rPr>
          <w:noProof/>
        </w:rPr>
        <w:t>itorowania. Podczas aktualizacji listy możliwe jest utrzymanie pojedynczej substancji lub grupy substancji na liście obserwacyjnej przez kolejny okres maksymalnie trzech lat, jeżeli do przeprowadzenia oceny ryzyka dla środowiska wodnego potrzebne są dodatkowe dane</w:t>
      </w:r>
      <w:r w:rsidR="00CC55C0" w:rsidRPr="0071228C">
        <w:rPr>
          <w:noProof/>
        </w:rPr>
        <w:t xml:space="preserve"> z</w:t>
      </w:r>
      <w:r w:rsidR="00CC55C0">
        <w:rPr>
          <w:noProof/>
        </w:rPr>
        <w:t> </w:t>
      </w:r>
      <w:r w:rsidR="00CC55C0" w:rsidRPr="0071228C">
        <w:rPr>
          <w:noProof/>
        </w:rPr>
        <w:t>mon</w:t>
      </w:r>
      <w:r w:rsidRPr="0071228C">
        <w:rPr>
          <w:noProof/>
        </w:rPr>
        <w:t xml:space="preserve">itorowania. Każda zaktualizowana lista obserwacyjna zawiera również co najmniej jedną nową substancję, którą Komisja – na podstawie sprawozdań naukowych ECHA – uważa za stanowiącą zagrożenie dla środowiska wodnego. </w:t>
      </w:r>
    </w:p>
    <w:p w14:paraId="63A11732" w14:textId="37C9D89C" w:rsidR="00064ADB" w:rsidRPr="0071228C" w:rsidRDefault="00064ADB" w:rsidP="00064ADB">
      <w:pPr>
        <w:pStyle w:val="Text1"/>
        <w:rPr>
          <w:noProof/>
        </w:rPr>
      </w:pPr>
      <w:r w:rsidRPr="0071228C">
        <w:rPr>
          <w:noProof/>
        </w:rPr>
        <w:t>3. Państwa członkowskie prowadzą monitorowanie każdej substancji lub grupy substancji znajdującej się na liście obserwacyjnej</w:t>
      </w:r>
      <w:r w:rsidR="00CC55C0" w:rsidRPr="0071228C">
        <w:rPr>
          <w:noProof/>
        </w:rPr>
        <w:t xml:space="preserve"> w</w:t>
      </w:r>
      <w:r w:rsidR="00CC55C0">
        <w:rPr>
          <w:noProof/>
        </w:rPr>
        <w:t> </w:t>
      </w:r>
      <w:r w:rsidR="00CC55C0" w:rsidRPr="0071228C">
        <w:rPr>
          <w:noProof/>
        </w:rPr>
        <w:t>wyb</w:t>
      </w:r>
      <w:r w:rsidRPr="0071228C">
        <w:rPr>
          <w:noProof/>
        </w:rPr>
        <w:t>ranych reprezentatywnych stacjach monitorowania przez okres 24 miesięcy. Okres monitorowania rozpoczyna się</w:t>
      </w:r>
      <w:r w:rsidR="00CC55C0" w:rsidRPr="0071228C">
        <w:rPr>
          <w:noProof/>
        </w:rPr>
        <w:t xml:space="preserve"> w</w:t>
      </w:r>
      <w:r w:rsidR="00CC55C0">
        <w:rPr>
          <w:noProof/>
        </w:rPr>
        <w:t> </w:t>
      </w:r>
      <w:r w:rsidR="00CC55C0" w:rsidRPr="0071228C">
        <w:rPr>
          <w:noProof/>
        </w:rPr>
        <w:t>cią</w:t>
      </w:r>
      <w:r w:rsidRPr="0071228C">
        <w:rPr>
          <w:noProof/>
        </w:rPr>
        <w:t>gu sześciu miesięcy od umieszczenia substancji na liście.</w:t>
      </w:r>
    </w:p>
    <w:p w14:paraId="3603BB9F" w14:textId="77777777" w:rsidR="00064ADB" w:rsidRPr="0071228C" w:rsidRDefault="00064ADB" w:rsidP="00064ADB">
      <w:pPr>
        <w:pStyle w:val="Text1"/>
        <w:rPr>
          <w:noProof/>
        </w:rPr>
      </w:pPr>
      <w:r w:rsidRPr="0071228C">
        <w:rPr>
          <w:noProof/>
        </w:rPr>
        <w:t>Każde państwo członkowskie wybiera co najmniej jedną stację monitorowania oraz dodatkowo jedną stację, jeżeli liczba jego mieszkańców przekracza milion oraz dodatkowo liczbę stacji równą jego obszarowi geograficznemu wyrażonemu w km</w:t>
      </w:r>
      <w:r w:rsidRPr="0071228C">
        <w:rPr>
          <w:noProof/>
          <w:vertAlign w:val="superscript"/>
        </w:rPr>
        <w:t>2</w:t>
      </w:r>
      <w:r w:rsidRPr="0071228C">
        <w:rPr>
          <w:noProof/>
        </w:rPr>
        <w:t xml:space="preserve"> podzielonemu przez 60 000 (po zaokrągleniu do najbliższej liczby całkowitej) oraz liczbę stacji równą liczbie jego ludności podzielonej przez pięć milionów (po zaokrągleniu do najbliższej liczby całkowitej).</w:t>
      </w:r>
    </w:p>
    <w:p w14:paraId="4841902A" w14:textId="7BA0B7AD" w:rsidR="00064ADB" w:rsidRPr="0071228C" w:rsidRDefault="00064ADB" w:rsidP="00064ADB">
      <w:pPr>
        <w:pStyle w:val="Text1"/>
        <w:rPr>
          <w:b/>
          <w:bCs/>
          <w:noProof/>
        </w:rPr>
      </w:pPr>
      <w:r w:rsidRPr="0071228C">
        <w:rPr>
          <w:noProof/>
        </w:rPr>
        <w:t>Wybierając reprezentatywne stacje monitorowania, częstotliwość</w:t>
      </w:r>
      <w:r w:rsidR="00CC55C0" w:rsidRPr="0071228C">
        <w:rPr>
          <w:noProof/>
        </w:rPr>
        <w:t xml:space="preserve"> i</w:t>
      </w:r>
      <w:r w:rsidR="00CC55C0">
        <w:rPr>
          <w:noProof/>
        </w:rPr>
        <w:t> </w:t>
      </w:r>
      <w:r w:rsidR="00CC55C0" w:rsidRPr="0071228C">
        <w:rPr>
          <w:noProof/>
        </w:rPr>
        <w:t>sez</w:t>
      </w:r>
      <w:r w:rsidRPr="0071228C">
        <w:rPr>
          <w:noProof/>
        </w:rPr>
        <w:t>onowy harmonogram monitorowania dla poszczególnych substancji lub grupy substancji, państwa członkowskie biorą pod uwagę sposoby wykorzystania</w:t>
      </w:r>
      <w:r w:rsidR="00CC55C0" w:rsidRPr="0071228C">
        <w:rPr>
          <w:noProof/>
        </w:rPr>
        <w:t xml:space="preserve"> i</w:t>
      </w:r>
      <w:r w:rsidR="00CC55C0">
        <w:rPr>
          <w:noProof/>
        </w:rPr>
        <w:t> </w:t>
      </w:r>
      <w:r w:rsidR="00CC55C0" w:rsidRPr="0071228C">
        <w:rPr>
          <w:noProof/>
        </w:rPr>
        <w:t>moż</w:t>
      </w:r>
      <w:r w:rsidRPr="0071228C">
        <w:rPr>
          <w:noProof/>
        </w:rPr>
        <w:t>liwe występowanie substancji lub grupy substancji. Monitorowanie odbywa się</w:t>
      </w:r>
      <w:r w:rsidR="00CC55C0" w:rsidRPr="0071228C">
        <w:rPr>
          <w:noProof/>
        </w:rPr>
        <w:t xml:space="preserve"> z</w:t>
      </w:r>
      <w:r w:rsidR="00CC55C0">
        <w:rPr>
          <w:noProof/>
        </w:rPr>
        <w:t> </w:t>
      </w:r>
      <w:r w:rsidR="00CC55C0" w:rsidRPr="0071228C">
        <w:rPr>
          <w:noProof/>
        </w:rPr>
        <w:t>czę</w:t>
      </w:r>
      <w:r w:rsidRPr="0071228C">
        <w:rPr>
          <w:noProof/>
        </w:rPr>
        <w:t>stotliwością nie mniejszą niż dwa razy</w:t>
      </w:r>
      <w:r w:rsidR="00CC55C0" w:rsidRPr="0071228C">
        <w:rPr>
          <w:noProof/>
        </w:rPr>
        <w:t xml:space="preserve"> w</w:t>
      </w:r>
      <w:r w:rsidR="00CC55C0">
        <w:rPr>
          <w:noProof/>
        </w:rPr>
        <w:t> </w:t>
      </w:r>
      <w:r w:rsidR="00CC55C0" w:rsidRPr="0071228C">
        <w:rPr>
          <w:noProof/>
        </w:rPr>
        <w:t>rok</w:t>
      </w:r>
      <w:r w:rsidRPr="0071228C">
        <w:rPr>
          <w:noProof/>
        </w:rPr>
        <w:t>u</w:t>
      </w:r>
      <w:r w:rsidR="00CC55C0" w:rsidRPr="0071228C">
        <w:rPr>
          <w:noProof/>
        </w:rPr>
        <w:t xml:space="preserve"> z</w:t>
      </w:r>
      <w:r w:rsidR="00CC55C0">
        <w:rPr>
          <w:noProof/>
        </w:rPr>
        <w:t> </w:t>
      </w:r>
      <w:r w:rsidR="00CC55C0" w:rsidRPr="0071228C">
        <w:rPr>
          <w:noProof/>
        </w:rPr>
        <w:t>wyj</w:t>
      </w:r>
      <w:r w:rsidRPr="0071228C">
        <w:rPr>
          <w:noProof/>
        </w:rPr>
        <w:t>ątkiem substancji wrażliwych na zmiany klimatyczne lub sezonowe,</w:t>
      </w:r>
      <w:r w:rsidR="00CC55C0" w:rsidRPr="0071228C">
        <w:rPr>
          <w:noProof/>
        </w:rPr>
        <w:t xml:space="preserve"> w</w:t>
      </w:r>
      <w:r w:rsidR="00CC55C0">
        <w:rPr>
          <w:noProof/>
        </w:rPr>
        <w:t> </w:t>
      </w:r>
      <w:r w:rsidR="00CC55C0" w:rsidRPr="0071228C">
        <w:rPr>
          <w:noProof/>
        </w:rPr>
        <w:t>prz</w:t>
      </w:r>
      <w:r w:rsidRPr="0071228C">
        <w:rPr>
          <w:noProof/>
        </w:rPr>
        <w:t>ypadku których monitorowanie prowadzi się częściej, jak określono</w:t>
      </w:r>
      <w:r w:rsidR="00CC55C0" w:rsidRPr="0071228C">
        <w:rPr>
          <w:noProof/>
        </w:rPr>
        <w:t xml:space="preserve"> w</w:t>
      </w:r>
      <w:r w:rsidR="00CC55C0">
        <w:rPr>
          <w:noProof/>
        </w:rPr>
        <w:t> </w:t>
      </w:r>
      <w:r w:rsidR="00CC55C0" w:rsidRPr="0071228C">
        <w:rPr>
          <w:noProof/>
        </w:rPr>
        <w:t>akc</w:t>
      </w:r>
      <w:r w:rsidRPr="0071228C">
        <w:rPr>
          <w:noProof/>
        </w:rPr>
        <w:t xml:space="preserve">ie wykonawczym ustanawiającym listę obserwacyjną, przyjętym zgodnie </w:t>
      </w:r>
      <w:r w:rsidRPr="00CC55C0">
        <w:rPr>
          <w:noProof/>
        </w:rPr>
        <w:t>ust.</w:t>
      </w:r>
      <w:r w:rsidR="00CC55C0" w:rsidRPr="00CC55C0">
        <w:rPr>
          <w:noProof/>
        </w:rPr>
        <w:t> </w:t>
      </w:r>
      <w:r w:rsidRPr="00CC55C0">
        <w:rPr>
          <w:noProof/>
        </w:rPr>
        <w:t>1</w:t>
      </w:r>
      <w:r w:rsidRPr="0071228C">
        <w:rPr>
          <w:noProof/>
        </w:rPr>
        <w:t>.</w:t>
      </w:r>
    </w:p>
    <w:p w14:paraId="16446717" w14:textId="4A97FB24" w:rsidR="00064ADB" w:rsidRPr="0071228C" w:rsidRDefault="00064ADB" w:rsidP="00064ADB">
      <w:pPr>
        <w:pStyle w:val="Text1"/>
        <w:rPr>
          <w:noProof/>
        </w:rPr>
      </w:pPr>
      <w:r w:rsidRPr="0071228C">
        <w:rPr>
          <w:noProof/>
        </w:rPr>
        <w:t>W przypadku gdy państwo członkowskie jest</w:t>
      </w:r>
      <w:r w:rsidR="00CC55C0" w:rsidRPr="0071228C">
        <w:rPr>
          <w:noProof/>
        </w:rPr>
        <w:t xml:space="preserve"> w</w:t>
      </w:r>
      <w:r w:rsidR="00CC55C0">
        <w:rPr>
          <w:noProof/>
        </w:rPr>
        <w:t> </w:t>
      </w:r>
      <w:r w:rsidR="00CC55C0" w:rsidRPr="0071228C">
        <w:rPr>
          <w:noProof/>
        </w:rPr>
        <w:t>sta</w:t>
      </w:r>
      <w:r w:rsidRPr="0071228C">
        <w:rPr>
          <w:noProof/>
        </w:rPr>
        <w:t>nie pozyskać</w:t>
      </w:r>
      <w:r w:rsidR="00CC55C0" w:rsidRPr="0071228C">
        <w:rPr>
          <w:noProof/>
        </w:rPr>
        <w:t xml:space="preserve"> i</w:t>
      </w:r>
      <w:r w:rsidR="00CC55C0">
        <w:rPr>
          <w:noProof/>
        </w:rPr>
        <w:t> </w:t>
      </w:r>
      <w:r w:rsidR="00CC55C0" w:rsidRPr="0071228C">
        <w:rPr>
          <w:noProof/>
        </w:rPr>
        <w:t>prz</w:t>
      </w:r>
      <w:r w:rsidRPr="0071228C">
        <w:rPr>
          <w:noProof/>
        </w:rPr>
        <w:t>edstawić Komisji wystarczające, porównywalne, reprezentatywne</w:t>
      </w:r>
      <w:r w:rsidR="00CC55C0" w:rsidRPr="0071228C">
        <w:rPr>
          <w:noProof/>
        </w:rPr>
        <w:t xml:space="preserve"> i</w:t>
      </w:r>
      <w:r w:rsidR="00CC55C0">
        <w:rPr>
          <w:noProof/>
        </w:rPr>
        <w:t> </w:t>
      </w:r>
      <w:r w:rsidR="00CC55C0" w:rsidRPr="0071228C">
        <w:rPr>
          <w:noProof/>
        </w:rPr>
        <w:t>akt</w:t>
      </w:r>
      <w:r w:rsidRPr="0071228C">
        <w:rPr>
          <w:noProof/>
        </w:rPr>
        <w:t>ualne dane dotyczące monitorowania danej substancji lub grupy substancji pochodzące</w:t>
      </w:r>
      <w:r w:rsidR="00CC55C0" w:rsidRPr="0071228C">
        <w:rPr>
          <w:noProof/>
        </w:rPr>
        <w:t xml:space="preserve"> z</w:t>
      </w:r>
      <w:r w:rsidR="00CC55C0">
        <w:rPr>
          <w:noProof/>
        </w:rPr>
        <w:t> </w:t>
      </w:r>
      <w:r w:rsidR="00CC55C0" w:rsidRPr="0071228C">
        <w:rPr>
          <w:noProof/>
        </w:rPr>
        <w:t>ist</w:t>
      </w:r>
      <w:r w:rsidRPr="0071228C">
        <w:rPr>
          <w:noProof/>
        </w:rPr>
        <w:t>niejących programów monitorowania lub badań, może podjąć decyzję, że nie będzie prowadzić dodatkowego monitorowania</w:t>
      </w:r>
      <w:r w:rsidR="00CC55C0" w:rsidRPr="0071228C">
        <w:rPr>
          <w:noProof/>
        </w:rPr>
        <w:t xml:space="preserve"> w</w:t>
      </w:r>
      <w:r w:rsidR="00CC55C0">
        <w:rPr>
          <w:noProof/>
        </w:rPr>
        <w:t> </w:t>
      </w:r>
      <w:r w:rsidR="00CC55C0" w:rsidRPr="0071228C">
        <w:rPr>
          <w:noProof/>
        </w:rPr>
        <w:t>ram</w:t>
      </w:r>
      <w:r w:rsidRPr="0071228C">
        <w:rPr>
          <w:noProof/>
        </w:rPr>
        <w:t>ach mechanizmu listy obserwacyjnej dla tej substancji lub grupy substancji pod warunkiem że ta substancja lub grupa substancji były monitorowane przy użyciu metod zgodnych</w:t>
      </w:r>
      <w:r w:rsidR="00CC55C0" w:rsidRPr="0071228C">
        <w:rPr>
          <w:noProof/>
        </w:rPr>
        <w:t xml:space="preserve"> z</w:t>
      </w:r>
      <w:r w:rsidR="00CC55C0">
        <w:rPr>
          <w:noProof/>
        </w:rPr>
        <w:t> </w:t>
      </w:r>
      <w:r w:rsidR="00CC55C0" w:rsidRPr="0071228C">
        <w:rPr>
          <w:noProof/>
        </w:rPr>
        <w:t>mat</w:t>
      </w:r>
      <w:r w:rsidRPr="0071228C">
        <w:rPr>
          <w:noProof/>
        </w:rPr>
        <w:t>rycami monitorowania</w:t>
      </w:r>
      <w:r w:rsidR="00CC55C0" w:rsidRPr="0071228C">
        <w:rPr>
          <w:noProof/>
        </w:rPr>
        <w:t xml:space="preserve"> i</w:t>
      </w:r>
      <w:r w:rsidR="00CC55C0">
        <w:rPr>
          <w:noProof/>
        </w:rPr>
        <w:t> </w:t>
      </w:r>
      <w:r w:rsidR="00CC55C0" w:rsidRPr="0071228C">
        <w:rPr>
          <w:noProof/>
        </w:rPr>
        <w:t>met</w:t>
      </w:r>
      <w:r w:rsidRPr="0071228C">
        <w:rPr>
          <w:noProof/>
        </w:rPr>
        <w:t>odami analizy,</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akc</w:t>
      </w:r>
      <w:r w:rsidRPr="0071228C">
        <w:rPr>
          <w:noProof/>
        </w:rPr>
        <w:t>ie wykonawczym ustanawiającym listę obserwacyjną, jak również</w:t>
      </w:r>
      <w:r w:rsidR="00CC55C0" w:rsidRPr="0071228C">
        <w:rPr>
          <w:noProof/>
        </w:rPr>
        <w:t xml:space="preserve"> z</w:t>
      </w:r>
      <w:r w:rsidR="00CC55C0">
        <w:rPr>
          <w:noProof/>
        </w:rPr>
        <w:t> </w:t>
      </w:r>
      <w:r w:rsidR="00CC55C0" w:rsidRPr="0071228C">
        <w:rPr>
          <w:noProof/>
        </w:rPr>
        <w:t>dyr</w:t>
      </w:r>
      <w:r w:rsidRPr="0071228C">
        <w:rPr>
          <w:noProof/>
        </w:rPr>
        <w:t xml:space="preserve">ektywą 2009/90/WE*. </w:t>
      </w:r>
    </w:p>
    <w:p w14:paraId="593389F0" w14:textId="0D0292A8" w:rsidR="00064ADB" w:rsidRPr="0071228C" w:rsidRDefault="00064ADB" w:rsidP="00064ADB">
      <w:pPr>
        <w:pStyle w:val="Text1"/>
        <w:rPr>
          <w:noProof/>
        </w:rPr>
      </w:pPr>
      <w:r w:rsidRPr="0071228C">
        <w:rPr>
          <w:noProof/>
        </w:rPr>
        <w:t>4. Państwa członkowskie udostępniają wyniki monitorowania,</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3</w:t>
      </w:r>
      <w:r w:rsidRPr="0071228C">
        <w:rPr>
          <w:noProof/>
        </w:rPr>
        <w:t xml:space="preserve"> niniejszego artykułu,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xml:space="preserve"> </w:t>
      </w:r>
      <w:r w:rsidRPr="00CC55C0">
        <w:rPr>
          <w:noProof/>
        </w:rPr>
        <w:t>ust.</w:t>
      </w:r>
      <w:r w:rsidR="00CC55C0" w:rsidRPr="00CC55C0">
        <w:rPr>
          <w:noProof/>
        </w:rPr>
        <w:t> </w:t>
      </w:r>
      <w:r w:rsidRPr="00CC55C0">
        <w:rPr>
          <w:noProof/>
        </w:rPr>
        <w:t>4</w:t>
      </w:r>
      <w:r w:rsidRPr="0071228C">
        <w:rPr>
          <w:noProof/>
        </w:rPr>
        <w:t xml:space="preserve"> dyrektywy 2000/60/WE oraz</w:t>
      </w:r>
      <w:r w:rsidR="00CC55C0" w:rsidRPr="0071228C">
        <w:rPr>
          <w:noProof/>
        </w:rPr>
        <w:t xml:space="preserve"> z</w:t>
      </w:r>
      <w:r w:rsidR="00CC55C0">
        <w:rPr>
          <w:noProof/>
        </w:rPr>
        <w:t> </w:t>
      </w:r>
      <w:r w:rsidR="00CC55C0" w:rsidRPr="0071228C">
        <w:rPr>
          <w:noProof/>
        </w:rPr>
        <w:t>akt</w:t>
      </w:r>
      <w:r w:rsidRPr="0071228C">
        <w:rPr>
          <w:noProof/>
        </w:rPr>
        <w:t>em wykonawczym ustanawiającym listę obserwacyjną przyjętym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xml:space="preserve">. Udostępniają również informacje na temat reprezentatywności stacji monitorowania oraz strategii monitorowania. </w:t>
      </w:r>
    </w:p>
    <w:p w14:paraId="293F98F3" w14:textId="3F9D63AA" w:rsidR="00064ADB" w:rsidRPr="0071228C" w:rsidRDefault="00064ADB" w:rsidP="00064ADB">
      <w:pPr>
        <w:pStyle w:val="Text1"/>
        <w:rPr>
          <w:noProof/>
        </w:rPr>
      </w:pPr>
      <w:r w:rsidRPr="0071228C">
        <w:rPr>
          <w:noProof/>
        </w:rPr>
        <w:t>5. ECHA dokonuje przeglądu wyników monitorowania na koniec 24-miesięcznego okresu,</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ust</w:t>
      </w:r>
      <w:r w:rsidRPr="00CC55C0">
        <w:rPr>
          <w:noProof/>
        </w:rPr>
        <w:t>.</w:t>
      </w:r>
      <w:r w:rsidR="00CC55C0" w:rsidRPr="00CC55C0">
        <w:rPr>
          <w:noProof/>
        </w:rPr>
        <w:t> </w:t>
      </w:r>
      <w:r w:rsidRPr="00CC55C0">
        <w:rPr>
          <w:noProof/>
        </w:rPr>
        <w:t>3</w:t>
      </w:r>
      <w:r w:rsidRPr="0071228C">
        <w:rPr>
          <w:noProof/>
        </w:rPr>
        <w:t>,</w:t>
      </w:r>
      <w:r w:rsidR="00CC55C0" w:rsidRPr="0071228C">
        <w:rPr>
          <w:noProof/>
        </w:rPr>
        <w:t xml:space="preserve"> i</w:t>
      </w:r>
      <w:r w:rsidR="00CC55C0">
        <w:rPr>
          <w:noProof/>
        </w:rPr>
        <w:t> </w:t>
      </w:r>
      <w:r w:rsidR="00CC55C0" w:rsidRPr="0071228C">
        <w:rPr>
          <w:noProof/>
        </w:rPr>
        <w:t>oce</w:t>
      </w:r>
      <w:r w:rsidRPr="0071228C">
        <w:rPr>
          <w:noProof/>
        </w:rPr>
        <w:t>nia, które substancje lub grupy substancji należy monitorować przez kolejne 24 miesiące</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utrzymać na liście obserwacyjnej,</w:t>
      </w:r>
      <w:r w:rsidR="00CC55C0" w:rsidRPr="0071228C">
        <w:rPr>
          <w:noProof/>
        </w:rPr>
        <w:t xml:space="preserve"> a</w:t>
      </w:r>
      <w:r w:rsidR="00CC55C0">
        <w:rPr>
          <w:noProof/>
        </w:rPr>
        <w:t> </w:t>
      </w:r>
      <w:r w:rsidR="00CC55C0" w:rsidRPr="0071228C">
        <w:rPr>
          <w:noProof/>
        </w:rPr>
        <w:t>któ</w:t>
      </w:r>
      <w:r w:rsidRPr="0071228C">
        <w:rPr>
          <w:noProof/>
        </w:rPr>
        <w:t>re substancje lub grupy substancji można usunąć</w:t>
      </w:r>
      <w:r w:rsidR="00CC55C0" w:rsidRPr="0071228C">
        <w:rPr>
          <w:noProof/>
        </w:rPr>
        <w:t xml:space="preserve"> z</w:t>
      </w:r>
      <w:r w:rsidR="00CC55C0">
        <w:rPr>
          <w:noProof/>
        </w:rPr>
        <w:t> </w:t>
      </w:r>
      <w:r w:rsidR="00CC55C0" w:rsidRPr="0071228C">
        <w:rPr>
          <w:noProof/>
        </w:rPr>
        <w:t>lis</w:t>
      </w:r>
      <w:r w:rsidRPr="0071228C">
        <w:rPr>
          <w:noProof/>
        </w:rPr>
        <w:t xml:space="preserve">ty obserwacyjnej. </w:t>
      </w:r>
    </w:p>
    <w:p w14:paraId="07DB772D" w14:textId="186B647F" w:rsidR="00064ADB" w:rsidRPr="00CC55C0" w:rsidRDefault="00064ADB" w:rsidP="00064ADB">
      <w:pPr>
        <w:pStyle w:val="Text1"/>
        <w:rPr>
          <w:noProof/>
        </w:rPr>
      </w:pPr>
      <w:r w:rsidRPr="0071228C">
        <w:rPr>
          <w:noProof/>
        </w:rPr>
        <w:t>W przypadku gdy Komisja stwierdzi, uwzględniając ocenę ECHA,</w:t>
      </w:r>
      <w:r w:rsidR="00CC55C0" w:rsidRPr="0071228C">
        <w:rPr>
          <w:noProof/>
        </w:rPr>
        <w:t xml:space="preserve"> o</w:t>
      </w:r>
      <w:r w:rsidR="00CC55C0">
        <w:rPr>
          <w:noProof/>
        </w:rPr>
        <w:t> </w:t>
      </w:r>
      <w:r w:rsidR="00CC55C0" w:rsidRPr="0071228C">
        <w:rPr>
          <w:noProof/>
        </w:rPr>
        <w:t>któ</w:t>
      </w:r>
      <w:r w:rsidRPr="0071228C">
        <w:rPr>
          <w:noProof/>
        </w:rPr>
        <w:t>rej mowa</w:t>
      </w:r>
      <w:r w:rsidR="00CC55C0" w:rsidRPr="0071228C">
        <w:rPr>
          <w:noProof/>
        </w:rPr>
        <w:t xml:space="preserve"> w</w:t>
      </w:r>
      <w:r w:rsidR="00CC55C0">
        <w:rPr>
          <w:noProof/>
        </w:rPr>
        <w:t> </w:t>
      </w:r>
      <w:r w:rsidR="00CC55C0" w:rsidRPr="0071228C">
        <w:rPr>
          <w:noProof/>
        </w:rPr>
        <w:t>aka</w:t>
      </w:r>
      <w:r w:rsidRPr="0071228C">
        <w:rPr>
          <w:noProof/>
        </w:rPr>
        <w:t>picie pierwszym, że do celów dalszej oceny ryzyka dla środowiska wodnego nie jest wymagane dalsze monitorowanie, ocena ta zostanie wzięta pod uwagę podczas przeglądu załącznika I lub II,</w:t>
      </w:r>
      <w:r w:rsidR="00CC55C0" w:rsidRPr="0071228C">
        <w:rPr>
          <w:noProof/>
        </w:rPr>
        <w:t xml:space="preserve"> o</w:t>
      </w:r>
      <w:r w:rsidR="00CC55C0">
        <w:rPr>
          <w:noProof/>
        </w:rPr>
        <w:t> </w:t>
      </w:r>
      <w:r w:rsidR="00CC55C0" w:rsidRPr="0071228C">
        <w:rPr>
          <w:noProof/>
        </w:rPr>
        <w:t>któ</w:t>
      </w:r>
      <w:r w:rsidRPr="0071228C">
        <w:rPr>
          <w:noProof/>
        </w:rPr>
        <w:t>rym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w:t>
      </w:r>
      <w:r w:rsidRPr="00CC55C0">
        <w:rPr>
          <w:noProof/>
        </w:rPr>
        <w:t>;</w:t>
      </w:r>
      <w:r w:rsidR="00CC55C0" w:rsidRPr="00CC55C0">
        <w:rPr>
          <w:noProof/>
        </w:rPr>
        <w:t xml:space="preserve"> </w:t>
      </w:r>
    </w:p>
    <w:p w14:paraId="0977A51C" w14:textId="77777777" w:rsidR="00946547" w:rsidRPr="0071228C" w:rsidRDefault="00946547" w:rsidP="00946547">
      <w:pPr>
        <w:ind w:left="1417"/>
        <w:rPr>
          <w:noProof/>
          <w:u w:val="single"/>
        </w:rPr>
      </w:pPr>
      <w:r w:rsidRPr="0071228C">
        <w:rPr>
          <w:i/>
          <w:noProof/>
        </w:rPr>
        <w:t xml:space="preserve"> </w:t>
      </w:r>
      <w:r w:rsidRPr="0071228C">
        <w:rPr>
          <w:noProof/>
        </w:rPr>
        <w:tab/>
      </w:r>
      <w:r w:rsidRPr="0071228C">
        <w:rPr>
          <w:noProof/>
        </w:rPr>
        <w:tab/>
      </w:r>
      <w:r w:rsidRPr="0071228C">
        <w:rPr>
          <w:noProof/>
        </w:rPr>
        <w:tab/>
      </w:r>
      <w:r w:rsidRPr="0071228C">
        <w:rPr>
          <w:noProof/>
        </w:rPr>
        <w:tab/>
      </w:r>
      <w:r w:rsidRPr="0071228C">
        <w:rPr>
          <w:noProof/>
        </w:rPr>
        <w:tab/>
      </w:r>
    </w:p>
    <w:p w14:paraId="4E05D9A5" w14:textId="58084599" w:rsidR="00064ADB" w:rsidRPr="0071228C" w:rsidRDefault="00064ADB" w:rsidP="00064ADB">
      <w:pPr>
        <w:pStyle w:val="Text1"/>
        <w:rPr>
          <w:rFonts w:eastAsia="Calibri"/>
          <w:noProof/>
        </w:rPr>
      </w:pPr>
      <w:r w:rsidRPr="0071228C">
        <w:rPr>
          <w:noProof/>
        </w:rPr>
        <w:t>* Dyrektywa Komisji 2009/90/WE</w:t>
      </w:r>
      <w:r w:rsidR="00CC55C0" w:rsidRPr="0071228C">
        <w:rPr>
          <w:noProof/>
        </w:rPr>
        <w:t xml:space="preserve"> z</w:t>
      </w:r>
      <w:r w:rsidR="00CC55C0">
        <w:rPr>
          <w:noProof/>
        </w:rPr>
        <w:t> </w:t>
      </w:r>
      <w:r w:rsidR="00CC55C0" w:rsidRPr="0071228C">
        <w:rPr>
          <w:noProof/>
        </w:rPr>
        <w:t>dni</w:t>
      </w:r>
      <w:r w:rsidRPr="0071228C">
        <w:rPr>
          <w:noProof/>
        </w:rPr>
        <w:t>a 31 lipca 2009 r. ustanawiająca, na mocy dyrektywy 2000/60/WE Parlamentu Europejskiego</w:t>
      </w:r>
      <w:r w:rsidR="00CC55C0" w:rsidRPr="0071228C">
        <w:rPr>
          <w:noProof/>
        </w:rPr>
        <w:t xml:space="preserve"> i</w:t>
      </w:r>
      <w:r w:rsidR="00CC55C0">
        <w:rPr>
          <w:noProof/>
        </w:rPr>
        <w:t> </w:t>
      </w:r>
      <w:r w:rsidR="00CC55C0" w:rsidRPr="0071228C">
        <w:rPr>
          <w:noProof/>
        </w:rPr>
        <w:t>Rad</w:t>
      </w:r>
      <w:r w:rsidRPr="0071228C">
        <w:rPr>
          <w:noProof/>
        </w:rPr>
        <w:t>y, specyfikacje techniczne</w:t>
      </w:r>
      <w:r w:rsidR="00CC55C0" w:rsidRPr="0071228C">
        <w:rPr>
          <w:noProof/>
        </w:rPr>
        <w:t xml:space="preserve"> w</w:t>
      </w:r>
      <w:r w:rsidR="00CC55C0">
        <w:rPr>
          <w:noProof/>
        </w:rPr>
        <w:t> </w:t>
      </w:r>
      <w:r w:rsidR="00CC55C0" w:rsidRPr="0071228C">
        <w:rPr>
          <w:noProof/>
        </w:rPr>
        <w:t>zak</w:t>
      </w:r>
      <w:r w:rsidRPr="0071228C">
        <w:rPr>
          <w:noProof/>
        </w:rPr>
        <w:t>resie analizy</w:t>
      </w:r>
      <w:r w:rsidR="00CC55C0" w:rsidRPr="0071228C">
        <w:rPr>
          <w:noProof/>
        </w:rPr>
        <w:t xml:space="preserve"> i</w:t>
      </w:r>
      <w:r w:rsidR="00CC55C0">
        <w:rPr>
          <w:noProof/>
        </w:rPr>
        <w:t> </w:t>
      </w:r>
      <w:r w:rsidR="00CC55C0" w:rsidRPr="0071228C">
        <w:rPr>
          <w:noProof/>
        </w:rPr>
        <w:t>mon</w:t>
      </w:r>
      <w:r w:rsidRPr="0071228C">
        <w:rPr>
          <w:noProof/>
        </w:rPr>
        <w:t>itorowania stanu chemicznego wód (Dz.U. L 201</w:t>
      </w:r>
      <w:r w:rsidR="00CC55C0" w:rsidRPr="0071228C">
        <w:rPr>
          <w:noProof/>
        </w:rPr>
        <w:t xml:space="preserve"> z</w:t>
      </w:r>
      <w:r w:rsidR="00CC55C0">
        <w:rPr>
          <w:noProof/>
        </w:rPr>
        <w:t> </w:t>
      </w:r>
      <w:r w:rsidR="00CC55C0" w:rsidRPr="0071228C">
        <w:rPr>
          <w:noProof/>
        </w:rPr>
        <w:t>1</w:t>
      </w:r>
      <w:r w:rsidRPr="0071228C">
        <w:rPr>
          <w:noProof/>
        </w:rPr>
        <w:t xml:space="preserve">.8.2009, s. 36).”; </w:t>
      </w:r>
    </w:p>
    <w:p w14:paraId="517B6ACE" w14:textId="4CAB710B" w:rsidR="00064ADB" w:rsidRPr="0071228C" w:rsidRDefault="00CC55C0" w:rsidP="00CC55C0">
      <w:pPr>
        <w:pStyle w:val="Point0"/>
        <w:rPr>
          <w:noProof/>
        </w:rPr>
      </w:pPr>
      <w:r>
        <w:rPr>
          <w:noProof/>
        </w:rPr>
        <w:t>8)</w:t>
      </w:r>
      <w:r>
        <w:rPr>
          <w:noProof/>
        </w:rPr>
        <w:tab/>
      </w:r>
      <w:r w:rsidR="00064ADB" w:rsidRPr="0071228C">
        <w:rPr>
          <w:noProof/>
        </w:rPr>
        <w:t>dodaje się art. 8d</w:t>
      </w:r>
      <w:r w:rsidRPr="0071228C">
        <w:rPr>
          <w:noProof/>
        </w:rPr>
        <w:t xml:space="preserve"> w</w:t>
      </w:r>
      <w:r>
        <w:rPr>
          <w:noProof/>
        </w:rPr>
        <w:t> </w:t>
      </w:r>
      <w:r w:rsidRPr="0071228C">
        <w:rPr>
          <w:noProof/>
        </w:rPr>
        <w:t>brz</w:t>
      </w:r>
      <w:r w:rsidR="00064ADB" w:rsidRPr="0071228C">
        <w:rPr>
          <w:noProof/>
        </w:rPr>
        <w:t xml:space="preserve">mieniu: </w:t>
      </w:r>
    </w:p>
    <w:p w14:paraId="06BD2ED7" w14:textId="77777777" w:rsidR="00064ADB" w:rsidRPr="0071228C" w:rsidRDefault="00064ADB" w:rsidP="00064ADB">
      <w:pPr>
        <w:pStyle w:val="NormalCentered"/>
        <w:rPr>
          <w:noProof/>
        </w:rPr>
      </w:pPr>
      <w:r w:rsidRPr="0071228C">
        <w:rPr>
          <w:noProof/>
        </w:rPr>
        <w:t>„Artykuł 8d</w:t>
      </w:r>
    </w:p>
    <w:p w14:paraId="22BAA4F5" w14:textId="77777777" w:rsidR="00064ADB" w:rsidRPr="0071228C" w:rsidRDefault="00064ADB" w:rsidP="00064ADB">
      <w:pPr>
        <w:pStyle w:val="NormalCentered"/>
        <w:rPr>
          <w:noProof/>
        </w:rPr>
      </w:pPr>
      <w:r w:rsidRPr="0071228C">
        <w:rPr>
          <w:noProof/>
        </w:rPr>
        <w:t>Substancje zanieczyszczające specyficzne dla dorzeczy</w:t>
      </w:r>
    </w:p>
    <w:p w14:paraId="6D56FCFB" w14:textId="2D2B5E61" w:rsidR="00064ADB" w:rsidRPr="0071228C" w:rsidRDefault="00064ADB" w:rsidP="00064ADB">
      <w:pPr>
        <w:pStyle w:val="Text1"/>
        <w:rPr>
          <w:noProof/>
        </w:rPr>
      </w:pPr>
      <w:r w:rsidRPr="0071228C">
        <w:rPr>
          <w:noProof/>
        </w:rPr>
        <w:t>„1. Państwa członkowskie określają</w:t>
      </w:r>
      <w:r w:rsidR="00CC55C0" w:rsidRPr="0071228C">
        <w:rPr>
          <w:noProof/>
        </w:rPr>
        <w:t xml:space="preserve"> i</w:t>
      </w:r>
      <w:r w:rsidR="00CC55C0">
        <w:rPr>
          <w:noProof/>
        </w:rPr>
        <w:t> </w:t>
      </w:r>
      <w:r w:rsidR="00CC55C0" w:rsidRPr="0071228C">
        <w:rPr>
          <w:noProof/>
        </w:rPr>
        <w:t>sto</w:t>
      </w:r>
      <w:r w:rsidRPr="0071228C">
        <w:rPr>
          <w:noProof/>
        </w:rPr>
        <w:t>sują środowiskowe normy jakości dla substancji zanieczyszczających specyficznych dla dorzeczy, wchodzących</w:t>
      </w:r>
      <w:r w:rsidR="00CC55C0" w:rsidRPr="0071228C">
        <w:rPr>
          <w:noProof/>
        </w:rPr>
        <w:t xml:space="preserve"> w</w:t>
      </w:r>
      <w:r w:rsidR="00CC55C0">
        <w:rPr>
          <w:noProof/>
        </w:rPr>
        <w:t> </w:t>
      </w:r>
      <w:r w:rsidR="00CC55C0" w:rsidRPr="0071228C">
        <w:rPr>
          <w:noProof/>
        </w:rPr>
        <w:t>zak</w:t>
      </w:r>
      <w:r w:rsidRPr="0071228C">
        <w:rPr>
          <w:noProof/>
        </w:rPr>
        <w:t>res kategorii wymienionymi</w:t>
      </w:r>
      <w:r w:rsidR="00CC55C0" w:rsidRPr="0071228C">
        <w:rPr>
          <w:noProof/>
        </w:rPr>
        <w:t xml:space="preserve"> w</w:t>
      </w:r>
      <w:r w:rsidR="00CC55C0">
        <w:rPr>
          <w:noProof/>
        </w:rPr>
        <w:t> </w:t>
      </w:r>
      <w:r w:rsidR="00CC55C0" w:rsidRPr="0071228C">
        <w:rPr>
          <w:noProof/>
        </w:rPr>
        <w:t>czę</w:t>
      </w:r>
      <w:r w:rsidRPr="0071228C">
        <w:rPr>
          <w:noProof/>
        </w:rPr>
        <w:t>ści A załącznika II do niniejszej dyrektywy, jeżeli substancje te stanowią zagrożenie dla jednolitych części wód co najmniej na jednym obszarze dorzecza, na podstawie analiz</w:t>
      </w:r>
      <w:r w:rsidR="00CC55C0" w:rsidRPr="0071228C">
        <w:rPr>
          <w:noProof/>
        </w:rPr>
        <w:t xml:space="preserve"> i</w:t>
      </w:r>
      <w:r w:rsidR="00CC55C0">
        <w:rPr>
          <w:noProof/>
        </w:rPr>
        <w:t> </w:t>
      </w:r>
      <w:r w:rsidR="00CC55C0" w:rsidRPr="0071228C">
        <w:rPr>
          <w:noProof/>
        </w:rPr>
        <w:t>prz</w:t>
      </w:r>
      <w:r w:rsidRPr="0071228C">
        <w:rPr>
          <w:noProof/>
        </w:rPr>
        <w:t>eglądów,</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5</w:t>
      </w:r>
      <w:r w:rsidRPr="0071228C">
        <w:rPr>
          <w:noProof/>
        </w:rPr>
        <w:t xml:space="preserve"> dyrektywy 2000/60/UE, zgodnie</w:t>
      </w:r>
      <w:r w:rsidR="00CC55C0" w:rsidRPr="0071228C">
        <w:rPr>
          <w:noProof/>
        </w:rPr>
        <w:t xml:space="preserve"> z</w:t>
      </w:r>
      <w:r w:rsidR="00CC55C0">
        <w:rPr>
          <w:noProof/>
        </w:rPr>
        <w:t> </w:t>
      </w:r>
      <w:r w:rsidR="00CC55C0" w:rsidRPr="0071228C">
        <w:rPr>
          <w:noProof/>
        </w:rPr>
        <w:t>pro</w:t>
      </w:r>
      <w:r w:rsidRPr="0071228C">
        <w:rPr>
          <w:noProof/>
        </w:rPr>
        <w:t>cedurą określoną</w:t>
      </w:r>
      <w:r w:rsidR="00CC55C0" w:rsidRPr="0071228C">
        <w:rPr>
          <w:noProof/>
        </w:rPr>
        <w:t xml:space="preserve"> w</w:t>
      </w:r>
      <w:r w:rsidR="00CC55C0">
        <w:rPr>
          <w:noProof/>
        </w:rPr>
        <w:t> </w:t>
      </w:r>
      <w:r w:rsidR="00CC55C0" w:rsidRPr="0071228C">
        <w:rPr>
          <w:noProof/>
        </w:rPr>
        <w:t>czę</w:t>
      </w:r>
      <w:r w:rsidRPr="0071228C">
        <w:rPr>
          <w:noProof/>
        </w:rPr>
        <w:t xml:space="preserve">ści B załącznika II do niniejszej dyrektywy. </w:t>
      </w:r>
    </w:p>
    <w:p w14:paraId="3D3408F1" w14:textId="29431348" w:rsidR="00064ADB" w:rsidRPr="0071228C" w:rsidRDefault="00064ADB" w:rsidP="00064ADB">
      <w:pPr>
        <w:pStyle w:val="Text1"/>
        <w:rPr>
          <w:noProof/>
        </w:rPr>
      </w:pPr>
      <w:r w:rsidRPr="0071228C">
        <w:rPr>
          <w:noProof/>
        </w:rPr>
        <w:t xml:space="preserve">Państwa członkowskie do [Urząd Publikacji: proszę wstawić datę = pierwszy dzień miesiąca następującego </w:t>
      </w:r>
      <w:r w:rsidRPr="00CC55C0">
        <w:rPr>
          <w:noProof/>
        </w:rPr>
        <w:t>po</w:t>
      </w:r>
      <w:r w:rsidR="00CC55C0" w:rsidRPr="00CC55C0">
        <w:rPr>
          <w:noProof/>
        </w:rPr>
        <w:t> </w:t>
      </w:r>
      <w:r w:rsidRPr="00CC55C0">
        <w:rPr>
          <w:noProof/>
        </w:rPr>
        <w:t>1</w:t>
      </w:r>
      <w:r w:rsidRPr="0071228C">
        <w:rPr>
          <w:noProof/>
        </w:rPr>
        <w:t>8 miesiącach od daty wejścia</w:t>
      </w:r>
      <w:r w:rsidR="00CC55C0" w:rsidRPr="0071228C">
        <w:rPr>
          <w:noProof/>
        </w:rPr>
        <w:t xml:space="preserve"> w</w:t>
      </w:r>
      <w:r w:rsidR="00CC55C0">
        <w:rPr>
          <w:noProof/>
        </w:rPr>
        <w:t> </w:t>
      </w:r>
      <w:r w:rsidR="00CC55C0" w:rsidRPr="0071228C">
        <w:rPr>
          <w:noProof/>
        </w:rPr>
        <w:t>życ</w:t>
      </w:r>
      <w:r w:rsidRPr="0071228C">
        <w:rPr>
          <w:noProof/>
        </w:rPr>
        <w:t>ie niniejszej dyrektywy] informują ECHA</w:t>
      </w:r>
      <w:r w:rsidR="00CC55C0" w:rsidRPr="0071228C">
        <w:rPr>
          <w:noProof/>
        </w:rPr>
        <w:t xml:space="preserve"> o</w:t>
      </w:r>
      <w:r w:rsidR="00CC55C0">
        <w:rPr>
          <w:noProof/>
        </w:rPr>
        <w:t> </w:t>
      </w:r>
      <w:r w:rsidR="00CC55C0" w:rsidRPr="0071228C">
        <w:rPr>
          <w:noProof/>
        </w:rPr>
        <w:t>śro</w:t>
      </w:r>
      <w:r w:rsidRPr="0071228C">
        <w:rPr>
          <w:noProof/>
        </w:rPr>
        <w:t>dowiskowych normach jakości,</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71228C">
        <w:rPr>
          <w:noProof/>
        </w:rPr>
        <w:t>aka</w:t>
      </w:r>
      <w:r w:rsidRPr="0071228C">
        <w:rPr>
          <w:noProof/>
        </w:rPr>
        <w:t xml:space="preserve">picie pierwszym. ECHA podaje te informacje do wiadomości publicznej. </w:t>
      </w:r>
    </w:p>
    <w:p w14:paraId="1047E4CA" w14:textId="6047AFE3" w:rsidR="00064ADB" w:rsidRPr="0071228C" w:rsidRDefault="00064ADB" w:rsidP="00064ADB">
      <w:pPr>
        <w:pStyle w:val="Text1"/>
        <w:rPr>
          <w:noProof/>
        </w:rPr>
      </w:pPr>
      <w:r w:rsidRPr="0071228C">
        <w:rPr>
          <w:noProof/>
        </w:rPr>
        <w:t>2</w:t>
      </w:r>
      <w:r w:rsidR="00CC55C0" w:rsidRPr="0071228C">
        <w:rPr>
          <w:noProof/>
        </w:rPr>
        <w:t>. W</w:t>
      </w:r>
      <w:r w:rsidR="00CC55C0">
        <w:rPr>
          <w:noProof/>
        </w:rPr>
        <w:t> </w:t>
      </w:r>
      <w:r w:rsidR="00CC55C0" w:rsidRPr="0071228C">
        <w:rPr>
          <w:noProof/>
        </w:rPr>
        <w:t>prz</w:t>
      </w:r>
      <w:r w:rsidRPr="0071228C">
        <w:rPr>
          <w:noProof/>
        </w:rPr>
        <w:t>ypadku gdy środowiskowe normy jakości dla substancji zanieczyszczających specyficznych dla dorzeczy zostały ustalone na poziomie Unii</w:t>
      </w:r>
      <w:r w:rsidR="00CC55C0" w:rsidRPr="0071228C">
        <w:rPr>
          <w:noProof/>
        </w:rPr>
        <w:t xml:space="preserve"> i</w:t>
      </w:r>
      <w:r w:rsidR="00CC55C0">
        <w:rPr>
          <w:noProof/>
        </w:rPr>
        <w:t> </w:t>
      </w:r>
      <w:r w:rsidR="00CC55C0" w:rsidRPr="0071228C">
        <w:rPr>
          <w:noProof/>
        </w:rPr>
        <w:t>wym</w:t>
      </w:r>
      <w:r w:rsidRPr="0071228C">
        <w:rPr>
          <w:noProof/>
        </w:rPr>
        <w:t>ienione</w:t>
      </w:r>
      <w:r w:rsidR="00CC55C0" w:rsidRPr="0071228C">
        <w:rPr>
          <w:noProof/>
        </w:rPr>
        <w:t xml:space="preserve"> w</w:t>
      </w:r>
      <w:r w:rsidR="00CC55C0">
        <w:rPr>
          <w:noProof/>
        </w:rPr>
        <w:t> </w:t>
      </w:r>
      <w:r w:rsidR="00CC55C0" w:rsidRPr="0071228C">
        <w:rPr>
          <w:noProof/>
        </w:rPr>
        <w:t>zał</w:t>
      </w:r>
      <w:r w:rsidRPr="0071228C">
        <w:rPr>
          <w:noProof/>
        </w:rPr>
        <w:t>ączniku II część C,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8</w:t>
      </w:r>
      <w:r w:rsidRPr="0071228C">
        <w:rPr>
          <w:noProof/>
        </w:rPr>
        <w:t>, te środowiskowe normy jakości mają pierwszeństwo przed środowiskowymi normami jakości dla substancji zanieczyszczających specyficznych dla dorzeczy ustalonymi na poziomie krajowym zgodnie</w:t>
      </w:r>
      <w:r w:rsidR="00CC55C0" w:rsidRPr="0071228C">
        <w:rPr>
          <w:noProof/>
        </w:rPr>
        <w:t xml:space="preserve"> z</w:t>
      </w:r>
      <w:r w:rsidR="00CC55C0">
        <w:rPr>
          <w:noProof/>
        </w:rPr>
        <w:t> </w:t>
      </w:r>
      <w:r w:rsidR="00CC55C0" w:rsidRPr="00CC55C0">
        <w:rPr>
          <w:noProof/>
        </w:rPr>
        <w:t>ust</w:t>
      </w:r>
      <w:r w:rsidRPr="00CC55C0">
        <w:rPr>
          <w:noProof/>
        </w:rPr>
        <w:t>.</w:t>
      </w:r>
      <w:r w:rsidR="00CC55C0" w:rsidRPr="00CC55C0">
        <w:rPr>
          <w:noProof/>
        </w:rPr>
        <w:t> </w:t>
      </w:r>
      <w:r w:rsidRPr="00CC55C0">
        <w:rPr>
          <w:noProof/>
        </w:rPr>
        <w:t>1</w:t>
      </w:r>
      <w:r w:rsidRPr="0071228C">
        <w:rPr>
          <w:noProof/>
        </w:rPr>
        <w:t>. Te środowiskowe normy jakości ustalone na poziomie Unii są również stosowane przez państwa członkowskie</w:t>
      </w:r>
      <w:r w:rsidR="00CC55C0" w:rsidRPr="0071228C">
        <w:rPr>
          <w:noProof/>
        </w:rPr>
        <w:t xml:space="preserve"> w</w:t>
      </w:r>
      <w:r w:rsidR="00CC55C0">
        <w:rPr>
          <w:noProof/>
        </w:rPr>
        <w:t> </w:t>
      </w:r>
      <w:r w:rsidR="00CC55C0" w:rsidRPr="0071228C">
        <w:rPr>
          <w:noProof/>
        </w:rPr>
        <w:t>cel</w:t>
      </w:r>
      <w:r w:rsidRPr="0071228C">
        <w:rPr>
          <w:noProof/>
        </w:rPr>
        <w:t>u ustalenia, czy substancje zanieczyszczające specyficzne dla dorzeczy wymienione</w:t>
      </w:r>
      <w:r w:rsidR="00CC55C0" w:rsidRPr="0071228C">
        <w:rPr>
          <w:noProof/>
        </w:rPr>
        <w:t xml:space="preserve"> w</w:t>
      </w:r>
      <w:r w:rsidR="00CC55C0">
        <w:rPr>
          <w:noProof/>
        </w:rPr>
        <w:t> </w:t>
      </w:r>
      <w:r w:rsidR="00CC55C0" w:rsidRPr="0071228C">
        <w:rPr>
          <w:noProof/>
        </w:rPr>
        <w:t>zał</w:t>
      </w:r>
      <w:r w:rsidRPr="0071228C">
        <w:rPr>
          <w:noProof/>
        </w:rPr>
        <w:t xml:space="preserve">ączniku II część C stanowią zagrożenie. </w:t>
      </w:r>
    </w:p>
    <w:p w14:paraId="3120C7B1" w14:textId="11063D40" w:rsidR="00064ADB" w:rsidRPr="00CC55C0" w:rsidRDefault="00064ADB" w:rsidP="00064ADB">
      <w:pPr>
        <w:pStyle w:val="Text1"/>
        <w:rPr>
          <w:i/>
          <w:noProof/>
        </w:rPr>
      </w:pPr>
      <w:r w:rsidRPr="0071228C">
        <w:rPr>
          <w:noProof/>
        </w:rPr>
        <w:t>3. Wymaga się przestrzegania</w:t>
      </w:r>
      <w:r w:rsidR="00CC55C0" w:rsidRPr="0071228C">
        <w:rPr>
          <w:noProof/>
        </w:rPr>
        <w:t xml:space="preserve"> w</w:t>
      </w:r>
      <w:r w:rsidR="00CC55C0">
        <w:rPr>
          <w:noProof/>
        </w:rPr>
        <w:t> </w:t>
      </w:r>
      <w:r w:rsidR="00CC55C0" w:rsidRPr="0071228C">
        <w:rPr>
          <w:noProof/>
        </w:rPr>
        <w:t>sto</w:t>
      </w:r>
      <w:r w:rsidRPr="0071228C">
        <w:rPr>
          <w:noProof/>
        </w:rPr>
        <w:t>sownych przypadkach obowiązujących krajowych środowiskowych norm jakości lub środowiskowych norm jakości określonych na poziomie Unii, aby jednolita część wód była</w:t>
      </w:r>
      <w:r w:rsidR="00CC55C0" w:rsidRPr="0071228C">
        <w:rPr>
          <w:noProof/>
        </w:rPr>
        <w:t xml:space="preserve"> w</w:t>
      </w:r>
      <w:r w:rsidR="00CC55C0">
        <w:rPr>
          <w:noProof/>
        </w:rPr>
        <w:t> </w:t>
      </w:r>
      <w:r w:rsidR="00CC55C0" w:rsidRPr="0071228C">
        <w:rPr>
          <w:noProof/>
        </w:rPr>
        <w:t>dob</w:t>
      </w:r>
      <w:r w:rsidRPr="0071228C">
        <w:rPr>
          <w:noProof/>
        </w:rPr>
        <w:t>rym stanie chemicznym, zgodnie</w:t>
      </w:r>
      <w:r w:rsidR="00CC55C0" w:rsidRPr="0071228C">
        <w:rPr>
          <w:noProof/>
        </w:rPr>
        <w:t xml:space="preserve"> z</w:t>
      </w:r>
      <w:r w:rsidR="00CC55C0">
        <w:rPr>
          <w:noProof/>
        </w:rPr>
        <w:t> </w:t>
      </w:r>
      <w:r w:rsidR="00CC55C0" w:rsidRPr="0071228C">
        <w:rPr>
          <w:noProof/>
        </w:rPr>
        <w:t>def</w:t>
      </w:r>
      <w:r w:rsidRPr="0071228C">
        <w:rPr>
          <w:noProof/>
        </w:rPr>
        <w:t>inicją zawartą</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 xml:space="preserve"> </w:t>
      </w:r>
      <w:r w:rsidRPr="00CC55C0">
        <w:rPr>
          <w:noProof/>
        </w:rPr>
        <w:t>pkt</w:t>
      </w:r>
      <w:r w:rsidR="00CC55C0" w:rsidRPr="00CC55C0">
        <w:rPr>
          <w:noProof/>
        </w:rPr>
        <w:t> </w:t>
      </w:r>
      <w:r w:rsidRPr="00CC55C0">
        <w:rPr>
          <w:noProof/>
        </w:rPr>
        <w:t>2</w:t>
      </w:r>
      <w:r w:rsidRPr="0071228C">
        <w:rPr>
          <w:noProof/>
        </w:rPr>
        <w:t>4 dyrektywy 2000/60/WE.”</w:t>
      </w:r>
      <w:r w:rsidRPr="00CC55C0">
        <w:rPr>
          <w:noProof/>
        </w:rPr>
        <w:t>;</w:t>
      </w:r>
      <w:r w:rsidR="00CC55C0" w:rsidRPr="00CC55C0">
        <w:rPr>
          <w:noProof/>
        </w:rPr>
        <w:t xml:space="preserve"> </w:t>
      </w:r>
    </w:p>
    <w:p w14:paraId="51998E84" w14:textId="53E81E0F" w:rsidR="00946547" w:rsidRPr="0071228C" w:rsidRDefault="00CC55C0" w:rsidP="00CC55C0">
      <w:pPr>
        <w:pStyle w:val="Point0"/>
        <w:rPr>
          <w:noProof/>
        </w:rPr>
      </w:pPr>
      <w:r>
        <w:rPr>
          <w:noProof/>
        </w:rPr>
        <w:t>9)</w:t>
      </w:r>
      <w:r>
        <w:rPr>
          <w:noProof/>
        </w:rPr>
        <w:tab/>
      </w:r>
      <w:r w:rsidR="00064ADB" w:rsidRPr="0071228C">
        <w:rPr>
          <w:noProof/>
        </w:rPr>
        <w:t xml:space="preserve">uchyla się </w:t>
      </w:r>
      <w:r w:rsidR="00064ADB" w:rsidRPr="00CC55C0">
        <w:rPr>
          <w:noProof/>
        </w:rPr>
        <w:t>art.</w:t>
      </w:r>
      <w:r w:rsidRPr="00CC55C0">
        <w:rPr>
          <w:noProof/>
        </w:rPr>
        <w:t> </w:t>
      </w:r>
      <w:r w:rsidR="00064ADB" w:rsidRPr="00CC55C0">
        <w:rPr>
          <w:noProof/>
        </w:rPr>
        <w:t>1</w:t>
      </w:r>
      <w:r w:rsidR="00064ADB" w:rsidRPr="0071228C">
        <w:rPr>
          <w:noProof/>
        </w:rPr>
        <w:t>0;</w:t>
      </w:r>
    </w:p>
    <w:p w14:paraId="0AFD4728" w14:textId="2EA928E9" w:rsidR="00064ADB" w:rsidRPr="0071228C" w:rsidRDefault="00CC55C0" w:rsidP="00CC55C0">
      <w:pPr>
        <w:pStyle w:val="Point0"/>
        <w:rPr>
          <w:noProof/>
        </w:rPr>
      </w:pPr>
      <w:r>
        <w:rPr>
          <w:noProof/>
        </w:rPr>
        <w:t>10)</w:t>
      </w:r>
      <w:r>
        <w:rPr>
          <w:noProof/>
        </w:rPr>
        <w:tab/>
      </w:r>
      <w:r w:rsidR="00064ADB" w:rsidRPr="0071228C">
        <w:rPr>
          <w:noProof/>
        </w:rPr>
        <w:t>w załączniku I wprowadza się zmiany zgodnie</w:t>
      </w:r>
      <w:r w:rsidRPr="0071228C">
        <w:rPr>
          <w:noProof/>
        </w:rPr>
        <w:t xml:space="preserve"> z</w:t>
      </w:r>
      <w:r>
        <w:rPr>
          <w:noProof/>
        </w:rPr>
        <w:t> </w:t>
      </w:r>
      <w:r w:rsidRPr="0071228C">
        <w:rPr>
          <w:noProof/>
        </w:rPr>
        <w:t>zał</w:t>
      </w:r>
      <w:r w:rsidR="00064ADB" w:rsidRPr="0071228C">
        <w:rPr>
          <w:noProof/>
        </w:rPr>
        <w:t xml:space="preserve">ącznikiem V do niniejszej dyrektywy; </w:t>
      </w:r>
    </w:p>
    <w:p w14:paraId="319F7DE8" w14:textId="434F14E0" w:rsidR="00064ADB" w:rsidRPr="0071228C" w:rsidRDefault="00CC55C0" w:rsidP="00CC55C0">
      <w:pPr>
        <w:pStyle w:val="Point0"/>
        <w:rPr>
          <w:noProof/>
        </w:rPr>
      </w:pPr>
      <w:r>
        <w:rPr>
          <w:noProof/>
        </w:rPr>
        <w:t>11)</w:t>
      </w:r>
      <w:r>
        <w:rPr>
          <w:noProof/>
        </w:rPr>
        <w:tab/>
      </w:r>
      <w:r w:rsidR="00064ADB" w:rsidRPr="0071228C">
        <w:rPr>
          <w:noProof/>
        </w:rPr>
        <w:t>dodaje się załącznik II</w:t>
      </w:r>
      <w:r w:rsidRPr="0071228C">
        <w:rPr>
          <w:noProof/>
        </w:rPr>
        <w:t xml:space="preserve"> w</w:t>
      </w:r>
      <w:r>
        <w:rPr>
          <w:noProof/>
        </w:rPr>
        <w:t> </w:t>
      </w:r>
      <w:r w:rsidRPr="0071228C">
        <w:rPr>
          <w:noProof/>
        </w:rPr>
        <w:t>brz</w:t>
      </w:r>
      <w:r w:rsidR="00064ADB" w:rsidRPr="0071228C">
        <w:rPr>
          <w:noProof/>
        </w:rPr>
        <w:t>mieniu określonym</w:t>
      </w:r>
      <w:r w:rsidRPr="0071228C">
        <w:rPr>
          <w:noProof/>
        </w:rPr>
        <w:t xml:space="preserve"> w</w:t>
      </w:r>
      <w:r>
        <w:rPr>
          <w:noProof/>
        </w:rPr>
        <w:t> </w:t>
      </w:r>
      <w:r w:rsidRPr="0071228C">
        <w:rPr>
          <w:noProof/>
        </w:rPr>
        <w:t>zał</w:t>
      </w:r>
      <w:r w:rsidR="00064ADB" w:rsidRPr="0071228C">
        <w:rPr>
          <w:noProof/>
        </w:rPr>
        <w:t>ączniku VI do niniejszej dyrektywy.</w:t>
      </w:r>
    </w:p>
    <w:p w14:paraId="4EAE05D9" w14:textId="77777777" w:rsidR="00BE0263" w:rsidRPr="0071228C" w:rsidRDefault="00BE0263" w:rsidP="00BE0263">
      <w:pPr>
        <w:keepNext/>
        <w:keepLines/>
        <w:spacing w:before="360"/>
        <w:jc w:val="center"/>
        <w:rPr>
          <w:i/>
          <w:noProof/>
        </w:rPr>
      </w:pPr>
      <w:r w:rsidRPr="0071228C">
        <w:rPr>
          <w:i/>
          <w:noProof/>
        </w:rPr>
        <w:t>Artykuł 4</w:t>
      </w:r>
    </w:p>
    <w:p w14:paraId="05232423" w14:textId="113FECF7" w:rsidR="00BE0263" w:rsidRPr="0071228C" w:rsidRDefault="001B7139" w:rsidP="00B72FB9">
      <w:pPr>
        <w:rPr>
          <w:noProof/>
        </w:rPr>
      </w:pPr>
      <w:r w:rsidRPr="0071228C">
        <w:rPr>
          <w:noProof/>
        </w:rPr>
        <w:t>1. Państwa członkowskie wprowadzają</w:t>
      </w:r>
      <w:r w:rsidR="00CC55C0" w:rsidRPr="0071228C">
        <w:rPr>
          <w:noProof/>
        </w:rPr>
        <w:t xml:space="preserve"> w</w:t>
      </w:r>
      <w:r w:rsidR="00CC55C0">
        <w:rPr>
          <w:noProof/>
        </w:rPr>
        <w:t> </w:t>
      </w:r>
      <w:r w:rsidR="00CC55C0" w:rsidRPr="0071228C">
        <w:rPr>
          <w:noProof/>
        </w:rPr>
        <w:t>życ</w:t>
      </w:r>
      <w:r w:rsidRPr="0071228C">
        <w:rPr>
          <w:noProof/>
        </w:rPr>
        <w:t>ie przepisy ustawowe, wykonawcze</w:t>
      </w:r>
      <w:r w:rsidR="00CC55C0" w:rsidRPr="0071228C">
        <w:rPr>
          <w:noProof/>
        </w:rPr>
        <w:t xml:space="preserve"> i</w:t>
      </w:r>
      <w:r w:rsidR="00CC55C0">
        <w:rPr>
          <w:noProof/>
        </w:rPr>
        <w:t> </w:t>
      </w:r>
      <w:r w:rsidR="00CC55C0" w:rsidRPr="0071228C">
        <w:rPr>
          <w:noProof/>
        </w:rPr>
        <w:t>adm</w:t>
      </w:r>
      <w:r w:rsidRPr="0071228C">
        <w:rPr>
          <w:noProof/>
        </w:rPr>
        <w:t>inistracyjne niezbędne do wykonania niniejszej dyrektywy do dnia [Urząd Publikacji: proszę wstawić datę = pierwszy dzień miesiąca następującego po upływie 18 miesięcy od daty wejścia</w:t>
      </w:r>
      <w:r w:rsidR="00CC55C0" w:rsidRPr="0071228C">
        <w:rPr>
          <w:noProof/>
        </w:rPr>
        <w:t xml:space="preserve"> w</w:t>
      </w:r>
      <w:r w:rsidR="00CC55C0">
        <w:rPr>
          <w:noProof/>
        </w:rPr>
        <w:t> </w:t>
      </w:r>
      <w:r w:rsidR="00CC55C0" w:rsidRPr="0071228C">
        <w:rPr>
          <w:noProof/>
        </w:rPr>
        <w:t>życ</w:t>
      </w:r>
      <w:r w:rsidRPr="0071228C">
        <w:rPr>
          <w:noProof/>
        </w:rPr>
        <w:t xml:space="preserve">ie niniejszej dyrektywy]. </w:t>
      </w:r>
    </w:p>
    <w:p w14:paraId="302DFF13" w14:textId="6E0AAB8E" w:rsidR="00BE0263" w:rsidRPr="0071228C" w:rsidRDefault="001B7139" w:rsidP="00B72FB9">
      <w:pPr>
        <w:rPr>
          <w:noProof/>
        </w:rPr>
      </w:pPr>
      <w:r w:rsidRPr="0071228C">
        <w:rPr>
          <w:noProof/>
        </w:rPr>
        <w:t>2. Niezwłocznie przekazują Komisji tekst tych przepisów. Przepisy przyjęte przez państwa członkowskie zawierają odniesienie do niniejszej dyrektywy lub odniesienie takie towarzyszy ich urzędowej publikacji. Metody dokonywania takiego odniesienia określane są przez państwa członkowskie. Państwa członkowskie przekazują Komisji tekst podstawowych przepisów prawa krajowego przyjętych</w:t>
      </w:r>
      <w:r w:rsidR="00CC55C0" w:rsidRPr="0071228C">
        <w:rPr>
          <w:noProof/>
        </w:rPr>
        <w:t xml:space="preserve"> w</w:t>
      </w:r>
      <w:r w:rsidR="00CC55C0">
        <w:rPr>
          <w:noProof/>
        </w:rPr>
        <w:t> </w:t>
      </w:r>
      <w:r w:rsidR="00CC55C0" w:rsidRPr="0071228C">
        <w:rPr>
          <w:noProof/>
        </w:rPr>
        <w:t>dzi</w:t>
      </w:r>
      <w:r w:rsidRPr="0071228C">
        <w:rPr>
          <w:noProof/>
        </w:rPr>
        <w:t>edzinie objętej niniejszą dyrektywą.</w:t>
      </w:r>
    </w:p>
    <w:p w14:paraId="6F9F43C2" w14:textId="77777777" w:rsidR="00BE0263" w:rsidRPr="0071228C" w:rsidRDefault="00BE0263" w:rsidP="00BE0263">
      <w:pPr>
        <w:keepNext/>
        <w:spacing w:before="360"/>
        <w:jc w:val="center"/>
        <w:rPr>
          <w:i/>
          <w:noProof/>
        </w:rPr>
      </w:pPr>
      <w:r w:rsidRPr="0071228C">
        <w:rPr>
          <w:i/>
          <w:noProof/>
        </w:rPr>
        <w:t>Artykuł 5</w:t>
      </w:r>
    </w:p>
    <w:p w14:paraId="4BF74ABC" w14:textId="7C8621CD" w:rsidR="00BE0263" w:rsidRPr="0071228C" w:rsidRDefault="00BE0263" w:rsidP="00BE0263">
      <w:pPr>
        <w:rPr>
          <w:noProof/>
        </w:rPr>
      </w:pPr>
      <w:r w:rsidRPr="0071228C">
        <w:rPr>
          <w:noProof/>
        </w:rPr>
        <w:t>Niniejsza dyrektywa wchodzi</w:t>
      </w:r>
      <w:r w:rsidR="00CC55C0" w:rsidRPr="0071228C">
        <w:rPr>
          <w:noProof/>
        </w:rPr>
        <w:t xml:space="preserve"> w</w:t>
      </w:r>
      <w:r w:rsidR="00CC55C0">
        <w:rPr>
          <w:noProof/>
        </w:rPr>
        <w:t> </w:t>
      </w:r>
      <w:r w:rsidR="00CC55C0" w:rsidRPr="0071228C">
        <w:rPr>
          <w:noProof/>
        </w:rPr>
        <w:t>życ</w:t>
      </w:r>
      <w:r w:rsidRPr="0071228C">
        <w:rPr>
          <w:noProof/>
        </w:rPr>
        <w:t>ie dwudziestego dnia po jej opublikowaniu</w:t>
      </w:r>
      <w:r w:rsidR="00CC55C0" w:rsidRPr="0071228C">
        <w:rPr>
          <w:noProof/>
        </w:rPr>
        <w:t xml:space="preserve"> w</w:t>
      </w:r>
      <w:r w:rsidR="00CC55C0">
        <w:rPr>
          <w:noProof/>
        </w:rPr>
        <w:t> </w:t>
      </w:r>
      <w:r w:rsidR="00CC55C0" w:rsidRPr="0071228C">
        <w:rPr>
          <w:i/>
          <w:noProof/>
        </w:rPr>
        <w:t>Dzi</w:t>
      </w:r>
      <w:r w:rsidRPr="0071228C">
        <w:rPr>
          <w:i/>
          <w:noProof/>
        </w:rPr>
        <w:t>enniku Urzędowym Unii Europejskiej</w:t>
      </w:r>
      <w:r w:rsidRPr="0071228C">
        <w:rPr>
          <w:noProof/>
        </w:rPr>
        <w:t>.</w:t>
      </w:r>
    </w:p>
    <w:p w14:paraId="68FADF71" w14:textId="77777777" w:rsidR="00BE0263" w:rsidRPr="0071228C" w:rsidRDefault="00BE0263" w:rsidP="00BE0263">
      <w:pPr>
        <w:keepNext/>
        <w:spacing w:before="360"/>
        <w:jc w:val="center"/>
        <w:rPr>
          <w:i/>
          <w:noProof/>
        </w:rPr>
      </w:pPr>
      <w:r w:rsidRPr="0071228C">
        <w:rPr>
          <w:i/>
          <w:noProof/>
        </w:rPr>
        <w:t>Artykuł 6</w:t>
      </w:r>
    </w:p>
    <w:p w14:paraId="7B5AE763" w14:textId="77777777" w:rsidR="00BE0263" w:rsidRPr="0071228C" w:rsidRDefault="00BE0263" w:rsidP="00BE0263">
      <w:pPr>
        <w:keepNext/>
        <w:keepLines/>
        <w:rPr>
          <w:noProof/>
        </w:rPr>
      </w:pPr>
      <w:r w:rsidRPr="0071228C">
        <w:rPr>
          <w:noProof/>
        </w:rPr>
        <w:t>Niniejsza dyrektywa skierowana jest do państw członkowskich.</w:t>
      </w:r>
    </w:p>
    <w:p w14:paraId="696BAC09" w14:textId="52261A64" w:rsidR="00BE0263" w:rsidRPr="0071228C" w:rsidRDefault="006027D8" w:rsidP="00FD22FF">
      <w:pPr>
        <w:pStyle w:val="Fait"/>
        <w:rPr>
          <w:noProof/>
        </w:rPr>
      </w:pPr>
      <w:r w:rsidRPr="006027D8">
        <w:t xml:space="preserve">Sporządzono w Brukseli dnia </w:t>
      </w:r>
      <w:r w:rsidRPr="006027D8">
        <w:rPr>
          <w:rStyle w:val="Marker"/>
        </w:rPr>
        <w:t>[…]</w:t>
      </w:r>
      <w:r w:rsidRPr="006027D8">
        <w:t xml:space="preserve"> r.</w:t>
      </w:r>
    </w:p>
    <w:p w14:paraId="43E07EDD" w14:textId="77777777" w:rsidR="00CC55C0" w:rsidRDefault="00CC55C0" w:rsidP="00FD22FF">
      <w:pPr>
        <w:pStyle w:val="Institutionquisigne"/>
        <w:rPr>
          <w:noProof/>
        </w:rPr>
      </w:pPr>
      <w:r>
        <w:rPr>
          <w:noProof/>
        </w:rPr>
        <w:t>W imieniu Parlamentu Europejskiego</w:t>
      </w:r>
      <w:r>
        <w:rPr>
          <w:noProof/>
        </w:rPr>
        <w:tab/>
        <w:t>W imieniu Rady</w:t>
      </w:r>
    </w:p>
    <w:p w14:paraId="25933157" w14:textId="166FB5E3" w:rsidR="00BE0263" w:rsidRPr="0071228C" w:rsidRDefault="00CC55C0" w:rsidP="00A11004">
      <w:pPr>
        <w:pStyle w:val="Personnequisigne"/>
        <w:rPr>
          <w:noProof/>
        </w:rPr>
      </w:pPr>
      <w:r>
        <w:rPr>
          <w:noProof/>
        </w:rPr>
        <w:t>Przewodnicząca</w:t>
      </w:r>
      <w:r>
        <w:rPr>
          <w:noProof/>
        </w:rPr>
        <w:tab/>
        <w:t>Przewodniczący</w:t>
      </w:r>
    </w:p>
    <w:p w14:paraId="1AD8AA27" w14:textId="77777777" w:rsidR="001C0111" w:rsidRPr="0071228C" w:rsidRDefault="001C0111" w:rsidP="001C0111">
      <w:pPr>
        <w:spacing w:before="0" w:after="0"/>
        <w:jc w:val="left"/>
        <w:rPr>
          <w:noProof/>
        </w:rPr>
        <w:sectPr w:rsidR="001C0111" w:rsidRPr="0071228C" w:rsidSect="00E25B75">
          <w:footnotePr>
            <w:numRestart w:val="eachSect"/>
          </w:footnotePr>
          <w:pgSz w:w="11907" w:h="16839"/>
          <w:pgMar w:top="1134" w:right="1417" w:bottom="1134" w:left="1417" w:header="709" w:footer="709" w:gutter="0"/>
          <w:cols w:space="708"/>
          <w:docGrid w:linePitch="360"/>
        </w:sectPr>
      </w:pPr>
    </w:p>
    <w:p w14:paraId="572D6CCB" w14:textId="484497FE" w:rsidR="001C0111" w:rsidRPr="0071228C" w:rsidRDefault="001C0111" w:rsidP="00A11004">
      <w:pPr>
        <w:pStyle w:val="Fichefinanciretitre"/>
        <w:rPr>
          <w:noProof/>
        </w:rPr>
      </w:pPr>
      <w:r w:rsidRPr="0071228C">
        <w:rPr>
          <w:noProof/>
        </w:rPr>
        <w:t>OCENA SKUTKÓW FINANSOWYCH REGULACJI dotycząca PAKIETU „ZERO ZANIECZYSZCZEŃ”</w:t>
      </w:r>
    </w:p>
    <w:p w14:paraId="04B38EC7" w14:textId="77777777" w:rsidR="001C0111" w:rsidRPr="0071228C" w:rsidRDefault="001C0111" w:rsidP="002A2DB0">
      <w:pPr>
        <w:keepNext/>
        <w:spacing w:before="360"/>
        <w:outlineLvl w:val="0"/>
        <w:rPr>
          <w:rFonts w:eastAsiaTheme="majorEastAsia"/>
          <w:b/>
          <w:bCs/>
          <w:smallCaps/>
          <w:noProof/>
          <w:szCs w:val="28"/>
        </w:rPr>
      </w:pPr>
      <w:bookmarkStart w:id="2" w:name="_Toc514938007"/>
      <w:bookmarkStart w:id="3" w:name="_Toc520485025"/>
      <w:r w:rsidRPr="0071228C">
        <w:rPr>
          <w:b/>
          <w:smallCaps/>
          <w:noProof/>
        </w:rPr>
        <w:t>STRUKTURA WNIOSKU/INICJATYWY</w:t>
      </w:r>
      <w:bookmarkEnd w:id="2"/>
      <w:bookmarkEnd w:id="3"/>
      <w:r w:rsidRPr="0071228C">
        <w:rPr>
          <w:b/>
          <w:smallCaps/>
          <w:noProof/>
        </w:rPr>
        <w:t xml:space="preserve"> </w:t>
      </w:r>
    </w:p>
    <w:p w14:paraId="77791266" w14:textId="77777777" w:rsidR="001C0111" w:rsidRPr="0071228C" w:rsidRDefault="001C0111" w:rsidP="002A2DB0">
      <w:pPr>
        <w:keepNext/>
        <w:outlineLvl w:val="1"/>
        <w:rPr>
          <w:rFonts w:eastAsiaTheme="majorEastAsia"/>
          <w:b/>
          <w:bCs/>
          <w:noProof/>
          <w:szCs w:val="26"/>
        </w:rPr>
      </w:pPr>
      <w:bookmarkStart w:id="4" w:name="_Toc514938008"/>
      <w:bookmarkStart w:id="5" w:name="_Toc520485026"/>
      <w:r w:rsidRPr="0071228C">
        <w:rPr>
          <w:b/>
          <w:noProof/>
        </w:rPr>
        <w:t>Tytuł wniosku/inicjatywy</w:t>
      </w:r>
      <w:bookmarkEnd w:id="4"/>
      <w:bookmarkEnd w:id="5"/>
    </w:p>
    <w:p w14:paraId="7AC3D667"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b/>
          <w:noProof/>
        </w:rPr>
        <w:t xml:space="preserve">Pakiet „zero zanieczyszczeń”: </w:t>
      </w:r>
    </w:p>
    <w:p w14:paraId="4605174B"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Niniejsza ocena skutków finansowych regulacji obejmuje następujące wnioski: </w:t>
      </w:r>
    </w:p>
    <w:p w14:paraId="4C5B650C" w14:textId="2D81C40E"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r>
      <w:r w:rsidRPr="0071228C">
        <w:rPr>
          <w:b/>
          <w:noProof/>
        </w:rPr>
        <w:t>Zintegrowana gospodarka wodna</w:t>
      </w:r>
      <w:r w:rsidRPr="0071228C">
        <w:rPr>
          <w:noProof/>
        </w:rPr>
        <w:t>: wniosek dotyczący dyrektywy Parlamentu Europejskiego</w:t>
      </w:r>
      <w:r w:rsidR="00CC55C0" w:rsidRPr="0071228C">
        <w:rPr>
          <w:noProof/>
        </w:rPr>
        <w:t xml:space="preserve"> i</w:t>
      </w:r>
      <w:r w:rsidR="00CC55C0">
        <w:rPr>
          <w:noProof/>
        </w:rPr>
        <w:t> </w:t>
      </w:r>
      <w:r w:rsidR="00CC55C0" w:rsidRPr="0071228C">
        <w:rPr>
          <w:noProof/>
        </w:rPr>
        <w:t>Rad</w:t>
      </w:r>
      <w:r w:rsidRPr="0071228C">
        <w:rPr>
          <w:noProof/>
        </w:rPr>
        <w:t>y zmieniającej dyrektywę 2000/60/WE ustanawiającą ramy wspólnotowego działania</w:t>
      </w:r>
      <w:r w:rsidR="00CC55C0" w:rsidRPr="0071228C">
        <w:rPr>
          <w:noProof/>
        </w:rPr>
        <w:t xml:space="preserve"> w</w:t>
      </w:r>
      <w:r w:rsidR="00CC55C0">
        <w:rPr>
          <w:noProof/>
        </w:rPr>
        <w:t> </w:t>
      </w:r>
      <w:r w:rsidR="00CC55C0" w:rsidRPr="0071228C">
        <w:rPr>
          <w:noProof/>
        </w:rPr>
        <w:t>dzi</w:t>
      </w:r>
      <w:r w:rsidRPr="0071228C">
        <w:rPr>
          <w:noProof/>
        </w:rPr>
        <w:t>edzinie polityki wodnej, dyrektywę 2006/118/WE</w:t>
      </w:r>
      <w:r w:rsidR="00CC55C0" w:rsidRPr="0071228C">
        <w:rPr>
          <w:noProof/>
        </w:rPr>
        <w:t xml:space="preserve"> w</w:t>
      </w:r>
      <w:r w:rsidR="00CC55C0">
        <w:rPr>
          <w:noProof/>
        </w:rPr>
        <w:t> </w:t>
      </w:r>
      <w:r w:rsidR="00CC55C0" w:rsidRPr="0071228C">
        <w:rPr>
          <w:noProof/>
        </w:rPr>
        <w:t>spr</w:t>
      </w:r>
      <w:r w:rsidRPr="0071228C">
        <w:rPr>
          <w:noProof/>
        </w:rPr>
        <w:t>awie ochrony wód podziemnych przed zanieczyszczeniem</w:t>
      </w:r>
      <w:r w:rsidR="00CC55C0" w:rsidRPr="0071228C">
        <w:rPr>
          <w:noProof/>
        </w:rPr>
        <w:t xml:space="preserve"> i</w:t>
      </w:r>
      <w:r w:rsidR="00CC55C0">
        <w:rPr>
          <w:noProof/>
        </w:rPr>
        <w:t> </w:t>
      </w:r>
      <w:r w:rsidR="00CC55C0" w:rsidRPr="0071228C">
        <w:rPr>
          <w:noProof/>
        </w:rPr>
        <w:t>pog</w:t>
      </w:r>
      <w:r w:rsidRPr="0071228C">
        <w:rPr>
          <w:noProof/>
        </w:rPr>
        <w:t>orszeniem ich stanu oraz dyrektywę 2008/105/WE</w:t>
      </w:r>
      <w:r w:rsidR="00CC55C0" w:rsidRPr="0071228C">
        <w:rPr>
          <w:noProof/>
        </w:rPr>
        <w:t xml:space="preserve"> w</w:t>
      </w:r>
      <w:r w:rsidR="00CC55C0">
        <w:rPr>
          <w:noProof/>
        </w:rPr>
        <w:t> </w:t>
      </w:r>
      <w:r w:rsidR="00CC55C0" w:rsidRPr="0071228C">
        <w:rPr>
          <w:noProof/>
        </w:rPr>
        <w:t>spr</w:t>
      </w:r>
      <w:r w:rsidRPr="0071228C">
        <w:rPr>
          <w:noProof/>
        </w:rPr>
        <w:t>awie środowiskowych norm jakości</w:t>
      </w:r>
      <w:r w:rsidR="00CC55C0" w:rsidRPr="0071228C">
        <w:rPr>
          <w:noProof/>
        </w:rPr>
        <w:t xml:space="preserve"> w</w:t>
      </w:r>
      <w:r w:rsidR="00CC55C0">
        <w:rPr>
          <w:noProof/>
        </w:rPr>
        <w:t> </w:t>
      </w:r>
      <w:r w:rsidR="00CC55C0" w:rsidRPr="0071228C">
        <w:rPr>
          <w:noProof/>
        </w:rPr>
        <w:t>dzi</w:t>
      </w:r>
      <w:r w:rsidRPr="0071228C">
        <w:rPr>
          <w:noProof/>
        </w:rPr>
        <w:t xml:space="preserve">edzinie polityki wodnej; </w:t>
      </w:r>
    </w:p>
    <w:p w14:paraId="69405E2A" w14:textId="4D0AD44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r>
      <w:r w:rsidRPr="0071228C">
        <w:rPr>
          <w:b/>
          <w:noProof/>
        </w:rPr>
        <w:t>Przegląd dyrektywy dotyczącej oczyszczania ścieków komunalnych</w:t>
      </w:r>
      <w:r w:rsidRPr="0071228C">
        <w:rPr>
          <w:noProof/>
        </w:rPr>
        <w:t>: Wniosek dotyczący dyrektywy Parlamentu Europejskiego</w:t>
      </w:r>
      <w:r w:rsidR="00CC55C0" w:rsidRPr="0071228C">
        <w:rPr>
          <w:noProof/>
        </w:rPr>
        <w:t xml:space="preserve"> i</w:t>
      </w:r>
      <w:r w:rsidR="00CC55C0">
        <w:rPr>
          <w:noProof/>
        </w:rPr>
        <w:t> </w:t>
      </w:r>
      <w:r w:rsidR="00CC55C0" w:rsidRPr="0071228C">
        <w:rPr>
          <w:noProof/>
        </w:rPr>
        <w:t>Rad</w:t>
      </w:r>
      <w:r w:rsidRPr="0071228C">
        <w:rPr>
          <w:noProof/>
        </w:rPr>
        <w:t xml:space="preserve">y dotyczącej oczyszczania ścieków komunalnych (wersja przekształcona dyrektywy 91271/EWG). </w:t>
      </w:r>
    </w:p>
    <w:p w14:paraId="6569652B" w14:textId="225D2AF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 xml:space="preserve"> </w:t>
      </w:r>
      <w:r w:rsidRPr="0071228C">
        <w:rPr>
          <w:b/>
          <w:noProof/>
        </w:rPr>
        <w:t>Zmiana unijnych przepisów dotyczących jakości powietrza</w:t>
      </w:r>
      <w:r w:rsidRPr="0071228C">
        <w:rPr>
          <w:noProof/>
        </w:rPr>
        <w:t>: Wniosek dotyczący dyrektywy 2004/107/WE Parlamentu Europejskiego</w:t>
      </w:r>
      <w:r w:rsidR="00CC55C0" w:rsidRPr="0071228C">
        <w:rPr>
          <w:noProof/>
        </w:rPr>
        <w:t xml:space="preserve"> i</w:t>
      </w:r>
      <w:r w:rsidR="00CC55C0">
        <w:rPr>
          <w:noProof/>
        </w:rPr>
        <w:t> </w:t>
      </w:r>
      <w:r w:rsidR="00CC55C0" w:rsidRPr="0071228C">
        <w:rPr>
          <w:noProof/>
        </w:rPr>
        <w:t>Rad</w:t>
      </w:r>
      <w:r w:rsidRPr="0071228C">
        <w:rPr>
          <w:noProof/>
        </w:rPr>
        <w:t>y</w:t>
      </w:r>
      <w:r w:rsidR="00CC55C0" w:rsidRPr="0071228C">
        <w:rPr>
          <w:noProof/>
        </w:rPr>
        <w:t xml:space="preserve"> w</w:t>
      </w:r>
      <w:r w:rsidR="00CC55C0">
        <w:rPr>
          <w:noProof/>
        </w:rPr>
        <w:t> </w:t>
      </w:r>
      <w:r w:rsidR="00CC55C0" w:rsidRPr="0071228C">
        <w:rPr>
          <w:noProof/>
        </w:rPr>
        <w:t>spr</w:t>
      </w:r>
      <w:r w:rsidRPr="0071228C">
        <w:rPr>
          <w:noProof/>
        </w:rPr>
        <w:t>awie arsenu, kadmu, rtęci, niklu</w:t>
      </w:r>
      <w:r w:rsidR="00CC55C0" w:rsidRPr="0071228C">
        <w:rPr>
          <w:noProof/>
        </w:rPr>
        <w:t xml:space="preserve"> i</w:t>
      </w:r>
      <w:r w:rsidR="00CC55C0">
        <w:rPr>
          <w:noProof/>
        </w:rPr>
        <w:t> </w:t>
      </w:r>
      <w:r w:rsidR="00CC55C0" w:rsidRPr="0071228C">
        <w:rPr>
          <w:noProof/>
        </w:rPr>
        <w:t>wie</w:t>
      </w:r>
      <w:r w:rsidRPr="0071228C">
        <w:rPr>
          <w:noProof/>
        </w:rPr>
        <w:t>lopierścieniowych węglowodorów aromatycznych</w:t>
      </w:r>
      <w:r w:rsidR="00CC55C0" w:rsidRPr="0071228C">
        <w:rPr>
          <w:noProof/>
        </w:rPr>
        <w:t xml:space="preserve"> w</w:t>
      </w:r>
      <w:r w:rsidR="00CC55C0">
        <w:rPr>
          <w:noProof/>
        </w:rPr>
        <w:t> </w:t>
      </w:r>
      <w:r w:rsidR="00CC55C0" w:rsidRPr="0071228C">
        <w:rPr>
          <w:noProof/>
        </w:rPr>
        <w:t>ota</w:t>
      </w:r>
      <w:r w:rsidRPr="0071228C">
        <w:rPr>
          <w:noProof/>
        </w:rPr>
        <w:t>czającym powietrzu oraz dyrektywy 2008/50/WE</w:t>
      </w:r>
      <w:r w:rsidR="00CC55C0" w:rsidRPr="0071228C">
        <w:rPr>
          <w:noProof/>
        </w:rPr>
        <w:t xml:space="preserve"> w</w:t>
      </w:r>
      <w:r w:rsidR="00CC55C0">
        <w:rPr>
          <w:noProof/>
        </w:rPr>
        <w:t> </w:t>
      </w:r>
      <w:r w:rsidR="00CC55C0" w:rsidRPr="0071228C">
        <w:rPr>
          <w:noProof/>
        </w:rPr>
        <w:t>spr</w:t>
      </w:r>
      <w:r w:rsidRPr="0071228C">
        <w:rPr>
          <w:noProof/>
        </w:rPr>
        <w:t>awie jakości powietrza i czystszego powietrza dla Europy;</w:t>
      </w:r>
    </w:p>
    <w:p w14:paraId="175B22C0" w14:textId="77777777" w:rsidR="001C0111" w:rsidRPr="0071228C" w:rsidRDefault="001C0111" w:rsidP="002A2DB0">
      <w:pPr>
        <w:keepNext/>
        <w:outlineLvl w:val="1"/>
        <w:rPr>
          <w:rFonts w:eastAsiaTheme="majorEastAsia"/>
          <w:b/>
          <w:bCs/>
          <w:i/>
          <w:noProof/>
          <w:szCs w:val="26"/>
        </w:rPr>
      </w:pPr>
      <w:bookmarkStart w:id="6" w:name="_Toc514938011"/>
      <w:bookmarkStart w:id="7" w:name="_Toc520485027"/>
      <w:r w:rsidRPr="0071228C">
        <w:rPr>
          <w:b/>
          <w:noProof/>
        </w:rPr>
        <w:t>Obszary polityki, których dotyczy wniosek/inicjatywa</w:t>
      </w:r>
      <w:bookmarkEnd w:id="6"/>
      <w:bookmarkEnd w:id="7"/>
      <w:r w:rsidRPr="0071228C">
        <w:rPr>
          <w:b/>
          <w:i/>
          <w:noProof/>
        </w:rPr>
        <w:t xml:space="preserve"> </w:t>
      </w:r>
    </w:p>
    <w:p w14:paraId="1E50EA75" w14:textId="0DBCF685"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09 – Środowisko</w:t>
      </w:r>
      <w:r w:rsidR="00CC55C0" w:rsidRPr="0071228C">
        <w:rPr>
          <w:noProof/>
        </w:rPr>
        <w:t xml:space="preserve"> i</w:t>
      </w:r>
      <w:r w:rsidR="00CC55C0">
        <w:rPr>
          <w:noProof/>
        </w:rPr>
        <w:t> </w:t>
      </w:r>
      <w:r w:rsidR="00CC55C0" w:rsidRPr="0071228C">
        <w:rPr>
          <w:noProof/>
        </w:rPr>
        <w:t>zmi</w:t>
      </w:r>
      <w:r w:rsidRPr="0071228C">
        <w:rPr>
          <w:noProof/>
        </w:rPr>
        <w:t>ana klimatu</w:t>
      </w:r>
    </w:p>
    <w:p w14:paraId="213F41A7" w14:textId="77777777" w:rsidR="001C0111" w:rsidRPr="0071228C" w:rsidRDefault="001C0111" w:rsidP="002A2DB0">
      <w:pPr>
        <w:keepNext/>
        <w:outlineLvl w:val="1"/>
        <w:rPr>
          <w:rFonts w:eastAsiaTheme="majorEastAsia"/>
          <w:b/>
          <w:noProof/>
          <w:szCs w:val="24"/>
        </w:rPr>
      </w:pPr>
      <w:bookmarkStart w:id="8" w:name="_Toc514938014"/>
      <w:bookmarkStart w:id="9" w:name="_Toc520485028"/>
      <w:r w:rsidRPr="0071228C">
        <w:rPr>
          <w:b/>
          <w:noProof/>
        </w:rPr>
        <w:t>Wniosek/inicjatywa dotyczy:</w:t>
      </w:r>
      <w:bookmarkEnd w:id="8"/>
      <w:bookmarkEnd w:id="9"/>
      <w:r w:rsidRPr="0071228C">
        <w:rPr>
          <w:b/>
          <w:noProof/>
        </w:rPr>
        <w:t xml:space="preserve"> </w:t>
      </w:r>
    </w:p>
    <w:p w14:paraId="12C67186" w14:textId="77777777" w:rsidR="001C0111" w:rsidRPr="0071228C" w:rsidRDefault="001C0111" w:rsidP="001C0111">
      <w:pPr>
        <w:ind w:left="850"/>
        <w:rPr>
          <w:b/>
          <w:noProof/>
          <w:sz w:val="22"/>
        </w:rPr>
      </w:pPr>
      <w:r w:rsidRPr="0071228C">
        <w:rPr>
          <w:rFonts w:ascii="Wingdings" w:hAnsi="Wingdings"/>
          <w:noProof/>
          <w:sz w:val="22"/>
        </w:rPr>
        <w:t></w:t>
      </w:r>
      <w:r w:rsidRPr="0071228C">
        <w:rPr>
          <w:noProof/>
          <w:sz w:val="22"/>
        </w:rPr>
        <w:t xml:space="preserve"> </w:t>
      </w:r>
      <w:r w:rsidRPr="0071228C">
        <w:rPr>
          <w:b/>
          <w:noProof/>
        </w:rPr>
        <w:t>nowego działania</w:t>
      </w:r>
      <w:r w:rsidRPr="0071228C">
        <w:rPr>
          <w:b/>
          <w:noProof/>
          <w:sz w:val="22"/>
        </w:rPr>
        <w:t xml:space="preserve"> </w:t>
      </w:r>
    </w:p>
    <w:p w14:paraId="61FDCA97" w14:textId="77777777" w:rsidR="001C0111" w:rsidRPr="0071228C" w:rsidRDefault="001C0111" w:rsidP="001C0111">
      <w:pPr>
        <w:ind w:left="850"/>
        <w:rPr>
          <w:noProof/>
          <w:sz w:val="22"/>
        </w:rPr>
      </w:pPr>
      <w:r w:rsidRPr="0071228C">
        <w:rPr>
          <w:rFonts w:ascii="Wingdings" w:hAnsi="Wingdings"/>
          <w:noProof/>
          <w:sz w:val="22"/>
        </w:rPr>
        <w:t></w:t>
      </w:r>
      <w:r w:rsidRPr="0071228C">
        <w:rPr>
          <w:i/>
          <w:noProof/>
          <w:sz w:val="22"/>
        </w:rPr>
        <w:t xml:space="preserve"> </w:t>
      </w:r>
      <w:r w:rsidRPr="0071228C">
        <w:rPr>
          <w:b/>
          <w:noProof/>
        </w:rPr>
        <w:t>nowego działania, będącego następstwem projektu pilotażowego/działania przygotowawczego</w:t>
      </w:r>
      <w:r w:rsidRPr="0071228C">
        <w:rPr>
          <w:rStyle w:val="FootnoteReference"/>
          <w:noProof/>
        </w:rPr>
        <w:footnoteReference w:id="67"/>
      </w:r>
      <w:r w:rsidRPr="0071228C">
        <w:rPr>
          <w:noProof/>
          <w:sz w:val="22"/>
        </w:rPr>
        <w:t xml:space="preserve"> </w:t>
      </w:r>
    </w:p>
    <w:p w14:paraId="6051E370" w14:textId="77777777" w:rsidR="001C0111" w:rsidRPr="0071228C" w:rsidRDefault="001C0111" w:rsidP="001C0111">
      <w:pPr>
        <w:ind w:left="850"/>
        <w:rPr>
          <w:noProof/>
          <w:sz w:val="22"/>
        </w:rPr>
      </w:pPr>
      <w:r w:rsidRPr="0071228C">
        <w:rPr>
          <w:rFonts w:ascii="Wingdings" w:hAnsi="Wingdings"/>
          <w:noProof/>
          <w:sz w:val="22"/>
        </w:rPr>
        <w:t></w:t>
      </w:r>
      <w:r w:rsidRPr="0071228C">
        <w:rPr>
          <w:i/>
          <w:noProof/>
          <w:sz w:val="22"/>
        </w:rPr>
        <w:t xml:space="preserve"> </w:t>
      </w:r>
      <w:r w:rsidRPr="0071228C">
        <w:rPr>
          <w:b/>
          <w:noProof/>
        </w:rPr>
        <w:t>przedłużenia bieżącego działania</w:t>
      </w:r>
      <w:r w:rsidRPr="0071228C">
        <w:rPr>
          <w:noProof/>
          <w:sz w:val="22"/>
        </w:rPr>
        <w:t xml:space="preserve"> </w:t>
      </w:r>
    </w:p>
    <w:p w14:paraId="408F1EB2" w14:textId="77777777" w:rsidR="001C0111" w:rsidRPr="0071228C" w:rsidRDefault="001C0111" w:rsidP="001C0111">
      <w:pPr>
        <w:ind w:left="850"/>
        <w:rPr>
          <w:noProof/>
        </w:rPr>
      </w:pPr>
      <w:r w:rsidRPr="0071228C">
        <w:rPr>
          <w:rFonts w:ascii="Wingdings" w:hAnsi="Wingdings"/>
          <w:noProof/>
          <w:sz w:val="22"/>
        </w:rPr>
        <w:t></w:t>
      </w:r>
      <w:r w:rsidRPr="0071228C">
        <w:rPr>
          <w:i/>
          <w:noProof/>
          <w:sz w:val="22"/>
        </w:rPr>
        <w:t xml:space="preserve"> </w:t>
      </w:r>
      <w:r w:rsidRPr="0071228C">
        <w:rPr>
          <w:b/>
          <w:noProof/>
        </w:rPr>
        <w:t>połączenia lub przekształcenia co najmniej jednego działania pod kątem innego/nowego działania</w:t>
      </w:r>
      <w:r w:rsidRPr="0071228C">
        <w:rPr>
          <w:noProof/>
        </w:rPr>
        <w:t xml:space="preserve"> </w:t>
      </w:r>
    </w:p>
    <w:p w14:paraId="4D9978CA" w14:textId="77777777" w:rsidR="001C0111" w:rsidRPr="0071228C" w:rsidRDefault="001C0111" w:rsidP="002A2DB0">
      <w:pPr>
        <w:keepNext/>
        <w:outlineLvl w:val="1"/>
        <w:rPr>
          <w:rFonts w:eastAsiaTheme="majorEastAsia"/>
          <w:b/>
          <w:noProof/>
          <w:szCs w:val="24"/>
        </w:rPr>
      </w:pPr>
      <w:bookmarkStart w:id="10" w:name="_Toc514938015"/>
      <w:bookmarkStart w:id="11" w:name="_Toc520485029"/>
      <w:r w:rsidRPr="0071228C">
        <w:rPr>
          <w:b/>
          <w:noProof/>
        </w:rPr>
        <w:t>Cel(e)</w:t>
      </w:r>
      <w:bookmarkEnd w:id="10"/>
      <w:bookmarkEnd w:id="11"/>
    </w:p>
    <w:p w14:paraId="13BBCD54" w14:textId="77777777" w:rsidR="001C0111" w:rsidRPr="0071228C" w:rsidRDefault="001C0111" w:rsidP="002A2DB0">
      <w:pPr>
        <w:keepNext/>
        <w:outlineLvl w:val="2"/>
        <w:rPr>
          <w:rFonts w:eastAsiaTheme="majorEastAsia"/>
          <w:bCs/>
          <w:i/>
          <w:noProof/>
        </w:rPr>
      </w:pPr>
      <w:bookmarkStart w:id="12" w:name="_Toc514938016"/>
      <w:bookmarkStart w:id="13" w:name="_Toc520485030"/>
      <w:r w:rsidRPr="0071228C">
        <w:rPr>
          <w:i/>
          <w:noProof/>
        </w:rPr>
        <w:t>Cele ogólne</w:t>
      </w:r>
      <w:bookmarkEnd w:id="12"/>
      <w:bookmarkEnd w:id="13"/>
    </w:p>
    <w:p w14:paraId="26C0D13B" w14:textId="46EF2671"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1) Zwiększenie ochrony obywateli UE</w:t>
      </w:r>
      <w:r w:rsidR="00CC55C0" w:rsidRPr="0071228C">
        <w:rPr>
          <w:noProof/>
        </w:rPr>
        <w:t xml:space="preserve"> i</w:t>
      </w:r>
      <w:r w:rsidR="00CC55C0">
        <w:rPr>
          <w:noProof/>
        </w:rPr>
        <w:t> </w:t>
      </w:r>
      <w:r w:rsidR="00CC55C0" w:rsidRPr="0071228C">
        <w:rPr>
          <w:noProof/>
        </w:rPr>
        <w:t>eko</w:t>
      </w:r>
      <w:r w:rsidRPr="0071228C">
        <w:rPr>
          <w:noProof/>
        </w:rPr>
        <w:t>systemów naturalnych zgodnie</w:t>
      </w:r>
      <w:r w:rsidR="00CC55C0" w:rsidRPr="0071228C">
        <w:rPr>
          <w:noProof/>
        </w:rPr>
        <w:t xml:space="preserve"> z</w:t>
      </w:r>
      <w:r w:rsidR="00CC55C0">
        <w:rPr>
          <w:noProof/>
        </w:rPr>
        <w:t> </w:t>
      </w:r>
      <w:r w:rsidR="00CC55C0" w:rsidRPr="0071228C">
        <w:rPr>
          <w:noProof/>
        </w:rPr>
        <w:t>uni</w:t>
      </w:r>
      <w:r w:rsidRPr="0071228C">
        <w:rPr>
          <w:noProof/>
        </w:rPr>
        <w:t>jną strategią na rzecz bioróżnorodności 2030</w:t>
      </w:r>
      <w:r w:rsidR="00CC55C0" w:rsidRPr="0071228C">
        <w:rPr>
          <w:noProof/>
        </w:rPr>
        <w:t xml:space="preserve"> i</w:t>
      </w:r>
      <w:r w:rsidR="00CC55C0">
        <w:rPr>
          <w:noProof/>
        </w:rPr>
        <w:t> </w:t>
      </w:r>
      <w:r w:rsidR="00CC55C0" w:rsidRPr="0071228C">
        <w:rPr>
          <w:noProof/>
        </w:rPr>
        <w:t>str</w:t>
      </w:r>
      <w:r w:rsidRPr="0071228C">
        <w:rPr>
          <w:noProof/>
        </w:rPr>
        <w:t>ategią „zero zanieczyszczeń” zawartą</w:t>
      </w:r>
      <w:r w:rsidR="00CC55C0" w:rsidRPr="0071228C">
        <w:rPr>
          <w:noProof/>
        </w:rPr>
        <w:t xml:space="preserve"> w</w:t>
      </w:r>
      <w:r w:rsidR="00CC55C0">
        <w:rPr>
          <w:noProof/>
        </w:rPr>
        <w:t> </w:t>
      </w:r>
      <w:r w:rsidR="00CC55C0" w:rsidRPr="0071228C">
        <w:rPr>
          <w:noProof/>
        </w:rPr>
        <w:t>Eur</w:t>
      </w:r>
      <w:r w:rsidRPr="0071228C">
        <w:rPr>
          <w:noProof/>
        </w:rPr>
        <w:t>opejskim Zielonym Ładzie;</w:t>
      </w:r>
    </w:p>
    <w:p w14:paraId="4E27835F" w14:textId="6936554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2) Zwiększenie skuteczności</w:t>
      </w:r>
      <w:r w:rsidR="00CC55C0" w:rsidRPr="0071228C">
        <w:rPr>
          <w:noProof/>
        </w:rPr>
        <w:t xml:space="preserve"> i</w:t>
      </w:r>
      <w:r w:rsidR="00CC55C0">
        <w:rPr>
          <w:noProof/>
        </w:rPr>
        <w:t> </w:t>
      </w:r>
      <w:r w:rsidR="00CC55C0" w:rsidRPr="0071228C">
        <w:rPr>
          <w:noProof/>
        </w:rPr>
        <w:t>zmn</w:t>
      </w:r>
      <w:r w:rsidRPr="0071228C">
        <w:rPr>
          <w:noProof/>
        </w:rPr>
        <w:t>iejszenie obciążeń administracyjnych wynikających</w:t>
      </w:r>
      <w:r w:rsidR="00CC55C0" w:rsidRPr="0071228C">
        <w:rPr>
          <w:noProof/>
        </w:rPr>
        <w:t xml:space="preserve"> z</w:t>
      </w:r>
      <w:r w:rsidR="00CC55C0">
        <w:rPr>
          <w:noProof/>
        </w:rPr>
        <w:t> </w:t>
      </w:r>
      <w:r w:rsidR="00CC55C0" w:rsidRPr="0071228C">
        <w:rPr>
          <w:noProof/>
        </w:rPr>
        <w:t>pra</w:t>
      </w:r>
      <w:r w:rsidRPr="0071228C">
        <w:rPr>
          <w:noProof/>
        </w:rPr>
        <w:t>wodawstwa,</w:t>
      </w:r>
      <w:r w:rsidR="00CC55C0" w:rsidRPr="0071228C">
        <w:rPr>
          <w:noProof/>
        </w:rPr>
        <w:t xml:space="preserve"> a</w:t>
      </w:r>
      <w:r w:rsidR="00CC55C0">
        <w:rPr>
          <w:noProof/>
        </w:rPr>
        <w:t> </w:t>
      </w:r>
      <w:r w:rsidR="00CC55C0" w:rsidRPr="0071228C">
        <w:rPr>
          <w:noProof/>
        </w:rPr>
        <w:t>tym</w:t>
      </w:r>
      <w:r w:rsidRPr="0071228C">
        <w:rPr>
          <w:noProof/>
        </w:rPr>
        <w:t xml:space="preserve"> samym ułatwienie szybszego reagowania na pojawiające się zagrożenia; </w:t>
      </w:r>
    </w:p>
    <w:p w14:paraId="5CE7C387" w14:textId="1680BFC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3) Ochrona środowiska</w:t>
      </w:r>
      <w:r w:rsidR="00CC55C0" w:rsidRPr="0071228C">
        <w:rPr>
          <w:noProof/>
        </w:rPr>
        <w:t xml:space="preserve"> i</w:t>
      </w:r>
      <w:r w:rsidR="00CC55C0">
        <w:rPr>
          <w:noProof/>
        </w:rPr>
        <w:t> </w:t>
      </w:r>
      <w:r w:rsidR="00CC55C0" w:rsidRPr="0071228C">
        <w:rPr>
          <w:noProof/>
        </w:rPr>
        <w:t>zdr</w:t>
      </w:r>
      <w:r w:rsidRPr="0071228C">
        <w:rPr>
          <w:noProof/>
        </w:rPr>
        <w:t>owia publicznego przed szkodliwymi skutkami niebezpiecznych chemikaliów</w:t>
      </w:r>
      <w:r w:rsidR="00CC55C0" w:rsidRPr="0071228C">
        <w:rPr>
          <w:noProof/>
        </w:rPr>
        <w:t xml:space="preserve"> i</w:t>
      </w:r>
      <w:r w:rsidR="00CC55C0">
        <w:rPr>
          <w:noProof/>
        </w:rPr>
        <w:t> </w:t>
      </w:r>
      <w:r w:rsidR="00CC55C0" w:rsidRPr="0071228C">
        <w:rPr>
          <w:noProof/>
        </w:rPr>
        <w:t>zan</w:t>
      </w:r>
      <w:r w:rsidRPr="0071228C">
        <w:rPr>
          <w:noProof/>
        </w:rPr>
        <w:t>ieczyszczeń powietrza.</w:t>
      </w:r>
    </w:p>
    <w:p w14:paraId="42450116" w14:textId="77777777" w:rsidR="001C0111" w:rsidRPr="0071228C" w:rsidRDefault="001C0111" w:rsidP="002A2DB0">
      <w:pPr>
        <w:keepNext/>
        <w:outlineLvl w:val="2"/>
        <w:rPr>
          <w:rFonts w:eastAsiaTheme="majorEastAsia"/>
          <w:i/>
          <w:noProof/>
          <w:szCs w:val="24"/>
        </w:rPr>
      </w:pPr>
      <w:bookmarkStart w:id="14" w:name="_Toc514938018"/>
      <w:bookmarkStart w:id="15" w:name="_Toc520485031"/>
      <w:r w:rsidRPr="0071228C">
        <w:rPr>
          <w:i/>
          <w:noProof/>
        </w:rPr>
        <w:t>Cele szczegółowe</w:t>
      </w:r>
      <w:bookmarkEnd w:id="14"/>
      <w:bookmarkEnd w:id="15"/>
    </w:p>
    <w:p w14:paraId="6C478A2C"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b/>
          <w:i/>
          <w:noProof/>
          <w:color w:val="0000FF"/>
        </w:rPr>
      </w:pPr>
      <w:r w:rsidRPr="0071228C">
        <w:rPr>
          <w:b/>
          <w:i/>
          <w:noProof/>
          <w:u w:val="single"/>
        </w:rPr>
        <w:t xml:space="preserve">Zintegrowana gospodarka wodna: </w:t>
      </w:r>
    </w:p>
    <w:p w14:paraId="0F8CAA61" w14:textId="14AA6493"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1) Aktualizacja wykazów zanieczyszczeń wpływających na wody powierzchniowe</w:t>
      </w:r>
      <w:r w:rsidR="00CC55C0" w:rsidRPr="0071228C">
        <w:rPr>
          <w:noProof/>
        </w:rPr>
        <w:t xml:space="preserve"> i</w:t>
      </w:r>
      <w:r w:rsidR="00CC55C0">
        <w:rPr>
          <w:noProof/>
        </w:rPr>
        <w:t> </w:t>
      </w:r>
      <w:r w:rsidR="00CC55C0" w:rsidRPr="0071228C">
        <w:rPr>
          <w:noProof/>
        </w:rPr>
        <w:t>pod</w:t>
      </w:r>
      <w:r w:rsidRPr="0071228C">
        <w:rPr>
          <w:noProof/>
        </w:rPr>
        <w:t>ziemne poprzez dodawanie</w:t>
      </w:r>
      <w:r w:rsidR="00CC55C0" w:rsidRPr="0071228C">
        <w:rPr>
          <w:noProof/>
        </w:rPr>
        <w:t xml:space="preserve"> i</w:t>
      </w:r>
      <w:r w:rsidR="00CC55C0">
        <w:rPr>
          <w:noProof/>
        </w:rPr>
        <w:t> </w:t>
      </w:r>
      <w:r w:rsidR="00CC55C0" w:rsidRPr="0071228C">
        <w:rPr>
          <w:noProof/>
        </w:rPr>
        <w:t>usu</w:t>
      </w:r>
      <w:r w:rsidRPr="0071228C">
        <w:rPr>
          <w:noProof/>
        </w:rPr>
        <w:t>wanie substancji oraz zmianę norm jakości dla niektórych substancji wymienionych</w:t>
      </w:r>
      <w:r w:rsidR="00CC55C0" w:rsidRPr="0071228C">
        <w:rPr>
          <w:noProof/>
        </w:rPr>
        <w:t xml:space="preserve"> w</w:t>
      </w:r>
      <w:r w:rsidR="00CC55C0">
        <w:rPr>
          <w:noProof/>
        </w:rPr>
        <w:t> </w:t>
      </w:r>
      <w:r w:rsidR="00CC55C0" w:rsidRPr="0071228C">
        <w:rPr>
          <w:noProof/>
        </w:rPr>
        <w:t>wyk</w:t>
      </w:r>
      <w:r w:rsidRPr="0071228C">
        <w:rPr>
          <w:noProof/>
        </w:rPr>
        <w:t>azie.</w:t>
      </w:r>
    </w:p>
    <w:p w14:paraId="22711066" w14:textId="760D7CE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2) Zwiększenie przejrzystości, dostępu do danych</w:t>
      </w:r>
      <w:r w:rsidR="00CC55C0" w:rsidRPr="0071228C">
        <w:rPr>
          <w:noProof/>
        </w:rPr>
        <w:t xml:space="preserve"> i</w:t>
      </w:r>
      <w:r w:rsidR="00CC55C0">
        <w:rPr>
          <w:noProof/>
        </w:rPr>
        <w:t> </w:t>
      </w:r>
      <w:r w:rsidR="00CC55C0" w:rsidRPr="0071228C">
        <w:rPr>
          <w:noProof/>
        </w:rPr>
        <w:t>ich</w:t>
      </w:r>
      <w:r w:rsidRPr="0071228C">
        <w:rPr>
          <w:noProof/>
        </w:rPr>
        <w:t xml:space="preserve"> ponownego wykorzystania,</w:t>
      </w:r>
      <w:r w:rsidR="00CC55C0" w:rsidRPr="0071228C">
        <w:rPr>
          <w:noProof/>
        </w:rPr>
        <w:t xml:space="preserve"> a</w:t>
      </w:r>
      <w:r w:rsidR="00CC55C0">
        <w:rPr>
          <w:noProof/>
        </w:rPr>
        <w:t> </w:t>
      </w:r>
      <w:r w:rsidR="00CC55C0" w:rsidRPr="0071228C">
        <w:rPr>
          <w:noProof/>
        </w:rPr>
        <w:t>tym</w:t>
      </w:r>
      <w:r w:rsidRPr="0071228C">
        <w:rPr>
          <w:noProof/>
        </w:rPr>
        <w:t xml:space="preserve"> samym ułatwienie wdrażania</w:t>
      </w:r>
      <w:r w:rsidR="00CC55C0" w:rsidRPr="0071228C">
        <w:rPr>
          <w:noProof/>
        </w:rPr>
        <w:t xml:space="preserve"> w</w:t>
      </w:r>
      <w:r w:rsidR="00CC55C0">
        <w:rPr>
          <w:noProof/>
        </w:rPr>
        <w:t> </w:t>
      </w:r>
      <w:r w:rsidR="00CC55C0" w:rsidRPr="0071228C">
        <w:rPr>
          <w:noProof/>
        </w:rPr>
        <w:t>pań</w:t>
      </w:r>
      <w:r w:rsidRPr="0071228C">
        <w:rPr>
          <w:noProof/>
        </w:rPr>
        <w:t>stwach członkowskich, jak również zmniejszenie obciążeń administracyjnych oraz poprawa efektywności</w:t>
      </w:r>
      <w:r w:rsidR="00CC55C0" w:rsidRPr="0071228C">
        <w:rPr>
          <w:noProof/>
        </w:rPr>
        <w:t xml:space="preserve"> i</w:t>
      </w:r>
      <w:r w:rsidR="00CC55C0">
        <w:rPr>
          <w:noProof/>
        </w:rPr>
        <w:t> </w:t>
      </w:r>
      <w:r w:rsidR="00CC55C0" w:rsidRPr="0071228C">
        <w:rPr>
          <w:noProof/>
        </w:rPr>
        <w:t>spó</w:t>
      </w:r>
      <w:r w:rsidRPr="0071228C">
        <w:rPr>
          <w:noProof/>
        </w:rPr>
        <w:t>jności szerszych ram prawnych dotyczących chemikaliów.</w:t>
      </w:r>
    </w:p>
    <w:p w14:paraId="668EE5A1" w14:textId="0793D42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3) Zapewnienie ram prawnych, które można szybciej</w:t>
      </w:r>
      <w:r w:rsidR="00CC55C0" w:rsidRPr="0071228C">
        <w:rPr>
          <w:noProof/>
        </w:rPr>
        <w:t xml:space="preserve"> i</w:t>
      </w:r>
      <w:r w:rsidR="00CC55C0">
        <w:rPr>
          <w:noProof/>
        </w:rPr>
        <w:t> </w:t>
      </w:r>
      <w:r w:rsidR="00CC55C0" w:rsidRPr="0071228C">
        <w:rPr>
          <w:noProof/>
        </w:rPr>
        <w:t>łat</w:t>
      </w:r>
      <w:r w:rsidRPr="0071228C">
        <w:rPr>
          <w:noProof/>
        </w:rPr>
        <w:t>wiej dostosować do wyników badań naukowych</w:t>
      </w:r>
      <w:r w:rsidR="00CC55C0" w:rsidRPr="0071228C">
        <w:rPr>
          <w:noProof/>
        </w:rPr>
        <w:t xml:space="preserve"> i</w:t>
      </w:r>
      <w:r w:rsidR="00CC55C0">
        <w:rPr>
          <w:noProof/>
        </w:rPr>
        <w:t> </w:t>
      </w:r>
      <w:r w:rsidR="00CC55C0" w:rsidRPr="0071228C">
        <w:rPr>
          <w:noProof/>
        </w:rPr>
        <w:t>któ</w:t>
      </w:r>
      <w:r w:rsidRPr="0071228C">
        <w:rPr>
          <w:noProof/>
        </w:rPr>
        <w:t>re szybciej reagują na nowo pojawiające się zanieczyszczenia.</w:t>
      </w:r>
    </w:p>
    <w:p w14:paraId="130C43C2" w14:textId="4E2439C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4) Poprawa monitorowania mieszanin chemicznych</w:t>
      </w:r>
      <w:r w:rsidR="00CC55C0" w:rsidRPr="0071228C">
        <w:rPr>
          <w:noProof/>
        </w:rPr>
        <w:t xml:space="preserve"> w</w:t>
      </w:r>
      <w:r w:rsidR="00CC55C0">
        <w:rPr>
          <w:noProof/>
        </w:rPr>
        <w:t> </w:t>
      </w:r>
      <w:r w:rsidR="00CC55C0" w:rsidRPr="0071228C">
        <w:rPr>
          <w:noProof/>
        </w:rPr>
        <w:t>cel</w:t>
      </w:r>
      <w:r w:rsidRPr="0071228C">
        <w:rPr>
          <w:noProof/>
        </w:rPr>
        <w:t xml:space="preserve">u lepszej oceny łącznych efektów oraz monitorowania sezonowych zmian stężeń substancji zanieczyszczających. </w:t>
      </w:r>
    </w:p>
    <w:p w14:paraId="58901D07" w14:textId="122B689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5) Ujednolicenie sposobu rozwiązywania problemu substancji zanieczyszczających wody powierzchniowe</w:t>
      </w:r>
      <w:r w:rsidR="00CC55C0" w:rsidRPr="0071228C">
        <w:rPr>
          <w:noProof/>
        </w:rPr>
        <w:t xml:space="preserve"> i</w:t>
      </w:r>
      <w:r w:rsidR="00CC55C0">
        <w:rPr>
          <w:noProof/>
        </w:rPr>
        <w:t> </w:t>
      </w:r>
      <w:r w:rsidR="00CC55C0" w:rsidRPr="0071228C">
        <w:rPr>
          <w:noProof/>
        </w:rPr>
        <w:t>pod</w:t>
      </w:r>
      <w:r w:rsidRPr="0071228C">
        <w:rPr>
          <w:noProof/>
        </w:rPr>
        <w:t>ziemne w UE,</w:t>
      </w:r>
      <w:r w:rsidR="00CC55C0" w:rsidRPr="0071228C">
        <w:rPr>
          <w:noProof/>
        </w:rPr>
        <w:t xml:space="preserve"> w</w:t>
      </w:r>
      <w:r w:rsidR="00CC55C0">
        <w:rPr>
          <w:noProof/>
        </w:rPr>
        <w:t> </w:t>
      </w:r>
      <w:r w:rsidR="00CC55C0" w:rsidRPr="0071228C">
        <w:rPr>
          <w:noProof/>
        </w:rPr>
        <w:t>prz</w:t>
      </w:r>
      <w:r w:rsidRPr="0071228C">
        <w:rPr>
          <w:noProof/>
        </w:rPr>
        <w:t xml:space="preserve">ypadku których do tej pory nie ustalono na poziomie UE żadnych norm jakości ani wartości progowych. </w:t>
      </w:r>
    </w:p>
    <w:p w14:paraId="2BB66E2F" w14:textId="061F50A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6) Stworzenie warunków do zwiększenia ponownego wykorzystania wody oraz lepszego gospodarowania osadami</w:t>
      </w:r>
      <w:r w:rsidR="00CC55C0" w:rsidRPr="0071228C">
        <w:rPr>
          <w:noProof/>
        </w:rPr>
        <w:t xml:space="preserve"> i</w:t>
      </w:r>
      <w:r w:rsidR="00CC55C0">
        <w:rPr>
          <w:noProof/>
        </w:rPr>
        <w:t> </w:t>
      </w:r>
      <w:r w:rsidR="00CC55C0" w:rsidRPr="0071228C">
        <w:rPr>
          <w:noProof/>
        </w:rPr>
        <w:t>odp</w:t>
      </w:r>
      <w:r w:rsidRPr="0071228C">
        <w:rPr>
          <w:noProof/>
        </w:rPr>
        <w:t>adami,</w:t>
      </w:r>
      <w:r w:rsidR="00CC55C0" w:rsidRPr="0071228C">
        <w:rPr>
          <w:noProof/>
        </w:rPr>
        <w:t xml:space="preserve"> w</w:t>
      </w:r>
      <w:r w:rsidR="00CC55C0">
        <w:rPr>
          <w:noProof/>
        </w:rPr>
        <w:t> </w:t>
      </w:r>
      <w:r w:rsidR="00CC55C0" w:rsidRPr="0071228C">
        <w:rPr>
          <w:noProof/>
        </w:rPr>
        <w:t>ści</w:t>
      </w:r>
      <w:r w:rsidRPr="0071228C">
        <w:rPr>
          <w:noProof/>
        </w:rPr>
        <w:t>słej synergii</w:t>
      </w:r>
      <w:r w:rsidR="00CC55C0" w:rsidRPr="0071228C">
        <w:rPr>
          <w:noProof/>
        </w:rPr>
        <w:t xml:space="preserve"> z</w:t>
      </w:r>
      <w:r w:rsidR="00CC55C0">
        <w:rPr>
          <w:noProof/>
        </w:rPr>
        <w:t> </w:t>
      </w:r>
      <w:r w:rsidR="00CC55C0" w:rsidRPr="0071228C">
        <w:rPr>
          <w:noProof/>
        </w:rPr>
        <w:t>now</w:t>
      </w:r>
      <w:r w:rsidRPr="0071228C">
        <w:rPr>
          <w:noProof/>
        </w:rPr>
        <w:t>ym rozporządzeniem</w:t>
      </w:r>
      <w:r w:rsidR="00CC55C0" w:rsidRPr="0071228C">
        <w:rPr>
          <w:noProof/>
        </w:rPr>
        <w:t xml:space="preserve"> w</w:t>
      </w:r>
      <w:r w:rsidR="00CC55C0">
        <w:rPr>
          <w:noProof/>
        </w:rPr>
        <w:t> </w:t>
      </w:r>
      <w:r w:rsidR="00CC55C0" w:rsidRPr="0071228C">
        <w:rPr>
          <w:noProof/>
        </w:rPr>
        <w:t>spr</w:t>
      </w:r>
      <w:r w:rsidRPr="0071228C">
        <w:rPr>
          <w:noProof/>
        </w:rPr>
        <w:t>awie ponownego wykorzystania wody, dyrektywą</w:t>
      </w:r>
      <w:r w:rsidR="00CC55C0" w:rsidRPr="0071228C">
        <w:rPr>
          <w:noProof/>
        </w:rPr>
        <w:t xml:space="preserve"> w</w:t>
      </w:r>
      <w:r w:rsidR="00CC55C0">
        <w:rPr>
          <w:noProof/>
        </w:rPr>
        <w:t> </w:t>
      </w:r>
      <w:r w:rsidR="00CC55C0" w:rsidRPr="0071228C">
        <w:rPr>
          <w:noProof/>
        </w:rPr>
        <w:t>spr</w:t>
      </w:r>
      <w:r w:rsidRPr="0071228C">
        <w:rPr>
          <w:noProof/>
        </w:rPr>
        <w:t>awie osadów ściekowych oraz dorobkiem prawnym UE</w:t>
      </w:r>
      <w:r w:rsidR="00CC55C0" w:rsidRPr="0071228C">
        <w:rPr>
          <w:noProof/>
        </w:rPr>
        <w:t xml:space="preserve"> w</w:t>
      </w:r>
      <w:r w:rsidR="00CC55C0">
        <w:rPr>
          <w:noProof/>
        </w:rPr>
        <w:t> </w:t>
      </w:r>
      <w:r w:rsidR="00CC55C0" w:rsidRPr="0071228C">
        <w:rPr>
          <w:noProof/>
        </w:rPr>
        <w:t>zak</w:t>
      </w:r>
      <w:r w:rsidRPr="0071228C">
        <w:rPr>
          <w:noProof/>
        </w:rPr>
        <w:t>resie odpadów.</w:t>
      </w:r>
    </w:p>
    <w:p w14:paraId="10ADD659"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lang w:eastAsia="en-GB"/>
        </w:rPr>
      </w:pPr>
    </w:p>
    <w:p w14:paraId="7804BC91"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71228C">
        <w:rPr>
          <w:b/>
          <w:i/>
          <w:noProof/>
          <w:u w:val="single"/>
        </w:rPr>
        <w:t>Dyrektywa dotycząca oczyszczania ścieków komunalnych:</w:t>
      </w:r>
    </w:p>
    <w:p w14:paraId="68C2F545" w14:textId="613E145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1) Przyczynienie się do określenia,</w:t>
      </w:r>
      <w:r w:rsidR="00CC55C0" w:rsidRPr="0071228C">
        <w:rPr>
          <w:noProof/>
        </w:rPr>
        <w:t xml:space="preserve"> a</w:t>
      </w:r>
      <w:r w:rsidR="00CC55C0">
        <w:rPr>
          <w:noProof/>
        </w:rPr>
        <w:t> </w:t>
      </w:r>
      <w:r w:rsidR="00CC55C0" w:rsidRPr="0071228C">
        <w:rPr>
          <w:noProof/>
        </w:rPr>
        <w:t>nas</w:t>
      </w:r>
      <w:r w:rsidRPr="0071228C">
        <w:rPr>
          <w:noProof/>
        </w:rPr>
        <w:t>tępnie przeciwdziałania przedostawaniu się zanieczyszczeń do oczyszczalni ścieków.</w:t>
      </w:r>
    </w:p>
    <w:p w14:paraId="1A4835CE" w14:textId="08F5D9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2) Dalsza redukcja substancji biogennych (N i P), mikrozanieczyszczeń</w:t>
      </w:r>
      <w:r w:rsidR="00CC55C0" w:rsidRPr="0071228C">
        <w:rPr>
          <w:noProof/>
        </w:rPr>
        <w:t xml:space="preserve"> i</w:t>
      </w:r>
      <w:r w:rsidR="00CC55C0">
        <w:rPr>
          <w:noProof/>
        </w:rPr>
        <w:t> </w:t>
      </w:r>
      <w:r w:rsidR="00CC55C0" w:rsidRPr="0071228C">
        <w:rPr>
          <w:noProof/>
        </w:rPr>
        <w:t>mik</w:t>
      </w:r>
      <w:r w:rsidRPr="0071228C">
        <w:rPr>
          <w:noProof/>
        </w:rPr>
        <w:t>rodrobin plastiku,</w:t>
      </w:r>
      <w:r w:rsidR="00CC55C0" w:rsidRPr="0071228C">
        <w:rPr>
          <w:noProof/>
        </w:rPr>
        <w:t xml:space="preserve"> a</w:t>
      </w:r>
      <w:r w:rsidR="00CC55C0">
        <w:rPr>
          <w:noProof/>
        </w:rPr>
        <w:t> </w:t>
      </w:r>
      <w:r w:rsidR="00CC55C0" w:rsidRPr="0071228C">
        <w:rPr>
          <w:noProof/>
        </w:rPr>
        <w:t>tak</w:t>
      </w:r>
      <w:r w:rsidRPr="0071228C">
        <w:rPr>
          <w:noProof/>
        </w:rPr>
        <w:t>że „pozostałych źródeł” zanieczyszczeń (przelewy wód burzowych, spływy miejskie, mniejsze aglomeracje</w:t>
      </w:r>
      <w:r w:rsidR="00CC55C0" w:rsidRPr="0071228C">
        <w:rPr>
          <w:noProof/>
        </w:rPr>
        <w:t xml:space="preserve"> i</w:t>
      </w:r>
      <w:r w:rsidR="00CC55C0">
        <w:rPr>
          <w:noProof/>
        </w:rPr>
        <w:t> </w:t>
      </w:r>
      <w:r w:rsidR="00CC55C0" w:rsidRPr="0071228C">
        <w:rPr>
          <w:noProof/>
        </w:rPr>
        <w:t>poj</w:t>
      </w:r>
      <w:r w:rsidRPr="0071228C">
        <w:rPr>
          <w:noProof/>
        </w:rPr>
        <w:t>edyncze lub inne właściwe systemy).</w:t>
      </w:r>
    </w:p>
    <w:p w14:paraId="5F44DC3A" w14:textId="6604ADA5"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3) Dążenie do neutralności energetycznej sektora ściekowego</w:t>
      </w:r>
      <w:r w:rsidRPr="00CC55C0">
        <w:rPr>
          <w:noProof/>
        </w:rPr>
        <w:t>.</w:t>
      </w:r>
      <w:r w:rsidR="00CC55C0" w:rsidRPr="00CC55C0">
        <w:rPr>
          <w:noProof/>
        </w:rPr>
        <w:t xml:space="preserve"> </w:t>
      </w:r>
    </w:p>
    <w:p w14:paraId="6FC18658" w14:textId="2000C54A"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4) Stworzenie warunków do zwiększenia ponownego wykorzystania wody oraz lepszego gospodarowania osadami</w:t>
      </w:r>
      <w:r w:rsidR="00CC55C0" w:rsidRPr="0071228C">
        <w:rPr>
          <w:noProof/>
        </w:rPr>
        <w:t xml:space="preserve"> i</w:t>
      </w:r>
      <w:r w:rsidR="00CC55C0">
        <w:rPr>
          <w:noProof/>
        </w:rPr>
        <w:t> </w:t>
      </w:r>
      <w:r w:rsidR="00CC55C0" w:rsidRPr="0071228C">
        <w:rPr>
          <w:noProof/>
        </w:rPr>
        <w:t>odp</w:t>
      </w:r>
      <w:r w:rsidRPr="0071228C">
        <w:rPr>
          <w:noProof/>
        </w:rPr>
        <w:t>adami</w:t>
      </w:r>
      <w:r w:rsidR="00CC55C0" w:rsidRPr="0071228C">
        <w:rPr>
          <w:noProof/>
        </w:rPr>
        <w:t xml:space="preserve"> w</w:t>
      </w:r>
      <w:r w:rsidR="00CC55C0">
        <w:rPr>
          <w:noProof/>
        </w:rPr>
        <w:t> </w:t>
      </w:r>
      <w:r w:rsidR="00CC55C0" w:rsidRPr="0071228C">
        <w:rPr>
          <w:noProof/>
        </w:rPr>
        <w:t>ści</w:t>
      </w:r>
      <w:r w:rsidRPr="0071228C">
        <w:rPr>
          <w:noProof/>
        </w:rPr>
        <w:t>słej synergii</w:t>
      </w:r>
      <w:r w:rsidR="00CC55C0" w:rsidRPr="0071228C">
        <w:rPr>
          <w:noProof/>
        </w:rPr>
        <w:t xml:space="preserve"> z</w:t>
      </w:r>
      <w:r w:rsidR="00CC55C0">
        <w:rPr>
          <w:noProof/>
        </w:rPr>
        <w:t> </w:t>
      </w:r>
      <w:r w:rsidR="00CC55C0" w:rsidRPr="0071228C">
        <w:rPr>
          <w:noProof/>
        </w:rPr>
        <w:t>now</w:t>
      </w:r>
      <w:r w:rsidRPr="0071228C">
        <w:rPr>
          <w:noProof/>
        </w:rPr>
        <w:t>ym rozporządzeniem</w:t>
      </w:r>
      <w:r w:rsidR="00CC55C0" w:rsidRPr="0071228C">
        <w:rPr>
          <w:noProof/>
        </w:rPr>
        <w:t xml:space="preserve"> w</w:t>
      </w:r>
      <w:r w:rsidR="00CC55C0">
        <w:rPr>
          <w:noProof/>
        </w:rPr>
        <w:t> </w:t>
      </w:r>
      <w:r w:rsidR="00CC55C0" w:rsidRPr="0071228C">
        <w:rPr>
          <w:noProof/>
        </w:rPr>
        <w:t>spr</w:t>
      </w:r>
      <w:r w:rsidRPr="0071228C">
        <w:rPr>
          <w:noProof/>
        </w:rPr>
        <w:t>awie ponownego wykorzystania wody, dyrektywą</w:t>
      </w:r>
      <w:r w:rsidR="00CC55C0" w:rsidRPr="0071228C">
        <w:rPr>
          <w:noProof/>
        </w:rPr>
        <w:t xml:space="preserve"> w</w:t>
      </w:r>
      <w:r w:rsidR="00CC55C0">
        <w:rPr>
          <w:noProof/>
        </w:rPr>
        <w:t> </w:t>
      </w:r>
      <w:r w:rsidR="00CC55C0" w:rsidRPr="0071228C">
        <w:rPr>
          <w:noProof/>
        </w:rPr>
        <w:t>spr</w:t>
      </w:r>
      <w:r w:rsidRPr="0071228C">
        <w:rPr>
          <w:noProof/>
        </w:rPr>
        <w:t>awie osadów ściekowych oraz dorobkiem prawnym UE</w:t>
      </w:r>
      <w:r w:rsidR="00CC55C0" w:rsidRPr="0071228C">
        <w:rPr>
          <w:noProof/>
        </w:rPr>
        <w:t xml:space="preserve"> w</w:t>
      </w:r>
      <w:r w:rsidR="00CC55C0">
        <w:rPr>
          <w:noProof/>
        </w:rPr>
        <w:t> </w:t>
      </w:r>
      <w:r w:rsidR="00CC55C0" w:rsidRPr="0071228C">
        <w:rPr>
          <w:noProof/>
        </w:rPr>
        <w:t>zak</w:t>
      </w:r>
      <w:r w:rsidRPr="0071228C">
        <w:rPr>
          <w:noProof/>
        </w:rPr>
        <w:t>resie odpadów.</w:t>
      </w:r>
    </w:p>
    <w:p w14:paraId="6E4BBFAC" w14:textId="6114BCB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5) Poprawa dostępu do kanalizacji,</w:t>
      </w:r>
      <w:r w:rsidR="00CC55C0" w:rsidRPr="0071228C">
        <w:rPr>
          <w:noProof/>
        </w:rPr>
        <w:t xml:space="preserve"> w</w:t>
      </w:r>
      <w:r w:rsidR="00CC55C0">
        <w:rPr>
          <w:noProof/>
        </w:rPr>
        <w:t> </w:t>
      </w:r>
      <w:r w:rsidR="00CC55C0" w:rsidRPr="0071228C">
        <w:rPr>
          <w:noProof/>
        </w:rPr>
        <w:t>szc</w:t>
      </w:r>
      <w:r w:rsidRPr="0071228C">
        <w:rPr>
          <w:noProof/>
        </w:rPr>
        <w:t>zególności dla wrażliwych</w:t>
      </w:r>
      <w:r w:rsidR="00CC55C0" w:rsidRPr="0071228C">
        <w:rPr>
          <w:noProof/>
        </w:rPr>
        <w:t xml:space="preserve"> i</w:t>
      </w:r>
      <w:r w:rsidR="00CC55C0">
        <w:rPr>
          <w:noProof/>
        </w:rPr>
        <w:t> </w:t>
      </w:r>
      <w:r w:rsidR="00CC55C0" w:rsidRPr="0071228C">
        <w:rPr>
          <w:noProof/>
        </w:rPr>
        <w:t>zma</w:t>
      </w:r>
      <w:r w:rsidRPr="0071228C">
        <w:rPr>
          <w:noProof/>
        </w:rPr>
        <w:t>rginalizowanych osób.</w:t>
      </w:r>
    </w:p>
    <w:p w14:paraId="6B05244A" w14:textId="7F726D5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6) Wzmocnienie, modernizacja, uproszczenie</w:t>
      </w:r>
      <w:r w:rsidR="00CC55C0" w:rsidRPr="0071228C">
        <w:rPr>
          <w:noProof/>
        </w:rPr>
        <w:t xml:space="preserve"> i</w:t>
      </w:r>
      <w:r w:rsidR="00CC55C0">
        <w:rPr>
          <w:noProof/>
        </w:rPr>
        <w:t> </w:t>
      </w:r>
      <w:r w:rsidR="00CC55C0" w:rsidRPr="0071228C">
        <w:rPr>
          <w:noProof/>
        </w:rPr>
        <w:t>dos</w:t>
      </w:r>
      <w:r w:rsidRPr="0071228C">
        <w:rPr>
          <w:noProof/>
        </w:rPr>
        <w:t>tosowanie obowiązków monitorowania</w:t>
      </w:r>
      <w:r w:rsidR="00CC55C0" w:rsidRPr="0071228C">
        <w:rPr>
          <w:noProof/>
        </w:rPr>
        <w:t xml:space="preserve"> i</w:t>
      </w:r>
      <w:r w:rsidR="00CC55C0">
        <w:rPr>
          <w:noProof/>
        </w:rPr>
        <w:t> </w:t>
      </w:r>
      <w:r w:rsidR="00CC55C0" w:rsidRPr="0071228C">
        <w:rPr>
          <w:noProof/>
        </w:rPr>
        <w:t>spr</w:t>
      </w:r>
      <w:r w:rsidRPr="0071228C">
        <w:rPr>
          <w:noProof/>
        </w:rPr>
        <w:t>awozdawczości.</w:t>
      </w:r>
    </w:p>
    <w:p w14:paraId="3F4E1FFF"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 </w:t>
      </w:r>
    </w:p>
    <w:p w14:paraId="332E4FE1"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71228C">
        <w:rPr>
          <w:b/>
          <w:i/>
          <w:noProof/>
          <w:u w:val="single"/>
        </w:rPr>
        <w:t>Przepisy dotyczące jakości powietrza:</w:t>
      </w:r>
    </w:p>
    <w:p w14:paraId="12BB4734" w14:textId="02E2998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1) Zmiana unijnych norm jakości powietrza</w:t>
      </w:r>
      <w:r w:rsidR="00CC55C0" w:rsidRPr="0071228C">
        <w:rPr>
          <w:noProof/>
        </w:rPr>
        <w:t xml:space="preserve"> w</w:t>
      </w:r>
      <w:r w:rsidR="00CC55C0">
        <w:rPr>
          <w:noProof/>
        </w:rPr>
        <w:t> </w:t>
      </w:r>
      <w:r w:rsidR="00CC55C0" w:rsidRPr="0071228C">
        <w:rPr>
          <w:noProof/>
        </w:rPr>
        <w:t>cel</w:t>
      </w:r>
      <w:r w:rsidRPr="0071228C">
        <w:rPr>
          <w:noProof/>
        </w:rPr>
        <w:t>u lepszego dostosowania ich do zaleceń WHO,</w:t>
      </w:r>
      <w:r w:rsidR="00CC55C0" w:rsidRPr="0071228C">
        <w:rPr>
          <w:noProof/>
        </w:rPr>
        <w:t xml:space="preserve"> w</w:t>
      </w:r>
      <w:r w:rsidR="00CC55C0">
        <w:rPr>
          <w:noProof/>
        </w:rPr>
        <w:t> </w:t>
      </w:r>
      <w:r w:rsidR="00CC55C0" w:rsidRPr="0071228C">
        <w:rPr>
          <w:noProof/>
        </w:rPr>
        <w:t>mia</w:t>
      </w:r>
      <w:r w:rsidRPr="0071228C">
        <w:rPr>
          <w:noProof/>
        </w:rPr>
        <w:t>rę możliwości uwzględnienie najnowszych opinii naukowych, wykonalności, kosztów</w:t>
      </w:r>
      <w:r w:rsidR="00CC55C0" w:rsidRPr="0071228C">
        <w:rPr>
          <w:noProof/>
        </w:rPr>
        <w:t xml:space="preserve"> i</w:t>
      </w:r>
      <w:r w:rsidR="00CC55C0">
        <w:rPr>
          <w:noProof/>
        </w:rPr>
        <w:t> </w:t>
      </w:r>
      <w:r w:rsidR="00CC55C0" w:rsidRPr="0071228C">
        <w:rPr>
          <w:noProof/>
        </w:rPr>
        <w:t>kor</w:t>
      </w:r>
      <w:r w:rsidRPr="0071228C">
        <w:rPr>
          <w:noProof/>
        </w:rPr>
        <w:t>zyści,</w:t>
      </w:r>
      <w:r w:rsidR="00CC55C0" w:rsidRPr="0071228C">
        <w:rPr>
          <w:noProof/>
        </w:rPr>
        <w:t xml:space="preserve"> a</w:t>
      </w:r>
      <w:r w:rsidR="00CC55C0">
        <w:rPr>
          <w:noProof/>
        </w:rPr>
        <w:t> </w:t>
      </w:r>
      <w:r w:rsidR="00CC55C0" w:rsidRPr="0071228C">
        <w:rPr>
          <w:noProof/>
        </w:rPr>
        <w:t>tak</w:t>
      </w:r>
      <w:r w:rsidRPr="0071228C">
        <w:rPr>
          <w:noProof/>
        </w:rPr>
        <w:t>że zapewnienie odpowiedniego</w:t>
      </w:r>
      <w:r w:rsidR="00CC55C0" w:rsidRPr="0071228C">
        <w:rPr>
          <w:noProof/>
        </w:rPr>
        <w:t xml:space="preserve"> i</w:t>
      </w:r>
      <w:r w:rsidR="00CC55C0">
        <w:rPr>
          <w:noProof/>
        </w:rPr>
        <w:t> </w:t>
      </w:r>
      <w:r w:rsidR="00CC55C0" w:rsidRPr="0071228C">
        <w:rPr>
          <w:noProof/>
        </w:rPr>
        <w:t>sku</w:t>
      </w:r>
      <w:r w:rsidRPr="0071228C">
        <w:rPr>
          <w:noProof/>
        </w:rPr>
        <w:t>tecznego reagowania prawodawstwa na przyszłe zmiany</w:t>
      </w:r>
      <w:r w:rsidR="00CC55C0" w:rsidRPr="0071228C">
        <w:rPr>
          <w:noProof/>
        </w:rPr>
        <w:t xml:space="preserve"> w</w:t>
      </w:r>
      <w:r w:rsidR="00CC55C0">
        <w:rPr>
          <w:noProof/>
        </w:rPr>
        <w:t> </w:t>
      </w:r>
      <w:r w:rsidR="00CC55C0" w:rsidRPr="0071228C">
        <w:rPr>
          <w:noProof/>
        </w:rPr>
        <w:t>dow</w:t>
      </w:r>
      <w:r w:rsidRPr="0071228C">
        <w:rPr>
          <w:noProof/>
        </w:rPr>
        <w:t>odach będących ich podstawą.</w:t>
      </w:r>
    </w:p>
    <w:p w14:paraId="35A74EE9" w14:textId="040B0562"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2) Zapewnienie, aby plany ochrony powietrza były skutecznym środkiem identyfikowania, planowania</w:t>
      </w:r>
      <w:r w:rsidR="00CC55C0" w:rsidRPr="0071228C">
        <w:rPr>
          <w:noProof/>
        </w:rPr>
        <w:t xml:space="preserve"> i</w:t>
      </w:r>
      <w:r w:rsidR="00CC55C0">
        <w:rPr>
          <w:noProof/>
        </w:rPr>
        <w:t> </w:t>
      </w:r>
      <w:r w:rsidR="00CC55C0" w:rsidRPr="0071228C">
        <w:rPr>
          <w:noProof/>
        </w:rPr>
        <w:t>łag</w:t>
      </w:r>
      <w:r w:rsidRPr="0071228C">
        <w:rPr>
          <w:noProof/>
        </w:rPr>
        <w:t>odzenia skutków przekroczenia norm,</w:t>
      </w:r>
      <w:r w:rsidR="00CC55C0" w:rsidRPr="0071228C">
        <w:rPr>
          <w:noProof/>
        </w:rPr>
        <w:t xml:space="preserve"> a</w:t>
      </w:r>
      <w:r w:rsidR="00CC55C0">
        <w:rPr>
          <w:noProof/>
        </w:rPr>
        <w:t> </w:t>
      </w:r>
      <w:r w:rsidR="00CC55C0" w:rsidRPr="0071228C">
        <w:rPr>
          <w:noProof/>
        </w:rPr>
        <w:t>tak</w:t>
      </w:r>
      <w:r w:rsidRPr="0071228C">
        <w:rPr>
          <w:noProof/>
        </w:rPr>
        <w:t>że wprowadzenie do prawa UE bardziej przejrzystych przepisów dotyczących udziału zainteresowanych stron, dostępu do wymiaru sprawiedliwości, kar</w:t>
      </w:r>
      <w:r w:rsidR="00CC55C0" w:rsidRPr="0071228C">
        <w:rPr>
          <w:noProof/>
        </w:rPr>
        <w:t xml:space="preserve"> i</w:t>
      </w:r>
      <w:r w:rsidR="00CC55C0">
        <w:rPr>
          <w:noProof/>
        </w:rPr>
        <w:t> </w:t>
      </w:r>
      <w:r w:rsidR="00CC55C0" w:rsidRPr="0071228C">
        <w:rPr>
          <w:noProof/>
        </w:rPr>
        <w:t>ods</w:t>
      </w:r>
      <w:r w:rsidRPr="0071228C">
        <w:rPr>
          <w:noProof/>
        </w:rPr>
        <w:t>zkodowań powiązanych</w:t>
      </w:r>
      <w:r w:rsidR="00CC55C0" w:rsidRPr="0071228C">
        <w:rPr>
          <w:noProof/>
        </w:rPr>
        <w:t xml:space="preserve"> z</w:t>
      </w:r>
      <w:r w:rsidR="00CC55C0">
        <w:rPr>
          <w:noProof/>
        </w:rPr>
        <w:t> </w:t>
      </w:r>
      <w:r w:rsidR="00CC55C0" w:rsidRPr="0071228C">
        <w:rPr>
          <w:noProof/>
        </w:rPr>
        <w:t>czy</w:t>
      </w:r>
      <w:r w:rsidRPr="0071228C">
        <w:rPr>
          <w:noProof/>
        </w:rPr>
        <w:t>stością powietrza</w:t>
      </w:r>
      <w:r w:rsidRPr="00CC55C0">
        <w:rPr>
          <w:noProof/>
        </w:rPr>
        <w:t>.</w:t>
      </w:r>
      <w:r w:rsidR="00CC55C0" w:rsidRPr="00CC55C0">
        <w:rPr>
          <w:noProof/>
        </w:rPr>
        <w:t xml:space="preserve"> </w:t>
      </w:r>
    </w:p>
    <w:p w14:paraId="6E8B233F" w14:textId="4418589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3) Dalsze wzmocnienie przepisów dotyczących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oraz planów jego ochrony, aby pomóc władzom lokalnym</w:t>
      </w:r>
      <w:r w:rsidR="00CC55C0" w:rsidRPr="0071228C">
        <w:rPr>
          <w:noProof/>
        </w:rPr>
        <w:t xml:space="preserve"> w</w:t>
      </w:r>
      <w:r w:rsidR="00CC55C0">
        <w:rPr>
          <w:noProof/>
        </w:rPr>
        <w:t> </w:t>
      </w:r>
      <w:r w:rsidR="00CC55C0" w:rsidRPr="0071228C">
        <w:rPr>
          <w:noProof/>
        </w:rPr>
        <w:t>osi</w:t>
      </w:r>
      <w:r w:rsidRPr="0071228C">
        <w:rPr>
          <w:noProof/>
        </w:rPr>
        <w:t xml:space="preserve">ągnięciu lepszego stanu powietrza. </w:t>
      </w:r>
    </w:p>
    <w:p w14:paraId="6AD42996" w14:textId="5A7026C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4) Informowanie obywateli</w:t>
      </w:r>
      <w:r w:rsidR="00CC55C0" w:rsidRPr="0071228C">
        <w:rPr>
          <w:noProof/>
        </w:rPr>
        <w:t xml:space="preserve"> o</w:t>
      </w:r>
      <w:r w:rsidR="00CC55C0">
        <w:rPr>
          <w:noProof/>
        </w:rPr>
        <w:t> </w:t>
      </w:r>
      <w:r w:rsidR="00CC55C0" w:rsidRPr="0071228C">
        <w:rPr>
          <w:noProof/>
        </w:rPr>
        <w:t>wpł</w:t>
      </w:r>
      <w:r w:rsidRPr="0071228C">
        <w:rPr>
          <w:noProof/>
        </w:rPr>
        <w:t xml:space="preserve">ywie zanieczyszczenia powietrza na zdrowie. </w:t>
      </w:r>
    </w:p>
    <w:p w14:paraId="684C4983" w14:textId="76C489F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5) Uproszczenie obowiązujących przepisów tam, gdzie jest to możliwe,</w:t>
      </w:r>
      <w:r w:rsidR="00CC55C0" w:rsidRPr="0071228C">
        <w:rPr>
          <w:noProof/>
        </w:rPr>
        <w:t xml:space="preserve"> w</w:t>
      </w:r>
      <w:r w:rsidR="00CC55C0">
        <w:rPr>
          <w:noProof/>
        </w:rPr>
        <w:t> </w:t>
      </w:r>
      <w:r w:rsidR="00CC55C0" w:rsidRPr="0071228C">
        <w:rPr>
          <w:noProof/>
        </w:rPr>
        <w:t>cel</w:t>
      </w:r>
      <w:r w:rsidRPr="0071228C">
        <w:rPr>
          <w:noProof/>
        </w:rPr>
        <w:t>u zwiększenia skuteczności</w:t>
      </w:r>
      <w:r w:rsidR="00CC55C0" w:rsidRPr="0071228C">
        <w:rPr>
          <w:noProof/>
        </w:rPr>
        <w:t xml:space="preserve"> i</w:t>
      </w:r>
      <w:r w:rsidR="00CC55C0">
        <w:rPr>
          <w:noProof/>
        </w:rPr>
        <w:t> </w:t>
      </w:r>
      <w:r w:rsidR="00CC55C0" w:rsidRPr="0071228C">
        <w:rPr>
          <w:noProof/>
        </w:rPr>
        <w:t>efe</w:t>
      </w:r>
      <w:r w:rsidRPr="0071228C">
        <w:rPr>
          <w:noProof/>
        </w:rPr>
        <w:t>ktywności zarządzania jakością powietrza.</w:t>
      </w:r>
    </w:p>
    <w:p w14:paraId="51AD27B1"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lang w:eastAsia="en-GB"/>
        </w:rPr>
      </w:pPr>
    </w:p>
    <w:p w14:paraId="7AD889DD" w14:textId="58EBC75A" w:rsidR="001C0111" w:rsidRPr="0071228C" w:rsidRDefault="001C0111" w:rsidP="002A2DB0">
      <w:pPr>
        <w:keepNext/>
        <w:outlineLvl w:val="2"/>
        <w:rPr>
          <w:rFonts w:eastAsiaTheme="majorEastAsia"/>
          <w:bCs/>
          <w:i/>
          <w:noProof/>
        </w:rPr>
      </w:pPr>
      <w:bookmarkStart w:id="16" w:name="_Toc514938019"/>
      <w:bookmarkStart w:id="17" w:name="_Toc520485032"/>
      <w:r w:rsidRPr="0071228C">
        <w:rPr>
          <w:i/>
          <w:noProof/>
        </w:rPr>
        <w:t>Oczekiwane wyniki</w:t>
      </w:r>
      <w:r w:rsidR="00CC55C0" w:rsidRPr="0071228C">
        <w:rPr>
          <w:i/>
          <w:noProof/>
        </w:rPr>
        <w:t xml:space="preserve"> i</w:t>
      </w:r>
      <w:r w:rsidR="00CC55C0">
        <w:rPr>
          <w:i/>
          <w:noProof/>
        </w:rPr>
        <w:t> </w:t>
      </w:r>
      <w:r w:rsidR="00CC55C0" w:rsidRPr="0071228C">
        <w:rPr>
          <w:i/>
          <w:noProof/>
        </w:rPr>
        <w:t>wpł</w:t>
      </w:r>
      <w:r w:rsidRPr="0071228C">
        <w:rPr>
          <w:i/>
          <w:noProof/>
        </w:rPr>
        <w:t>yw</w:t>
      </w:r>
      <w:bookmarkEnd w:id="16"/>
      <w:bookmarkEnd w:id="17"/>
    </w:p>
    <w:p w14:paraId="602DD7F2"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18" w:name="_Toc514938023"/>
      <w:bookmarkStart w:id="19" w:name="_Toc520485033"/>
      <w:r w:rsidRPr="0071228C">
        <w:rPr>
          <w:noProof/>
          <w:u w:val="single"/>
        </w:rPr>
        <w:t xml:space="preserve">Zintegrowana gospodarka wodna: </w:t>
      </w:r>
    </w:p>
    <w:p w14:paraId="59C25812" w14:textId="035538B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Proponowana dyrektywa doprowadzi</w:t>
      </w:r>
      <w:r w:rsidR="00CC55C0" w:rsidRPr="0071228C">
        <w:rPr>
          <w:noProof/>
        </w:rPr>
        <w:t xml:space="preserve"> w</w:t>
      </w:r>
      <w:r w:rsidR="00CC55C0">
        <w:rPr>
          <w:noProof/>
        </w:rPr>
        <w:t> </w:t>
      </w:r>
      <w:r w:rsidR="00CC55C0" w:rsidRPr="0071228C">
        <w:rPr>
          <w:noProof/>
        </w:rPr>
        <w:t>szc</w:t>
      </w:r>
      <w:r w:rsidRPr="0071228C">
        <w:rPr>
          <w:noProof/>
        </w:rPr>
        <w:t>zególności do aktualizacji wykazów substancji zanieczyszczających wody podziemne</w:t>
      </w:r>
      <w:r w:rsidR="00CC55C0" w:rsidRPr="0071228C">
        <w:rPr>
          <w:noProof/>
        </w:rPr>
        <w:t xml:space="preserve"> i</w:t>
      </w:r>
      <w:r w:rsidR="00CC55C0">
        <w:rPr>
          <w:noProof/>
        </w:rPr>
        <w:t> </w:t>
      </w:r>
      <w:r w:rsidR="00CC55C0" w:rsidRPr="0071228C">
        <w:rPr>
          <w:noProof/>
        </w:rPr>
        <w:t>pow</w:t>
      </w:r>
      <w:r w:rsidRPr="0071228C">
        <w:rPr>
          <w:noProof/>
        </w:rPr>
        <w:t>ierzchniowe. Pozwoli także rozwiązać problem szeregu niedociągnięć dotyczących chemikaliów</w:t>
      </w:r>
      <w:r w:rsidR="00CC55C0" w:rsidRPr="0071228C">
        <w:rPr>
          <w:noProof/>
        </w:rPr>
        <w:t xml:space="preserve"> w</w:t>
      </w:r>
      <w:r w:rsidR="00CC55C0">
        <w:rPr>
          <w:noProof/>
        </w:rPr>
        <w:t> </w:t>
      </w:r>
      <w:r w:rsidR="00CC55C0" w:rsidRPr="0071228C">
        <w:rPr>
          <w:noProof/>
        </w:rPr>
        <w:t>wod</w:t>
      </w:r>
      <w:r w:rsidRPr="0071228C">
        <w:rPr>
          <w:noProof/>
        </w:rPr>
        <w:t>zie, na które zwrócono uwagę podczas przeprowadzonej</w:t>
      </w:r>
      <w:r w:rsidR="00CC55C0" w:rsidRPr="0071228C">
        <w:rPr>
          <w:noProof/>
        </w:rPr>
        <w:t xml:space="preserve"> w</w:t>
      </w:r>
      <w:r w:rsidR="00CC55C0">
        <w:rPr>
          <w:noProof/>
        </w:rPr>
        <w:t> </w:t>
      </w:r>
      <w:r w:rsidR="00CC55C0" w:rsidRPr="0071228C">
        <w:rPr>
          <w:noProof/>
        </w:rPr>
        <w:t>2</w:t>
      </w:r>
      <w:r w:rsidRPr="0071228C">
        <w:rPr>
          <w:noProof/>
        </w:rPr>
        <w:t>0</w:t>
      </w:r>
      <w:r w:rsidRPr="00CC55C0">
        <w:rPr>
          <w:noProof/>
        </w:rPr>
        <w:t>19</w:t>
      </w:r>
      <w:r w:rsidR="00CC55C0" w:rsidRPr="00CC55C0">
        <w:rPr>
          <w:noProof/>
        </w:rPr>
        <w:t> </w:t>
      </w:r>
      <w:r w:rsidRPr="00CC55C0">
        <w:rPr>
          <w:noProof/>
        </w:rPr>
        <w:t>r.</w:t>
      </w:r>
      <w:r w:rsidRPr="0071228C">
        <w:rPr>
          <w:noProof/>
        </w:rPr>
        <w:t xml:space="preserve"> oceny adekwatności prawodawstwa dotyczącego wody.</w:t>
      </w:r>
    </w:p>
    <w:p w14:paraId="0FB99FBB" w14:textId="020340F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Doprowadzi do obniżenia poziomu zanieczyszczenia europejskich wód słodkich, przybrzeżnych, przejściowych</w:t>
      </w:r>
      <w:r w:rsidR="00CC55C0" w:rsidRPr="0071228C">
        <w:rPr>
          <w:noProof/>
        </w:rPr>
        <w:t xml:space="preserve"> i</w:t>
      </w:r>
      <w:r w:rsidR="00CC55C0">
        <w:rPr>
          <w:noProof/>
        </w:rPr>
        <w:t> </w:t>
      </w:r>
      <w:r w:rsidR="00CC55C0" w:rsidRPr="0071228C">
        <w:rPr>
          <w:noProof/>
        </w:rPr>
        <w:t>pod</w:t>
      </w:r>
      <w:r w:rsidRPr="0071228C">
        <w:rPr>
          <w:noProof/>
        </w:rPr>
        <w:t xml:space="preserve">ziemnych. </w:t>
      </w:r>
    </w:p>
    <w:p w14:paraId="5F317FB4" w14:textId="3613DF6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Umożliwi uzyskanie bardziej aktualnych</w:t>
      </w:r>
      <w:r w:rsidR="00CC55C0" w:rsidRPr="0071228C">
        <w:rPr>
          <w:noProof/>
        </w:rPr>
        <w:t xml:space="preserve"> i</w:t>
      </w:r>
      <w:r w:rsidR="00CC55C0">
        <w:rPr>
          <w:noProof/>
        </w:rPr>
        <w:t> </w:t>
      </w:r>
      <w:r w:rsidR="00CC55C0" w:rsidRPr="0071228C">
        <w:rPr>
          <w:noProof/>
        </w:rPr>
        <w:t>ist</w:t>
      </w:r>
      <w:r w:rsidRPr="0071228C">
        <w:rPr>
          <w:noProof/>
        </w:rPr>
        <w:t>otnych informacji dotyczących stanu wód, bardziej wiarygodnych informacji na temat pojawiających się</w:t>
      </w:r>
      <w:r w:rsidR="00CC55C0" w:rsidRPr="0071228C">
        <w:rPr>
          <w:noProof/>
        </w:rPr>
        <w:t xml:space="preserve"> w</w:t>
      </w:r>
      <w:r w:rsidR="00CC55C0">
        <w:rPr>
          <w:noProof/>
        </w:rPr>
        <w:t> </w:t>
      </w:r>
      <w:r w:rsidR="00CC55C0" w:rsidRPr="0071228C">
        <w:rPr>
          <w:noProof/>
        </w:rPr>
        <w:t>wod</w:t>
      </w:r>
      <w:r w:rsidRPr="0071228C">
        <w:rPr>
          <w:noProof/>
        </w:rPr>
        <w:t>ach podziemnych substancji zanieczyszczających, zapewni możliwość regularnego aktualizowania wykazów substancji na podstawie informacji pochodzących</w:t>
      </w:r>
      <w:r w:rsidR="00CC55C0" w:rsidRPr="0071228C">
        <w:rPr>
          <w:noProof/>
        </w:rPr>
        <w:t xml:space="preserve"> z</w:t>
      </w:r>
      <w:r w:rsidR="00CC55C0">
        <w:rPr>
          <w:noProof/>
        </w:rPr>
        <w:t> </w:t>
      </w:r>
      <w:r w:rsidR="00CC55C0" w:rsidRPr="0071228C">
        <w:rPr>
          <w:noProof/>
        </w:rPr>
        <w:t>usp</w:t>
      </w:r>
      <w:r w:rsidRPr="0071228C">
        <w:rPr>
          <w:noProof/>
        </w:rPr>
        <w:t>rawnionego monitoringu</w:t>
      </w:r>
      <w:r w:rsidR="00CC55C0" w:rsidRPr="0071228C">
        <w:rPr>
          <w:noProof/>
        </w:rPr>
        <w:t xml:space="preserve"> i</w:t>
      </w:r>
      <w:r w:rsidR="00CC55C0">
        <w:rPr>
          <w:noProof/>
        </w:rPr>
        <w:t> </w:t>
      </w:r>
      <w:r w:rsidR="00CC55C0" w:rsidRPr="0071228C">
        <w:rPr>
          <w:noProof/>
        </w:rPr>
        <w:t>zin</w:t>
      </w:r>
      <w:r w:rsidRPr="0071228C">
        <w:rPr>
          <w:noProof/>
        </w:rPr>
        <w:t>tegrowanej wiedzy naukowej oraz zapewni monitorowanie zanieczyszczeń pochodzących</w:t>
      </w:r>
      <w:r w:rsidR="00CC55C0" w:rsidRPr="0071228C">
        <w:rPr>
          <w:noProof/>
        </w:rPr>
        <w:t xml:space="preserve"> z</w:t>
      </w:r>
      <w:r w:rsidR="00CC55C0">
        <w:rPr>
          <w:noProof/>
        </w:rPr>
        <w:t> </w:t>
      </w:r>
      <w:r w:rsidR="00CC55C0" w:rsidRPr="0071228C">
        <w:rPr>
          <w:noProof/>
        </w:rPr>
        <w:t>mik</w:t>
      </w:r>
      <w:r w:rsidRPr="0071228C">
        <w:rPr>
          <w:noProof/>
        </w:rPr>
        <w:t>rodrobin plastiku</w:t>
      </w:r>
      <w:r w:rsidR="00CC55C0" w:rsidRPr="0071228C">
        <w:rPr>
          <w:noProof/>
        </w:rPr>
        <w:t xml:space="preserve"> i</w:t>
      </w:r>
      <w:r w:rsidR="00CC55C0">
        <w:rPr>
          <w:noProof/>
        </w:rPr>
        <w:t> </w:t>
      </w:r>
      <w:r w:rsidR="00CC55C0" w:rsidRPr="0071228C">
        <w:rPr>
          <w:noProof/>
        </w:rPr>
        <w:t>gen</w:t>
      </w:r>
      <w:r w:rsidRPr="0071228C">
        <w:rPr>
          <w:noProof/>
        </w:rPr>
        <w:t xml:space="preserve">ów oporności na środki przeciwdrobnoustrojowe. </w:t>
      </w:r>
    </w:p>
    <w:p w14:paraId="08FD1421" w14:textId="44977C4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Stworzy również warunki do zwiększenia ponownego wykorzystania wody oraz lepszego gospodarowania osadami</w:t>
      </w:r>
      <w:r w:rsidR="00CC55C0" w:rsidRPr="0071228C">
        <w:rPr>
          <w:noProof/>
        </w:rPr>
        <w:t xml:space="preserve"> i</w:t>
      </w:r>
      <w:r w:rsidR="00CC55C0">
        <w:rPr>
          <w:noProof/>
        </w:rPr>
        <w:t> </w:t>
      </w:r>
      <w:r w:rsidR="00CC55C0" w:rsidRPr="0071228C">
        <w:rPr>
          <w:noProof/>
        </w:rPr>
        <w:t>odp</w:t>
      </w:r>
      <w:r w:rsidRPr="0071228C">
        <w:rPr>
          <w:noProof/>
        </w:rPr>
        <w:t>adami</w:t>
      </w:r>
      <w:r w:rsidR="00CC55C0" w:rsidRPr="0071228C">
        <w:rPr>
          <w:noProof/>
        </w:rPr>
        <w:t xml:space="preserve"> w</w:t>
      </w:r>
      <w:r w:rsidR="00CC55C0">
        <w:rPr>
          <w:noProof/>
        </w:rPr>
        <w:t> </w:t>
      </w:r>
      <w:r w:rsidR="00CC55C0" w:rsidRPr="0071228C">
        <w:rPr>
          <w:noProof/>
        </w:rPr>
        <w:t>ści</w:t>
      </w:r>
      <w:r w:rsidRPr="0071228C">
        <w:rPr>
          <w:noProof/>
        </w:rPr>
        <w:t>słej synergii</w:t>
      </w:r>
      <w:r w:rsidR="00CC55C0" w:rsidRPr="0071228C">
        <w:rPr>
          <w:noProof/>
        </w:rPr>
        <w:t xml:space="preserve"> z</w:t>
      </w:r>
      <w:r w:rsidR="00CC55C0">
        <w:rPr>
          <w:noProof/>
        </w:rPr>
        <w:t> </w:t>
      </w:r>
      <w:r w:rsidR="00CC55C0" w:rsidRPr="0071228C">
        <w:rPr>
          <w:noProof/>
        </w:rPr>
        <w:t>now</w:t>
      </w:r>
      <w:r w:rsidRPr="0071228C">
        <w:rPr>
          <w:noProof/>
        </w:rPr>
        <w:t>ym rozporządzeniem</w:t>
      </w:r>
      <w:r w:rsidR="00CC55C0" w:rsidRPr="0071228C">
        <w:rPr>
          <w:noProof/>
        </w:rPr>
        <w:t xml:space="preserve"> w</w:t>
      </w:r>
      <w:r w:rsidR="00CC55C0">
        <w:rPr>
          <w:noProof/>
        </w:rPr>
        <w:t> </w:t>
      </w:r>
      <w:r w:rsidR="00CC55C0" w:rsidRPr="0071228C">
        <w:rPr>
          <w:noProof/>
        </w:rPr>
        <w:t>spr</w:t>
      </w:r>
      <w:r w:rsidRPr="0071228C">
        <w:rPr>
          <w:noProof/>
        </w:rPr>
        <w:t>awie ponownego wykorzystania wody, dyrektywą</w:t>
      </w:r>
      <w:r w:rsidR="00CC55C0" w:rsidRPr="0071228C">
        <w:rPr>
          <w:noProof/>
        </w:rPr>
        <w:t xml:space="preserve"> w</w:t>
      </w:r>
      <w:r w:rsidR="00CC55C0">
        <w:rPr>
          <w:noProof/>
        </w:rPr>
        <w:t> </w:t>
      </w:r>
      <w:r w:rsidR="00CC55C0" w:rsidRPr="0071228C">
        <w:rPr>
          <w:noProof/>
        </w:rPr>
        <w:t>spr</w:t>
      </w:r>
      <w:r w:rsidRPr="0071228C">
        <w:rPr>
          <w:noProof/>
        </w:rPr>
        <w:t>awie osadów ściekowych oraz dorobkiem prawnym UE</w:t>
      </w:r>
      <w:r w:rsidR="00CC55C0" w:rsidRPr="0071228C">
        <w:rPr>
          <w:noProof/>
        </w:rPr>
        <w:t xml:space="preserve"> w</w:t>
      </w:r>
      <w:r w:rsidR="00CC55C0">
        <w:rPr>
          <w:noProof/>
        </w:rPr>
        <w:t> </w:t>
      </w:r>
      <w:r w:rsidR="00CC55C0" w:rsidRPr="0071228C">
        <w:rPr>
          <w:noProof/>
        </w:rPr>
        <w:t>zak</w:t>
      </w:r>
      <w:r w:rsidRPr="0071228C">
        <w:rPr>
          <w:noProof/>
        </w:rPr>
        <w:t>resie odpadów;</w:t>
      </w:r>
    </w:p>
    <w:p w14:paraId="6FF9F380"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62FF7A92"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Dyrektywa dotycząca oczyszczania ścieków komunalnych:</w:t>
      </w:r>
    </w:p>
    <w:p w14:paraId="7E0E23A7" w14:textId="05E711C2"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Przewiduje się zachowanie</w:t>
      </w:r>
      <w:r w:rsidR="00CC55C0" w:rsidRPr="0071228C">
        <w:rPr>
          <w:noProof/>
        </w:rPr>
        <w:t xml:space="preserve"> i</w:t>
      </w:r>
      <w:r w:rsidR="00CC55C0">
        <w:rPr>
          <w:noProof/>
        </w:rPr>
        <w:t> </w:t>
      </w:r>
      <w:r w:rsidR="00CC55C0" w:rsidRPr="0071228C">
        <w:rPr>
          <w:noProof/>
        </w:rPr>
        <w:t>pop</w:t>
      </w:r>
      <w:r w:rsidRPr="0071228C">
        <w:rPr>
          <w:noProof/>
        </w:rPr>
        <w:t>rawę jakości unijnych rzek, jezior</w:t>
      </w:r>
      <w:r w:rsidR="00CC55C0" w:rsidRPr="0071228C">
        <w:rPr>
          <w:noProof/>
        </w:rPr>
        <w:t xml:space="preserve"> i</w:t>
      </w:r>
      <w:r w:rsidR="00CC55C0">
        <w:rPr>
          <w:noProof/>
        </w:rPr>
        <w:t> </w:t>
      </w:r>
      <w:r w:rsidR="00CC55C0" w:rsidRPr="0071228C">
        <w:rPr>
          <w:noProof/>
        </w:rPr>
        <w:t>mór</w:t>
      </w:r>
      <w:r w:rsidRPr="0071228C">
        <w:rPr>
          <w:noProof/>
        </w:rPr>
        <w:t>z. Dalej będą maleć emisje substancji zanieczyszczających</w:t>
      </w:r>
      <w:r w:rsidR="00CC55C0" w:rsidRPr="0071228C">
        <w:rPr>
          <w:noProof/>
        </w:rPr>
        <w:t xml:space="preserve"> z</w:t>
      </w:r>
      <w:r w:rsidR="00CC55C0">
        <w:rPr>
          <w:noProof/>
        </w:rPr>
        <w:t> </w:t>
      </w:r>
      <w:r w:rsidR="00CC55C0" w:rsidRPr="0071228C">
        <w:rPr>
          <w:noProof/>
        </w:rPr>
        <w:t>poz</w:t>
      </w:r>
      <w:r w:rsidRPr="0071228C">
        <w:rPr>
          <w:noProof/>
        </w:rPr>
        <w:t>ostałych źródeł miejskich (w tym małych aglomeracji, zanieczyszczonych wód opadowych, mniejszych obiektów zdecentralizowanych),</w:t>
      </w:r>
      <w:r w:rsidR="00CC55C0" w:rsidRPr="0071228C">
        <w:rPr>
          <w:noProof/>
        </w:rPr>
        <w:t xml:space="preserve"> a</w:t>
      </w:r>
      <w:r w:rsidR="00CC55C0">
        <w:rPr>
          <w:noProof/>
        </w:rPr>
        <w:t> </w:t>
      </w:r>
      <w:r w:rsidR="00CC55C0" w:rsidRPr="0071228C">
        <w:rPr>
          <w:noProof/>
        </w:rPr>
        <w:t>tak</w:t>
      </w:r>
      <w:r w:rsidRPr="0071228C">
        <w:rPr>
          <w:noProof/>
        </w:rPr>
        <w:t>że emisje azotu</w:t>
      </w:r>
      <w:r w:rsidR="00CC55C0" w:rsidRPr="0071228C">
        <w:rPr>
          <w:noProof/>
        </w:rPr>
        <w:t xml:space="preserve"> i</w:t>
      </w:r>
      <w:r w:rsidR="00CC55C0">
        <w:rPr>
          <w:noProof/>
        </w:rPr>
        <w:t> </w:t>
      </w:r>
      <w:r w:rsidR="00CC55C0" w:rsidRPr="0071228C">
        <w:rPr>
          <w:noProof/>
        </w:rPr>
        <w:t>fos</w:t>
      </w:r>
      <w:r w:rsidRPr="0071228C">
        <w:rPr>
          <w:noProof/>
        </w:rPr>
        <w:t>foru, przy czym</w:t>
      </w:r>
      <w:r w:rsidR="00CC55C0" w:rsidRPr="0071228C">
        <w:rPr>
          <w:noProof/>
        </w:rPr>
        <w:t xml:space="preserve"> w</w:t>
      </w:r>
      <w:r w:rsidR="00CC55C0">
        <w:rPr>
          <w:noProof/>
        </w:rPr>
        <w:t> </w:t>
      </w:r>
      <w:r w:rsidR="00CC55C0" w:rsidRPr="0071228C">
        <w:rPr>
          <w:noProof/>
        </w:rPr>
        <w:t>prz</w:t>
      </w:r>
      <w:r w:rsidRPr="0071228C">
        <w:rPr>
          <w:noProof/>
        </w:rPr>
        <w:t xml:space="preserve">ypadku eutrofizacji będą obowiązywać bardziej rygorystyczne wartości dopuszczalne. </w:t>
      </w:r>
    </w:p>
    <w:p w14:paraId="7F7ABE17"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Zostaną również zrealizowane nowe inwestycje mające na celu obniżenie poziomu mikrozanieczyszczeń. Przewiduje się, że inwestycje te zostaną objęte nowym systemem rozszerzonej odpowiedzialności producenta, dzięki któremu podmioty wprowadzające na rynek produkty emitujące mikrozanieczyszczenia będą ponosić finansową odpowiedzialność za dodatkowe oczyszczanie, niezbędne do zachowania jakości unijnych wód, do których odprowadzane są ścieki.   </w:t>
      </w:r>
    </w:p>
    <w:p w14:paraId="22DB8573" w14:textId="6AFC9F6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Sektor ma stać się neutralny energetycznie (co oznacza, że zużyta energia pochodząca</w:t>
      </w:r>
      <w:r w:rsidR="00CC55C0" w:rsidRPr="0071228C">
        <w:rPr>
          <w:noProof/>
        </w:rPr>
        <w:t xml:space="preserve"> z</w:t>
      </w:r>
      <w:r w:rsidR="00CC55C0">
        <w:rPr>
          <w:noProof/>
        </w:rPr>
        <w:t> </w:t>
      </w:r>
      <w:r w:rsidR="00CC55C0" w:rsidRPr="0071228C">
        <w:rPr>
          <w:noProof/>
        </w:rPr>
        <w:t>pal</w:t>
      </w:r>
      <w:r w:rsidRPr="0071228C">
        <w:rPr>
          <w:noProof/>
        </w:rPr>
        <w:t xml:space="preserve">iw kopalnych zostanie zrekompensowana przez energię odnawialną wytwarzaną przez ten sektor). </w:t>
      </w:r>
    </w:p>
    <w:p w14:paraId="5A9B4173" w14:textId="72894BB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Zmiana ta będzie stanowiła kluczowy czynnik sprzyjający rozwojowi konkurencyjnego na skalę światową sektora gospodarki wodnej UE. Dalsze modernizowanie norm UE, na przykład</w:t>
      </w:r>
      <w:r w:rsidR="00CC55C0" w:rsidRPr="0071228C">
        <w:rPr>
          <w:noProof/>
        </w:rPr>
        <w:t xml:space="preserve"> w</w:t>
      </w:r>
      <w:r w:rsidR="00CC55C0">
        <w:rPr>
          <w:noProof/>
        </w:rPr>
        <w:t> </w:t>
      </w:r>
      <w:r w:rsidR="00CC55C0" w:rsidRPr="0071228C">
        <w:rPr>
          <w:noProof/>
        </w:rPr>
        <w:t>wyn</w:t>
      </w:r>
      <w:r w:rsidRPr="0071228C">
        <w:rPr>
          <w:noProof/>
        </w:rPr>
        <w:t>iku wprowadzenia nowych wymogów dotyczących mikrozanieczyszczeń lub zużycia energii, przyczyniłoby się do dalszego pobudzania innowacji,</w:t>
      </w:r>
      <w:r w:rsidR="00CC55C0" w:rsidRPr="0071228C">
        <w:rPr>
          <w:noProof/>
        </w:rPr>
        <w:t xml:space="preserve"> a</w:t>
      </w:r>
      <w:r w:rsidR="00CC55C0">
        <w:rPr>
          <w:noProof/>
        </w:rPr>
        <w:t> </w:t>
      </w:r>
      <w:r w:rsidR="00CC55C0" w:rsidRPr="0071228C">
        <w:rPr>
          <w:noProof/>
        </w:rPr>
        <w:t>ost</w:t>
      </w:r>
      <w:r w:rsidRPr="0071228C">
        <w:rPr>
          <w:noProof/>
        </w:rPr>
        <w:t>atecznie do osiągnięcia korzyści skali.</w:t>
      </w:r>
    </w:p>
    <w:p w14:paraId="112ACD38"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20F9B29"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Przepisy dotyczące jakości powietrza:</w:t>
      </w:r>
    </w:p>
    <w:p w14:paraId="1BC0481E" w14:textId="47CD181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rPr>
        <w:t>Proponowana zmieniona dyrektywa przyczynia się do realizacji strategii „zero zanieczyszczeń” zawartej</w:t>
      </w:r>
      <w:r w:rsidR="00CC55C0" w:rsidRPr="0071228C">
        <w:rPr>
          <w:noProof/>
        </w:rPr>
        <w:t xml:space="preserve"> w</w:t>
      </w:r>
      <w:r w:rsidR="00CC55C0">
        <w:rPr>
          <w:noProof/>
        </w:rPr>
        <w:t> </w:t>
      </w:r>
      <w:r w:rsidR="00CC55C0" w:rsidRPr="0071228C">
        <w:rPr>
          <w:noProof/>
        </w:rPr>
        <w:t>Eur</w:t>
      </w:r>
      <w:r w:rsidRPr="0071228C">
        <w:rPr>
          <w:noProof/>
        </w:rPr>
        <w:t>opejskim Zielonym Ładzie, do lepszego dostosowania unijnych norm jakości powietrza do zaleceń Światowej Organizacji Zdrowia oraz do trwałej poprawy jakości powietrza</w:t>
      </w:r>
      <w:r w:rsidR="00CC55C0" w:rsidRPr="0071228C">
        <w:rPr>
          <w:noProof/>
        </w:rPr>
        <w:t xml:space="preserve"> w</w:t>
      </w:r>
      <w:r w:rsidR="00CC55C0">
        <w:rPr>
          <w:noProof/>
        </w:rPr>
        <w:t> </w:t>
      </w:r>
      <w:r w:rsidR="00CC55C0" w:rsidRPr="0071228C">
        <w:rPr>
          <w:noProof/>
        </w:rPr>
        <w:t>Uni</w:t>
      </w:r>
      <w:r w:rsidRPr="0071228C">
        <w:rPr>
          <w:noProof/>
        </w:rPr>
        <w:t>i Europejskiej.</w:t>
      </w:r>
    </w:p>
    <w:p w14:paraId="3A9B60AB" w14:textId="6D021E1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Proponowana zmieniona dyrektywa przyczyni się również do wzmocnienia przepisów dotyczących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oraz planów jego ochrony, aby pomóc samorządom terytorialnym osiągnąć lepszy stan powietrza. Wyeliminowanie tych niedociągnięć spowoduje obniżenie poziomu zanieczyszczenia powietrza</w:t>
      </w:r>
      <w:r w:rsidR="00CC55C0" w:rsidRPr="0071228C">
        <w:rPr>
          <w:noProof/>
        </w:rPr>
        <w:t xml:space="preserve"> i</w:t>
      </w:r>
      <w:r w:rsidR="00CC55C0">
        <w:rPr>
          <w:noProof/>
        </w:rPr>
        <w:t> </w:t>
      </w:r>
      <w:r w:rsidR="00CC55C0" w:rsidRPr="0071228C">
        <w:rPr>
          <w:noProof/>
        </w:rPr>
        <w:t>nar</w:t>
      </w:r>
      <w:r w:rsidRPr="0071228C">
        <w:rPr>
          <w:noProof/>
        </w:rPr>
        <w:t>ażenia na nie, poprawę zarządzania planem ochrony powietrza</w:t>
      </w:r>
      <w:r w:rsidR="00CC55C0" w:rsidRPr="0071228C">
        <w:rPr>
          <w:noProof/>
        </w:rPr>
        <w:t xml:space="preserve"> i</w:t>
      </w:r>
      <w:r w:rsidR="00CC55C0">
        <w:rPr>
          <w:noProof/>
        </w:rPr>
        <w:t> </w:t>
      </w:r>
      <w:r w:rsidR="00CC55C0" w:rsidRPr="0071228C">
        <w:rPr>
          <w:noProof/>
        </w:rPr>
        <w:t>egz</w:t>
      </w:r>
      <w:r w:rsidRPr="0071228C">
        <w:rPr>
          <w:noProof/>
        </w:rPr>
        <w:t>ekwowania jego realizacji, lepsze monitorowanie</w:t>
      </w:r>
      <w:r w:rsidR="00CC55C0" w:rsidRPr="0071228C">
        <w:rPr>
          <w:noProof/>
        </w:rPr>
        <w:t xml:space="preserve"> i</w:t>
      </w:r>
      <w:r w:rsidR="00CC55C0">
        <w:rPr>
          <w:noProof/>
        </w:rPr>
        <w:t> </w:t>
      </w:r>
      <w:r w:rsidR="00CC55C0" w:rsidRPr="0071228C">
        <w:rPr>
          <w:noProof/>
        </w:rPr>
        <w:t>mod</w:t>
      </w:r>
      <w:r w:rsidRPr="0071228C">
        <w:rPr>
          <w:noProof/>
        </w:rPr>
        <w:t>elowanie dzięki poprawie jego wiarygodności</w:t>
      </w:r>
      <w:r w:rsidR="00CC55C0" w:rsidRPr="0071228C">
        <w:rPr>
          <w:noProof/>
        </w:rPr>
        <w:t xml:space="preserve"> i</w:t>
      </w:r>
      <w:r w:rsidR="00CC55C0">
        <w:rPr>
          <w:noProof/>
        </w:rPr>
        <w:t> </w:t>
      </w:r>
      <w:r w:rsidR="00CC55C0" w:rsidRPr="0071228C">
        <w:rPr>
          <w:noProof/>
        </w:rPr>
        <w:t>por</w:t>
      </w:r>
      <w:r w:rsidRPr="0071228C">
        <w:rPr>
          <w:noProof/>
        </w:rPr>
        <w:t>ównywalności oraz dzięki rozszerzeniu zakresu monitorowanych substancji zanieczyszczających, poprawie dostępu do danych</w:t>
      </w:r>
      <w:r w:rsidR="00CC55C0" w:rsidRPr="0071228C">
        <w:rPr>
          <w:noProof/>
        </w:rPr>
        <w:t xml:space="preserve"> i</w:t>
      </w:r>
      <w:r w:rsidR="00CC55C0">
        <w:rPr>
          <w:noProof/>
        </w:rPr>
        <w:t> </w:t>
      </w:r>
      <w:r w:rsidR="00CC55C0" w:rsidRPr="0071228C">
        <w:rPr>
          <w:noProof/>
        </w:rPr>
        <w:t>inf</w:t>
      </w:r>
      <w:r w:rsidRPr="0071228C">
        <w:rPr>
          <w:noProof/>
        </w:rPr>
        <w:t>ormacji dotyczących jakości powietrza, ze szczególnym uwzględnieniem większego wykorzystania narzędzi cyfrowych oraz możliwości regularnego przeglądu unijnych norm jakości powietrza.</w:t>
      </w:r>
    </w:p>
    <w:p w14:paraId="75D85BAE" w14:textId="7C666DE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71228C">
        <w:rPr>
          <w:noProof/>
          <w:color w:val="000000"/>
          <w:shd w:val="clear" w:color="auto" w:fill="FFFFFF"/>
        </w:rPr>
        <w:t>Obywatele UE dostrzegą korzyści zdrowotne wynikające</w:t>
      </w:r>
      <w:r w:rsidR="00CC55C0" w:rsidRPr="0071228C">
        <w:rPr>
          <w:noProof/>
          <w:color w:val="000000"/>
          <w:shd w:val="clear" w:color="auto" w:fill="FFFFFF"/>
        </w:rPr>
        <w:t xml:space="preserve"> z</w:t>
      </w:r>
      <w:r w:rsidR="00CC55C0">
        <w:rPr>
          <w:noProof/>
          <w:color w:val="000000"/>
          <w:shd w:val="clear" w:color="auto" w:fill="FFFFFF"/>
        </w:rPr>
        <w:t> </w:t>
      </w:r>
      <w:r w:rsidR="00CC55C0" w:rsidRPr="0071228C">
        <w:rPr>
          <w:noProof/>
          <w:color w:val="000000"/>
          <w:shd w:val="clear" w:color="auto" w:fill="FFFFFF"/>
        </w:rPr>
        <w:t>pop</w:t>
      </w:r>
      <w:r w:rsidRPr="0071228C">
        <w:rPr>
          <w:noProof/>
          <w:color w:val="000000"/>
          <w:shd w:val="clear" w:color="auto" w:fill="FFFFFF"/>
        </w:rPr>
        <w:t>rawy jakości powietrza. Przedsiębiorstwa, podmioty gospodarcze,</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tym w</w:t>
      </w:r>
      <w:r w:rsidR="00CC55C0">
        <w:rPr>
          <w:noProof/>
          <w:color w:val="000000"/>
          <w:shd w:val="clear" w:color="auto" w:fill="FFFFFF"/>
        </w:rPr>
        <w:t> </w:t>
      </w:r>
      <w:r w:rsidR="00CC55C0" w:rsidRPr="0071228C">
        <w:rPr>
          <w:noProof/>
          <w:color w:val="000000"/>
          <w:shd w:val="clear" w:color="auto" w:fill="FFFFFF"/>
        </w:rPr>
        <w:t>sek</w:t>
      </w:r>
      <w:r w:rsidRPr="0071228C">
        <w:rPr>
          <w:noProof/>
          <w:color w:val="000000"/>
          <w:shd w:val="clear" w:color="auto" w:fill="FFFFFF"/>
        </w:rPr>
        <w:t>torze rolnictwa,</w:t>
      </w:r>
      <w:r w:rsidR="00CC55C0" w:rsidRPr="0071228C">
        <w:rPr>
          <w:noProof/>
          <w:color w:val="000000"/>
          <w:shd w:val="clear" w:color="auto" w:fill="FFFFFF"/>
        </w:rPr>
        <w:t xml:space="preserve"> a</w:t>
      </w:r>
      <w:r w:rsidR="00CC55C0">
        <w:rPr>
          <w:noProof/>
          <w:color w:val="000000"/>
          <w:shd w:val="clear" w:color="auto" w:fill="FFFFFF"/>
        </w:rPr>
        <w:t> </w:t>
      </w:r>
      <w:r w:rsidR="00CC55C0" w:rsidRPr="0071228C">
        <w:rPr>
          <w:noProof/>
          <w:color w:val="000000"/>
          <w:shd w:val="clear" w:color="auto" w:fill="FFFFFF"/>
        </w:rPr>
        <w:t>w</w:t>
      </w:r>
      <w:r w:rsidR="00CC55C0">
        <w:rPr>
          <w:noProof/>
          <w:color w:val="000000"/>
          <w:shd w:val="clear" w:color="auto" w:fill="FFFFFF"/>
        </w:rPr>
        <w:t> </w:t>
      </w:r>
      <w:r w:rsidR="00CC55C0" w:rsidRPr="0071228C">
        <w:rPr>
          <w:noProof/>
          <w:color w:val="000000"/>
          <w:shd w:val="clear" w:color="auto" w:fill="FFFFFF"/>
        </w:rPr>
        <w:t>sze</w:t>
      </w:r>
      <w:r w:rsidRPr="0071228C">
        <w:rPr>
          <w:noProof/>
          <w:color w:val="000000"/>
          <w:shd w:val="clear" w:color="auto" w:fill="FFFFFF"/>
        </w:rPr>
        <w:t>rszym ujęciu pracodawcy odczują korzyści</w:t>
      </w:r>
      <w:r w:rsidR="00CC55C0" w:rsidRPr="0071228C">
        <w:rPr>
          <w:noProof/>
          <w:color w:val="000000"/>
          <w:shd w:val="clear" w:color="auto" w:fill="FFFFFF"/>
        </w:rPr>
        <w:t xml:space="preserve"> z</w:t>
      </w:r>
      <w:r w:rsidR="00CC55C0">
        <w:rPr>
          <w:noProof/>
          <w:color w:val="000000"/>
          <w:shd w:val="clear" w:color="auto" w:fill="FFFFFF"/>
        </w:rPr>
        <w:t> </w:t>
      </w:r>
      <w:r w:rsidR="00CC55C0" w:rsidRPr="0071228C">
        <w:rPr>
          <w:noProof/>
          <w:color w:val="000000"/>
          <w:shd w:val="clear" w:color="auto" w:fill="FFFFFF"/>
        </w:rPr>
        <w:t>ogr</w:t>
      </w:r>
      <w:r w:rsidRPr="0071228C">
        <w:rPr>
          <w:noProof/>
          <w:color w:val="000000"/>
          <w:shd w:val="clear" w:color="auto" w:fill="FFFFFF"/>
        </w:rPr>
        <w:t>aniczenia niekorzystnego wpływu zlej jakości powietrza na zdrowie i (choć</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mni</w:t>
      </w:r>
      <w:r w:rsidRPr="0071228C">
        <w:rPr>
          <w:noProof/>
          <w:color w:val="000000"/>
          <w:shd w:val="clear" w:color="auto" w:fill="FFFFFF"/>
        </w:rPr>
        <w:t xml:space="preserve">ejszym stopniu) jego szkodliwego wpływu niezwiązanego ze zdrowiem. </w:t>
      </w:r>
    </w:p>
    <w:p w14:paraId="08422111" w14:textId="7F433F34"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71228C">
        <w:rPr>
          <w:noProof/>
          <w:color w:val="000000"/>
          <w:shd w:val="clear" w:color="auto" w:fill="FFFFFF"/>
        </w:rPr>
        <w:t>Jednocześnie zmienione unijne normy jakości powietrza</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wzm</w:t>
      </w:r>
      <w:r w:rsidRPr="0071228C">
        <w:rPr>
          <w:noProof/>
          <w:color w:val="000000"/>
          <w:shd w:val="clear" w:color="auto" w:fill="FFFFFF"/>
        </w:rPr>
        <w:t>ocnione przepisy dotyczące monitorowania jakości powietrza będą miały wpływ na organy publiczne</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duż</w:t>
      </w:r>
      <w:r w:rsidRPr="0071228C">
        <w:rPr>
          <w:noProof/>
          <w:color w:val="000000"/>
          <w:shd w:val="clear" w:color="auto" w:fill="FFFFFF"/>
        </w:rPr>
        <w:t>ej mierze uzależniony od ich aktualnej sytuacji</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zak</w:t>
      </w:r>
      <w:r w:rsidRPr="0071228C">
        <w:rPr>
          <w:noProof/>
          <w:color w:val="000000"/>
          <w:shd w:val="clear" w:color="auto" w:fill="FFFFFF"/>
        </w:rPr>
        <w:t>resie jakości powietrza: zmienione zasady mogą oznaczać zwiększenie obciążenia administracyjnego właściwych organów</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odn</w:t>
      </w:r>
      <w:r w:rsidRPr="0071228C">
        <w:rPr>
          <w:noProof/>
          <w:color w:val="000000"/>
          <w:shd w:val="clear" w:color="auto" w:fill="FFFFFF"/>
        </w:rPr>
        <w:t>iesieniu do poprawy monitorowania jakości powietrza.</w:t>
      </w:r>
    </w:p>
    <w:p w14:paraId="6BFB5095"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234F41F1" w14:textId="77777777" w:rsidR="001C0111" w:rsidRPr="0071228C" w:rsidRDefault="001C0111" w:rsidP="002A2DB0">
      <w:pPr>
        <w:keepNext/>
        <w:outlineLvl w:val="2"/>
        <w:rPr>
          <w:rFonts w:eastAsiaTheme="majorEastAsia"/>
          <w:bCs/>
          <w:i/>
          <w:noProof/>
          <w:szCs w:val="24"/>
        </w:rPr>
      </w:pPr>
      <w:r w:rsidRPr="0071228C">
        <w:rPr>
          <w:i/>
          <w:noProof/>
        </w:rPr>
        <w:t>Wskaźniki dotyczące realizacji celów</w:t>
      </w:r>
      <w:bookmarkEnd w:id="18"/>
      <w:bookmarkEnd w:id="19"/>
    </w:p>
    <w:p w14:paraId="32A17DEA"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20" w:name="_Toc514938025"/>
      <w:bookmarkStart w:id="21" w:name="_Toc520485034"/>
      <w:r w:rsidRPr="0071228C">
        <w:rPr>
          <w:noProof/>
          <w:u w:val="single"/>
        </w:rPr>
        <w:t xml:space="preserve">Zintegrowana gospodarka wodna: </w:t>
      </w:r>
    </w:p>
    <w:p w14:paraId="786838CB" w14:textId="172F792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Dzięki zwiększeniu liczby substancji monitorowanych na podstawie dyrektywy, wynikającemu</w:t>
      </w:r>
      <w:r w:rsidR="00CC55C0" w:rsidRPr="0071228C">
        <w:rPr>
          <w:noProof/>
        </w:rPr>
        <w:t xml:space="preserve"> z</w:t>
      </w:r>
      <w:r w:rsidR="00CC55C0">
        <w:rPr>
          <w:noProof/>
        </w:rPr>
        <w:t> </w:t>
      </w:r>
      <w:r w:rsidR="00CC55C0" w:rsidRPr="0071228C">
        <w:rPr>
          <w:noProof/>
        </w:rPr>
        <w:t>wpr</w:t>
      </w:r>
      <w:r w:rsidRPr="0071228C">
        <w:rPr>
          <w:noProof/>
        </w:rPr>
        <w:t>owadzenia obowiązkowej listy obserwacyjnej dla celów monitorowania substancji zanieczyszczających wody podziemne,</w:t>
      </w:r>
      <w:r w:rsidR="00CC55C0" w:rsidRPr="0071228C">
        <w:rPr>
          <w:noProof/>
        </w:rPr>
        <w:t xml:space="preserve"> a</w:t>
      </w:r>
      <w:r w:rsidR="00CC55C0">
        <w:rPr>
          <w:noProof/>
        </w:rPr>
        <w:t> </w:t>
      </w:r>
      <w:r w:rsidR="00CC55C0" w:rsidRPr="0071228C">
        <w:rPr>
          <w:noProof/>
        </w:rPr>
        <w:t>tak</w:t>
      </w:r>
      <w:r w:rsidRPr="0071228C">
        <w:rPr>
          <w:noProof/>
        </w:rPr>
        <w:t>że zwiększeniu częstotliwości zgłaszania danych dotyczących monitorowania</w:t>
      </w:r>
      <w:r w:rsidR="00CC55C0" w:rsidRPr="0071228C">
        <w:rPr>
          <w:noProof/>
        </w:rPr>
        <w:t xml:space="preserve"> i</w:t>
      </w:r>
      <w:r w:rsidR="00CC55C0">
        <w:rPr>
          <w:noProof/>
        </w:rPr>
        <w:t> </w:t>
      </w:r>
      <w:r w:rsidR="00CC55C0" w:rsidRPr="0071228C">
        <w:rPr>
          <w:noProof/>
        </w:rPr>
        <w:t>sta</w:t>
      </w:r>
      <w:r w:rsidRPr="0071228C">
        <w:rPr>
          <w:noProof/>
        </w:rPr>
        <w:t>tusu, możliwe będzie bardziej szczegółowe śledzenie postępów</w:t>
      </w:r>
      <w:r w:rsidR="00CC55C0" w:rsidRPr="0071228C">
        <w:rPr>
          <w:noProof/>
        </w:rPr>
        <w:t xml:space="preserve"> i</w:t>
      </w:r>
      <w:r w:rsidR="00CC55C0">
        <w:rPr>
          <w:noProof/>
        </w:rPr>
        <w:t> </w:t>
      </w:r>
      <w:r w:rsidR="00CC55C0" w:rsidRPr="0071228C">
        <w:rPr>
          <w:noProof/>
        </w:rPr>
        <w:t>osi</w:t>
      </w:r>
      <w:r w:rsidRPr="0071228C">
        <w:rPr>
          <w:noProof/>
        </w:rPr>
        <w:t>ągnięć.</w:t>
      </w:r>
    </w:p>
    <w:p w14:paraId="5157CC31" w14:textId="15AFA21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Podstawowymi wskaźnikami powodzenia będą: liczba państw członkowskich,</w:t>
      </w:r>
      <w:r w:rsidR="00CC55C0" w:rsidRPr="0071228C">
        <w:rPr>
          <w:noProof/>
        </w:rPr>
        <w:t xml:space="preserve"> w</w:t>
      </w:r>
      <w:r w:rsidR="00CC55C0">
        <w:rPr>
          <w:noProof/>
        </w:rPr>
        <w:t> </w:t>
      </w:r>
      <w:r w:rsidR="00CC55C0" w:rsidRPr="0071228C">
        <w:rPr>
          <w:noProof/>
        </w:rPr>
        <w:t>prz</w:t>
      </w:r>
      <w:r w:rsidRPr="0071228C">
        <w:rPr>
          <w:noProof/>
        </w:rPr>
        <w:t>ypadku których dostępne są pełne szeregi czasowe monitorowania odpowiednich substancji (w szczególności substancji występujących</w:t>
      </w:r>
      <w:r w:rsidR="00CC55C0" w:rsidRPr="0071228C">
        <w:rPr>
          <w:noProof/>
        </w:rPr>
        <w:t xml:space="preserve"> w</w:t>
      </w:r>
      <w:r w:rsidR="00CC55C0">
        <w:rPr>
          <w:noProof/>
        </w:rPr>
        <w:t> </w:t>
      </w:r>
      <w:r w:rsidR="00CC55C0" w:rsidRPr="0071228C">
        <w:rPr>
          <w:noProof/>
        </w:rPr>
        <w:t>wod</w:t>
      </w:r>
      <w:r w:rsidRPr="0071228C">
        <w:rPr>
          <w:noProof/>
        </w:rPr>
        <w:t>ach podziemnych), liczba substancji lub substancji zanieczyszczających,</w:t>
      </w:r>
      <w:r w:rsidR="00CC55C0" w:rsidRPr="0071228C">
        <w:rPr>
          <w:noProof/>
        </w:rPr>
        <w:t xml:space="preserve"> w</w:t>
      </w:r>
      <w:r w:rsidR="00CC55C0">
        <w:rPr>
          <w:noProof/>
        </w:rPr>
        <w:t> </w:t>
      </w:r>
      <w:r w:rsidR="00CC55C0" w:rsidRPr="0071228C">
        <w:rPr>
          <w:noProof/>
        </w:rPr>
        <w:t>odn</w:t>
      </w:r>
      <w:r w:rsidRPr="0071228C">
        <w:rPr>
          <w:noProof/>
        </w:rPr>
        <w:t>iesieniu do których osiągnięto stan dobry,</w:t>
      </w:r>
      <w:r w:rsidR="00CC55C0" w:rsidRPr="0071228C">
        <w:rPr>
          <w:noProof/>
        </w:rPr>
        <w:t xml:space="preserve"> a</w:t>
      </w:r>
      <w:r w:rsidR="00CC55C0">
        <w:rPr>
          <w:noProof/>
        </w:rPr>
        <w:t> </w:t>
      </w:r>
      <w:r w:rsidR="00CC55C0" w:rsidRPr="0071228C">
        <w:rPr>
          <w:noProof/>
        </w:rPr>
        <w:t>tak</w:t>
      </w:r>
      <w:r w:rsidRPr="0071228C">
        <w:rPr>
          <w:noProof/>
        </w:rPr>
        <w:t>że stopień ujednolicenia wartości progowych ustalonych przez państwa członkowskie</w:t>
      </w:r>
      <w:r w:rsidR="00CC55C0" w:rsidRPr="0071228C">
        <w:rPr>
          <w:noProof/>
        </w:rPr>
        <w:t xml:space="preserve"> w</w:t>
      </w:r>
      <w:r w:rsidR="00CC55C0">
        <w:rPr>
          <w:noProof/>
        </w:rPr>
        <w:t> </w:t>
      </w:r>
      <w:r w:rsidR="00CC55C0" w:rsidRPr="0071228C">
        <w:rPr>
          <w:noProof/>
        </w:rPr>
        <w:t>odn</w:t>
      </w:r>
      <w:r w:rsidRPr="0071228C">
        <w:rPr>
          <w:noProof/>
        </w:rPr>
        <w:t xml:space="preserve">iesieniu do substancji zanieczyszczających specyficznych dla dorzeczy. </w:t>
      </w:r>
    </w:p>
    <w:p w14:paraId="304144CD" w14:textId="66E2EEF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Włączenie mikrodrobin plastiku</w:t>
      </w:r>
      <w:r w:rsidR="00CC55C0" w:rsidRPr="0071228C">
        <w:rPr>
          <w:noProof/>
        </w:rPr>
        <w:t xml:space="preserve"> i</w:t>
      </w:r>
      <w:r w:rsidR="00CC55C0">
        <w:rPr>
          <w:noProof/>
        </w:rPr>
        <w:t> </w:t>
      </w:r>
      <w:r w:rsidR="00CC55C0" w:rsidRPr="0071228C">
        <w:rPr>
          <w:noProof/>
        </w:rPr>
        <w:t>gen</w:t>
      </w:r>
      <w:r w:rsidRPr="0071228C">
        <w:rPr>
          <w:noProof/>
        </w:rPr>
        <w:t>ów oporności na środki przeciwdrobnoustrojowe do list obserwacyjnych, pod warunkiem określenia odpowiednich wytycznych dotyczących metodyk monitorowania</w:t>
      </w:r>
      <w:r w:rsidR="00CC55C0" w:rsidRPr="0071228C">
        <w:rPr>
          <w:noProof/>
        </w:rPr>
        <w:t xml:space="preserve"> i</w:t>
      </w:r>
      <w:r w:rsidR="00CC55C0">
        <w:rPr>
          <w:noProof/>
        </w:rPr>
        <w:t> </w:t>
      </w:r>
      <w:r w:rsidR="00CC55C0" w:rsidRPr="0071228C">
        <w:rPr>
          <w:noProof/>
        </w:rPr>
        <w:t>oce</w:t>
      </w:r>
      <w:r w:rsidRPr="0071228C">
        <w:rPr>
          <w:noProof/>
        </w:rPr>
        <w:t>ny, umożliwi monitorowanie postępów</w:t>
      </w:r>
      <w:r w:rsidR="00CC55C0" w:rsidRPr="0071228C">
        <w:rPr>
          <w:noProof/>
        </w:rPr>
        <w:t xml:space="preserve"> w</w:t>
      </w:r>
      <w:r w:rsidR="00CC55C0">
        <w:rPr>
          <w:noProof/>
        </w:rPr>
        <w:t> </w:t>
      </w:r>
      <w:r w:rsidR="00CC55C0" w:rsidRPr="0071228C">
        <w:rPr>
          <w:noProof/>
        </w:rPr>
        <w:t>zak</w:t>
      </w:r>
      <w:r w:rsidRPr="0071228C">
        <w:rPr>
          <w:noProof/>
        </w:rPr>
        <w:t>resie zwalczania tych pojawiających się rodzajów zanieczyszczeń,</w:t>
      </w:r>
      <w:r w:rsidR="00CC55C0" w:rsidRPr="0071228C">
        <w:rPr>
          <w:noProof/>
        </w:rPr>
        <w:t xml:space="preserve"> a</w:t>
      </w:r>
      <w:r w:rsidR="00CC55C0">
        <w:rPr>
          <w:noProof/>
        </w:rPr>
        <w:t> </w:t>
      </w:r>
      <w:r w:rsidR="00CC55C0" w:rsidRPr="0071228C">
        <w:rPr>
          <w:noProof/>
        </w:rPr>
        <w:t>nas</w:t>
      </w:r>
      <w:r w:rsidRPr="0071228C">
        <w:rPr>
          <w:noProof/>
        </w:rPr>
        <w:t>tępnie,</w:t>
      </w:r>
      <w:r w:rsidR="00CC55C0" w:rsidRPr="0071228C">
        <w:rPr>
          <w:noProof/>
        </w:rPr>
        <w:t xml:space="preserve"> w</w:t>
      </w:r>
      <w:r w:rsidR="00CC55C0">
        <w:rPr>
          <w:noProof/>
        </w:rPr>
        <w:t> </w:t>
      </w:r>
      <w:r w:rsidR="00CC55C0" w:rsidRPr="0071228C">
        <w:rPr>
          <w:noProof/>
        </w:rPr>
        <w:t>sto</w:t>
      </w:r>
      <w:r w:rsidRPr="0071228C">
        <w:rPr>
          <w:noProof/>
        </w:rPr>
        <w:t>sownych przypadkach, określenie norm jakości. Ponadto uproszczono procedury</w:t>
      </w:r>
      <w:r w:rsidR="00CC55C0" w:rsidRPr="0071228C">
        <w:rPr>
          <w:noProof/>
        </w:rPr>
        <w:t xml:space="preserve"> w</w:t>
      </w:r>
      <w:r w:rsidR="00CC55C0">
        <w:rPr>
          <w:noProof/>
        </w:rPr>
        <w:t> </w:t>
      </w:r>
      <w:r w:rsidR="00CC55C0" w:rsidRPr="0071228C">
        <w:rPr>
          <w:noProof/>
        </w:rPr>
        <w:t>cel</w:t>
      </w:r>
      <w:r w:rsidRPr="0071228C">
        <w:rPr>
          <w:noProof/>
        </w:rPr>
        <w:t>u zapewnienia szybszego reagowania na pojawianie się nowych problemów związanych</w:t>
      </w:r>
      <w:r w:rsidR="00CC55C0" w:rsidRPr="0071228C">
        <w:rPr>
          <w:noProof/>
        </w:rPr>
        <w:t xml:space="preserve"> z</w:t>
      </w:r>
      <w:r w:rsidR="00CC55C0">
        <w:rPr>
          <w:noProof/>
        </w:rPr>
        <w:t> </w:t>
      </w:r>
      <w:r w:rsidR="00CC55C0" w:rsidRPr="0071228C">
        <w:rPr>
          <w:noProof/>
        </w:rPr>
        <w:t>zan</w:t>
      </w:r>
      <w:r w:rsidRPr="0071228C">
        <w:rPr>
          <w:noProof/>
        </w:rPr>
        <w:t xml:space="preserve">ieczyszczaniem wody. </w:t>
      </w:r>
    </w:p>
    <w:p w14:paraId="52F92D82"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C53C78B"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Dyrektywa dotycząca oczyszczania ścieków komunalnych:</w:t>
      </w:r>
    </w:p>
    <w:p w14:paraId="751AE7E0" w14:textId="4F865643"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Wskaźnik zgodności</w:t>
      </w:r>
      <w:r w:rsidR="00CC55C0" w:rsidRPr="0071228C">
        <w:rPr>
          <w:noProof/>
        </w:rPr>
        <w:t xml:space="preserve"> i</w:t>
      </w:r>
      <w:r w:rsidR="00CC55C0">
        <w:rPr>
          <w:noProof/>
        </w:rPr>
        <w:t> </w:t>
      </w:r>
      <w:r w:rsidR="00CC55C0" w:rsidRPr="0071228C">
        <w:rPr>
          <w:noProof/>
        </w:rPr>
        <w:t>sto</w:t>
      </w:r>
      <w:r w:rsidRPr="0071228C">
        <w:rPr>
          <w:noProof/>
        </w:rPr>
        <w:t>pień zaawansowania</w:t>
      </w:r>
      <w:r w:rsidR="00CC55C0" w:rsidRPr="0071228C">
        <w:rPr>
          <w:noProof/>
        </w:rPr>
        <w:t xml:space="preserve"> w</w:t>
      </w:r>
      <w:r w:rsidR="00CC55C0">
        <w:rPr>
          <w:noProof/>
        </w:rPr>
        <w:t> </w:t>
      </w:r>
      <w:r w:rsidR="00CC55C0" w:rsidRPr="0071228C">
        <w:rPr>
          <w:noProof/>
        </w:rPr>
        <w:t>rea</w:t>
      </w:r>
      <w:r w:rsidRPr="0071228C">
        <w:rPr>
          <w:noProof/>
        </w:rPr>
        <w:t>lizacji celów</w:t>
      </w:r>
      <w:r w:rsidR="00CC55C0" w:rsidRPr="0071228C">
        <w:rPr>
          <w:noProof/>
        </w:rPr>
        <w:t xml:space="preserve"> w</w:t>
      </w:r>
      <w:r w:rsidR="00CC55C0">
        <w:rPr>
          <w:noProof/>
        </w:rPr>
        <w:t> </w:t>
      </w:r>
      <w:r w:rsidR="00CC55C0" w:rsidRPr="0071228C">
        <w:rPr>
          <w:noProof/>
        </w:rPr>
        <w:t>odn</w:t>
      </w:r>
      <w:r w:rsidRPr="0071228C">
        <w:rPr>
          <w:noProof/>
        </w:rPr>
        <w:t>iesieniu do poszczególnych państw członkowskich</w:t>
      </w:r>
      <w:r w:rsidR="00CC55C0" w:rsidRPr="0071228C">
        <w:rPr>
          <w:noProof/>
        </w:rPr>
        <w:t xml:space="preserve"> i</w:t>
      </w:r>
      <w:r w:rsidR="00CC55C0">
        <w:rPr>
          <w:noProof/>
        </w:rPr>
        <w:t> </w:t>
      </w:r>
      <w:r w:rsidR="00CC55C0" w:rsidRPr="0071228C">
        <w:rPr>
          <w:noProof/>
        </w:rPr>
        <w:t>poz</w:t>
      </w:r>
      <w:r w:rsidRPr="0071228C">
        <w:rPr>
          <w:noProof/>
        </w:rPr>
        <w:t>iomów oczyszczania dadzą doskonały przegląd wdrażania dyrektywy</w:t>
      </w:r>
      <w:r w:rsidRPr="00CC55C0">
        <w:rPr>
          <w:noProof/>
        </w:rPr>
        <w:t>.</w:t>
      </w:r>
      <w:r w:rsidR="00CC55C0" w:rsidRPr="00CC55C0">
        <w:rPr>
          <w:noProof/>
        </w:rPr>
        <w:t xml:space="preserve"> </w:t>
      </w:r>
    </w:p>
    <w:p w14:paraId="243E680D" w14:textId="538C0F2B"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Liczba obiektów wyposażonych</w:t>
      </w:r>
      <w:r w:rsidR="00CC55C0" w:rsidRPr="0071228C">
        <w:rPr>
          <w:noProof/>
        </w:rPr>
        <w:t xml:space="preserve"> w</w:t>
      </w:r>
      <w:r w:rsidR="00CC55C0">
        <w:rPr>
          <w:noProof/>
        </w:rPr>
        <w:t> </w:t>
      </w:r>
      <w:r w:rsidR="00CC55C0" w:rsidRPr="0071228C">
        <w:rPr>
          <w:noProof/>
        </w:rPr>
        <w:t>dod</w:t>
      </w:r>
      <w:r w:rsidRPr="0071228C">
        <w:rPr>
          <w:noProof/>
        </w:rPr>
        <w:t>atkowy proces oczyszczania pod kątem N/P</w:t>
      </w:r>
      <w:r w:rsidR="00CC55C0" w:rsidRPr="0071228C">
        <w:rPr>
          <w:noProof/>
        </w:rPr>
        <w:t xml:space="preserve"> i</w:t>
      </w:r>
      <w:r w:rsidR="00CC55C0">
        <w:rPr>
          <w:noProof/>
        </w:rPr>
        <w:t> </w:t>
      </w:r>
      <w:r w:rsidR="00CC55C0" w:rsidRPr="0071228C">
        <w:rPr>
          <w:noProof/>
        </w:rPr>
        <w:t>mik</w:t>
      </w:r>
      <w:r w:rsidRPr="0071228C">
        <w:rPr>
          <w:noProof/>
        </w:rPr>
        <w:t>rozanieczyszczeń oraz związane</w:t>
      </w:r>
      <w:r w:rsidR="00CC55C0" w:rsidRPr="0071228C">
        <w:rPr>
          <w:noProof/>
        </w:rPr>
        <w:t xml:space="preserve"> z</w:t>
      </w:r>
      <w:r w:rsidR="00CC55C0">
        <w:rPr>
          <w:noProof/>
        </w:rPr>
        <w:t> </w:t>
      </w:r>
      <w:r w:rsidR="00CC55C0" w:rsidRPr="0071228C">
        <w:rPr>
          <w:noProof/>
        </w:rPr>
        <w:t>tym</w:t>
      </w:r>
      <w:r w:rsidRPr="0071228C">
        <w:rPr>
          <w:noProof/>
        </w:rPr>
        <w:t xml:space="preserve"> ograniczenie uwolnień N/P</w:t>
      </w:r>
      <w:r w:rsidR="00CC55C0" w:rsidRPr="0071228C">
        <w:rPr>
          <w:noProof/>
        </w:rPr>
        <w:t xml:space="preserve"> i</w:t>
      </w:r>
      <w:r w:rsidR="00CC55C0">
        <w:rPr>
          <w:noProof/>
        </w:rPr>
        <w:t> </w:t>
      </w:r>
      <w:r w:rsidR="00CC55C0" w:rsidRPr="0071228C">
        <w:rPr>
          <w:noProof/>
        </w:rPr>
        <w:t>ład</w:t>
      </w:r>
      <w:r w:rsidRPr="0071228C">
        <w:rPr>
          <w:noProof/>
        </w:rPr>
        <w:t xml:space="preserve">unku substancji toksycznych na poziomach państw członkowskich i UE. </w:t>
      </w:r>
    </w:p>
    <w:p w14:paraId="092A6EF4" w14:textId="6C60549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Zużycie energii</w:t>
      </w:r>
      <w:r w:rsidR="00CC55C0" w:rsidRPr="0071228C">
        <w:rPr>
          <w:noProof/>
        </w:rPr>
        <w:t xml:space="preserve"> w</w:t>
      </w:r>
      <w:r w:rsidR="00CC55C0">
        <w:rPr>
          <w:noProof/>
        </w:rPr>
        <w:t> </w:t>
      </w:r>
      <w:r w:rsidR="00CC55C0" w:rsidRPr="0071228C">
        <w:rPr>
          <w:noProof/>
        </w:rPr>
        <w:t>pos</w:t>
      </w:r>
      <w:r w:rsidRPr="0071228C">
        <w:rPr>
          <w:noProof/>
        </w:rPr>
        <w:t>zczególnych państwach członkowskich</w:t>
      </w:r>
      <w:r w:rsidR="00CC55C0" w:rsidRPr="0071228C">
        <w:rPr>
          <w:noProof/>
        </w:rPr>
        <w:t xml:space="preserve"> i</w:t>
      </w:r>
      <w:r w:rsidR="00CC55C0">
        <w:rPr>
          <w:noProof/>
        </w:rPr>
        <w:t> </w:t>
      </w:r>
      <w:r w:rsidR="00CC55C0" w:rsidRPr="0071228C">
        <w:rPr>
          <w:noProof/>
        </w:rPr>
        <w:t>zwi</w:t>
      </w:r>
      <w:r w:rsidRPr="0071228C">
        <w:rPr>
          <w:noProof/>
        </w:rPr>
        <w:t>ązane</w:t>
      </w:r>
      <w:r w:rsidR="00CC55C0" w:rsidRPr="0071228C">
        <w:rPr>
          <w:noProof/>
        </w:rPr>
        <w:t xml:space="preserve"> z</w:t>
      </w:r>
      <w:r w:rsidR="00CC55C0">
        <w:rPr>
          <w:noProof/>
        </w:rPr>
        <w:t> </w:t>
      </w:r>
      <w:r w:rsidR="00CC55C0" w:rsidRPr="0071228C">
        <w:rPr>
          <w:noProof/>
        </w:rPr>
        <w:t>tym</w:t>
      </w:r>
      <w:r w:rsidRPr="0071228C">
        <w:rPr>
          <w:noProof/>
        </w:rPr>
        <w:t xml:space="preserve"> emisje gazów cieplarnianych. </w:t>
      </w:r>
    </w:p>
    <w:p w14:paraId="3BEF2AE8" w14:textId="48C8897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Liczba aglomeracji objętych zintegrowanymi planami zarządzania</w:t>
      </w:r>
      <w:r w:rsidR="00CC55C0" w:rsidRPr="0071228C">
        <w:rPr>
          <w:noProof/>
        </w:rPr>
        <w:t xml:space="preserve"> w</w:t>
      </w:r>
      <w:r w:rsidR="00CC55C0">
        <w:rPr>
          <w:noProof/>
        </w:rPr>
        <w:t> </w:t>
      </w:r>
      <w:r w:rsidR="00CC55C0" w:rsidRPr="0071228C">
        <w:rPr>
          <w:noProof/>
        </w:rPr>
        <w:t>zak</w:t>
      </w:r>
      <w:r w:rsidRPr="0071228C">
        <w:rPr>
          <w:noProof/>
        </w:rPr>
        <w:t>resie przelewów wód burzowych</w:t>
      </w:r>
      <w:r w:rsidR="00CC55C0" w:rsidRPr="0071228C">
        <w:rPr>
          <w:noProof/>
        </w:rPr>
        <w:t xml:space="preserve"> i</w:t>
      </w:r>
      <w:r w:rsidR="00CC55C0">
        <w:rPr>
          <w:noProof/>
        </w:rPr>
        <w:t> </w:t>
      </w:r>
      <w:r w:rsidR="00CC55C0" w:rsidRPr="0071228C">
        <w:rPr>
          <w:noProof/>
        </w:rPr>
        <w:t>mie</w:t>
      </w:r>
      <w:r w:rsidRPr="0071228C">
        <w:rPr>
          <w:noProof/>
        </w:rPr>
        <w:t>jskich spływów powierzchniowych oraz ich zgodność</w:t>
      </w:r>
      <w:r w:rsidR="00CC55C0" w:rsidRPr="0071228C">
        <w:rPr>
          <w:noProof/>
        </w:rPr>
        <w:t xml:space="preserve"> z</w:t>
      </w:r>
      <w:r w:rsidR="00CC55C0">
        <w:rPr>
          <w:noProof/>
        </w:rPr>
        <w:t> </w:t>
      </w:r>
      <w:r w:rsidR="00CC55C0" w:rsidRPr="0071228C">
        <w:rPr>
          <w:noProof/>
        </w:rPr>
        <w:t>cel</w:t>
      </w:r>
      <w:r w:rsidRPr="0071228C">
        <w:rPr>
          <w:noProof/>
        </w:rPr>
        <w:t xml:space="preserve">em UE. </w:t>
      </w:r>
    </w:p>
    <w:p w14:paraId="614DDCD2" w14:textId="1D5A8B6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Środki zastosowane przez państwa członkowskie</w:t>
      </w:r>
      <w:r w:rsidR="00CC55C0" w:rsidRPr="0071228C">
        <w:rPr>
          <w:noProof/>
        </w:rPr>
        <w:t xml:space="preserve"> w</w:t>
      </w:r>
      <w:r w:rsidR="00CC55C0">
        <w:rPr>
          <w:noProof/>
        </w:rPr>
        <w:t> </w:t>
      </w:r>
      <w:r w:rsidR="00CC55C0" w:rsidRPr="0071228C">
        <w:rPr>
          <w:noProof/>
        </w:rPr>
        <w:t>cel</w:t>
      </w:r>
      <w:r w:rsidRPr="0071228C">
        <w:rPr>
          <w:noProof/>
        </w:rPr>
        <w:t>u poprawy dostępu do kanalizacji</w:t>
      </w:r>
      <w:r w:rsidR="00CC55C0" w:rsidRPr="0071228C">
        <w:rPr>
          <w:noProof/>
        </w:rPr>
        <w:t xml:space="preserve"> i</w:t>
      </w:r>
      <w:r w:rsidR="00CC55C0">
        <w:rPr>
          <w:noProof/>
        </w:rPr>
        <w:t> </w:t>
      </w:r>
      <w:r w:rsidR="00CC55C0" w:rsidRPr="0071228C">
        <w:rPr>
          <w:noProof/>
        </w:rPr>
        <w:t>lep</w:t>
      </w:r>
      <w:r w:rsidRPr="0071228C">
        <w:rPr>
          <w:noProof/>
        </w:rPr>
        <w:t>szej kontroli pojedynczych lub innych właściwych systemów oraz podsumowanie głównych wskaźników zdrowotnych badanych</w:t>
      </w:r>
      <w:r w:rsidR="00CC55C0" w:rsidRPr="0071228C">
        <w:rPr>
          <w:noProof/>
        </w:rPr>
        <w:t xml:space="preserve"> w</w:t>
      </w:r>
      <w:r w:rsidR="00CC55C0">
        <w:rPr>
          <w:noProof/>
        </w:rPr>
        <w:t> </w:t>
      </w:r>
      <w:r w:rsidR="00CC55C0" w:rsidRPr="0071228C">
        <w:rPr>
          <w:noProof/>
        </w:rPr>
        <w:t>pań</w:t>
      </w:r>
      <w:r w:rsidRPr="0071228C">
        <w:rPr>
          <w:noProof/>
        </w:rPr>
        <w:t xml:space="preserve">stwach członkowskich.    </w:t>
      </w:r>
    </w:p>
    <w:p w14:paraId="031D5CA1" w14:textId="3F6C5BF2"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Inne dane, zwłaszcza dotyczące jakości wód odbiorników wodnych (rzek, jezior</w:t>
      </w:r>
      <w:r w:rsidR="00CC55C0" w:rsidRPr="0071228C">
        <w:rPr>
          <w:noProof/>
        </w:rPr>
        <w:t xml:space="preserve"> i</w:t>
      </w:r>
      <w:r w:rsidR="00CC55C0">
        <w:rPr>
          <w:noProof/>
        </w:rPr>
        <w:t> </w:t>
      </w:r>
      <w:r w:rsidR="00CC55C0" w:rsidRPr="0071228C">
        <w:rPr>
          <w:noProof/>
        </w:rPr>
        <w:t>mór</w:t>
      </w:r>
      <w:r w:rsidRPr="0071228C">
        <w:rPr>
          <w:noProof/>
        </w:rPr>
        <w:t>z), wynikające</w:t>
      </w:r>
      <w:r w:rsidR="00CC55C0" w:rsidRPr="0071228C">
        <w:rPr>
          <w:noProof/>
        </w:rPr>
        <w:t xml:space="preserve"> z</w:t>
      </w:r>
      <w:r w:rsidR="00CC55C0">
        <w:rPr>
          <w:noProof/>
        </w:rPr>
        <w:t> </w:t>
      </w:r>
      <w:r w:rsidR="00CC55C0" w:rsidRPr="0071228C">
        <w:rPr>
          <w:noProof/>
        </w:rPr>
        <w:t>dyr</w:t>
      </w:r>
      <w:r w:rsidRPr="0071228C">
        <w:rPr>
          <w:noProof/>
        </w:rPr>
        <w:t>ektyw ramowych dotyczących gospodarki wodnej</w:t>
      </w:r>
      <w:r w:rsidR="00CC55C0" w:rsidRPr="0071228C">
        <w:rPr>
          <w:noProof/>
        </w:rPr>
        <w:t xml:space="preserve"> i</w:t>
      </w:r>
      <w:r w:rsidR="00CC55C0">
        <w:rPr>
          <w:noProof/>
        </w:rPr>
        <w:t> </w:t>
      </w:r>
      <w:r w:rsidR="00CC55C0" w:rsidRPr="0071228C">
        <w:rPr>
          <w:noProof/>
        </w:rPr>
        <w:t>mor</w:t>
      </w:r>
      <w:r w:rsidRPr="0071228C">
        <w:rPr>
          <w:noProof/>
        </w:rPr>
        <w:t>skiej, zostaną wykorzystane do konkretnych pomiarów wpływu dyrektywy dotyczącej oczyszczania ścieków komunalnych. Więcej szczegółów dotyczących parametrów, które mają być zgłaszane do celów oceny zgodności</w:t>
      </w:r>
      <w:r w:rsidR="00CC55C0" w:rsidRPr="0071228C">
        <w:rPr>
          <w:noProof/>
        </w:rPr>
        <w:t xml:space="preserve"> i</w:t>
      </w:r>
      <w:r w:rsidR="00CC55C0">
        <w:rPr>
          <w:noProof/>
        </w:rPr>
        <w:t> </w:t>
      </w:r>
      <w:r w:rsidR="00CC55C0" w:rsidRPr="0071228C">
        <w:rPr>
          <w:noProof/>
        </w:rPr>
        <w:t>pom</w:t>
      </w:r>
      <w:r w:rsidRPr="0071228C">
        <w:rPr>
          <w:noProof/>
        </w:rPr>
        <w:t>iaru sukcesu wdrażania dyrektywy, zamieszczono</w:t>
      </w:r>
      <w:r w:rsidR="00CC55C0" w:rsidRPr="0071228C">
        <w:rPr>
          <w:noProof/>
        </w:rPr>
        <w:t xml:space="preserve"> w</w:t>
      </w:r>
      <w:r w:rsidR="00CC55C0">
        <w:rPr>
          <w:noProof/>
        </w:rPr>
        <w:t> </w:t>
      </w:r>
      <w:r w:rsidR="00CC55C0" w:rsidRPr="0071228C">
        <w:rPr>
          <w:noProof/>
        </w:rPr>
        <w:t>zał</w:t>
      </w:r>
      <w:r w:rsidRPr="0071228C">
        <w:rPr>
          <w:noProof/>
        </w:rPr>
        <w:t>ączniku 10 do oceny skutków.</w:t>
      </w:r>
    </w:p>
    <w:p w14:paraId="18773507" w14:textId="271B91A3"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t>
      </w:r>
      <w:r w:rsidRPr="0071228C">
        <w:rPr>
          <w:noProof/>
        </w:rPr>
        <w:tab/>
        <w:t>Uwzględnienie nadzoru nad ściekami</w:t>
      </w:r>
      <w:r w:rsidR="00CC55C0" w:rsidRPr="0071228C">
        <w:rPr>
          <w:noProof/>
        </w:rPr>
        <w:t xml:space="preserve"> w</w:t>
      </w:r>
      <w:r w:rsidR="00CC55C0">
        <w:rPr>
          <w:noProof/>
        </w:rPr>
        <w:t> </w:t>
      </w:r>
      <w:r w:rsidR="00CC55C0" w:rsidRPr="0071228C">
        <w:rPr>
          <w:noProof/>
        </w:rPr>
        <w:t>dro</w:t>
      </w:r>
      <w:r w:rsidRPr="0071228C">
        <w:rPr>
          <w:noProof/>
        </w:rPr>
        <w:t>dze monitorowania umożliwiające określenie nowych wskaźników na podstawie odpowiednich danych naukowych, analitycznych</w:t>
      </w:r>
      <w:r w:rsidR="00CC55C0" w:rsidRPr="0071228C">
        <w:rPr>
          <w:noProof/>
        </w:rPr>
        <w:t xml:space="preserve"> i</w:t>
      </w:r>
      <w:r w:rsidR="00CC55C0">
        <w:rPr>
          <w:noProof/>
        </w:rPr>
        <w:t> </w:t>
      </w:r>
      <w:r w:rsidR="00CC55C0" w:rsidRPr="0071228C">
        <w:rPr>
          <w:noProof/>
        </w:rPr>
        <w:t>epi</w:t>
      </w:r>
      <w:r w:rsidRPr="0071228C">
        <w:rPr>
          <w:noProof/>
        </w:rPr>
        <w:t>demiologicznych.</w:t>
      </w:r>
    </w:p>
    <w:p w14:paraId="303A0B4A"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DCFD3C6"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Przepisy dotyczące jakości powietrza:</w:t>
      </w:r>
    </w:p>
    <w:p w14:paraId="68FC2E1E" w14:textId="56947671"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71228C">
        <w:rPr>
          <w:noProof/>
          <w:color w:val="000000"/>
          <w:shd w:val="clear" w:color="auto" w:fill="FFFFFF"/>
        </w:rPr>
        <w:t>Państwa członkowskie UE ustanowiły sieć monitorowania jakości powietrza obejmującą około 16 000 punktów pobierania próbek pod kątem określonych substancji zanieczyszczających (często pogrupowanych</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pon</w:t>
      </w:r>
      <w:r w:rsidRPr="0071228C">
        <w:rPr>
          <w:noProof/>
          <w:color w:val="000000"/>
          <w:shd w:val="clear" w:color="auto" w:fill="FFFFFF"/>
        </w:rPr>
        <w:t>ad 4 000 lokalizacjach monitorowania) na podstawie wspólnych kryteriów zdefiniowanych</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obo</w:t>
      </w:r>
      <w:r w:rsidRPr="0071228C">
        <w:rPr>
          <w:noProof/>
          <w:color w:val="000000"/>
          <w:shd w:val="clear" w:color="auto" w:fill="FFFFFF"/>
        </w:rPr>
        <w:t>wiązujących dyrektywach</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spr</w:t>
      </w:r>
      <w:r w:rsidRPr="0071228C">
        <w:rPr>
          <w:noProof/>
          <w:color w:val="000000"/>
          <w:shd w:val="clear" w:color="auto" w:fill="FFFFFF"/>
        </w:rPr>
        <w:t>awie jakości powietrza. Dzięki proponowanej zmianie</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sys</w:t>
      </w:r>
      <w:r w:rsidRPr="0071228C">
        <w:rPr>
          <w:noProof/>
          <w:color w:val="000000"/>
          <w:shd w:val="clear" w:color="auto" w:fill="FFFFFF"/>
        </w:rPr>
        <w:t>temach oceny, monitorowania</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mod</w:t>
      </w:r>
      <w:r w:rsidRPr="0071228C">
        <w:rPr>
          <w:noProof/>
          <w:color w:val="000000"/>
          <w:shd w:val="clear" w:color="auto" w:fill="FFFFFF"/>
        </w:rPr>
        <w:t>elowania jakości powietrza zapewnione zostaną dodatkowe, porównywalne</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obi</w:t>
      </w:r>
      <w:r w:rsidRPr="0071228C">
        <w:rPr>
          <w:noProof/>
          <w:color w:val="000000"/>
          <w:shd w:val="clear" w:color="auto" w:fill="FFFFFF"/>
        </w:rPr>
        <w:t>ektywne informacje, które umożliwią regularne monitorowanie</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oce</w:t>
      </w:r>
      <w:r w:rsidRPr="0071228C">
        <w:rPr>
          <w:noProof/>
          <w:color w:val="000000"/>
          <w:shd w:val="clear" w:color="auto" w:fill="FFFFFF"/>
        </w:rPr>
        <w:t>nę zmiany jakości powietrza w UE,</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tym</w:t>
      </w:r>
      <w:r w:rsidRPr="0071228C">
        <w:rPr>
          <w:noProof/>
          <w:color w:val="000000"/>
          <w:shd w:val="clear" w:color="auto" w:fill="FFFFFF"/>
        </w:rPr>
        <w:t xml:space="preserve"> przy niższych poziomach zanieczyszczeń, które coraz częściej są również postrzegane jako oddziałujące na zdrowie</w:t>
      </w:r>
      <w:r w:rsidR="00CC55C0" w:rsidRPr="0071228C">
        <w:rPr>
          <w:noProof/>
          <w:color w:val="000000"/>
          <w:shd w:val="clear" w:color="auto" w:fill="FFFFFF"/>
        </w:rPr>
        <w:t>. W</w:t>
      </w:r>
      <w:r w:rsidR="00CC55C0">
        <w:rPr>
          <w:noProof/>
          <w:color w:val="000000"/>
          <w:shd w:val="clear" w:color="auto" w:fill="FFFFFF"/>
        </w:rPr>
        <w:t> </w:t>
      </w:r>
      <w:r w:rsidR="00CC55C0" w:rsidRPr="0071228C">
        <w:rPr>
          <w:noProof/>
          <w:color w:val="000000"/>
          <w:shd w:val="clear" w:color="auto" w:fill="FFFFFF"/>
        </w:rPr>
        <w:t>wyn</w:t>
      </w:r>
      <w:r w:rsidRPr="0071228C">
        <w:rPr>
          <w:noProof/>
          <w:color w:val="000000"/>
          <w:shd w:val="clear" w:color="auto" w:fill="FFFFFF"/>
        </w:rPr>
        <w:t>iku tej zmiany państwa członkowskie będą musiały również rozszerzyć monitorowanie</w:t>
      </w:r>
      <w:r w:rsidR="00CC55C0" w:rsidRPr="0071228C">
        <w:rPr>
          <w:noProof/>
          <w:color w:val="000000"/>
          <w:shd w:val="clear" w:color="auto" w:fill="FFFFFF"/>
        </w:rPr>
        <w:t xml:space="preserve"> </w:t>
      </w:r>
      <w:r w:rsidR="00CC55C0" w:rsidRPr="0071228C">
        <w:rPr>
          <w:noProof/>
          <w:color w:val="000000"/>
          <w:bdr w:val="none" w:sz="0" w:space="0" w:color="auto" w:frame="1"/>
        </w:rPr>
        <w:t>o</w:t>
      </w:r>
      <w:r w:rsidR="00CC55C0">
        <w:rPr>
          <w:noProof/>
          <w:color w:val="000000"/>
          <w:shd w:val="clear" w:color="auto" w:fill="FFFFFF"/>
        </w:rPr>
        <w:t> </w:t>
      </w:r>
      <w:r w:rsidR="00CC55C0" w:rsidRPr="0071228C">
        <w:rPr>
          <w:noProof/>
          <w:color w:val="000000"/>
          <w:bdr w:val="none" w:sz="0" w:space="0" w:color="auto" w:frame="1"/>
        </w:rPr>
        <w:t>now</w:t>
      </w:r>
      <w:r w:rsidRPr="0071228C">
        <w:rPr>
          <w:noProof/>
          <w:color w:val="000000"/>
          <w:bdr w:val="none" w:sz="0" w:space="0" w:color="auto" w:frame="1"/>
        </w:rPr>
        <w:t>e substancje zanieczyszczające,</w:t>
      </w:r>
      <w:r w:rsidR="00CC55C0" w:rsidRPr="0071228C">
        <w:rPr>
          <w:noProof/>
          <w:color w:val="000000"/>
          <w:bdr w:val="none" w:sz="0" w:space="0" w:color="auto" w:frame="1"/>
        </w:rPr>
        <w:t xml:space="preserve"> a</w:t>
      </w:r>
      <w:r w:rsidR="00CC55C0">
        <w:rPr>
          <w:noProof/>
          <w:color w:val="000000"/>
          <w:bdr w:val="none" w:sz="0" w:space="0" w:color="auto" w:frame="1"/>
        </w:rPr>
        <w:t> </w:t>
      </w:r>
      <w:r w:rsidR="00CC55C0" w:rsidRPr="0071228C">
        <w:rPr>
          <w:noProof/>
          <w:color w:val="000000"/>
          <w:bdr w:val="none" w:sz="0" w:space="0" w:color="auto" w:frame="1"/>
        </w:rPr>
        <w:t>tak</w:t>
      </w:r>
      <w:r w:rsidRPr="0071228C">
        <w:rPr>
          <w:noProof/>
          <w:color w:val="000000"/>
          <w:bdr w:val="none" w:sz="0" w:space="0" w:color="auto" w:frame="1"/>
        </w:rPr>
        <w:t>że prowadzić obserwacje szeregu zanieczyszczeń powietrza,</w:t>
      </w:r>
      <w:r w:rsidR="00CC55C0" w:rsidRPr="0071228C">
        <w:rPr>
          <w:noProof/>
          <w:color w:val="000000"/>
          <w:bdr w:val="none" w:sz="0" w:space="0" w:color="auto" w:frame="1"/>
        </w:rPr>
        <w:t xml:space="preserve"> w</w:t>
      </w:r>
      <w:r w:rsidR="00CC55C0">
        <w:rPr>
          <w:noProof/>
          <w:color w:val="000000"/>
          <w:bdr w:val="none" w:sz="0" w:space="0" w:color="auto" w:frame="1"/>
        </w:rPr>
        <w:t> </w:t>
      </w:r>
      <w:r w:rsidR="00CC55C0" w:rsidRPr="0071228C">
        <w:rPr>
          <w:noProof/>
          <w:color w:val="000000"/>
          <w:bdr w:val="none" w:sz="0" w:space="0" w:color="auto" w:frame="1"/>
        </w:rPr>
        <w:t>prz</w:t>
      </w:r>
      <w:r w:rsidRPr="0071228C">
        <w:rPr>
          <w:noProof/>
          <w:color w:val="000000"/>
          <w:bdr w:val="none" w:sz="0" w:space="0" w:color="auto" w:frame="1"/>
        </w:rPr>
        <w:t>ypadku których do tej pory nie wprowadzono jednolitego monitorowania jakości powietrza w UE.</w:t>
      </w:r>
    </w:p>
    <w:p w14:paraId="2D8210E9" w14:textId="65C665A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71228C">
        <w:rPr>
          <w:noProof/>
          <w:color w:val="000000"/>
          <w:shd w:val="clear" w:color="auto" w:fill="FFFFFF"/>
        </w:rPr>
        <w:t>Dane dotyczące jakości powietrza przekazywane przez państwa członkowskie są publikowane przez Europejską Agencję Środowiska jako usługa cyfrowa,</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tym</w:t>
      </w:r>
      <w:r w:rsidRPr="0071228C">
        <w:rPr>
          <w:noProof/>
          <w:color w:val="000000"/>
          <w:shd w:val="clear" w:color="auto" w:fill="FFFFFF"/>
        </w:rPr>
        <w:t xml:space="preserve"> za pośrednictwem Europejskiego wskaźnika jakości powietrza opartego na danych</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cza</w:t>
      </w:r>
      <w:r w:rsidRPr="0071228C">
        <w:rPr>
          <w:noProof/>
          <w:color w:val="000000"/>
          <w:shd w:val="clear" w:color="auto" w:fill="FFFFFF"/>
        </w:rPr>
        <w:t>sie zbliżonym do rzeczywistego.</w:t>
      </w:r>
      <w:r w:rsidRPr="0071228C">
        <w:rPr>
          <w:noProof/>
          <w:color w:val="0000FF"/>
        </w:rPr>
        <w:t xml:space="preserve"> </w:t>
      </w:r>
      <w:r w:rsidRPr="0071228C">
        <w:rPr>
          <w:noProof/>
          <w:color w:val="000000"/>
          <w:shd w:val="clear" w:color="auto" w:fill="FFFFFF"/>
        </w:rPr>
        <w:t>Dostępność tych danych oraz bardziej precyzyjne wymagania dotyczące informacji, które mają być zawarte</w:t>
      </w:r>
      <w:r w:rsidR="00CC55C0" w:rsidRPr="0071228C">
        <w:rPr>
          <w:noProof/>
          <w:color w:val="000000"/>
          <w:shd w:val="clear" w:color="auto" w:fill="FFFFFF"/>
        </w:rPr>
        <w:t xml:space="preserve"> w</w:t>
      </w:r>
      <w:r w:rsidR="00CC55C0">
        <w:rPr>
          <w:noProof/>
          <w:color w:val="000000"/>
          <w:shd w:val="clear" w:color="auto" w:fill="FFFFFF"/>
        </w:rPr>
        <w:t> </w:t>
      </w:r>
      <w:r w:rsidR="00CC55C0" w:rsidRPr="0071228C">
        <w:rPr>
          <w:noProof/>
          <w:color w:val="000000"/>
          <w:shd w:val="clear" w:color="auto" w:fill="FFFFFF"/>
        </w:rPr>
        <w:t>pla</w:t>
      </w:r>
      <w:r w:rsidRPr="0071228C">
        <w:rPr>
          <w:noProof/>
          <w:color w:val="000000"/>
          <w:shd w:val="clear" w:color="auto" w:fill="FFFFFF"/>
        </w:rPr>
        <w:t>nach ochrony powietrza, umożliwią również stałą kontrolę skuteczności szczególnych (często lokalnych) środków na rzecz poprawy jakości powietrza. Bardziej przejrzyste szczególne wymagania dotyczące informacji udostępnianych opinii publicznej ułatwią</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prz</w:t>
      </w:r>
      <w:r w:rsidRPr="0071228C">
        <w:rPr>
          <w:noProof/>
          <w:color w:val="000000"/>
          <w:shd w:val="clear" w:color="auto" w:fill="FFFFFF"/>
        </w:rPr>
        <w:t>yspieszą obywatelom odstęp do wyników monitorowania</w:t>
      </w:r>
      <w:r w:rsidR="00CC55C0" w:rsidRPr="0071228C">
        <w:rPr>
          <w:noProof/>
          <w:color w:val="000000"/>
          <w:shd w:val="clear" w:color="auto" w:fill="FFFFFF"/>
        </w:rPr>
        <w:t xml:space="preserve"> i</w:t>
      </w:r>
      <w:r w:rsidR="00CC55C0">
        <w:rPr>
          <w:noProof/>
          <w:color w:val="000000"/>
          <w:shd w:val="clear" w:color="auto" w:fill="FFFFFF"/>
        </w:rPr>
        <w:t> </w:t>
      </w:r>
      <w:r w:rsidR="00CC55C0" w:rsidRPr="0071228C">
        <w:rPr>
          <w:noProof/>
          <w:color w:val="000000"/>
          <w:shd w:val="clear" w:color="auto" w:fill="FFFFFF"/>
        </w:rPr>
        <w:t>oce</w:t>
      </w:r>
      <w:r w:rsidRPr="0071228C">
        <w:rPr>
          <w:noProof/>
          <w:color w:val="000000"/>
          <w:shd w:val="clear" w:color="auto" w:fill="FFFFFF"/>
        </w:rPr>
        <w:t>ny danych dotyczących jakości powietrza oraz związanych</w:t>
      </w:r>
      <w:r w:rsidR="00CC55C0" w:rsidRPr="0071228C">
        <w:rPr>
          <w:noProof/>
          <w:color w:val="000000"/>
          <w:shd w:val="clear" w:color="auto" w:fill="FFFFFF"/>
        </w:rPr>
        <w:t xml:space="preserve"> z</w:t>
      </w:r>
      <w:r w:rsidR="00CC55C0">
        <w:rPr>
          <w:noProof/>
          <w:color w:val="000000"/>
          <w:shd w:val="clear" w:color="auto" w:fill="FFFFFF"/>
        </w:rPr>
        <w:t> </w:t>
      </w:r>
      <w:r w:rsidR="00CC55C0" w:rsidRPr="0071228C">
        <w:rPr>
          <w:noProof/>
          <w:color w:val="000000"/>
          <w:shd w:val="clear" w:color="auto" w:fill="FFFFFF"/>
        </w:rPr>
        <w:t>tym</w:t>
      </w:r>
      <w:r w:rsidRPr="0071228C">
        <w:rPr>
          <w:noProof/>
          <w:color w:val="000000"/>
          <w:shd w:val="clear" w:color="auto" w:fill="FFFFFF"/>
        </w:rPr>
        <w:t xml:space="preserve"> środków</w:t>
      </w:r>
      <w:r w:rsidR="00CC55C0" w:rsidRPr="0071228C">
        <w:rPr>
          <w:noProof/>
          <w:color w:val="000000"/>
          <w:shd w:val="clear" w:color="auto" w:fill="FFFFFF"/>
        </w:rPr>
        <w:t xml:space="preserve"> z</w:t>
      </w:r>
      <w:r w:rsidR="00CC55C0">
        <w:rPr>
          <w:noProof/>
          <w:color w:val="000000"/>
          <w:shd w:val="clear" w:color="auto" w:fill="FFFFFF"/>
        </w:rPr>
        <w:t> </w:t>
      </w:r>
      <w:r w:rsidR="00CC55C0" w:rsidRPr="0071228C">
        <w:rPr>
          <w:noProof/>
          <w:color w:val="000000"/>
          <w:shd w:val="clear" w:color="auto" w:fill="FFFFFF"/>
        </w:rPr>
        <w:t>zak</w:t>
      </w:r>
      <w:r w:rsidRPr="0071228C">
        <w:rPr>
          <w:noProof/>
          <w:color w:val="000000"/>
          <w:shd w:val="clear" w:color="auto" w:fill="FFFFFF"/>
        </w:rPr>
        <w:t>resu polityki. </w:t>
      </w:r>
    </w:p>
    <w:p w14:paraId="71CF9694" w14:textId="567F335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Umożliwi to bardziej szczegółowe śledzenie postępów</w:t>
      </w:r>
      <w:r w:rsidR="00CC55C0" w:rsidRPr="0071228C">
        <w:rPr>
          <w:noProof/>
        </w:rPr>
        <w:t xml:space="preserve"> i</w:t>
      </w:r>
      <w:r w:rsidR="00CC55C0">
        <w:rPr>
          <w:noProof/>
        </w:rPr>
        <w:t> </w:t>
      </w:r>
      <w:r w:rsidR="00CC55C0" w:rsidRPr="0071228C">
        <w:rPr>
          <w:noProof/>
        </w:rPr>
        <w:t>osi</w:t>
      </w:r>
      <w:r w:rsidRPr="0071228C">
        <w:rPr>
          <w:noProof/>
        </w:rPr>
        <w:t>ągnięć, dzięki czemu podstawowym wskaźnikiem sukcesu jest osiągnięcie przez wszystkie państwa członkowskie ustalonych unijnych norm jakości powietrza,</w:t>
      </w:r>
      <w:r w:rsidR="00CC55C0" w:rsidRPr="0071228C">
        <w:rPr>
          <w:noProof/>
        </w:rPr>
        <w:t xml:space="preserve"> w</w:t>
      </w:r>
      <w:r w:rsidR="00CC55C0">
        <w:rPr>
          <w:noProof/>
        </w:rPr>
        <w:t> </w:t>
      </w:r>
      <w:r w:rsidR="00CC55C0" w:rsidRPr="0071228C">
        <w:rPr>
          <w:noProof/>
        </w:rPr>
        <w:t>tym</w:t>
      </w:r>
      <w:r w:rsidRPr="0071228C">
        <w:rPr>
          <w:noProof/>
        </w:rPr>
        <w:t xml:space="preserve"> postęp</w:t>
      </w:r>
      <w:r w:rsidR="00CC55C0" w:rsidRPr="0071228C">
        <w:rPr>
          <w:noProof/>
        </w:rPr>
        <w:t xml:space="preserve"> w</w:t>
      </w:r>
      <w:r w:rsidR="00CC55C0">
        <w:rPr>
          <w:noProof/>
        </w:rPr>
        <w:t> </w:t>
      </w:r>
      <w:r w:rsidR="00CC55C0" w:rsidRPr="0071228C">
        <w:rPr>
          <w:noProof/>
        </w:rPr>
        <w:t>osi</w:t>
      </w:r>
      <w:r w:rsidRPr="0071228C">
        <w:rPr>
          <w:noProof/>
        </w:rPr>
        <w:t>ąganiu tych norm.</w:t>
      </w:r>
    </w:p>
    <w:p w14:paraId="43D0A719"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 </w:t>
      </w:r>
    </w:p>
    <w:p w14:paraId="36A74353" w14:textId="77777777" w:rsidR="001C0111" w:rsidRPr="0071228C" w:rsidRDefault="001C0111" w:rsidP="002A2DB0">
      <w:pPr>
        <w:keepNext/>
        <w:outlineLvl w:val="1"/>
        <w:rPr>
          <w:rFonts w:eastAsiaTheme="majorEastAsia"/>
          <w:b/>
          <w:noProof/>
          <w:szCs w:val="24"/>
        </w:rPr>
      </w:pPr>
      <w:r w:rsidRPr="0071228C">
        <w:rPr>
          <w:b/>
          <w:noProof/>
        </w:rPr>
        <w:t>Uzasadnienie wniosku/inicjatywy</w:t>
      </w:r>
      <w:bookmarkEnd w:id="20"/>
      <w:bookmarkEnd w:id="21"/>
      <w:r w:rsidRPr="0071228C">
        <w:rPr>
          <w:b/>
          <w:noProof/>
        </w:rPr>
        <w:t xml:space="preserve"> </w:t>
      </w:r>
    </w:p>
    <w:p w14:paraId="49CE8771" w14:textId="5F88B8E9" w:rsidR="001C0111" w:rsidRPr="0071228C" w:rsidRDefault="001C0111" w:rsidP="002A2DB0">
      <w:pPr>
        <w:keepNext/>
        <w:outlineLvl w:val="2"/>
        <w:rPr>
          <w:rFonts w:eastAsiaTheme="majorEastAsia"/>
          <w:bCs/>
          <w:i/>
          <w:noProof/>
        </w:rPr>
      </w:pPr>
      <w:bookmarkStart w:id="22" w:name="_Toc514938026"/>
      <w:bookmarkStart w:id="23" w:name="_Toc520485035"/>
      <w:r w:rsidRPr="0071228C">
        <w:rPr>
          <w:i/>
          <w:noProof/>
        </w:rPr>
        <w:t>Potrzeby, które należy zaspokoić</w:t>
      </w:r>
      <w:r w:rsidR="00CC55C0" w:rsidRPr="0071228C">
        <w:rPr>
          <w:i/>
          <w:noProof/>
        </w:rPr>
        <w:t xml:space="preserve"> w</w:t>
      </w:r>
      <w:r w:rsidR="00CC55C0">
        <w:rPr>
          <w:i/>
          <w:noProof/>
        </w:rPr>
        <w:t> </w:t>
      </w:r>
      <w:r w:rsidR="00CC55C0" w:rsidRPr="0071228C">
        <w:rPr>
          <w:i/>
          <w:noProof/>
        </w:rPr>
        <w:t>per</w:t>
      </w:r>
      <w:r w:rsidRPr="0071228C">
        <w:rPr>
          <w:i/>
          <w:noProof/>
        </w:rPr>
        <w:t>spektywie krótko- lub długoterminowej,</w:t>
      </w:r>
      <w:r w:rsidR="00CC55C0" w:rsidRPr="0071228C">
        <w:rPr>
          <w:i/>
          <w:noProof/>
        </w:rPr>
        <w:t xml:space="preserve"> w</w:t>
      </w:r>
      <w:r w:rsidR="00CC55C0">
        <w:rPr>
          <w:i/>
          <w:noProof/>
        </w:rPr>
        <w:t> </w:t>
      </w:r>
      <w:r w:rsidR="00CC55C0" w:rsidRPr="0071228C">
        <w:rPr>
          <w:i/>
          <w:noProof/>
        </w:rPr>
        <w:t>tym</w:t>
      </w:r>
      <w:r w:rsidRPr="0071228C">
        <w:rPr>
          <w:i/>
          <w:noProof/>
        </w:rPr>
        <w:t xml:space="preserve"> szczegółowy terminarz przebiegu realizacji inicjatywy</w:t>
      </w:r>
      <w:bookmarkEnd w:id="22"/>
      <w:bookmarkEnd w:id="23"/>
    </w:p>
    <w:p w14:paraId="132ECE0C"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71228C">
        <w:rPr>
          <w:noProof/>
          <w:u w:val="single"/>
        </w:rPr>
        <w:t xml:space="preserve">Zintegrowana gospodarka wodna: </w:t>
      </w:r>
    </w:p>
    <w:p w14:paraId="05A36D97" w14:textId="56A12DBB"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EEA będzie „pojedynczym punktem kontaktowym” do celów przetwarzania</w:t>
      </w:r>
      <w:r w:rsidR="00CC55C0" w:rsidRPr="0071228C">
        <w:rPr>
          <w:noProof/>
        </w:rPr>
        <w:t xml:space="preserve"> i</w:t>
      </w:r>
      <w:r w:rsidR="00CC55C0">
        <w:rPr>
          <w:noProof/>
        </w:rPr>
        <w:t> </w:t>
      </w:r>
      <w:r w:rsidR="00CC55C0" w:rsidRPr="0071228C">
        <w:rPr>
          <w:noProof/>
        </w:rPr>
        <w:t>udo</w:t>
      </w:r>
      <w:r w:rsidRPr="0071228C">
        <w:rPr>
          <w:noProof/>
        </w:rPr>
        <w:t>stępniania</w:t>
      </w:r>
      <w:r w:rsidR="00CC55C0" w:rsidRPr="0071228C">
        <w:rPr>
          <w:noProof/>
        </w:rPr>
        <w:t xml:space="preserve"> w</w:t>
      </w:r>
      <w:r w:rsidR="00CC55C0">
        <w:rPr>
          <w:noProof/>
        </w:rPr>
        <w:t> </w:t>
      </w:r>
      <w:r w:rsidR="00CC55C0" w:rsidRPr="0071228C">
        <w:rPr>
          <w:noProof/>
        </w:rPr>
        <w:t>bar</w:t>
      </w:r>
      <w:r w:rsidRPr="0071228C">
        <w:rPr>
          <w:noProof/>
        </w:rPr>
        <w:t>dziej regularny sposób (niż ma to miejsce obecnie) wszystkich danych dotyczących monitorowania</w:t>
      </w:r>
      <w:r w:rsidR="00CC55C0" w:rsidRPr="0071228C">
        <w:rPr>
          <w:noProof/>
        </w:rPr>
        <w:t xml:space="preserve"> i</w:t>
      </w:r>
      <w:r w:rsidR="00CC55C0">
        <w:rPr>
          <w:noProof/>
        </w:rPr>
        <w:t> </w:t>
      </w:r>
      <w:r w:rsidR="00CC55C0" w:rsidRPr="0071228C">
        <w:rPr>
          <w:noProof/>
        </w:rPr>
        <w:t>sta</w:t>
      </w:r>
      <w:r w:rsidRPr="0071228C">
        <w:rPr>
          <w:noProof/>
        </w:rPr>
        <w:t>nu wód przekazywanych przez państwa członkowskie,</w:t>
      </w:r>
      <w:r w:rsidR="00CC55C0" w:rsidRPr="0071228C">
        <w:rPr>
          <w:noProof/>
        </w:rPr>
        <w:t xml:space="preserve"> a</w:t>
      </w:r>
      <w:r w:rsidR="00CC55C0">
        <w:rPr>
          <w:noProof/>
        </w:rPr>
        <w:t> </w:t>
      </w:r>
      <w:r w:rsidR="00CC55C0" w:rsidRPr="0071228C">
        <w:rPr>
          <w:noProof/>
        </w:rPr>
        <w:t>inf</w:t>
      </w:r>
      <w:r w:rsidRPr="0071228C">
        <w:rPr>
          <w:noProof/>
        </w:rPr>
        <w:t>ormacje te będą wykorzystywane</w:t>
      </w:r>
      <w:r w:rsidR="00CC55C0" w:rsidRPr="0071228C">
        <w:rPr>
          <w:noProof/>
        </w:rPr>
        <w:t xml:space="preserve"> w</w:t>
      </w:r>
      <w:r w:rsidR="00CC55C0">
        <w:rPr>
          <w:noProof/>
        </w:rPr>
        <w:t> </w:t>
      </w:r>
      <w:r w:rsidR="00CC55C0" w:rsidRPr="0071228C">
        <w:rPr>
          <w:noProof/>
        </w:rPr>
        <w:t>ram</w:t>
      </w:r>
      <w:r w:rsidRPr="0071228C">
        <w:rPr>
          <w:noProof/>
        </w:rPr>
        <w:t>ach zadań ECHA, która będzie „pojedynczym punktem kontaktowym” do celów zapewnienia naukowego wsparcia niezbędnego do dalszego opracowywania norm</w:t>
      </w:r>
      <w:r w:rsidR="00CC55C0" w:rsidRPr="0071228C">
        <w:rPr>
          <w:noProof/>
        </w:rPr>
        <w:t xml:space="preserve"> w</w:t>
      </w:r>
      <w:r w:rsidR="00CC55C0">
        <w:rPr>
          <w:noProof/>
        </w:rPr>
        <w:t> </w:t>
      </w:r>
      <w:r w:rsidR="00CC55C0" w:rsidRPr="0071228C">
        <w:rPr>
          <w:noProof/>
        </w:rPr>
        <w:t>zak</w:t>
      </w:r>
      <w:r w:rsidRPr="0071228C">
        <w:rPr>
          <w:noProof/>
        </w:rPr>
        <w:t>resie ochrony środowiska wodnego. Niektóre nowe zadania wynikają</w:t>
      </w:r>
      <w:r w:rsidR="00CC55C0" w:rsidRPr="0071228C">
        <w:rPr>
          <w:noProof/>
        </w:rPr>
        <w:t xml:space="preserve"> z</w:t>
      </w:r>
      <w:r w:rsidR="00CC55C0">
        <w:rPr>
          <w:noProof/>
        </w:rPr>
        <w:t> </w:t>
      </w:r>
      <w:r w:rsidR="00CC55C0" w:rsidRPr="0071228C">
        <w:rPr>
          <w:noProof/>
        </w:rPr>
        <w:t>pot</w:t>
      </w:r>
      <w:r w:rsidRPr="0071228C">
        <w:rPr>
          <w:noProof/>
        </w:rPr>
        <w:t>rzeby lepszego</w:t>
      </w:r>
      <w:r w:rsidR="00CC55C0" w:rsidRPr="0071228C">
        <w:rPr>
          <w:noProof/>
        </w:rPr>
        <w:t xml:space="preserve"> i</w:t>
      </w:r>
      <w:r w:rsidR="00CC55C0">
        <w:rPr>
          <w:noProof/>
        </w:rPr>
        <w:t> </w:t>
      </w:r>
      <w:r w:rsidR="00CC55C0" w:rsidRPr="0071228C">
        <w:rPr>
          <w:noProof/>
        </w:rPr>
        <w:t>bar</w:t>
      </w:r>
      <w:r w:rsidRPr="0071228C">
        <w:rPr>
          <w:noProof/>
        </w:rPr>
        <w:t>dziej systematycznego zajęcia się problemem zanieczyszczenia wód podziemnych oraz zapewnienia bardziej zharmonizowanej</w:t>
      </w:r>
      <w:r w:rsidR="00CC55C0" w:rsidRPr="0071228C">
        <w:rPr>
          <w:noProof/>
        </w:rPr>
        <w:t xml:space="preserve"> i</w:t>
      </w:r>
      <w:r w:rsidR="00CC55C0">
        <w:rPr>
          <w:noProof/>
        </w:rPr>
        <w:t> </w:t>
      </w:r>
      <w:r w:rsidR="00CC55C0" w:rsidRPr="0071228C">
        <w:rPr>
          <w:noProof/>
        </w:rPr>
        <w:t>lep</w:t>
      </w:r>
      <w:r w:rsidRPr="0071228C">
        <w:rPr>
          <w:noProof/>
        </w:rPr>
        <w:t>szej ochrony</w:t>
      </w:r>
      <w:r w:rsidR="00CC55C0" w:rsidRPr="0071228C">
        <w:rPr>
          <w:noProof/>
        </w:rPr>
        <w:t xml:space="preserve"> w</w:t>
      </w:r>
      <w:r w:rsidR="00CC55C0">
        <w:rPr>
          <w:noProof/>
        </w:rPr>
        <w:t> </w:t>
      </w:r>
      <w:r w:rsidR="00CC55C0" w:rsidRPr="0071228C">
        <w:rPr>
          <w:noProof/>
        </w:rPr>
        <w:t>odn</w:t>
      </w:r>
      <w:r w:rsidRPr="0071228C">
        <w:rPr>
          <w:noProof/>
        </w:rPr>
        <w:t>iesieniu do substancji zanieczyszczających, które nie stanowią problemu ogólnounijnego.</w:t>
      </w:r>
    </w:p>
    <w:p w14:paraId="69AFFB6A"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W bardziej szczegółowym ujęciu będzie to wymagało: </w:t>
      </w:r>
    </w:p>
    <w:p w14:paraId="1F4D0F3D" w14:textId="2071DCB5"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realizacji jednorazowych zadań powiązanych</w:t>
      </w:r>
      <w:r w:rsidR="00CC55C0" w:rsidRPr="0071228C">
        <w:rPr>
          <w:noProof/>
        </w:rPr>
        <w:t xml:space="preserve"> z</w:t>
      </w:r>
      <w:r w:rsidR="00CC55C0">
        <w:rPr>
          <w:noProof/>
        </w:rPr>
        <w:t> </w:t>
      </w:r>
      <w:r w:rsidR="00CC55C0" w:rsidRPr="0071228C">
        <w:rPr>
          <w:noProof/>
        </w:rPr>
        <w:t>utw</w:t>
      </w:r>
      <w:r w:rsidRPr="0071228C">
        <w:rPr>
          <w:noProof/>
        </w:rPr>
        <w:t>orzeniem przez EEA systemu bezpośredniego dostępu do danych pozyskiwanych na podstawie tego wniosku przez państwa członkowskie oraz</w:t>
      </w:r>
      <w:r w:rsidR="00CC55C0" w:rsidRPr="0071228C">
        <w:rPr>
          <w:noProof/>
        </w:rPr>
        <w:t xml:space="preserve"> z</w:t>
      </w:r>
      <w:r w:rsidR="00CC55C0">
        <w:rPr>
          <w:noProof/>
        </w:rPr>
        <w:t> </w:t>
      </w:r>
      <w:r w:rsidR="00CC55C0" w:rsidRPr="0071228C">
        <w:rPr>
          <w:noProof/>
        </w:rPr>
        <w:t>ust</w:t>
      </w:r>
      <w:r w:rsidRPr="0071228C">
        <w:rPr>
          <w:noProof/>
        </w:rPr>
        <w:t>aleniem lub opracowaniem przez ECHA pewnych wytycznych</w:t>
      </w:r>
      <w:r w:rsidR="00CC55C0" w:rsidRPr="0071228C">
        <w:rPr>
          <w:noProof/>
        </w:rPr>
        <w:t xml:space="preserve"> i</w:t>
      </w:r>
      <w:r w:rsidR="00CC55C0">
        <w:rPr>
          <w:noProof/>
        </w:rPr>
        <w:t> </w:t>
      </w:r>
      <w:r w:rsidR="00CC55C0" w:rsidRPr="0071228C">
        <w:rPr>
          <w:noProof/>
        </w:rPr>
        <w:t>met</w:t>
      </w:r>
      <w:r w:rsidRPr="0071228C">
        <w:rPr>
          <w:noProof/>
        </w:rPr>
        <w:t>odyk</w:t>
      </w:r>
      <w:r w:rsidR="00CC55C0" w:rsidRPr="0071228C">
        <w:rPr>
          <w:noProof/>
        </w:rPr>
        <w:t xml:space="preserve"> w</w:t>
      </w:r>
      <w:r w:rsidR="00CC55C0">
        <w:rPr>
          <w:noProof/>
        </w:rPr>
        <w:t> </w:t>
      </w:r>
      <w:r w:rsidR="00CC55C0" w:rsidRPr="0071228C">
        <w:rPr>
          <w:noProof/>
        </w:rPr>
        <w:t>odn</w:t>
      </w:r>
      <w:r w:rsidRPr="0071228C">
        <w:rPr>
          <w:noProof/>
        </w:rPr>
        <w:t>iesieniu do monitorowania</w:t>
      </w:r>
      <w:r w:rsidR="00CC55C0" w:rsidRPr="0071228C">
        <w:rPr>
          <w:noProof/>
        </w:rPr>
        <w:t xml:space="preserve"> i</w:t>
      </w:r>
      <w:r w:rsidR="00CC55C0">
        <w:rPr>
          <w:noProof/>
        </w:rPr>
        <w:t> </w:t>
      </w:r>
      <w:r w:rsidR="00CC55C0" w:rsidRPr="0071228C">
        <w:rPr>
          <w:noProof/>
        </w:rPr>
        <w:t>ana</w:t>
      </w:r>
      <w:r w:rsidRPr="0071228C">
        <w:rPr>
          <w:noProof/>
        </w:rPr>
        <w:t>lizy mikrodrobin plastiku oraz genów oporności na środki przeciwdrobnoustrojowe;</w:t>
      </w:r>
      <w:r w:rsidR="00CC55C0" w:rsidRPr="0071228C">
        <w:rPr>
          <w:noProof/>
        </w:rPr>
        <w:t xml:space="preserve"> a</w:t>
      </w:r>
      <w:r w:rsidR="00CC55C0">
        <w:rPr>
          <w:noProof/>
        </w:rPr>
        <w:t> </w:t>
      </w:r>
      <w:r w:rsidR="00CC55C0" w:rsidRPr="0071228C">
        <w:rPr>
          <w:noProof/>
        </w:rPr>
        <w:t>tak</w:t>
      </w:r>
      <w:r w:rsidRPr="0071228C">
        <w:rPr>
          <w:noProof/>
        </w:rPr>
        <w:t>że włączenia krajowych środowiskowych norm jakości dla substancji zanieczyszczających na poziomie obszaru dorzecza do repozytorium bezpiecznych dla zdrowia wartości dopuszczalnych, zarządzanego przez ECHA;</w:t>
      </w:r>
    </w:p>
    <w:p w14:paraId="6A4E690E" w14:textId="5438FA4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powtarzających się zadań powiązanych ze zwiększoną częstotliwością</w:t>
      </w:r>
      <w:r w:rsidR="00CC55C0" w:rsidRPr="0071228C">
        <w:rPr>
          <w:noProof/>
        </w:rPr>
        <w:t xml:space="preserve"> i</w:t>
      </w:r>
      <w:r w:rsidR="00CC55C0">
        <w:rPr>
          <w:noProof/>
        </w:rPr>
        <w:t> </w:t>
      </w:r>
      <w:r w:rsidR="00CC55C0" w:rsidRPr="0071228C">
        <w:rPr>
          <w:noProof/>
        </w:rPr>
        <w:t>cyf</w:t>
      </w:r>
      <w:r w:rsidRPr="0071228C">
        <w:rPr>
          <w:noProof/>
        </w:rPr>
        <w:t>ryzacją / mechanizmem zautomatyzowanego dostarczania danych dotyczących monitorowania</w:t>
      </w:r>
      <w:r w:rsidR="00CC55C0" w:rsidRPr="0071228C">
        <w:rPr>
          <w:noProof/>
        </w:rPr>
        <w:t xml:space="preserve"> i</w:t>
      </w:r>
      <w:r w:rsidR="00CC55C0">
        <w:rPr>
          <w:noProof/>
        </w:rPr>
        <w:t> </w:t>
      </w:r>
      <w:r w:rsidR="00CC55C0" w:rsidRPr="0071228C">
        <w:rPr>
          <w:noProof/>
        </w:rPr>
        <w:t>sta</w:t>
      </w:r>
      <w:r w:rsidRPr="0071228C">
        <w:rPr>
          <w:noProof/>
        </w:rPr>
        <w:t>nu do EEA, prowadzeniem przez ECHA repozytorium norm dotyczących substancji zanieczyszczających na poziomie obszarów dorzecza oraz ciągłym wsparciem naukowym ze strony ECHA</w:t>
      </w:r>
      <w:r w:rsidR="00CC55C0" w:rsidRPr="0071228C">
        <w:rPr>
          <w:noProof/>
        </w:rPr>
        <w:t xml:space="preserve"> w</w:t>
      </w:r>
      <w:r w:rsidR="00CC55C0">
        <w:rPr>
          <w:noProof/>
        </w:rPr>
        <w:t> </w:t>
      </w:r>
      <w:r w:rsidR="00CC55C0" w:rsidRPr="0071228C">
        <w:rPr>
          <w:noProof/>
        </w:rPr>
        <w:t>ram</w:t>
      </w:r>
      <w:r w:rsidRPr="0071228C">
        <w:rPr>
          <w:noProof/>
        </w:rPr>
        <w:t>ach opracowywania/dostosowywania, co trzy lata, list obserwacyjnych wód powierzchniowych</w:t>
      </w:r>
      <w:r w:rsidR="00CC55C0" w:rsidRPr="0071228C">
        <w:rPr>
          <w:noProof/>
        </w:rPr>
        <w:t xml:space="preserve"> i</w:t>
      </w:r>
      <w:r w:rsidR="00CC55C0">
        <w:rPr>
          <w:noProof/>
        </w:rPr>
        <w:t> </w:t>
      </w:r>
      <w:r w:rsidR="00CC55C0" w:rsidRPr="0071228C">
        <w:rPr>
          <w:noProof/>
        </w:rPr>
        <w:t>pod</w:t>
      </w:r>
      <w:r w:rsidRPr="0071228C">
        <w:rPr>
          <w:noProof/>
        </w:rPr>
        <w:t>ziemnych (w celu monitorowania</w:t>
      </w:r>
      <w:r w:rsidR="00CC55C0" w:rsidRPr="0071228C">
        <w:rPr>
          <w:noProof/>
        </w:rPr>
        <w:t xml:space="preserve"> i</w:t>
      </w:r>
      <w:r w:rsidR="00CC55C0">
        <w:rPr>
          <w:noProof/>
        </w:rPr>
        <w:t> </w:t>
      </w:r>
      <w:r w:rsidR="00CC55C0" w:rsidRPr="0071228C">
        <w:rPr>
          <w:noProof/>
        </w:rPr>
        <w:t>oce</w:t>
      </w:r>
      <w:r w:rsidRPr="0071228C">
        <w:rPr>
          <w:noProof/>
        </w:rPr>
        <w:t>ny odpowiednich substancji zanieczyszczających); oraz opracowywania/dostosowywania, co sześć lat, wykazów substancji / substancji zanieczyszczających</w:t>
      </w:r>
      <w:r w:rsidR="00CC55C0" w:rsidRPr="0071228C">
        <w:rPr>
          <w:noProof/>
        </w:rPr>
        <w:t xml:space="preserve"> i</w:t>
      </w:r>
      <w:r w:rsidR="00CC55C0">
        <w:rPr>
          <w:noProof/>
        </w:rPr>
        <w:t> </w:t>
      </w:r>
      <w:r w:rsidR="00CC55C0" w:rsidRPr="0071228C">
        <w:rPr>
          <w:noProof/>
        </w:rPr>
        <w:t>odp</w:t>
      </w:r>
      <w:r w:rsidRPr="0071228C">
        <w:rPr>
          <w:noProof/>
        </w:rPr>
        <w:t>owiadających im środowiskowych norm jakości dla UE, zarówno</w:t>
      </w:r>
      <w:r w:rsidR="00CC55C0" w:rsidRPr="0071228C">
        <w:rPr>
          <w:noProof/>
        </w:rPr>
        <w:t xml:space="preserve"> w</w:t>
      </w:r>
      <w:r w:rsidR="00CC55C0">
        <w:rPr>
          <w:noProof/>
        </w:rPr>
        <w:t> </w:t>
      </w:r>
      <w:r w:rsidR="00CC55C0" w:rsidRPr="0071228C">
        <w:rPr>
          <w:noProof/>
        </w:rPr>
        <w:t>odn</w:t>
      </w:r>
      <w:r w:rsidRPr="0071228C">
        <w:rPr>
          <w:noProof/>
        </w:rPr>
        <w:t>iesieniu do wód powierzchniowych, jak</w:t>
      </w:r>
      <w:r w:rsidR="00CC55C0" w:rsidRPr="0071228C">
        <w:rPr>
          <w:noProof/>
        </w:rPr>
        <w:t xml:space="preserve"> i</w:t>
      </w:r>
      <w:r w:rsidR="00CC55C0">
        <w:rPr>
          <w:noProof/>
        </w:rPr>
        <w:t> </w:t>
      </w:r>
      <w:r w:rsidR="00CC55C0" w:rsidRPr="0071228C">
        <w:rPr>
          <w:noProof/>
        </w:rPr>
        <w:t>pod</w:t>
      </w:r>
      <w:r w:rsidRPr="0071228C">
        <w:rPr>
          <w:noProof/>
        </w:rPr>
        <w:t>ziemnych,</w:t>
      </w:r>
      <w:r w:rsidR="00CC55C0" w:rsidRPr="0071228C">
        <w:rPr>
          <w:noProof/>
        </w:rPr>
        <w:t xml:space="preserve"> a</w:t>
      </w:r>
      <w:r w:rsidR="00CC55C0">
        <w:rPr>
          <w:noProof/>
        </w:rPr>
        <w:t> </w:t>
      </w:r>
      <w:r w:rsidR="00CC55C0" w:rsidRPr="0071228C">
        <w:rPr>
          <w:noProof/>
        </w:rPr>
        <w:t>tak</w:t>
      </w:r>
      <w:r w:rsidRPr="0071228C">
        <w:rPr>
          <w:noProof/>
        </w:rPr>
        <w:t>że identyfikowania, co sześć lat, unijnych norm dotyczących substancji zanieczyszczających (wody powierzchniowe</w:t>
      </w:r>
      <w:r w:rsidR="00CC55C0" w:rsidRPr="0071228C">
        <w:rPr>
          <w:noProof/>
        </w:rPr>
        <w:t xml:space="preserve"> i</w:t>
      </w:r>
      <w:r w:rsidR="00CC55C0">
        <w:rPr>
          <w:noProof/>
        </w:rPr>
        <w:t> </w:t>
      </w:r>
      <w:r w:rsidR="00CC55C0" w:rsidRPr="0071228C">
        <w:rPr>
          <w:noProof/>
        </w:rPr>
        <w:t>pod</w:t>
      </w:r>
      <w:r w:rsidRPr="0071228C">
        <w:rPr>
          <w:noProof/>
        </w:rPr>
        <w:t>ziemne), które są obecnie regulowane na poziomie obszaru dorzecza, jeśli wymagają tego cele ochrony środowiska</w:t>
      </w:r>
      <w:r w:rsidR="00CC55C0" w:rsidRPr="0071228C">
        <w:rPr>
          <w:noProof/>
        </w:rPr>
        <w:t xml:space="preserve"> i</w:t>
      </w:r>
      <w:r w:rsidR="00CC55C0">
        <w:rPr>
          <w:noProof/>
        </w:rPr>
        <w:t> </w:t>
      </w:r>
      <w:r w:rsidR="00CC55C0" w:rsidRPr="0071228C">
        <w:rPr>
          <w:noProof/>
        </w:rPr>
        <w:t>zha</w:t>
      </w:r>
      <w:r w:rsidRPr="0071228C">
        <w:rPr>
          <w:noProof/>
        </w:rPr>
        <w:t>rmonizowane wdrażanie.</w:t>
      </w:r>
    </w:p>
    <w:p w14:paraId="5D212C61"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Ramy czasowe</w:t>
      </w:r>
    </w:p>
    <w:p w14:paraId="5CB06D76" w14:textId="69F9F661" w:rsidR="001C0111" w:rsidRPr="00CC55C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I kwartał 20</w:t>
      </w:r>
      <w:r w:rsidRPr="00CC55C0">
        <w:rPr>
          <w:noProof/>
        </w:rPr>
        <w:t>23</w:t>
      </w:r>
      <w:r w:rsidR="00CC55C0" w:rsidRPr="00CC55C0">
        <w:rPr>
          <w:noProof/>
        </w:rPr>
        <w:t> </w:t>
      </w:r>
      <w:r w:rsidRPr="00CC55C0">
        <w:rPr>
          <w:noProof/>
        </w:rPr>
        <w:t>r.</w:t>
      </w:r>
      <w:r w:rsidRPr="0071228C">
        <w:rPr>
          <w:noProof/>
        </w:rPr>
        <w:t xml:space="preserve"> – IV kwartał 20</w:t>
      </w:r>
      <w:r w:rsidRPr="00CC55C0">
        <w:rPr>
          <w:noProof/>
        </w:rPr>
        <w:t>23</w:t>
      </w:r>
      <w:r w:rsidR="00CC55C0" w:rsidRPr="00CC55C0">
        <w:rPr>
          <w:noProof/>
        </w:rPr>
        <w:t> </w:t>
      </w:r>
      <w:r w:rsidRPr="00CC55C0">
        <w:rPr>
          <w:noProof/>
        </w:rPr>
        <w:t>r.</w:t>
      </w:r>
      <w:r w:rsidRPr="0071228C">
        <w:rPr>
          <w:noProof/>
        </w:rPr>
        <w:t>: międzyinstytucjonalne negocjacje dotyczące wniosku</w:t>
      </w:r>
    </w:p>
    <w:p w14:paraId="77643B1B" w14:textId="40A84D39"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rPr>
      </w:pPr>
      <w:r w:rsidRPr="00CC55C0">
        <w:rPr>
          <w:noProof/>
        </w:rPr>
        <w:t>I</w:t>
      </w:r>
      <w:r w:rsidRPr="0071228C">
        <w:rPr>
          <w:noProof/>
        </w:rPr>
        <w:t>/II kwartał 2024 r.: wejście</w:t>
      </w:r>
      <w:r w:rsidR="00CC55C0" w:rsidRPr="0071228C">
        <w:rPr>
          <w:noProof/>
        </w:rPr>
        <w:t xml:space="preserve"> w</w:t>
      </w:r>
      <w:r w:rsidR="00CC55C0">
        <w:rPr>
          <w:noProof/>
        </w:rPr>
        <w:t> </w:t>
      </w:r>
      <w:r w:rsidR="00CC55C0" w:rsidRPr="0071228C">
        <w:rPr>
          <w:noProof/>
        </w:rPr>
        <w:t>życ</w:t>
      </w:r>
      <w:r w:rsidRPr="0071228C">
        <w:rPr>
          <w:noProof/>
        </w:rPr>
        <w:t>ie;</w:t>
      </w:r>
    </w:p>
    <w:p w14:paraId="5B3C6295" w14:textId="39916864"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II kwartał 20</w:t>
      </w:r>
      <w:r w:rsidRPr="00CC55C0">
        <w:rPr>
          <w:noProof/>
        </w:rPr>
        <w:t>24</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opracowanie systemu bezpośredniego dostępu do danych pozyskanych na podstawie niniejszego wniosku przez państwa członkowskie, pod kierunkiem EEA, który to system ma zostać określony</w:t>
      </w:r>
      <w:r w:rsidR="00CC55C0" w:rsidRPr="0071228C">
        <w:rPr>
          <w:noProof/>
        </w:rPr>
        <w:t xml:space="preserve"> w</w:t>
      </w:r>
      <w:r w:rsidR="00CC55C0">
        <w:rPr>
          <w:noProof/>
        </w:rPr>
        <w:t> </w:t>
      </w:r>
      <w:r w:rsidR="00CC55C0" w:rsidRPr="0071228C">
        <w:rPr>
          <w:noProof/>
        </w:rPr>
        <w:t>akc</w:t>
      </w:r>
      <w:r w:rsidRPr="0071228C">
        <w:rPr>
          <w:noProof/>
        </w:rPr>
        <w:t>ie wykonawczym;</w:t>
      </w:r>
    </w:p>
    <w:p w14:paraId="369EDDFF" w14:textId="718ECA83"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II kwartał 20</w:t>
      </w:r>
      <w:r w:rsidRPr="00CC55C0">
        <w:rPr>
          <w:noProof/>
        </w:rPr>
        <w:t>24</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opracowanie specyfikacji technicznej (format, szczegółowość, częstotliwość) dla celów zgłaszania emisji (emisje ze źródeł punktowych nieobjęte rozporządzeniem</w:t>
      </w:r>
      <w:r w:rsidR="00CC55C0" w:rsidRPr="0071228C">
        <w:rPr>
          <w:noProof/>
        </w:rPr>
        <w:t xml:space="preserve"> w</w:t>
      </w:r>
      <w:r w:rsidR="00CC55C0">
        <w:rPr>
          <w:noProof/>
        </w:rPr>
        <w:t> </w:t>
      </w:r>
      <w:r w:rsidR="00CC55C0" w:rsidRPr="0071228C">
        <w:rPr>
          <w:noProof/>
        </w:rPr>
        <w:t>spr</w:t>
      </w:r>
      <w:r w:rsidRPr="0071228C">
        <w:rPr>
          <w:noProof/>
        </w:rPr>
        <w:t>awie Portalu Emisji Przemysłowych,</w:t>
      </w:r>
      <w:r w:rsidR="00CC55C0" w:rsidRPr="0071228C">
        <w:rPr>
          <w:noProof/>
        </w:rPr>
        <w:t xml:space="preserve"> a</w:t>
      </w:r>
      <w:r w:rsidR="00CC55C0">
        <w:rPr>
          <w:noProof/>
        </w:rPr>
        <w:t> </w:t>
      </w:r>
      <w:r w:rsidR="00CC55C0" w:rsidRPr="0071228C">
        <w:rPr>
          <w:noProof/>
        </w:rPr>
        <w:t>tak</w:t>
      </w:r>
      <w:r w:rsidRPr="0071228C">
        <w:rPr>
          <w:noProof/>
        </w:rPr>
        <w:t>że emisje rozproszone) do EEA (Portal Emisji Przemysłowych), pod kierunkiem EEA, które to specyfikacje mają zostać przyjęte</w:t>
      </w:r>
      <w:r w:rsidR="00CC55C0" w:rsidRPr="0071228C">
        <w:rPr>
          <w:noProof/>
        </w:rPr>
        <w:t xml:space="preserve"> w</w:t>
      </w:r>
      <w:r w:rsidR="00CC55C0">
        <w:rPr>
          <w:noProof/>
        </w:rPr>
        <w:t> </w:t>
      </w:r>
      <w:r w:rsidR="00CC55C0" w:rsidRPr="0071228C">
        <w:rPr>
          <w:noProof/>
        </w:rPr>
        <w:t>dro</w:t>
      </w:r>
      <w:r w:rsidRPr="0071228C">
        <w:rPr>
          <w:noProof/>
        </w:rPr>
        <w:t xml:space="preserve">dze aktu wykonawczego; </w:t>
      </w:r>
    </w:p>
    <w:p w14:paraId="07B760BF" w14:textId="2113BDD8"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I kwartał 20</w:t>
      </w:r>
      <w:r w:rsidRPr="00CC55C0">
        <w:rPr>
          <w:noProof/>
        </w:rPr>
        <w:t>24</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identyfikacja i/lub opracowanie wytycznych</w:t>
      </w:r>
      <w:r w:rsidR="00CC55C0" w:rsidRPr="0071228C">
        <w:rPr>
          <w:noProof/>
        </w:rPr>
        <w:t xml:space="preserve"> i</w:t>
      </w:r>
      <w:r w:rsidR="00CC55C0">
        <w:rPr>
          <w:noProof/>
        </w:rPr>
        <w:t> </w:t>
      </w:r>
      <w:r w:rsidR="00CC55C0" w:rsidRPr="0071228C">
        <w:rPr>
          <w:noProof/>
        </w:rPr>
        <w:t>met</w:t>
      </w:r>
      <w:r w:rsidRPr="0071228C">
        <w:rPr>
          <w:noProof/>
        </w:rPr>
        <w:t>odologii dotyczących pomiaru</w:t>
      </w:r>
      <w:r w:rsidR="00CC55C0" w:rsidRPr="0071228C">
        <w:rPr>
          <w:noProof/>
        </w:rPr>
        <w:t xml:space="preserve"> i</w:t>
      </w:r>
      <w:r w:rsidR="00CC55C0">
        <w:rPr>
          <w:noProof/>
        </w:rPr>
        <w:t> </w:t>
      </w:r>
      <w:r w:rsidR="00CC55C0" w:rsidRPr="0071228C">
        <w:rPr>
          <w:noProof/>
        </w:rPr>
        <w:t>ana</w:t>
      </w:r>
      <w:r w:rsidRPr="0071228C">
        <w:rPr>
          <w:noProof/>
        </w:rPr>
        <w:t>lizy stężenia mikrodrobin plastiku</w:t>
      </w:r>
      <w:r w:rsidR="00CC55C0" w:rsidRPr="0071228C">
        <w:rPr>
          <w:noProof/>
        </w:rPr>
        <w:t xml:space="preserve"> i</w:t>
      </w:r>
      <w:r w:rsidR="00CC55C0">
        <w:rPr>
          <w:noProof/>
        </w:rPr>
        <w:t> </w:t>
      </w:r>
      <w:r w:rsidR="00CC55C0" w:rsidRPr="0071228C">
        <w:rPr>
          <w:noProof/>
        </w:rPr>
        <w:t>gen</w:t>
      </w:r>
      <w:r w:rsidRPr="0071228C">
        <w:rPr>
          <w:noProof/>
        </w:rPr>
        <w:t>ów oporności na środki przeciwdrobnoustrojowe</w:t>
      </w:r>
      <w:r w:rsidR="00CC55C0" w:rsidRPr="0071228C">
        <w:rPr>
          <w:noProof/>
        </w:rPr>
        <w:t xml:space="preserve"> w</w:t>
      </w:r>
      <w:r w:rsidR="00CC55C0">
        <w:rPr>
          <w:noProof/>
        </w:rPr>
        <w:t> </w:t>
      </w:r>
      <w:r w:rsidR="00CC55C0" w:rsidRPr="0071228C">
        <w:rPr>
          <w:noProof/>
        </w:rPr>
        <w:t>jed</w:t>
      </w:r>
      <w:r w:rsidRPr="0071228C">
        <w:rPr>
          <w:noProof/>
        </w:rPr>
        <w:t>nolitych częściach wód powierzchniowych</w:t>
      </w:r>
      <w:r w:rsidR="00CC55C0" w:rsidRPr="0071228C">
        <w:rPr>
          <w:noProof/>
        </w:rPr>
        <w:t xml:space="preserve"> i</w:t>
      </w:r>
      <w:r w:rsidR="00CC55C0">
        <w:rPr>
          <w:noProof/>
        </w:rPr>
        <w:t> </w:t>
      </w:r>
      <w:r w:rsidR="00CC55C0" w:rsidRPr="0071228C">
        <w:rPr>
          <w:noProof/>
        </w:rPr>
        <w:t>pod</w:t>
      </w:r>
      <w:r w:rsidRPr="0071228C">
        <w:rPr>
          <w:noProof/>
        </w:rPr>
        <w:t>ziemnych (które zostaną wskazane/wymienione</w:t>
      </w:r>
      <w:r w:rsidR="00CC55C0" w:rsidRPr="0071228C">
        <w:rPr>
          <w:noProof/>
        </w:rPr>
        <w:t xml:space="preserve"> w</w:t>
      </w:r>
      <w:r w:rsidR="00CC55C0">
        <w:rPr>
          <w:noProof/>
        </w:rPr>
        <w:t> </w:t>
      </w:r>
      <w:r w:rsidR="00CC55C0" w:rsidRPr="0071228C">
        <w:rPr>
          <w:noProof/>
        </w:rPr>
        <w:t>akc</w:t>
      </w:r>
      <w:r w:rsidRPr="0071228C">
        <w:rPr>
          <w:noProof/>
        </w:rPr>
        <w:t>ie wykonawczym</w:t>
      </w:r>
      <w:r w:rsidR="00CC55C0" w:rsidRPr="0071228C">
        <w:rPr>
          <w:noProof/>
        </w:rPr>
        <w:t xml:space="preserve"> w</w:t>
      </w:r>
      <w:r w:rsidR="00CC55C0">
        <w:rPr>
          <w:noProof/>
        </w:rPr>
        <w:t> </w:t>
      </w:r>
      <w:r w:rsidR="00CC55C0" w:rsidRPr="0071228C">
        <w:rPr>
          <w:noProof/>
        </w:rPr>
        <w:t>spr</w:t>
      </w:r>
      <w:r w:rsidRPr="0071228C">
        <w:rPr>
          <w:noProof/>
        </w:rPr>
        <w:t>awie przyjęcia list obserwacyjnych), pod przewodnictwem ECHA;</w:t>
      </w:r>
    </w:p>
    <w:p w14:paraId="21074273" w14:textId="3402809A"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II kwartał 20</w:t>
      </w:r>
      <w:r w:rsidRPr="00CC55C0">
        <w:rPr>
          <w:noProof/>
        </w:rPr>
        <w:t>24</w:t>
      </w:r>
      <w:r w:rsidR="00CC55C0" w:rsidRPr="00CC55C0">
        <w:rPr>
          <w:noProof/>
        </w:rPr>
        <w:t> </w:t>
      </w:r>
      <w:r w:rsidRPr="00CC55C0">
        <w:rPr>
          <w:noProof/>
        </w:rPr>
        <w:t>r.</w:t>
      </w:r>
      <w:r w:rsidRPr="0071228C">
        <w:rPr>
          <w:noProof/>
        </w:rPr>
        <w:t xml:space="preserve"> – III kwartał 20</w:t>
      </w:r>
      <w:r w:rsidRPr="00CC55C0">
        <w:rPr>
          <w:noProof/>
        </w:rPr>
        <w:t>27</w:t>
      </w:r>
      <w:r w:rsidR="00CC55C0" w:rsidRPr="00CC55C0">
        <w:rPr>
          <w:noProof/>
        </w:rPr>
        <w:t> </w:t>
      </w:r>
      <w:r w:rsidRPr="00CC55C0">
        <w:rPr>
          <w:noProof/>
        </w:rPr>
        <w:t>r.</w:t>
      </w:r>
      <w:r w:rsidRPr="0071228C">
        <w:rPr>
          <w:noProof/>
        </w:rPr>
        <w:t>: opracowanie 6. listy obserwacyjnej wód słodkich</w:t>
      </w:r>
      <w:r w:rsidR="00CC55C0" w:rsidRPr="0071228C">
        <w:rPr>
          <w:noProof/>
        </w:rPr>
        <w:t xml:space="preserve"> i</w:t>
      </w:r>
      <w:r w:rsidR="00CC55C0">
        <w:rPr>
          <w:noProof/>
        </w:rPr>
        <w:t> </w:t>
      </w:r>
      <w:r w:rsidR="00CC55C0" w:rsidRPr="0071228C">
        <w:rPr>
          <w:noProof/>
        </w:rPr>
        <w:t>1</w:t>
      </w:r>
      <w:r w:rsidRPr="0071228C">
        <w:rPr>
          <w:noProof/>
        </w:rPr>
        <w:t>. listy obserwacyjnej wód podziemnych oraz opracowanie analizy</w:t>
      </w:r>
      <w:r w:rsidR="00CC55C0" w:rsidRPr="0071228C">
        <w:rPr>
          <w:noProof/>
        </w:rPr>
        <w:t xml:space="preserve"> i</w:t>
      </w:r>
      <w:r w:rsidR="00CC55C0">
        <w:rPr>
          <w:noProof/>
        </w:rPr>
        <w:t> </w:t>
      </w:r>
      <w:r w:rsidR="00CC55C0" w:rsidRPr="0071228C">
        <w:rPr>
          <w:noProof/>
        </w:rPr>
        <w:t>spr</w:t>
      </w:r>
      <w:r w:rsidRPr="0071228C">
        <w:rPr>
          <w:noProof/>
        </w:rPr>
        <w:t>awozdania na temat 5. listy obserwacyjnej wód słodkich, pod kierunkiem ECHA oraz przyjęcie</w:t>
      </w:r>
      <w:r w:rsidR="00CC55C0" w:rsidRPr="0071228C">
        <w:rPr>
          <w:noProof/>
        </w:rPr>
        <w:t xml:space="preserve"> w</w:t>
      </w:r>
      <w:r w:rsidR="00CC55C0">
        <w:rPr>
          <w:noProof/>
        </w:rPr>
        <w:t> </w:t>
      </w:r>
      <w:r w:rsidR="00CC55C0" w:rsidRPr="0071228C">
        <w:rPr>
          <w:noProof/>
        </w:rPr>
        <w:t>dro</w:t>
      </w:r>
      <w:r w:rsidRPr="0071228C">
        <w:rPr>
          <w:noProof/>
        </w:rPr>
        <w:t>dze aktu wykonawczego;</w:t>
      </w:r>
    </w:p>
    <w:p w14:paraId="2E8CFF0F" w14:textId="2F1DF448"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71228C">
        <w:rPr>
          <w:noProof/>
        </w:rPr>
        <w:t xml:space="preserve">Począwszy od I </w:t>
      </w:r>
      <w:r w:rsidRPr="00CC55C0">
        <w:rPr>
          <w:noProof/>
        </w:rPr>
        <w:t>kw.</w:t>
      </w:r>
      <w:r w:rsidR="00CC55C0" w:rsidRPr="00CC55C0">
        <w:rPr>
          <w:noProof/>
        </w:rPr>
        <w:t> </w:t>
      </w:r>
      <w:r w:rsidRPr="00CC55C0">
        <w:rPr>
          <w:noProof/>
        </w:rPr>
        <w:t>2</w:t>
      </w:r>
      <w:r w:rsidRPr="0071228C">
        <w:rPr>
          <w:noProof/>
        </w:rPr>
        <w:t>026 r.: coroczne pobieranie danych</w:t>
      </w:r>
      <w:r w:rsidR="00CC55C0" w:rsidRPr="0071228C">
        <w:rPr>
          <w:noProof/>
        </w:rPr>
        <w:t xml:space="preserve"> o</w:t>
      </w:r>
      <w:r w:rsidR="00CC55C0">
        <w:rPr>
          <w:noProof/>
        </w:rPr>
        <w:t> </w:t>
      </w:r>
      <w:r w:rsidR="00CC55C0" w:rsidRPr="0071228C">
        <w:rPr>
          <w:noProof/>
        </w:rPr>
        <w:t>zan</w:t>
      </w:r>
      <w:r w:rsidRPr="0071228C">
        <w:rPr>
          <w:noProof/>
        </w:rPr>
        <w:t>ieczyszczeniach chemicznych przez EEA</w:t>
      </w:r>
      <w:r w:rsidR="00CC55C0" w:rsidRPr="0071228C">
        <w:rPr>
          <w:noProof/>
        </w:rPr>
        <w:t xml:space="preserve"> i</w:t>
      </w:r>
      <w:r w:rsidR="00CC55C0">
        <w:rPr>
          <w:noProof/>
        </w:rPr>
        <w:t> </w:t>
      </w:r>
      <w:r w:rsidR="00CC55C0" w:rsidRPr="0071228C">
        <w:rPr>
          <w:noProof/>
        </w:rPr>
        <w:t>wsp</w:t>
      </w:r>
      <w:r w:rsidRPr="0071228C">
        <w:rPr>
          <w:noProof/>
        </w:rPr>
        <w:t>arcie naukowe ze strony ECHA na rzecz mechanizmu listy obserwacyjnej</w:t>
      </w:r>
      <w:r w:rsidR="00CC55C0" w:rsidRPr="0071228C">
        <w:rPr>
          <w:noProof/>
        </w:rPr>
        <w:t xml:space="preserve"> i</w:t>
      </w:r>
      <w:r w:rsidR="00CC55C0">
        <w:rPr>
          <w:noProof/>
        </w:rPr>
        <w:t> </w:t>
      </w:r>
      <w:r w:rsidR="00CC55C0" w:rsidRPr="0071228C">
        <w:rPr>
          <w:noProof/>
        </w:rPr>
        <w:t>prz</w:t>
      </w:r>
      <w:r w:rsidRPr="0071228C">
        <w:rPr>
          <w:noProof/>
        </w:rPr>
        <w:t>ygotowania aktów delegowanych</w:t>
      </w:r>
      <w:r w:rsidR="00CC55C0" w:rsidRPr="0071228C">
        <w:rPr>
          <w:noProof/>
        </w:rPr>
        <w:t xml:space="preserve"> w</w:t>
      </w:r>
      <w:r w:rsidR="00CC55C0">
        <w:rPr>
          <w:noProof/>
        </w:rPr>
        <w:t> </w:t>
      </w:r>
      <w:r w:rsidR="00CC55C0" w:rsidRPr="0071228C">
        <w:rPr>
          <w:noProof/>
        </w:rPr>
        <w:t>cel</w:t>
      </w:r>
      <w:r w:rsidRPr="0071228C">
        <w:rPr>
          <w:noProof/>
        </w:rPr>
        <w:t>u przyjęcia nowych środowiskowych norm jakości dla dodatkowych substancji w UE (zarówno</w:t>
      </w:r>
      <w:r w:rsidR="00CC55C0" w:rsidRPr="0071228C">
        <w:rPr>
          <w:noProof/>
        </w:rPr>
        <w:t xml:space="preserve"> w</w:t>
      </w:r>
      <w:r w:rsidR="00CC55C0">
        <w:rPr>
          <w:noProof/>
        </w:rPr>
        <w:t> </w:t>
      </w:r>
      <w:r w:rsidR="00CC55C0" w:rsidRPr="0071228C">
        <w:rPr>
          <w:noProof/>
        </w:rPr>
        <w:t>prz</w:t>
      </w:r>
      <w:r w:rsidRPr="0071228C">
        <w:rPr>
          <w:noProof/>
        </w:rPr>
        <w:t>ypadku wód gruntowych, jak</w:t>
      </w:r>
      <w:r w:rsidR="00CC55C0" w:rsidRPr="0071228C">
        <w:rPr>
          <w:noProof/>
        </w:rPr>
        <w:t xml:space="preserve"> i</w:t>
      </w:r>
      <w:r w:rsidR="00CC55C0">
        <w:rPr>
          <w:noProof/>
        </w:rPr>
        <w:t> </w:t>
      </w:r>
      <w:r w:rsidR="00CC55C0" w:rsidRPr="0071228C">
        <w:rPr>
          <w:noProof/>
        </w:rPr>
        <w:t>pow</w:t>
      </w:r>
      <w:r w:rsidRPr="0071228C">
        <w:rPr>
          <w:noProof/>
        </w:rPr>
        <w:t xml:space="preserve">ierzchniowych); </w:t>
      </w:r>
    </w:p>
    <w:p w14:paraId="7221AEA6" w14:textId="69FD8773"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rPr>
        <w:t xml:space="preserve">Począwszy od I </w:t>
      </w:r>
      <w:r w:rsidRPr="00CC55C0">
        <w:rPr>
          <w:noProof/>
        </w:rPr>
        <w:t>kw.</w:t>
      </w:r>
      <w:r w:rsidR="00CC55C0" w:rsidRPr="00CC55C0">
        <w:rPr>
          <w:noProof/>
        </w:rPr>
        <w:t> </w:t>
      </w:r>
      <w:r w:rsidRPr="00CC55C0">
        <w:rPr>
          <w:noProof/>
        </w:rPr>
        <w:t>2</w:t>
      </w:r>
      <w:r w:rsidRPr="0071228C">
        <w:rPr>
          <w:noProof/>
        </w:rPr>
        <w:t>024 r.: wsparcie naukowe ze strony ECHA</w:t>
      </w:r>
      <w:r w:rsidR="00CC55C0" w:rsidRPr="0071228C">
        <w:rPr>
          <w:noProof/>
        </w:rPr>
        <w:t xml:space="preserve"> w</w:t>
      </w:r>
      <w:r w:rsidR="00CC55C0">
        <w:rPr>
          <w:noProof/>
        </w:rPr>
        <w:t> </w:t>
      </w:r>
      <w:r w:rsidR="00CC55C0" w:rsidRPr="0071228C">
        <w:rPr>
          <w:noProof/>
        </w:rPr>
        <w:t>zak</w:t>
      </w:r>
      <w:r w:rsidRPr="0071228C">
        <w:rPr>
          <w:noProof/>
        </w:rPr>
        <w:t>resie prowadzenia co sześć lat przeglądu</w:t>
      </w:r>
      <w:r w:rsidR="00CC55C0" w:rsidRPr="0071228C">
        <w:rPr>
          <w:noProof/>
        </w:rPr>
        <w:t xml:space="preserve"> i</w:t>
      </w:r>
      <w:r w:rsidR="00CC55C0">
        <w:rPr>
          <w:noProof/>
        </w:rPr>
        <w:t> </w:t>
      </w:r>
      <w:r w:rsidR="00CC55C0" w:rsidRPr="0071228C">
        <w:rPr>
          <w:noProof/>
        </w:rPr>
        <w:t>akt</w:t>
      </w:r>
      <w:r w:rsidRPr="0071228C">
        <w:rPr>
          <w:noProof/>
        </w:rPr>
        <w:t>ualizacji wykazów substancji priorytetowych</w:t>
      </w:r>
      <w:r w:rsidR="00CC55C0" w:rsidRPr="0071228C">
        <w:rPr>
          <w:noProof/>
        </w:rPr>
        <w:t xml:space="preserve"> i</w:t>
      </w:r>
      <w:r w:rsidR="00CC55C0">
        <w:rPr>
          <w:noProof/>
        </w:rPr>
        <w:t> </w:t>
      </w:r>
      <w:r w:rsidR="00CC55C0" w:rsidRPr="0071228C">
        <w:rPr>
          <w:noProof/>
        </w:rPr>
        <w:t>odp</w:t>
      </w:r>
      <w:r w:rsidRPr="0071228C">
        <w:rPr>
          <w:noProof/>
        </w:rPr>
        <w:t>owiadających im środowiskowych norm jakości</w:t>
      </w:r>
      <w:r w:rsidR="00CC55C0" w:rsidRPr="0071228C">
        <w:rPr>
          <w:noProof/>
        </w:rPr>
        <w:t xml:space="preserve"> w</w:t>
      </w:r>
      <w:r w:rsidR="00CC55C0">
        <w:rPr>
          <w:noProof/>
        </w:rPr>
        <w:t> </w:t>
      </w:r>
      <w:r w:rsidR="00CC55C0" w:rsidRPr="0071228C">
        <w:rPr>
          <w:noProof/>
        </w:rPr>
        <w:t>zał</w:t>
      </w:r>
      <w:r w:rsidRPr="0071228C">
        <w:rPr>
          <w:noProof/>
        </w:rPr>
        <w:t>ączniku I do dyrektywy 2008/105/WE; wykazów zanieczyszczeń</w:t>
      </w:r>
      <w:r w:rsidR="00CC55C0" w:rsidRPr="0071228C">
        <w:rPr>
          <w:noProof/>
        </w:rPr>
        <w:t xml:space="preserve"> i</w:t>
      </w:r>
      <w:r w:rsidR="00CC55C0">
        <w:rPr>
          <w:noProof/>
        </w:rPr>
        <w:t> </w:t>
      </w:r>
      <w:r w:rsidR="00CC55C0" w:rsidRPr="0071228C">
        <w:rPr>
          <w:noProof/>
        </w:rPr>
        <w:t>odp</w:t>
      </w:r>
      <w:r w:rsidRPr="0071228C">
        <w:rPr>
          <w:noProof/>
        </w:rPr>
        <w:t>owiadających im unijnych norm jakości</w:t>
      </w:r>
      <w:r w:rsidR="00CC55C0" w:rsidRPr="0071228C">
        <w:rPr>
          <w:noProof/>
        </w:rPr>
        <w:t xml:space="preserve"> w</w:t>
      </w:r>
      <w:r w:rsidR="00CC55C0">
        <w:rPr>
          <w:noProof/>
        </w:rPr>
        <w:t> </w:t>
      </w:r>
      <w:r w:rsidR="00CC55C0" w:rsidRPr="0071228C">
        <w:rPr>
          <w:noProof/>
        </w:rPr>
        <w:t>zał</w:t>
      </w:r>
      <w:r w:rsidRPr="0071228C">
        <w:rPr>
          <w:noProof/>
        </w:rPr>
        <w:t>ączniku I do dyrektywy 2006/118/WE; wykazów zanieczyszczeń</w:t>
      </w:r>
      <w:r w:rsidR="00CC55C0" w:rsidRPr="0071228C">
        <w:rPr>
          <w:noProof/>
        </w:rPr>
        <w:t xml:space="preserve"> z</w:t>
      </w:r>
      <w:r w:rsidR="00CC55C0">
        <w:rPr>
          <w:noProof/>
        </w:rPr>
        <w:t> </w:t>
      </w:r>
      <w:r w:rsidR="00CC55C0" w:rsidRPr="0071228C">
        <w:rPr>
          <w:noProof/>
        </w:rPr>
        <w:t>czę</w:t>
      </w:r>
      <w:r w:rsidRPr="0071228C">
        <w:rPr>
          <w:noProof/>
        </w:rPr>
        <w:t>ści A załącznika II do dyrektywy 2008/105/WE</w:t>
      </w:r>
      <w:r w:rsidR="00CC55C0" w:rsidRPr="0071228C">
        <w:rPr>
          <w:noProof/>
        </w:rPr>
        <w:t xml:space="preserve"> i</w:t>
      </w:r>
      <w:r w:rsidR="00CC55C0">
        <w:rPr>
          <w:noProof/>
        </w:rPr>
        <w:t> </w:t>
      </w:r>
      <w:r w:rsidR="00CC55C0" w:rsidRPr="0071228C">
        <w:rPr>
          <w:noProof/>
        </w:rPr>
        <w:t>ewe</w:t>
      </w:r>
      <w:r w:rsidRPr="0071228C">
        <w:rPr>
          <w:noProof/>
        </w:rPr>
        <w:t>ntualnego opracowania unijnych norm dla (niektórych) zanieczyszczeń ujętych</w:t>
      </w:r>
      <w:r w:rsidR="00CC55C0" w:rsidRPr="0071228C">
        <w:rPr>
          <w:noProof/>
        </w:rPr>
        <w:t xml:space="preserve"> w</w:t>
      </w:r>
      <w:r w:rsidR="00CC55C0">
        <w:rPr>
          <w:noProof/>
        </w:rPr>
        <w:t> </w:t>
      </w:r>
      <w:r w:rsidR="00CC55C0" w:rsidRPr="0071228C">
        <w:rPr>
          <w:noProof/>
        </w:rPr>
        <w:t>tym</w:t>
      </w:r>
      <w:r w:rsidRPr="0071228C">
        <w:rPr>
          <w:noProof/>
        </w:rPr>
        <w:t xml:space="preserve"> wykazie,</w:t>
      </w:r>
      <w:r w:rsidR="00CC55C0" w:rsidRPr="0071228C">
        <w:rPr>
          <w:noProof/>
        </w:rPr>
        <w:t xml:space="preserve"> a</w:t>
      </w:r>
      <w:r w:rsidR="00CC55C0">
        <w:rPr>
          <w:noProof/>
        </w:rPr>
        <w:t> </w:t>
      </w:r>
      <w:r w:rsidR="00CC55C0" w:rsidRPr="0071228C">
        <w:rPr>
          <w:noProof/>
        </w:rPr>
        <w:t>tak</w:t>
      </w:r>
      <w:r w:rsidRPr="0071228C">
        <w:rPr>
          <w:noProof/>
        </w:rPr>
        <w:t>że wykazu zanieczyszczeń wymienionych</w:t>
      </w:r>
      <w:r w:rsidR="00CC55C0" w:rsidRPr="0071228C">
        <w:rPr>
          <w:noProof/>
        </w:rPr>
        <w:t xml:space="preserve"> w</w:t>
      </w:r>
      <w:r w:rsidR="00CC55C0">
        <w:rPr>
          <w:noProof/>
        </w:rPr>
        <w:t> </w:t>
      </w:r>
      <w:r w:rsidR="00CC55C0" w:rsidRPr="0071228C">
        <w:rPr>
          <w:noProof/>
        </w:rPr>
        <w:t>zał</w:t>
      </w:r>
      <w:r w:rsidRPr="0071228C">
        <w:rPr>
          <w:noProof/>
        </w:rPr>
        <w:t>ączniku II do dyrektywy 2006/118/WE; wszystkie wykazy</w:t>
      </w:r>
      <w:r w:rsidR="00CC55C0" w:rsidRPr="0071228C">
        <w:rPr>
          <w:noProof/>
        </w:rPr>
        <w:t xml:space="preserve"> i</w:t>
      </w:r>
      <w:r w:rsidR="00CC55C0">
        <w:rPr>
          <w:noProof/>
        </w:rPr>
        <w:t> </w:t>
      </w:r>
      <w:r w:rsidR="00CC55C0" w:rsidRPr="0071228C">
        <w:rPr>
          <w:noProof/>
        </w:rPr>
        <w:t>śro</w:t>
      </w:r>
      <w:r w:rsidRPr="0071228C">
        <w:rPr>
          <w:noProof/>
        </w:rPr>
        <w:t>dowiskowe normy jakości zostaną określone</w:t>
      </w:r>
      <w:r w:rsidR="00CC55C0" w:rsidRPr="0071228C">
        <w:rPr>
          <w:noProof/>
        </w:rPr>
        <w:t xml:space="preserve"> w</w:t>
      </w:r>
      <w:r w:rsidR="00CC55C0">
        <w:rPr>
          <w:noProof/>
        </w:rPr>
        <w:t> </w:t>
      </w:r>
      <w:r w:rsidR="00CC55C0" w:rsidRPr="0071228C">
        <w:rPr>
          <w:noProof/>
        </w:rPr>
        <w:t>akc</w:t>
      </w:r>
      <w:r w:rsidRPr="0071228C">
        <w:rPr>
          <w:noProof/>
        </w:rPr>
        <w:t>ie delegowanym</w:t>
      </w:r>
      <w:r w:rsidRPr="00CC55C0">
        <w:rPr>
          <w:noProof/>
        </w:rPr>
        <w:t>.</w:t>
      </w:r>
      <w:r w:rsidR="00CC55C0" w:rsidRPr="00CC55C0">
        <w:rPr>
          <w:noProof/>
        </w:rPr>
        <w:t xml:space="preserve"> </w:t>
      </w:r>
    </w:p>
    <w:p w14:paraId="11360C18"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p>
    <w:p w14:paraId="617ABCDF"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Dyrektywa dotycząca oczyszczania ścieków komunalnych:</w:t>
      </w:r>
    </w:p>
    <w:p w14:paraId="3CACB424" w14:textId="0BF68B15"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Plan realizacji głównych działań zawartych</w:t>
      </w:r>
      <w:r w:rsidR="00CC55C0" w:rsidRPr="0071228C">
        <w:rPr>
          <w:noProof/>
        </w:rPr>
        <w:t xml:space="preserve"> w</w:t>
      </w:r>
      <w:r w:rsidR="00CC55C0">
        <w:rPr>
          <w:noProof/>
        </w:rPr>
        <w:t> </w:t>
      </w:r>
      <w:r w:rsidR="00CC55C0" w:rsidRPr="0071228C">
        <w:rPr>
          <w:noProof/>
        </w:rPr>
        <w:t>pre</w:t>
      </w:r>
      <w:r w:rsidRPr="0071228C">
        <w:rPr>
          <w:noProof/>
        </w:rPr>
        <w:t>ferowanym wariancie podsumowano</w:t>
      </w:r>
      <w:r w:rsidR="00CC55C0" w:rsidRPr="0071228C">
        <w:rPr>
          <w:noProof/>
        </w:rPr>
        <w:t xml:space="preserve"> w</w:t>
      </w:r>
      <w:r w:rsidR="00CC55C0">
        <w:rPr>
          <w:noProof/>
        </w:rPr>
        <w:t> </w:t>
      </w:r>
      <w:r w:rsidR="00CC55C0" w:rsidRPr="0071228C">
        <w:rPr>
          <w:noProof/>
        </w:rPr>
        <w:t>pon</w:t>
      </w:r>
      <w:r w:rsidRPr="0071228C">
        <w:rPr>
          <w:noProof/>
        </w:rPr>
        <w:t>iższej tabeli.</w:t>
      </w:r>
    </w:p>
    <w:p w14:paraId="4887AFF4" w14:textId="3EE66020" w:rsidR="001C0111" w:rsidRPr="0071228C" w:rsidRDefault="00C200A3" w:rsidP="001C0111">
      <w:pPr>
        <w:pBdr>
          <w:top w:val="single" w:sz="4" w:space="1" w:color="auto"/>
          <w:left w:val="single" w:sz="4" w:space="4" w:color="auto"/>
          <w:bottom w:val="single" w:sz="4" w:space="1" w:color="auto"/>
          <w:right w:val="single" w:sz="4" w:space="4" w:color="auto"/>
        </w:pBdr>
        <w:ind w:left="850"/>
        <w:rPr>
          <w:noProof/>
        </w:rPr>
      </w:pPr>
      <w:r w:rsidRPr="0071228C">
        <w:rPr>
          <w:noProof/>
          <w:lang w:val="en-GB" w:eastAsia="en-GB"/>
        </w:rPr>
        <w:drawing>
          <wp:inline distT="0" distB="0" distL="0" distR="0" wp14:anchorId="1442673A" wp14:editId="6E6ED6AD">
            <wp:extent cx="5759450" cy="767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7670165"/>
                    </a:xfrm>
                    <a:prstGeom prst="rect">
                      <a:avLst/>
                    </a:prstGeom>
                    <a:noFill/>
                    <a:ln>
                      <a:noFill/>
                    </a:ln>
                  </pic:spPr>
                </pic:pic>
              </a:graphicData>
            </a:graphic>
          </wp:inline>
        </w:drawing>
      </w:r>
      <w:r w:rsidR="009E177C" w:rsidRPr="0071228C">
        <w:rPr>
          <w:noProof/>
        </w:rPr>
        <w:t>Do 20</w:t>
      </w:r>
      <w:r w:rsidR="009E177C" w:rsidRPr="00CC55C0">
        <w:rPr>
          <w:noProof/>
        </w:rPr>
        <w:t>25</w:t>
      </w:r>
      <w:r w:rsidR="00CC55C0" w:rsidRPr="00CC55C0">
        <w:rPr>
          <w:noProof/>
        </w:rPr>
        <w:t> </w:t>
      </w:r>
      <w:r w:rsidR="009E177C" w:rsidRPr="00CC55C0">
        <w:rPr>
          <w:noProof/>
        </w:rPr>
        <w:t>r.</w:t>
      </w:r>
      <w:r w:rsidR="009E177C" w:rsidRPr="0071228C">
        <w:rPr>
          <w:noProof/>
        </w:rPr>
        <w:t xml:space="preserve"> zostaną wprowadzone dodatkowe działania monitorujące: dotyczy to uwolnień zanieczyszczeń innych niż</w:t>
      </w:r>
      <w:r w:rsidR="00CC55C0" w:rsidRPr="0071228C">
        <w:rPr>
          <w:noProof/>
        </w:rPr>
        <w:t xml:space="preserve"> z</w:t>
      </w:r>
      <w:r w:rsidR="00CC55C0">
        <w:rPr>
          <w:noProof/>
        </w:rPr>
        <w:t> </w:t>
      </w:r>
      <w:r w:rsidR="00CC55C0" w:rsidRPr="0071228C">
        <w:rPr>
          <w:noProof/>
        </w:rPr>
        <w:t>gos</w:t>
      </w:r>
      <w:r w:rsidR="009E177C" w:rsidRPr="0071228C">
        <w:rPr>
          <w:noProof/>
        </w:rPr>
        <w:t>podarstw domowych, parametrów związanych ze zdrowiem, kluczowych wskaźników skuteczności operatora, wraz</w:t>
      </w:r>
      <w:r w:rsidR="00CC55C0" w:rsidRPr="0071228C">
        <w:rPr>
          <w:noProof/>
        </w:rPr>
        <w:t xml:space="preserve"> z</w:t>
      </w:r>
      <w:r w:rsidR="00CC55C0">
        <w:rPr>
          <w:noProof/>
        </w:rPr>
        <w:t> </w:t>
      </w:r>
      <w:r w:rsidR="00CC55C0" w:rsidRPr="0071228C">
        <w:rPr>
          <w:noProof/>
        </w:rPr>
        <w:t>dzi</w:t>
      </w:r>
      <w:r w:rsidR="009E177C" w:rsidRPr="0071228C">
        <w:rPr>
          <w:noProof/>
        </w:rPr>
        <w:t>ałaniami mającymi na celu poprawę przejrzystości.</w:t>
      </w:r>
    </w:p>
    <w:p w14:paraId="18760C8B" w14:textId="1FCC079B"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Wprowadzone zostaną krajowe</w:t>
      </w:r>
      <w:r w:rsidR="00CC55C0" w:rsidRPr="0071228C">
        <w:rPr>
          <w:noProof/>
        </w:rPr>
        <w:t xml:space="preserve"> i</w:t>
      </w:r>
      <w:r w:rsidR="00CC55C0">
        <w:rPr>
          <w:noProof/>
        </w:rPr>
        <w:t> </w:t>
      </w:r>
      <w:r w:rsidR="00CC55C0" w:rsidRPr="0071228C">
        <w:rPr>
          <w:noProof/>
        </w:rPr>
        <w:t>uni</w:t>
      </w:r>
      <w:r w:rsidRPr="0071228C">
        <w:rPr>
          <w:noProof/>
        </w:rPr>
        <w:t>jne bazy danych uwzględniające wszystkie elementy niezbędne do celów sprawdzenia zgodności oraz zostaną określone „szczególnie wrażliwe</w:t>
      </w:r>
      <w:r w:rsidR="00CC55C0" w:rsidRPr="0071228C">
        <w:rPr>
          <w:noProof/>
        </w:rPr>
        <w:t xml:space="preserve"> i</w:t>
      </w:r>
      <w:r w:rsidR="00CC55C0">
        <w:rPr>
          <w:noProof/>
        </w:rPr>
        <w:t> </w:t>
      </w:r>
      <w:r w:rsidR="00CC55C0" w:rsidRPr="0071228C">
        <w:rPr>
          <w:noProof/>
        </w:rPr>
        <w:t>zma</w:t>
      </w:r>
      <w:r w:rsidRPr="0071228C">
        <w:rPr>
          <w:noProof/>
        </w:rPr>
        <w:t>rginalizowane osoby” wraz</w:t>
      </w:r>
      <w:r w:rsidR="00CC55C0" w:rsidRPr="0071228C">
        <w:rPr>
          <w:noProof/>
        </w:rPr>
        <w:t xml:space="preserve"> z</w:t>
      </w:r>
      <w:r w:rsidR="00CC55C0">
        <w:rPr>
          <w:noProof/>
        </w:rPr>
        <w:t> </w:t>
      </w:r>
      <w:r w:rsidR="00CC55C0" w:rsidRPr="0071228C">
        <w:rPr>
          <w:noProof/>
        </w:rPr>
        <w:t>dzi</w:t>
      </w:r>
      <w:r w:rsidRPr="0071228C">
        <w:rPr>
          <w:noProof/>
        </w:rPr>
        <w:t>ałaniami mającymi na celu poprawę dostępu do kanalizacji.</w:t>
      </w:r>
    </w:p>
    <w:p w14:paraId="03CBEF5D" w14:textId="57756E4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Niniejsza ocena skutków finansowych służy zapewnieniu EEA środków finansowych na realizację szeregu nowych działań przewidzianych we wniosku</w:t>
      </w:r>
      <w:r w:rsidR="00CC55C0" w:rsidRPr="0071228C">
        <w:rPr>
          <w:noProof/>
        </w:rPr>
        <w:t xml:space="preserve"> w</w:t>
      </w:r>
      <w:r w:rsidR="00CC55C0">
        <w:rPr>
          <w:noProof/>
        </w:rPr>
        <w:t> </w:t>
      </w:r>
      <w:r w:rsidR="00CC55C0" w:rsidRPr="0071228C">
        <w:rPr>
          <w:noProof/>
        </w:rPr>
        <w:t>spr</w:t>
      </w:r>
      <w:r w:rsidRPr="0071228C">
        <w:rPr>
          <w:noProof/>
        </w:rPr>
        <w:t>awie dyrektywy dotyczącej oczyszczania ścieków komunalnych.</w:t>
      </w:r>
    </w:p>
    <w:p w14:paraId="41AA8579" w14:textId="5169B975"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Są to działania</w:t>
      </w:r>
      <w:r w:rsidR="00CC55C0" w:rsidRPr="0071228C">
        <w:rPr>
          <w:noProof/>
        </w:rPr>
        <w:t xml:space="preserve"> o</w:t>
      </w:r>
      <w:r w:rsidR="00CC55C0">
        <w:rPr>
          <w:noProof/>
        </w:rPr>
        <w:t> </w:t>
      </w:r>
      <w:r w:rsidR="00CC55C0" w:rsidRPr="0071228C">
        <w:rPr>
          <w:noProof/>
        </w:rPr>
        <w:t>róż</w:t>
      </w:r>
      <w:r w:rsidRPr="0071228C">
        <w:rPr>
          <w:noProof/>
        </w:rPr>
        <w:t>nym charakterze:</w:t>
      </w:r>
    </w:p>
    <w:p w14:paraId="45CF3FC2" w14:textId="10347721"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 xml:space="preserve">– </w:t>
      </w:r>
      <w:r w:rsidRPr="0071228C">
        <w:rPr>
          <w:b/>
          <w:noProof/>
        </w:rPr>
        <w:t>tworzenie</w:t>
      </w:r>
      <w:r w:rsidR="00CC55C0" w:rsidRPr="0071228C">
        <w:rPr>
          <w:b/>
          <w:noProof/>
        </w:rPr>
        <w:t xml:space="preserve"> i</w:t>
      </w:r>
      <w:r w:rsidR="00CC55C0">
        <w:rPr>
          <w:b/>
          <w:noProof/>
        </w:rPr>
        <w:t> </w:t>
      </w:r>
      <w:r w:rsidR="00CC55C0" w:rsidRPr="0071228C">
        <w:rPr>
          <w:b/>
          <w:noProof/>
        </w:rPr>
        <w:t>dos</w:t>
      </w:r>
      <w:r w:rsidRPr="0071228C">
        <w:rPr>
          <w:b/>
          <w:noProof/>
        </w:rPr>
        <w:t>tosowywanie baz danych,</w:t>
      </w:r>
      <w:r w:rsidR="00CC55C0" w:rsidRPr="0071228C">
        <w:rPr>
          <w:b/>
          <w:noProof/>
        </w:rPr>
        <w:t xml:space="preserve"> o</w:t>
      </w:r>
      <w:r w:rsidR="00CC55C0">
        <w:rPr>
          <w:b/>
          <w:noProof/>
        </w:rPr>
        <w:t> </w:t>
      </w:r>
      <w:r w:rsidR="00CC55C0" w:rsidRPr="0071228C">
        <w:rPr>
          <w:b/>
          <w:noProof/>
        </w:rPr>
        <w:t>któ</w:t>
      </w:r>
      <w:r w:rsidRPr="0071228C">
        <w:rPr>
          <w:b/>
          <w:noProof/>
        </w:rPr>
        <w:t>rych mowa</w:t>
      </w:r>
      <w:r w:rsidR="00CC55C0" w:rsidRPr="0071228C">
        <w:rPr>
          <w:b/>
          <w:noProof/>
        </w:rPr>
        <w:t xml:space="preserve"> w</w:t>
      </w:r>
      <w:r w:rsidR="00CC55C0">
        <w:rPr>
          <w:b/>
          <w:noProof/>
        </w:rPr>
        <w:t> </w:t>
      </w:r>
      <w:r w:rsidR="00CC55C0" w:rsidRPr="00CC55C0">
        <w:rPr>
          <w:b/>
          <w:noProof/>
        </w:rPr>
        <w:t>art</w:t>
      </w:r>
      <w:r w:rsidRPr="00CC55C0">
        <w:rPr>
          <w:b/>
          <w:noProof/>
        </w:rPr>
        <w:t>.</w:t>
      </w:r>
      <w:r w:rsidR="00CC55C0" w:rsidRPr="00CC55C0">
        <w:rPr>
          <w:b/>
          <w:noProof/>
        </w:rPr>
        <w:t> </w:t>
      </w:r>
      <w:r w:rsidRPr="00CC55C0">
        <w:rPr>
          <w:b/>
          <w:noProof/>
        </w:rPr>
        <w:t>2</w:t>
      </w:r>
      <w:r w:rsidRPr="0071228C">
        <w:rPr>
          <w:b/>
          <w:noProof/>
        </w:rPr>
        <w:t>0, dotyczących monitorowania wniosku ustawodawczego</w:t>
      </w:r>
      <w:r w:rsidRPr="0071228C">
        <w:rPr>
          <w:noProof/>
        </w:rPr>
        <w:t>;</w:t>
      </w:r>
    </w:p>
    <w:p w14:paraId="3ACDD649" w14:textId="3A70ACCB"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 xml:space="preserve">– </w:t>
      </w:r>
      <w:r w:rsidRPr="0071228C">
        <w:rPr>
          <w:b/>
          <w:noProof/>
        </w:rPr>
        <w:t>przydzielanie eksperta ds. dyrektywy dotyczącej oczyszczania ścieków komunalnych, który będzie śledził dokumentację</w:t>
      </w:r>
      <w:r w:rsidR="00CC55C0" w:rsidRPr="0071228C">
        <w:rPr>
          <w:b/>
          <w:noProof/>
        </w:rPr>
        <w:t xml:space="preserve"> i</w:t>
      </w:r>
      <w:r w:rsidR="00CC55C0">
        <w:rPr>
          <w:b/>
          <w:noProof/>
        </w:rPr>
        <w:t> </w:t>
      </w:r>
      <w:r w:rsidR="00CC55C0" w:rsidRPr="0071228C">
        <w:rPr>
          <w:b/>
          <w:noProof/>
        </w:rPr>
        <w:t>w</w:t>
      </w:r>
      <w:r w:rsidR="00CC55C0">
        <w:rPr>
          <w:b/>
          <w:noProof/>
        </w:rPr>
        <w:t> </w:t>
      </w:r>
      <w:r w:rsidR="00CC55C0" w:rsidRPr="0071228C">
        <w:rPr>
          <w:b/>
          <w:noProof/>
        </w:rPr>
        <w:t>raz</w:t>
      </w:r>
      <w:r w:rsidRPr="0071228C">
        <w:rPr>
          <w:b/>
          <w:noProof/>
        </w:rPr>
        <w:t>ie potrzeby sporządzał sprawozdania</w:t>
      </w:r>
    </w:p>
    <w:p w14:paraId="05A27C13" w14:textId="25104BFE"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 działania jednorazowe związane</w:t>
      </w:r>
      <w:r w:rsidR="00CC55C0" w:rsidRPr="0071228C">
        <w:rPr>
          <w:noProof/>
        </w:rPr>
        <w:t xml:space="preserve"> z</w:t>
      </w:r>
      <w:r w:rsidR="00CC55C0">
        <w:rPr>
          <w:noProof/>
        </w:rPr>
        <w:t> </w:t>
      </w:r>
      <w:r w:rsidR="00CC55C0" w:rsidRPr="0071228C">
        <w:rPr>
          <w:noProof/>
        </w:rPr>
        <w:t>prz</w:t>
      </w:r>
      <w:r w:rsidRPr="0071228C">
        <w:rPr>
          <w:noProof/>
        </w:rPr>
        <w:t>ygotowaniem</w:t>
      </w:r>
      <w:r w:rsidR="00CC55C0" w:rsidRPr="0071228C">
        <w:rPr>
          <w:noProof/>
        </w:rPr>
        <w:t xml:space="preserve"> i</w:t>
      </w:r>
      <w:r w:rsidR="00CC55C0">
        <w:rPr>
          <w:noProof/>
        </w:rPr>
        <w:t> </w:t>
      </w:r>
      <w:r w:rsidR="00CC55C0" w:rsidRPr="0071228C">
        <w:rPr>
          <w:noProof/>
        </w:rPr>
        <w:t>neg</w:t>
      </w:r>
      <w:r w:rsidRPr="0071228C">
        <w:rPr>
          <w:noProof/>
        </w:rPr>
        <w:t>ocjowaniem aktów wykonawczych;</w:t>
      </w:r>
    </w:p>
    <w:p w14:paraId="457E984E" w14:textId="1C6F1407"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 zadania związane</w:t>
      </w:r>
      <w:r w:rsidR="00CC55C0" w:rsidRPr="0071228C">
        <w:rPr>
          <w:noProof/>
        </w:rPr>
        <w:t xml:space="preserve"> z</w:t>
      </w:r>
      <w:r w:rsidR="00CC55C0">
        <w:rPr>
          <w:noProof/>
        </w:rPr>
        <w:t> </w:t>
      </w:r>
      <w:r w:rsidR="00CC55C0" w:rsidRPr="0071228C">
        <w:rPr>
          <w:noProof/>
        </w:rPr>
        <w:t>prz</w:t>
      </w:r>
      <w:r w:rsidRPr="0071228C">
        <w:rPr>
          <w:noProof/>
        </w:rPr>
        <w:t>etwarzaniem</w:t>
      </w:r>
      <w:r w:rsidR="00CC55C0" w:rsidRPr="0071228C">
        <w:rPr>
          <w:noProof/>
        </w:rPr>
        <w:t xml:space="preserve"> i</w:t>
      </w:r>
      <w:r w:rsidR="00CC55C0">
        <w:rPr>
          <w:noProof/>
        </w:rPr>
        <w:t> </w:t>
      </w:r>
      <w:r w:rsidR="00CC55C0" w:rsidRPr="0071228C">
        <w:rPr>
          <w:noProof/>
        </w:rPr>
        <w:t>ana</w:t>
      </w:r>
      <w:r w:rsidRPr="0071228C">
        <w:rPr>
          <w:noProof/>
        </w:rPr>
        <w:t>lizą danych.</w:t>
      </w:r>
    </w:p>
    <w:p w14:paraId="24A5B30B" w14:textId="77777777"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b/>
          <w:noProof/>
        </w:rPr>
        <w:t>Ramy czasowe:</w:t>
      </w:r>
    </w:p>
    <w:p w14:paraId="03D26426" w14:textId="0BB1BD81"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IV kwartał 20</w:t>
      </w:r>
      <w:r w:rsidRPr="00CC55C0">
        <w:rPr>
          <w:noProof/>
        </w:rPr>
        <w:t>22</w:t>
      </w:r>
      <w:r w:rsidR="00CC55C0" w:rsidRPr="00CC55C0">
        <w:rPr>
          <w:noProof/>
        </w:rPr>
        <w:t> </w:t>
      </w:r>
      <w:r w:rsidRPr="00CC55C0">
        <w:rPr>
          <w:noProof/>
        </w:rPr>
        <w:t>r.</w:t>
      </w:r>
      <w:r w:rsidRPr="0071228C">
        <w:rPr>
          <w:noProof/>
        </w:rPr>
        <w:t xml:space="preserve"> – IV kwartał 20</w:t>
      </w:r>
      <w:r w:rsidRPr="00CC55C0">
        <w:rPr>
          <w:noProof/>
        </w:rPr>
        <w:t>23</w:t>
      </w:r>
      <w:r w:rsidR="00CC55C0" w:rsidRPr="00CC55C0">
        <w:rPr>
          <w:noProof/>
        </w:rPr>
        <w:t> </w:t>
      </w:r>
      <w:r w:rsidRPr="00CC55C0">
        <w:rPr>
          <w:noProof/>
        </w:rPr>
        <w:t>r.</w:t>
      </w:r>
      <w:r w:rsidRPr="0071228C">
        <w:rPr>
          <w:noProof/>
        </w:rPr>
        <w:t>: negocjacje</w:t>
      </w:r>
      <w:r w:rsidR="00CC55C0" w:rsidRPr="0071228C">
        <w:rPr>
          <w:noProof/>
        </w:rPr>
        <w:t xml:space="preserve"> w</w:t>
      </w:r>
      <w:r w:rsidR="00CC55C0">
        <w:rPr>
          <w:noProof/>
        </w:rPr>
        <w:t> </w:t>
      </w:r>
      <w:r w:rsidR="00CC55C0" w:rsidRPr="0071228C">
        <w:rPr>
          <w:noProof/>
        </w:rPr>
        <w:t>spr</w:t>
      </w:r>
      <w:r w:rsidRPr="0071228C">
        <w:rPr>
          <w:noProof/>
        </w:rPr>
        <w:t>awie wniosku. Ze względu na bardzo ambitny charakter wniosku</w:t>
      </w:r>
      <w:r w:rsidR="00CC55C0" w:rsidRPr="0071228C">
        <w:rPr>
          <w:noProof/>
        </w:rPr>
        <w:t xml:space="preserve"> i</w:t>
      </w:r>
      <w:r w:rsidR="00CC55C0">
        <w:rPr>
          <w:noProof/>
        </w:rPr>
        <w:t> </w:t>
      </w:r>
      <w:r w:rsidR="00CC55C0" w:rsidRPr="0071228C">
        <w:rPr>
          <w:noProof/>
        </w:rPr>
        <w:t>wpr</w:t>
      </w:r>
      <w:r w:rsidRPr="0071228C">
        <w:rPr>
          <w:noProof/>
        </w:rPr>
        <w:t>owadzenie systemu rozszerzonej odpowiedzialności producenta, negocjacje mogą wymagać więcej zasobów</w:t>
      </w:r>
      <w:r w:rsidR="00CC55C0" w:rsidRPr="0071228C">
        <w:rPr>
          <w:noProof/>
        </w:rPr>
        <w:t xml:space="preserve"> i</w:t>
      </w:r>
      <w:r w:rsidR="00CC55C0">
        <w:rPr>
          <w:noProof/>
        </w:rPr>
        <w:t> </w:t>
      </w:r>
      <w:r w:rsidR="00CC55C0" w:rsidRPr="0071228C">
        <w:rPr>
          <w:noProof/>
        </w:rPr>
        <w:t>cza</w:t>
      </w:r>
      <w:r w:rsidRPr="0071228C">
        <w:rPr>
          <w:noProof/>
        </w:rPr>
        <w:t>su niż przeciętnie</w:t>
      </w:r>
    </w:p>
    <w:p w14:paraId="3958AD4B" w14:textId="18D5DB47"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71228C">
        <w:rPr>
          <w:noProof/>
        </w:rPr>
        <w:t>II kwartał 2024 r.: rozpoczęcie prac</w:t>
      </w:r>
      <w:r w:rsidR="00CC55C0" w:rsidRPr="0071228C">
        <w:rPr>
          <w:noProof/>
        </w:rPr>
        <w:t xml:space="preserve"> i</w:t>
      </w:r>
      <w:r w:rsidR="00CC55C0">
        <w:rPr>
          <w:noProof/>
        </w:rPr>
        <w:t> </w:t>
      </w:r>
      <w:r w:rsidR="00CC55C0" w:rsidRPr="0071228C">
        <w:rPr>
          <w:noProof/>
        </w:rPr>
        <w:t>pro</w:t>
      </w:r>
      <w:r w:rsidRPr="0071228C">
        <w:rPr>
          <w:noProof/>
        </w:rPr>
        <w:t>ces opracowywania.</w:t>
      </w:r>
    </w:p>
    <w:p w14:paraId="19FCE586" w14:textId="77777777"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lang w:eastAsia="en-GB"/>
        </w:rPr>
      </w:pPr>
    </w:p>
    <w:p w14:paraId="15FDFFE7" w14:textId="77777777"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rPr>
      </w:pPr>
      <w:r w:rsidRPr="0071228C">
        <w:rPr>
          <w:noProof/>
        </w:rPr>
        <w:t>Przepisy dotyczące jakości powietrza:</w:t>
      </w:r>
    </w:p>
    <w:p w14:paraId="4C4EF990" w14:textId="1A4DB44E"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71228C">
        <w:rPr>
          <w:b/>
          <w:noProof/>
        </w:rPr>
        <w:t>Zadania związane ze sprawozdawczością</w:t>
      </w:r>
      <w:r w:rsidR="00CC55C0" w:rsidRPr="0071228C">
        <w:rPr>
          <w:b/>
          <w:noProof/>
        </w:rPr>
        <w:t xml:space="preserve"> i</w:t>
      </w:r>
      <w:r w:rsidR="00CC55C0">
        <w:rPr>
          <w:b/>
          <w:noProof/>
        </w:rPr>
        <w:t> </w:t>
      </w:r>
      <w:r w:rsidR="00CC55C0" w:rsidRPr="0071228C">
        <w:rPr>
          <w:b/>
          <w:noProof/>
        </w:rPr>
        <w:t>wym</w:t>
      </w:r>
      <w:r w:rsidRPr="0071228C">
        <w:rPr>
          <w:b/>
          <w:noProof/>
        </w:rPr>
        <w:t>ianą informacji dotyczących jakości powietrza</w:t>
      </w:r>
      <w:r w:rsidRPr="0071228C">
        <w:rPr>
          <w:noProof/>
        </w:rPr>
        <w:t>. Należy podjąć dodatkowe działania</w:t>
      </w:r>
      <w:r w:rsidR="00CC55C0" w:rsidRPr="0071228C">
        <w:rPr>
          <w:noProof/>
        </w:rPr>
        <w:t xml:space="preserve"> w</w:t>
      </w:r>
      <w:r w:rsidR="00CC55C0">
        <w:rPr>
          <w:noProof/>
        </w:rPr>
        <w:t> </w:t>
      </w:r>
      <w:r w:rsidR="00CC55C0" w:rsidRPr="0071228C">
        <w:rPr>
          <w:noProof/>
        </w:rPr>
        <w:t>cel</w:t>
      </w:r>
      <w:r w:rsidRPr="0071228C">
        <w:rPr>
          <w:noProof/>
        </w:rPr>
        <w:t>u rozbudowy infrastruktury na potrzeby ciągłej sprawozdawczości</w:t>
      </w:r>
      <w:r w:rsidR="00CC55C0" w:rsidRPr="0071228C">
        <w:rPr>
          <w:noProof/>
        </w:rPr>
        <w:t xml:space="preserve"> i</w:t>
      </w:r>
      <w:r w:rsidR="00CC55C0">
        <w:rPr>
          <w:noProof/>
        </w:rPr>
        <w:t> </w:t>
      </w:r>
      <w:r w:rsidR="00CC55C0" w:rsidRPr="0071228C">
        <w:rPr>
          <w:noProof/>
        </w:rPr>
        <w:t>jej</w:t>
      </w:r>
      <w:r w:rsidRPr="0071228C">
        <w:rPr>
          <w:noProof/>
        </w:rPr>
        <w:t xml:space="preserve"> wspierania, aby uwzględniać również nowe substancje zanieczyszczające powietrze oraz zobowiązania do ograniczenia średniego narażenia obejmujące substancje zanieczyszczające PM</w:t>
      </w:r>
      <w:r w:rsidRPr="0071228C">
        <w:rPr>
          <w:noProof/>
          <w:vertAlign w:val="subscript"/>
        </w:rPr>
        <w:t>2.5</w:t>
      </w:r>
      <w:r w:rsidRPr="0071228C">
        <w:rPr>
          <w:noProof/>
        </w:rPr>
        <w:t xml:space="preserve"> i NO</w:t>
      </w:r>
      <w:r w:rsidRPr="0071228C">
        <w:rPr>
          <w:noProof/>
          <w:vertAlign w:val="subscript"/>
        </w:rPr>
        <w:t>2</w:t>
      </w:r>
      <w:r w:rsidRPr="0071228C">
        <w:rPr>
          <w:noProof/>
        </w:rPr>
        <w:t>,</w:t>
      </w:r>
      <w:r w:rsidR="00CC55C0" w:rsidRPr="0071228C">
        <w:rPr>
          <w:noProof/>
        </w:rPr>
        <w:t xml:space="preserve"> w</w:t>
      </w:r>
      <w:r w:rsidR="00CC55C0">
        <w:rPr>
          <w:noProof/>
        </w:rPr>
        <w:t> </w:t>
      </w:r>
      <w:r w:rsidR="00CC55C0" w:rsidRPr="0071228C">
        <w:rPr>
          <w:noProof/>
        </w:rPr>
        <w:t>cel</w:t>
      </w:r>
      <w:r w:rsidRPr="0071228C">
        <w:rPr>
          <w:noProof/>
        </w:rPr>
        <w:t>u dalszej rozbudowy infrastruktury sprawozdawczości</w:t>
      </w:r>
      <w:r w:rsidR="00CC55C0" w:rsidRPr="0071228C">
        <w:rPr>
          <w:noProof/>
        </w:rPr>
        <w:t xml:space="preserve"> o</w:t>
      </w:r>
      <w:r w:rsidR="00CC55C0">
        <w:rPr>
          <w:noProof/>
        </w:rPr>
        <w:t> </w:t>
      </w:r>
      <w:r w:rsidR="00CC55C0" w:rsidRPr="0071228C">
        <w:rPr>
          <w:noProof/>
        </w:rPr>
        <w:t>akt</w:t>
      </w:r>
      <w:r w:rsidRPr="0071228C">
        <w:rPr>
          <w:noProof/>
        </w:rPr>
        <w:t>ualne informacje pochodzące</w:t>
      </w:r>
      <w:r w:rsidR="00CC55C0" w:rsidRPr="0071228C">
        <w:rPr>
          <w:noProof/>
        </w:rPr>
        <w:t xml:space="preserve"> z</w:t>
      </w:r>
      <w:r w:rsidR="00CC55C0">
        <w:rPr>
          <w:noProof/>
        </w:rPr>
        <w:t> </w:t>
      </w:r>
      <w:r w:rsidR="00CC55C0" w:rsidRPr="0071228C">
        <w:rPr>
          <w:noProof/>
        </w:rPr>
        <w:t>dod</w:t>
      </w:r>
      <w:r w:rsidRPr="0071228C">
        <w:rPr>
          <w:noProof/>
        </w:rPr>
        <w:t>atkowych punktów pobierania próbek</w:t>
      </w:r>
      <w:r w:rsidR="00CC55C0" w:rsidRPr="0071228C">
        <w:rPr>
          <w:noProof/>
        </w:rPr>
        <w:t xml:space="preserve"> i</w:t>
      </w:r>
      <w:r w:rsidR="00CC55C0">
        <w:rPr>
          <w:noProof/>
        </w:rPr>
        <w:t> </w:t>
      </w:r>
      <w:r w:rsidR="00CC55C0" w:rsidRPr="0071228C">
        <w:rPr>
          <w:noProof/>
        </w:rPr>
        <w:t>dan</w:t>
      </w:r>
      <w:r w:rsidRPr="0071228C">
        <w:rPr>
          <w:noProof/>
        </w:rPr>
        <w:t>ych</w:t>
      </w:r>
      <w:r w:rsidR="00CC55C0" w:rsidRPr="0071228C">
        <w:rPr>
          <w:noProof/>
        </w:rPr>
        <w:t xml:space="preserve"> z</w:t>
      </w:r>
      <w:r w:rsidR="00CC55C0">
        <w:rPr>
          <w:noProof/>
        </w:rPr>
        <w:t> </w:t>
      </w:r>
      <w:r w:rsidR="00CC55C0" w:rsidRPr="0071228C">
        <w:rPr>
          <w:noProof/>
        </w:rPr>
        <w:t>mod</w:t>
      </w:r>
      <w:r w:rsidRPr="0071228C">
        <w:rPr>
          <w:noProof/>
        </w:rPr>
        <w:t>elowania,</w:t>
      </w:r>
      <w:r w:rsidR="00CC55C0" w:rsidRPr="0071228C">
        <w:rPr>
          <w:noProof/>
        </w:rPr>
        <w:t xml:space="preserve"> a</w:t>
      </w:r>
      <w:r w:rsidR="00CC55C0">
        <w:rPr>
          <w:noProof/>
        </w:rPr>
        <w:t> </w:t>
      </w:r>
      <w:r w:rsidR="00CC55C0" w:rsidRPr="0071228C">
        <w:rPr>
          <w:noProof/>
        </w:rPr>
        <w:t>tak</w:t>
      </w:r>
      <w:r w:rsidRPr="0071228C">
        <w:rPr>
          <w:noProof/>
        </w:rPr>
        <w:t>że</w:t>
      </w:r>
      <w:r w:rsidR="00CC55C0" w:rsidRPr="0071228C">
        <w:rPr>
          <w:noProof/>
        </w:rPr>
        <w:t xml:space="preserve"> o</w:t>
      </w:r>
      <w:r w:rsidR="00CC55C0">
        <w:rPr>
          <w:noProof/>
        </w:rPr>
        <w:t> </w:t>
      </w:r>
      <w:r w:rsidR="00CC55C0" w:rsidRPr="0071228C">
        <w:rPr>
          <w:noProof/>
        </w:rPr>
        <w:t>pla</w:t>
      </w:r>
      <w:r w:rsidRPr="0071228C">
        <w:rPr>
          <w:noProof/>
        </w:rPr>
        <w:t>ny ochrony powietrza. (wsparcie EEA).</w:t>
      </w:r>
    </w:p>
    <w:p w14:paraId="0CC8EF71" w14:textId="252639A2"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71228C">
        <w:rPr>
          <w:b/>
          <w:noProof/>
        </w:rPr>
        <w:t>Zadania związane</w:t>
      </w:r>
      <w:r w:rsidR="00CC55C0" w:rsidRPr="0071228C">
        <w:rPr>
          <w:b/>
          <w:noProof/>
        </w:rPr>
        <w:t xml:space="preserve"> z</w:t>
      </w:r>
      <w:r w:rsidR="00CC55C0">
        <w:rPr>
          <w:b/>
          <w:noProof/>
        </w:rPr>
        <w:t> </w:t>
      </w:r>
      <w:r w:rsidR="00CC55C0" w:rsidRPr="0071228C">
        <w:rPr>
          <w:b/>
          <w:noProof/>
        </w:rPr>
        <w:t>oce</w:t>
      </w:r>
      <w:r w:rsidRPr="0071228C">
        <w:rPr>
          <w:b/>
          <w:noProof/>
        </w:rPr>
        <w:t>ną jakości powietrza</w:t>
      </w:r>
      <w:r w:rsidRPr="0071228C">
        <w:rPr>
          <w:noProof/>
        </w:rPr>
        <w:t>: Wraz ze rozwojem naukowej wiedzy na temat problemów związanych</w:t>
      </w:r>
      <w:r w:rsidR="00CC55C0" w:rsidRPr="0071228C">
        <w:rPr>
          <w:noProof/>
        </w:rPr>
        <w:t xml:space="preserve"> z</w:t>
      </w:r>
      <w:r w:rsidR="00CC55C0">
        <w:rPr>
          <w:noProof/>
        </w:rPr>
        <w:t> </w:t>
      </w:r>
      <w:r w:rsidR="00CC55C0" w:rsidRPr="0071228C">
        <w:rPr>
          <w:noProof/>
        </w:rPr>
        <w:t>jak</w:t>
      </w:r>
      <w:r w:rsidRPr="0071228C">
        <w:rPr>
          <w:noProof/>
        </w:rPr>
        <w:t>ością powietrza,</w:t>
      </w:r>
      <w:r w:rsidR="00CC55C0" w:rsidRPr="0071228C">
        <w:rPr>
          <w:noProof/>
        </w:rPr>
        <w:t xml:space="preserve"> w</w:t>
      </w:r>
      <w:r w:rsidR="00CC55C0">
        <w:rPr>
          <w:noProof/>
        </w:rPr>
        <w:t> </w:t>
      </w:r>
      <w:r w:rsidR="00CC55C0" w:rsidRPr="0071228C">
        <w:rPr>
          <w:noProof/>
        </w:rPr>
        <w:t>tym</w:t>
      </w:r>
      <w:r w:rsidRPr="0071228C">
        <w:rPr>
          <w:noProof/>
        </w:rPr>
        <w:t xml:space="preserve"> niekorzystnym wpływie na zdrowie przy niskich stężeniach oraz wpływie dodatkowych nowych substancjach zanieczyszczających powietrze, potrzebne jest dodatkowe wsparcie środków</w:t>
      </w:r>
      <w:r w:rsidR="00CC55C0" w:rsidRPr="0071228C">
        <w:rPr>
          <w:noProof/>
        </w:rPr>
        <w:t xml:space="preserve"> z</w:t>
      </w:r>
      <w:r w:rsidR="00CC55C0">
        <w:rPr>
          <w:noProof/>
        </w:rPr>
        <w:t> </w:t>
      </w:r>
      <w:r w:rsidR="00CC55C0" w:rsidRPr="0071228C">
        <w:rPr>
          <w:noProof/>
        </w:rPr>
        <w:t>zak</w:t>
      </w:r>
      <w:r w:rsidRPr="0071228C">
        <w:rPr>
          <w:noProof/>
        </w:rPr>
        <w:t>resu polityki</w:t>
      </w:r>
      <w:r w:rsidR="00CC55C0" w:rsidRPr="0071228C">
        <w:rPr>
          <w:noProof/>
        </w:rPr>
        <w:t xml:space="preserve"> w</w:t>
      </w:r>
      <w:r w:rsidR="00CC55C0">
        <w:rPr>
          <w:noProof/>
        </w:rPr>
        <w:t> </w:t>
      </w:r>
      <w:r w:rsidR="00CC55C0" w:rsidRPr="0071228C">
        <w:rPr>
          <w:noProof/>
        </w:rPr>
        <w:t>for</w:t>
      </w:r>
      <w:r w:rsidRPr="0071228C">
        <w:rPr>
          <w:noProof/>
        </w:rPr>
        <w:t>mie rzetelnej oceny zgłaszanych danych dotyczących jakości powietrza (w tym dodatkowych danych, które zostaną zapewnione dzięki wzmocnionemu monitoringowi</w:t>
      </w:r>
      <w:r w:rsidR="00CC55C0" w:rsidRPr="0071228C">
        <w:rPr>
          <w:noProof/>
        </w:rPr>
        <w:t xml:space="preserve"> i</w:t>
      </w:r>
      <w:r w:rsidR="00CC55C0">
        <w:rPr>
          <w:noProof/>
        </w:rPr>
        <w:t> </w:t>
      </w:r>
      <w:r w:rsidR="00CC55C0" w:rsidRPr="0071228C">
        <w:rPr>
          <w:noProof/>
        </w:rPr>
        <w:t>mod</w:t>
      </w:r>
      <w:r w:rsidRPr="0071228C">
        <w:rPr>
          <w:noProof/>
        </w:rPr>
        <w:t>elowaniu jakości powietrza). Ponadto konieczne będzie wzmocnienie oceny powiązań między zanieczyszczeniami powietrza, zmianami klimatu, zdrowiem ludzi</w:t>
      </w:r>
      <w:r w:rsidR="00CC55C0" w:rsidRPr="0071228C">
        <w:rPr>
          <w:noProof/>
        </w:rPr>
        <w:t xml:space="preserve"> i</w:t>
      </w:r>
      <w:r w:rsidR="00CC55C0">
        <w:rPr>
          <w:noProof/>
        </w:rPr>
        <w:t> </w:t>
      </w:r>
      <w:r w:rsidR="00CC55C0" w:rsidRPr="0071228C">
        <w:rPr>
          <w:noProof/>
        </w:rPr>
        <w:t>eko</w:t>
      </w:r>
      <w:r w:rsidRPr="0071228C">
        <w:rPr>
          <w:noProof/>
        </w:rPr>
        <w:t>systemów. (wsparcie EEA).</w:t>
      </w:r>
    </w:p>
    <w:p w14:paraId="13968BA2" w14:textId="34E47631" w:rsidR="001C0111" w:rsidRPr="0071228C"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71228C">
        <w:rPr>
          <w:b/>
          <w:noProof/>
        </w:rPr>
        <w:t>Zadania związane</w:t>
      </w:r>
      <w:r w:rsidR="00CC55C0" w:rsidRPr="0071228C">
        <w:rPr>
          <w:b/>
          <w:noProof/>
        </w:rPr>
        <w:t xml:space="preserve"> z</w:t>
      </w:r>
      <w:r w:rsidR="00CC55C0">
        <w:rPr>
          <w:b/>
          <w:noProof/>
        </w:rPr>
        <w:t> </w:t>
      </w:r>
      <w:r w:rsidR="00CC55C0" w:rsidRPr="0071228C">
        <w:rPr>
          <w:b/>
          <w:noProof/>
        </w:rPr>
        <w:t>nau</w:t>
      </w:r>
      <w:r w:rsidRPr="0071228C">
        <w:rPr>
          <w:b/>
          <w:noProof/>
        </w:rPr>
        <w:t>kowym</w:t>
      </w:r>
      <w:r w:rsidR="00CC55C0" w:rsidRPr="0071228C">
        <w:rPr>
          <w:b/>
          <w:noProof/>
        </w:rPr>
        <w:t xml:space="preserve"> i</w:t>
      </w:r>
      <w:r w:rsidR="00CC55C0">
        <w:rPr>
          <w:b/>
          <w:noProof/>
        </w:rPr>
        <w:t> </w:t>
      </w:r>
      <w:r w:rsidR="00CC55C0" w:rsidRPr="0071228C">
        <w:rPr>
          <w:b/>
          <w:noProof/>
        </w:rPr>
        <w:t>tec</w:t>
      </w:r>
      <w:r w:rsidRPr="0071228C">
        <w:rPr>
          <w:b/>
          <w:noProof/>
        </w:rPr>
        <w:t>hnicznym wsparciem monitorowania</w:t>
      </w:r>
      <w:r w:rsidR="00CC55C0" w:rsidRPr="0071228C">
        <w:rPr>
          <w:b/>
          <w:noProof/>
        </w:rPr>
        <w:t xml:space="preserve"> i</w:t>
      </w:r>
      <w:r w:rsidR="00CC55C0">
        <w:rPr>
          <w:b/>
          <w:noProof/>
        </w:rPr>
        <w:t> </w:t>
      </w:r>
      <w:r w:rsidR="00CC55C0" w:rsidRPr="0071228C">
        <w:rPr>
          <w:b/>
          <w:noProof/>
        </w:rPr>
        <w:t>mod</w:t>
      </w:r>
      <w:r w:rsidRPr="0071228C">
        <w:rPr>
          <w:b/>
          <w:noProof/>
        </w:rPr>
        <w:t>elowania jakości powietrza:</w:t>
      </w:r>
      <w:r w:rsidRPr="0071228C">
        <w:rPr>
          <w:noProof/>
        </w:rPr>
        <w:t xml:space="preserve"> W miarę wdrażania wzmocnionego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potrzebne będzie stałe wsparcie. Wsparcie to,</w:t>
      </w:r>
      <w:r w:rsidR="00CC55C0" w:rsidRPr="0071228C">
        <w:rPr>
          <w:noProof/>
        </w:rPr>
        <w:t xml:space="preserve"> w</w:t>
      </w:r>
      <w:r w:rsidR="00CC55C0">
        <w:rPr>
          <w:noProof/>
        </w:rPr>
        <w:t> </w:t>
      </w:r>
      <w:r w:rsidR="00CC55C0" w:rsidRPr="0071228C">
        <w:rPr>
          <w:noProof/>
        </w:rPr>
        <w:t>peł</w:t>
      </w:r>
      <w:r w:rsidRPr="0071228C">
        <w:rPr>
          <w:noProof/>
        </w:rPr>
        <w:t>ni uzupełniające prace nad sprawozdawczością</w:t>
      </w:r>
      <w:r w:rsidR="00CC55C0" w:rsidRPr="0071228C">
        <w:rPr>
          <w:noProof/>
        </w:rPr>
        <w:t xml:space="preserve"> w</w:t>
      </w:r>
      <w:r w:rsidR="00CC55C0">
        <w:rPr>
          <w:noProof/>
        </w:rPr>
        <w:t> </w:t>
      </w:r>
      <w:r w:rsidR="00CC55C0" w:rsidRPr="0071228C">
        <w:rPr>
          <w:noProof/>
        </w:rPr>
        <w:t>zak</w:t>
      </w:r>
      <w:r w:rsidRPr="0071228C">
        <w:rPr>
          <w:noProof/>
        </w:rPr>
        <w:t>resie jakości powietrza</w:t>
      </w:r>
      <w:r w:rsidR="00CC55C0" w:rsidRPr="0071228C">
        <w:rPr>
          <w:noProof/>
        </w:rPr>
        <w:t xml:space="preserve"> i</w:t>
      </w:r>
      <w:r w:rsidR="00CC55C0">
        <w:rPr>
          <w:noProof/>
        </w:rPr>
        <w:t> </w:t>
      </w:r>
      <w:r w:rsidR="00CC55C0" w:rsidRPr="0071228C">
        <w:rPr>
          <w:noProof/>
        </w:rPr>
        <w:t>oce</w:t>
      </w:r>
      <w:r w:rsidRPr="0071228C">
        <w:rPr>
          <w:noProof/>
        </w:rPr>
        <w:t>nami jakości powietrza, skupia się na technicznych aspektach monitorowania</w:t>
      </w:r>
      <w:r w:rsidR="00CC55C0" w:rsidRPr="0071228C">
        <w:rPr>
          <w:noProof/>
        </w:rPr>
        <w:t xml:space="preserve"> i</w:t>
      </w:r>
      <w:r w:rsidR="00CC55C0">
        <w:rPr>
          <w:noProof/>
        </w:rPr>
        <w:t> </w:t>
      </w:r>
      <w:r w:rsidR="00CC55C0" w:rsidRPr="0071228C">
        <w:rPr>
          <w:noProof/>
        </w:rPr>
        <w:t>mod</w:t>
      </w:r>
      <w:r w:rsidRPr="0071228C">
        <w:rPr>
          <w:noProof/>
        </w:rPr>
        <w:t>elowania przez właściwe organy</w:t>
      </w:r>
      <w:r w:rsidR="00CC55C0" w:rsidRPr="0071228C">
        <w:rPr>
          <w:noProof/>
        </w:rPr>
        <w:t xml:space="preserve"> i</w:t>
      </w:r>
      <w:r w:rsidR="00CC55C0">
        <w:rPr>
          <w:noProof/>
        </w:rPr>
        <w:t> </w:t>
      </w:r>
      <w:r w:rsidR="00CC55C0" w:rsidRPr="0071228C">
        <w:rPr>
          <w:noProof/>
        </w:rPr>
        <w:t>obe</w:t>
      </w:r>
      <w:r w:rsidRPr="0071228C">
        <w:rPr>
          <w:noProof/>
        </w:rPr>
        <w:t>jmuje zarządzanie</w:t>
      </w:r>
      <w:r w:rsidR="00CC55C0" w:rsidRPr="0071228C">
        <w:rPr>
          <w:noProof/>
        </w:rPr>
        <w:t xml:space="preserve"> i</w:t>
      </w:r>
      <w:r w:rsidR="00CC55C0">
        <w:rPr>
          <w:noProof/>
        </w:rPr>
        <w:t> </w:t>
      </w:r>
      <w:r w:rsidR="00CC55C0" w:rsidRPr="0071228C">
        <w:rPr>
          <w:noProof/>
        </w:rPr>
        <w:t>kie</w:t>
      </w:r>
      <w:r w:rsidRPr="0071228C">
        <w:rPr>
          <w:noProof/>
        </w:rPr>
        <w:t>rowanie dwiema kluczowymi sieciami ekspertów: siecią krajowych laboratoriów referencyjnych (AQUILA) oraz forum modelowania jakości powietrza</w:t>
      </w:r>
      <w:r w:rsidR="00CC55C0" w:rsidRPr="0071228C">
        <w:rPr>
          <w:noProof/>
        </w:rPr>
        <w:t xml:space="preserve"> w</w:t>
      </w:r>
      <w:r w:rsidR="00CC55C0">
        <w:rPr>
          <w:noProof/>
        </w:rPr>
        <w:t> </w:t>
      </w:r>
      <w:r w:rsidR="00CC55C0" w:rsidRPr="0071228C">
        <w:rPr>
          <w:noProof/>
        </w:rPr>
        <w:t>Eur</w:t>
      </w:r>
      <w:r w:rsidRPr="0071228C">
        <w:rPr>
          <w:noProof/>
        </w:rPr>
        <w:t>opie (FAIRMODE)</w:t>
      </w:r>
      <w:r w:rsidR="00CC55C0" w:rsidRPr="0071228C">
        <w:rPr>
          <w:noProof/>
        </w:rPr>
        <w:t>. W</w:t>
      </w:r>
      <w:r w:rsidR="00CC55C0">
        <w:rPr>
          <w:noProof/>
        </w:rPr>
        <w:t> </w:t>
      </w:r>
      <w:r w:rsidR="00CC55C0" w:rsidRPr="0071228C">
        <w:rPr>
          <w:noProof/>
        </w:rPr>
        <w:t>cią</w:t>
      </w:r>
      <w:r w:rsidRPr="0071228C">
        <w:rPr>
          <w:noProof/>
        </w:rPr>
        <w:t>gu ostatnich dziesięciu lat JRC wspierało te aspekty wdrażania prawodawstwa związanego</w:t>
      </w:r>
      <w:r w:rsidR="00CC55C0" w:rsidRPr="0071228C">
        <w:rPr>
          <w:noProof/>
        </w:rPr>
        <w:t xml:space="preserve"> z</w:t>
      </w:r>
      <w:r w:rsidR="00CC55C0">
        <w:rPr>
          <w:noProof/>
        </w:rPr>
        <w:t> </w:t>
      </w:r>
      <w:r w:rsidR="00CC55C0" w:rsidRPr="0071228C">
        <w:rPr>
          <w:noProof/>
        </w:rPr>
        <w:t>czy</w:t>
      </w:r>
      <w:r w:rsidRPr="0071228C">
        <w:rPr>
          <w:noProof/>
        </w:rPr>
        <w:t>stym powietrzem</w:t>
      </w:r>
      <w:r w:rsidR="00CC55C0" w:rsidRPr="0071228C">
        <w:rPr>
          <w:noProof/>
        </w:rPr>
        <w:t xml:space="preserve"> w</w:t>
      </w:r>
      <w:r w:rsidR="00CC55C0">
        <w:rPr>
          <w:noProof/>
        </w:rPr>
        <w:t> </w:t>
      </w:r>
      <w:r w:rsidR="00CC55C0" w:rsidRPr="0071228C">
        <w:rPr>
          <w:noProof/>
        </w:rPr>
        <w:t>Eur</w:t>
      </w:r>
      <w:r w:rsidRPr="0071228C">
        <w:rPr>
          <w:noProof/>
        </w:rPr>
        <w:t>opie – między innymi za pośrednictwem szeregu uzgodnień administracyjnych. Należy pamiętać, że zaangażowanie JRC jest również niezbędne na potrzeby opracowania wytycznych, które stanowią wsparcie dla wdrożenia zmienionych dyrektyw oraz dla ustanowienia norm związanych</w:t>
      </w:r>
      <w:r w:rsidR="00CC55C0" w:rsidRPr="0071228C">
        <w:rPr>
          <w:noProof/>
        </w:rPr>
        <w:t xml:space="preserve"> z</w:t>
      </w:r>
      <w:r w:rsidR="00CC55C0">
        <w:rPr>
          <w:noProof/>
        </w:rPr>
        <w:t> </w:t>
      </w:r>
      <w:r w:rsidR="00CC55C0" w:rsidRPr="0071228C">
        <w:rPr>
          <w:noProof/>
        </w:rPr>
        <w:t>mon</w:t>
      </w:r>
      <w:r w:rsidRPr="0071228C">
        <w:rPr>
          <w:noProof/>
        </w:rPr>
        <w:t>itorowaniem</w:t>
      </w:r>
      <w:r w:rsidR="00CC55C0" w:rsidRPr="0071228C">
        <w:rPr>
          <w:noProof/>
        </w:rPr>
        <w:t xml:space="preserve"> i</w:t>
      </w:r>
      <w:r w:rsidR="00CC55C0">
        <w:rPr>
          <w:noProof/>
        </w:rPr>
        <w:t> </w:t>
      </w:r>
      <w:r w:rsidR="00CC55C0" w:rsidRPr="0071228C">
        <w:rPr>
          <w:noProof/>
        </w:rPr>
        <w:t>mod</w:t>
      </w:r>
      <w:r w:rsidRPr="0071228C">
        <w:rPr>
          <w:noProof/>
        </w:rPr>
        <w:t>elowaniem jakości powietrza we współpracy</w:t>
      </w:r>
      <w:r w:rsidR="00CC55C0" w:rsidRPr="0071228C">
        <w:rPr>
          <w:noProof/>
        </w:rPr>
        <w:t xml:space="preserve"> z</w:t>
      </w:r>
      <w:r w:rsidR="00CC55C0">
        <w:rPr>
          <w:noProof/>
        </w:rPr>
        <w:t> </w:t>
      </w:r>
      <w:r w:rsidR="00CC55C0" w:rsidRPr="0071228C">
        <w:rPr>
          <w:noProof/>
        </w:rPr>
        <w:t>Eur</w:t>
      </w:r>
      <w:r w:rsidRPr="0071228C">
        <w:rPr>
          <w:noProof/>
        </w:rPr>
        <w:t>opejskim Komitetem Normalizacyjnym (CEN).</w:t>
      </w:r>
    </w:p>
    <w:p w14:paraId="11778791" w14:textId="77777777" w:rsidR="001C0111" w:rsidRPr="0071228C" w:rsidRDefault="001C0111" w:rsidP="001C0111">
      <w:pPr>
        <w:pBdr>
          <w:top w:val="single" w:sz="4" w:space="1" w:color="auto"/>
          <w:left w:val="single" w:sz="4" w:space="0" w:color="auto"/>
          <w:bottom w:val="single" w:sz="4" w:space="1" w:color="auto"/>
          <w:right w:val="single" w:sz="4" w:space="4" w:color="auto"/>
        </w:pBdr>
        <w:ind w:left="720"/>
        <w:rPr>
          <w:b/>
          <w:iCs/>
          <w:noProof/>
          <w:szCs w:val="24"/>
        </w:rPr>
      </w:pPr>
      <w:bookmarkStart w:id="24" w:name="_Hlk114819828"/>
      <w:r w:rsidRPr="0071228C">
        <w:rPr>
          <w:b/>
          <w:noProof/>
        </w:rPr>
        <w:t>Ramy czasowe:</w:t>
      </w:r>
    </w:p>
    <w:p w14:paraId="3198849E" w14:textId="2880B3AA" w:rsidR="001C0111" w:rsidRPr="0071228C" w:rsidRDefault="001C0111" w:rsidP="001C0111">
      <w:pPr>
        <w:pBdr>
          <w:top w:val="single" w:sz="4" w:space="1" w:color="auto"/>
          <w:left w:val="single" w:sz="4" w:space="0" w:color="auto"/>
          <w:bottom w:val="single" w:sz="4" w:space="1" w:color="auto"/>
          <w:right w:val="single" w:sz="4" w:space="4" w:color="auto"/>
        </w:pBdr>
        <w:ind w:left="720"/>
        <w:rPr>
          <w:iCs/>
          <w:noProof/>
        </w:rPr>
      </w:pPr>
      <w:r w:rsidRPr="0071228C">
        <w:rPr>
          <w:noProof/>
        </w:rPr>
        <w:t>I kwartał 20</w:t>
      </w:r>
      <w:r w:rsidRPr="00CC55C0">
        <w:rPr>
          <w:noProof/>
        </w:rPr>
        <w:t>23</w:t>
      </w:r>
      <w:r w:rsidR="00CC55C0" w:rsidRPr="00CC55C0">
        <w:rPr>
          <w:noProof/>
        </w:rPr>
        <w:t> </w:t>
      </w:r>
      <w:r w:rsidRPr="00CC55C0">
        <w:rPr>
          <w:noProof/>
        </w:rPr>
        <w:t>r.</w:t>
      </w:r>
      <w:r w:rsidRPr="0071228C">
        <w:rPr>
          <w:noProof/>
        </w:rPr>
        <w:t xml:space="preserve"> – II kwartał 20</w:t>
      </w:r>
      <w:r w:rsidRPr="00CC55C0">
        <w:rPr>
          <w:noProof/>
        </w:rPr>
        <w:t>24</w:t>
      </w:r>
      <w:r w:rsidR="00CC55C0" w:rsidRPr="00CC55C0">
        <w:rPr>
          <w:noProof/>
        </w:rPr>
        <w:t> </w:t>
      </w:r>
      <w:r w:rsidRPr="00CC55C0">
        <w:rPr>
          <w:noProof/>
        </w:rPr>
        <w:t>r.</w:t>
      </w:r>
      <w:r w:rsidRPr="0071228C">
        <w:rPr>
          <w:noProof/>
        </w:rPr>
        <w:t xml:space="preserve"> (szacunkowo): międzyinstytucjonalne negocjacje dotyczące wniosku</w:t>
      </w:r>
    </w:p>
    <w:p w14:paraId="43246B0E" w14:textId="614CFD09" w:rsidR="001C0111" w:rsidRPr="0071228C" w:rsidRDefault="001C0111" w:rsidP="001C0111">
      <w:pPr>
        <w:pBdr>
          <w:top w:val="single" w:sz="4" w:space="1" w:color="auto"/>
          <w:left w:val="single" w:sz="4" w:space="0" w:color="auto"/>
          <w:bottom w:val="single" w:sz="4" w:space="1" w:color="auto"/>
          <w:right w:val="single" w:sz="4" w:space="4" w:color="auto"/>
        </w:pBdr>
        <w:ind w:left="720"/>
        <w:rPr>
          <w:iCs/>
          <w:noProof/>
        </w:rPr>
      </w:pPr>
      <w:r w:rsidRPr="0071228C">
        <w:rPr>
          <w:noProof/>
        </w:rPr>
        <w:t>II kwartał 20</w:t>
      </w:r>
      <w:r w:rsidRPr="00CC55C0">
        <w:rPr>
          <w:noProof/>
        </w:rPr>
        <w:t>24</w:t>
      </w:r>
      <w:r w:rsidR="00CC55C0" w:rsidRPr="00CC55C0">
        <w:rPr>
          <w:noProof/>
        </w:rPr>
        <w:t> </w:t>
      </w:r>
      <w:r w:rsidRPr="00CC55C0">
        <w:rPr>
          <w:noProof/>
        </w:rPr>
        <w:t>r.</w:t>
      </w:r>
      <w:r w:rsidRPr="0071228C">
        <w:rPr>
          <w:noProof/>
        </w:rPr>
        <w:t xml:space="preserve"> (szacunkowo): wejście</w:t>
      </w:r>
      <w:r w:rsidR="00CC55C0" w:rsidRPr="0071228C">
        <w:rPr>
          <w:noProof/>
        </w:rPr>
        <w:t xml:space="preserve"> w</w:t>
      </w:r>
      <w:r w:rsidR="00CC55C0">
        <w:rPr>
          <w:noProof/>
        </w:rPr>
        <w:t> </w:t>
      </w:r>
      <w:r w:rsidR="00CC55C0" w:rsidRPr="0071228C">
        <w:rPr>
          <w:noProof/>
        </w:rPr>
        <w:t>życ</w:t>
      </w:r>
      <w:r w:rsidRPr="0071228C">
        <w:rPr>
          <w:noProof/>
        </w:rPr>
        <w:t>ie</w:t>
      </w:r>
    </w:p>
    <w:p w14:paraId="672BC0C4" w14:textId="02D19F8A"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71228C">
        <w:rPr>
          <w:noProof/>
        </w:rPr>
        <w:t>I kwartał 20</w:t>
      </w:r>
      <w:r w:rsidRPr="00CC55C0">
        <w:rPr>
          <w:noProof/>
        </w:rPr>
        <w:t>23</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opracowanie dodatkowych wytycznych</w:t>
      </w:r>
      <w:r w:rsidR="00CC55C0" w:rsidRPr="0071228C">
        <w:rPr>
          <w:noProof/>
        </w:rPr>
        <w:t xml:space="preserve"> w</w:t>
      </w:r>
      <w:r w:rsidR="00CC55C0">
        <w:rPr>
          <w:noProof/>
        </w:rPr>
        <w:t> </w:t>
      </w:r>
      <w:r w:rsidR="00CC55C0" w:rsidRPr="0071228C">
        <w:rPr>
          <w:noProof/>
        </w:rPr>
        <w:t>zak</w:t>
      </w:r>
      <w:r w:rsidRPr="0071228C">
        <w:rPr>
          <w:noProof/>
        </w:rPr>
        <w:t>resie monitorowania, modelowania</w:t>
      </w:r>
      <w:r w:rsidR="00CC55C0" w:rsidRPr="0071228C">
        <w:rPr>
          <w:noProof/>
        </w:rPr>
        <w:t xml:space="preserve"> i</w:t>
      </w:r>
      <w:r w:rsidR="00CC55C0">
        <w:rPr>
          <w:noProof/>
        </w:rPr>
        <w:t> </w:t>
      </w:r>
      <w:r w:rsidR="00CC55C0" w:rsidRPr="0071228C">
        <w:rPr>
          <w:noProof/>
        </w:rPr>
        <w:t>pla</w:t>
      </w:r>
      <w:r w:rsidRPr="0071228C">
        <w:rPr>
          <w:noProof/>
        </w:rPr>
        <w:t>nów ochrony powietrza (</w:t>
      </w:r>
      <w:r w:rsidRPr="0071228C">
        <w:rPr>
          <w:b/>
          <w:noProof/>
        </w:rPr>
        <w:t>DG ENV</w:t>
      </w:r>
      <w:r w:rsidRPr="0071228C">
        <w:rPr>
          <w:noProof/>
        </w:rPr>
        <w:t xml:space="preserve"> z </w:t>
      </w:r>
      <w:r w:rsidRPr="0071228C">
        <w:rPr>
          <w:b/>
          <w:noProof/>
        </w:rPr>
        <w:t>JRC</w:t>
      </w:r>
      <w:r w:rsidRPr="0071228C">
        <w:rPr>
          <w:noProof/>
        </w:rPr>
        <w:t>)</w:t>
      </w:r>
    </w:p>
    <w:p w14:paraId="148F0063" w14:textId="14B6C160"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71228C">
        <w:rPr>
          <w:noProof/>
        </w:rPr>
        <w:t>I kwartał 20</w:t>
      </w:r>
      <w:r w:rsidRPr="00CC55C0">
        <w:rPr>
          <w:noProof/>
        </w:rPr>
        <w:t>23</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opracowanie norm</w:t>
      </w:r>
      <w:r w:rsidR="00CC55C0" w:rsidRPr="0071228C">
        <w:rPr>
          <w:noProof/>
        </w:rPr>
        <w:t xml:space="preserve"> w</w:t>
      </w:r>
      <w:r w:rsidR="00CC55C0">
        <w:rPr>
          <w:noProof/>
        </w:rPr>
        <w:t> </w:t>
      </w:r>
      <w:r w:rsidR="00CC55C0" w:rsidRPr="0071228C">
        <w:rPr>
          <w:noProof/>
        </w:rPr>
        <w:t>ści</w:t>
      </w:r>
      <w:r w:rsidRPr="0071228C">
        <w:rPr>
          <w:noProof/>
        </w:rPr>
        <w:t>słej współpracy</w:t>
      </w:r>
      <w:r w:rsidR="00CC55C0" w:rsidRPr="0071228C">
        <w:rPr>
          <w:noProof/>
        </w:rPr>
        <w:t xml:space="preserve"> z</w:t>
      </w:r>
      <w:r w:rsidR="00CC55C0">
        <w:rPr>
          <w:noProof/>
        </w:rPr>
        <w:t> </w:t>
      </w:r>
      <w:r w:rsidR="00CC55C0" w:rsidRPr="0071228C">
        <w:rPr>
          <w:noProof/>
        </w:rPr>
        <w:t>Eur</w:t>
      </w:r>
      <w:r w:rsidRPr="0071228C">
        <w:rPr>
          <w:noProof/>
        </w:rPr>
        <w:t>opejskim Komitetem Normalizacyjnym</w:t>
      </w:r>
      <w:r w:rsidR="00CC55C0" w:rsidRPr="0071228C">
        <w:rPr>
          <w:noProof/>
        </w:rPr>
        <w:t xml:space="preserve"> w</w:t>
      </w:r>
      <w:r w:rsidR="00CC55C0">
        <w:rPr>
          <w:noProof/>
        </w:rPr>
        <w:t> </w:t>
      </w:r>
      <w:r w:rsidR="00CC55C0" w:rsidRPr="0071228C">
        <w:rPr>
          <w:noProof/>
        </w:rPr>
        <w:t>zak</w:t>
      </w:r>
      <w:r w:rsidRPr="0071228C">
        <w:rPr>
          <w:noProof/>
        </w:rPr>
        <w:t>resie celów monitorowania, pomiarów wskaźnikowych</w:t>
      </w:r>
      <w:r w:rsidR="00CC55C0" w:rsidRPr="0071228C">
        <w:rPr>
          <w:noProof/>
        </w:rPr>
        <w:t xml:space="preserve"> i</w:t>
      </w:r>
      <w:r w:rsidR="00CC55C0">
        <w:rPr>
          <w:noProof/>
        </w:rPr>
        <w:t> </w:t>
      </w:r>
      <w:r w:rsidR="00CC55C0" w:rsidRPr="0071228C">
        <w:rPr>
          <w:noProof/>
        </w:rPr>
        <w:t>jak</w:t>
      </w:r>
      <w:r w:rsidRPr="0071228C">
        <w:rPr>
          <w:noProof/>
        </w:rPr>
        <w:t>ości modelowania (</w:t>
      </w:r>
      <w:r w:rsidRPr="0071228C">
        <w:rPr>
          <w:b/>
          <w:noProof/>
        </w:rPr>
        <w:t xml:space="preserve">JRC </w:t>
      </w:r>
      <w:r w:rsidRPr="0071228C">
        <w:rPr>
          <w:noProof/>
        </w:rPr>
        <w:t>z</w:t>
      </w:r>
      <w:r w:rsidRPr="0071228C">
        <w:rPr>
          <w:b/>
          <w:noProof/>
        </w:rPr>
        <w:t xml:space="preserve"> DG ENV</w:t>
      </w:r>
      <w:r w:rsidRPr="0071228C">
        <w:rPr>
          <w:noProof/>
        </w:rPr>
        <w:t>)</w:t>
      </w:r>
    </w:p>
    <w:p w14:paraId="4D0E9FFE" w14:textId="1CFE0F2B"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71228C">
        <w:rPr>
          <w:noProof/>
        </w:rPr>
        <w:t xml:space="preserve">Począwszy od III </w:t>
      </w:r>
      <w:r w:rsidRPr="00CC55C0">
        <w:rPr>
          <w:noProof/>
        </w:rPr>
        <w:t>kw.</w:t>
      </w:r>
      <w:r w:rsidR="00CC55C0" w:rsidRPr="00CC55C0">
        <w:rPr>
          <w:noProof/>
        </w:rPr>
        <w:t> </w:t>
      </w:r>
      <w:r w:rsidRPr="00CC55C0">
        <w:rPr>
          <w:noProof/>
        </w:rPr>
        <w:t>2</w:t>
      </w:r>
      <w:r w:rsidRPr="0071228C">
        <w:rPr>
          <w:noProof/>
        </w:rPr>
        <w:t xml:space="preserve">024 r.: dokonywanie przez </w:t>
      </w:r>
      <w:r w:rsidRPr="0071228C">
        <w:rPr>
          <w:b/>
          <w:noProof/>
        </w:rPr>
        <w:t>EEA</w:t>
      </w:r>
      <w:r w:rsidRPr="0071228C">
        <w:rPr>
          <w:noProof/>
        </w:rPr>
        <w:t xml:space="preserve"> regularnych ocen postępów</w:t>
      </w:r>
      <w:r w:rsidR="00CC55C0" w:rsidRPr="0071228C">
        <w:rPr>
          <w:noProof/>
        </w:rPr>
        <w:t xml:space="preserve"> w</w:t>
      </w:r>
      <w:r w:rsidR="00CC55C0">
        <w:rPr>
          <w:noProof/>
        </w:rPr>
        <w:t> </w:t>
      </w:r>
      <w:r w:rsidR="00CC55C0" w:rsidRPr="0071228C">
        <w:rPr>
          <w:noProof/>
        </w:rPr>
        <w:t>rea</w:t>
      </w:r>
      <w:r w:rsidRPr="0071228C">
        <w:rPr>
          <w:noProof/>
        </w:rPr>
        <w:t>lizacji zobowiązań dotyczących ograniczenia średniego narażenia na działanie substancji zanieczyszczających PM</w:t>
      </w:r>
      <w:r w:rsidRPr="0071228C">
        <w:rPr>
          <w:noProof/>
          <w:vertAlign w:val="subscript"/>
        </w:rPr>
        <w:t xml:space="preserve">2.5 </w:t>
      </w:r>
      <w:r w:rsidRPr="0071228C">
        <w:rPr>
          <w:noProof/>
        </w:rPr>
        <w:t>i NO</w:t>
      </w:r>
      <w:r w:rsidRPr="0071228C">
        <w:rPr>
          <w:noProof/>
          <w:vertAlign w:val="subscript"/>
        </w:rPr>
        <w:t>2.</w:t>
      </w:r>
    </w:p>
    <w:p w14:paraId="451CBECC" w14:textId="5076BCFB"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71228C">
        <w:rPr>
          <w:noProof/>
        </w:rPr>
        <w:t xml:space="preserve">Począwszy od III </w:t>
      </w:r>
      <w:r w:rsidRPr="00CC55C0">
        <w:rPr>
          <w:noProof/>
        </w:rPr>
        <w:t>kw.</w:t>
      </w:r>
      <w:r w:rsidR="00CC55C0" w:rsidRPr="00CC55C0">
        <w:rPr>
          <w:noProof/>
        </w:rPr>
        <w:t> </w:t>
      </w:r>
      <w:r w:rsidRPr="00CC55C0">
        <w:rPr>
          <w:noProof/>
        </w:rPr>
        <w:t>2</w:t>
      </w:r>
      <w:r w:rsidRPr="0071228C">
        <w:rPr>
          <w:noProof/>
        </w:rPr>
        <w:t xml:space="preserve">024 r.: dokonywanie przez </w:t>
      </w:r>
      <w:r w:rsidRPr="0071228C">
        <w:rPr>
          <w:b/>
          <w:noProof/>
        </w:rPr>
        <w:t>EEA</w:t>
      </w:r>
      <w:r w:rsidRPr="0071228C">
        <w:rPr>
          <w:noProof/>
        </w:rPr>
        <w:t xml:space="preserve"> regularnych ocen nowych substancji zanieczyszczających powietrze oraz powiązań między zanieczyszczeniem powietrza, zmianami klimatu</w:t>
      </w:r>
      <w:r w:rsidR="00CC55C0" w:rsidRPr="0071228C">
        <w:rPr>
          <w:noProof/>
        </w:rPr>
        <w:t xml:space="preserve"> i</w:t>
      </w:r>
      <w:r w:rsidR="00CC55C0">
        <w:rPr>
          <w:noProof/>
        </w:rPr>
        <w:t> </w:t>
      </w:r>
      <w:r w:rsidR="00CC55C0" w:rsidRPr="0071228C">
        <w:rPr>
          <w:noProof/>
        </w:rPr>
        <w:t>zdr</w:t>
      </w:r>
      <w:r w:rsidRPr="0071228C">
        <w:rPr>
          <w:noProof/>
        </w:rPr>
        <w:t>owiem</w:t>
      </w:r>
    </w:p>
    <w:p w14:paraId="7AD064AF" w14:textId="3FB78A75"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71228C">
        <w:rPr>
          <w:noProof/>
        </w:rPr>
        <w:t>III kwartał 20</w:t>
      </w:r>
      <w:r w:rsidRPr="00CC55C0">
        <w:rPr>
          <w:noProof/>
        </w:rPr>
        <w:t>24</w:t>
      </w:r>
      <w:r w:rsidR="00CC55C0" w:rsidRPr="00CC55C0">
        <w:rPr>
          <w:noProof/>
        </w:rPr>
        <w:t> </w:t>
      </w:r>
      <w:r w:rsidRPr="00CC55C0">
        <w:rPr>
          <w:noProof/>
        </w:rPr>
        <w:t>r.</w:t>
      </w:r>
      <w:r w:rsidRPr="0071228C">
        <w:rPr>
          <w:noProof/>
        </w:rPr>
        <w:t xml:space="preserve"> – IV kwartał 20</w:t>
      </w:r>
      <w:r w:rsidRPr="00CC55C0">
        <w:rPr>
          <w:noProof/>
        </w:rPr>
        <w:t>25</w:t>
      </w:r>
      <w:r w:rsidR="00CC55C0" w:rsidRPr="00CC55C0">
        <w:rPr>
          <w:noProof/>
        </w:rPr>
        <w:t> </w:t>
      </w:r>
      <w:r w:rsidRPr="00CC55C0">
        <w:rPr>
          <w:noProof/>
        </w:rPr>
        <w:t>r.</w:t>
      </w:r>
      <w:r w:rsidRPr="0071228C">
        <w:rPr>
          <w:noProof/>
        </w:rPr>
        <w:t>: zmiana przepisów wykonawczych Komisji</w:t>
      </w:r>
      <w:r w:rsidR="00CC55C0" w:rsidRPr="0071228C">
        <w:rPr>
          <w:noProof/>
        </w:rPr>
        <w:t xml:space="preserve"> w</w:t>
      </w:r>
      <w:r w:rsidR="00CC55C0">
        <w:rPr>
          <w:noProof/>
        </w:rPr>
        <w:t> </w:t>
      </w:r>
      <w:r w:rsidR="00CC55C0" w:rsidRPr="0071228C">
        <w:rPr>
          <w:noProof/>
        </w:rPr>
        <w:t>zak</w:t>
      </w:r>
      <w:r w:rsidRPr="0071228C">
        <w:rPr>
          <w:noProof/>
        </w:rPr>
        <w:t>resie wzajemnej wymiany informacji</w:t>
      </w:r>
      <w:r w:rsidR="00CC55C0" w:rsidRPr="0071228C">
        <w:rPr>
          <w:noProof/>
        </w:rPr>
        <w:t xml:space="preserve"> i</w:t>
      </w:r>
      <w:r w:rsidR="00CC55C0">
        <w:rPr>
          <w:noProof/>
        </w:rPr>
        <w:t> </w:t>
      </w:r>
      <w:r w:rsidR="00CC55C0" w:rsidRPr="0071228C">
        <w:rPr>
          <w:noProof/>
        </w:rPr>
        <w:t>spr</w:t>
      </w:r>
      <w:r w:rsidRPr="0071228C">
        <w:rPr>
          <w:noProof/>
        </w:rPr>
        <w:t>awozdawczości</w:t>
      </w:r>
      <w:r w:rsidR="00CC55C0" w:rsidRPr="0071228C">
        <w:rPr>
          <w:noProof/>
        </w:rPr>
        <w:t xml:space="preserve"> w</w:t>
      </w:r>
      <w:r w:rsidR="00CC55C0">
        <w:rPr>
          <w:noProof/>
        </w:rPr>
        <w:t> </w:t>
      </w:r>
      <w:r w:rsidR="00CC55C0" w:rsidRPr="0071228C">
        <w:rPr>
          <w:noProof/>
        </w:rPr>
        <w:t>odn</w:t>
      </w:r>
      <w:r w:rsidRPr="0071228C">
        <w:rPr>
          <w:noProof/>
        </w:rPr>
        <w:t>iesieniu do jakości powietrza (</w:t>
      </w:r>
      <w:r w:rsidRPr="0071228C">
        <w:rPr>
          <w:b/>
          <w:noProof/>
        </w:rPr>
        <w:t>DG ENV</w:t>
      </w:r>
      <w:r w:rsidRPr="0071228C">
        <w:rPr>
          <w:noProof/>
        </w:rPr>
        <w:t>)</w:t>
      </w:r>
    </w:p>
    <w:p w14:paraId="27B37FD7" w14:textId="68207359"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71228C">
        <w:rPr>
          <w:noProof/>
        </w:rPr>
        <w:t>I kwartał 20</w:t>
      </w:r>
      <w:r w:rsidRPr="00CC55C0">
        <w:rPr>
          <w:noProof/>
        </w:rPr>
        <w:t>26</w:t>
      </w:r>
      <w:r w:rsidR="00CC55C0" w:rsidRPr="00CC55C0">
        <w:rPr>
          <w:noProof/>
        </w:rPr>
        <w:t> </w:t>
      </w:r>
      <w:r w:rsidRPr="00CC55C0">
        <w:rPr>
          <w:noProof/>
        </w:rPr>
        <w:t>r.</w:t>
      </w:r>
      <w:r w:rsidRPr="0071228C">
        <w:rPr>
          <w:noProof/>
        </w:rPr>
        <w:t xml:space="preserve"> (szacunkowo): wprowadzenie zmienionych obowiązków sprawozdawczych dla państw członkowskich (dla </w:t>
      </w:r>
      <w:r w:rsidRPr="0071228C">
        <w:rPr>
          <w:b/>
          <w:noProof/>
        </w:rPr>
        <w:t>EEA</w:t>
      </w:r>
      <w:r w:rsidRPr="0071228C">
        <w:rPr>
          <w:noProof/>
        </w:rPr>
        <w:t xml:space="preserve">) (tj. zależy od terminów transpozycji – ważne, aby przygotować infrastrukturę) </w:t>
      </w:r>
    </w:p>
    <w:p w14:paraId="2C3C3519" w14:textId="2329F982"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71228C">
        <w:rPr>
          <w:noProof/>
        </w:rPr>
        <w:t>III kwartał 20</w:t>
      </w:r>
      <w:r w:rsidRPr="00CC55C0">
        <w:rPr>
          <w:noProof/>
        </w:rPr>
        <w:t>24</w:t>
      </w:r>
      <w:r w:rsidR="00CC55C0" w:rsidRPr="00CC55C0">
        <w:rPr>
          <w:noProof/>
        </w:rPr>
        <w:t> </w:t>
      </w:r>
      <w:r w:rsidRPr="00CC55C0">
        <w:rPr>
          <w:noProof/>
        </w:rPr>
        <w:t>r.</w:t>
      </w:r>
      <w:r w:rsidRPr="0071228C">
        <w:rPr>
          <w:noProof/>
        </w:rPr>
        <w:t xml:space="preserve"> – IV kwartał 20</w:t>
      </w:r>
      <w:r w:rsidRPr="00CC55C0">
        <w:rPr>
          <w:noProof/>
        </w:rPr>
        <w:t>26</w:t>
      </w:r>
      <w:r w:rsidR="00CC55C0" w:rsidRPr="00CC55C0">
        <w:rPr>
          <w:noProof/>
        </w:rPr>
        <w:t> </w:t>
      </w:r>
      <w:r w:rsidRPr="00CC55C0">
        <w:rPr>
          <w:noProof/>
        </w:rPr>
        <w:t>r.</w:t>
      </w:r>
      <w:r w:rsidRPr="0071228C">
        <w:rPr>
          <w:noProof/>
        </w:rPr>
        <w:t xml:space="preserve">: dostosowanie repozytorium danych dotyczących jakości powietrza prowadzonego przez </w:t>
      </w:r>
      <w:r w:rsidRPr="0071228C">
        <w:rPr>
          <w:b/>
          <w:noProof/>
        </w:rPr>
        <w:t>EEA</w:t>
      </w:r>
      <w:r w:rsidR="00CC55C0" w:rsidRPr="0071228C">
        <w:rPr>
          <w:noProof/>
        </w:rPr>
        <w:t xml:space="preserve"> w</w:t>
      </w:r>
      <w:r w:rsidR="00CC55C0">
        <w:rPr>
          <w:noProof/>
        </w:rPr>
        <w:t> </w:t>
      </w:r>
      <w:r w:rsidR="00CC55C0" w:rsidRPr="0071228C">
        <w:rPr>
          <w:noProof/>
        </w:rPr>
        <w:t>cel</w:t>
      </w:r>
      <w:r w:rsidRPr="0071228C">
        <w:rPr>
          <w:noProof/>
        </w:rPr>
        <w:t>u uwzględnienia dodatkowych danych przekazywanych</w:t>
      </w:r>
      <w:r w:rsidR="00CC55C0" w:rsidRPr="0071228C">
        <w:rPr>
          <w:noProof/>
        </w:rPr>
        <w:t xml:space="preserve"> w</w:t>
      </w:r>
      <w:r w:rsidR="00CC55C0">
        <w:rPr>
          <w:noProof/>
        </w:rPr>
        <w:t> </w:t>
      </w:r>
      <w:r w:rsidR="00CC55C0" w:rsidRPr="0071228C">
        <w:rPr>
          <w:noProof/>
        </w:rPr>
        <w:t>ram</w:t>
      </w:r>
      <w:r w:rsidRPr="0071228C">
        <w:rPr>
          <w:noProof/>
        </w:rPr>
        <w:t xml:space="preserve">ach sprawozdawczości krajowej </w:t>
      </w:r>
    </w:p>
    <w:p w14:paraId="1CCDB954" w14:textId="444E3F62" w:rsidR="001C0111" w:rsidRPr="0071228C" w:rsidRDefault="001C0111" w:rsidP="001C0111">
      <w:pPr>
        <w:pBdr>
          <w:top w:val="single" w:sz="4" w:space="1" w:color="auto"/>
          <w:left w:val="single" w:sz="4" w:space="4" w:color="auto"/>
          <w:bottom w:val="single" w:sz="4" w:space="1" w:color="auto"/>
          <w:right w:val="single" w:sz="4" w:space="4" w:color="auto"/>
        </w:pBdr>
        <w:ind w:left="850"/>
        <w:jc w:val="left"/>
        <w:rPr>
          <w:noProof/>
          <w:u w:val="single"/>
        </w:rPr>
      </w:pPr>
      <w:r w:rsidRPr="0071228C">
        <w:rPr>
          <w:noProof/>
        </w:rPr>
        <w:t>IV kwartał 20</w:t>
      </w:r>
      <w:r w:rsidRPr="00CC55C0">
        <w:rPr>
          <w:noProof/>
        </w:rPr>
        <w:t>28</w:t>
      </w:r>
      <w:r w:rsidR="00CC55C0" w:rsidRPr="00CC55C0">
        <w:rPr>
          <w:noProof/>
        </w:rPr>
        <w:t> </w:t>
      </w:r>
      <w:r w:rsidRPr="00CC55C0">
        <w:rPr>
          <w:noProof/>
        </w:rPr>
        <w:t>r.</w:t>
      </w:r>
      <w:r w:rsidRPr="0071228C">
        <w:rPr>
          <w:noProof/>
        </w:rPr>
        <w:t xml:space="preserve"> (szacunkowo): pierwsza runda składania sprawozdań na temat zmienionych planów ochrony powietrza</w:t>
      </w:r>
      <w:r w:rsidR="00CC55C0" w:rsidRPr="0071228C">
        <w:rPr>
          <w:noProof/>
        </w:rPr>
        <w:t xml:space="preserve"> w</w:t>
      </w:r>
      <w:r w:rsidR="00CC55C0">
        <w:rPr>
          <w:noProof/>
        </w:rPr>
        <w:t> </w:t>
      </w:r>
      <w:r w:rsidR="00CC55C0" w:rsidRPr="0071228C">
        <w:rPr>
          <w:noProof/>
        </w:rPr>
        <w:t>cel</w:t>
      </w:r>
      <w:r w:rsidRPr="0071228C">
        <w:rPr>
          <w:noProof/>
        </w:rPr>
        <w:t>u przeciwdziałania ryzyku przekroczenia zmienionych norm jakości powietrza</w:t>
      </w:r>
      <w:r w:rsidR="00CC55C0" w:rsidRPr="0071228C">
        <w:rPr>
          <w:noProof/>
        </w:rPr>
        <w:t xml:space="preserve"> w</w:t>
      </w:r>
      <w:r w:rsidR="00CC55C0">
        <w:rPr>
          <w:noProof/>
        </w:rPr>
        <w:t> </w:t>
      </w:r>
      <w:r w:rsidR="00CC55C0" w:rsidRPr="0071228C">
        <w:rPr>
          <w:noProof/>
        </w:rPr>
        <w:t>2</w:t>
      </w:r>
      <w:r w:rsidRPr="0071228C">
        <w:rPr>
          <w:noProof/>
        </w:rPr>
        <w:t xml:space="preserve">030 roku (raport dla </w:t>
      </w:r>
      <w:r w:rsidRPr="0071228C">
        <w:rPr>
          <w:b/>
          <w:noProof/>
        </w:rPr>
        <w:t>EEA</w:t>
      </w:r>
      <w:r w:rsidRPr="0071228C">
        <w:rPr>
          <w:noProof/>
        </w:rPr>
        <w:t>)</w:t>
      </w:r>
      <w:bookmarkEnd w:id="24"/>
      <w:r w:rsidRPr="0071228C">
        <w:rPr>
          <w:noProof/>
        </w:rPr>
        <w:t>.</w:t>
      </w:r>
    </w:p>
    <w:p w14:paraId="1B4B9CAA" w14:textId="5A3B7624" w:rsidR="001C0111" w:rsidRPr="0071228C" w:rsidRDefault="001C0111" w:rsidP="002A2DB0">
      <w:pPr>
        <w:keepNext/>
        <w:outlineLvl w:val="2"/>
        <w:rPr>
          <w:rFonts w:eastAsiaTheme="majorEastAsia"/>
          <w:i/>
          <w:noProof/>
          <w:szCs w:val="24"/>
        </w:rPr>
      </w:pPr>
      <w:bookmarkStart w:id="25" w:name="_Toc514938029"/>
      <w:bookmarkStart w:id="26" w:name="_Toc520485036"/>
      <w:r w:rsidRPr="0071228C">
        <w:rPr>
          <w:i/>
          <w:noProof/>
        </w:rPr>
        <w:t>Wartość dodana</w:t>
      </w:r>
      <w:r w:rsidR="00CC55C0" w:rsidRPr="0071228C">
        <w:rPr>
          <w:i/>
          <w:noProof/>
        </w:rPr>
        <w:t xml:space="preserve"> z</w:t>
      </w:r>
      <w:r w:rsidR="00CC55C0">
        <w:rPr>
          <w:i/>
          <w:noProof/>
        </w:rPr>
        <w:t> </w:t>
      </w:r>
      <w:r w:rsidR="00CC55C0" w:rsidRPr="0071228C">
        <w:rPr>
          <w:i/>
          <w:noProof/>
        </w:rPr>
        <w:t>tyt</w:t>
      </w:r>
      <w:r w:rsidRPr="0071228C">
        <w:rPr>
          <w:i/>
          <w:noProof/>
        </w:rPr>
        <w:t>ułu zaangażowania Unii Europejskiej (może wynikać</w:t>
      </w:r>
      <w:r w:rsidR="00CC55C0" w:rsidRPr="0071228C">
        <w:rPr>
          <w:i/>
          <w:noProof/>
        </w:rPr>
        <w:t xml:space="preserve"> z</w:t>
      </w:r>
      <w:r w:rsidR="00CC55C0">
        <w:rPr>
          <w:i/>
          <w:noProof/>
        </w:rPr>
        <w:t> </w:t>
      </w:r>
      <w:r w:rsidR="00CC55C0" w:rsidRPr="0071228C">
        <w:rPr>
          <w:i/>
          <w:noProof/>
        </w:rPr>
        <w:t>róż</w:t>
      </w:r>
      <w:r w:rsidRPr="0071228C">
        <w:rPr>
          <w:i/>
          <w:noProof/>
        </w:rPr>
        <w:t>nych czynników, na przykład korzyści koordynacyjnych, pewności prawa, większej efektywności lub komplementarności). Na potrzeby tego punktu „wartość dodaną</w:t>
      </w:r>
      <w:r w:rsidR="00CC55C0" w:rsidRPr="0071228C">
        <w:rPr>
          <w:i/>
          <w:noProof/>
        </w:rPr>
        <w:t xml:space="preserve"> z</w:t>
      </w:r>
      <w:r w:rsidR="00CC55C0">
        <w:rPr>
          <w:i/>
          <w:noProof/>
        </w:rPr>
        <w:t> </w:t>
      </w:r>
      <w:r w:rsidR="00CC55C0" w:rsidRPr="0071228C">
        <w:rPr>
          <w:i/>
          <w:noProof/>
        </w:rPr>
        <w:t>tyt</w:t>
      </w:r>
      <w:r w:rsidRPr="0071228C">
        <w:rPr>
          <w:i/>
          <w:noProof/>
        </w:rPr>
        <w:t>ułu zaangażowania Unii” należy rozumieć jako wartość wynikającą</w:t>
      </w:r>
      <w:r w:rsidR="00CC55C0" w:rsidRPr="0071228C">
        <w:rPr>
          <w:i/>
          <w:noProof/>
        </w:rPr>
        <w:t xml:space="preserve"> z</w:t>
      </w:r>
      <w:r w:rsidR="00CC55C0">
        <w:rPr>
          <w:i/>
          <w:noProof/>
        </w:rPr>
        <w:t> </w:t>
      </w:r>
      <w:r w:rsidR="00CC55C0" w:rsidRPr="0071228C">
        <w:rPr>
          <w:i/>
          <w:noProof/>
        </w:rPr>
        <w:t>uni</w:t>
      </w:r>
      <w:r w:rsidRPr="0071228C">
        <w:rPr>
          <w:i/>
          <w:noProof/>
        </w:rPr>
        <w:t>jnej interwencji, wykraczającą poza wartość, która zostałaby wytworzona przez same państwa członkowskie.</w:t>
      </w:r>
      <w:bookmarkEnd w:id="25"/>
      <w:bookmarkEnd w:id="26"/>
    </w:p>
    <w:p w14:paraId="3EC5F4BC"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7" w:name="_Toc514938030"/>
      <w:bookmarkStart w:id="28" w:name="_Toc520485037"/>
      <w:r w:rsidRPr="0071228C">
        <w:rPr>
          <w:noProof/>
          <w:u w:val="single"/>
        </w:rPr>
        <w:t xml:space="preserve">Zintegrowana gospodarka wodna: </w:t>
      </w:r>
    </w:p>
    <w:p w14:paraId="4B4A9501" w14:textId="07F0287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Części wód podziemnych</w:t>
      </w:r>
      <w:r w:rsidR="00CC55C0" w:rsidRPr="0071228C">
        <w:rPr>
          <w:noProof/>
        </w:rPr>
        <w:t xml:space="preserve"> i</w:t>
      </w:r>
      <w:r w:rsidR="00CC55C0">
        <w:rPr>
          <w:noProof/>
        </w:rPr>
        <w:t> </w:t>
      </w:r>
      <w:r w:rsidR="00CC55C0" w:rsidRPr="0071228C">
        <w:rPr>
          <w:noProof/>
        </w:rPr>
        <w:t>pow</w:t>
      </w:r>
      <w:r w:rsidRPr="0071228C">
        <w:rPr>
          <w:noProof/>
        </w:rPr>
        <w:t>ierzchniowych w UE są zanieczyszczone przez wiele różnych substancji zanieczyszczających</w:t>
      </w:r>
      <w:r w:rsidR="00CC55C0" w:rsidRPr="0071228C">
        <w:rPr>
          <w:noProof/>
        </w:rPr>
        <w:t>. Z</w:t>
      </w:r>
      <w:r w:rsidR="00CC55C0">
        <w:rPr>
          <w:noProof/>
        </w:rPr>
        <w:t> </w:t>
      </w:r>
      <w:r w:rsidR="00CC55C0" w:rsidRPr="0071228C">
        <w:rPr>
          <w:noProof/>
        </w:rPr>
        <w:t>uwa</w:t>
      </w:r>
      <w:r w:rsidRPr="0071228C">
        <w:rPr>
          <w:noProof/>
        </w:rPr>
        <w:t>gi na przemieszczanie się zanieczyszczeń</w:t>
      </w:r>
      <w:r w:rsidR="00CC55C0" w:rsidRPr="0071228C">
        <w:rPr>
          <w:noProof/>
        </w:rPr>
        <w:t xml:space="preserve"> w</w:t>
      </w:r>
      <w:r w:rsidR="00CC55C0">
        <w:rPr>
          <w:noProof/>
        </w:rPr>
        <w:t> </w:t>
      </w:r>
      <w:r w:rsidR="00CC55C0" w:rsidRPr="0071228C">
        <w:rPr>
          <w:noProof/>
        </w:rPr>
        <w:t>kie</w:t>
      </w:r>
      <w:r w:rsidRPr="0071228C">
        <w:rPr>
          <w:noProof/>
        </w:rPr>
        <w:t>runku ujścia rzeki</w:t>
      </w:r>
      <w:r w:rsidR="00CC55C0" w:rsidRPr="0071228C">
        <w:rPr>
          <w:noProof/>
        </w:rPr>
        <w:t xml:space="preserve"> i</w:t>
      </w:r>
      <w:r w:rsidR="00CC55C0">
        <w:rPr>
          <w:noProof/>
        </w:rPr>
        <w:t> </w:t>
      </w:r>
      <w:r w:rsidR="00CC55C0" w:rsidRPr="0071228C">
        <w:rPr>
          <w:noProof/>
        </w:rPr>
        <w:t>fak</w:t>
      </w:r>
      <w:r w:rsidRPr="0071228C">
        <w:rPr>
          <w:noProof/>
        </w:rPr>
        <w:t>t, że 6</w:t>
      </w:r>
      <w:r w:rsidRPr="00CC55C0">
        <w:rPr>
          <w:noProof/>
        </w:rPr>
        <w:t>0</w:t>
      </w:r>
      <w:r w:rsidR="00CC55C0" w:rsidRPr="00CC55C0">
        <w:rPr>
          <w:noProof/>
        </w:rPr>
        <w:t> </w:t>
      </w:r>
      <w:r w:rsidRPr="00CC55C0">
        <w:rPr>
          <w:noProof/>
        </w:rPr>
        <w:t>%</w:t>
      </w:r>
      <w:r w:rsidRPr="0071228C">
        <w:rPr>
          <w:noProof/>
        </w:rPr>
        <w:t xml:space="preserve"> europejskich obszarów dorzecza stanowią obszary międzynarodowe, współpraca między państwami członkowskimi ma zasadnicze znaczenie, przy czym podjęcie działań na szczeblu UE jest konieczne, aby przeciwdziałać zanieczyszczeniom</w:t>
      </w:r>
      <w:r w:rsidR="00CC55C0" w:rsidRPr="0071228C">
        <w:rPr>
          <w:noProof/>
        </w:rPr>
        <w:t xml:space="preserve"> i</w:t>
      </w:r>
      <w:r w:rsidR="00CC55C0">
        <w:rPr>
          <w:noProof/>
        </w:rPr>
        <w:t> </w:t>
      </w:r>
      <w:r w:rsidR="00CC55C0" w:rsidRPr="0071228C">
        <w:rPr>
          <w:noProof/>
        </w:rPr>
        <w:t>inn</w:t>
      </w:r>
      <w:r w:rsidRPr="0071228C">
        <w:rPr>
          <w:noProof/>
        </w:rPr>
        <w:t>ym transgranicznym skutkom poprzez ustanowienie norm zharmonizowanych oraz zharmonizowanych systemów zbierania</w:t>
      </w:r>
      <w:r w:rsidR="00CC55C0" w:rsidRPr="0071228C">
        <w:rPr>
          <w:noProof/>
        </w:rPr>
        <w:t xml:space="preserve"> i</w:t>
      </w:r>
      <w:r w:rsidR="00CC55C0">
        <w:rPr>
          <w:noProof/>
        </w:rPr>
        <w:t> </w:t>
      </w:r>
      <w:r w:rsidR="00CC55C0" w:rsidRPr="0071228C">
        <w:rPr>
          <w:noProof/>
        </w:rPr>
        <w:t>udo</w:t>
      </w:r>
      <w:r w:rsidRPr="0071228C">
        <w:rPr>
          <w:noProof/>
        </w:rPr>
        <w:t>stępniania danych między państwami członkowskimi. Ważne jest również zwiększenie przejrzystości danych dotyczących chemikaliów</w:t>
      </w:r>
      <w:r w:rsidR="00CC55C0" w:rsidRPr="0071228C">
        <w:rPr>
          <w:noProof/>
        </w:rPr>
        <w:t xml:space="preserve"> i</w:t>
      </w:r>
      <w:r w:rsidR="00CC55C0">
        <w:rPr>
          <w:noProof/>
        </w:rPr>
        <w:t> </w:t>
      </w:r>
      <w:r w:rsidR="00CC55C0" w:rsidRPr="0071228C">
        <w:rPr>
          <w:noProof/>
        </w:rPr>
        <w:t>umo</w:t>
      </w:r>
      <w:r w:rsidRPr="0071228C">
        <w:rPr>
          <w:noProof/>
        </w:rPr>
        <w:t>żliwienie ich wykorzystania przez Komisję</w:t>
      </w:r>
      <w:r w:rsidR="00CC55C0" w:rsidRPr="0071228C">
        <w:rPr>
          <w:noProof/>
        </w:rPr>
        <w:t xml:space="preserve"> i</w:t>
      </w:r>
      <w:r w:rsidR="00CC55C0">
        <w:rPr>
          <w:noProof/>
        </w:rPr>
        <w:t> </w:t>
      </w:r>
      <w:r w:rsidR="00CC55C0" w:rsidRPr="0071228C">
        <w:rPr>
          <w:noProof/>
        </w:rPr>
        <w:t>jej</w:t>
      </w:r>
      <w:r w:rsidRPr="0071228C">
        <w:rPr>
          <w:noProof/>
        </w:rPr>
        <w:t xml:space="preserve"> agencje,</w:t>
      </w:r>
      <w:r w:rsidR="00CC55C0" w:rsidRPr="0071228C">
        <w:rPr>
          <w:noProof/>
        </w:rPr>
        <w:t xml:space="preserve"> w</w:t>
      </w:r>
      <w:r w:rsidR="00CC55C0">
        <w:rPr>
          <w:noProof/>
        </w:rPr>
        <w:t> </w:t>
      </w:r>
      <w:r w:rsidR="00CC55C0" w:rsidRPr="0071228C">
        <w:rPr>
          <w:noProof/>
        </w:rPr>
        <w:t>szc</w:t>
      </w:r>
      <w:r w:rsidRPr="0071228C">
        <w:rPr>
          <w:noProof/>
        </w:rPr>
        <w:t>zególności EEA i ECHA,</w:t>
      </w:r>
      <w:r w:rsidR="00CC55C0" w:rsidRPr="0071228C">
        <w:rPr>
          <w:noProof/>
        </w:rPr>
        <w:t xml:space="preserve"> w</w:t>
      </w:r>
      <w:r w:rsidR="00CC55C0">
        <w:rPr>
          <w:noProof/>
        </w:rPr>
        <w:t> </w:t>
      </w:r>
      <w:r w:rsidR="00CC55C0" w:rsidRPr="0071228C">
        <w:rPr>
          <w:noProof/>
        </w:rPr>
        <w:t>cel</w:t>
      </w:r>
      <w:r w:rsidRPr="0071228C">
        <w:rPr>
          <w:noProof/>
        </w:rPr>
        <w:t>u pogłębienia wiedzy naukowej umożliwiającej dalsze ukierunkowanie działania</w:t>
      </w:r>
      <w:r w:rsidR="00CC55C0" w:rsidRPr="0071228C">
        <w:rPr>
          <w:noProof/>
        </w:rPr>
        <w:t xml:space="preserve"> i</w:t>
      </w:r>
      <w:r w:rsidR="00CC55C0">
        <w:rPr>
          <w:noProof/>
        </w:rPr>
        <w:t> </w:t>
      </w:r>
      <w:r w:rsidR="00CC55C0" w:rsidRPr="0071228C">
        <w:rPr>
          <w:noProof/>
        </w:rPr>
        <w:t>egz</w:t>
      </w:r>
      <w:r w:rsidRPr="0071228C">
        <w:rPr>
          <w:noProof/>
        </w:rPr>
        <w:t xml:space="preserve">ekwowanie przepisów. </w:t>
      </w:r>
    </w:p>
    <w:p w14:paraId="074336DC" w14:textId="566AF2F4"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Bez działań na szczeblu UE eliminowanie zanieczyszczeń może okazać się niezwykle kosztowne, zwłaszcza dla państw członkowskich położonych</w:t>
      </w:r>
      <w:r w:rsidR="00CC55C0" w:rsidRPr="0071228C">
        <w:rPr>
          <w:noProof/>
        </w:rPr>
        <w:t xml:space="preserve"> w</w:t>
      </w:r>
      <w:r w:rsidR="00CC55C0">
        <w:rPr>
          <w:noProof/>
        </w:rPr>
        <w:t> </w:t>
      </w:r>
      <w:r w:rsidR="00CC55C0" w:rsidRPr="0071228C">
        <w:rPr>
          <w:noProof/>
        </w:rPr>
        <w:t>dol</w:t>
      </w:r>
      <w:r w:rsidRPr="0071228C">
        <w:rPr>
          <w:noProof/>
        </w:rPr>
        <w:t xml:space="preserve">nym biegu rzeki. </w:t>
      </w:r>
    </w:p>
    <w:p w14:paraId="389C5430" w14:textId="5F8A48A5"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Normy zharmonizowane zapewnią lepszą ochronę środowiska</w:t>
      </w:r>
      <w:r w:rsidR="00CC55C0" w:rsidRPr="0071228C">
        <w:rPr>
          <w:noProof/>
        </w:rPr>
        <w:t xml:space="preserve"> i</w:t>
      </w:r>
      <w:r w:rsidR="00CC55C0">
        <w:rPr>
          <w:noProof/>
        </w:rPr>
        <w:t> </w:t>
      </w:r>
      <w:r w:rsidR="00CC55C0" w:rsidRPr="0071228C">
        <w:rPr>
          <w:noProof/>
        </w:rPr>
        <w:t>zdr</w:t>
      </w:r>
      <w:r w:rsidRPr="0071228C">
        <w:rPr>
          <w:noProof/>
        </w:rPr>
        <w:t>owia ludzkiego, opłacalne</w:t>
      </w:r>
      <w:r w:rsidR="00CC55C0" w:rsidRPr="0071228C">
        <w:rPr>
          <w:noProof/>
        </w:rPr>
        <w:t xml:space="preserve"> i</w:t>
      </w:r>
      <w:r w:rsidR="00CC55C0">
        <w:rPr>
          <w:noProof/>
        </w:rPr>
        <w:t> </w:t>
      </w:r>
      <w:r w:rsidR="00CC55C0" w:rsidRPr="0071228C">
        <w:rPr>
          <w:noProof/>
        </w:rPr>
        <w:t>pro</w:t>
      </w:r>
      <w:r w:rsidRPr="0071228C">
        <w:rPr>
          <w:noProof/>
        </w:rPr>
        <w:t>porcjonalne działania państw członkowskich oraz równe warunki działania</w:t>
      </w:r>
      <w:r w:rsidR="00CC55C0" w:rsidRPr="0071228C">
        <w:rPr>
          <w:noProof/>
        </w:rPr>
        <w:t xml:space="preserve"> w</w:t>
      </w:r>
      <w:r w:rsidR="00CC55C0">
        <w:rPr>
          <w:noProof/>
        </w:rPr>
        <w:t> </w:t>
      </w:r>
      <w:r w:rsidR="00CC55C0" w:rsidRPr="0071228C">
        <w:rPr>
          <w:noProof/>
        </w:rPr>
        <w:t>zak</w:t>
      </w:r>
      <w:r w:rsidRPr="0071228C">
        <w:rPr>
          <w:noProof/>
        </w:rPr>
        <w:t xml:space="preserve">resie zapobiegania potencjalnym oddziaływaniom na jednolite części wód w UE. </w:t>
      </w:r>
    </w:p>
    <w:p w14:paraId="60568D1A" w14:textId="129294B2"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Bardziej regularna wymiana danych dotyczących monitorowania</w:t>
      </w:r>
      <w:r w:rsidR="00CC55C0" w:rsidRPr="0071228C">
        <w:rPr>
          <w:noProof/>
        </w:rPr>
        <w:t xml:space="preserve"> i</w:t>
      </w:r>
      <w:r w:rsidR="00CC55C0">
        <w:rPr>
          <w:noProof/>
        </w:rPr>
        <w:t> </w:t>
      </w:r>
      <w:r w:rsidR="00CC55C0" w:rsidRPr="0071228C">
        <w:rPr>
          <w:noProof/>
        </w:rPr>
        <w:t>sta</w:t>
      </w:r>
      <w:r w:rsidRPr="0071228C">
        <w:rPr>
          <w:noProof/>
        </w:rPr>
        <w:t>nu przy użyciu zautomatyzowanych mechanizmów wymiany danych umożliwi częstsze</w:t>
      </w:r>
      <w:r w:rsidR="00CC55C0" w:rsidRPr="0071228C">
        <w:rPr>
          <w:noProof/>
        </w:rPr>
        <w:t xml:space="preserve"> i</w:t>
      </w:r>
      <w:r w:rsidR="00CC55C0">
        <w:rPr>
          <w:noProof/>
        </w:rPr>
        <w:t> </w:t>
      </w:r>
      <w:r w:rsidR="00CC55C0" w:rsidRPr="0071228C">
        <w:rPr>
          <w:noProof/>
        </w:rPr>
        <w:t>bar</w:t>
      </w:r>
      <w:r w:rsidRPr="0071228C">
        <w:rPr>
          <w:noProof/>
        </w:rPr>
        <w:t>dziej ukierunkowane kontrole oraz lepsze przygotowanie na rozwiązywanie potencjalnych nowych problemów. Dostęp do udoskonalonych baz danych przyczyni się do poprawy spójności ocen</w:t>
      </w:r>
      <w:r w:rsidR="00CC55C0" w:rsidRPr="0071228C">
        <w:rPr>
          <w:noProof/>
        </w:rPr>
        <w:t xml:space="preserve"> i</w:t>
      </w:r>
      <w:r w:rsidR="00CC55C0">
        <w:rPr>
          <w:noProof/>
        </w:rPr>
        <w:t> </w:t>
      </w:r>
      <w:r w:rsidR="00CC55C0" w:rsidRPr="0071228C">
        <w:rPr>
          <w:noProof/>
        </w:rPr>
        <w:t>wdr</w:t>
      </w:r>
      <w:r w:rsidRPr="0071228C">
        <w:rPr>
          <w:noProof/>
        </w:rPr>
        <w:t>ażania przepisów</w:t>
      </w:r>
      <w:r w:rsidR="00CC55C0" w:rsidRPr="0071228C">
        <w:rPr>
          <w:noProof/>
        </w:rPr>
        <w:t xml:space="preserve"> w</w:t>
      </w:r>
      <w:r w:rsidR="00CC55C0">
        <w:rPr>
          <w:noProof/>
        </w:rPr>
        <w:t> </w:t>
      </w:r>
      <w:r w:rsidR="00CC55C0" w:rsidRPr="0071228C">
        <w:rPr>
          <w:noProof/>
        </w:rPr>
        <w:t>cał</w:t>
      </w:r>
      <w:r w:rsidRPr="0071228C">
        <w:rPr>
          <w:noProof/>
        </w:rPr>
        <w:t xml:space="preserve">ym prawodawstwie. </w:t>
      </w:r>
    </w:p>
    <w:p w14:paraId="73700C36" w14:textId="3483CC7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EEA będzie centralizować dane, przetwarzać je</w:t>
      </w:r>
      <w:r w:rsidR="00CC55C0" w:rsidRPr="0071228C">
        <w:rPr>
          <w:noProof/>
        </w:rPr>
        <w:t xml:space="preserve"> i</w:t>
      </w:r>
      <w:r w:rsidR="00CC55C0">
        <w:rPr>
          <w:noProof/>
        </w:rPr>
        <w:t> </w:t>
      </w:r>
      <w:r w:rsidR="00CC55C0" w:rsidRPr="0071228C">
        <w:rPr>
          <w:noProof/>
        </w:rPr>
        <w:t>udo</w:t>
      </w:r>
      <w:r w:rsidRPr="0071228C">
        <w:rPr>
          <w:noProof/>
        </w:rPr>
        <w:t>stępniać do ponownego wykorzystania</w:t>
      </w:r>
      <w:r w:rsidR="00CC55C0" w:rsidRPr="0071228C">
        <w:rPr>
          <w:noProof/>
        </w:rPr>
        <w:t xml:space="preserve"> w</w:t>
      </w:r>
      <w:r w:rsidR="00CC55C0">
        <w:rPr>
          <w:noProof/>
        </w:rPr>
        <w:t> </w:t>
      </w:r>
      <w:r w:rsidR="00CC55C0" w:rsidRPr="0071228C">
        <w:rPr>
          <w:noProof/>
        </w:rPr>
        <w:t>cel</w:t>
      </w:r>
      <w:r w:rsidRPr="0071228C">
        <w:rPr>
          <w:noProof/>
        </w:rPr>
        <w:t>u kształtowania</w:t>
      </w:r>
      <w:r w:rsidR="00CC55C0" w:rsidRPr="0071228C">
        <w:rPr>
          <w:noProof/>
        </w:rPr>
        <w:t xml:space="preserve"> i</w:t>
      </w:r>
      <w:r w:rsidR="00CC55C0">
        <w:rPr>
          <w:noProof/>
        </w:rPr>
        <w:t> </w:t>
      </w:r>
      <w:r w:rsidR="00CC55C0" w:rsidRPr="0071228C">
        <w:rPr>
          <w:noProof/>
        </w:rPr>
        <w:t>rea</w:t>
      </w:r>
      <w:r w:rsidRPr="0071228C">
        <w:rPr>
          <w:noProof/>
        </w:rPr>
        <w:t>lizowania polityki. ECHA zapewni wsparcie naukowe</w:t>
      </w:r>
      <w:r w:rsidR="00CC55C0" w:rsidRPr="0071228C">
        <w:rPr>
          <w:noProof/>
        </w:rPr>
        <w:t xml:space="preserve"> w</w:t>
      </w:r>
      <w:r w:rsidR="00CC55C0">
        <w:rPr>
          <w:noProof/>
        </w:rPr>
        <w:t> </w:t>
      </w:r>
      <w:r w:rsidR="00CC55C0" w:rsidRPr="0071228C">
        <w:rPr>
          <w:noProof/>
        </w:rPr>
        <w:t>opa</w:t>
      </w:r>
      <w:r w:rsidRPr="0071228C">
        <w:rPr>
          <w:noProof/>
        </w:rPr>
        <w:t>rciu</w:t>
      </w:r>
      <w:r w:rsidR="00CC55C0" w:rsidRPr="0071228C">
        <w:rPr>
          <w:noProof/>
        </w:rPr>
        <w:t xml:space="preserve"> o</w:t>
      </w:r>
      <w:r w:rsidR="00CC55C0">
        <w:rPr>
          <w:noProof/>
        </w:rPr>
        <w:t> </w:t>
      </w:r>
      <w:r w:rsidR="00CC55C0" w:rsidRPr="0071228C">
        <w:rPr>
          <w:noProof/>
        </w:rPr>
        <w:t>cor</w:t>
      </w:r>
      <w:r w:rsidRPr="0071228C">
        <w:rPr>
          <w:noProof/>
        </w:rPr>
        <w:t>az solidniejszą bazę danych naukowych dzięki scentralizowaniu przekrojowych informacji naukowych</w:t>
      </w:r>
      <w:r w:rsidR="00CC55C0" w:rsidRPr="0071228C">
        <w:rPr>
          <w:noProof/>
        </w:rPr>
        <w:t xml:space="preserve"> w</w:t>
      </w:r>
      <w:r w:rsidR="00CC55C0">
        <w:rPr>
          <w:noProof/>
        </w:rPr>
        <w:t> </w:t>
      </w:r>
      <w:r w:rsidR="00CC55C0" w:rsidRPr="0071228C">
        <w:rPr>
          <w:noProof/>
        </w:rPr>
        <w:t>dzi</w:t>
      </w:r>
      <w:r w:rsidRPr="0071228C">
        <w:rPr>
          <w:noProof/>
        </w:rPr>
        <w:t>edzinie chemikaliów oraz usprawnieniu monitorowania</w:t>
      </w:r>
      <w:r w:rsidR="00CC55C0" w:rsidRPr="0071228C">
        <w:rPr>
          <w:noProof/>
        </w:rPr>
        <w:t xml:space="preserve"> i</w:t>
      </w:r>
      <w:r w:rsidR="00CC55C0">
        <w:rPr>
          <w:noProof/>
        </w:rPr>
        <w:t> </w:t>
      </w:r>
      <w:r w:rsidR="00CC55C0" w:rsidRPr="0071228C">
        <w:rPr>
          <w:noProof/>
        </w:rPr>
        <w:t>udo</w:t>
      </w:r>
      <w:r w:rsidRPr="0071228C">
        <w:rPr>
          <w:noProof/>
        </w:rPr>
        <w:t>stępnianiu przez EEA danych dotyczących stanu. Obie agencje będą pełnić kluczową rolę</w:t>
      </w:r>
      <w:r w:rsidR="00CC55C0" w:rsidRPr="0071228C">
        <w:rPr>
          <w:noProof/>
        </w:rPr>
        <w:t xml:space="preserve"> w</w:t>
      </w:r>
      <w:r w:rsidR="00CC55C0">
        <w:rPr>
          <w:noProof/>
        </w:rPr>
        <w:t> </w:t>
      </w:r>
      <w:r w:rsidR="00CC55C0" w:rsidRPr="0071228C">
        <w:rPr>
          <w:noProof/>
        </w:rPr>
        <w:t>dal</w:t>
      </w:r>
      <w:r w:rsidRPr="0071228C">
        <w:rPr>
          <w:noProof/>
        </w:rPr>
        <w:t>szym wdrażaniu prawodawstwa dotyczącego wody, przy czym synergia</w:t>
      </w:r>
      <w:r w:rsidR="00CC55C0" w:rsidRPr="0071228C">
        <w:rPr>
          <w:noProof/>
        </w:rPr>
        <w:t xml:space="preserve"> i</w:t>
      </w:r>
      <w:r w:rsidR="00CC55C0">
        <w:rPr>
          <w:noProof/>
        </w:rPr>
        <w:t> </w:t>
      </w:r>
      <w:r w:rsidR="00CC55C0" w:rsidRPr="0071228C">
        <w:rPr>
          <w:noProof/>
        </w:rPr>
        <w:t>akt</w:t>
      </w:r>
      <w:r w:rsidRPr="0071228C">
        <w:rPr>
          <w:noProof/>
        </w:rPr>
        <w:t>ualne dane naukowe umożliwią szybsze dostosowanie się do nowych problematycznych obszarów,</w:t>
      </w:r>
      <w:r w:rsidR="00CC55C0" w:rsidRPr="0071228C">
        <w:rPr>
          <w:noProof/>
        </w:rPr>
        <w:t xml:space="preserve"> a</w:t>
      </w:r>
      <w:r w:rsidR="00CC55C0">
        <w:rPr>
          <w:noProof/>
        </w:rPr>
        <w:t> </w:t>
      </w:r>
      <w:r w:rsidR="00CC55C0" w:rsidRPr="0071228C">
        <w:rPr>
          <w:noProof/>
        </w:rPr>
        <w:t>tak</w:t>
      </w:r>
      <w:r w:rsidRPr="0071228C">
        <w:rPr>
          <w:noProof/>
        </w:rPr>
        <w:t>że lepszą identyfikację</w:t>
      </w:r>
      <w:r w:rsidR="00CC55C0" w:rsidRPr="0071228C">
        <w:rPr>
          <w:noProof/>
        </w:rPr>
        <w:t xml:space="preserve"> i</w:t>
      </w:r>
      <w:r w:rsidR="00CC55C0">
        <w:rPr>
          <w:noProof/>
        </w:rPr>
        <w:t> </w:t>
      </w:r>
      <w:r w:rsidR="00CC55C0" w:rsidRPr="0071228C">
        <w:rPr>
          <w:noProof/>
        </w:rPr>
        <w:t>hie</w:t>
      </w:r>
      <w:r w:rsidRPr="0071228C">
        <w:rPr>
          <w:noProof/>
        </w:rPr>
        <w:t xml:space="preserve">rarchizację najbardziej opłacalnych środków przeciwdziałania zanieczyszczeniom. </w:t>
      </w:r>
    </w:p>
    <w:p w14:paraId="2C9177CB" w14:textId="2FB2298E"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Z drugiej strony, dzięki wnioskowi nastąpi ogólne zmniejszenie obciążenia administracyjnego</w:t>
      </w:r>
      <w:r w:rsidR="00CC55C0" w:rsidRPr="0071228C">
        <w:rPr>
          <w:noProof/>
        </w:rPr>
        <w:t xml:space="preserve"> w</w:t>
      </w:r>
      <w:r w:rsidR="00CC55C0">
        <w:rPr>
          <w:noProof/>
        </w:rPr>
        <w:t> </w:t>
      </w:r>
      <w:r w:rsidR="00CC55C0" w:rsidRPr="0071228C">
        <w:rPr>
          <w:noProof/>
        </w:rPr>
        <w:t>wyn</w:t>
      </w:r>
      <w:r w:rsidRPr="0071228C">
        <w:rPr>
          <w:noProof/>
        </w:rPr>
        <w:t>iku zniesienia tych obowiązków sprawozdawczych, które okazały się nieskuteczne, tzn. nie przyniosły oczekiwanego usprawnienia procesu wdrażania. Pozostałe obowiązki sprawozdawcze zostały uproszczone</w:t>
      </w:r>
      <w:r w:rsidR="00CC55C0" w:rsidRPr="0071228C">
        <w:rPr>
          <w:noProof/>
        </w:rPr>
        <w:t xml:space="preserve"> i</w:t>
      </w:r>
      <w:r w:rsidR="00CC55C0">
        <w:rPr>
          <w:noProof/>
        </w:rPr>
        <w:t> </w:t>
      </w:r>
      <w:r w:rsidR="00CC55C0" w:rsidRPr="0071228C">
        <w:rPr>
          <w:noProof/>
        </w:rPr>
        <w:t>zap</w:t>
      </w:r>
      <w:r w:rsidRPr="0071228C">
        <w:rPr>
          <w:noProof/>
        </w:rPr>
        <w:t>ewniono ich większą spójność ze sprawozdawczością</w:t>
      </w:r>
      <w:r w:rsidR="00CC55C0" w:rsidRPr="0071228C">
        <w:rPr>
          <w:noProof/>
        </w:rPr>
        <w:t xml:space="preserve"> w</w:t>
      </w:r>
      <w:r w:rsidR="00CC55C0">
        <w:rPr>
          <w:noProof/>
        </w:rPr>
        <w:t> </w:t>
      </w:r>
      <w:r w:rsidR="00CC55C0" w:rsidRPr="0071228C">
        <w:rPr>
          <w:noProof/>
        </w:rPr>
        <w:t>ram</w:t>
      </w:r>
      <w:r w:rsidRPr="0071228C">
        <w:rPr>
          <w:noProof/>
        </w:rPr>
        <w:t xml:space="preserve">ach innych instrumentów. </w:t>
      </w:r>
    </w:p>
    <w:p w14:paraId="63AD6A1B" w14:textId="080CC979"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Wniosek ma ponadto na celu wprowadzenie bardziej efektywnych procedur dostosowywania wykazów substancji</w:t>
      </w:r>
      <w:r w:rsidR="00CC55C0" w:rsidRPr="0071228C">
        <w:rPr>
          <w:noProof/>
        </w:rPr>
        <w:t xml:space="preserve"> i</w:t>
      </w:r>
      <w:r w:rsidR="00CC55C0">
        <w:rPr>
          <w:noProof/>
        </w:rPr>
        <w:t> </w:t>
      </w:r>
      <w:r w:rsidR="00CC55C0" w:rsidRPr="0071228C">
        <w:rPr>
          <w:noProof/>
        </w:rPr>
        <w:t>zwi</w:t>
      </w:r>
      <w:r w:rsidRPr="0071228C">
        <w:rPr>
          <w:noProof/>
        </w:rPr>
        <w:t>ązanych</w:t>
      </w:r>
      <w:r w:rsidR="00CC55C0" w:rsidRPr="0071228C">
        <w:rPr>
          <w:noProof/>
        </w:rPr>
        <w:t xml:space="preserve"> z</w:t>
      </w:r>
      <w:r w:rsidR="00CC55C0">
        <w:rPr>
          <w:noProof/>
        </w:rPr>
        <w:t> </w:t>
      </w:r>
      <w:r w:rsidR="00CC55C0" w:rsidRPr="0071228C">
        <w:rPr>
          <w:noProof/>
        </w:rPr>
        <w:t>nim</w:t>
      </w:r>
      <w:r w:rsidRPr="0071228C">
        <w:rPr>
          <w:noProof/>
        </w:rPr>
        <w:t>i środowiskowych norm jakości do postępu naukowego, przy jednoczesnym zapewnieniu, że procedury te będą oparte na solidnych danych naukowych, na usprawnionej sprawozdawczości</w:t>
      </w:r>
      <w:r w:rsidR="00CC55C0" w:rsidRPr="0071228C">
        <w:rPr>
          <w:noProof/>
        </w:rPr>
        <w:t xml:space="preserve"> i</w:t>
      </w:r>
      <w:r w:rsidR="00CC55C0">
        <w:rPr>
          <w:noProof/>
        </w:rPr>
        <w:t> </w:t>
      </w:r>
      <w:r w:rsidR="00CC55C0" w:rsidRPr="0071228C">
        <w:rPr>
          <w:noProof/>
        </w:rPr>
        <w:t>ści</w:t>
      </w:r>
      <w:r w:rsidRPr="0071228C">
        <w:rPr>
          <w:noProof/>
        </w:rPr>
        <w:t>słej współpracy</w:t>
      </w:r>
      <w:r w:rsidR="00CC55C0" w:rsidRPr="0071228C">
        <w:rPr>
          <w:noProof/>
        </w:rPr>
        <w:t xml:space="preserve"> z</w:t>
      </w:r>
      <w:r w:rsidR="00CC55C0">
        <w:rPr>
          <w:noProof/>
        </w:rPr>
        <w:t> </w:t>
      </w:r>
      <w:r w:rsidR="00CC55C0" w:rsidRPr="0071228C">
        <w:rPr>
          <w:noProof/>
        </w:rPr>
        <w:t>age</w:t>
      </w:r>
      <w:r w:rsidRPr="0071228C">
        <w:rPr>
          <w:noProof/>
        </w:rPr>
        <w:t xml:space="preserve">ncjami. </w:t>
      </w:r>
    </w:p>
    <w:p w14:paraId="0ECC72F7"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54632973"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u w:val="single"/>
        </w:rPr>
        <w:t>Dyrektywa dotycząca oczyszczania ścieków komunalnych:</w:t>
      </w:r>
      <w:r w:rsidRPr="0071228C">
        <w:rPr>
          <w:noProof/>
        </w:rPr>
        <w:tab/>
      </w:r>
    </w:p>
    <w:p w14:paraId="7B39F1B2" w14:textId="6E9AF2F2"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rPr>
        <w:t>Działania UE mają nadal zasadnicze znaczenie dla zapewnienia, aby wszyscy obywatele Unii mogli czerpać korzyści</w:t>
      </w:r>
      <w:r w:rsidR="00CC55C0" w:rsidRPr="0071228C">
        <w:rPr>
          <w:noProof/>
        </w:rPr>
        <w:t xml:space="preserve"> z</w:t>
      </w:r>
      <w:r w:rsidR="00CC55C0">
        <w:rPr>
          <w:noProof/>
        </w:rPr>
        <w:t> </w:t>
      </w:r>
      <w:r w:rsidR="00CC55C0" w:rsidRPr="0071228C">
        <w:rPr>
          <w:noProof/>
        </w:rPr>
        <w:t>pop</w:t>
      </w:r>
      <w:r w:rsidRPr="0071228C">
        <w:rPr>
          <w:noProof/>
        </w:rPr>
        <w:t>rawy jakości wody</w:t>
      </w:r>
      <w:r w:rsidR="00CC55C0" w:rsidRPr="0071228C">
        <w:rPr>
          <w:noProof/>
        </w:rPr>
        <w:t xml:space="preserve"> w</w:t>
      </w:r>
      <w:r w:rsidR="00CC55C0">
        <w:rPr>
          <w:noProof/>
        </w:rPr>
        <w:t> </w:t>
      </w:r>
      <w:r w:rsidR="00CC55C0" w:rsidRPr="0071228C">
        <w:rPr>
          <w:noProof/>
        </w:rPr>
        <w:t>rze</w:t>
      </w:r>
      <w:r w:rsidRPr="0071228C">
        <w:rPr>
          <w:noProof/>
        </w:rPr>
        <w:t>kach, jeziorach, wodach gruntowych</w:t>
      </w:r>
      <w:r w:rsidR="00CC55C0" w:rsidRPr="0071228C">
        <w:rPr>
          <w:noProof/>
        </w:rPr>
        <w:t xml:space="preserve"> i</w:t>
      </w:r>
      <w:r w:rsidR="00CC55C0">
        <w:rPr>
          <w:noProof/>
        </w:rPr>
        <w:t> </w:t>
      </w:r>
      <w:r w:rsidR="00CC55C0" w:rsidRPr="0071228C">
        <w:rPr>
          <w:noProof/>
        </w:rPr>
        <w:t>mor</w:t>
      </w:r>
      <w:r w:rsidRPr="0071228C">
        <w:rPr>
          <w:noProof/>
        </w:rPr>
        <w:t>zach</w:t>
      </w:r>
      <w:r w:rsidR="00CC55C0" w:rsidRPr="0071228C">
        <w:rPr>
          <w:noProof/>
        </w:rPr>
        <w:t>. Z</w:t>
      </w:r>
      <w:r w:rsidR="00CC55C0">
        <w:rPr>
          <w:noProof/>
        </w:rPr>
        <w:t> </w:t>
      </w:r>
      <w:r w:rsidR="00CC55C0" w:rsidRPr="0071228C">
        <w:rPr>
          <w:noProof/>
        </w:rPr>
        <w:t>uwa</w:t>
      </w:r>
      <w:r w:rsidRPr="0071228C">
        <w:rPr>
          <w:noProof/>
        </w:rPr>
        <w:t>gi na to, że 6</w:t>
      </w:r>
      <w:r w:rsidRPr="00CC55C0">
        <w:rPr>
          <w:noProof/>
        </w:rPr>
        <w:t>0</w:t>
      </w:r>
      <w:r w:rsidR="00CC55C0" w:rsidRPr="00CC55C0">
        <w:rPr>
          <w:noProof/>
        </w:rPr>
        <w:t> </w:t>
      </w:r>
      <w:r w:rsidRPr="00CC55C0">
        <w:rPr>
          <w:noProof/>
        </w:rPr>
        <w:t>%</w:t>
      </w:r>
      <w:r w:rsidRPr="0071228C">
        <w:rPr>
          <w:noProof/>
        </w:rPr>
        <w:t xml:space="preserve"> jednolitych części wód w UE ma charakter transgraniczny, konieczne jest zapewnianie jednakowego poziomu ochrony wszędzie</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tym</w:t>
      </w:r>
      <w:r w:rsidRPr="0071228C">
        <w:rPr>
          <w:noProof/>
        </w:rPr>
        <w:t xml:space="preserve"> samym tempie, aby uniknąć ryzyka zniweczenia działań podejmowanych przez niektóre państwa członkowskie</w:t>
      </w:r>
      <w:r w:rsidR="00CC55C0" w:rsidRPr="0071228C">
        <w:rPr>
          <w:noProof/>
        </w:rPr>
        <w:t xml:space="preserve"> z</w:t>
      </w:r>
      <w:r w:rsidR="00CC55C0">
        <w:rPr>
          <w:noProof/>
        </w:rPr>
        <w:t> </w:t>
      </w:r>
      <w:r w:rsidR="00CC55C0" w:rsidRPr="0071228C">
        <w:rPr>
          <w:noProof/>
        </w:rPr>
        <w:t>pow</w:t>
      </w:r>
      <w:r w:rsidRPr="0071228C">
        <w:rPr>
          <w:noProof/>
        </w:rPr>
        <w:t>odu braku postępów</w:t>
      </w:r>
      <w:r w:rsidR="00CC55C0" w:rsidRPr="0071228C">
        <w:rPr>
          <w:noProof/>
        </w:rPr>
        <w:t xml:space="preserve"> w</w:t>
      </w:r>
      <w:r w:rsidR="00CC55C0">
        <w:rPr>
          <w:noProof/>
        </w:rPr>
        <w:t> </w:t>
      </w:r>
      <w:r w:rsidR="00CC55C0" w:rsidRPr="0071228C">
        <w:rPr>
          <w:noProof/>
        </w:rPr>
        <w:t>inn</w:t>
      </w:r>
      <w:r w:rsidRPr="0071228C">
        <w:rPr>
          <w:noProof/>
        </w:rPr>
        <w:t>ych państwach. Ocena sprawności</w:t>
      </w:r>
      <w:r w:rsidR="00CC55C0" w:rsidRPr="0071228C">
        <w:rPr>
          <w:noProof/>
        </w:rPr>
        <w:t xml:space="preserve"> i</w:t>
      </w:r>
      <w:r w:rsidR="00CC55C0">
        <w:rPr>
          <w:noProof/>
        </w:rPr>
        <w:t> </w:t>
      </w:r>
      <w:r w:rsidR="00CC55C0" w:rsidRPr="0071228C">
        <w:rPr>
          <w:noProof/>
        </w:rPr>
        <w:t>wyd</w:t>
      </w:r>
      <w:r w:rsidRPr="0071228C">
        <w:rPr>
          <w:noProof/>
        </w:rPr>
        <w:t>ajności regulacyjnej (REFIT) wykazała, że</w:t>
      </w:r>
      <w:r w:rsidR="00CC55C0" w:rsidRPr="0071228C">
        <w:rPr>
          <w:noProof/>
        </w:rPr>
        <w:t xml:space="preserve"> w</w:t>
      </w:r>
      <w:r w:rsidR="00CC55C0">
        <w:rPr>
          <w:noProof/>
        </w:rPr>
        <w:t> </w:t>
      </w:r>
      <w:r w:rsidR="00CC55C0" w:rsidRPr="0071228C">
        <w:rPr>
          <w:noProof/>
        </w:rPr>
        <w:t>wię</w:t>
      </w:r>
      <w:r w:rsidRPr="0071228C">
        <w:rPr>
          <w:noProof/>
        </w:rPr>
        <w:t>kszości państw członkowskich dyrektywa była jedynym czynnikiem stymulującym inwestycje</w:t>
      </w:r>
      <w:r w:rsidR="00CC55C0" w:rsidRPr="0071228C">
        <w:rPr>
          <w:noProof/>
        </w:rPr>
        <w:t xml:space="preserve"> w</w:t>
      </w:r>
      <w:r w:rsidR="00CC55C0">
        <w:rPr>
          <w:noProof/>
        </w:rPr>
        <w:t> </w:t>
      </w:r>
      <w:r w:rsidR="00CC55C0" w:rsidRPr="0071228C">
        <w:rPr>
          <w:noProof/>
        </w:rPr>
        <w:t>nie</w:t>
      </w:r>
      <w:r w:rsidRPr="0071228C">
        <w:rPr>
          <w:noProof/>
        </w:rPr>
        <w:t>zbędną infrastrukturę</w:t>
      </w:r>
      <w:r w:rsidRPr="00CC55C0">
        <w:rPr>
          <w:noProof/>
        </w:rPr>
        <w:t>.</w:t>
      </w:r>
      <w:r w:rsidR="00CC55C0" w:rsidRPr="00CC55C0">
        <w:rPr>
          <w:noProof/>
        </w:rPr>
        <w:t xml:space="preserve"> </w:t>
      </w:r>
    </w:p>
    <w:p w14:paraId="78FA4075" w14:textId="24017578"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Dyrektywa będzie</w:t>
      </w:r>
      <w:r w:rsidR="00CC55C0" w:rsidRPr="0071228C">
        <w:rPr>
          <w:noProof/>
        </w:rPr>
        <w:t xml:space="preserve"> w</w:t>
      </w:r>
      <w:r w:rsidR="00CC55C0">
        <w:rPr>
          <w:noProof/>
        </w:rPr>
        <w:t> </w:t>
      </w:r>
      <w:r w:rsidR="00CC55C0" w:rsidRPr="0071228C">
        <w:rPr>
          <w:noProof/>
        </w:rPr>
        <w:t>peł</w:t>
      </w:r>
      <w:r w:rsidRPr="0071228C">
        <w:rPr>
          <w:noProof/>
        </w:rPr>
        <w:t>ni zgodna</w:t>
      </w:r>
      <w:r w:rsidR="00CC55C0" w:rsidRPr="0071228C">
        <w:rPr>
          <w:noProof/>
        </w:rPr>
        <w:t xml:space="preserve"> z</w:t>
      </w:r>
      <w:r w:rsidR="00CC55C0">
        <w:rPr>
          <w:noProof/>
        </w:rPr>
        <w:t> </w:t>
      </w:r>
      <w:r w:rsidR="00CC55C0" w:rsidRPr="0071228C">
        <w:rPr>
          <w:noProof/>
        </w:rPr>
        <w:t>wsz</w:t>
      </w:r>
      <w:r w:rsidRPr="0071228C">
        <w:rPr>
          <w:noProof/>
        </w:rPr>
        <w:t>ystkimi innymi kluczowymi celami Europejskiego Zielonego Ładu,</w:t>
      </w:r>
      <w:r w:rsidR="00CC55C0" w:rsidRPr="0071228C">
        <w:rPr>
          <w:noProof/>
        </w:rPr>
        <w:t xml:space="preserve"> w</w:t>
      </w:r>
      <w:r w:rsidR="00CC55C0">
        <w:rPr>
          <w:noProof/>
        </w:rPr>
        <w:t> </w:t>
      </w:r>
      <w:r w:rsidR="00CC55C0" w:rsidRPr="0071228C">
        <w:rPr>
          <w:noProof/>
        </w:rPr>
        <w:t>tym z</w:t>
      </w:r>
      <w:r w:rsidR="00CC55C0">
        <w:rPr>
          <w:noProof/>
        </w:rPr>
        <w:t> </w:t>
      </w:r>
      <w:r w:rsidR="00CC55C0" w:rsidRPr="0071228C">
        <w:rPr>
          <w:noProof/>
        </w:rPr>
        <w:t>nad</w:t>
      </w:r>
      <w:r w:rsidRPr="0071228C">
        <w:rPr>
          <w:noProof/>
        </w:rPr>
        <w:t>rzędnym celem neutralności dla klimatu,</w:t>
      </w:r>
      <w:r w:rsidR="00CC55C0" w:rsidRPr="0071228C">
        <w:rPr>
          <w:noProof/>
        </w:rPr>
        <w:t xml:space="preserve"> a</w:t>
      </w:r>
      <w:r w:rsidR="00CC55C0">
        <w:rPr>
          <w:noProof/>
        </w:rPr>
        <w:t> </w:t>
      </w:r>
      <w:r w:rsidR="00CC55C0" w:rsidRPr="0071228C">
        <w:rPr>
          <w:noProof/>
        </w:rPr>
        <w:t>jed</w:t>
      </w:r>
      <w:r w:rsidRPr="0071228C">
        <w:rPr>
          <w:noProof/>
        </w:rPr>
        <w:t>nocześnie będzie</w:t>
      </w:r>
      <w:r w:rsidR="00CC55C0" w:rsidRPr="0071228C">
        <w:rPr>
          <w:noProof/>
        </w:rPr>
        <w:t xml:space="preserve"> w</w:t>
      </w:r>
      <w:r w:rsidR="00CC55C0">
        <w:rPr>
          <w:noProof/>
        </w:rPr>
        <w:t> </w:t>
      </w:r>
      <w:r w:rsidR="00CC55C0" w:rsidRPr="0071228C">
        <w:rPr>
          <w:noProof/>
        </w:rPr>
        <w:t>peł</w:t>
      </w:r>
      <w:r w:rsidRPr="0071228C">
        <w:rPr>
          <w:noProof/>
        </w:rPr>
        <w:t>ni spójna</w:t>
      </w:r>
      <w:r w:rsidR="00CC55C0" w:rsidRPr="0071228C">
        <w:rPr>
          <w:noProof/>
        </w:rPr>
        <w:t xml:space="preserve"> z</w:t>
      </w:r>
      <w:r w:rsidR="00CC55C0">
        <w:rPr>
          <w:noProof/>
        </w:rPr>
        <w:t> </w:t>
      </w:r>
      <w:r w:rsidR="00CC55C0" w:rsidRPr="0071228C">
        <w:rPr>
          <w:noProof/>
        </w:rPr>
        <w:t>sze</w:t>
      </w:r>
      <w:r w:rsidRPr="0071228C">
        <w:rPr>
          <w:noProof/>
        </w:rPr>
        <w:t>regiem bieżących/planowanych wniosków ustawodawczych, takich jak przegląd dyrektywy</w:t>
      </w:r>
      <w:r w:rsidR="00CC55C0" w:rsidRPr="0071228C">
        <w:rPr>
          <w:noProof/>
        </w:rPr>
        <w:t xml:space="preserve"> w</w:t>
      </w:r>
      <w:r w:rsidR="00CC55C0">
        <w:rPr>
          <w:noProof/>
        </w:rPr>
        <w:t> </w:t>
      </w:r>
      <w:r w:rsidR="00CC55C0" w:rsidRPr="0071228C">
        <w:rPr>
          <w:noProof/>
        </w:rPr>
        <w:t>spr</w:t>
      </w:r>
      <w:r w:rsidRPr="0071228C">
        <w:rPr>
          <w:noProof/>
        </w:rPr>
        <w:t>awie środowiskowych norm jakości, dyrektywy dotyczącej jakości wody</w:t>
      </w:r>
      <w:r w:rsidR="00CC55C0" w:rsidRPr="0071228C">
        <w:rPr>
          <w:noProof/>
        </w:rPr>
        <w:t xml:space="preserve"> w</w:t>
      </w:r>
      <w:r w:rsidR="00CC55C0">
        <w:rPr>
          <w:noProof/>
        </w:rPr>
        <w:t> </w:t>
      </w:r>
      <w:r w:rsidR="00CC55C0" w:rsidRPr="0071228C">
        <w:rPr>
          <w:noProof/>
        </w:rPr>
        <w:t>kąp</w:t>
      </w:r>
      <w:r w:rsidRPr="0071228C">
        <w:rPr>
          <w:noProof/>
        </w:rPr>
        <w:t>ieliskach, dyrektywy ramowej</w:t>
      </w:r>
      <w:r w:rsidR="00CC55C0" w:rsidRPr="0071228C">
        <w:rPr>
          <w:noProof/>
        </w:rPr>
        <w:t xml:space="preserve"> w</w:t>
      </w:r>
      <w:r w:rsidR="00CC55C0">
        <w:rPr>
          <w:noProof/>
        </w:rPr>
        <w:t> </w:t>
      </w:r>
      <w:r w:rsidR="00CC55C0" w:rsidRPr="0071228C">
        <w:rPr>
          <w:noProof/>
        </w:rPr>
        <w:t>spr</w:t>
      </w:r>
      <w:r w:rsidRPr="0071228C">
        <w:rPr>
          <w:noProof/>
        </w:rPr>
        <w:t>awie strategii morskiej oraz ocena dyrektywy</w:t>
      </w:r>
      <w:r w:rsidR="00CC55C0" w:rsidRPr="0071228C">
        <w:rPr>
          <w:noProof/>
        </w:rPr>
        <w:t xml:space="preserve"> w</w:t>
      </w:r>
      <w:r w:rsidR="00CC55C0">
        <w:rPr>
          <w:noProof/>
        </w:rPr>
        <w:t> </w:t>
      </w:r>
      <w:r w:rsidR="00CC55C0" w:rsidRPr="0071228C">
        <w:rPr>
          <w:noProof/>
        </w:rPr>
        <w:t>spr</w:t>
      </w:r>
      <w:r w:rsidRPr="0071228C">
        <w:rPr>
          <w:noProof/>
        </w:rPr>
        <w:t xml:space="preserve">awie osadów ściekowych. Przyczyni się też bezpośrednio do lepszej realizacji celu zrównoważonego rozwoju </w:t>
      </w:r>
      <w:r w:rsidRPr="00CC55C0">
        <w:rPr>
          <w:noProof/>
        </w:rPr>
        <w:t>nr</w:t>
      </w:r>
      <w:r w:rsidR="00CC55C0" w:rsidRPr="00CC55C0">
        <w:rPr>
          <w:noProof/>
        </w:rPr>
        <w:t> </w:t>
      </w:r>
      <w:r w:rsidRPr="00CC55C0">
        <w:rPr>
          <w:noProof/>
        </w:rPr>
        <w:t>6</w:t>
      </w:r>
      <w:r w:rsidRPr="0071228C">
        <w:rPr>
          <w:noProof/>
        </w:rPr>
        <w:t xml:space="preserve"> dotyczącego dostępu do odpowiednich</w:t>
      </w:r>
      <w:r w:rsidR="00CC55C0" w:rsidRPr="0071228C">
        <w:rPr>
          <w:noProof/>
        </w:rPr>
        <w:t xml:space="preserve"> i</w:t>
      </w:r>
      <w:r w:rsidR="00CC55C0">
        <w:rPr>
          <w:noProof/>
        </w:rPr>
        <w:t> </w:t>
      </w:r>
      <w:r w:rsidR="00CC55C0" w:rsidRPr="0071228C">
        <w:rPr>
          <w:noProof/>
        </w:rPr>
        <w:t>god</w:t>
      </w:r>
      <w:r w:rsidRPr="0071228C">
        <w:rPr>
          <w:noProof/>
        </w:rPr>
        <w:t>ziwych warunków sanitarnych.</w:t>
      </w:r>
    </w:p>
    <w:p w14:paraId="3387C004"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79DE2880"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71228C">
        <w:rPr>
          <w:noProof/>
          <w:u w:val="single"/>
        </w:rPr>
        <w:t>Przepisy dotyczące jakości powietrza:</w:t>
      </w:r>
    </w:p>
    <w:p w14:paraId="5AC4A88A" w14:textId="05F13EDA"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Cele inicjatywy nie mogą zostać</w:t>
      </w:r>
      <w:r w:rsidR="00CC55C0" w:rsidRPr="0071228C">
        <w:rPr>
          <w:noProof/>
        </w:rPr>
        <w:t xml:space="preserve"> w</w:t>
      </w:r>
      <w:r w:rsidR="00CC55C0">
        <w:rPr>
          <w:noProof/>
        </w:rPr>
        <w:t> </w:t>
      </w:r>
      <w:r w:rsidR="00CC55C0" w:rsidRPr="0071228C">
        <w:rPr>
          <w:noProof/>
        </w:rPr>
        <w:t>wys</w:t>
      </w:r>
      <w:r w:rsidRPr="0071228C">
        <w:rPr>
          <w:noProof/>
        </w:rPr>
        <w:t>tarczającym stopniu osiągnięte wyłącznie na poziomie państw członkowskich. Wynika to przede wszystkim</w:t>
      </w:r>
      <w:r w:rsidR="00CC55C0" w:rsidRPr="0071228C">
        <w:rPr>
          <w:noProof/>
        </w:rPr>
        <w:t xml:space="preserve"> z</w:t>
      </w:r>
      <w:r w:rsidR="00CC55C0">
        <w:rPr>
          <w:noProof/>
        </w:rPr>
        <w:t> </w:t>
      </w:r>
      <w:r w:rsidR="00CC55C0" w:rsidRPr="0071228C">
        <w:rPr>
          <w:noProof/>
        </w:rPr>
        <w:t>tra</w:t>
      </w:r>
      <w:r w:rsidRPr="0071228C">
        <w:rPr>
          <w:noProof/>
        </w:rPr>
        <w:t>nsgranicznego charakteru zanieczyszczeń powietrza, ponieważ emisje</w:t>
      </w:r>
      <w:r w:rsidR="00CC55C0" w:rsidRPr="0071228C">
        <w:rPr>
          <w:noProof/>
        </w:rPr>
        <w:t xml:space="preserve"> z</w:t>
      </w:r>
      <w:r w:rsidR="00CC55C0">
        <w:rPr>
          <w:noProof/>
        </w:rPr>
        <w:t> </w:t>
      </w:r>
      <w:r w:rsidR="00CC55C0" w:rsidRPr="0071228C">
        <w:rPr>
          <w:noProof/>
        </w:rPr>
        <w:t>jed</w:t>
      </w:r>
      <w:r w:rsidRPr="0071228C">
        <w:rPr>
          <w:noProof/>
        </w:rPr>
        <w:t>nego państwa członkowskiego mogą mieć wpływ na jakość powietrza</w:t>
      </w:r>
      <w:r w:rsidR="00CC55C0" w:rsidRPr="0071228C">
        <w:rPr>
          <w:noProof/>
        </w:rPr>
        <w:t xml:space="preserve"> w</w:t>
      </w:r>
      <w:r w:rsidR="00CC55C0">
        <w:rPr>
          <w:noProof/>
        </w:rPr>
        <w:t> </w:t>
      </w:r>
      <w:r w:rsidR="00CC55C0" w:rsidRPr="0071228C">
        <w:rPr>
          <w:noProof/>
        </w:rPr>
        <w:t>inn</w:t>
      </w:r>
      <w:r w:rsidRPr="0071228C">
        <w:rPr>
          <w:noProof/>
        </w:rPr>
        <w:t>ych państwach członkowskich. Konieczne jest podjęcie działań na skalę unijną, aby wszystkie państwa członkowskie podjęły środki</w:t>
      </w:r>
      <w:r w:rsidR="00CC55C0" w:rsidRPr="0071228C">
        <w:rPr>
          <w:noProof/>
        </w:rPr>
        <w:t xml:space="preserve"> w</w:t>
      </w:r>
      <w:r w:rsidR="00CC55C0">
        <w:rPr>
          <w:noProof/>
        </w:rPr>
        <w:t> </w:t>
      </w:r>
      <w:r w:rsidR="00CC55C0" w:rsidRPr="0071228C">
        <w:rPr>
          <w:noProof/>
        </w:rPr>
        <w:t>cel</w:t>
      </w:r>
      <w:r w:rsidRPr="0071228C">
        <w:rPr>
          <w:noProof/>
        </w:rPr>
        <w:t>u zmniejszenia ryzyka dla ludności</w:t>
      </w:r>
      <w:r w:rsidR="00CC55C0" w:rsidRPr="0071228C">
        <w:rPr>
          <w:noProof/>
        </w:rPr>
        <w:t xml:space="preserve"> w</w:t>
      </w:r>
      <w:r w:rsidR="00CC55C0">
        <w:rPr>
          <w:noProof/>
        </w:rPr>
        <w:t> </w:t>
      </w:r>
      <w:r w:rsidR="00CC55C0" w:rsidRPr="0071228C">
        <w:rPr>
          <w:noProof/>
        </w:rPr>
        <w:t>każ</w:t>
      </w:r>
      <w:r w:rsidRPr="0071228C">
        <w:rPr>
          <w:noProof/>
        </w:rPr>
        <w:t xml:space="preserve">dym państwie członkowskim. </w:t>
      </w:r>
    </w:p>
    <w:p w14:paraId="4582A1A8" w14:textId="25BD69E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Po drugie, Traktat wymaga dążenia do wysokiego poziomu ochrony, biorąc pod uwagę różnorodność sytuacji w UE</w:t>
      </w:r>
      <w:r w:rsidR="00CC55C0" w:rsidRPr="0071228C">
        <w:rPr>
          <w:noProof/>
        </w:rPr>
        <w:t>. W</w:t>
      </w:r>
      <w:r w:rsidR="00CC55C0">
        <w:rPr>
          <w:noProof/>
        </w:rPr>
        <w:t> </w:t>
      </w:r>
      <w:r w:rsidR="00CC55C0" w:rsidRPr="0071228C">
        <w:rPr>
          <w:noProof/>
        </w:rPr>
        <w:t>obo</w:t>
      </w:r>
      <w:r w:rsidRPr="0071228C">
        <w:rPr>
          <w:noProof/>
        </w:rPr>
        <w:t>wiązujących dyrektywach</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pro</w:t>
      </w:r>
      <w:r w:rsidRPr="0071228C">
        <w:rPr>
          <w:noProof/>
        </w:rPr>
        <w:t>ponowanej dyrektywie ustanowiono wspólne normy jakości powietrza, ale pozostawiono wybór środków państwom członkowskim, tak aby można było te środki dostosować do warunków lokalnych, regionalnych</w:t>
      </w:r>
      <w:r w:rsidR="00CC55C0" w:rsidRPr="0071228C">
        <w:rPr>
          <w:noProof/>
        </w:rPr>
        <w:t xml:space="preserve"> i</w:t>
      </w:r>
      <w:r w:rsidR="00CC55C0">
        <w:rPr>
          <w:noProof/>
        </w:rPr>
        <w:t> </w:t>
      </w:r>
      <w:r w:rsidR="00CC55C0" w:rsidRPr="0071228C">
        <w:rPr>
          <w:noProof/>
        </w:rPr>
        <w:t>kra</w:t>
      </w:r>
      <w:r w:rsidRPr="0071228C">
        <w:rPr>
          <w:noProof/>
        </w:rPr>
        <w:t>jowych.</w:t>
      </w:r>
    </w:p>
    <w:p w14:paraId="3F80769C" w14:textId="39E35FFB"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Po trzecie, należy zapewnić równe traktowanie</w:t>
      </w:r>
      <w:r w:rsidR="00CC55C0" w:rsidRPr="0071228C">
        <w:rPr>
          <w:noProof/>
        </w:rPr>
        <w:t xml:space="preserve"> w</w:t>
      </w:r>
      <w:r w:rsidR="00CC55C0">
        <w:rPr>
          <w:noProof/>
        </w:rPr>
        <w:t> </w:t>
      </w:r>
      <w:r w:rsidR="00CC55C0" w:rsidRPr="0071228C">
        <w:rPr>
          <w:noProof/>
        </w:rPr>
        <w:t>odn</w:t>
      </w:r>
      <w:r w:rsidRPr="0071228C">
        <w:rPr>
          <w:noProof/>
        </w:rPr>
        <w:t>iesieniu do ekonomicznych skutków zanieczyszczenia powietrza we wszystkich państwach członkowskich oraz jakości powietrza, którym oddychają obywatele</w:t>
      </w:r>
      <w:r w:rsidR="00CC55C0" w:rsidRPr="0071228C">
        <w:rPr>
          <w:noProof/>
        </w:rPr>
        <w:t xml:space="preserve"> w</w:t>
      </w:r>
      <w:r w:rsidR="00CC55C0">
        <w:rPr>
          <w:noProof/>
        </w:rPr>
        <w:t> </w:t>
      </w:r>
      <w:r w:rsidR="00CC55C0" w:rsidRPr="0071228C">
        <w:rPr>
          <w:noProof/>
        </w:rPr>
        <w:t>Uni</w:t>
      </w:r>
      <w:r w:rsidRPr="0071228C">
        <w:rPr>
          <w:noProof/>
        </w:rPr>
        <w:t xml:space="preserve">i. </w:t>
      </w:r>
    </w:p>
    <w:p w14:paraId="3E530A93" w14:textId="46AB1A5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Zmienione normy jakości powietrza</w:t>
      </w:r>
      <w:r w:rsidR="00CC55C0" w:rsidRPr="0071228C">
        <w:rPr>
          <w:noProof/>
        </w:rPr>
        <w:t xml:space="preserve"> i</w:t>
      </w:r>
      <w:r w:rsidR="00CC55C0">
        <w:rPr>
          <w:noProof/>
        </w:rPr>
        <w:t> </w:t>
      </w:r>
      <w:r w:rsidR="00CC55C0" w:rsidRPr="0071228C">
        <w:rPr>
          <w:noProof/>
        </w:rPr>
        <w:t>jaś</w:t>
      </w:r>
      <w:r w:rsidRPr="0071228C">
        <w:rPr>
          <w:noProof/>
        </w:rPr>
        <w:t>niejsze zasady jej monitorowania zapewnią wyższy poziom ochrony obywateli UE</w:t>
      </w:r>
      <w:r w:rsidR="00CC55C0" w:rsidRPr="0071228C">
        <w:rPr>
          <w:noProof/>
        </w:rPr>
        <w:t xml:space="preserve"> i</w:t>
      </w:r>
      <w:r w:rsidR="00CC55C0">
        <w:rPr>
          <w:noProof/>
        </w:rPr>
        <w:t> </w:t>
      </w:r>
      <w:r w:rsidR="00CC55C0" w:rsidRPr="0071228C">
        <w:rPr>
          <w:noProof/>
        </w:rPr>
        <w:t>lep</w:t>
      </w:r>
      <w:r w:rsidRPr="0071228C">
        <w:rPr>
          <w:noProof/>
        </w:rPr>
        <w:t xml:space="preserve">szą jakość powietrza dla środowiska. </w:t>
      </w:r>
    </w:p>
    <w:p w14:paraId="12C98352" w14:textId="649C13A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Umożliwi to lepsze informowanie</w:t>
      </w:r>
      <w:r w:rsidR="00CC55C0" w:rsidRPr="0071228C">
        <w:rPr>
          <w:noProof/>
        </w:rPr>
        <w:t xml:space="preserve"> o</w:t>
      </w:r>
      <w:r w:rsidR="00CC55C0">
        <w:rPr>
          <w:noProof/>
        </w:rPr>
        <w:t> </w:t>
      </w:r>
      <w:r w:rsidR="00CC55C0" w:rsidRPr="0071228C">
        <w:rPr>
          <w:noProof/>
        </w:rPr>
        <w:t>pro</w:t>
      </w:r>
      <w:r w:rsidRPr="0071228C">
        <w:rPr>
          <w:noProof/>
        </w:rPr>
        <w:t>blemach związanych</w:t>
      </w:r>
      <w:r w:rsidR="00CC55C0" w:rsidRPr="0071228C">
        <w:rPr>
          <w:noProof/>
        </w:rPr>
        <w:t xml:space="preserve"> z</w:t>
      </w:r>
      <w:r w:rsidR="00CC55C0">
        <w:rPr>
          <w:noProof/>
        </w:rPr>
        <w:t> </w:t>
      </w:r>
      <w:r w:rsidR="00CC55C0" w:rsidRPr="0071228C">
        <w:rPr>
          <w:noProof/>
        </w:rPr>
        <w:t>jak</w:t>
      </w:r>
      <w:r w:rsidRPr="0071228C">
        <w:rPr>
          <w:noProof/>
        </w:rPr>
        <w:t>ością powietrza, poprawę stanu zdrowia (a tym samym zmniejszenie wydatków na opiekę zdrowotną), zmniejszenie strat</w:t>
      </w:r>
      <w:r w:rsidR="00CC55C0" w:rsidRPr="0071228C">
        <w:rPr>
          <w:noProof/>
        </w:rPr>
        <w:t xml:space="preserve"> w</w:t>
      </w:r>
      <w:r w:rsidR="00CC55C0">
        <w:rPr>
          <w:noProof/>
        </w:rPr>
        <w:t> </w:t>
      </w:r>
      <w:r w:rsidR="00CC55C0" w:rsidRPr="0071228C">
        <w:rPr>
          <w:noProof/>
        </w:rPr>
        <w:t>plo</w:t>
      </w:r>
      <w:r w:rsidRPr="0071228C">
        <w:rPr>
          <w:noProof/>
        </w:rPr>
        <w:t>nach spowodowanych ozonem, zmniejszenie absencji</w:t>
      </w:r>
      <w:r w:rsidR="00CC55C0" w:rsidRPr="0071228C">
        <w:rPr>
          <w:noProof/>
        </w:rPr>
        <w:t xml:space="preserve"> w</w:t>
      </w:r>
      <w:r w:rsidR="00CC55C0">
        <w:rPr>
          <w:noProof/>
        </w:rPr>
        <w:t> </w:t>
      </w:r>
      <w:r w:rsidR="00CC55C0" w:rsidRPr="0071228C">
        <w:rPr>
          <w:noProof/>
        </w:rPr>
        <w:t>pra</w:t>
      </w:r>
      <w:r w:rsidRPr="0071228C">
        <w:rPr>
          <w:noProof/>
        </w:rPr>
        <w:t>cy</w:t>
      </w:r>
      <w:r w:rsidR="00CC55C0" w:rsidRPr="0071228C">
        <w:rPr>
          <w:noProof/>
        </w:rPr>
        <w:t xml:space="preserve"> z</w:t>
      </w:r>
      <w:r w:rsidR="00CC55C0">
        <w:rPr>
          <w:noProof/>
        </w:rPr>
        <w:t> </w:t>
      </w:r>
      <w:r w:rsidR="00CC55C0" w:rsidRPr="0071228C">
        <w:rPr>
          <w:noProof/>
        </w:rPr>
        <w:t>pow</w:t>
      </w:r>
      <w:r w:rsidRPr="0071228C">
        <w:rPr>
          <w:noProof/>
        </w:rPr>
        <w:t>odu zachorowań (w tym dzieci pozostających na utrzymaniu). Oczekuje się, że poprawa jakości powietrza przyniesie korzyści pod względem zwiększenia produktywności</w:t>
      </w:r>
      <w:r w:rsidR="00CC55C0" w:rsidRPr="0071228C">
        <w:rPr>
          <w:noProof/>
        </w:rPr>
        <w:t xml:space="preserve"> i</w:t>
      </w:r>
      <w:r w:rsidR="00CC55C0">
        <w:rPr>
          <w:noProof/>
        </w:rPr>
        <w:t> </w:t>
      </w:r>
      <w:r w:rsidR="00CC55C0" w:rsidRPr="0071228C">
        <w:rPr>
          <w:noProof/>
        </w:rPr>
        <w:t>kor</w:t>
      </w:r>
      <w:r w:rsidRPr="0071228C">
        <w:rPr>
          <w:noProof/>
        </w:rPr>
        <w:t>zyści gospodarcze.</w:t>
      </w:r>
    </w:p>
    <w:p w14:paraId="57BF9311" w14:textId="23EED891"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Poprawa monitorowania</w:t>
      </w:r>
      <w:r w:rsidR="00CC55C0" w:rsidRPr="0071228C">
        <w:rPr>
          <w:noProof/>
        </w:rPr>
        <w:t xml:space="preserve"> i</w:t>
      </w:r>
      <w:r w:rsidR="00CC55C0">
        <w:rPr>
          <w:noProof/>
        </w:rPr>
        <w:t> </w:t>
      </w:r>
      <w:r w:rsidR="00CC55C0" w:rsidRPr="0071228C">
        <w:rPr>
          <w:noProof/>
        </w:rPr>
        <w:t>mod</w:t>
      </w:r>
      <w:r w:rsidRPr="0071228C">
        <w:rPr>
          <w:noProof/>
        </w:rPr>
        <w:t>elowania, sposobu przygotowywania</w:t>
      </w:r>
      <w:r w:rsidR="00CC55C0" w:rsidRPr="0071228C">
        <w:rPr>
          <w:noProof/>
        </w:rPr>
        <w:t xml:space="preserve"> i</w:t>
      </w:r>
      <w:r w:rsidR="00CC55C0">
        <w:rPr>
          <w:noProof/>
        </w:rPr>
        <w:t> </w:t>
      </w:r>
      <w:r w:rsidR="00CC55C0" w:rsidRPr="0071228C">
        <w:rPr>
          <w:noProof/>
        </w:rPr>
        <w:t>wdr</w:t>
      </w:r>
      <w:r w:rsidRPr="0071228C">
        <w:rPr>
          <w:noProof/>
        </w:rPr>
        <w:t>ażania planów ochrony powietrza oraz wymiany informacji zebranych przez państwa członkowskie</w:t>
      </w:r>
      <w:r w:rsidRPr="0071228C">
        <w:rPr>
          <w:noProof/>
          <w:color w:val="0000FF"/>
        </w:rPr>
        <w:t xml:space="preserve"> </w:t>
      </w:r>
      <w:r w:rsidRPr="0071228C">
        <w:rPr>
          <w:noProof/>
        </w:rPr>
        <w:t>przyczynią się do większej spójności ocen</w:t>
      </w:r>
      <w:r w:rsidR="00CC55C0" w:rsidRPr="0071228C">
        <w:rPr>
          <w:noProof/>
        </w:rPr>
        <w:t xml:space="preserve"> i</w:t>
      </w:r>
      <w:r w:rsidR="00CC55C0">
        <w:rPr>
          <w:noProof/>
        </w:rPr>
        <w:t> </w:t>
      </w:r>
      <w:r w:rsidR="00CC55C0" w:rsidRPr="0071228C">
        <w:rPr>
          <w:noProof/>
        </w:rPr>
        <w:t>lep</w:t>
      </w:r>
      <w:r w:rsidRPr="0071228C">
        <w:rPr>
          <w:noProof/>
        </w:rPr>
        <w:t>szego wdrażania przepisów.</w:t>
      </w:r>
    </w:p>
    <w:p w14:paraId="6B79C871" w14:textId="037E9FE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71228C">
        <w:rPr>
          <w:noProof/>
        </w:rPr>
        <w:t>Zmiany dotyczące dostępu do wymiaru sprawiedliwości</w:t>
      </w:r>
      <w:r w:rsidR="00CC55C0" w:rsidRPr="0071228C">
        <w:rPr>
          <w:noProof/>
        </w:rPr>
        <w:t xml:space="preserve"> i</w:t>
      </w:r>
      <w:r w:rsidR="00CC55C0">
        <w:rPr>
          <w:noProof/>
        </w:rPr>
        <w:t> </w:t>
      </w:r>
      <w:r w:rsidR="00CC55C0" w:rsidRPr="0071228C">
        <w:rPr>
          <w:noProof/>
        </w:rPr>
        <w:t>kar</w:t>
      </w:r>
      <w:r w:rsidRPr="0071228C">
        <w:rPr>
          <w:noProof/>
        </w:rPr>
        <w:t xml:space="preserve"> przyczynią się do lepszego egzekwowania prawa przez społeczeństwo, a co za tym idzie, do osiągnięcia wyników</w:t>
      </w:r>
      <w:r w:rsidR="00CC55C0" w:rsidRPr="0071228C">
        <w:rPr>
          <w:noProof/>
        </w:rPr>
        <w:t xml:space="preserve"> w</w:t>
      </w:r>
      <w:r w:rsidR="00CC55C0">
        <w:rPr>
          <w:noProof/>
        </w:rPr>
        <w:t> </w:t>
      </w:r>
      <w:r w:rsidR="00CC55C0" w:rsidRPr="0071228C">
        <w:rPr>
          <w:noProof/>
        </w:rPr>
        <w:t>Uni</w:t>
      </w:r>
      <w:r w:rsidRPr="0071228C">
        <w:rPr>
          <w:noProof/>
        </w:rPr>
        <w:t>i Europejskiej.</w:t>
      </w:r>
    </w:p>
    <w:p w14:paraId="3A0B8C04" w14:textId="137CBE64"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71228C">
        <w:rPr>
          <w:noProof/>
        </w:rPr>
        <w:t>Ponadto, wniosek ma na celu wprowadzenie bardziej efektywnych procedur zmiany norm jakości powietrza zgodnie</w:t>
      </w:r>
      <w:r w:rsidR="00CC55C0" w:rsidRPr="0071228C">
        <w:rPr>
          <w:noProof/>
        </w:rPr>
        <w:t xml:space="preserve"> z</w:t>
      </w:r>
      <w:r w:rsidR="00CC55C0">
        <w:rPr>
          <w:noProof/>
        </w:rPr>
        <w:t> </w:t>
      </w:r>
      <w:r w:rsidR="00CC55C0" w:rsidRPr="0071228C">
        <w:rPr>
          <w:noProof/>
        </w:rPr>
        <w:t>pos</w:t>
      </w:r>
      <w:r w:rsidRPr="0071228C">
        <w:rPr>
          <w:noProof/>
        </w:rPr>
        <w:t>tępem naukowym, przy jednoczesnym zapewnieniu, że procedury te będą oparte na solidnych danych naukowych, na usprawnionej sprawozdawczości</w:t>
      </w:r>
      <w:r w:rsidR="00CC55C0" w:rsidRPr="0071228C">
        <w:rPr>
          <w:noProof/>
        </w:rPr>
        <w:t xml:space="preserve"> i</w:t>
      </w:r>
      <w:r w:rsidR="00CC55C0">
        <w:rPr>
          <w:noProof/>
        </w:rPr>
        <w:t> </w:t>
      </w:r>
      <w:r w:rsidR="00CC55C0" w:rsidRPr="0071228C">
        <w:rPr>
          <w:noProof/>
        </w:rPr>
        <w:t>ści</w:t>
      </w:r>
      <w:r w:rsidRPr="0071228C">
        <w:rPr>
          <w:noProof/>
        </w:rPr>
        <w:t>słej współpracy</w:t>
      </w:r>
      <w:r w:rsidR="00CC55C0" w:rsidRPr="0071228C">
        <w:rPr>
          <w:noProof/>
        </w:rPr>
        <w:t xml:space="preserve"> z</w:t>
      </w:r>
      <w:r w:rsidR="00CC55C0">
        <w:rPr>
          <w:noProof/>
        </w:rPr>
        <w:t> </w:t>
      </w:r>
      <w:r w:rsidR="00CC55C0" w:rsidRPr="0071228C">
        <w:rPr>
          <w:noProof/>
        </w:rPr>
        <w:t>Eur</w:t>
      </w:r>
      <w:r w:rsidRPr="0071228C">
        <w:rPr>
          <w:noProof/>
        </w:rPr>
        <w:t>opejską Agencją Środowiska, również</w:t>
      </w:r>
      <w:r w:rsidR="00CC55C0" w:rsidRPr="0071228C">
        <w:rPr>
          <w:noProof/>
        </w:rPr>
        <w:t xml:space="preserve"> w</w:t>
      </w:r>
      <w:r w:rsidR="00CC55C0">
        <w:rPr>
          <w:noProof/>
        </w:rPr>
        <w:t> </w:t>
      </w:r>
      <w:r w:rsidR="00CC55C0" w:rsidRPr="0071228C">
        <w:rPr>
          <w:noProof/>
        </w:rPr>
        <w:t>cel</w:t>
      </w:r>
      <w:r w:rsidRPr="0071228C">
        <w:rPr>
          <w:noProof/>
        </w:rPr>
        <w:t>u udostępnienia informacji dotyczących jakości powietrza (w tym aktualnych danych) decydentom</w:t>
      </w:r>
      <w:r w:rsidR="00CC55C0" w:rsidRPr="0071228C">
        <w:rPr>
          <w:noProof/>
        </w:rPr>
        <w:t xml:space="preserve"> i</w:t>
      </w:r>
      <w:r w:rsidR="00CC55C0">
        <w:rPr>
          <w:noProof/>
        </w:rPr>
        <w:t> </w:t>
      </w:r>
      <w:r w:rsidR="00CC55C0" w:rsidRPr="0071228C">
        <w:rPr>
          <w:noProof/>
        </w:rPr>
        <w:t>sze</w:t>
      </w:r>
      <w:r w:rsidRPr="0071228C">
        <w:rPr>
          <w:noProof/>
        </w:rPr>
        <w:t>rszych kręgów społeczeństwa.</w:t>
      </w:r>
    </w:p>
    <w:p w14:paraId="68073DC2" w14:textId="6DF337B5" w:rsidR="001C0111" w:rsidRPr="0071228C" w:rsidRDefault="001C0111" w:rsidP="002A2DB0">
      <w:pPr>
        <w:keepNext/>
        <w:outlineLvl w:val="2"/>
        <w:rPr>
          <w:rFonts w:eastAsiaTheme="majorEastAsia"/>
          <w:bCs/>
          <w:i/>
          <w:noProof/>
        </w:rPr>
      </w:pPr>
      <w:r w:rsidRPr="0071228C">
        <w:rPr>
          <w:i/>
          <w:noProof/>
        </w:rPr>
        <w:t>Główne wnioski wyciągnięte</w:t>
      </w:r>
      <w:r w:rsidR="00CC55C0" w:rsidRPr="0071228C">
        <w:rPr>
          <w:i/>
          <w:noProof/>
        </w:rPr>
        <w:t xml:space="preserve"> z</w:t>
      </w:r>
      <w:r w:rsidR="00CC55C0">
        <w:rPr>
          <w:i/>
          <w:noProof/>
        </w:rPr>
        <w:t> </w:t>
      </w:r>
      <w:r w:rsidR="00CC55C0" w:rsidRPr="0071228C">
        <w:rPr>
          <w:i/>
          <w:noProof/>
        </w:rPr>
        <w:t>pod</w:t>
      </w:r>
      <w:r w:rsidRPr="0071228C">
        <w:rPr>
          <w:i/>
          <w:noProof/>
        </w:rPr>
        <w:t>obnych działań</w:t>
      </w:r>
      <w:bookmarkEnd w:id="27"/>
      <w:bookmarkEnd w:id="28"/>
    </w:p>
    <w:p w14:paraId="78D9202D"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9" w:name="_Toc514938033"/>
      <w:bookmarkStart w:id="30" w:name="_Toc520485038"/>
      <w:r w:rsidRPr="0071228C">
        <w:rPr>
          <w:noProof/>
          <w:u w:val="single"/>
        </w:rPr>
        <w:t xml:space="preserve">Zintegrowana gospodarka wodna: </w:t>
      </w:r>
    </w:p>
    <w:p w14:paraId="3CB46359" w14:textId="585E9D4A" w:rsidR="001C0111" w:rsidRPr="00CC55C0"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 ocenie adekwatności unijnego prawodawstwa dotyczącego wody</w:t>
      </w:r>
      <w:r w:rsidR="00CC55C0" w:rsidRPr="0071228C">
        <w:rPr>
          <w:noProof/>
        </w:rPr>
        <w:t xml:space="preserve"> z</w:t>
      </w:r>
      <w:r w:rsidR="00CC55C0">
        <w:rPr>
          <w:noProof/>
        </w:rPr>
        <w:t> </w:t>
      </w:r>
      <w:r w:rsidR="00CC55C0" w:rsidRPr="0071228C">
        <w:rPr>
          <w:noProof/>
        </w:rPr>
        <w:t>2</w:t>
      </w:r>
      <w:r w:rsidRPr="0071228C">
        <w:rPr>
          <w:noProof/>
        </w:rPr>
        <w:t>0</w:t>
      </w:r>
      <w:r w:rsidRPr="00CC55C0">
        <w:rPr>
          <w:noProof/>
        </w:rPr>
        <w:t>19</w:t>
      </w:r>
      <w:r w:rsidR="00CC55C0" w:rsidRPr="00CC55C0">
        <w:rPr>
          <w:noProof/>
        </w:rPr>
        <w:t> </w:t>
      </w:r>
      <w:r w:rsidRPr="00CC55C0">
        <w:rPr>
          <w:noProof/>
        </w:rPr>
        <w:t>r.</w:t>
      </w:r>
      <w:r w:rsidRPr="0071228C">
        <w:rPr>
          <w:noProof/>
        </w:rPr>
        <w:t xml:space="preserve"> potwierdzono, że ramowa dyrektywa wodna</w:t>
      </w:r>
      <w:r w:rsidR="00CC55C0" w:rsidRPr="0071228C">
        <w:rPr>
          <w:noProof/>
        </w:rPr>
        <w:t xml:space="preserve"> i</w:t>
      </w:r>
      <w:r w:rsidR="00CC55C0">
        <w:rPr>
          <w:noProof/>
        </w:rPr>
        <w:t> </w:t>
      </w:r>
      <w:r w:rsidR="00CC55C0" w:rsidRPr="0071228C">
        <w:rPr>
          <w:noProof/>
        </w:rPr>
        <w:t>jej</w:t>
      </w:r>
      <w:r w:rsidRPr="0071228C">
        <w:rPr>
          <w:noProof/>
        </w:rPr>
        <w:t xml:space="preserve"> dwie dyrektywy szczegółowe spowodowały uruchomienie lub wzmocnienie działań na szczeblu europejskim, mających na celu rozwiązanie problemu transgranicznych presji na zasoby wodne na poziomie dorzecza, zarówno</w:t>
      </w:r>
      <w:r w:rsidR="00CC55C0" w:rsidRPr="0071228C">
        <w:rPr>
          <w:noProof/>
        </w:rPr>
        <w:t xml:space="preserve"> w</w:t>
      </w:r>
      <w:r w:rsidR="00CC55C0">
        <w:rPr>
          <w:noProof/>
        </w:rPr>
        <w:t> </w:t>
      </w:r>
      <w:r w:rsidR="00CC55C0" w:rsidRPr="0071228C">
        <w:rPr>
          <w:noProof/>
        </w:rPr>
        <w:t>ska</w:t>
      </w:r>
      <w:r w:rsidRPr="0071228C">
        <w:rPr>
          <w:noProof/>
        </w:rPr>
        <w:t>li krajowej, jak</w:t>
      </w:r>
      <w:r w:rsidR="00CC55C0" w:rsidRPr="0071228C">
        <w:rPr>
          <w:noProof/>
        </w:rPr>
        <w:t xml:space="preserve"> i</w:t>
      </w:r>
      <w:r w:rsidR="00CC55C0">
        <w:rPr>
          <w:noProof/>
        </w:rPr>
        <w:t> </w:t>
      </w:r>
      <w:r w:rsidR="00CC55C0" w:rsidRPr="0071228C">
        <w:rPr>
          <w:noProof/>
        </w:rPr>
        <w:t>mię</w:t>
      </w:r>
      <w:r w:rsidRPr="0071228C">
        <w:rPr>
          <w:noProof/>
        </w:rPr>
        <w:t>dzynarodowej. Ustalenie unijnych norm dotyczących substancji zanieczyszczających można więc uznać za skuteczne</w:t>
      </w:r>
      <w:r w:rsidRPr="00CC55C0">
        <w:rPr>
          <w:noProof/>
        </w:rPr>
        <w:t>.</w:t>
      </w:r>
      <w:r w:rsidR="00CC55C0" w:rsidRPr="00CC55C0">
        <w:rPr>
          <w:noProof/>
        </w:rPr>
        <w:t xml:space="preserve"> </w:t>
      </w:r>
    </w:p>
    <w:p w14:paraId="6F5410B1" w14:textId="33BC3C51"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 ocenie stwierdzono jednak, że należy rozszerzyć zakres działania, aby uwzględnić nowe substancje zanieczyszczające</w:t>
      </w:r>
      <w:r w:rsidR="00CC55C0" w:rsidRPr="0071228C">
        <w:rPr>
          <w:noProof/>
        </w:rPr>
        <w:t xml:space="preserve"> i</w:t>
      </w:r>
      <w:r w:rsidR="00CC55C0">
        <w:rPr>
          <w:noProof/>
        </w:rPr>
        <w:t> </w:t>
      </w:r>
      <w:r w:rsidR="00CC55C0" w:rsidRPr="0071228C">
        <w:rPr>
          <w:noProof/>
        </w:rPr>
        <w:t>sku</w:t>
      </w:r>
      <w:r w:rsidRPr="0071228C">
        <w:rPr>
          <w:noProof/>
        </w:rPr>
        <w:t>teczniej chronić zdrowie ludzi</w:t>
      </w:r>
      <w:r w:rsidR="00CC55C0" w:rsidRPr="0071228C">
        <w:rPr>
          <w:noProof/>
        </w:rPr>
        <w:t xml:space="preserve"> i</w:t>
      </w:r>
      <w:r w:rsidR="00CC55C0">
        <w:rPr>
          <w:noProof/>
        </w:rPr>
        <w:t> </w:t>
      </w:r>
      <w:r w:rsidR="00CC55C0" w:rsidRPr="0071228C">
        <w:rPr>
          <w:noProof/>
        </w:rPr>
        <w:t>eko</w:t>
      </w:r>
      <w:r w:rsidRPr="0071228C">
        <w:rPr>
          <w:noProof/>
        </w:rPr>
        <w:t>systemy,</w:t>
      </w:r>
      <w:r w:rsidR="00CC55C0" w:rsidRPr="0071228C">
        <w:rPr>
          <w:noProof/>
        </w:rPr>
        <w:t xml:space="preserve"> w</w:t>
      </w:r>
      <w:r w:rsidR="00CC55C0">
        <w:rPr>
          <w:noProof/>
        </w:rPr>
        <w:t> </w:t>
      </w:r>
      <w:r w:rsidR="00CC55C0" w:rsidRPr="0071228C">
        <w:rPr>
          <w:noProof/>
        </w:rPr>
        <w:t>tym</w:t>
      </w:r>
      <w:r w:rsidRPr="0071228C">
        <w:rPr>
          <w:noProof/>
        </w:rPr>
        <w:t xml:space="preserve"> rozwiązać szereg problemów administracyjnych</w:t>
      </w:r>
      <w:r w:rsidR="00CC55C0" w:rsidRPr="0071228C">
        <w:rPr>
          <w:noProof/>
        </w:rPr>
        <w:t xml:space="preserve"> i</w:t>
      </w:r>
      <w:r w:rsidR="00CC55C0">
        <w:rPr>
          <w:noProof/>
        </w:rPr>
        <w:t> </w:t>
      </w:r>
      <w:r w:rsidR="00CC55C0" w:rsidRPr="0071228C">
        <w:rPr>
          <w:noProof/>
        </w:rPr>
        <w:t>wdr</w:t>
      </w:r>
      <w:r w:rsidRPr="0071228C">
        <w:rPr>
          <w:noProof/>
        </w:rPr>
        <w:t xml:space="preserve">ożeniowych. </w:t>
      </w:r>
    </w:p>
    <w:p w14:paraId="07113B75"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3B22B35F"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u w:val="single"/>
        </w:rPr>
        <w:t>Dyrektywa dotycząca oczyszczania ścieków komunalnych:</w:t>
      </w:r>
      <w:r w:rsidRPr="0071228C">
        <w:rPr>
          <w:noProof/>
        </w:rPr>
        <w:tab/>
      </w:r>
    </w:p>
    <w:p w14:paraId="3D48225F" w14:textId="6B8D2CF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noProof/>
        </w:rPr>
        <w:t>W ocenie skuteczności dyrektywy</w:t>
      </w:r>
      <w:r w:rsidR="00CC55C0" w:rsidRPr="0071228C">
        <w:rPr>
          <w:noProof/>
        </w:rPr>
        <w:t xml:space="preserve"> w</w:t>
      </w:r>
      <w:r w:rsidR="00CC55C0">
        <w:rPr>
          <w:noProof/>
        </w:rPr>
        <w:t> </w:t>
      </w:r>
      <w:r w:rsidR="00CC55C0" w:rsidRPr="0071228C">
        <w:rPr>
          <w:noProof/>
        </w:rPr>
        <w:t>ram</w:t>
      </w:r>
      <w:r w:rsidRPr="0071228C">
        <w:rPr>
          <w:noProof/>
        </w:rPr>
        <w:t>ach REFIT wykazano, że udało się zredukować obciążenia substancjami zanieczyszczającymi pochodzącymi</w:t>
      </w:r>
      <w:r w:rsidR="00CC55C0" w:rsidRPr="0071228C">
        <w:rPr>
          <w:noProof/>
        </w:rPr>
        <w:t xml:space="preserve"> z</w:t>
      </w:r>
      <w:r w:rsidR="00CC55C0">
        <w:rPr>
          <w:noProof/>
        </w:rPr>
        <w:t> </w:t>
      </w:r>
      <w:r w:rsidR="00CC55C0" w:rsidRPr="0071228C">
        <w:rPr>
          <w:noProof/>
        </w:rPr>
        <w:t>mie</w:t>
      </w:r>
      <w:r w:rsidRPr="0071228C">
        <w:rPr>
          <w:noProof/>
        </w:rPr>
        <w:t>jskich źródeł punktowych (ścieki domowe/komunalne</w:t>
      </w:r>
      <w:r w:rsidR="00CC55C0" w:rsidRPr="0071228C">
        <w:rPr>
          <w:noProof/>
        </w:rPr>
        <w:t xml:space="preserve"> i</w:t>
      </w:r>
      <w:r w:rsidR="00CC55C0">
        <w:rPr>
          <w:noProof/>
        </w:rPr>
        <w:t> </w:t>
      </w:r>
      <w:r w:rsidR="00CC55C0" w:rsidRPr="0071228C">
        <w:rPr>
          <w:noProof/>
        </w:rPr>
        <w:t>pod</w:t>
      </w:r>
      <w:r w:rsidRPr="0071228C">
        <w:rPr>
          <w:noProof/>
        </w:rPr>
        <w:t>obne zanieczyszczenia przemysłowe)</w:t>
      </w:r>
      <w:r w:rsidR="00CC55C0" w:rsidRPr="0071228C">
        <w:rPr>
          <w:noProof/>
        </w:rPr>
        <w:t>. W</w:t>
      </w:r>
      <w:r w:rsidR="00CC55C0">
        <w:rPr>
          <w:noProof/>
        </w:rPr>
        <w:t> </w:t>
      </w:r>
      <w:r w:rsidR="00CC55C0" w:rsidRPr="0071228C">
        <w:rPr>
          <w:noProof/>
        </w:rPr>
        <w:t>dal</w:t>
      </w:r>
      <w:r w:rsidRPr="0071228C">
        <w:rPr>
          <w:noProof/>
        </w:rPr>
        <w:t>szym ciągu występują niedociągnięcia</w:t>
      </w:r>
      <w:r w:rsidR="00CC55C0" w:rsidRPr="0071228C">
        <w:rPr>
          <w:noProof/>
        </w:rPr>
        <w:t xml:space="preserve"> w</w:t>
      </w:r>
      <w:r w:rsidR="00CC55C0">
        <w:rPr>
          <w:noProof/>
        </w:rPr>
        <w:t> </w:t>
      </w:r>
      <w:r w:rsidR="00CC55C0" w:rsidRPr="0071228C">
        <w:rPr>
          <w:noProof/>
        </w:rPr>
        <w:t>eli</w:t>
      </w:r>
      <w:r w:rsidRPr="0071228C">
        <w:rPr>
          <w:noProof/>
        </w:rPr>
        <w:t>minowaniu pozostałego obciążenia nieoczyszczonymi ściekami komunalnymi. Konieczne jest również dostosowanie dyrektywy do nowych priorytetów politycznych</w:t>
      </w:r>
      <w:r w:rsidR="00CC55C0" w:rsidRPr="0071228C">
        <w:rPr>
          <w:noProof/>
        </w:rPr>
        <w:t xml:space="preserve"> i</w:t>
      </w:r>
      <w:r w:rsidR="00CC55C0">
        <w:rPr>
          <w:noProof/>
        </w:rPr>
        <w:t> </w:t>
      </w:r>
      <w:r w:rsidR="00CC55C0" w:rsidRPr="0071228C">
        <w:rPr>
          <w:noProof/>
        </w:rPr>
        <w:t>poj</w:t>
      </w:r>
      <w:r w:rsidRPr="0071228C">
        <w:rPr>
          <w:noProof/>
        </w:rPr>
        <w:t xml:space="preserve">awiających się problemów społecznych. </w:t>
      </w:r>
    </w:p>
    <w:p w14:paraId="135B6EB5" w14:textId="4080108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noProof/>
        </w:rPr>
        <w:t>Co więcej, wymogi dotyczące monitorowania określone</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5 dyrektywy okazały się skutecznym czynnikiem wpływającym na osiąganie zgodności. Postęp technologiczny umożliwia jednak skuteczniejsze</w:t>
      </w:r>
      <w:r w:rsidR="00CC55C0" w:rsidRPr="0071228C">
        <w:rPr>
          <w:noProof/>
        </w:rPr>
        <w:t xml:space="preserve"> i</w:t>
      </w:r>
      <w:r w:rsidR="00CC55C0">
        <w:rPr>
          <w:noProof/>
        </w:rPr>
        <w:t> </w:t>
      </w:r>
      <w:r w:rsidR="00CC55C0" w:rsidRPr="0071228C">
        <w:rPr>
          <w:noProof/>
        </w:rPr>
        <w:t>dok</w:t>
      </w:r>
      <w:r w:rsidRPr="0071228C">
        <w:rPr>
          <w:noProof/>
        </w:rPr>
        <w:t>ładniejsze monitorowanie zarówno istniejących, jak</w:t>
      </w:r>
      <w:r w:rsidR="00CC55C0" w:rsidRPr="0071228C">
        <w:rPr>
          <w:noProof/>
        </w:rPr>
        <w:t xml:space="preserve"> i</w:t>
      </w:r>
      <w:r w:rsidR="00CC55C0">
        <w:rPr>
          <w:noProof/>
        </w:rPr>
        <w:t> </w:t>
      </w:r>
      <w:r w:rsidR="00CC55C0" w:rsidRPr="0071228C">
        <w:rPr>
          <w:noProof/>
        </w:rPr>
        <w:t>now</w:t>
      </w:r>
      <w:r w:rsidRPr="0071228C">
        <w:rPr>
          <w:noProof/>
        </w:rPr>
        <w:t>ych substancji zanieczyszczających</w:t>
      </w:r>
      <w:r w:rsidR="00CC55C0" w:rsidRPr="0071228C">
        <w:rPr>
          <w:noProof/>
        </w:rPr>
        <w:t>. Z</w:t>
      </w:r>
      <w:r w:rsidR="00CC55C0">
        <w:rPr>
          <w:noProof/>
        </w:rPr>
        <w:t> </w:t>
      </w:r>
      <w:r w:rsidR="00CC55C0" w:rsidRPr="0071228C">
        <w:rPr>
          <w:noProof/>
        </w:rPr>
        <w:t>inf</w:t>
      </w:r>
      <w:r w:rsidRPr="0071228C">
        <w:rPr>
          <w:noProof/>
        </w:rPr>
        <w:t>ormacji zebranych od państw członkowskich</w:t>
      </w:r>
      <w:r w:rsidR="00CC55C0" w:rsidRPr="0071228C">
        <w:rPr>
          <w:noProof/>
        </w:rPr>
        <w:t xml:space="preserve"> w</w:t>
      </w:r>
      <w:r w:rsidR="00CC55C0">
        <w:rPr>
          <w:noProof/>
        </w:rPr>
        <w:t> </w:t>
      </w:r>
      <w:r w:rsidR="00CC55C0" w:rsidRPr="0071228C">
        <w:rPr>
          <w:noProof/>
        </w:rPr>
        <w:t>kon</w:t>
      </w:r>
      <w:r w:rsidRPr="0071228C">
        <w:rPr>
          <w:noProof/>
        </w:rPr>
        <w:t>tekście oceny skutków wynika, że</w:t>
      </w:r>
      <w:r w:rsidR="00CC55C0" w:rsidRPr="0071228C">
        <w:rPr>
          <w:noProof/>
        </w:rPr>
        <w:t xml:space="preserve"> w</w:t>
      </w:r>
      <w:r w:rsidR="00CC55C0">
        <w:rPr>
          <w:noProof/>
        </w:rPr>
        <w:t> </w:t>
      </w:r>
      <w:r w:rsidR="00CC55C0" w:rsidRPr="0071228C">
        <w:rPr>
          <w:noProof/>
        </w:rPr>
        <w:t>pań</w:t>
      </w:r>
      <w:r w:rsidRPr="0071228C">
        <w:rPr>
          <w:noProof/>
        </w:rPr>
        <w:t>stwach członkowskich istnieją duże rozbieżności pod względem monitorowania. Większość państw członkowskich już teraz częściej gromadzi obszerniejsze informacje</w:t>
      </w:r>
      <w:r w:rsidR="00CC55C0" w:rsidRPr="0071228C">
        <w:rPr>
          <w:noProof/>
        </w:rPr>
        <w:t xml:space="preserve"> o</w:t>
      </w:r>
      <w:r w:rsidR="00CC55C0">
        <w:rPr>
          <w:noProof/>
        </w:rPr>
        <w:t> </w:t>
      </w:r>
      <w:r w:rsidR="00CC55C0" w:rsidRPr="0071228C">
        <w:rPr>
          <w:noProof/>
        </w:rPr>
        <w:t>wię</w:t>
      </w:r>
      <w:r w:rsidRPr="0071228C">
        <w:rPr>
          <w:noProof/>
        </w:rPr>
        <w:t>kszej liczbie substancji zanieczyszczających niż wymaga tego dyrektywa. Jednak</w:t>
      </w:r>
      <w:r w:rsidR="00CC55C0" w:rsidRPr="0071228C">
        <w:rPr>
          <w:noProof/>
        </w:rPr>
        <w:t xml:space="preserve"> w</w:t>
      </w:r>
      <w:r w:rsidR="00CC55C0">
        <w:rPr>
          <w:noProof/>
        </w:rPr>
        <w:t> </w:t>
      </w:r>
      <w:r w:rsidR="00CC55C0" w:rsidRPr="0071228C">
        <w:rPr>
          <w:noProof/>
        </w:rPr>
        <w:t>wie</w:t>
      </w:r>
      <w:r w:rsidRPr="0071228C">
        <w:rPr>
          <w:noProof/>
        </w:rPr>
        <w:t>lu przypadkach wiedza dotycząca jakości</w:t>
      </w:r>
      <w:r w:rsidR="00CC55C0" w:rsidRPr="0071228C">
        <w:rPr>
          <w:noProof/>
        </w:rPr>
        <w:t xml:space="preserve"> i</w:t>
      </w:r>
      <w:r w:rsidR="00CC55C0">
        <w:rPr>
          <w:noProof/>
        </w:rPr>
        <w:t> </w:t>
      </w:r>
      <w:r w:rsidR="00CC55C0" w:rsidRPr="0071228C">
        <w:rPr>
          <w:noProof/>
        </w:rPr>
        <w:t>ilo</w:t>
      </w:r>
      <w:r w:rsidRPr="0071228C">
        <w:rPr>
          <w:noProof/>
        </w:rPr>
        <w:t>ści ścieków jest niewystarczająca. Dzięki lepszemu zrozumieniu rzeczywistego poziomu obciążenia</w:t>
      </w:r>
      <w:r w:rsidR="00CC55C0" w:rsidRPr="0071228C">
        <w:rPr>
          <w:noProof/>
        </w:rPr>
        <w:t xml:space="preserve"> w</w:t>
      </w:r>
      <w:r w:rsidR="00CC55C0">
        <w:rPr>
          <w:noProof/>
        </w:rPr>
        <w:t> </w:t>
      </w:r>
      <w:r w:rsidR="00CC55C0" w:rsidRPr="0071228C">
        <w:rPr>
          <w:noProof/>
        </w:rPr>
        <w:t>zak</w:t>
      </w:r>
      <w:r w:rsidRPr="0071228C">
        <w:rPr>
          <w:noProof/>
        </w:rPr>
        <w:t>resie oczyszczania można było uniknąć kilku przypadków zawyżonego wymiarowania urządzeń,</w:t>
      </w:r>
      <w:r w:rsidR="00CC55C0" w:rsidRPr="0071228C">
        <w:rPr>
          <w:noProof/>
        </w:rPr>
        <w:t xml:space="preserve"> a</w:t>
      </w:r>
      <w:r w:rsidR="00CC55C0">
        <w:rPr>
          <w:noProof/>
        </w:rPr>
        <w:t> </w:t>
      </w:r>
      <w:r w:rsidR="00CC55C0" w:rsidRPr="0071228C">
        <w:rPr>
          <w:noProof/>
        </w:rPr>
        <w:t>tak</w:t>
      </w:r>
      <w:r w:rsidRPr="0071228C">
        <w:rPr>
          <w:noProof/>
        </w:rPr>
        <w:t>że pojemności zbiorników, co prowadziło do powstania nadmiernych kosztów oraz nieefektywnego odbioru</w:t>
      </w:r>
      <w:r w:rsidR="00CC55C0" w:rsidRPr="0071228C">
        <w:rPr>
          <w:noProof/>
        </w:rPr>
        <w:t xml:space="preserve"> i</w:t>
      </w:r>
      <w:r w:rsidR="00CC55C0">
        <w:rPr>
          <w:noProof/>
        </w:rPr>
        <w:t> </w:t>
      </w:r>
      <w:r w:rsidR="00CC55C0" w:rsidRPr="0071228C">
        <w:rPr>
          <w:noProof/>
        </w:rPr>
        <w:t>ocz</w:t>
      </w:r>
      <w:r w:rsidRPr="0071228C">
        <w:rPr>
          <w:noProof/>
        </w:rPr>
        <w:t>yszczania ścieków.</w:t>
      </w:r>
    </w:p>
    <w:p w14:paraId="35B2C137" w14:textId="4FBE416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noProof/>
        </w:rPr>
        <w:t>Można poprawić</w:t>
      </w:r>
      <w:r w:rsidR="00CC55C0" w:rsidRPr="0071228C">
        <w:rPr>
          <w:noProof/>
        </w:rPr>
        <w:t xml:space="preserve"> i</w:t>
      </w:r>
      <w:r w:rsidR="00CC55C0">
        <w:rPr>
          <w:noProof/>
        </w:rPr>
        <w:t> </w:t>
      </w:r>
      <w:r w:rsidR="00CC55C0" w:rsidRPr="0071228C">
        <w:rPr>
          <w:noProof/>
        </w:rPr>
        <w:t>uno</w:t>
      </w:r>
      <w:r w:rsidRPr="0071228C">
        <w:rPr>
          <w:noProof/>
        </w:rPr>
        <w:t>wocześnić wymogi dotyczące sprawozdawczości określone</w:t>
      </w:r>
      <w:r w:rsidR="00CC55C0" w:rsidRPr="0071228C">
        <w:rPr>
          <w:noProof/>
        </w:rPr>
        <w:t xml:space="preserve"> w</w:t>
      </w:r>
      <w:r w:rsidR="00CC55C0">
        <w:rPr>
          <w:noProof/>
        </w:rPr>
        <w:t> </w:t>
      </w:r>
      <w:r w:rsidR="00CC55C0" w:rsidRPr="0071228C">
        <w:rPr>
          <w:noProof/>
        </w:rPr>
        <w:t>dyr</w:t>
      </w:r>
      <w:r w:rsidRPr="0071228C">
        <w:rPr>
          <w:noProof/>
        </w:rPr>
        <w:t xml:space="preserve">ektywie, aby zapewnić jej lepsze egzekwowanie. </w:t>
      </w:r>
    </w:p>
    <w:p w14:paraId="25AB1BF2"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305BD8E6"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71228C">
        <w:rPr>
          <w:noProof/>
          <w:u w:val="single"/>
        </w:rPr>
        <w:t>Przepisy dotyczące jakości powietrza:</w:t>
      </w:r>
    </w:p>
    <w:p w14:paraId="4E9CBC0E" w14:textId="0F08ECB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Wnioski wyciągnięte</w:t>
      </w:r>
      <w:r w:rsidR="00CC55C0" w:rsidRPr="0071228C">
        <w:rPr>
          <w:noProof/>
        </w:rPr>
        <w:t xml:space="preserve"> z</w:t>
      </w:r>
      <w:r w:rsidR="00CC55C0">
        <w:rPr>
          <w:noProof/>
        </w:rPr>
        <w:t> </w:t>
      </w:r>
      <w:r w:rsidR="00CC55C0" w:rsidRPr="0071228C">
        <w:rPr>
          <w:noProof/>
        </w:rPr>
        <w:t>oce</w:t>
      </w:r>
      <w:r w:rsidRPr="0071228C">
        <w:rPr>
          <w:noProof/>
        </w:rPr>
        <w:t>ny adekwatności prawodawstwa dotyczącego jakości powietrza opublikowane</w:t>
      </w:r>
      <w:r w:rsidR="00CC55C0" w:rsidRPr="0071228C">
        <w:rPr>
          <w:noProof/>
        </w:rPr>
        <w:t xml:space="preserve"> w</w:t>
      </w:r>
      <w:r w:rsidR="00CC55C0">
        <w:rPr>
          <w:noProof/>
        </w:rPr>
        <w:t> </w:t>
      </w:r>
      <w:r w:rsidR="00CC55C0" w:rsidRPr="0071228C">
        <w:rPr>
          <w:noProof/>
        </w:rPr>
        <w:t>lis</w:t>
      </w:r>
      <w:r w:rsidRPr="0071228C">
        <w:rPr>
          <w:noProof/>
        </w:rPr>
        <w:t>topadzie 20</w:t>
      </w:r>
      <w:r w:rsidRPr="00CC55C0">
        <w:rPr>
          <w:noProof/>
        </w:rPr>
        <w:t>19</w:t>
      </w:r>
      <w:r w:rsidR="00CC55C0" w:rsidRPr="00CC55C0">
        <w:rPr>
          <w:noProof/>
        </w:rPr>
        <w:t> </w:t>
      </w:r>
      <w:r w:rsidRPr="00CC55C0">
        <w:rPr>
          <w:noProof/>
        </w:rPr>
        <w:t>r.</w:t>
      </w:r>
      <w:r w:rsidRPr="0071228C">
        <w:rPr>
          <w:noProof/>
        </w:rPr>
        <w:t xml:space="preserve"> – SWD(2019)427 </w:t>
      </w:r>
      <w:r w:rsidRPr="0071228C">
        <w:rPr>
          <w:i/>
          <w:noProof/>
        </w:rPr>
        <w:t>final</w:t>
      </w:r>
      <w:r w:rsidRPr="0071228C">
        <w:rPr>
          <w:noProof/>
        </w:rPr>
        <w:t xml:space="preserve">. </w:t>
      </w:r>
    </w:p>
    <w:p w14:paraId="6DE75061" w14:textId="06D7FA56" w:rsidR="001C0111" w:rsidRPr="0071228C"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0"/>
        </w:rPr>
      </w:pPr>
      <w:r w:rsidRPr="0071228C">
        <w:rPr>
          <w:noProof/>
        </w:rPr>
        <w:t>Z przedmiotowej oceny adekwatności wynika, że dyrektywy</w:t>
      </w:r>
      <w:r w:rsidR="00CC55C0" w:rsidRPr="0071228C">
        <w:rPr>
          <w:noProof/>
        </w:rPr>
        <w:t xml:space="preserve"> w</w:t>
      </w:r>
      <w:r w:rsidR="00CC55C0">
        <w:rPr>
          <w:noProof/>
        </w:rPr>
        <w:t> </w:t>
      </w:r>
      <w:r w:rsidR="00CC55C0" w:rsidRPr="0071228C">
        <w:rPr>
          <w:noProof/>
        </w:rPr>
        <w:t>spr</w:t>
      </w:r>
      <w:r w:rsidRPr="0071228C">
        <w:rPr>
          <w:noProof/>
        </w:rPr>
        <w:t>awie jakości powietrza były częściowo skuteczne</w:t>
      </w:r>
      <w:r w:rsidR="00CC55C0" w:rsidRPr="0071228C">
        <w:rPr>
          <w:noProof/>
        </w:rPr>
        <w:t xml:space="preserve"> w</w:t>
      </w:r>
      <w:r w:rsidR="00CC55C0">
        <w:rPr>
          <w:noProof/>
        </w:rPr>
        <w:t> </w:t>
      </w:r>
      <w:r w:rsidR="00CC55C0" w:rsidRPr="0071228C">
        <w:rPr>
          <w:noProof/>
        </w:rPr>
        <w:t>pop</w:t>
      </w:r>
      <w:r w:rsidRPr="0071228C">
        <w:rPr>
          <w:noProof/>
        </w:rPr>
        <w:t>rawianiu jakości powietrza</w:t>
      </w:r>
      <w:r w:rsidR="00CC55C0" w:rsidRPr="0071228C">
        <w:rPr>
          <w:noProof/>
        </w:rPr>
        <w:t xml:space="preserve"> i</w:t>
      </w:r>
      <w:r w:rsidR="00CC55C0">
        <w:rPr>
          <w:noProof/>
        </w:rPr>
        <w:t> </w:t>
      </w:r>
      <w:r w:rsidR="00CC55C0" w:rsidRPr="0071228C">
        <w:rPr>
          <w:noProof/>
        </w:rPr>
        <w:t>osi</w:t>
      </w:r>
      <w:r w:rsidRPr="0071228C">
        <w:rPr>
          <w:noProof/>
        </w:rPr>
        <w:t>ąganiu norm jakości powietrza, ale nie wszystkie ich cele zostały dotychczas osiągnięte: dzięki dyrektywom wprowadzono reprezentatywne, wysokiej jakości monitorowanie jakości powietrza, określono jasne normy jakości powietrza</w:t>
      </w:r>
      <w:r w:rsidR="00CC55C0" w:rsidRPr="0071228C">
        <w:rPr>
          <w:noProof/>
        </w:rPr>
        <w:t xml:space="preserve"> i</w:t>
      </w:r>
      <w:r w:rsidR="00CC55C0">
        <w:rPr>
          <w:noProof/>
        </w:rPr>
        <w:t> </w:t>
      </w:r>
      <w:r w:rsidR="00CC55C0" w:rsidRPr="0071228C">
        <w:rPr>
          <w:noProof/>
        </w:rPr>
        <w:t>uła</w:t>
      </w:r>
      <w:r w:rsidRPr="0071228C">
        <w:rPr>
          <w:noProof/>
        </w:rPr>
        <w:t>twiono wymianę wiarygodnych, obiektywnych</w:t>
      </w:r>
      <w:r w:rsidR="00CC55C0" w:rsidRPr="0071228C">
        <w:rPr>
          <w:noProof/>
        </w:rPr>
        <w:t xml:space="preserve"> i</w:t>
      </w:r>
      <w:r w:rsidR="00CC55C0">
        <w:rPr>
          <w:noProof/>
        </w:rPr>
        <w:t> </w:t>
      </w:r>
      <w:r w:rsidR="00CC55C0" w:rsidRPr="0071228C">
        <w:rPr>
          <w:noProof/>
        </w:rPr>
        <w:t>por</w:t>
      </w:r>
      <w:r w:rsidRPr="0071228C">
        <w:rPr>
          <w:noProof/>
        </w:rPr>
        <w:t>ównywalnych informacji na temat jakości powietrza,</w:t>
      </w:r>
      <w:r w:rsidR="00CC55C0" w:rsidRPr="0071228C">
        <w:rPr>
          <w:noProof/>
        </w:rPr>
        <w:t xml:space="preserve"> w</w:t>
      </w:r>
      <w:r w:rsidR="00CC55C0">
        <w:rPr>
          <w:noProof/>
        </w:rPr>
        <w:t> </w:t>
      </w:r>
      <w:r w:rsidR="00CC55C0" w:rsidRPr="0071228C">
        <w:rPr>
          <w:noProof/>
        </w:rPr>
        <w:t>tym</w:t>
      </w:r>
      <w:r w:rsidRPr="0071228C">
        <w:rPr>
          <w:noProof/>
        </w:rPr>
        <w:t xml:space="preserve"> dla szerszej publiczności. Okazały się one jednak mniej skuteczne pod względem zapewnienia wystarczających działań</w:t>
      </w:r>
      <w:r w:rsidR="00CC55C0" w:rsidRPr="0071228C">
        <w:rPr>
          <w:noProof/>
        </w:rPr>
        <w:t xml:space="preserve"> w</w:t>
      </w:r>
      <w:r w:rsidR="00CC55C0">
        <w:rPr>
          <w:noProof/>
        </w:rPr>
        <w:t> </w:t>
      </w:r>
      <w:r w:rsidR="00CC55C0" w:rsidRPr="0071228C">
        <w:rPr>
          <w:noProof/>
        </w:rPr>
        <w:t>cel</w:t>
      </w:r>
      <w:r w:rsidRPr="0071228C">
        <w:rPr>
          <w:noProof/>
        </w:rPr>
        <w:t>u spełnienia norm jakości powietrza</w:t>
      </w:r>
      <w:r w:rsidR="00CC55C0" w:rsidRPr="0071228C">
        <w:rPr>
          <w:noProof/>
        </w:rPr>
        <w:t xml:space="preserve"> i</w:t>
      </w:r>
      <w:r w:rsidR="00CC55C0">
        <w:rPr>
          <w:noProof/>
        </w:rPr>
        <w:t> </w:t>
      </w:r>
      <w:r w:rsidR="00CC55C0" w:rsidRPr="0071228C">
        <w:rPr>
          <w:noProof/>
        </w:rPr>
        <w:t>utr</w:t>
      </w:r>
      <w:r w:rsidRPr="0071228C">
        <w:rPr>
          <w:noProof/>
        </w:rPr>
        <w:t>zymania jak najkrótszych okresów przekroczeń, choć</w:t>
      </w:r>
      <w:r w:rsidR="00CC55C0" w:rsidRPr="0071228C">
        <w:rPr>
          <w:noProof/>
        </w:rPr>
        <w:t xml:space="preserve"> z</w:t>
      </w:r>
      <w:r w:rsidR="00CC55C0">
        <w:rPr>
          <w:noProof/>
        </w:rPr>
        <w:t> </w:t>
      </w:r>
      <w:r w:rsidR="00CC55C0" w:rsidRPr="0071228C">
        <w:rPr>
          <w:noProof/>
        </w:rPr>
        <w:t>dru</w:t>
      </w:r>
      <w:r w:rsidRPr="0071228C">
        <w:rPr>
          <w:noProof/>
        </w:rPr>
        <w:t>giej strony nastąpił trend spadkowy</w:t>
      </w:r>
      <w:r w:rsidR="00CC55C0" w:rsidRPr="0071228C">
        <w:rPr>
          <w:noProof/>
        </w:rPr>
        <w:t xml:space="preserve"> w</w:t>
      </w:r>
      <w:r w:rsidR="00CC55C0">
        <w:rPr>
          <w:noProof/>
        </w:rPr>
        <w:t> </w:t>
      </w:r>
      <w:r w:rsidR="00CC55C0" w:rsidRPr="0071228C">
        <w:rPr>
          <w:noProof/>
        </w:rPr>
        <w:t>zak</w:t>
      </w:r>
      <w:r w:rsidRPr="0071228C">
        <w:rPr>
          <w:noProof/>
        </w:rPr>
        <w:t>resie zanieczyszczeń powietrza oraz ograniczenie liczby</w:t>
      </w:r>
      <w:r w:rsidR="00CC55C0" w:rsidRPr="0071228C">
        <w:rPr>
          <w:noProof/>
        </w:rPr>
        <w:t xml:space="preserve"> i</w:t>
      </w:r>
      <w:r w:rsidR="00CC55C0">
        <w:rPr>
          <w:noProof/>
        </w:rPr>
        <w:t> </w:t>
      </w:r>
      <w:r w:rsidR="00CC55C0" w:rsidRPr="0071228C">
        <w:rPr>
          <w:noProof/>
        </w:rPr>
        <w:t>wie</w:t>
      </w:r>
      <w:r w:rsidRPr="0071228C">
        <w:rPr>
          <w:noProof/>
        </w:rPr>
        <w:t xml:space="preserve">lkości przekroczeń. </w:t>
      </w:r>
    </w:p>
    <w:p w14:paraId="5E039DA3" w14:textId="7AC073B0"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rPr>
        <w:t>Uwzględniono również wnioski</w:t>
      </w:r>
      <w:r w:rsidR="00CC55C0" w:rsidRPr="0071228C">
        <w:rPr>
          <w:noProof/>
        </w:rPr>
        <w:t xml:space="preserve"> z</w:t>
      </w:r>
      <w:r w:rsidR="00CC55C0">
        <w:rPr>
          <w:noProof/>
        </w:rPr>
        <w:t> </w:t>
      </w:r>
      <w:r w:rsidR="00CC55C0" w:rsidRPr="0071228C">
        <w:rPr>
          <w:noProof/>
        </w:rPr>
        <w:t>oce</w:t>
      </w:r>
      <w:r w:rsidRPr="0071228C">
        <w:rPr>
          <w:noProof/>
        </w:rPr>
        <w:t>ny adekwatności dotyczącej monitorowania</w:t>
      </w:r>
      <w:r w:rsidR="00CC55C0" w:rsidRPr="0071228C">
        <w:rPr>
          <w:noProof/>
        </w:rPr>
        <w:t xml:space="preserve"> i</w:t>
      </w:r>
      <w:r w:rsidR="00CC55C0">
        <w:rPr>
          <w:noProof/>
        </w:rPr>
        <w:t> </w:t>
      </w:r>
      <w:r w:rsidR="00CC55C0" w:rsidRPr="0071228C">
        <w:rPr>
          <w:noProof/>
        </w:rPr>
        <w:t>spr</w:t>
      </w:r>
      <w:r w:rsidRPr="0071228C">
        <w:rPr>
          <w:noProof/>
        </w:rPr>
        <w:t>awozdawczości</w:t>
      </w:r>
      <w:r w:rsidR="00CC55C0" w:rsidRPr="0071228C">
        <w:rPr>
          <w:noProof/>
        </w:rPr>
        <w:t xml:space="preserve"> w</w:t>
      </w:r>
      <w:r w:rsidR="00CC55C0">
        <w:rPr>
          <w:noProof/>
        </w:rPr>
        <w:t> </w:t>
      </w:r>
      <w:r w:rsidR="00CC55C0" w:rsidRPr="0071228C">
        <w:rPr>
          <w:noProof/>
        </w:rPr>
        <w:t>pol</w:t>
      </w:r>
      <w:r w:rsidRPr="0071228C">
        <w:rPr>
          <w:noProof/>
        </w:rPr>
        <w:t xml:space="preserve">ityce ochrony środowiska (SWD(2017) 230 </w:t>
      </w:r>
      <w:r w:rsidRPr="0071228C">
        <w:rPr>
          <w:i/>
          <w:noProof/>
        </w:rPr>
        <w:t>final</w:t>
      </w:r>
      <w:r w:rsidRPr="0071228C">
        <w:rPr>
          <w:noProof/>
        </w:rPr>
        <w:t>)</w:t>
      </w:r>
      <w:r w:rsidR="00CC55C0" w:rsidRPr="0071228C">
        <w:rPr>
          <w:noProof/>
        </w:rPr>
        <w:t xml:space="preserve"> w</w:t>
      </w:r>
      <w:r w:rsidR="00CC55C0">
        <w:rPr>
          <w:noProof/>
        </w:rPr>
        <w:t> </w:t>
      </w:r>
      <w:r w:rsidR="00CC55C0" w:rsidRPr="0071228C">
        <w:rPr>
          <w:noProof/>
        </w:rPr>
        <w:t>odn</w:t>
      </w:r>
      <w:r w:rsidRPr="0071228C">
        <w:rPr>
          <w:noProof/>
        </w:rPr>
        <w:t>iesieniu do przepisów dotyczących jakości powietrza</w:t>
      </w:r>
      <w:r w:rsidR="00CC55C0" w:rsidRPr="0071228C">
        <w:rPr>
          <w:noProof/>
        </w:rPr>
        <w:t>. W</w:t>
      </w:r>
      <w:r w:rsidR="00CC55C0">
        <w:rPr>
          <w:noProof/>
        </w:rPr>
        <w:t> </w:t>
      </w:r>
      <w:r w:rsidR="00CC55C0" w:rsidRPr="0071228C">
        <w:rPr>
          <w:noProof/>
        </w:rPr>
        <w:t>szc</w:t>
      </w:r>
      <w:r w:rsidRPr="0071228C">
        <w:rPr>
          <w:noProof/>
        </w:rPr>
        <w:t>zególności</w:t>
      </w:r>
      <w:r w:rsidR="00CC55C0" w:rsidRPr="0071228C">
        <w:rPr>
          <w:noProof/>
        </w:rPr>
        <w:t xml:space="preserve"> z</w:t>
      </w:r>
      <w:r w:rsidR="00CC55C0">
        <w:rPr>
          <w:noProof/>
        </w:rPr>
        <w:t> </w:t>
      </w:r>
      <w:r w:rsidR="00CC55C0" w:rsidRPr="0071228C">
        <w:rPr>
          <w:noProof/>
        </w:rPr>
        <w:t>oce</w:t>
      </w:r>
      <w:r w:rsidRPr="0071228C">
        <w:rPr>
          <w:noProof/>
        </w:rPr>
        <w:t>ny adekwatności wynika, że</w:t>
      </w:r>
      <w:r w:rsidR="00CC55C0" w:rsidRPr="0071228C">
        <w:rPr>
          <w:noProof/>
        </w:rPr>
        <w:t xml:space="preserve"> w</w:t>
      </w:r>
      <w:r w:rsidR="00CC55C0">
        <w:rPr>
          <w:noProof/>
        </w:rPr>
        <w:t> </w:t>
      </w:r>
      <w:r w:rsidR="00CC55C0" w:rsidRPr="0071228C">
        <w:rPr>
          <w:noProof/>
        </w:rPr>
        <w:t>prz</w:t>
      </w:r>
      <w:r w:rsidRPr="0071228C">
        <w:rPr>
          <w:noProof/>
        </w:rPr>
        <w:t>ypadku jakości powietrza</w:t>
      </w:r>
      <w:r w:rsidR="00CC55C0" w:rsidRPr="0071228C">
        <w:rPr>
          <w:noProof/>
        </w:rPr>
        <w:t xml:space="preserve"> w</w:t>
      </w:r>
      <w:r w:rsidR="00CC55C0">
        <w:rPr>
          <w:noProof/>
        </w:rPr>
        <w:t> </w:t>
      </w:r>
      <w:r w:rsidR="00CC55C0" w:rsidRPr="0071228C">
        <w:rPr>
          <w:noProof/>
        </w:rPr>
        <w:t>spr</w:t>
      </w:r>
      <w:r w:rsidRPr="0071228C">
        <w:rPr>
          <w:noProof/>
        </w:rPr>
        <w:t>awozdawczości wykorzystuje się najnowocześniejsze metody elektronicznego zgłaszania, dzięki którym informacje dotyczące jakości powietrza są udostępniane</w:t>
      </w:r>
      <w:r w:rsidR="00CC55C0" w:rsidRPr="0071228C">
        <w:rPr>
          <w:noProof/>
        </w:rPr>
        <w:t xml:space="preserve"> w</w:t>
      </w:r>
      <w:r w:rsidR="00CC55C0">
        <w:rPr>
          <w:noProof/>
        </w:rPr>
        <w:t> </w:t>
      </w:r>
      <w:r w:rsidR="00CC55C0" w:rsidRPr="0071228C">
        <w:rPr>
          <w:noProof/>
        </w:rPr>
        <w:t>for</w:t>
      </w:r>
      <w:r w:rsidRPr="0071228C">
        <w:rPr>
          <w:noProof/>
        </w:rPr>
        <w:t>mie znormalizowanej, czytelnej dla maszyn</w:t>
      </w:r>
      <w:r w:rsidR="00CC55C0" w:rsidRPr="0071228C">
        <w:rPr>
          <w:noProof/>
        </w:rPr>
        <w:t xml:space="preserve"> i</w:t>
      </w:r>
      <w:r w:rsidR="00CC55C0">
        <w:rPr>
          <w:noProof/>
        </w:rPr>
        <w:t> </w:t>
      </w:r>
      <w:r w:rsidR="00CC55C0" w:rsidRPr="0071228C">
        <w:rPr>
          <w:noProof/>
        </w:rPr>
        <w:t>zgo</w:t>
      </w:r>
      <w:r w:rsidRPr="0071228C">
        <w:rPr>
          <w:noProof/>
        </w:rPr>
        <w:t>dnej z INSPIRE. Podejście to jest wyraźnie ukierunkowane na optymalizację ilości informacji udostępnianych przez państwa członkowskie, tak aby zmaksymalizować ich użyteczność</w:t>
      </w:r>
      <w:r w:rsidR="00CC55C0" w:rsidRPr="0071228C">
        <w:rPr>
          <w:noProof/>
        </w:rPr>
        <w:t xml:space="preserve"> i</w:t>
      </w:r>
      <w:r w:rsidR="00CC55C0">
        <w:rPr>
          <w:noProof/>
        </w:rPr>
        <w:t> </w:t>
      </w:r>
      <w:r w:rsidR="00CC55C0" w:rsidRPr="0071228C">
        <w:rPr>
          <w:noProof/>
        </w:rPr>
        <w:t>zmn</w:t>
      </w:r>
      <w:r w:rsidRPr="0071228C">
        <w:rPr>
          <w:noProof/>
        </w:rPr>
        <w:t>iejszyć obciążenia administracyjne – ale także pozostawia miejsce na dalsze usprawnienia na poziomie unijnym</w:t>
      </w:r>
      <w:r w:rsidR="00CC55C0" w:rsidRPr="0071228C">
        <w:rPr>
          <w:noProof/>
        </w:rPr>
        <w:t xml:space="preserve"> i</w:t>
      </w:r>
      <w:r w:rsidR="00CC55C0">
        <w:rPr>
          <w:noProof/>
        </w:rPr>
        <w:t> </w:t>
      </w:r>
      <w:r w:rsidR="00CC55C0" w:rsidRPr="0071228C">
        <w:rPr>
          <w:noProof/>
        </w:rPr>
        <w:t>kra</w:t>
      </w:r>
      <w:r w:rsidRPr="0071228C">
        <w:rPr>
          <w:noProof/>
        </w:rPr>
        <w:t>jowym (zwłaszcza</w:t>
      </w:r>
      <w:r w:rsidR="00CC55C0" w:rsidRPr="0071228C">
        <w:rPr>
          <w:noProof/>
        </w:rPr>
        <w:t xml:space="preserve"> w</w:t>
      </w:r>
      <w:r w:rsidR="00CC55C0">
        <w:rPr>
          <w:noProof/>
        </w:rPr>
        <w:t> </w:t>
      </w:r>
      <w:r w:rsidR="00CC55C0" w:rsidRPr="0071228C">
        <w:rPr>
          <w:noProof/>
        </w:rPr>
        <w:t>zak</w:t>
      </w:r>
      <w:r w:rsidRPr="0071228C">
        <w:rPr>
          <w:noProof/>
        </w:rPr>
        <w:t>resie nowych wymogów dotyczących sprawozdawczości).</w:t>
      </w:r>
    </w:p>
    <w:p w14:paraId="4BC34E8E"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 xml:space="preserve"> </w:t>
      </w:r>
    </w:p>
    <w:p w14:paraId="1EA97D59" w14:textId="21A2086C" w:rsidR="001C0111" w:rsidRPr="0071228C" w:rsidRDefault="001C0111" w:rsidP="002A2DB0">
      <w:pPr>
        <w:keepNext/>
        <w:outlineLvl w:val="2"/>
        <w:rPr>
          <w:rFonts w:eastAsiaTheme="majorEastAsia"/>
          <w:bCs/>
          <w:i/>
          <w:noProof/>
        </w:rPr>
      </w:pPr>
      <w:r w:rsidRPr="0071228C">
        <w:rPr>
          <w:i/>
          <w:noProof/>
        </w:rPr>
        <w:t>Spójność</w:t>
      </w:r>
      <w:r w:rsidR="00CC55C0" w:rsidRPr="0071228C">
        <w:rPr>
          <w:i/>
          <w:noProof/>
        </w:rPr>
        <w:t xml:space="preserve"> z</w:t>
      </w:r>
      <w:r w:rsidR="00CC55C0">
        <w:rPr>
          <w:i/>
          <w:noProof/>
        </w:rPr>
        <w:t> </w:t>
      </w:r>
      <w:r w:rsidR="00CC55C0" w:rsidRPr="0071228C">
        <w:rPr>
          <w:i/>
          <w:noProof/>
        </w:rPr>
        <w:t>wie</w:t>
      </w:r>
      <w:r w:rsidRPr="0071228C">
        <w:rPr>
          <w:i/>
          <w:noProof/>
        </w:rPr>
        <w:t>loletnimi ramami finansowymi oraz możliwa synergia</w:t>
      </w:r>
      <w:r w:rsidR="00CC55C0" w:rsidRPr="0071228C">
        <w:rPr>
          <w:i/>
          <w:noProof/>
        </w:rPr>
        <w:t xml:space="preserve"> z</w:t>
      </w:r>
      <w:r w:rsidR="00CC55C0">
        <w:rPr>
          <w:i/>
          <w:noProof/>
        </w:rPr>
        <w:t> </w:t>
      </w:r>
      <w:r w:rsidR="00CC55C0" w:rsidRPr="0071228C">
        <w:rPr>
          <w:i/>
          <w:noProof/>
        </w:rPr>
        <w:t>inn</w:t>
      </w:r>
      <w:r w:rsidRPr="0071228C">
        <w:rPr>
          <w:i/>
          <w:noProof/>
        </w:rPr>
        <w:t>ymi właściwymi instrumentami</w:t>
      </w:r>
      <w:bookmarkEnd w:id="29"/>
      <w:bookmarkEnd w:id="30"/>
    </w:p>
    <w:p w14:paraId="673A780D" w14:textId="122E04A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Niniejsze działanie jest spójne</w:t>
      </w:r>
      <w:r w:rsidR="00CC55C0" w:rsidRPr="0071228C">
        <w:rPr>
          <w:noProof/>
        </w:rPr>
        <w:t xml:space="preserve"> z</w:t>
      </w:r>
      <w:r w:rsidR="00CC55C0">
        <w:rPr>
          <w:noProof/>
        </w:rPr>
        <w:t> </w:t>
      </w:r>
      <w:r w:rsidR="00CC55C0" w:rsidRPr="0071228C">
        <w:rPr>
          <w:noProof/>
        </w:rPr>
        <w:t>pol</w:t>
      </w:r>
      <w:r w:rsidRPr="0071228C">
        <w:rPr>
          <w:noProof/>
        </w:rPr>
        <w:t>ityką UE</w:t>
      </w:r>
      <w:r w:rsidR="00CC55C0" w:rsidRPr="0071228C">
        <w:rPr>
          <w:noProof/>
        </w:rPr>
        <w:t xml:space="preserve"> w</w:t>
      </w:r>
      <w:r w:rsidR="00CC55C0">
        <w:rPr>
          <w:noProof/>
        </w:rPr>
        <w:t> </w:t>
      </w:r>
      <w:r w:rsidR="00CC55C0" w:rsidRPr="0071228C">
        <w:rPr>
          <w:noProof/>
        </w:rPr>
        <w:t>inn</w:t>
      </w:r>
      <w:r w:rsidRPr="0071228C">
        <w:rPr>
          <w:noProof/>
        </w:rPr>
        <w:t>ych dziedzinach oraz</w:t>
      </w:r>
      <w:r w:rsidR="00CC55C0" w:rsidRPr="0071228C">
        <w:rPr>
          <w:noProof/>
        </w:rPr>
        <w:t xml:space="preserve"> z</w:t>
      </w:r>
      <w:r w:rsidR="00CC55C0">
        <w:rPr>
          <w:noProof/>
        </w:rPr>
        <w:t> </w:t>
      </w:r>
      <w:r w:rsidR="00CC55C0" w:rsidRPr="0071228C">
        <w:rPr>
          <w:noProof/>
        </w:rPr>
        <w:t>bie</w:t>
      </w:r>
      <w:r w:rsidRPr="0071228C">
        <w:rPr>
          <w:noProof/>
        </w:rPr>
        <w:t>żącymi inicjatywami wynikającymi</w:t>
      </w:r>
      <w:r w:rsidR="00CC55C0" w:rsidRPr="0071228C">
        <w:rPr>
          <w:noProof/>
        </w:rPr>
        <w:t xml:space="preserve"> z</w:t>
      </w:r>
      <w:r w:rsidR="00CC55C0">
        <w:rPr>
          <w:noProof/>
        </w:rPr>
        <w:t> </w:t>
      </w:r>
      <w:r w:rsidR="00CC55C0" w:rsidRPr="0071228C">
        <w:rPr>
          <w:noProof/>
        </w:rPr>
        <w:t>Eur</w:t>
      </w:r>
      <w:r w:rsidRPr="0071228C">
        <w:rPr>
          <w:noProof/>
        </w:rPr>
        <w:t xml:space="preserve">opejskiego Zielonego Ładu. </w:t>
      </w:r>
    </w:p>
    <w:p w14:paraId="491C77D1" w14:textId="20C87634"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Inicjatywa wchodzi</w:t>
      </w:r>
      <w:r w:rsidR="00CC55C0" w:rsidRPr="0071228C">
        <w:rPr>
          <w:noProof/>
        </w:rPr>
        <w:t xml:space="preserve"> w</w:t>
      </w:r>
      <w:r w:rsidR="00CC55C0">
        <w:rPr>
          <w:noProof/>
        </w:rPr>
        <w:t> </w:t>
      </w:r>
      <w:r w:rsidR="00CC55C0" w:rsidRPr="0071228C">
        <w:rPr>
          <w:noProof/>
        </w:rPr>
        <w:t>zak</w:t>
      </w:r>
      <w:r w:rsidRPr="0071228C">
        <w:rPr>
          <w:noProof/>
        </w:rPr>
        <w:t>res działu 3 (Zasoby naturalne</w:t>
      </w:r>
      <w:r w:rsidR="00CC55C0" w:rsidRPr="0071228C">
        <w:rPr>
          <w:noProof/>
        </w:rPr>
        <w:t xml:space="preserve"> i</w:t>
      </w:r>
      <w:r w:rsidR="00CC55C0">
        <w:rPr>
          <w:noProof/>
        </w:rPr>
        <w:t> </w:t>
      </w:r>
      <w:r w:rsidR="00CC55C0" w:rsidRPr="0071228C">
        <w:rPr>
          <w:noProof/>
        </w:rPr>
        <w:t>śro</w:t>
      </w:r>
      <w:r w:rsidRPr="0071228C">
        <w:rPr>
          <w:noProof/>
        </w:rPr>
        <w:t>dowisko), tytułu 9 (Działania na rzecz środowiska</w:t>
      </w:r>
      <w:r w:rsidR="00CC55C0" w:rsidRPr="0071228C">
        <w:rPr>
          <w:noProof/>
        </w:rPr>
        <w:t xml:space="preserve"> i</w:t>
      </w:r>
      <w:r w:rsidR="00CC55C0">
        <w:rPr>
          <w:noProof/>
        </w:rPr>
        <w:t> </w:t>
      </w:r>
      <w:r w:rsidR="00CC55C0" w:rsidRPr="0071228C">
        <w:rPr>
          <w:noProof/>
        </w:rPr>
        <w:t>kli</w:t>
      </w:r>
      <w:r w:rsidRPr="0071228C">
        <w:rPr>
          <w:noProof/>
        </w:rPr>
        <w:t>matu) wieloletnich ram finansowych. Jak wyszczególniono poniżej, wprowadzenie tego aktu prawnego będzie wymagało dodatkowych zasobów ludzkich,</w:t>
      </w:r>
      <w:r w:rsidR="00CC55C0" w:rsidRPr="0071228C">
        <w:rPr>
          <w:noProof/>
        </w:rPr>
        <w:t xml:space="preserve"> a</w:t>
      </w:r>
      <w:r w:rsidR="00CC55C0">
        <w:rPr>
          <w:noProof/>
        </w:rPr>
        <w:t> </w:t>
      </w:r>
      <w:r w:rsidR="00CC55C0" w:rsidRPr="0071228C">
        <w:rPr>
          <w:noProof/>
        </w:rPr>
        <w:t>tak</w:t>
      </w:r>
      <w:r w:rsidRPr="0071228C">
        <w:rPr>
          <w:noProof/>
        </w:rPr>
        <w:t>że pewnych wydatków na wsparcie w EEA i ECHA. Odpowiedni wzrost dotacji dla agencji zostanie zrekompensowany</w:t>
      </w:r>
      <w:r w:rsidR="00CC55C0" w:rsidRPr="0071228C">
        <w:rPr>
          <w:noProof/>
        </w:rPr>
        <w:t xml:space="preserve"> z</w:t>
      </w:r>
      <w:r w:rsidR="00CC55C0">
        <w:rPr>
          <w:noProof/>
        </w:rPr>
        <w:t> </w:t>
      </w:r>
      <w:r w:rsidR="00CC55C0" w:rsidRPr="0071228C">
        <w:rPr>
          <w:noProof/>
        </w:rPr>
        <w:t>uni</w:t>
      </w:r>
      <w:r w:rsidRPr="0071228C">
        <w:rPr>
          <w:noProof/>
        </w:rPr>
        <w:t>jnego Programu działań na rzecz środowiska</w:t>
      </w:r>
      <w:r w:rsidR="00CC55C0" w:rsidRPr="0071228C">
        <w:rPr>
          <w:noProof/>
        </w:rPr>
        <w:t xml:space="preserve"> i</w:t>
      </w:r>
      <w:r w:rsidR="00CC55C0">
        <w:rPr>
          <w:noProof/>
        </w:rPr>
        <w:t> </w:t>
      </w:r>
      <w:r w:rsidR="00CC55C0" w:rsidRPr="0071228C">
        <w:rPr>
          <w:noProof/>
        </w:rPr>
        <w:t>kli</w:t>
      </w:r>
      <w:r w:rsidRPr="0071228C">
        <w:rPr>
          <w:noProof/>
        </w:rPr>
        <w:t>matu (LIFE) 2021–2027.</w:t>
      </w:r>
    </w:p>
    <w:p w14:paraId="642D78BF" w14:textId="5FD77152" w:rsidR="001C0111" w:rsidRPr="0071228C" w:rsidRDefault="001C0111" w:rsidP="002A2DB0">
      <w:pPr>
        <w:keepNext/>
        <w:outlineLvl w:val="2"/>
        <w:rPr>
          <w:rFonts w:eastAsiaTheme="majorEastAsia"/>
          <w:bCs/>
          <w:i/>
          <w:noProof/>
        </w:rPr>
      </w:pPr>
      <w:bookmarkStart w:id="31" w:name="_Toc514938036"/>
      <w:bookmarkStart w:id="32" w:name="_Toc520485039"/>
      <w:r w:rsidRPr="0071228C">
        <w:rPr>
          <w:i/>
          <w:noProof/>
        </w:rPr>
        <w:t>Ocena różnych dostępnych możliwości finansowania,</w:t>
      </w:r>
      <w:r w:rsidR="00CC55C0" w:rsidRPr="0071228C">
        <w:rPr>
          <w:i/>
          <w:noProof/>
        </w:rPr>
        <w:t xml:space="preserve"> w</w:t>
      </w:r>
      <w:r w:rsidR="00CC55C0">
        <w:rPr>
          <w:i/>
          <w:noProof/>
        </w:rPr>
        <w:t> </w:t>
      </w:r>
      <w:r w:rsidR="00CC55C0" w:rsidRPr="0071228C">
        <w:rPr>
          <w:i/>
          <w:noProof/>
        </w:rPr>
        <w:t>tym</w:t>
      </w:r>
      <w:r w:rsidRPr="0071228C">
        <w:rPr>
          <w:i/>
          <w:noProof/>
        </w:rPr>
        <w:t xml:space="preserve"> zakresu przegrupowania środków</w:t>
      </w:r>
      <w:bookmarkEnd w:id="31"/>
      <w:bookmarkEnd w:id="32"/>
    </w:p>
    <w:p w14:paraId="3F7E1FD6"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71228C">
        <w:rPr>
          <w:noProof/>
          <w:u w:val="single"/>
        </w:rPr>
        <w:t xml:space="preserve">Zintegrowana gospodarka wodna: </w:t>
      </w:r>
    </w:p>
    <w:p w14:paraId="64983686" w14:textId="679873E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b/>
          <w:noProof/>
        </w:rPr>
        <w:t>Wsparcie naukowe ze strony ECHA,</w:t>
      </w:r>
      <w:r w:rsidRPr="0071228C">
        <w:rPr>
          <w:noProof/>
        </w:rPr>
        <w:t xml:space="preserve"> </w:t>
      </w:r>
      <w:r w:rsidRPr="0071228C">
        <w:rPr>
          <w:b/>
          <w:noProof/>
        </w:rPr>
        <w:t>wcześniej zapewniane przez JRC, Komitet Naukowy ds. Zagrożeń dla Zdrowia</w:t>
      </w:r>
      <w:r w:rsidR="00CC55C0" w:rsidRPr="0071228C">
        <w:rPr>
          <w:b/>
          <w:noProof/>
        </w:rPr>
        <w:t xml:space="preserve"> i</w:t>
      </w:r>
      <w:r w:rsidR="00CC55C0">
        <w:rPr>
          <w:b/>
          <w:noProof/>
        </w:rPr>
        <w:t> </w:t>
      </w:r>
      <w:r w:rsidR="00CC55C0" w:rsidRPr="0071228C">
        <w:rPr>
          <w:b/>
          <w:noProof/>
        </w:rPr>
        <w:t>Śro</w:t>
      </w:r>
      <w:r w:rsidRPr="0071228C">
        <w:rPr>
          <w:b/>
          <w:noProof/>
        </w:rPr>
        <w:t>dowiska oraz Pojawiających się Zagrożeń, wykonawców</w:t>
      </w:r>
      <w:r w:rsidRPr="0071228C">
        <w:rPr>
          <w:noProof/>
        </w:rPr>
        <w:t xml:space="preserve"> </w:t>
      </w:r>
    </w:p>
    <w:p w14:paraId="3E708E18" w14:textId="55AE140D"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Wsparcie naukowe jest obecnie zapewniane</w:t>
      </w:r>
      <w:r w:rsidR="00CC55C0" w:rsidRPr="0071228C">
        <w:rPr>
          <w:noProof/>
        </w:rPr>
        <w:t xml:space="preserve"> w</w:t>
      </w:r>
      <w:r w:rsidR="00CC55C0">
        <w:rPr>
          <w:noProof/>
        </w:rPr>
        <w:t> </w:t>
      </w:r>
      <w:r w:rsidR="00CC55C0" w:rsidRPr="0071228C">
        <w:rPr>
          <w:noProof/>
        </w:rPr>
        <w:t>spo</w:t>
      </w:r>
      <w:r w:rsidRPr="0071228C">
        <w:rPr>
          <w:noProof/>
        </w:rPr>
        <w:t>sób niesystematyczny, ale opiera się raczej na szeregu uzgodnień administracyjnych z JRC, które podlegają częstym przeglądom</w:t>
      </w:r>
      <w:r w:rsidR="00CC55C0" w:rsidRPr="0071228C">
        <w:rPr>
          <w:noProof/>
        </w:rPr>
        <w:t xml:space="preserve"> i</w:t>
      </w:r>
      <w:r w:rsidR="00CC55C0">
        <w:rPr>
          <w:noProof/>
        </w:rPr>
        <w:t> </w:t>
      </w:r>
      <w:r w:rsidR="00CC55C0" w:rsidRPr="0071228C">
        <w:rPr>
          <w:noProof/>
        </w:rPr>
        <w:t>prz</w:t>
      </w:r>
      <w:r w:rsidRPr="0071228C">
        <w:rPr>
          <w:noProof/>
        </w:rPr>
        <w:t>edłużeniom, odnawialnych kontraktach</w:t>
      </w:r>
      <w:r w:rsidR="00CC55C0" w:rsidRPr="0071228C">
        <w:rPr>
          <w:noProof/>
        </w:rPr>
        <w:t xml:space="preserve"> z</w:t>
      </w:r>
      <w:r w:rsidR="00CC55C0">
        <w:rPr>
          <w:noProof/>
        </w:rPr>
        <w:t> </w:t>
      </w:r>
      <w:r w:rsidR="00CC55C0" w:rsidRPr="0071228C">
        <w:rPr>
          <w:noProof/>
        </w:rPr>
        <w:t>nie</w:t>
      </w:r>
      <w:r w:rsidRPr="0071228C">
        <w:rPr>
          <w:noProof/>
        </w:rPr>
        <w:t>zależnymi specjalistami</w:t>
      </w:r>
      <w:r w:rsidR="00CC55C0" w:rsidRPr="0071228C">
        <w:rPr>
          <w:noProof/>
        </w:rPr>
        <w:t xml:space="preserve"> w</w:t>
      </w:r>
      <w:r w:rsidR="00CC55C0">
        <w:rPr>
          <w:noProof/>
        </w:rPr>
        <w:t> </w:t>
      </w:r>
      <w:r w:rsidR="00CC55C0" w:rsidRPr="0071228C">
        <w:rPr>
          <w:noProof/>
        </w:rPr>
        <w:t>dzi</w:t>
      </w:r>
      <w:r w:rsidRPr="0071228C">
        <w:rPr>
          <w:noProof/>
        </w:rPr>
        <w:t>edzinie wód podziemnych, wykonawcami uczestniczącymi</w:t>
      </w:r>
      <w:r w:rsidR="00CC55C0" w:rsidRPr="0071228C">
        <w:rPr>
          <w:noProof/>
        </w:rPr>
        <w:t xml:space="preserve"> w</w:t>
      </w:r>
      <w:r w:rsidR="00CC55C0">
        <w:rPr>
          <w:noProof/>
        </w:rPr>
        <w:t> </w:t>
      </w:r>
      <w:r w:rsidR="00CC55C0" w:rsidRPr="0071228C">
        <w:rPr>
          <w:noProof/>
        </w:rPr>
        <w:t>oce</w:t>
      </w:r>
      <w:r w:rsidRPr="0071228C">
        <w:rPr>
          <w:noProof/>
        </w:rPr>
        <w:t>nie skutków, zasobach własnych (zarówno JRC, jak i DG ENV); wiele zależy od wkładu państw członkowskich, zwłaszcza</w:t>
      </w:r>
      <w:r w:rsidR="00CC55C0" w:rsidRPr="0071228C">
        <w:rPr>
          <w:noProof/>
        </w:rPr>
        <w:t xml:space="preserve"> w</w:t>
      </w:r>
      <w:r w:rsidR="00CC55C0">
        <w:rPr>
          <w:noProof/>
        </w:rPr>
        <w:t> </w:t>
      </w:r>
      <w:r w:rsidR="00CC55C0" w:rsidRPr="0071228C">
        <w:rPr>
          <w:noProof/>
        </w:rPr>
        <w:t>dzi</w:t>
      </w:r>
      <w:r w:rsidRPr="0071228C">
        <w:rPr>
          <w:noProof/>
        </w:rPr>
        <w:t>edzinie, której dotyczy dyrektywa</w:t>
      </w:r>
      <w:r w:rsidR="00CC55C0" w:rsidRPr="0071228C">
        <w:rPr>
          <w:noProof/>
        </w:rPr>
        <w:t xml:space="preserve"> w</w:t>
      </w:r>
      <w:r w:rsidR="00CC55C0">
        <w:rPr>
          <w:noProof/>
        </w:rPr>
        <w:t> </w:t>
      </w:r>
      <w:r w:rsidR="00CC55C0" w:rsidRPr="0071228C">
        <w:rPr>
          <w:noProof/>
        </w:rPr>
        <w:t>spr</w:t>
      </w:r>
      <w:r w:rsidRPr="0071228C">
        <w:rPr>
          <w:noProof/>
        </w:rPr>
        <w:t>awie wód gruntowych. Komitet Naukowy ds. Zagrożeń dla Zdrowia</w:t>
      </w:r>
      <w:r w:rsidR="00CC55C0" w:rsidRPr="0071228C">
        <w:rPr>
          <w:noProof/>
        </w:rPr>
        <w:t xml:space="preserve"> i</w:t>
      </w:r>
      <w:r w:rsidR="00CC55C0">
        <w:rPr>
          <w:noProof/>
        </w:rPr>
        <w:t> </w:t>
      </w:r>
      <w:r w:rsidR="00CC55C0" w:rsidRPr="0071228C">
        <w:rPr>
          <w:noProof/>
        </w:rPr>
        <w:t>Śro</w:t>
      </w:r>
      <w:r w:rsidRPr="0071228C">
        <w:rPr>
          <w:noProof/>
        </w:rPr>
        <w:t>dowiska oraz Pojawiających się Zagrożeń pod kierownictwem Dyrekcji Generalnej ds. Zdrowia</w:t>
      </w:r>
      <w:r w:rsidR="00CC55C0" w:rsidRPr="0071228C">
        <w:rPr>
          <w:noProof/>
        </w:rPr>
        <w:t xml:space="preserve"> i</w:t>
      </w:r>
      <w:r w:rsidR="00CC55C0">
        <w:rPr>
          <w:noProof/>
        </w:rPr>
        <w:t> </w:t>
      </w:r>
      <w:r w:rsidR="00CC55C0" w:rsidRPr="0071228C">
        <w:rPr>
          <w:noProof/>
        </w:rPr>
        <w:t>Bez</w:t>
      </w:r>
      <w:r w:rsidRPr="0071228C">
        <w:rPr>
          <w:noProof/>
        </w:rPr>
        <w:t>pieczeństwa Żywności wydał wiele opinii naukowych (np.</w:t>
      </w:r>
      <w:r w:rsidR="00CC55C0" w:rsidRPr="0071228C">
        <w:rPr>
          <w:noProof/>
        </w:rPr>
        <w:t xml:space="preserve"> w</w:t>
      </w:r>
      <w:r w:rsidR="00CC55C0">
        <w:rPr>
          <w:noProof/>
        </w:rPr>
        <w:t> </w:t>
      </w:r>
      <w:r w:rsidR="00CC55C0" w:rsidRPr="0071228C">
        <w:rPr>
          <w:noProof/>
        </w:rPr>
        <w:t>ram</w:t>
      </w:r>
      <w:r w:rsidRPr="0071228C">
        <w:rPr>
          <w:noProof/>
        </w:rPr>
        <w:t>ach dyrektywy</w:t>
      </w:r>
      <w:r w:rsidR="00CC55C0" w:rsidRPr="0071228C">
        <w:rPr>
          <w:noProof/>
        </w:rPr>
        <w:t xml:space="preserve"> w</w:t>
      </w:r>
      <w:r w:rsidR="00CC55C0">
        <w:rPr>
          <w:noProof/>
        </w:rPr>
        <w:t> </w:t>
      </w:r>
      <w:r w:rsidR="00CC55C0" w:rsidRPr="0071228C">
        <w:rPr>
          <w:noProof/>
        </w:rPr>
        <w:t>spr</w:t>
      </w:r>
      <w:r w:rsidRPr="0071228C">
        <w:rPr>
          <w:noProof/>
        </w:rPr>
        <w:t>awie środowiskowych norm jakości Komitet Naukowy ds. Zagrożeń dla Zdrowia</w:t>
      </w:r>
      <w:r w:rsidR="00CC55C0" w:rsidRPr="0071228C">
        <w:rPr>
          <w:noProof/>
        </w:rPr>
        <w:t xml:space="preserve"> i</w:t>
      </w:r>
      <w:r w:rsidR="00CC55C0">
        <w:rPr>
          <w:noProof/>
        </w:rPr>
        <w:t> </w:t>
      </w:r>
      <w:r w:rsidR="00CC55C0" w:rsidRPr="0071228C">
        <w:rPr>
          <w:noProof/>
        </w:rPr>
        <w:t>Śro</w:t>
      </w:r>
      <w:r w:rsidRPr="0071228C">
        <w:rPr>
          <w:noProof/>
        </w:rPr>
        <w:t>dowiska oraz Pojawiających się Zagrożeń</w:t>
      </w:r>
      <w:r w:rsidR="00CC55C0" w:rsidRPr="0071228C">
        <w:rPr>
          <w:noProof/>
        </w:rPr>
        <w:t xml:space="preserve"> w</w:t>
      </w:r>
      <w:r w:rsidR="00CC55C0">
        <w:rPr>
          <w:noProof/>
        </w:rPr>
        <w:t> </w:t>
      </w:r>
      <w:r w:rsidR="00CC55C0" w:rsidRPr="0071228C">
        <w:rPr>
          <w:noProof/>
        </w:rPr>
        <w:t>okr</w:t>
      </w:r>
      <w:r w:rsidRPr="0071228C">
        <w:rPr>
          <w:noProof/>
        </w:rPr>
        <w:t>esie 2011–2022 wydał ponad 50 opinii). Nie pozwala to na wystarczająco skoordynowane, systematyczne, spójne</w:t>
      </w:r>
      <w:r w:rsidR="00CC55C0" w:rsidRPr="0071228C">
        <w:rPr>
          <w:noProof/>
        </w:rPr>
        <w:t xml:space="preserve"> i</w:t>
      </w:r>
      <w:r w:rsidR="00CC55C0">
        <w:rPr>
          <w:noProof/>
        </w:rPr>
        <w:t> </w:t>
      </w:r>
      <w:r w:rsidR="00CC55C0" w:rsidRPr="0071228C">
        <w:rPr>
          <w:noProof/>
        </w:rPr>
        <w:t>ter</w:t>
      </w:r>
      <w:r w:rsidRPr="0071228C">
        <w:rPr>
          <w:noProof/>
        </w:rPr>
        <w:t>minowe składanie wniosków. Jeśli chodzi o ECHA, to obecnie agencja nie ma prawnego mandatu do wykonywania jakichkolwiek zadań związanych</w:t>
      </w:r>
      <w:r w:rsidR="00CC55C0" w:rsidRPr="0071228C">
        <w:rPr>
          <w:noProof/>
        </w:rPr>
        <w:t xml:space="preserve"> z</w:t>
      </w:r>
      <w:r w:rsidR="00CC55C0">
        <w:rPr>
          <w:noProof/>
        </w:rPr>
        <w:t> </w:t>
      </w:r>
      <w:r w:rsidR="00CC55C0" w:rsidRPr="0071228C">
        <w:rPr>
          <w:noProof/>
        </w:rPr>
        <w:t>ram</w:t>
      </w:r>
      <w:r w:rsidRPr="0071228C">
        <w:rPr>
          <w:noProof/>
        </w:rPr>
        <w:t>ową dyrektywą wodną.</w:t>
      </w:r>
    </w:p>
    <w:p w14:paraId="7F07F945" w14:textId="50BB4D3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Wniosek ma na celu racjonalizację</w:t>
      </w:r>
      <w:r w:rsidR="00CC55C0" w:rsidRPr="0071228C">
        <w:rPr>
          <w:noProof/>
        </w:rPr>
        <w:t xml:space="preserve"> i</w:t>
      </w:r>
      <w:r w:rsidR="00CC55C0">
        <w:rPr>
          <w:noProof/>
        </w:rPr>
        <w:t> </w:t>
      </w:r>
      <w:r w:rsidR="00CC55C0" w:rsidRPr="0071228C">
        <w:rPr>
          <w:noProof/>
        </w:rPr>
        <w:t>usp</w:t>
      </w:r>
      <w:r w:rsidRPr="0071228C">
        <w:rPr>
          <w:noProof/>
        </w:rPr>
        <w:t>rawnienie procesu naukowego dzięki zastąpieniu tych niesystematycznych form wsparcia pojedynczym punktem kontaktowym na potrzeby całości wsparcia naukowego, czyli ECHA</w:t>
      </w:r>
      <w:r w:rsidR="00CC55C0" w:rsidRPr="0071228C">
        <w:rPr>
          <w:noProof/>
        </w:rPr>
        <w:t>. W</w:t>
      </w:r>
      <w:r w:rsidR="00CC55C0">
        <w:rPr>
          <w:noProof/>
        </w:rPr>
        <w:t> </w:t>
      </w:r>
      <w:r w:rsidR="00CC55C0" w:rsidRPr="0071228C">
        <w:rPr>
          <w:noProof/>
        </w:rPr>
        <w:t>ram</w:t>
      </w:r>
      <w:r w:rsidRPr="0071228C">
        <w:rPr>
          <w:noProof/>
        </w:rPr>
        <w:t>ach strategii</w:t>
      </w:r>
      <w:r w:rsidR="00CC55C0" w:rsidRPr="0071228C">
        <w:rPr>
          <w:noProof/>
        </w:rPr>
        <w:t xml:space="preserve"> w</w:t>
      </w:r>
      <w:r w:rsidR="00CC55C0">
        <w:rPr>
          <w:noProof/>
        </w:rPr>
        <w:t> </w:t>
      </w:r>
      <w:r w:rsidR="00CC55C0" w:rsidRPr="0071228C">
        <w:rPr>
          <w:noProof/>
        </w:rPr>
        <w:t>zak</w:t>
      </w:r>
      <w:r w:rsidRPr="0071228C">
        <w:rPr>
          <w:noProof/>
        </w:rPr>
        <w:t>resie chemikaliów na rzecz zrównoważoności oraz strategii „jedna substancja jedna ocena” ECHA będzie również odpowiedzialna za wszystkie naukowe aspekty wszystkich pozostałych przepisów dotyczących chemikaliów. Zagwarantuje to solidność naukową</w:t>
      </w:r>
      <w:r w:rsidR="00CC55C0" w:rsidRPr="0071228C">
        <w:rPr>
          <w:noProof/>
        </w:rPr>
        <w:t xml:space="preserve"> i</w:t>
      </w:r>
      <w:r w:rsidR="00CC55C0">
        <w:rPr>
          <w:noProof/>
        </w:rPr>
        <w:t> </w:t>
      </w:r>
      <w:r w:rsidR="00CC55C0" w:rsidRPr="0071228C">
        <w:rPr>
          <w:noProof/>
        </w:rPr>
        <w:t>umo</w:t>
      </w:r>
      <w:r w:rsidRPr="0071228C">
        <w:rPr>
          <w:noProof/>
        </w:rPr>
        <w:t>żliwi synergię między źródłami informacji</w:t>
      </w:r>
      <w:r w:rsidR="00CC55C0" w:rsidRPr="0071228C">
        <w:rPr>
          <w:noProof/>
        </w:rPr>
        <w:t xml:space="preserve"> w</w:t>
      </w:r>
      <w:r w:rsidR="00CC55C0">
        <w:rPr>
          <w:noProof/>
        </w:rPr>
        <w:t> </w:t>
      </w:r>
      <w:r w:rsidR="00CC55C0" w:rsidRPr="0071228C">
        <w:rPr>
          <w:noProof/>
        </w:rPr>
        <w:t>pra</w:t>
      </w:r>
      <w:r w:rsidRPr="0071228C">
        <w:rPr>
          <w:noProof/>
        </w:rPr>
        <w:t xml:space="preserve">wodawstwie. </w:t>
      </w:r>
    </w:p>
    <w:p w14:paraId="6FF2C200" w14:textId="788D391C"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Wkład wniesiony przez ECHA zostanie</w:t>
      </w:r>
      <w:r w:rsidR="00CC55C0" w:rsidRPr="0071228C">
        <w:rPr>
          <w:noProof/>
        </w:rPr>
        <w:t xml:space="preserve"> w</w:t>
      </w:r>
      <w:r w:rsidR="00CC55C0">
        <w:rPr>
          <w:noProof/>
        </w:rPr>
        <w:t> </w:t>
      </w:r>
      <w:r w:rsidR="00CC55C0" w:rsidRPr="0071228C">
        <w:rPr>
          <w:noProof/>
        </w:rPr>
        <w:t>peł</w:t>
      </w:r>
      <w:r w:rsidRPr="0071228C">
        <w:rPr>
          <w:noProof/>
        </w:rPr>
        <w:t>ni zrekompensowany ograniczeniem budżetu Programu działań na rzecz środowiska</w:t>
      </w:r>
      <w:r w:rsidR="00CC55C0" w:rsidRPr="0071228C">
        <w:rPr>
          <w:noProof/>
        </w:rPr>
        <w:t xml:space="preserve"> i</w:t>
      </w:r>
      <w:r w:rsidR="00CC55C0">
        <w:rPr>
          <w:noProof/>
        </w:rPr>
        <w:t> </w:t>
      </w:r>
      <w:r w:rsidR="00CC55C0" w:rsidRPr="0071228C">
        <w:rPr>
          <w:noProof/>
        </w:rPr>
        <w:t>kli</w:t>
      </w:r>
      <w:r w:rsidRPr="0071228C">
        <w:rPr>
          <w:noProof/>
        </w:rPr>
        <w:t>matu. Środki te są obecnie przeznaczane na bardziej niejednolite ramy zapewniania wsparcia naukowego (wykonawcy, uzgodnienia administracyjne JRC oraz opinie Komitetu Naukowego ds. Zagrożeń dla Zdrowia</w:t>
      </w:r>
      <w:r w:rsidR="00CC55C0" w:rsidRPr="0071228C">
        <w:rPr>
          <w:noProof/>
        </w:rPr>
        <w:t xml:space="preserve"> i</w:t>
      </w:r>
      <w:r w:rsidR="00CC55C0">
        <w:rPr>
          <w:noProof/>
        </w:rPr>
        <w:t> </w:t>
      </w:r>
      <w:r w:rsidR="00CC55C0" w:rsidRPr="0071228C">
        <w:rPr>
          <w:noProof/>
        </w:rPr>
        <w:t>Śro</w:t>
      </w:r>
      <w:r w:rsidRPr="0071228C">
        <w:rPr>
          <w:noProof/>
        </w:rPr>
        <w:t xml:space="preserve">dowiska oraz Pojawiających się Zagrożeń). </w:t>
      </w:r>
    </w:p>
    <w:p w14:paraId="4F09769B" w14:textId="2F7C3624" w:rsidR="001C0111" w:rsidRPr="0071228C" w:rsidRDefault="001C0111" w:rsidP="001C0111">
      <w:pPr>
        <w:pBdr>
          <w:top w:val="single" w:sz="4" w:space="1" w:color="auto"/>
          <w:left w:val="single" w:sz="4" w:space="4" w:color="auto"/>
          <w:bottom w:val="single" w:sz="4" w:space="1" w:color="auto"/>
          <w:right w:val="single" w:sz="4" w:space="4" w:color="auto"/>
        </w:pBdr>
        <w:ind w:left="850"/>
        <w:rPr>
          <w:b/>
          <w:noProof/>
        </w:rPr>
      </w:pPr>
      <w:r w:rsidRPr="0071228C">
        <w:rPr>
          <w:b/>
          <w:noProof/>
        </w:rPr>
        <w:t>Wsparcie</w:t>
      </w:r>
      <w:r w:rsidR="00CC55C0" w:rsidRPr="0071228C">
        <w:rPr>
          <w:b/>
          <w:noProof/>
        </w:rPr>
        <w:t xml:space="preserve"> w</w:t>
      </w:r>
      <w:r w:rsidR="00CC55C0">
        <w:rPr>
          <w:b/>
          <w:noProof/>
        </w:rPr>
        <w:t> </w:t>
      </w:r>
      <w:r w:rsidR="00CC55C0" w:rsidRPr="0071228C">
        <w:rPr>
          <w:b/>
          <w:noProof/>
        </w:rPr>
        <w:t>zak</w:t>
      </w:r>
      <w:r w:rsidRPr="0071228C">
        <w:rPr>
          <w:b/>
          <w:noProof/>
        </w:rPr>
        <w:t>resie centralizacji</w:t>
      </w:r>
      <w:r w:rsidR="00CC55C0" w:rsidRPr="0071228C">
        <w:rPr>
          <w:b/>
          <w:noProof/>
        </w:rPr>
        <w:t xml:space="preserve"> i</w:t>
      </w:r>
      <w:r w:rsidR="00CC55C0">
        <w:rPr>
          <w:b/>
          <w:noProof/>
        </w:rPr>
        <w:t> </w:t>
      </w:r>
      <w:r w:rsidR="00CC55C0" w:rsidRPr="0071228C">
        <w:rPr>
          <w:b/>
          <w:noProof/>
        </w:rPr>
        <w:t>prz</w:t>
      </w:r>
      <w:r w:rsidRPr="0071228C">
        <w:rPr>
          <w:b/>
          <w:noProof/>
        </w:rPr>
        <w:t>etwarzania danych dotyczących monitorowania</w:t>
      </w:r>
      <w:r w:rsidR="00CC55C0" w:rsidRPr="0071228C">
        <w:rPr>
          <w:b/>
          <w:noProof/>
        </w:rPr>
        <w:t xml:space="preserve"> i</w:t>
      </w:r>
      <w:r w:rsidR="00CC55C0">
        <w:rPr>
          <w:b/>
          <w:noProof/>
        </w:rPr>
        <w:t> </w:t>
      </w:r>
      <w:r w:rsidR="00CC55C0" w:rsidRPr="0071228C">
        <w:rPr>
          <w:b/>
          <w:noProof/>
        </w:rPr>
        <w:t>sta</w:t>
      </w:r>
      <w:r w:rsidRPr="0071228C">
        <w:rPr>
          <w:b/>
          <w:noProof/>
        </w:rPr>
        <w:t>nu wód – dodatkowe środki dla EEA</w:t>
      </w:r>
      <w:r w:rsidR="00CC55C0" w:rsidRPr="0071228C">
        <w:rPr>
          <w:b/>
          <w:noProof/>
        </w:rPr>
        <w:t xml:space="preserve"> w</w:t>
      </w:r>
      <w:r w:rsidR="00CC55C0">
        <w:rPr>
          <w:b/>
          <w:noProof/>
        </w:rPr>
        <w:t> </w:t>
      </w:r>
      <w:r w:rsidR="00CC55C0" w:rsidRPr="0071228C">
        <w:rPr>
          <w:b/>
          <w:noProof/>
        </w:rPr>
        <w:t>cel</w:t>
      </w:r>
      <w:r w:rsidRPr="0071228C">
        <w:rPr>
          <w:b/>
          <w:noProof/>
        </w:rPr>
        <w:t>u zapewnienia regularniejszego informowania</w:t>
      </w:r>
      <w:r w:rsidR="00CC55C0" w:rsidRPr="0071228C">
        <w:rPr>
          <w:b/>
          <w:noProof/>
        </w:rPr>
        <w:t xml:space="preserve"> o</w:t>
      </w:r>
      <w:r w:rsidR="00CC55C0">
        <w:rPr>
          <w:b/>
          <w:noProof/>
        </w:rPr>
        <w:t> </w:t>
      </w:r>
      <w:r w:rsidR="00CC55C0" w:rsidRPr="0071228C">
        <w:rPr>
          <w:b/>
          <w:noProof/>
        </w:rPr>
        <w:t>sta</w:t>
      </w:r>
      <w:r w:rsidRPr="0071228C">
        <w:rPr>
          <w:b/>
          <w:noProof/>
        </w:rPr>
        <w:t>nie wód – lepsze wdrażanie – identyfikacja nowych potrzeb</w:t>
      </w:r>
    </w:p>
    <w:p w14:paraId="3917F4D9" w14:textId="362E4D8B"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EEA (3,5 EPC) prowadzi obecnie</w:t>
      </w:r>
      <w:r w:rsidR="00CC55C0" w:rsidRPr="0071228C">
        <w:rPr>
          <w:noProof/>
        </w:rPr>
        <w:t xml:space="preserve"> i</w:t>
      </w:r>
      <w:r w:rsidR="00CC55C0">
        <w:rPr>
          <w:noProof/>
        </w:rPr>
        <w:t> </w:t>
      </w:r>
      <w:r w:rsidR="00CC55C0" w:rsidRPr="0071228C">
        <w:rPr>
          <w:noProof/>
        </w:rPr>
        <w:t>zar</w:t>
      </w:r>
      <w:r w:rsidRPr="0071228C">
        <w:rPr>
          <w:noProof/>
        </w:rPr>
        <w:t>ządza obszerną bazą danych informacji dotyczących wody, przekazywanych przez państwa członkowskie drogą elektroniczną co sześć lat; ta baza danych zawiera formalne plany gospodarowania wodami</w:t>
      </w:r>
      <w:r w:rsidR="00CC55C0" w:rsidRPr="0071228C">
        <w:rPr>
          <w:noProof/>
        </w:rPr>
        <w:t xml:space="preserve"> w</w:t>
      </w:r>
      <w:r w:rsidR="00CC55C0">
        <w:rPr>
          <w:noProof/>
        </w:rPr>
        <w:t> </w:t>
      </w:r>
      <w:r w:rsidR="00CC55C0" w:rsidRPr="0071228C">
        <w:rPr>
          <w:noProof/>
        </w:rPr>
        <w:t>dor</w:t>
      </w:r>
      <w:r w:rsidRPr="0071228C">
        <w:rPr>
          <w:noProof/>
        </w:rPr>
        <w:t>zeczu, które należy zgłaszać zgodnie</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1</w:t>
      </w:r>
      <w:r w:rsidRPr="0071228C">
        <w:rPr>
          <w:noProof/>
        </w:rPr>
        <w:t>3</w:t>
      </w:r>
      <w:r w:rsidR="00CC55C0" w:rsidRPr="0071228C">
        <w:rPr>
          <w:noProof/>
        </w:rPr>
        <w:t xml:space="preserve"> i</w:t>
      </w:r>
      <w:r w:rsidR="00CC55C0">
        <w:rPr>
          <w:noProof/>
        </w:rPr>
        <w:t> </w:t>
      </w:r>
      <w:r w:rsidR="00CC55C0" w:rsidRPr="0071228C">
        <w:rPr>
          <w:noProof/>
        </w:rPr>
        <w:t>1</w:t>
      </w:r>
      <w:r w:rsidRPr="0071228C">
        <w:rPr>
          <w:noProof/>
        </w:rPr>
        <w:t>5 dyrektywy 2000/60/WE,</w:t>
      </w:r>
      <w:r w:rsidR="00CC55C0" w:rsidRPr="0071228C">
        <w:rPr>
          <w:noProof/>
        </w:rPr>
        <w:t xml:space="preserve"> a</w:t>
      </w:r>
      <w:r w:rsidR="00CC55C0">
        <w:rPr>
          <w:noProof/>
        </w:rPr>
        <w:t> </w:t>
      </w:r>
      <w:r w:rsidR="00CC55C0" w:rsidRPr="0071228C">
        <w:rPr>
          <w:noProof/>
        </w:rPr>
        <w:t>tak</w:t>
      </w:r>
      <w:r w:rsidRPr="0071228C">
        <w:rPr>
          <w:noProof/>
        </w:rPr>
        <w:t>że dodatkowe informacje zgłaszane dobrowolnie drogą elektroniczną zgodnie</w:t>
      </w:r>
      <w:r w:rsidR="00CC55C0" w:rsidRPr="0071228C">
        <w:rPr>
          <w:noProof/>
        </w:rPr>
        <w:t xml:space="preserve"> z</w:t>
      </w:r>
      <w:r w:rsidR="00CC55C0">
        <w:rPr>
          <w:noProof/>
        </w:rPr>
        <w:t> </w:t>
      </w:r>
      <w:r w:rsidR="00CC55C0" w:rsidRPr="0071228C">
        <w:rPr>
          <w:noProof/>
        </w:rPr>
        <w:t>wyt</w:t>
      </w:r>
      <w:r w:rsidRPr="0071228C">
        <w:rPr>
          <w:noProof/>
        </w:rPr>
        <w:t>ycznymi opracowanymi przez KE we współpracy</w:t>
      </w:r>
      <w:r w:rsidR="00CC55C0" w:rsidRPr="0071228C">
        <w:rPr>
          <w:noProof/>
        </w:rPr>
        <w:t xml:space="preserve"> z</w:t>
      </w:r>
      <w:r w:rsidR="00CC55C0">
        <w:rPr>
          <w:noProof/>
        </w:rPr>
        <w:t> </w:t>
      </w:r>
      <w:r w:rsidR="00CC55C0" w:rsidRPr="0071228C">
        <w:rPr>
          <w:noProof/>
        </w:rPr>
        <w:t>pań</w:t>
      </w:r>
      <w:r w:rsidRPr="0071228C">
        <w:rPr>
          <w:noProof/>
        </w:rPr>
        <w:t xml:space="preserve">stwami członkowskimi. </w:t>
      </w:r>
    </w:p>
    <w:p w14:paraId="6718E8D2" w14:textId="601B7FB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Wspomniana baza danych nie zawiera jednak ani nie łączy się</w:t>
      </w:r>
      <w:r w:rsidR="00CC55C0" w:rsidRPr="0071228C">
        <w:rPr>
          <w:noProof/>
        </w:rPr>
        <w:t xml:space="preserve"> z</w:t>
      </w:r>
      <w:r w:rsidR="00CC55C0">
        <w:rPr>
          <w:noProof/>
        </w:rPr>
        <w:t> </w:t>
      </w:r>
      <w:r w:rsidR="00CC55C0" w:rsidRPr="0071228C">
        <w:rPr>
          <w:noProof/>
        </w:rPr>
        <w:t>rze</w:t>
      </w:r>
      <w:r w:rsidRPr="0071228C">
        <w:rPr>
          <w:noProof/>
        </w:rPr>
        <w:t>czywistymi danymi dotyczącymi monitorowania,</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71228C">
        <w:rPr>
          <w:noProof/>
        </w:rPr>
        <w:t>tym</w:t>
      </w:r>
      <w:r w:rsidRPr="0071228C">
        <w:rPr>
          <w:noProof/>
        </w:rPr>
        <w:t xml:space="preserve"> status jest wyrażony jedynie</w:t>
      </w:r>
      <w:r w:rsidR="00CC55C0" w:rsidRPr="0071228C">
        <w:rPr>
          <w:noProof/>
        </w:rPr>
        <w:t xml:space="preserve"> w</w:t>
      </w:r>
      <w:r w:rsidR="00CC55C0">
        <w:rPr>
          <w:noProof/>
        </w:rPr>
        <w:t> </w:t>
      </w:r>
      <w:r w:rsidR="00CC55C0" w:rsidRPr="0071228C">
        <w:rPr>
          <w:noProof/>
        </w:rPr>
        <w:t>pos</w:t>
      </w:r>
      <w:r w:rsidRPr="0071228C">
        <w:rPr>
          <w:noProof/>
        </w:rPr>
        <w:t>taci „akceptacji/braku akceptacji” dobrego statusu, co nie daje wystarczającej wiedzy na temat skali przekroczeń,</w:t>
      </w:r>
      <w:r w:rsidR="00CC55C0" w:rsidRPr="0071228C">
        <w:rPr>
          <w:noProof/>
        </w:rPr>
        <w:t xml:space="preserve"> a</w:t>
      </w:r>
      <w:r w:rsidR="00CC55C0">
        <w:rPr>
          <w:noProof/>
        </w:rPr>
        <w:t> </w:t>
      </w:r>
      <w:r w:rsidR="00CC55C0" w:rsidRPr="0071228C">
        <w:rPr>
          <w:noProof/>
        </w:rPr>
        <w:t>wię</w:t>
      </w:r>
      <w:r w:rsidRPr="0071228C">
        <w:rPr>
          <w:noProof/>
        </w:rPr>
        <w:t>c utrudnia skupienie reakcji polityki na miejscach</w:t>
      </w:r>
      <w:r w:rsidR="00CC55C0" w:rsidRPr="0071228C">
        <w:rPr>
          <w:noProof/>
        </w:rPr>
        <w:t xml:space="preserve"> o</w:t>
      </w:r>
      <w:r w:rsidR="00CC55C0">
        <w:rPr>
          <w:noProof/>
        </w:rPr>
        <w:t> </w:t>
      </w:r>
      <w:r w:rsidR="00CC55C0" w:rsidRPr="0071228C">
        <w:rPr>
          <w:noProof/>
        </w:rPr>
        <w:t>duż</w:t>
      </w:r>
      <w:r w:rsidRPr="0071228C">
        <w:rPr>
          <w:noProof/>
        </w:rPr>
        <w:t>ym stężeniu zanieczyszczenia. Ponadto</w:t>
      </w:r>
      <w:r w:rsidR="00CC55C0" w:rsidRPr="0071228C">
        <w:rPr>
          <w:noProof/>
        </w:rPr>
        <w:t xml:space="preserve"> z</w:t>
      </w:r>
      <w:r w:rsidR="00CC55C0">
        <w:rPr>
          <w:noProof/>
        </w:rPr>
        <w:t> </w:t>
      </w:r>
      <w:r w:rsidR="00CC55C0" w:rsidRPr="0071228C">
        <w:rPr>
          <w:noProof/>
        </w:rPr>
        <w:t>uwa</w:t>
      </w:r>
      <w:r w:rsidRPr="0071228C">
        <w:rPr>
          <w:noProof/>
        </w:rPr>
        <w:t>gi na fakt, że informacje są przekazywane tylko co sześć lat, szybko ulegają dezaktualizacji i są nieprzydatne do celów ustalania priorytetów działań lub rozwiązywania problemów związanych</w:t>
      </w:r>
      <w:r w:rsidR="00CC55C0" w:rsidRPr="0071228C">
        <w:rPr>
          <w:noProof/>
        </w:rPr>
        <w:t xml:space="preserve"> z</w:t>
      </w:r>
      <w:r w:rsidR="00CC55C0">
        <w:rPr>
          <w:noProof/>
        </w:rPr>
        <w:t> </w:t>
      </w:r>
      <w:r w:rsidR="00CC55C0" w:rsidRPr="0071228C">
        <w:rPr>
          <w:noProof/>
        </w:rPr>
        <w:t>wdr</w:t>
      </w:r>
      <w:r w:rsidRPr="0071228C">
        <w:rPr>
          <w:noProof/>
        </w:rPr>
        <w:t>ażaniem (np. nie można skutecznie weryfikować zarzutów zawartych</w:t>
      </w:r>
      <w:r w:rsidR="00CC55C0" w:rsidRPr="0071228C">
        <w:rPr>
          <w:noProof/>
        </w:rPr>
        <w:t xml:space="preserve"> w</w:t>
      </w:r>
      <w:r w:rsidR="00CC55C0">
        <w:rPr>
          <w:noProof/>
        </w:rPr>
        <w:t> </w:t>
      </w:r>
      <w:r w:rsidR="00CC55C0" w:rsidRPr="0071228C">
        <w:rPr>
          <w:noProof/>
        </w:rPr>
        <w:t>pyt</w:t>
      </w:r>
      <w:r w:rsidRPr="0071228C">
        <w:rPr>
          <w:noProof/>
        </w:rPr>
        <w:t>aniach pisemnych, petycjach</w:t>
      </w:r>
      <w:r w:rsidR="00CC55C0" w:rsidRPr="0071228C">
        <w:rPr>
          <w:noProof/>
        </w:rPr>
        <w:t xml:space="preserve"> i</w:t>
      </w:r>
      <w:r w:rsidR="00CC55C0">
        <w:rPr>
          <w:noProof/>
        </w:rPr>
        <w:t> </w:t>
      </w:r>
      <w:r w:rsidR="00CC55C0" w:rsidRPr="0071228C">
        <w:rPr>
          <w:noProof/>
        </w:rPr>
        <w:t>ska</w:t>
      </w:r>
      <w:r w:rsidRPr="0071228C">
        <w:rPr>
          <w:noProof/>
        </w:rPr>
        <w:t xml:space="preserve">rgach na podstawie nieaktualnych informacji). </w:t>
      </w:r>
    </w:p>
    <w:p w14:paraId="41A89EC6" w14:textId="4832B5A9"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Wniosek ma zatem na celu wprowadzenie obowiązku corocznego zgłaszania do EEA danych dotyczących monitorowania</w:t>
      </w:r>
      <w:r w:rsidR="00CC55C0" w:rsidRPr="0071228C">
        <w:rPr>
          <w:noProof/>
        </w:rPr>
        <w:t xml:space="preserve"> i</w:t>
      </w:r>
      <w:r w:rsidR="00CC55C0">
        <w:rPr>
          <w:noProof/>
        </w:rPr>
        <w:t> </w:t>
      </w:r>
      <w:r w:rsidR="00CC55C0" w:rsidRPr="0071228C">
        <w:rPr>
          <w:noProof/>
        </w:rPr>
        <w:t>sta</w:t>
      </w:r>
      <w:r w:rsidRPr="0071228C">
        <w:rPr>
          <w:noProof/>
        </w:rPr>
        <w:t>nu. Dzięki temu, wykorzystując dane dotyczące monitorowania</w:t>
      </w:r>
      <w:r w:rsidR="00CC55C0" w:rsidRPr="0071228C">
        <w:rPr>
          <w:noProof/>
        </w:rPr>
        <w:t xml:space="preserve"> i</w:t>
      </w:r>
      <w:r w:rsidR="00CC55C0">
        <w:rPr>
          <w:noProof/>
        </w:rPr>
        <w:t> </w:t>
      </w:r>
      <w:r w:rsidR="00CC55C0" w:rsidRPr="0071228C">
        <w:rPr>
          <w:noProof/>
        </w:rPr>
        <w:t>oce</w:t>
      </w:r>
      <w:r w:rsidRPr="0071228C">
        <w:rPr>
          <w:noProof/>
        </w:rPr>
        <w:t>ny jakości wody, można będzie uzyskać cenne informacje, które pozwolą zbadać związek między lepszą jakością wody</w:t>
      </w:r>
      <w:r w:rsidR="00CC55C0" w:rsidRPr="0071228C">
        <w:rPr>
          <w:noProof/>
        </w:rPr>
        <w:t xml:space="preserve"> a</w:t>
      </w:r>
      <w:r w:rsidR="00CC55C0">
        <w:rPr>
          <w:noProof/>
        </w:rPr>
        <w:t> </w:t>
      </w:r>
      <w:r w:rsidR="00CC55C0" w:rsidRPr="0071228C">
        <w:rPr>
          <w:noProof/>
        </w:rPr>
        <w:t>pop</w:t>
      </w:r>
      <w:r w:rsidRPr="0071228C">
        <w:rPr>
          <w:noProof/>
        </w:rPr>
        <w:t>rawą zdrowia ludzi. Spodziewane początkowe dodatkowe prace wymagane</w:t>
      </w:r>
      <w:r w:rsidR="00CC55C0" w:rsidRPr="0071228C">
        <w:rPr>
          <w:noProof/>
        </w:rPr>
        <w:t xml:space="preserve"> w</w:t>
      </w:r>
      <w:r w:rsidR="00CC55C0">
        <w:rPr>
          <w:noProof/>
        </w:rPr>
        <w:t> </w:t>
      </w:r>
      <w:r w:rsidR="00CC55C0" w:rsidRPr="0071228C">
        <w:rPr>
          <w:noProof/>
        </w:rPr>
        <w:t>cel</w:t>
      </w:r>
      <w:r w:rsidRPr="0071228C">
        <w:rPr>
          <w:noProof/>
        </w:rPr>
        <w:t>u usprawnienia sprawozdawczości zostaną</w:t>
      </w:r>
      <w:r w:rsidR="00CC55C0" w:rsidRPr="0071228C">
        <w:rPr>
          <w:noProof/>
        </w:rPr>
        <w:t xml:space="preserve"> w</w:t>
      </w:r>
      <w:r w:rsidR="00CC55C0">
        <w:rPr>
          <w:noProof/>
        </w:rPr>
        <w:t> </w:t>
      </w:r>
      <w:r w:rsidR="00CC55C0" w:rsidRPr="0071228C">
        <w:rPr>
          <w:noProof/>
        </w:rPr>
        <w:t>dłu</w:t>
      </w:r>
      <w:r w:rsidRPr="0071228C">
        <w:rPr>
          <w:noProof/>
        </w:rPr>
        <w:t>ższej perspektywie zrekompensowane zmniejszeniem obciążeń administracyjnych wynikających</w:t>
      </w:r>
      <w:r w:rsidR="00CC55C0" w:rsidRPr="0071228C">
        <w:rPr>
          <w:noProof/>
        </w:rPr>
        <w:t xml:space="preserve"> z</w:t>
      </w:r>
      <w:r w:rsidR="00CC55C0">
        <w:rPr>
          <w:noProof/>
        </w:rPr>
        <w:t> </w:t>
      </w:r>
      <w:r w:rsidR="00CC55C0" w:rsidRPr="0071228C">
        <w:rPr>
          <w:noProof/>
        </w:rPr>
        <w:t>wię</w:t>
      </w:r>
      <w:r w:rsidRPr="0071228C">
        <w:rPr>
          <w:noProof/>
        </w:rPr>
        <w:t>kszej cyfryzacji</w:t>
      </w:r>
      <w:r w:rsidR="00CC55C0" w:rsidRPr="0071228C">
        <w:rPr>
          <w:noProof/>
        </w:rPr>
        <w:t xml:space="preserve"> i</w:t>
      </w:r>
      <w:r w:rsidR="00CC55C0">
        <w:rPr>
          <w:noProof/>
        </w:rPr>
        <w:t> </w:t>
      </w:r>
      <w:r w:rsidR="00CC55C0" w:rsidRPr="0071228C">
        <w:rPr>
          <w:noProof/>
        </w:rPr>
        <w:t>obo</w:t>
      </w:r>
      <w:r w:rsidRPr="0071228C">
        <w:rPr>
          <w:noProof/>
        </w:rPr>
        <w:t xml:space="preserve">wiązkowej sprawozdawczości międzysystemowej (mechanizmu zautomatyzowanego dostarczania danych). </w:t>
      </w:r>
    </w:p>
    <w:p w14:paraId="7CDFEDA3"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5AC9302"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u w:val="single"/>
        </w:rPr>
        <w:t>Dyrektywa dotycząca oczyszczania ścieków komunalnych:</w:t>
      </w:r>
      <w:r w:rsidRPr="0071228C">
        <w:rPr>
          <w:noProof/>
        </w:rPr>
        <w:tab/>
      </w:r>
    </w:p>
    <w:p w14:paraId="389072E4" w14:textId="60FC8819"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noProof/>
        </w:rPr>
        <w:t>Wdrożenie dyrektywy będzie wymagało szeroko zakrojonego przetwarzania danych</w:t>
      </w:r>
      <w:r w:rsidR="00CC55C0" w:rsidRPr="0071228C">
        <w:rPr>
          <w:noProof/>
        </w:rPr>
        <w:t xml:space="preserve"> i</w:t>
      </w:r>
      <w:r w:rsidR="00CC55C0">
        <w:rPr>
          <w:noProof/>
        </w:rPr>
        <w:t> </w:t>
      </w:r>
      <w:r w:rsidR="00CC55C0" w:rsidRPr="0071228C">
        <w:rPr>
          <w:noProof/>
        </w:rPr>
        <w:t>ich</w:t>
      </w:r>
      <w:r w:rsidRPr="0071228C">
        <w:rPr>
          <w:noProof/>
        </w:rPr>
        <w:t xml:space="preserve"> dogłębnej analizy. Korzystanie</w:t>
      </w:r>
      <w:r w:rsidR="00CC55C0" w:rsidRPr="0071228C">
        <w:rPr>
          <w:noProof/>
        </w:rPr>
        <w:t xml:space="preserve"> z</w:t>
      </w:r>
      <w:r w:rsidR="00CC55C0">
        <w:rPr>
          <w:noProof/>
        </w:rPr>
        <w:t> </w:t>
      </w:r>
      <w:r w:rsidR="00CC55C0" w:rsidRPr="0071228C">
        <w:rPr>
          <w:noProof/>
        </w:rPr>
        <w:t>wie</w:t>
      </w:r>
      <w:r w:rsidRPr="0071228C">
        <w:rPr>
          <w:noProof/>
        </w:rPr>
        <w:t>dzy specjalistycznej EEA ma wiele zalet: systemy dostosowane do innych form sprawozdawczości kierowanej do EEA (RDW, europejski PRTR); efektywność procesów; ograniczone ryzyko wystąpienia błędów wskutek stosowania różnych systemów; rozwój wiedzy specjalistycznej</w:t>
      </w:r>
      <w:r w:rsidR="00CC55C0" w:rsidRPr="0071228C">
        <w:rPr>
          <w:noProof/>
        </w:rPr>
        <w:t xml:space="preserve"> i</w:t>
      </w:r>
      <w:r w:rsidR="00CC55C0">
        <w:rPr>
          <w:noProof/>
        </w:rPr>
        <w:t> </w:t>
      </w:r>
      <w:r w:rsidR="00CC55C0" w:rsidRPr="0071228C">
        <w:rPr>
          <w:noProof/>
        </w:rPr>
        <w:t>oce</w:t>
      </w:r>
      <w:r w:rsidRPr="0071228C">
        <w:rPr>
          <w:noProof/>
        </w:rPr>
        <w:t>n</w:t>
      </w:r>
      <w:r w:rsidR="00CC55C0" w:rsidRPr="0071228C">
        <w:rPr>
          <w:noProof/>
        </w:rPr>
        <w:t xml:space="preserve"> w</w:t>
      </w:r>
      <w:r w:rsidR="00CC55C0">
        <w:rPr>
          <w:noProof/>
        </w:rPr>
        <w:t> </w:t>
      </w:r>
      <w:r w:rsidR="00CC55C0" w:rsidRPr="0071228C">
        <w:rPr>
          <w:noProof/>
        </w:rPr>
        <w:t>opa</w:t>
      </w:r>
      <w:r w:rsidRPr="0071228C">
        <w:rPr>
          <w:noProof/>
        </w:rPr>
        <w:t>rciu</w:t>
      </w:r>
      <w:r w:rsidR="00CC55C0" w:rsidRPr="0071228C">
        <w:rPr>
          <w:noProof/>
        </w:rPr>
        <w:t xml:space="preserve"> o</w:t>
      </w:r>
      <w:r w:rsidR="00CC55C0">
        <w:rPr>
          <w:noProof/>
        </w:rPr>
        <w:t> </w:t>
      </w:r>
      <w:r w:rsidR="00CC55C0" w:rsidRPr="0071228C">
        <w:rPr>
          <w:noProof/>
        </w:rPr>
        <w:t>szc</w:t>
      </w:r>
      <w:r w:rsidRPr="0071228C">
        <w:rPr>
          <w:noProof/>
        </w:rPr>
        <w:t>zegółowe zrozumienie danych, ponieważ znany jest sposób ich pozyskiwania.</w:t>
      </w:r>
    </w:p>
    <w:p w14:paraId="18947364" w14:textId="6B24FD6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noProof/>
        </w:rPr>
        <w:t>Ze względu na brak personelu</w:t>
      </w:r>
      <w:r w:rsidR="00CC55C0" w:rsidRPr="0071228C">
        <w:rPr>
          <w:noProof/>
        </w:rPr>
        <w:t xml:space="preserve"> i</w:t>
      </w:r>
      <w:r w:rsidR="00CC55C0">
        <w:rPr>
          <w:noProof/>
        </w:rPr>
        <w:t> </w:t>
      </w:r>
      <w:r w:rsidR="00CC55C0" w:rsidRPr="0071228C">
        <w:rPr>
          <w:noProof/>
        </w:rPr>
        <w:t>wyd</w:t>
      </w:r>
      <w:r w:rsidRPr="0071228C">
        <w:rPr>
          <w:noProof/>
        </w:rPr>
        <w:t>atków operacyjnych takie zmiany będą musiały być finansowane</w:t>
      </w:r>
      <w:r w:rsidR="00CC55C0" w:rsidRPr="0071228C">
        <w:rPr>
          <w:noProof/>
        </w:rPr>
        <w:t xml:space="preserve"> w</w:t>
      </w:r>
      <w:r w:rsidR="00CC55C0">
        <w:rPr>
          <w:noProof/>
        </w:rPr>
        <w:t> </w:t>
      </w:r>
      <w:r w:rsidR="00CC55C0" w:rsidRPr="0071228C">
        <w:rPr>
          <w:noProof/>
        </w:rPr>
        <w:t>ram</w:t>
      </w:r>
      <w:r w:rsidRPr="0071228C">
        <w:rPr>
          <w:noProof/>
        </w:rPr>
        <w:t>ach konsultacji przez DG ENV.</w:t>
      </w:r>
    </w:p>
    <w:p w14:paraId="121B7FA6"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43FCBF3F"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71228C">
        <w:rPr>
          <w:noProof/>
          <w:u w:val="single"/>
        </w:rPr>
        <w:t>Przepisy dotyczące jakości powietrza:</w:t>
      </w:r>
    </w:p>
    <w:p w14:paraId="5241B9B7" w14:textId="4C522A4F"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b/>
          <w:noProof/>
        </w:rPr>
        <w:t>Zadania związane ze sprawozdawczością</w:t>
      </w:r>
      <w:r w:rsidR="00CC55C0" w:rsidRPr="0071228C">
        <w:rPr>
          <w:b/>
          <w:noProof/>
        </w:rPr>
        <w:t xml:space="preserve"> i</w:t>
      </w:r>
      <w:r w:rsidR="00CC55C0">
        <w:rPr>
          <w:b/>
          <w:noProof/>
        </w:rPr>
        <w:t> </w:t>
      </w:r>
      <w:r w:rsidR="00CC55C0" w:rsidRPr="0071228C">
        <w:rPr>
          <w:b/>
          <w:noProof/>
        </w:rPr>
        <w:t>wym</w:t>
      </w:r>
      <w:r w:rsidRPr="0071228C">
        <w:rPr>
          <w:b/>
          <w:noProof/>
        </w:rPr>
        <w:t>ianą danych dotyczących jakości powietrza</w:t>
      </w:r>
      <w:r w:rsidRPr="0071228C">
        <w:rPr>
          <w:noProof/>
        </w:rPr>
        <w:t>. Rozbudowa infrastruktury</w:t>
      </w:r>
      <w:r w:rsidR="00CC55C0" w:rsidRPr="0071228C">
        <w:rPr>
          <w:noProof/>
        </w:rPr>
        <w:t xml:space="preserve"> i</w:t>
      </w:r>
      <w:r w:rsidR="00CC55C0">
        <w:rPr>
          <w:noProof/>
        </w:rPr>
        <w:t> </w:t>
      </w:r>
      <w:r w:rsidR="00CC55C0" w:rsidRPr="0071228C">
        <w:rPr>
          <w:noProof/>
        </w:rPr>
        <w:t>wsp</w:t>
      </w:r>
      <w:r w:rsidRPr="0071228C">
        <w:rPr>
          <w:noProof/>
        </w:rPr>
        <w:t>arcie ciągłej sprawozdawczości</w:t>
      </w:r>
      <w:r w:rsidR="00CC55C0" w:rsidRPr="0071228C">
        <w:rPr>
          <w:noProof/>
        </w:rPr>
        <w:t xml:space="preserve"> w</w:t>
      </w:r>
      <w:r w:rsidR="00CC55C0">
        <w:rPr>
          <w:noProof/>
        </w:rPr>
        <w:t> </w:t>
      </w:r>
      <w:r w:rsidR="00CC55C0" w:rsidRPr="0071228C">
        <w:rPr>
          <w:noProof/>
        </w:rPr>
        <w:t>cel</w:t>
      </w:r>
      <w:r w:rsidRPr="0071228C">
        <w:rPr>
          <w:noProof/>
        </w:rPr>
        <w:t>u uwzględnienia dodatkowych informacji dotyczących jakości powietrza mogą opierać się na istniejącym portalu</w:t>
      </w:r>
      <w:r w:rsidR="00CC55C0" w:rsidRPr="0071228C">
        <w:rPr>
          <w:noProof/>
        </w:rPr>
        <w:t xml:space="preserve"> i</w:t>
      </w:r>
      <w:r w:rsidR="00CC55C0">
        <w:rPr>
          <w:noProof/>
        </w:rPr>
        <w:t> </w:t>
      </w:r>
      <w:r w:rsidR="00CC55C0" w:rsidRPr="0071228C">
        <w:rPr>
          <w:noProof/>
        </w:rPr>
        <w:t>rep</w:t>
      </w:r>
      <w:r w:rsidRPr="0071228C">
        <w:rPr>
          <w:noProof/>
        </w:rPr>
        <w:t>ozytorium danych dotyczących jakości otaczającego powietrza zarządzanym przez EEA, aby zapewnić wzrost efektywności</w:t>
      </w:r>
      <w:r w:rsidR="00CC55C0" w:rsidRPr="0071228C">
        <w:rPr>
          <w:noProof/>
        </w:rPr>
        <w:t xml:space="preserve"> w</w:t>
      </w:r>
      <w:r w:rsidR="00CC55C0">
        <w:rPr>
          <w:noProof/>
        </w:rPr>
        <w:t> </w:t>
      </w:r>
      <w:r w:rsidR="00CC55C0" w:rsidRPr="0071228C">
        <w:rPr>
          <w:noProof/>
        </w:rPr>
        <w:t>wyn</w:t>
      </w:r>
      <w:r w:rsidRPr="0071228C">
        <w:rPr>
          <w:noProof/>
        </w:rPr>
        <w:t>iku spójności</w:t>
      </w:r>
      <w:r w:rsidR="00CC55C0" w:rsidRPr="0071228C">
        <w:rPr>
          <w:noProof/>
        </w:rPr>
        <w:t xml:space="preserve"> z</w:t>
      </w:r>
      <w:r w:rsidR="00CC55C0">
        <w:rPr>
          <w:noProof/>
        </w:rPr>
        <w:t> </w:t>
      </w:r>
      <w:r w:rsidR="00CC55C0" w:rsidRPr="0071228C">
        <w:rPr>
          <w:noProof/>
        </w:rPr>
        <w:t>inn</w:t>
      </w:r>
      <w:r w:rsidRPr="0071228C">
        <w:rPr>
          <w:noProof/>
        </w:rPr>
        <w:t>ymi kanałami sprawozdawczości dotyczącej środowiska. Stworzenie</w:t>
      </w:r>
      <w:r w:rsidR="00CC55C0" w:rsidRPr="0071228C">
        <w:rPr>
          <w:noProof/>
        </w:rPr>
        <w:t xml:space="preserve"> i</w:t>
      </w:r>
      <w:r w:rsidR="00CC55C0">
        <w:rPr>
          <w:noProof/>
        </w:rPr>
        <w:t> </w:t>
      </w:r>
      <w:r w:rsidR="00CC55C0" w:rsidRPr="0071228C">
        <w:rPr>
          <w:noProof/>
        </w:rPr>
        <w:t>utr</w:t>
      </w:r>
      <w:r w:rsidRPr="0071228C">
        <w:rPr>
          <w:noProof/>
        </w:rPr>
        <w:t>zymywanie całkowicie nowej infrastruktury sprawozdawczości</w:t>
      </w:r>
      <w:r w:rsidR="00CC55C0" w:rsidRPr="0071228C">
        <w:rPr>
          <w:noProof/>
        </w:rPr>
        <w:t xml:space="preserve"> w</w:t>
      </w:r>
      <w:r w:rsidR="00CC55C0">
        <w:rPr>
          <w:noProof/>
        </w:rPr>
        <w:t> </w:t>
      </w:r>
      <w:r w:rsidR="00CC55C0" w:rsidRPr="0071228C">
        <w:rPr>
          <w:noProof/>
        </w:rPr>
        <w:t>prz</w:t>
      </w:r>
      <w:r w:rsidRPr="0071228C">
        <w:rPr>
          <w:noProof/>
        </w:rPr>
        <w:t>ypadku dodatkowych wymagań ustanowionych</w:t>
      </w:r>
      <w:r w:rsidR="00CC55C0" w:rsidRPr="0071228C">
        <w:rPr>
          <w:noProof/>
        </w:rPr>
        <w:t xml:space="preserve"> w</w:t>
      </w:r>
      <w:r w:rsidR="00CC55C0">
        <w:rPr>
          <w:noProof/>
        </w:rPr>
        <w:t> </w:t>
      </w:r>
      <w:r w:rsidR="00CC55C0" w:rsidRPr="0071228C">
        <w:rPr>
          <w:noProof/>
        </w:rPr>
        <w:t>zmi</w:t>
      </w:r>
      <w:r w:rsidRPr="0071228C">
        <w:rPr>
          <w:noProof/>
        </w:rPr>
        <w:t>enionej dyrektywie (np. w JRC lub będącej</w:t>
      </w:r>
      <w:r w:rsidR="00CC55C0" w:rsidRPr="0071228C">
        <w:rPr>
          <w:noProof/>
        </w:rPr>
        <w:t xml:space="preserve"> w</w:t>
      </w:r>
      <w:r w:rsidR="00CC55C0">
        <w:rPr>
          <w:noProof/>
        </w:rPr>
        <w:t> </w:t>
      </w:r>
      <w:r w:rsidR="00CC55C0" w:rsidRPr="0071228C">
        <w:rPr>
          <w:noProof/>
        </w:rPr>
        <w:t>dys</w:t>
      </w:r>
      <w:r w:rsidRPr="0071228C">
        <w:rPr>
          <w:noProof/>
        </w:rPr>
        <w:t>pozycji zewnętrznych konsultantów) wymagałoby kosztownych nowych rozwiązań</w:t>
      </w:r>
      <w:r w:rsidR="00CC55C0" w:rsidRPr="0071228C">
        <w:rPr>
          <w:noProof/>
        </w:rPr>
        <w:t xml:space="preserve"> i</w:t>
      </w:r>
      <w:r w:rsidR="00CC55C0">
        <w:rPr>
          <w:noProof/>
        </w:rPr>
        <w:t> </w:t>
      </w:r>
      <w:r w:rsidR="00CC55C0" w:rsidRPr="0071228C">
        <w:rPr>
          <w:noProof/>
        </w:rPr>
        <w:t>wią</w:t>
      </w:r>
      <w:r w:rsidRPr="0071228C">
        <w:rPr>
          <w:noProof/>
        </w:rPr>
        <w:t>załoby się</w:t>
      </w:r>
      <w:r w:rsidR="00CC55C0" w:rsidRPr="0071228C">
        <w:rPr>
          <w:noProof/>
        </w:rPr>
        <w:t xml:space="preserve"> z</w:t>
      </w:r>
      <w:r w:rsidR="00CC55C0">
        <w:rPr>
          <w:noProof/>
        </w:rPr>
        <w:t> </w:t>
      </w:r>
      <w:r w:rsidR="00CC55C0" w:rsidRPr="0071228C">
        <w:rPr>
          <w:noProof/>
        </w:rPr>
        <w:t>ryz</w:t>
      </w:r>
      <w:r w:rsidRPr="0071228C">
        <w:rPr>
          <w:noProof/>
        </w:rPr>
        <w:t>ykiem niespójności</w:t>
      </w:r>
      <w:r w:rsidR="00CC55C0" w:rsidRPr="0071228C">
        <w:rPr>
          <w:noProof/>
        </w:rPr>
        <w:t xml:space="preserve"> z</w:t>
      </w:r>
      <w:r w:rsidR="00CC55C0">
        <w:rPr>
          <w:noProof/>
        </w:rPr>
        <w:t> </w:t>
      </w:r>
      <w:r w:rsidR="00CC55C0" w:rsidRPr="0071228C">
        <w:rPr>
          <w:noProof/>
        </w:rPr>
        <w:t>ist</w:t>
      </w:r>
      <w:r w:rsidRPr="0071228C">
        <w:rPr>
          <w:noProof/>
        </w:rPr>
        <w:t>niejącą infrastrukturą sprawozdawczości. Najbardziej skutecznym podejściem byłoby więc wzmocnienie zasobów EEA</w:t>
      </w:r>
      <w:r w:rsidR="00CC55C0" w:rsidRPr="0071228C">
        <w:rPr>
          <w:noProof/>
        </w:rPr>
        <w:t xml:space="preserve"> w</w:t>
      </w:r>
      <w:r w:rsidR="00CC55C0">
        <w:rPr>
          <w:noProof/>
        </w:rPr>
        <w:t> </w:t>
      </w:r>
      <w:r w:rsidR="00CC55C0" w:rsidRPr="0071228C">
        <w:rPr>
          <w:noProof/>
        </w:rPr>
        <w:t>cel</w:t>
      </w:r>
      <w:r w:rsidRPr="0071228C">
        <w:rPr>
          <w:noProof/>
        </w:rPr>
        <w:t>u rozbudowy</w:t>
      </w:r>
      <w:r w:rsidR="00CC55C0" w:rsidRPr="0071228C">
        <w:rPr>
          <w:noProof/>
        </w:rPr>
        <w:t xml:space="preserve"> i</w:t>
      </w:r>
      <w:r w:rsidR="00CC55C0">
        <w:rPr>
          <w:noProof/>
        </w:rPr>
        <w:t> </w:t>
      </w:r>
      <w:r w:rsidR="00CC55C0" w:rsidRPr="0071228C">
        <w:rPr>
          <w:noProof/>
        </w:rPr>
        <w:t>dal</w:t>
      </w:r>
      <w:r w:rsidRPr="0071228C">
        <w:rPr>
          <w:noProof/>
        </w:rPr>
        <w:t>szego utrzymania istniejącego portalu</w:t>
      </w:r>
      <w:r w:rsidR="00CC55C0" w:rsidRPr="0071228C">
        <w:rPr>
          <w:noProof/>
        </w:rPr>
        <w:t xml:space="preserve"> i</w:t>
      </w:r>
      <w:r w:rsidR="00CC55C0">
        <w:rPr>
          <w:noProof/>
        </w:rPr>
        <w:t> </w:t>
      </w:r>
      <w:r w:rsidR="00CC55C0" w:rsidRPr="0071228C">
        <w:rPr>
          <w:noProof/>
        </w:rPr>
        <w:t>rep</w:t>
      </w:r>
      <w:r w:rsidRPr="0071228C">
        <w:rPr>
          <w:noProof/>
        </w:rPr>
        <w:t>ozytorium danych dotyczących jakości powietrza bądź przez zatrudnienie dodatkowych pracowników, bądź</w:t>
      </w:r>
      <w:r w:rsidR="00CC55C0" w:rsidRPr="0071228C">
        <w:rPr>
          <w:noProof/>
        </w:rPr>
        <w:t xml:space="preserve"> w</w:t>
      </w:r>
      <w:r w:rsidR="00CC55C0">
        <w:rPr>
          <w:noProof/>
        </w:rPr>
        <w:t> </w:t>
      </w:r>
      <w:r w:rsidR="00CC55C0" w:rsidRPr="0071228C">
        <w:rPr>
          <w:noProof/>
        </w:rPr>
        <w:t>wyn</w:t>
      </w:r>
      <w:r w:rsidRPr="0071228C">
        <w:rPr>
          <w:noProof/>
        </w:rPr>
        <w:t>iku wewnętrznych przesunięć pracowników. Zapewni to najkorzystniejszą relację pomiędzy wykorzystanymi zasobami</w:t>
      </w:r>
      <w:r w:rsidR="00CC55C0" w:rsidRPr="0071228C">
        <w:rPr>
          <w:noProof/>
        </w:rPr>
        <w:t xml:space="preserve"> a</w:t>
      </w:r>
      <w:r w:rsidR="00CC55C0">
        <w:rPr>
          <w:noProof/>
        </w:rPr>
        <w:t> </w:t>
      </w:r>
      <w:r w:rsidR="00CC55C0" w:rsidRPr="0071228C">
        <w:rPr>
          <w:noProof/>
        </w:rPr>
        <w:t>rea</w:t>
      </w:r>
      <w:r w:rsidRPr="0071228C">
        <w:rPr>
          <w:noProof/>
        </w:rPr>
        <w:t>lizacją celów</w:t>
      </w:r>
      <w:r w:rsidR="00CC55C0" w:rsidRPr="0071228C">
        <w:rPr>
          <w:noProof/>
        </w:rPr>
        <w:t xml:space="preserve"> i</w:t>
      </w:r>
      <w:r w:rsidR="00CC55C0">
        <w:rPr>
          <w:noProof/>
        </w:rPr>
        <w:t> </w:t>
      </w:r>
      <w:r w:rsidR="00CC55C0" w:rsidRPr="0071228C">
        <w:rPr>
          <w:noProof/>
        </w:rPr>
        <w:t>pow</w:t>
      </w:r>
      <w:r w:rsidRPr="0071228C">
        <w:rPr>
          <w:noProof/>
        </w:rPr>
        <w:t>iązanych zadań.</w:t>
      </w:r>
    </w:p>
    <w:p w14:paraId="3E7E758D" w14:textId="6550B7EE"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71228C">
        <w:rPr>
          <w:b/>
          <w:noProof/>
        </w:rPr>
        <w:t>Zadania związane</w:t>
      </w:r>
      <w:r w:rsidR="00CC55C0" w:rsidRPr="0071228C">
        <w:rPr>
          <w:b/>
          <w:noProof/>
        </w:rPr>
        <w:t xml:space="preserve"> z</w:t>
      </w:r>
      <w:r w:rsidR="00CC55C0">
        <w:rPr>
          <w:b/>
          <w:noProof/>
        </w:rPr>
        <w:t> </w:t>
      </w:r>
      <w:r w:rsidR="00CC55C0" w:rsidRPr="0071228C">
        <w:rPr>
          <w:b/>
          <w:noProof/>
        </w:rPr>
        <w:t>oce</w:t>
      </w:r>
      <w:r w:rsidRPr="0071228C">
        <w:rPr>
          <w:b/>
          <w:noProof/>
        </w:rPr>
        <w:t>ną jakości powietrza</w:t>
      </w:r>
      <w:r w:rsidRPr="0071228C">
        <w:rPr>
          <w:noProof/>
        </w:rPr>
        <w:t>. EEA dokonuje obecnie corocznej oceny jakości powietrza, korzystając</w:t>
      </w:r>
      <w:r w:rsidR="00CC55C0" w:rsidRPr="0071228C">
        <w:rPr>
          <w:noProof/>
        </w:rPr>
        <w:t xml:space="preserve"> z</w:t>
      </w:r>
      <w:r w:rsidR="00CC55C0">
        <w:rPr>
          <w:noProof/>
        </w:rPr>
        <w:t> </w:t>
      </w:r>
      <w:r w:rsidR="00CC55C0" w:rsidRPr="0071228C">
        <w:rPr>
          <w:noProof/>
        </w:rPr>
        <w:t>dan</w:t>
      </w:r>
      <w:r w:rsidRPr="0071228C">
        <w:rPr>
          <w:noProof/>
        </w:rPr>
        <w:t>ych dotyczących jakości powietrza przekazywanych za pośrednictwem portalu jakości powietrza</w:t>
      </w:r>
      <w:r w:rsidR="00CC55C0" w:rsidRPr="0071228C">
        <w:rPr>
          <w:noProof/>
        </w:rPr>
        <w:t xml:space="preserve"> i</w:t>
      </w:r>
      <w:r w:rsidR="00CC55C0">
        <w:rPr>
          <w:noProof/>
        </w:rPr>
        <w:t> </w:t>
      </w:r>
      <w:r w:rsidR="00CC55C0" w:rsidRPr="0071228C">
        <w:rPr>
          <w:noProof/>
        </w:rPr>
        <w:t>rep</w:t>
      </w:r>
      <w:r w:rsidRPr="0071228C">
        <w:rPr>
          <w:noProof/>
        </w:rPr>
        <w:t>ozytorium danych,</w:t>
      </w:r>
      <w:r w:rsidR="00CC55C0" w:rsidRPr="0071228C">
        <w:rPr>
          <w:noProof/>
        </w:rPr>
        <w:t xml:space="preserve"> a</w:t>
      </w:r>
      <w:r w:rsidR="00CC55C0">
        <w:rPr>
          <w:noProof/>
        </w:rPr>
        <w:t> </w:t>
      </w:r>
      <w:r w:rsidR="00CC55C0" w:rsidRPr="0071228C">
        <w:rPr>
          <w:noProof/>
        </w:rPr>
        <w:t>tak</w:t>
      </w:r>
      <w:r w:rsidRPr="0071228C">
        <w:rPr>
          <w:noProof/>
        </w:rPr>
        <w:t>że</w:t>
      </w:r>
      <w:r w:rsidR="00CC55C0" w:rsidRPr="0071228C">
        <w:rPr>
          <w:noProof/>
        </w:rPr>
        <w:t xml:space="preserve"> z</w:t>
      </w:r>
      <w:r w:rsidR="00CC55C0">
        <w:rPr>
          <w:noProof/>
        </w:rPr>
        <w:t> </w:t>
      </w:r>
      <w:r w:rsidR="00CC55C0" w:rsidRPr="0071228C">
        <w:rPr>
          <w:noProof/>
        </w:rPr>
        <w:t>dod</w:t>
      </w:r>
      <w:r w:rsidRPr="0071228C">
        <w:rPr>
          <w:noProof/>
        </w:rPr>
        <w:t>atkowej wiedzy naukowej na temat wpływu zanieczyszczenia powietrza na zdrowie</w:t>
      </w:r>
      <w:r w:rsidR="00CC55C0" w:rsidRPr="0071228C">
        <w:rPr>
          <w:noProof/>
        </w:rPr>
        <w:t xml:space="preserve"> i</w:t>
      </w:r>
      <w:r w:rsidR="00CC55C0">
        <w:rPr>
          <w:noProof/>
        </w:rPr>
        <w:t> </w:t>
      </w:r>
      <w:r w:rsidR="00CC55C0" w:rsidRPr="0071228C">
        <w:rPr>
          <w:noProof/>
        </w:rPr>
        <w:t>śro</w:t>
      </w:r>
      <w:r w:rsidRPr="0071228C">
        <w:rPr>
          <w:noProof/>
        </w:rPr>
        <w:t>dowisko. Dzięki bardziej rygorystycznym przepisom dotyczącym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dostępne będą dodatkowe informacje,</w:t>
      </w:r>
      <w:r w:rsidR="00CC55C0" w:rsidRPr="0071228C">
        <w:rPr>
          <w:noProof/>
        </w:rPr>
        <w:t xml:space="preserve"> w</w:t>
      </w:r>
      <w:r w:rsidR="00CC55C0">
        <w:rPr>
          <w:noProof/>
        </w:rPr>
        <w:t> </w:t>
      </w:r>
      <w:r w:rsidR="00CC55C0" w:rsidRPr="0071228C">
        <w:rPr>
          <w:noProof/>
        </w:rPr>
        <w:t>tym</w:t>
      </w:r>
      <w:r w:rsidRPr="0071228C">
        <w:rPr>
          <w:noProof/>
        </w:rPr>
        <w:t xml:space="preserve"> dotyczące nowych substancji zanieczyszczających oraz powiązań między zanieczyszczeniem powietrza, zmianami klimatu, zdrowiem ludzi</w:t>
      </w:r>
      <w:r w:rsidR="00CC55C0" w:rsidRPr="0071228C">
        <w:rPr>
          <w:noProof/>
        </w:rPr>
        <w:t xml:space="preserve"> i</w:t>
      </w:r>
      <w:r w:rsidR="00CC55C0">
        <w:rPr>
          <w:noProof/>
        </w:rPr>
        <w:t> </w:t>
      </w:r>
      <w:r w:rsidR="00CC55C0" w:rsidRPr="0071228C">
        <w:rPr>
          <w:noProof/>
        </w:rPr>
        <w:t>eko</w:t>
      </w:r>
      <w:r w:rsidRPr="0071228C">
        <w:rPr>
          <w:noProof/>
        </w:rPr>
        <w:t>systemów. Ocena takich danych</w:t>
      </w:r>
      <w:r w:rsidR="00CC55C0" w:rsidRPr="0071228C">
        <w:rPr>
          <w:noProof/>
        </w:rPr>
        <w:t xml:space="preserve"> i</w:t>
      </w:r>
      <w:r w:rsidR="00CC55C0">
        <w:rPr>
          <w:noProof/>
        </w:rPr>
        <w:t> </w:t>
      </w:r>
      <w:r w:rsidR="00CC55C0" w:rsidRPr="0071228C">
        <w:rPr>
          <w:noProof/>
        </w:rPr>
        <w:t>inf</w:t>
      </w:r>
      <w:r w:rsidRPr="0071228C">
        <w:rPr>
          <w:noProof/>
        </w:rPr>
        <w:t>ormacji powinna być oparta na regularnych</w:t>
      </w:r>
      <w:r w:rsidR="00CC55C0" w:rsidRPr="0071228C">
        <w:rPr>
          <w:noProof/>
        </w:rPr>
        <w:t xml:space="preserve"> i</w:t>
      </w:r>
      <w:r w:rsidR="00CC55C0">
        <w:rPr>
          <w:noProof/>
        </w:rPr>
        <w:t> </w:t>
      </w:r>
      <w:r w:rsidR="00CC55C0" w:rsidRPr="0071228C">
        <w:rPr>
          <w:noProof/>
        </w:rPr>
        <w:t>sol</w:t>
      </w:r>
      <w:r w:rsidRPr="0071228C">
        <w:rPr>
          <w:noProof/>
        </w:rPr>
        <w:t>idnych podstawach naukowych oraz zgodna</w:t>
      </w:r>
      <w:r w:rsidR="00CC55C0" w:rsidRPr="0071228C">
        <w:rPr>
          <w:noProof/>
        </w:rPr>
        <w:t xml:space="preserve"> z</w:t>
      </w:r>
      <w:r w:rsidR="00CC55C0">
        <w:rPr>
          <w:noProof/>
        </w:rPr>
        <w:t> </w:t>
      </w:r>
      <w:r w:rsidR="00CC55C0" w:rsidRPr="0071228C">
        <w:rPr>
          <w:noProof/>
        </w:rPr>
        <w:t>ist</w:t>
      </w:r>
      <w:r w:rsidRPr="0071228C">
        <w:rPr>
          <w:noProof/>
        </w:rPr>
        <w:t>niejącymi ocenami jakości powietrza, które są już dostarczane przez EEA. Lepiej więc byłoby, również</w:t>
      </w:r>
      <w:r w:rsidR="00CC55C0" w:rsidRPr="0071228C">
        <w:rPr>
          <w:noProof/>
        </w:rPr>
        <w:t xml:space="preserve"> w</w:t>
      </w:r>
      <w:r w:rsidR="00CC55C0">
        <w:rPr>
          <w:noProof/>
        </w:rPr>
        <w:t> </w:t>
      </w:r>
      <w:r w:rsidR="00CC55C0" w:rsidRPr="0071228C">
        <w:rPr>
          <w:noProof/>
        </w:rPr>
        <w:t>cel</w:t>
      </w:r>
      <w:r w:rsidRPr="0071228C">
        <w:rPr>
          <w:noProof/>
        </w:rPr>
        <w:t>u zapewnienia spójności analizy, przekazać te zadania do EEA, niż zlecać je różnym konsultantom zewnętrznym. Będzie to wymagało dodatkowych, szczególnych kompetencji</w:t>
      </w:r>
      <w:r w:rsidR="00CC55C0" w:rsidRPr="0071228C">
        <w:rPr>
          <w:noProof/>
        </w:rPr>
        <w:t xml:space="preserve"> i</w:t>
      </w:r>
      <w:r w:rsidR="00CC55C0">
        <w:rPr>
          <w:noProof/>
        </w:rPr>
        <w:t> </w:t>
      </w:r>
      <w:r w:rsidR="00CC55C0" w:rsidRPr="0071228C">
        <w:rPr>
          <w:noProof/>
        </w:rPr>
        <w:t>pra</w:t>
      </w:r>
      <w:r w:rsidRPr="0071228C">
        <w:rPr>
          <w:noProof/>
        </w:rPr>
        <w:t>wdopodobnie dodatkowego personelu. Zapewni to najkorzystniejszą relację pomiędzy wykorzystanymi zasobami</w:t>
      </w:r>
      <w:r w:rsidR="00CC55C0" w:rsidRPr="0071228C">
        <w:rPr>
          <w:noProof/>
        </w:rPr>
        <w:t xml:space="preserve"> a</w:t>
      </w:r>
      <w:r w:rsidR="00CC55C0">
        <w:rPr>
          <w:noProof/>
        </w:rPr>
        <w:t> </w:t>
      </w:r>
      <w:r w:rsidR="00CC55C0" w:rsidRPr="0071228C">
        <w:rPr>
          <w:noProof/>
        </w:rPr>
        <w:t>rea</w:t>
      </w:r>
      <w:r w:rsidRPr="0071228C">
        <w:rPr>
          <w:noProof/>
        </w:rPr>
        <w:t>lizacją celów</w:t>
      </w:r>
      <w:r w:rsidR="00CC55C0" w:rsidRPr="0071228C">
        <w:rPr>
          <w:noProof/>
        </w:rPr>
        <w:t xml:space="preserve"> i</w:t>
      </w:r>
      <w:r w:rsidR="00CC55C0">
        <w:rPr>
          <w:noProof/>
        </w:rPr>
        <w:t> </w:t>
      </w:r>
      <w:r w:rsidR="00CC55C0" w:rsidRPr="0071228C">
        <w:rPr>
          <w:noProof/>
        </w:rPr>
        <w:t>pow</w:t>
      </w:r>
      <w:r w:rsidRPr="0071228C">
        <w:rPr>
          <w:noProof/>
        </w:rPr>
        <w:t>iązanych zadań.</w:t>
      </w:r>
    </w:p>
    <w:p w14:paraId="1470746C" w14:textId="0EEC7A5E" w:rsidR="001C0111" w:rsidRPr="0071228C"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rPr>
      </w:pPr>
      <w:r w:rsidRPr="0071228C">
        <w:rPr>
          <w:b/>
          <w:noProof/>
        </w:rPr>
        <w:t>Zadania związane</w:t>
      </w:r>
      <w:r w:rsidR="00CC55C0" w:rsidRPr="0071228C">
        <w:rPr>
          <w:b/>
          <w:noProof/>
        </w:rPr>
        <w:t xml:space="preserve"> z</w:t>
      </w:r>
      <w:r w:rsidR="00CC55C0">
        <w:rPr>
          <w:b/>
          <w:noProof/>
        </w:rPr>
        <w:t> </w:t>
      </w:r>
      <w:r w:rsidR="00CC55C0" w:rsidRPr="0071228C">
        <w:rPr>
          <w:b/>
          <w:noProof/>
        </w:rPr>
        <w:t>nau</w:t>
      </w:r>
      <w:r w:rsidRPr="0071228C">
        <w:rPr>
          <w:b/>
          <w:noProof/>
        </w:rPr>
        <w:t>kowym</w:t>
      </w:r>
      <w:r w:rsidR="00CC55C0" w:rsidRPr="0071228C">
        <w:rPr>
          <w:b/>
          <w:noProof/>
        </w:rPr>
        <w:t xml:space="preserve"> i</w:t>
      </w:r>
      <w:r w:rsidR="00CC55C0">
        <w:rPr>
          <w:b/>
          <w:noProof/>
        </w:rPr>
        <w:t> </w:t>
      </w:r>
      <w:r w:rsidR="00CC55C0" w:rsidRPr="0071228C">
        <w:rPr>
          <w:b/>
          <w:noProof/>
        </w:rPr>
        <w:t>tec</w:t>
      </w:r>
      <w:r w:rsidRPr="0071228C">
        <w:rPr>
          <w:b/>
          <w:noProof/>
        </w:rPr>
        <w:t>hnicznym wsparciem monitorowania</w:t>
      </w:r>
      <w:r w:rsidR="00CC55C0" w:rsidRPr="0071228C">
        <w:rPr>
          <w:b/>
          <w:noProof/>
        </w:rPr>
        <w:t xml:space="preserve"> i</w:t>
      </w:r>
      <w:r w:rsidR="00CC55C0">
        <w:rPr>
          <w:b/>
          <w:noProof/>
        </w:rPr>
        <w:t> </w:t>
      </w:r>
      <w:r w:rsidR="00CC55C0" w:rsidRPr="0071228C">
        <w:rPr>
          <w:b/>
          <w:noProof/>
        </w:rPr>
        <w:t>mod</w:t>
      </w:r>
      <w:r w:rsidRPr="0071228C">
        <w:rPr>
          <w:b/>
          <w:noProof/>
        </w:rPr>
        <w:t>elowania jakości powietrza</w:t>
      </w:r>
      <w:r w:rsidR="00CC55C0" w:rsidRPr="0071228C">
        <w:rPr>
          <w:b/>
          <w:noProof/>
        </w:rPr>
        <w:t xml:space="preserve">. </w:t>
      </w:r>
      <w:r w:rsidR="00CC55C0" w:rsidRPr="0071228C">
        <w:rPr>
          <w:noProof/>
        </w:rPr>
        <w:t>W</w:t>
      </w:r>
      <w:r w:rsidR="00CC55C0">
        <w:rPr>
          <w:b/>
          <w:noProof/>
        </w:rPr>
        <w:t> </w:t>
      </w:r>
      <w:r w:rsidR="00CC55C0" w:rsidRPr="0071228C">
        <w:rPr>
          <w:noProof/>
        </w:rPr>
        <w:t>cią</w:t>
      </w:r>
      <w:r w:rsidRPr="0071228C">
        <w:rPr>
          <w:noProof/>
        </w:rPr>
        <w:t>gu ostatniego dziesięciolecia JRC wspierało wszystkie zadania związane</w:t>
      </w:r>
      <w:r w:rsidR="00CC55C0" w:rsidRPr="0071228C">
        <w:rPr>
          <w:noProof/>
        </w:rPr>
        <w:t xml:space="preserve"> z</w:t>
      </w:r>
      <w:r w:rsidR="00CC55C0">
        <w:rPr>
          <w:noProof/>
        </w:rPr>
        <w:t> </w:t>
      </w:r>
      <w:r w:rsidR="00CC55C0" w:rsidRPr="0071228C">
        <w:rPr>
          <w:noProof/>
        </w:rPr>
        <w:t>nau</w:t>
      </w:r>
      <w:r w:rsidRPr="0071228C">
        <w:rPr>
          <w:noProof/>
        </w:rPr>
        <w:t>kowym</w:t>
      </w:r>
      <w:r w:rsidR="00CC55C0" w:rsidRPr="0071228C">
        <w:rPr>
          <w:noProof/>
        </w:rPr>
        <w:t xml:space="preserve"> i</w:t>
      </w:r>
      <w:r w:rsidR="00CC55C0">
        <w:rPr>
          <w:noProof/>
        </w:rPr>
        <w:t> </w:t>
      </w:r>
      <w:r w:rsidR="00CC55C0" w:rsidRPr="0071228C">
        <w:rPr>
          <w:noProof/>
        </w:rPr>
        <w:t>tec</w:t>
      </w:r>
      <w:r w:rsidRPr="0071228C">
        <w:rPr>
          <w:noProof/>
        </w:rPr>
        <w:t>hnicznym wsparciem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które wymagają ekonomicznej niezależności od dostawców sprzętu do monitorowania</w:t>
      </w:r>
      <w:r w:rsidR="00CC55C0" w:rsidRPr="0071228C">
        <w:rPr>
          <w:noProof/>
        </w:rPr>
        <w:t xml:space="preserve"> i</w:t>
      </w:r>
      <w:r w:rsidR="00CC55C0">
        <w:rPr>
          <w:noProof/>
        </w:rPr>
        <w:t> </w:t>
      </w:r>
      <w:r w:rsidR="00CC55C0" w:rsidRPr="0071228C">
        <w:rPr>
          <w:noProof/>
        </w:rPr>
        <w:t>mod</w:t>
      </w:r>
      <w:r w:rsidRPr="0071228C">
        <w:rPr>
          <w:noProof/>
        </w:rPr>
        <w:t>elowania jakości. Wymagane konkretne zadania obejmują:</w:t>
      </w:r>
    </w:p>
    <w:p w14:paraId="392F10AD" w14:textId="4CE8C272" w:rsidR="001C0111" w:rsidRPr="0071228C" w:rsidRDefault="001C0111" w:rsidP="002A2DB0">
      <w:pPr>
        <w:pBdr>
          <w:top w:val="single" w:sz="4" w:space="1" w:color="auto"/>
          <w:left w:val="single" w:sz="4" w:space="4" w:color="auto"/>
          <w:bottom w:val="single" w:sz="4" w:space="1" w:color="auto"/>
          <w:right w:val="single" w:sz="4" w:space="4" w:color="auto"/>
        </w:pBdr>
        <w:spacing w:before="0" w:after="0"/>
        <w:rPr>
          <w:i/>
          <w:iCs/>
          <w:noProof/>
        </w:rPr>
      </w:pPr>
      <w:r w:rsidRPr="0071228C">
        <w:rPr>
          <w:noProof/>
        </w:rPr>
        <w:t>Wsparcie</w:t>
      </w:r>
      <w:r w:rsidR="00CC55C0" w:rsidRPr="0071228C">
        <w:rPr>
          <w:noProof/>
        </w:rPr>
        <w:t xml:space="preserve"> i</w:t>
      </w:r>
      <w:r w:rsidR="00CC55C0">
        <w:rPr>
          <w:noProof/>
        </w:rPr>
        <w:t> </w:t>
      </w:r>
      <w:r w:rsidR="00CC55C0" w:rsidRPr="0071228C">
        <w:rPr>
          <w:noProof/>
        </w:rPr>
        <w:t>wsk</w:t>
      </w:r>
      <w:r w:rsidRPr="0071228C">
        <w:rPr>
          <w:noProof/>
        </w:rPr>
        <w:t>azówki dotyczące opracowania ulepszonych metod monitorowania zanieczyszczeń powietrza oraz wykorzystania modelowania jakości powietrza.</w:t>
      </w:r>
    </w:p>
    <w:p w14:paraId="5D9F9496" w14:textId="3FDD9097" w:rsidR="001C0111" w:rsidRPr="00CC55C0"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71228C">
        <w:rPr>
          <w:noProof/>
        </w:rPr>
        <w:t>Wsparcie usprawnień metodologicznych związanych</w:t>
      </w:r>
      <w:r w:rsidR="00CC55C0" w:rsidRPr="0071228C">
        <w:rPr>
          <w:noProof/>
        </w:rPr>
        <w:t xml:space="preserve"> z</w:t>
      </w:r>
      <w:r w:rsidR="00CC55C0">
        <w:rPr>
          <w:noProof/>
        </w:rPr>
        <w:t> </w:t>
      </w:r>
      <w:r w:rsidR="00CC55C0" w:rsidRPr="0071228C">
        <w:rPr>
          <w:noProof/>
        </w:rPr>
        <w:t>prz</w:t>
      </w:r>
      <w:r w:rsidRPr="0071228C">
        <w:rPr>
          <w:noProof/>
        </w:rPr>
        <w:t>estrzenną reprezentatywnością monitorowania jakości powietrza, zharmonizowanymi ocenami jakości powietrza</w:t>
      </w:r>
      <w:r w:rsidR="00CC55C0" w:rsidRPr="0071228C">
        <w:rPr>
          <w:noProof/>
        </w:rPr>
        <w:t xml:space="preserve"> i</w:t>
      </w:r>
      <w:r w:rsidR="00CC55C0">
        <w:rPr>
          <w:noProof/>
        </w:rPr>
        <w:t> </w:t>
      </w:r>
      <w:r w:rsidR="00CC55C0" w:rsidRPr="0071228C">
        <w:rPr>
          <w:noProof/>
        </w:rPr>
        <w:t>alo</w:t>
      </w:r>
      <w:r w:rsidRPr="0071228C">
        <w:rPr>
          <w:noProof/>
        </w:rPr>
        <w:t>kacją źródeł</w:t>
      </w:r>
      <w:r w:rsidRPr="00CC55C0">
        <w:rPr>
          <w:noProof/>
        </w:rPr>
        <w:t>.</w:t>
      </w:r>
      <w:r w:rsidR="00CC55C0" w:rsidRPr="00CC55C0">
        <w:rPr>
          <w:noProof/>
        </w:rPr>
        <w:t xml:space="preserve"> </w:t>
      </w:r>
    </w:p>
    <w:p w14:paraId="4E14333B" w14:textId="3B72A13C" w:rsidR="001C0111" w:rsidRPr="0071228C"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71228C">
        <w:rPr>
          <w:noProof/>
        </w:rPr>
        <w:t>Wsparcie przy opracowywaniu praktycznych wskazówek dotyczących wdrażania dyrektywy</w:t>
      </w:r>
      <w:r w:rsidR="00CC55C0" w:rsidRPr="0071228C">
        <w:rPr>
          <w:noProof/>
        </w:rPr>
        <w:t xml:space="preserve"> w</w:t>
      </w:r>
      <w:r w:rsidR="00CC55C0">
        <w:rPr>
          <w:noProof/>
        </w:rPr>
        <w:t> </w:t>
      </w:r>
      <w:r w:rsidR="00CC55C0" w:rsidRPr="0071228C">
        <w:rPr>
          <w:noProof/>
        </w:rPr>
        <w:t>spr</w:t>
      </w:r>
      <w:r w:rsidRPr="0071228C">
        <w:rPr>
          <w:noProof/>
        </w:rPr>
        <w:t>awie jakości powietrza</w:t>
      </w:r>
      <w:r w:rsidR="00CC55C0" w:rsidRPr="0071228C">
        <w:rPr>
          <w:noProof/>
        </w:rPr>
        <w:t xml:space="preserve"> w</w:t>
      </w:r>
      <w:r w:rsidR="00CC55C0">
        <w:rPr>
          <w:noProof/>
        </w:rPr>
        <w:t> </w:t>
      </w:r>
      <w:r w:rsidR="00CC55C0" w:rsidRPr="0071228C">
        <w:rPr>
          <w:noProof/>
        </w:rPr>
        <w:t>zak</w:t>
      </w:r>
      <w:r w:rsidRPr="0071228C">
        <w:rPr>
          <w:noProof/>
        </w:rPr>
        <w:t>resie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w:t>
      </w:r>
    </w:p>
    <w:p w14:paraId="77FE381F" w14:textId="5DB49E39" w:rsidR="001C0111" w:rsidRPr="0071228C"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71228C">
        <w:rPr>
          <w:noProof/>
        </w:rPr>
        <w:t>Organizacja</w:t>
      </w:r>
      <w:r w:rsidR="00CC55C0" w:rsidRPr="0071228C">
        <w:rPr>
          <w:noProof/>
        </w:rPr>
        <w:t xml:space="preserve"> i</w:t>
      </w:r>
      <w:r w:rsidR="00CC55C0">
        <w:rPr>
          <w:noProof/>
        </w:rPr>
        <w:t> </w:t>
      </w:r>
      <w:r w:rsidR="00CC55C0" w:rsidRPr="0071228C">
        <w:rPr>
          <w:noProof/>
        </w:rPr>
        <w:t>pro</w:t>
      </w:r>
      <w:r w:rsidRPr="0071228C">
        <w:rPr>
          <w:noProof/>
        </w:rPr>
        <w:t>wadzenie kluczowych sieci wsparcia dla wdrażania polityki dotyczącej powietrza na poziomie krajowym, regionalnym</w:t>
      </w:r>
      <w:r w:rsidR="00CC55C0" w:rsidRPr="0071228C">
        <w:rPr>
          <w:noProof/>
        </w:rPr>
        <w:t xml:space="preserve"> i</w:t>
      </w:r>
      <w:r w:rsidR="00CC55C0">
        <w:rPr>
          <w:noProof/>
        </w:rPr>
        <w:t> </w:t>
      </w:r>
      <w:r w:rsidR="00CC55C0" w:rsidRPr="0071228C">
        <w:rPr>
          <w:noProof/>
        </w:rPr>
        <w:t>mie</w:t>
      </w:r>
      <w:r w:rsidRPr="0071228C">
        <w:rPr>
          <w:noProof/>
        </w:rPr>
        <w:t>jskim (np. AQUILA i FAIRMODE).</w:t>
      </w:r>
    </w:p>
    <w:p w14:paraId="6EBBE75C" w14:textId="3650C08B" w:rsidR="001C0111" w:rsidRPr="0071228C"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71228C">
        <w:rPr>
          <w:noProof/>
        </w:rPr>
        <w:t>Wsparcie przy opracowywaniu norm dotyczących monitorowania</w:t>
      </w:r>
      <w:r w:rsidR="00CC55C0" w:rsidRPr="0071228C">
        <w:rPr>
          <w:noProof/>
        </w:rPr>
        <w:t xml:space="preserve"> i</w:t>
      </w:r>
      <w:r w:rsidR="00CC55C0">
        <w:rPr>
          <w:noProof/>
        </w:rPr>
        <w:t> </w:t>
      </w:r>
      <w:r w:rsidR="00CC55C0" w:rsidRPr="0071228C">
        <w:rPr>
          <w:noProof/>
        </w:rPr>
        <w:t>mod</w:t>
      </w:r>
      <w:r w:rsidRPr="0071228C">
        <w:rPr>
          <w:noProof/>
        </w:rPr>
        <w:t>elowania jakości powietrza we współpracy</w:t>
      </w:r>
      <w:r w:rsidR="00CC55C0" w:rsidRPr="0071228C">
        <w:rPr>
          <w:noProof/>
        </w:rPr>
        <w:t xml:space="preserve"> z</w:t>
      </w:r>
      <w:r w:rsidR="00CC55C0">
        <w:rPr>
          <w:noProof/>
        </w:rPr>
        <w:t> </w:t>
      </w:r>
      <w:r w:rsidR="00CC55C0" w:rsidRPr="0071228C">
        <w:rPr>
          <w:noProof/>
        </w:rPr>
        <w:t>Eur</w:t>
      </w:r>
      <w:r w:rsidRPr="0071228C">
        <w:rPr>
          <w:noProof/>
        </w:rPr>
        <w:t>opejskim Komitetem Normalizacyjnym (CEN).</w:t>
      </w:r>
    </w:p>
    <w:p w14:paraId="39A7960E" w14:textId="7DEFAD10" w:rsidR="001C0111" w:rsidRPr="0071228C"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rPr>
      </w:pPr>
      <w:r w:rsidRPr="0071228C">
        <w:rPr>
          <w:noProof/>
        </w:rPr>
        <w:t>Wsparcie JRC zostałoby najlepiej zagwarantowane poprzez włączenie go do programu prac JRC</w:t>
      </w:r>
      <w:r w:rsidR="00CC55C0" w:rsidRPr="0071228C">
        <w:rPr>
          <w:noProof/>
        </w:rPr>
        <w:t xml:space="preserve"> i</w:t>
      </w:r>
      <w:r w:rsidR="00CC55C0">
        <w:rPr>
          <w:noProof/>
        </w:rPr>
        <w:t> </w:t>
      </w:r>
      <w:r w:rsidR="00CC55C0" w:rsidRPr="0071228C">
        <w:rPr>
          <w:noProof/>
        </w:rPr>
        <w:t>zap</w:t>
      </w:r>
      <w:r w:rsidRPr="0071228C">
        <w:rPr>
          <w:noProof/>
        </w:rPr>
        <w:t>ewnienie dodatkowego wsparcia finansowego</w:t>
      </w:r>
      <w:r w:rsidR="00CC55C0" w:rsidRPr="0071228C">
        <w:rPr>
          <w:noProof/>
        </w:rPr>
        <w:t xml:space="preserve"> w</w:t>
      </w:r>
      <w:r w:rsidR="00CC55C0">
        <w:rPr>
          <w:noProof/>
        </w:rPr>
        <w:t> </w:t>
      </w:r>
      <w:r w:rsidR="00CC55C0" w:rsidRPr="0071228C">
        <w:rPr>
          <w:noProof/>
        </w:rPr>
        <w:t>wys</w:t>
      </w:r>
      <w:r w:rsidRPr="0071228C">
        <w:rPr>
          <w:noProof/>
        </w:rPr>
        <w:t>okości 100 000 EUR rocznie. Dalsze wsparcie ze strony JRC zapewni najkorzystniejszą relację pomiędzy zaangażowanymi zasobami</w:t>
      </w:r>
      <w:r w:rsidR="00CC55C0" w:rsidRPr="0071228C">
        <w:rPr>
          <w:noProof/>
        </w:rPr>
        <w:t xml:space="preserve"> a</w:t>
      </w:r>
      <w:r w:rsidR="00CC55C0">
        <w:rPr>
          <w:noProof/>
        </w:rPr>
        <w:t> </w:t>
      </w:r>
      <w:r w:rsidR="00CC55C0" w:rsidRPr="0071228C">
        <w:rPr>
          <w:noProof/>
        </w:rPr>
        <w:t>rea</w:t>
      </w:r>
      <w:r w:rsidRPr="0071228C">
        <w:rPr>
          <w:noProof/>
        </w:rPr>
        <w:t>lizacją celów</w:t>
      </w:r>
      <w:r w:rsidR="00CC55C0" w:rsidRPr="0071228C">
        <w:rPr>
          <w:noProof/>
        </w:rPr>
        <w:t xml:space="preserve"> i</w:t>
      </w:r>
      <w:r w:rsidR="00CC55C0">
        <w:rPr>
          <w:noProof/>
        </w:rPr>
        <w:t> </w:t>
      </w:r>
      <w:r w:rsidR="00CC55C0" w:rsidRPr="0071228C">
        <w:rPr>
          <w:noProof/>
        </w:rPr>
        <w:t>pow</w:t>
      </w:r>
      <w:r w:rsidRPr="0071228C">
        <w:rPr>
          <w:noProof/>
        </w:rPr>
        <w:t>iązanych zadań.</w:t>
      </w:r>
    </w:p>
    <w:p w14:paraId="6D3464A2" w14:textId="77777777" w:rsidR="001C0111" w:rsidRPr="0071228C"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lang w:eastAsia="en-GB"/>
        </w:rPr>
      </w:pPr>
    </w:p>
    <w:p w14:paraId="0E059AFB" w14:textId="77777777" w:rsidR="001C0111" w:rsidRPr="0071228C" w:rsidRDefault="001C0111" w:rsidP="001C0111">
      <w:pPr>
        <w:ind w:left="850"/>
        <w:rPr>
          <w:noProof/>
          <w:lang w:eastAsia="en-GB"/>
        </w:rPr>
      </w:pPr>
    </w:p>
    <w:p w14:paraId="08175A0A" w14:textId="18F1E92C" w:rsidR="001C0111" w:rsidRPr="0071228C" w:rsidRDefault="001C0111" w:rsidP="002A2DB0">
      <w:pPr>
        <w:keepNext/>
        <w:outlineLvl w:val="1"/>
        <w:rPr>
          <w:rFonts w:eastAsiaTheme="majorEastAsia"/>
          <w:b/>
          <w:noProof/>
          <w:szCs w:val="24"/>
        </w:rPr>
      </w:pPr>
      <w:r w:rsidRPr="0071228C">
        <w:rPr>
          <w:noProof/>
        </w:rPr>
        <w:br w:type="page"/>
      </w:r>
      <w:bookmarkStart w:id="33" w:name="_Toc514938039"/>
      <w:bookmarkStart w:id="34" w:name="_Toc520485040"/>
      <w:r w:rsidRPr="0071228C">
        <w:rPr>
          <w:b/>
          <w:noProof/>
        </w:rPr>
        <w:t>Czas trwania</w:t>
      </w:r>
      <w:r w:rsidR="00CC55C0" w:rsidRPr="0071228C">
        <w:rPr>
          <w:b/>
          <w:noProof/>
        </w:rPr>
        <w:t xml:space="preserve"> i</w:t>
      </w:r>
      <w:r w:rsidR="00CC55C0">
        <w:rPr>
          <w:b/>
          <w:noProof/>
        </w:rPr>
        <w:t> </w:t>
      </w:r>
      <w:r w:rsidR="00CC55C0" w:rsidRPr="0071228C">
        <w:rPr>
          <w:b/>
          <w:noProof/>
        </w:rPr>
        <w:t>wpł</w:t>
      </w:r>
      <w:r w:rsidRPr="0071228C">
        <w:rPr>
          <w:b/>
          <w:noProof/>
        </w:rPr>
        <w:t>yw finansowy wniosku/inicjatywy</w:t>
      </w:r>
      <w:bookmarkEnd w:id="33"/>
      <w:bookmarkEnd w:id="34"/>
    </w:p>
    <w:p w14:paraId="02E5F6B9" w14:textId="77777777" w:rsidR="001C0111" w:rsidRPr="0071228C" w:rsidRDefault="001C0111" w:rsidP="001C0111">
      <w:pPr>
        <w:ind w:left="850"/>
        <w:rPr>
          <w:noProof/>
        </w:rPr>
      </w:pPr>
      <w:r w:rsidRPr="0071228C">
        <w:rPr>
          <w:rFonts w:ascii="Wingdings" w:hAnsi="Wingdings"/>
          <w:noProof/>
        </w:rPr>
        <w:t></w:t>
      </w:r>
      <w:r w:rsidRPr="0071228C">
        <w:rPr>
          <w:b/>
          <w:i/>
          <w:noProof/>
        </w:rPr>
        <w:t xml:space="preserve"> </w:t>
      </w:r>
      <w:r w:rsidRPr="0071228C">
        <w:rPr>
          <w:b/>
          <w:noProof/>
        </w:rPr>
        <w:t xml:space="preserve">Ograniczony czas trwania </w:t>
      </w:r>
    </w:p>
    <w:p w14:paraId="4B36B674" w14:textId="77777777" w:rsidR="001C0111" w:rsidRPr="0071228C" w:rsidRDefault="001C0111" w:rsidP="002A2DB0">
      <w:pPr>
        <w:rPr>
          <w:noProof/>
        </w:rPr>
      </w:pPr>
      <w:r w:rsidRPr="0071228C">
        <w:rPr>
          <w:rFonts w:ascii="Wingdings" w:hAnsi="Wingdings"/>
          <w:noProof/>
        </w:rPr>
        <w:t></w:t>
      </w:r>
      <w:r w:rsidRPr="0071228C">
        <w:rPr>
          <w:noProof/>
        </w:rPr>
        <w:tab/>
        <w:t xml:space="preserve">Okres trwania wniosku/inicjatywy: od [DD/MM]RRRR r. do [DD/MM]RRRR r. </w:t>
      </w:r>
    </w:p>
    <w:p w14:paraId="0D02502B" w14:textId="27E5F334" w:rsidR="001C0111" w:rsidRPr="0071228C" w:rsidRDefault="001C0111" w:rsidP="002A2DB0">
      <w:pPr>
        <w:rPr>
          <w:noProof/>
        </w:rPr>
      </w:pPr>
      <w:r w:rsidRPr="0071228C">
        <w:rPr>
          <w:rFonts w:ascii="Wingdings" w:hAnsi="Wingdings"/>
          <w:noProof/>
        </w:rPr>
        <w:t></w:t>
      </w:r>
      <w:r w:rsidRPr="0071228C">
        <w:rPr>
          <w:noProof/>
        </w:rPr>
        <w:tab/>
        <w:t>Okres trwania wpływu finansowego: od RRRR r. do RRRR r.</w:t>
      </w:r>
      <w:r w:rsidR="00CC55C0" w:rsidRPr="0071228C">
        <w:rPr>
          <w:noProof/>
        </w:rPr>
        <w:t xml:space="preserve"> w</w:t>
      </w:r>
      <w:r w:rsidR="00CC55C0">
        <w:rPr>
          <w:noProof/>
        </w:rPr>
        <w:t> </w:t>
      </w:r>
      <w:r w:rsidR="00CC55C0" w:rsidRPr="0071228C">
        <w:rPr>
          <w:noProof/>
        </w:rPr>
        <w:t>odn</w:t>
      </w:r>
      <w:r w:rsidRPr="0071228C">
        <w:rPr>
          <w:noProof/>
        </w:rPr>
        <w:t>iesieniu do środków na zobowiązania oraz od RRRR r. do RRRR r.</w:t>
      </w:r>
      <w:r w:rsidR="00CC55C0" w:rsidRPr="0071228C">
        <w:rPr>
          <w:noProof/>
        </w:rPr>
        <w:t xml:space="preserve"> w</w:t>
      </w:r>
      <w:r w:rsidR="00CC55C0">
        <w:rPr>
          <w:noProof/>
        </w:rPr>
        <w:t> </w:t>
      </w:r>
      <w:r w:rsidR="00CC55C0" w:rsidRPr="0071228C">
        <w:rPr>
          <w:noProof/>
        </w:rPr>
        <w:t>odn</w:t>
      </w:r>
      <w:r w:rsidRPr="0071228C">
        <w:rPr>
          <w:noProof/>
        </w:rPr>
        <w:t xml:space="preserve">iesieniu do środków na płatności. </w:t>
      </w:r>
    </w:p>
    <w:p w14:paraId="2CCA4BCD" w14:textId="77777777" w:rsidR="001C0111" w:rsidRPr="0071228C" w:rsidRDefault="001C0111" w:rsidP="001C0111">
      <w:pPr>
        <w:ind w:left="850"/>
        <w:rPr>
          <w:noProof/>
        </w:rPr>
      </w:pPr>
      <w:r w:rsidRPr="0071228C">
        <w:rPr>
          <w:rFonts w:ascii="Wingdings" w:hAnsi="Wingdings"/>
          <w:b/>
          <w:noProof/>
        </w:rPr>
        <w:t></w:t>
      </w:r>
      <w:r w:rsidRPr="0071228C">
        <w:rPr>
          <w:b/>
          <w:i/>
          <w:noProof/>
        </w:rPr>
        <w:t xml:space="preserve"> </w:t>
      </w:r>
      <w:r w:rsidRPr="0071228C">
        <w:rPr>
          <w:b/>
          <w:noProof/>
        </w:rPr>
        <w:t>Nieograniczony czas trwania</w:t>
      </w:r>
    </w:p>
    <w:p w14:paraId="67CACA91" w14:textId="706230E0" w:rsidR="001C0111" w:rsidRPr="0071228C" w:rsidRDefault="001C0111" w:rsidP="002A2DB0">
      <w:pPr>
        <w:rPr>
          <w:noProof/>
        </w:rPr>
      </w:pPr>
      <w:r w:rsidRPr="0071228C">
        <w:rPr>
          <w:noProof/>
        </w:rPr>
        <w:t>Wdrożenie</w:t>
      </w:r>
      <w:r w:rsidR="00CC55C0" w:rsidRPr="0071228C">
        <w:rPr>
          <w:noProof/>
        </w:rPr>
        <w:t xml:space="preserve"> z</w:t>
      </w:r>
      <w:r w:rsidR="00CC55C0">
        <w:rPr>
          <w:noProof/>
        </w:rPr>
        <w:t> </w:t>
      </w:r>
      <w:r w:rsidR="00CC55C0" w:rsidRPr="0071228C">
        <w:rPr>
          <w:noProof/>
        </w:rPr>
        <w:t>okr</w:t>
      </w:r>
      <w:r w:rsidRPr="0071228C">
        <w:rPr>
          <w:noProof/>
        </w:rPr>
        <w:t xml:space="preserve">esem rozruchu </w:t>
      </w:r>
      <w:r w:rsidRPr="00CC55C0">
        <w:rPr>
          <w:noProof/>
        </w:rPr>
        <w:t>od</w:t>
      </w:r>
      <w:r w:rsidR="00CC55C0" w:rsidRPr="00CC55C0">
        <w:rPr>
          <w:noProof/>
        </w:rPr>
        <w:t> </w:t>
      </w:r>
      <w:r w:rsidRPr="00CC55C0">
        <w:rPr>
          <w:noProof/>
        </w:rPr>
        <w:t>2</w:t>
      </w:r>
      <w:r w:rsidRPr="0071228C">
        <w:rPr>
          <w:noProof/>
        </w:rPr>
        <w:t>0</w:t>
      </w:r>
      <w:r w:rsidRPr="00CC55C0">
        <w:rPr>
          <w:noProof/>
        </w:rPr>
        <w:t>24</w:t>
      </w:r>
      <w:r w:rsidR="00CC55C0" w:rsidRPr="00CC55C0">
        <w:rPr>
          <w:noProof/>
        </w:rPr>
        <w:t> </w:t>
      </w:r>
      <w:r w:rsidRPr="00CC55C0">
        <w:rPr>
          <w:noProof/>
        </w:rPr>
        <w:t>r.</w:t>
      </w:r>
      <w:r w:rsidRPr="0071228C">
        <w:rPr>
          <w:noProof/>
        </w:rPr>
        <w:t xml:space="preserve"> (oczyszczanie ścieków komunalnych), </w:t>
      </w:r>
      <w:r w:rsidRPr="00CC55C0">
        <w:rPr>
          <w:noProof/>
        </w:rPr>
        <w:t>od</w:t>
      </w:r>
      <w:r w:rsidR="00CC55C0" w:rsidRPr="00CC55C0">
        <w:rPr>
          <w:noProof/>
        </w:rPr>
        <w:t> </w:t>
      </w:r>
      <w:r w:rsidRPr="00CC55C0">
        <w:rPr>
          <w:noProof/>
        </w:rPr>
        <w:t>2</w:t>
      </w:r>
      <w:r w:rsidRPr="0071228C">
        <w:rPr>
          <w:noProof/>
        </w:rPr>
        <w:t xml:space="preserve">024 </w:t>
      </w:r>
      <w:r w:rsidRPr="00CC55C0">
        <w:rPr>
          <w:noProof/>
        </w:rPr>
        <w:t>do</w:t>
      </w:r>
      <w:r w:rsidR="00CC55C0" w:rsidRPr="00CC55C0">
        <w:rPr>
          <w:noProof/>
        </w:rPr>
        <w:t> </w:t>
      </w:r>
      <w:r w:rsidRPr="00CC55C0">
        <w:rPr>
          <w:noProof/>
        </w:rPr>
        <w:t>2</w:t>
      </w:r>
      <w:r w:rsidRPr="0071228C">
        <w:rPr>
          <w:noProof/>
        </w:rPr>
        <w:t>0</w:t>
      </w:r>
      <w:r w:rsidRPr="00CC55C0">
        <w:rPr>
          <w:noProof/>
        </w:rPr>
        <w:t>25</w:t>
      </w:r>
      <w:r w:rsidR="00CC55C0" w:rsidRPr="00CC55C0">
        <w:rPr>
          <w:noProof/>
        </w:rPr>
        <w:t> </w:t>
      </w:r>
      <w:r w:rsidRPr="00CC55C0">
        <w:rPr>
          <w:noProof/>
        </w:rPr>
        <w:t>r.</w:t>
      </w:r>
      <w:r w:rsidRPr="0071228C">
        <w:rPr>
          <w:noProof/>
        </w:rPr>
        <w:t xml:space="preserve"> (zintegrowana gospodarka wodna), </w:t>
      </w:r>
      <w:r w:rsidRPr="00CC55C0">
        <w:rPr>
          <w:noProof/>
        </w:rPr>
        <w:t>od</w:t>
      </w:r>
      <w:r w:rsidR="00CC55C0" w:rsidRPr="00CC55C0">
        <w:rPr>
          <w:noProof/>
        </w:rPr>
        <w:t> </w:t>
      </w:r>
      <w:r w:rsidRPr="00CC55C0">
        <w:rPr>
          <w:noProof/>
        </w:rPr>
        <w:t>2</w:t>
      </w:r>
      <w:r w:rsidRPr="0071228C">
        <w:rPr>
          <w:noProof/>
        </w:rPr>
        <w:t xml:space="preserve">024 </w:t>
      </w:r>
      <w:r w:rsidRPr="00CC55C0">
        <w:rPr>
          <w:noProof/>
        </w:rPr>
        <w:t>do</w:t>
      </w:r>
      <w:r w:rsidR="00CC55C0" w:rsidRPr="00CC55C0">
        <w:rPr>
          <w:noProof/>
        </w:rPr>
        <w:t> </w:t>
      </w:r>
      <w:r w:rsidRPr="00CC55C0">
        <w:rPr>
          <w:noProof/>
        </w:rPr>
        <w:t>2</w:t>
      </w:r>
      <w:r w:rsidRPr="0071228C">
        <w:rPr>
          <w:noProof/>
        </w:rPr>
        <w:t>0</w:t>
      </w:r>
      <w:r w:rsidRPr="00CC55C0">
        <w:rPr>
          <w:noProof/>
        </w:rPr>
        <w:t>27</w:t>
      </w:r>
      <w:r w:rsidR="00CC55C0" w:rsidRPr="00CC55C0">
        <w:rPr>
          <w:noProof/>
        </w:rPr>
        <w:t> </w:t>
      </w:r>
      <w:r w:rsidRPr="00CC55C0">
        <w:rPr>
          <w:noProof/>
        </w:rPr>
        <w:t>r.</w:t>
      </w:r>
      <w:r w:rsidRPr="0071228C">
        <w:rPr>
          <w:noProof/>
        </w:rPr>
        <w:t xml:space="preserve"> (przepisy dotyczące jakości powietrza),</w:t>
      </w:r>
    </w:p>
    <w:p w14:paraId="69CA075F" w14:textId="77777777" w:rsidR="001C0111" w:rsidRPr="0071228C" w:rsidRDefault="001C0111" w:rsidP="002A2DB0">
      <w:pPr>
        <w:rPr>
          <w:noProof/>
        </w:rPr>
      </w:pPr>
      <w:r w:rsidRPr="0071228C">
        <w:rPr>
          <w:noProof/>
        </w:rPr>
        <w:t>po którym następuje faza operacyjna.</w:t>
      </w:r>
    </w:p>
    <w:p w14:paraId="0689BA88" w14:textId="77777777" w:rsidR="001C0111" w:rsidRPr="0071228C" w:rsidRDefault="001C0111" w:rsidP="002A2DB0">
      <w:pPr>
        <w:keepNext/>
        <w:outlineLvl w:val="1"/>
        <w:rPr>
          <w:rFonts w:eastAsiaTheme="majorEastAsia"/>
          <w:b/>
          <w:noProof/>
          <w:szCs w:val="24"/>
        </w:rPr>
      </w:pPr>
      <w:bookmarkStart w:id="35" w:name="_Toc514938040"/>
      <w:bookmarkStart w:id="36" w:name="_Toc520485041"/>
      <w:r w:rsidRPr="0071228C">
        <w:rPr>
          <w:b/>
          <w:noProof/>
        </w:rPr>
        <w:t>Planowane tryby zarządzania</w:t>
      </w:r>
      <w:r w:rsidRPr="0071228C">
        <w:rPr>
          <w:rStyle w:val="FootnoteReference"/>
          <w:noProof/>
        </w:rPr>
        <w:footnoteReference w:id="68"/>
      </w:r>
      <w:bookmarkEnd w:id="35"/>
      <w:bookmarkEnd w:id="36"/>
      <w:r w:rsidRPr="0071228C">
        <w:rPr>
          <w:b/>
          <w:noProof/>
          <w:vertAlign w:val="superscript"/>
        </w:rPr>
        <w:t xml:space="preserve"> </w:t>
      </w:r>
    </w:p>
    <w:p w14:paraId="6CC59FE9" w14:textId="77777777" w:rsidR="001C0111" w:rsidRPr="0071228C" w:rsidRDefault="001C0111" w:rsidP="001C0111">
      <w:pPr>
        <w:ind w:left="850"/>
        <w:rPr>
          <w:noProof/>
        </w:rPr>
      </w:pPr>
      <w:r w:rsidRPr="0071228C">
        <w:rPr>
          <w:rFonts w:ascii="Wingdings" w:hAnsi="Wingdings"/>
          <w:noProof/>
        </w:rPr>
        <w:t></w:t>
      </w:r>
      <w:r w:rsidRPr="0071228C">
        <w:rPr>
          <w:i/>
          <w:noProof/>
        </w:rPr>
        <w:t xml:space="preserve"> </w:t>
      </w:r>
      <w:r w:rsidRPr="0071228C">
        <w:rPr>
          <w:b/>
          <w:noProof/>
        </w:rPr>
        <w:t>Bezpośrednie zarządzanie</w:t>
      </w:r>
      <w:r w:rsidRPr="0071228C">
        <w:rPr>
          <w:noProof/>
        </w:rPr>
        <w:t xml:space="preserve"> przez Komisję</w:t>
      </w:r>
    </w:p>
    <w:p w14:paraId="7494A9CC" w14:textId="0B161DE2" w:rsidR="001C0111" w:rsidRPr="0071228C" w:rsidRDefault="001C0111" w:rsidP="002A2DB0">
      <w:pPr>
        <w:rPr>
          <w:rFonts w:cs="EUAlbertina"/>
          <w:noProof/>
        </w:rPr>
      </w:pPr>
      <w:r w:rsidRPr="0071228C">
        <w:rPr>
          <w:rFonts w:ascii="Wingdings" w:hAnsi="Wingdings"/>
          <w:noProof/>
        </w:rPr>
        <w:t></w:t>
      </w:r>
      <w:r w:rsidR="00CC55C0" w:rsidRPr="0071228C">
        <w:rPr>
          <w:noProof/>
        </w:rPr>
        <w:t xml:space="preserve"> w</w:t>
      </w:r>
      <w:r w:rsidR="00CC55C0">
        <w:rPr>
          <w:noProof/>
        </w:rPr>
        <w:t> </w:t>
      </w:r>
      <w:r w:rsidR="00CC55C0" w:rsidRPr="0071228C">
        <w:rPr>
          <w:noProof/>
        </w:rPr>
        <w:t>ram</w:t>
      </w:r>
      <w:r w:rsidRPr="0071228C">
        <w:rPr>
          <w:noProof/>
        </w:rPr>
        <w:t>ach jej służb,</w:t>
      </w:r>
      <w:r w:rsidR="00CC55C0" w:rsidRPr="0071228C">
        <w:rPr>
          <w:noProof/>
        </w:rPr>
        <w:t xml:space="preserve"> w</w:t>
      </w:r>
      <w:r w:rsidR="00CC55C0">
        <w:rPr>
          <w:noProof/>
        </w:rPr>
        <w:t> </w:t>
      </w:r>
      <w:r w:rsidR="00CC55C0" w:rsidRPr="0071228C">
        <w:rPr>
          <w:noProof/>
        </w:rPr>
        <w:t>tym</w:t>
      </w:r>
      <w:r w:rsidRPr="0071228C">
        <w:rPr>
          <w:noProof/>
        </w:rPr>
        <w:t xml:space="preserve"> za pośrednictwem jej pracowników</w:t>
      </w:r>
      <w:r w:rsidR="00CC55C0" w:rsidRPr="0071228C">
        <w:rPr>
          <w:noProof/>
        </w:rPr>
        <w:t xml:space="preserve"> w</w:t>
      </w:r>
      <w:r w:rsidR="00CC55C0">
        <w:rPr>
          <w:noProof/>
        </w:rPr>
        <w:t> </w:t>
      </w:r>
      <w:r w:rsidR="00CC55C0" w:rsidRPr="0071228C">
        <w:rPr>
          <w:noProof/>
        </w:rPr>
        <w:t>del</w:t>
      </w:r>
      <w:r w:rsidRPr="0071228C">
        <w:rPr>
          <w:noProof/>
        </w:rPr>
        <w:t xml:space="preserve">egaturach Unii; </w:t>
      </w:r>
    </w:p>
    <w:p w14:paraId="0642F691" w14:textId="77777777" w:rsidR="001C0111" w:rsidRPr="0071228C" w:rsidRDefault="001C0111" w:rsidP="002A2DB0">
      <w:pPr>
        <w:rPr>
          <w:noProof/>
        </w:rPr>
      </w:pPr>
      <w:r w:rsidRPr="0071228C">
        <w:rPr>
          <w:rFonts w:ascii="Wingdings" w:hAnsi="Wingdings"/>
          <w:noProof/>
        </w:rPr>
        <w:t></w:t>
      </w:r>
      <w:r w:rsidRPr="0071228C">
        <w:rPr>
          <w:noProof/>
        </w:rPr>
        <w:tab/>
        <w:t xml:space="preserve">przez agencje wykonawcze; </w:t>
      </w:r>
    </w:p>
    <w:p w14:paraId="51F9CB1A" w14:textId="22A5F9AD" w:rsidR="001C0111" w:rsidRPr="0071228C" w:rsidRDefault="001C0111" w:rsidP="001C0111">
      <w:pPr>
        <w:ind w:left="850"/>
        <w:rPr>
          <w:noProof/>
        </w:rPr>
      </w:pPr>
      <w:r w:rsidRPr="0071228C">
        <w:rPr>
          <w:rFonts w:ascii="Wingdings" w:hAnsi="Wingdings"/>
          <w:noProof/>
        </w:rPr>
        <w:t></w:t>
      </w:r>
      <w:r w:rsidRPr="0071228C">
        <w:rPr>
          <w:b/>
          <w:i/>
          <w:noProof/>
        </w:rPr>
        <w:t xml:space="preserve"> </w:t>
      </w:r>
      <w:r w:rsidRPr="0071228C">
        <w:rPr>
          <w:b/>
          <w:noProof/>
        </w:rPr>
        <w:t>Zarządzanie dzielone</w:t>
      </w:r>
      <w:r w:rsidR="00CC55C0" w:rsidRPr="0071228C">
        <w:rPr>
          <w:noProof/>
        </w:rPr>
        <w:t xml:space="preserve"> z</w:t>
      </w:r>
      <w:r w:rsidR="00CC55C0">
        <w:rPr>
          <w:noProof/>
        </w:rPr>
        <w:t> </w:t>
      </w:r>
      <w:r w:rsidR="00CC55C0" w:rsidRPr="0071228C">
        <w:rPr>
          <w:noProof/>
        </w:rPr>
        <w:t>pań</w:t>
      </w:r>
      <w:r w:rsidRPr="0071228C">
        <w:rPr>
          <w:noProof/>
        </w:rPr>
        <w:t xml:space="preserve">stwami członkowskimi </w:t>
      </w:r>
    </w:p>
    <w:p w14:paraId="76F187A6" w14:textId="690D8EE4" w:rsidR="001C0111" w:rsidRPr="0071228C" w:rsidRDefault="001C0111" w:rsidP="001C0111">
      <w:pPr>
        <w:ind w:left="850"/>
        <w:rPr>
          <w:noProof/>
        </w:rPr>
      </w:pPr>
      <w:r w:rsidRPr="0071228C">
        <w:rPr>
          <w:rFonts w:ascii="Wingdings" w:hAnsi="Wingdings"/>
          <w:noProof/>
        </w:rPr>
        <w:t></w:t>
      </w:r>
      <w:r w:rsidRPr="0071228C">
        <w:rPr>
          <w:i/>
          <w:noProof/>
        </w:rPr>
        <w:t xml:space="preserve"> </w:t>
      </w:r>
      <w:r w:rsidRPr="0071228C">
        <w:rPr>
          <w:b/>
          <w:noProof/>
        </w:rPr>
        <w:t>Zarządzanie pośrednie</w:t>
      </w:r>
      <w:r w:rsidRPr="0071228C">
        <w:rPr>
          <w:noProof/>
        </w:rPr>
        <w:t xml:space="preserve"> poprzez przekazanie zadań związanych</w:t>
      </w:r>
      <w:r w:rsidR="00CC55C0" w:rsidRPr="0071228C">
        <w:rPr>
          <w:noProof/>
        </w:rPr>
        <w:t xml:space="preserve"> z</w:t>
      </w:r>
      <w:r w:rsidR="00CC55C0">
        <w:rPr>
          <w:noProof/>
        </w:rPr>
        <w:t> </w:t>
      </w:r>
      <w:r w:rsidR="00CC55C0" w:rsidRPr="0071228C">
        <w:rPr>
          <w:noProof/>
        </w:rPr>
        <w:t>wyk</w:t>
      </w:r>
      <w:r w:rsidRPr="0071228C">
        <w:rPr>
          <w:noProof/>
        </w:rPr>
        <w:t>onaniem budżetu:</w:t>
      </w:r>
    </w:p>
    <w:p w14:paraId="2AEDD807" w14:textId="77777777" w:rsidR="001C0111" w:rsidRPr="0071228C" w:rsidRDefault="001C0111" w:rsidP="002A2DB0">
      <w:pPr>
        <w:rPr>
          <w:noProof/>
        </w:rPr>
      </w:pPr>
      <w:r w:rsidRPr="0071228C">
        <w:rPr>
          <w:rFonts w:ascii="Wingdings" w:hAnsi="Wingdings"/>
          <w:noProof/>
        </w:rPr>
        <w:t></w:t>
      </w:r>
      <w:r w:rsidRPr="0071228C">
        <w:rPr>
          <w:noProof/>
        </w:rPr>
        <w:t xml:space="preserve"> państwom trzecim lub organom przez nie wyznaczonym;</w:t>
      </w:r>
    </w:p>
    <w:p w14:paraId="01854D9A" w14:textId="2E0D32A5" w:rsidR="001C0111" w:rsidRPr="0071228C" w:rsidRDefault="001C0111" w:rsidP="002A2DB0">
      <w:pPr>
        <w:rPr>
          <w:noProof/>
        </w:rPr>
      </w:pPr>
      <w:r w:rsidRPr="0071228C">
        <w:rPr>
          <w:rFonts w:ascii="Wingdings" w:hAnsi="Wingdings"/>
          <w:noProof/>
        </w:rPr>
        <w:t></w:t>
      </w:r>
      <w:r w:rsidRPr="0071228C">
        <w:rPr>
          <w:noProof/>
        </w:rPr>
        <w:t xml:space="preserve"> organizacjom międzynarodowym</w:t>
      </w:r>
      <w:r w:rsidR="00CC55C0" w:rsidRPr="0071228C">
        <w:rPr>
          <w:noProof/>
        </w:rPr>
        <w:t xml:space="preserve"> i</w:t>
      </w:r>
      <w:r w:rsidR="00CC55C0">
        <w:rPr>
          <w:noProof/>
        </w:rPr>
        <w:t> </w:t>
      </w:r>
      <w:r w:rsidR="00CC55C0" w:rsidRPr="0071228C">
        <w:rPr>
          <w:noProof/>
        </w:rPr>
        <w:t>ich</w:t>
      </w:r>
      <w:r w:rsidRPr="0071228C">
        <w:rPr>
          <w:noProof/>
        </w:rPr>
        <w:t xml:space="preserve"> agencjom (należy wyszczególnić);</w:t>
      </w:r>
    </w:p>
    <w:p w14:paraId="71FEC43D" w14:textId="77777777" w:rsidR="001C0111" w:rsidRPr="0071228C" w:rsidRDefault="001C0111" w:rsidP="002A2DB0">
      <w:pPr>
        <w:rPr>
          <w:noProof/>
        </w:rPr>
      </w:pPr>
      <w:r w:rsidRPr="0071228C">
        <w:rPr>
          <w:rFonts w:ascii="Wingdings" w:hAnsi="Wingdings"/>
          <w:noProof/>
        </w:rPr>
        <w:t></w:t>
      </w:r>
      <w:r w:rsidRPr="0071228C">
        <w:rPr>
          <w:noProof/>
        </w:rPr>
        <w:t xml:space="preserve"> EBI oraz Europejskiemu Funduszowi Inwestycyjnemu;</w:t>
      </w:r>
    </w:p>
    <w:p w14:paraId="55BB5A50" w14:textId="6E12B601" w:rsidR="001C0111" w:rsidRPr="0071228C" w:rsidRDefault="001C0111" w:rsidP="002A2DB0">
      <w:pPr>
        <w:rPr>
          <w:noProof/>
        </w:rPr>
      </w:pPr>
      <w:r w:rsidRPr="0071228C">
        <w:rPr>
          <w:rFonts w:ascii="Wingdings" w:hAnsi="Wingdings"/>
          <w:noProof/>
        </w:rPr>
        <w:t></w:t>
      </w:r>
      <w:r w:rsidRPr="0071228C">
        <w:rPr>
          <w:noProof/>
        </w:rPr>
        <w:t xml:space="preserve"> organom,</w:t>
      </w:r>
      <w:r w:rsidR="00CC55C0" w:rsidRPr="0071228C">
        <w:rPr>
          <w:noProof/>
        </w:rPr>
        <w:t xml:space="preserve"> o</w:t>
      </w:r>
      <w:r w:rsidR="00CC55C0">
        <w:rPr>
          <w:noProof/>
        </w:rPr>
        <w:t> </w:t>
      </w:r>
      <w:r w:rsidR="00CC55C0" w:rsidRPr="0071228C">
        <w:rPr>
          <w:noProof/>
        </w:rPr>
        <w:t>któ</w:t>
      </w:r>
      <w:r w:rsidRPr="0071228C">
        <w:rPr>
          <w:noProof/>
        </w:rPr>
        <w:t>rych mowa</w:t>
      </w:r>
      <w:r w:rsidR="00CC55C0" w:rsidRPr="0071228C">
        <w:rPr>
          <w:noProof/>
        </w:rPr>
        <w:t xml:space="preserve"> w</w:t>
      </w:r>
      <w:r w:rsidR="00CC55C0">
        <w:rPr>
          <w:noProof/>
        </w:rPr>
        <w:t> </w:t>
      </w:r>
      <w:r w:rsidR="00CC55C0" w:rsidRPr="00CC55C0">
        <w:rPr>
          <w:noProof/>
        </w:rPr>
        <w:t>art</w:t>
      </w:r>
      <w:r w:rsidRPr="00CC55C0">
        <w:rPr>
          <w:noProof/>
        </w:rPr>
        <w:t>.</w:t>
      </w:r>
      <w:r w:rsidR="00CC55C0" w:rsidRPr="00CC55C0">
        <w:rPr>
          <w:noProof/>
        </w:rPr>
        <w:t> </w:t>
      </w:r>
      <w:r w:rsidRPr="00CC55C0">
        <w:rPr>
          <w:noProof/>
        </w:rPr>
        <w:t>7</w:t>
      </w:r>
      <w:r w:rsidRPr="0071228C">
        <w:rPr>
          <w:noProof/>
        </w:rPr>
        <w:t>0</w:t>
      </w:r>
      <w:r w:rsidR="00CC55C0" w:rsidRPr="0071228C">
        <w:rPr>
          <w:noProof/>
        </w:rPr>
        <w:t xml:space="preserve"> i</w:t>
      </w:r>
      <w:r w:rsidR="00CC55C0">
        <w:rPr>
          <w:noProof/>
        </w:rPr>
        <w:t> </w:t>
      </w:r>
      <w:r w:rsidR="00CC55C0" w:rsidRPr="0071228C">
        <w:rPr>
          <w:noProof/>
        </w:rPr>
        <w:t>7</w:t>
      </w:r>
      <w:r w:rsidRPr="0071228C">
        <w:rPr>
          <w:noProof/>
        </w:rPr>
        <w:t>1 rozporządzenia finansowego;</w:t>
      </w:r>
    </w:p>
    <w:p w14:paraId="0F8481B6" w14:textId="77777777" w:rsidR="001C0111" w:rsidRPr="0071228C" w:rsidRDefault="001C0111" w:rsidP="002A2DB0">
      <w:pPr>
        <w:rPr>
          <w:noProof/>
        </w:rPr>
      </w:pPr>
      <w:r w:rsidRPr="0071228C">
        <w:rPr>
          <w:rFonts w:ascii="Wingdings" w:hAnsi="Wingdings"/>
          <w:noProof/>
        </w:rPr>
        <w:t></w:t>
      </w:r>
      <w:r w:rsidRPr="0071228C">
        <w:rPr>
          <w:noProof/>
        </w:rPr>
        <w:t xml:space="preserve"> organom prawa publicznego;</w:t>
      </w:r>
    </w:p>
    <w:p w14:paraId="6970E401" w14:textId="34EF4BE2" w:rsidR="001C0111" w:rsidRPr="0071228C" w:rsidRDefault="001C0111" w:rsidP="002A2DB0">
      <w:pPr>
        <w:rPr>
          <w:noProof/>
        </w:rPr>
      </w:pPr>
      <w:r w:rsidRPr="0071228C">
        <w:rPr>
          <w:rFonts w:ascii="Wingdings" w:hAnsi="Wingdings"/>
          <w:noProof/>
        </w:rPr>
        <w:t></w:t>
      </w:r>
      <w:r w:rsidRPr="0071228C">
        <w:rPr>
          <w:noProof/>
        </w:rPr>
        <w:t xml:space="preserve"> podmiotom podlegającym prawu prywatnemu, które świadczą usługi użyteczności publicznej,</w:t>
      </w:r>
      <w:r w:rsidR="00CC55C0" w:rsidRPr="0071228C">
        <w:rPr>
          <w:noProof/>
        </w:rPr>
        <w:t xml:space="preserve"> o</w:t>
      </w:r>
      <w:r w:rsidR="00CC55C0">
        <w:rPr>
          <w:noProof/>
        </w:rPr>
        <w:t> </w:t>
      </w:r>
      <w:r w:rsidR="00CC55C0" w:rsidRPr="0071228C">
        <w:rPr>
          <w:noProof/>
        </w:rPr>
        <w:t>ile</w:t>
      </w:r>
      <w:r w:rsidRPr="0071228C">
        <w:rPr>
          <w:noProof/>
        </w:rPr>
        <w:t xml:space="preserve"> zapewniają one odpowiednie gwarancje finansowe;</w:t>
      </w:r>
    </w:p>
    <w:p w14:paraId="2AE7DFBE" w14:textId="77777777" w:rsidR="001C0111" w:rsidRPr="0071228C" w:rsidRDefault="001C0111" w:rsidP="002A2DB0">
      <w:pPr>
        <w:rPr>
          <w:noProof/>
        </w:rPr>
      </w:pPr>
      <w:r w:rsidRPr="0071228C">
        <w:rPr>
          <w:rFonts w:ascii="Wingdings" w:hAnsi="Wingdings"/>
          <w:noProof/>
        </w:rPr>
        <w:t></w:t>
      </w:r>
      <w:r w:rsidRPr="0071228C">
        <w:rPr>
          <w:noProof/>
        </w:rPr>
        <w:t xml:space="preserve"> podmiotom podlegającym prawu prywatnemu państwa członkowskiego, którym powierzono realizację partnerstwa publiczno-prywatnego oraz które zapewniają odpowiednie gwarancje finansowe;</w:t>
      </w:r>
    </w:p>
    <w:p w14:paraId="1C7F4CA6" w14:textId="26422044" w:rsidR="001C0111" w:rsidRPr="0071228C" w:rsidRDefault="001C0111" w:rsidP="002A2DB0">
      <w:pPr>
        <w:rPr>
          <w:noProof/>
        </w:rPr>
      </w:pPr>
      <w:r w:rsidRPr="0071228C">
        <w:rPr>
          <w:rFonts w:ascii="Wingdings" w:hAnsi="Wingdings"/>
          <w:noProof/>
        </w:rPr>
        <w:t></w:t>
      </w:r>
      <w:r w:rsidRPr="0071228C">
        <w:rPr>
          <w:noProof/>
        </w:rPr>
        <w:t xml:space="preserve"> osobom odpowiedzialnym za wykonanie określonych działań</w:t>
      </w:r>
      <w:r w:rsidR="00CC55C0" w:rsidRPr="0071228C">
        <w:rPr>
          <w:noProof/>
        </w:rPr>
        <w:t xml:space="preserve"> w</w:t>
      </w:r>
      <w:r w:rsidR="00CC55C0">
        <w:rPr>
          <w:noProof/>
        </w:rPr>
        <w:t> </w:t>
      </w:r>
      <w:r w:rsidR="00CC55C0" w:rsidRPr="0071228C">
        <w:rPr>
          <w:noProof/>
        </w:rPr>
        <w:t>dzi</w:t>
      </w:r>
      <w:r w:rsidRPr="0071228C">
        <w:rPr>
          <w:noProof/>
        </w:rPr>
        <w:t>edzinie wspólnej polityki zagranicznej</w:t>
      </w:r>
      <w:r w:rsidR="00CC55C0" w:rsidRPr="0071228C">
        <w:rPr>
          <w:noProof/>
        </w:rPr>
        <w:t xml:space="preserve"> i</w:t>
      </w:r>
      <w:r w:rsidR="00CC55C0">
        <w:rPr>
          <w:noProof/>
        </w:rPr>
        <w:t> </w:t>
      </w:r>
      <w:r w:rsidR="00CC55C0" w:rsidRPr="0071228C">
        <w:rPr>
          <w:noProof/>
        </w:rPr>
        <w:t>bez</w:t>
      </w:r>
      <w:r w:rsidRPr="0071228C">
        <w:rPr>
          <w:noProof/>
        </w:rPr>
        <w:t>pieczeństwa na mocy tytułu V Traktatu</w:t>
      </w:r>
      <w:r w:rsidR="00CC55C0" w:rsidRPr="0071228C">
        <w:rPr>
          <w:noProof/>
        </w:rPr>
        <w:t xml:space="preserve"> o</w:t>
      </w:r>
      <w:r w:rsidR="00CC55C0">
        <w:rPr>
          <w:noProof/>
        </w:rPr>
        <w:t> </w:t>
      </w:r>
      <w:r w:rsidR="00CC55C0" w:rsidRPr="0071228C">
        <w:rPr>
          <w:noProof/>
        </w:rPr>
        <w:t>Uni</w:t>
      </w:r>
      <w:r w:rsidRPr="0071228C">
        <w:rPr>
          <w:noProof/>
        </w:rPr>
        <w:t>i Europejskiej oraz określonym we właściwym podstawowym akcie prawnym.</w:t>
      </w:r>
    </w:p>
    <w:p w14:paraId="5AAC40DD" w14:textId="77777777" w:rsidR="001C0111" w:rsidRPr="0071228C" w:rsidRDefault="001C0111" w:rsidP="001C0111">
      <w:pPr>
        <w:rPr>
          <w:noProof/>
          <w:lang w:eastAsia="en-GB"/>
        </w:rPr>
        <w:sectPr w:rsidR="001C0111" w:rsidRPr="0071228C" w:rsidSect="00E25B75">
          <w:footnotePr>
            <w:numRestart w:val="eachSect"/>
          </w:footnotePr>
          <w:pgSz w:w="11907" w:h="16840" w:code="9"/>
          <w:pgMar w:top="1134" w:right="1418" w:bottom="1134" w:left="1418" w:header="709" w:footer="709" w:gutter="0"/>
          <w:cols w:space="708"/>
          <w:docGrid w:linePitch="360"/>
        </w:sectPr>
      </w:pPr>
    </w:p>
    <w:p w14:paraId="1D413FD8" w14:textId="77777777" w:rsidR="001C0111" w:rsidRPr="0071228C" w:rsidRDefault="001C0111" w:rsidP="002A2DB0">
      <w:pPr>
        <w:keepNext/>
        <w:spacing w:before="360"/>
        <w:outlineLvl w:val="0"/>
        <w:rPr>
          <w:rFonts w:eastAsiaTheme="majorEastAsia"/>
          <w:b/>
          <w:smallCaps/>
          <w:noProof/>
          <w:szCs w:val="24"/>
        </w:rPr>
      </w:pPr>
      <w:bookmarkStart w:id="37" w:name="_Toc514938041"/>
      <w:bookmarkStart w:id="38" w:name="_Toc520485042"/>
      <w:r w:rsidRPr="0071228C">
        <w:rPr>
          <w:b/>
          <w:smallCaps/>
          <w:noProof/>
        </w:rPr>
        <w:t>ŚRODKI ZARZĄDZANIA</w:t>
      </w:r>
      <w:bookmarkEnd w:id="37"/>
      <w:bookmarkEnd w:id="38"/>
      <w:r w:rsidRPr="0071228C">
        <w:rPr>
          <w:b/>
          <w:smallCaps/>
          <w:noProof/>
        </w:rPr>
        <w:t xml:space="preserve"> </w:t>
      </w:r>
    </w:p>
    <w:p w14:paraId="6B3B07F9" w14:textId="398969F1" w:rsidR="001C0111" w:rsidRPr="0071228C" w:rsidRDefault="001C0111" w:rsidP="002A2DB0">
      <w:pPr>
        <w:keepNext/>
        <w:outlineLvl w:val="1"/>
        <w:rPr>
          <w:rFonts w:eastAsiaTheme="majorEastAsia"/>
          <w:b/>
          <w:bCs/>
          <w:noProof/>
          <w:szCs w:val="26"/>
        </w:rPr>
      </w:pPr>
      <w:bookmarkStart w:id="39" w:name="_Toc514938042"/>
      <w:bookmarkStart w:id="40" w:name="_Toc520485043"/>
      <w:r w:rsidRPr="0071228C">
        <w:rPr>
          <w:b/>
          <w:noProof/>
        </w:rPr>
        <w:t>Zasady nadzoru</w:t>
      </w:r>
      <w:r w:rsidR="00CC55C0" w:rsidRPr="0071228C">
        <w:rPr>
          <w:b/>
          <w:noProof/>
        </w:rPr>
        <w:t xml:space="preserve"> i</w:t>
      </w:r>
      <w:r w:rsidR="00CC55C0">
        <w:rPr>
          <w:b/>
          <w:noProof/>
        </w:rPr>
        <w:t> </w:t>
      </w:r>
      <w:r w:rsidR="00CC55C0" w:rsidRPr="0071228C">
        <w:rPr>
          <w:b/>
          <w:noProof/>
        </w:rPr>
        <w:t>spr</w:t>
      </w:r>
      <w:r w:rsidRPr="0071228C">
        <w:rPr>
          <w:b/>
          <w:noProof/>
        </w:rPr>
        <w:t>awozdawczości</w:t>
      </w:r>
      <w:bookmarkEnd w:id="39"/>
      <w:bookmarkEnd w:id="40"/>
      <w:r w:rsidRPr="0071228C">
        <w:rPr>
          <w:b/>
          <w:noProof/>
        </w:rPr>
        <w:t xml:space="preserve"> </w:t>
      </w:r>
    </w:p>
    <w:p w14:paraId="52ADD8BC" w14:textId="610A310B" w:rsidR="001C0111" w:rsidRPr="00CC55C0" w:rsidRDefault="001C0111" w:rsidP="001C0111">
      <w:pPr>
        <w:ind w:left="850"/>
        <w:rPr>
          <w:i/>
          <w:noProof/>
          <w:sz w:val="20"/>
        </w:rPr>
      </w:pPr>
      <w:r w:rsidRPr="0071228C">
        <w:rPr>
          <w:i/>
          <w:noProof/>
          <w:sz w:val="20"/>
        </w:rPr>
        <w:t>Określić częstotliwość</w:t>
      </w:r>
      <w:r w:rsidR="00CC55C0" w:rsidRPr="0071228C">
        <w:rPr>
          <w:i/>
          <w:noProof/>
          <w:sz w:val="20"/>
        </w:rPr>
        <w:t xml:space="preserve"> i</w:t>
      </w:r>
      <w:r w:rsidR="00CC55C0">
        <w:rPr>
          <w:i/>
          <w:noProof/>
          <w:sz w:val="20"/>
        </w:rPr>
        <w:t> </w:t>
      </w:r>
      <w:r w:rsidR="00CC55C0" w:rsidRPr="0071228C">
        <w:rPr>
          <w:i/>
          <w:noProof/>
          <w:sz w:val="20"/>
        </w:rPr>
        <w:t>war</w:t>
      </w:r>
      <w:r w:rsidRPr="0071228C">
        <w:rPr>
          <w:i/>
          <w:noProof/>
          <w:sz w:val="20"/>
        </w:rPr>
        <w:t>unki</w:t>
      </w:r>
    </w:p>
    <w:p w14:paraId="7260991B" w14:textId="11484996"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CC55C0">
        <w:rPr>
          <w:noProof/>
        </w:rPr>
        <w:t>I</w:t>
      </w:r>
      <w:r w:rsidRPr="0071228C">
        <w:rPr>
          <w:noProof/>
        </w:rPr>
        <w:t>nicjatywa ta obejmuje zamówienia publiczne, porozumienie administracyjne ze JRC, zwiększenie wkładu na rzecz ECHA i EEA oraz zmiany</w:t>
      </w:r>
      <w:r w:rsidR="00CC55C0" w:rsidRPr="0071228C">
        <w:rPr>
          <w:noProof/>
        </w:rPr>
        <w:t xml:space="preserve"> w</w:t>
      </w:r>
      <w:r w:rsidR="00CC55C0">
        <w:rPr>
          <w:noProof/>
        </w:rPr>
        <w:t> </w:t>
      </w:r>
      <w:r w:rsidR="00CC55C0" w:rsidRPr="0071228C">
        <w:rPr>
          <w:noProof/>
        </w:rPr>
        <w:t>zas</w:t>
      </w:r>
      <w:r w:rsidRPr="0071228C">
        <w:rPr>
          <w:noProof/>
        </w:rPr>
        <w:t>obach ludzkich Komisji. Zastosowanie mają standardowe zasady dotyczące tego typu wydatków.</w:t>
      </w:r>
    </w:p>
    <w:p w14:paraId="7EDEA7D3" w14:textId="15A87927" w:rsidR="001C0111" w:rsidRPr="0071228C" w:rsidRDefault="001C0111" w:rsidP="002A2DB0">
      <w:pPr>
        <w:keepNext/>
        <w:outlineLvl w:val="1"/>
        <w:rPr>
          <w:rFonts w:eastAsiaTheme="majorEastAsia"/>
          <w:b/>
          <w:noProof/>
          <w:szCs w:val="24"/>
        </w:rPr>
      </w:pPr>
      <w:bookmarkStart w:id="41" w:name="_Toc514938045"/>
      <w:bookmarkStart w:id="42" w:name="_Toc520485044"/>
      <w:r w:rsidRPr="0071228C">
        <w:rPr>
          <w:b/>
          <w:noProof/>
        </w:rPr>
        <w:t>System zarządzania</w:t>
      </w:r>
      <w:r w:rsidR="00CC55C0" w:rsidRPr="0071228C">
        <w:rPr>
          <w:b/>
          <w:noProof/>
        </w:rPr>
        <w:t xml:space="preserve"> i</w:t>
      </w:r>
      <w:r w:rsidR="00CC55C0">
        <w:rPr>
          <w:b/>
          <w:noProof/>
        </w:rPr>
        <w:t> </w:t>
      </w:r>
      <w:r w:rsidR="00CC55C0" w:rsidRPr="0071228C">
        <w:rPr>
          <w:b/>
          <w:noProof/>
        </w:rPr>
        <w:t>kon</w:t>
      </w:r>
      <w:r w:rsidRPr="0071228C">
        <w:rPr>
          <w:b/>
          <w:noProof/>
        </w:rPr>
        <w:t>troli</w:t>
      </w:r>
      <w:bookmarkEnd w:id="41"/>
      <w:bookmarkEnd w:id="42"/>
      <w:r w:rsidRPr="0071228C">
        <w:rPr>
          <w:b/>
          <w:noProof/>
        </w:rPr>
        <w:t xml:space="preserve"> </w:t>
      </w:r>
    </w:p>
    <w:p w14:paraId="3ED95625" w14:textId="0999164C" w:rsidR="001C0111" w:rsidRPr="0071228C" w:rsidRDefault="001C0111" w:rsidP="002A2DB0">
      <w:pPr>
        <w:keepNext/>
        <w:outlineLvl w:val="2"/>
        <w:rPr>
          <w:rFonts w:eastAsiaTheme="majorEastAsia"/>
          <w:bCs/>
          <w:i/>
          <w:noProof/>
        </w:rPr>
      </w:pPr>
      <w:bookmarkStart w:id="43" w:name="_Toc514938046"/>
      <w:bookmarkStart w:id="44" w:name="_Toc520485045"/>
      <w:r w:rsidRPr="0071228C">
        <w:rPr>
          <w:i/>
          <w:noProof/>
        </w:rPr>
        <w:t>Uzasadnienie dla systemu zarządzania, mechanizmów finansowania wykonania, warunków płatności</w:t>
      </w:r>
      <w:r w:rsidR="00CC55C0" w:rsidRPr="0071228C">
        <w:rPr>
          <w:i/>
          <w:noProof/>
        </w:rPr>
        <w:t xml:space="preserve"> i</w:t>
      </w:r>
      <w:r w:rsidR="00CC55C0">
        <w:rPr>
          <w:i/>
          <w:noProof/>
        </w:rPr>
        <w:t> </w:t>
      </w:r>
      <w:r w:rsidR="00CC55C0" w:rsidRPr="0071228C">
        <w:rPr>
          <w:i/>
          <w:noProof/>
        </w:rPr>
        <w:t>pro</w:t>
      </w:r>
      <w:r w:rsidRPr="0071228C">
        <w:rPr>
          <w:i/>
          <w:noProof/>
        </w:rPr>
        <w:t>ponowanej strategii kontroli</w:t>
      </w:r>
      <w:bookmarkEnd w:id="43"/>
      <w:bookmarkEnd w:id="44"/>
    </w:p>
    <w:p w14:paraId="32CA9319"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bookmarkStart w:id="45" w:name="_Toc514938047"/>
      <w:bookmarkStart w:id="46" w:name="_Toc520485046"/>
      <w:r w:rsidRPr="0071228C">
        <w:rPr>
          <w:noProof/>
        </w:rPr>
        <w:t>Nie dotyczy – por. powyżej</w:t>
      </w:r>
    </w:p>
    <w:p w14:paraId="2079EEC4" w14:textId="695E1ABF" w:rsidR="001C0111" w:rsidRPr="0071228C" w:rsidRDefault="001C0111" w:rsidP="002A2DB0">
      <w:pPr>
        <w:keepNext/>
        <w:outlineLvl w:val="2"/>
        <w:rPr>
          <w:rFonts w:eastAsiaTheme="majorEastAsia"/>
          <w:i/>
          <w:noProof/>
          <w:szCs w:val="24"/>
        </w:rPr>
      </w:pPr>
      <w:r w:rsidRPr="0071228C">
        <w:rPr>
          <w:i/>
          <w:noProof/>
        </w:rPr>
        <w:t>Informacje dotyczące zidentyfikowanego ryzyka</w:t>
      </w:r>
      <w:r w:rsidR="00CC55C0" w:rsidRPr="0071228C">
        <w:rPr>
          <w:i/>
          <w:noProof/>
        </w:rPr>
        <w:t xml:space="preserve"> i</w:t>
      </w:r>
      <w:r w:rsidR="00CC55C0">
        <w:rPr>
          <w:i/>
          <w:noProof/>
        </w:rPr>
        <w:t> </w:t>
      </w:r>
      <w:r w:rsidR="00CC55C0" w:rsidRPr="0071228C">
        <w:rPr>
          <w:i/>
          <w:noProof/>
        </w:rPr>
        <w:t>sys</w:t>
      </w:r>
      <w:r w:rsidRPr="0071228C">
        <w:rPr>
          <w:i/>
          <w:noProof/>
        </w:rPr>
        <w:t>temów kontroli wewnętrznej ustanowionych</w:t>
      </w:r>
      <w:r w:rsidR="00CC55C0" w:rsidRPr="0071228C">
        <w:rPr>
          <w:i/>
          <w:noProof/>
        </w:rPr>
        <w:t xml:space="preserve"> w</w:t>
      </w:r>
      <w:r w:rsidR="00CC55C0">
        <w:rPr>
          <w:i/>
          <w:noProof/>
        </w:rPr>
        <w:t> </w:t>
      </w:r>
      <w:r w:rsidR="00CC55C0" w:rsidRPr="0071228C">
        <w:rPr>
          <w:i/>
          <w:noProof/>
        </w:rPr>
        <w:t>cel</w:t>
      </w:r>
      <w:r w:rsidRPr="0071228C">
        <w:rPr>
          <w:i/>
          <w:noProof/>
        </w:rPr>
        <w:t>u jego ograniczenia</w:t>
      </w:r>
      <w:bookmarkEnd w:id="45"/>
      <w:bookmarkEnd w:id="46"/>
    </w:p>
    <w:p w14:paraId="00C99007"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Nie dotyczy – por. powyżej</w:t>
      </w:r>
    </w:p>
    <w:p w14:paraId="4FA70035" w14:textId="5206F8CD" w:rsidR="001C0111" w:rsidRPr="0071228C" w:rsidRDefault="001C0111" w:rsidP="002A2DB0">
      <w:pPr>
        <w:keepNext/>
        <w:outlineLvl w:val="2"/>
        <w:rPr>
          <w:rFonts w:eastAsiaTheme="majorEastAsia"/>
          <w:bCs/>
          <w:i/>
          <w:noProof/>
        </w:rPr>
      </w:pPr>
      <w:bookmarkStart w:id="47" w:name="_Toc514938048"/>
      <w:bookmarkStart w:id="48" w:name="_Toc520485047"/>
      <w:r w:rsidRPr="0071228C">
        <w:rPr>
          <w:i/>
          <w:noProof/>
        </w:rPr>
        <w:t>Oszacowanie</w:t>
      </w:r>
      <w:r w:rsidR="00CC55C0" w:rsidRPr="0071228C">
        <w:rPr>
          <w:i/>
          <w:noProof/>
        </w:rPr>
        <w:t xml:space="preserve"> i</w:t>
      </w:r>
      <w:r w:rsidR="00CC55C0">
        <w:rPr>
          <w:i/>
          <w:noProof/>
        </w:rPr>
        <w:t> </w:t>
      </w:r>
      <w:r w:rsidR="00CC55C0" w:rsidRPr="0071228C">
        <w:rPr>
          <w:i/>
          <w:noProof/>
        </w:rPr>
        <w:t>uza</w:t>
      </w:r>
      <w:r w:rsidRPr="0071228C">
        <w:rPr>
          <w:i/>
          <w:noProof/>
        </w:rPr>
        <w:t>sadnienie efektywności kosztowej kontroli (relacja kosztów kontroli do wartości zarządzanych funduszy powiązanych) oraz ocena prawdopodobnego ryzyka błędu (przy płatności</w:t>
      </w:r>
      <w:r w:rsidR="00CC55C0" w:rsidRPr="0071228C">
        <w:rPr>
          <w:i/>
          <w:noProof/>
        </w:rPr>
        <w:t xml:space="preserve"> i</w:t>
      </w:r>
      <w:r w:rsidR="00CC55C0">
        <w:rPr>
          <w:i/>
          <w:noProof/>
        </w:rPr>
        <w:t> </w:t>
      </w:r>
      <w:r w:rsidR="00CC55C0" w:rsidRPr="0071228C">
        <w:rPr>
          <w:i/>
          <w:noProof/>
        </w:rPr>
        <w:t>prz</w:t>
      </w:r>
      <w:r w:rsidRPr="0071228C">
        <w:rPr>
          <w:i/>
          <w:noProof/>
        </w:rPr>
        <w:t>y zamykaniu)</w:t>
      </w:r>
      <w:bookmarkEnd w:id="47"/>
      <w:bookmarkEnd w:id="48"/>
      <w:r w:rsidRPr="0071228C">
        <w:rPr>
          <w:i/>
          <w:noProof/>
        </w:rPr>
        <w:t xml:space="preserve"> </w:t>
      </w:r>
    </w:p>
    <w:p w14:paraId="54BFDCC7"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Nie dotyczy – por. powyżej</w:t>
      </w:r>
    </w:p>
    <w:p w14:paraId="5F859655" w14:textId="4703C64D" w:rsidR="001C0111" w:rsidRPr="0071228C" w:rsidRDefault="001C0111" w:rsidP="002A2DB0">
      <w:pPr>
        <w:keepNext/>
        <w:outlineLvl w:val="1"/>
        <w:rPr>
          <w:rFonts w:eastAsiaTheme="majorEastAsia"/>
          <w:b/>
          <w:noProof/>
          <w:szCs w:val="24"/>
        </w:rPr>
      </w:pPr>
      <w:bookmarkStart w:id="49" w:name="_Toc514938049"/>
      <w:bookmarkStart w:id="50" w:name="_Toc520485048"/>
      <w:r w:rsidRPr="0071228C">
        <w:rPr>
          <w:b/>
          <w:noProof/>
        </w:rPr>
        <w:t>Środki zapobiegania nadużyciom finansowym</w:t>
      </w:r>
      <w:r w:rsidR="00CC55C0" w:rsidRPr="0071228C">
        <w:rPr>
          <w:b/>
          <w:noProof/>
        </w:rPr>
        <w:t xml:space="preserve"> i</w:t>
      </w:r>
      <w:r w:rsidR="00CC55C0">
        <w:rPr>
          <w:b/>
          <w:noProof/>
        </w:rPr>
        <w:t> </w:t>
      </w:r>
      <w:r w:rsidR="00CC55C0" w:rsidRPr="0071228C">
        <w:rPr>
          <w:b/>
          <w:noProof/>
        </w:rPr>
        <w:t>nie</w:t>
      </w:r>
      <w:r w:rsidRPr="0071228C">
        <w:rPr>
          <w:b/>
          <w:noProof/>
        </w:rPr>
        <w:t>prawidłowościom</w:t>
      </w:r>
      <w:bookmarkEnd w:id="49"/>
      <w:bookmarkEnd w:id="50"/>
      <w:r w:rsidRPr="0071228C">
        <w:rPr>
          <w:b/>
          <w:noProof/>
        </w:rPr>
        <w:t xml:space="preserve"> </w:t>
      </w:r>
    </w:p>
    <w:p w14:paraId="22E52521" w14:textId="3014B6A7" w:rsidR="001C0111" w:rsidRPr="0071228C" w:rsidRDefault="001C0111" w:rsidP="001C0111">
      <w:pPr>
        <w:ind w:left="850"/>
        <w:rPr>
          <w:i/>
          <w:noProof/>
          <w:sz w:val="20"/>
        </w:rPr>
      </w:pPr>
      <w:r w:rsidRPr="0071228C">
        <w:rPr>
          <w:i/>
          <w:noProof/>
          <w:sz w:val="20"/>
        </w:rPr>
        <w:t>Określić istniejące lub przewidywane środki zapobiegania</w:t>
      </w:r>
      <w:r w:rsidR="00CC55C0" w:rsidRPr="0071228C">
        <w:rPr>
          <w:i/>
          <w:noProof/>
          <w:sz w:val="20"/>
        </w:rPr>
        <w:t xml:space="preserve"> i</w:t>
      </w:r>
      <w:r w:rsidR="00CC55C0">
        <w:rPr>
          <w:i/>
          <w:noProof/>
          <w:sz w:val="20"/>
        </w:rPr>
        <w:t> </w:t>
      </w:r>
      <w:r w:rsidR="00CC55C0" w:rsidRPr="0071228C">
        <w:rPr>
          <w:i/>
          <w:noProof/>
          <w:sz w:val="20"/>
        </w:rPr>
        <w:t>och</w:t>
      </w:r>
      <w:r w:rsidRPr="0071228C">
        <w:rPr>
          <w:i/>
          <w:noProof/>
          <w:sz w:val="20"/>
        </w:rPr>
        <w:t>rony, np. ze strategii zwalczania nadużyć finansowych.</w:t>
      </w:r>
    </w:p>
    <w:p w14:paraId="4BCE2C31"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Nie dotyczy – por. powyżej</w:t>
      </w:r>
    </w:p>
    <w:p w14:paraId="3F823F66" w14:textId="77777777" w:rsidR="001C0111" w:rsidRPr="0071228C" w:rsidRDefault="001C0111" w:rsidP="001C0111">
      <w:pPr>
        <w:rPr>
          <w:noProof/>
          <w:lang w:eastAsia="en-GB"/>
        </w:rPr>
      </w:pPr>
    </w:p>
    <w:p w14:paraId="02C6FF9B" w14:textId="77777777" w:rsidR="001C0111" w:rsidRPr="0071228C" w:rsidRDefault="001C0111" w:rsidP="001C0111">
      <w:pPr>
        <w:rPr>
          <w:noProof/>
          <w:lang w:eastAsia="en-GB"/>
        </w:rPr>
        <w:sectPr w:rsidR="001C0111" w:rsidRPr="0071228C" w:rsidSect="00E25B75">
          <w:footnotePr>
            <w:numRestart w:val="eachSect"/>
          </w:footnotePr>
          <w:pgSz w:w="11907" w:h="16840" w:code="9"/>
          <w:pgMar w:top="1134" w:right="1418" w:bottom="1134" w:left="1418" w:header="709" w:footer="709" w:gutter="0"/>
          <w:cols w:space="708"/>
          <w:docGrid w:linePitch="360"/>
        </w:sectPr>
      </w:pPr>
    </w:p>
    <w:p w14:paraId="27487EBA" w14:textId="77777777" w:rsidR="001C0111" w:rsidRPr="0071228C" w:rsidRDefault="001C0111" w:rsidP="002A2DB0">
      <w:pPr>
        <w:keepNext/>
        <w:spacing w:before="360"/>
        <w:outlineLvl w:val="0"/>
        <w:rPr>
          <w:rFonts w:eastAsiaTheme="majorEastAsia"/>
          <w:b/>
          <w:smallCaps/>
          <w:noProof/>
          <w:szCs w:val="24"/>
        </w:rPr>
      </w:pPr>
      <w:bookmarkStart w:id="51" w:name="_Toc514938050"/>
      <w:bookmarkStart w:id="52" w:name="_Toc520485049"/>
      <w:r w:rsidRPr="0071228C">
        <w:rPr>
          <w:b/>
          <w:smallCaps/>
          <w:noProof/>
        </w:rPr>
        <w:t>SZACUNKOWY WPŁYW FINANSOWY WNIOSKU/INICJATYWY</w:t>
      </w:r>
      <w:bookmarkEnd w:id="51"/>
      <w:bookmarkEnd w:id="52"/>
      <w:r w:rsidRPr="0071228C">
        <w:rPr>
          <w:b/>
          <w:smallCaps/>
          <w:noProof/>
        </w:rPr>
        <w:t xml:space="preserve"> </w:t>
      </w:r>
    </w:p>
    <w:p w14:paraId="23327FDD" w14:textId="5FF583A0" w:rsidR="001C0111" w:rsidRPr="0071228C" w:rsidRDefault="001C0111" w:rsidP="002A2DB0">
      <w:pPr>
        <w:keepNext/>
        <w:outlineLvl w:val="1"/>
        <w:rPr>
          <w:rFonts w:eastAsiaTheme="majorEastAsia"/>
          <w:b/>
          <w:bCs/>
          <w:noProof/>
          <w:szCs w:val="26"/>
        </w:rPr>
      </w:pPr>
      <w:bookmarkStart w:id="53" w:name="_Toc514938051"/>
      <w:bookmarkStart w:id="54" w:name="_Toc520485050"/>
      <w:r w:rsidRPr="0071228C">
        <w:rPr>
          <w:b/>
          <w:noProof/>
        </w:rPr>
        <w:t>Działy wieloletnich ram finansowych</w:t>
      </w:r>
      <w:r w:rsidR="00CC55C0" w:rsidRPr="0071228C">
        <w:rPr>
          <w:b/>
          <w:noProof/>
        </w:rPr>
        <w:t xml:space="preserve"> i</w:t>
      </w:r>
      <w:r w:rsidR="00CC55C0">
        <w:rPr>
          <w:b/>
          <w:noProof/>
        </w:rPr>
        <w:t> </w:t>
      </w:r>
      <w:r w:rsidR="00CC55C0" w:rsidRPr="0071228C">
        <w:rPr>
          <w:b/>
          <w:noProof/>
        </w:rPr>
        <w:t>lin</w:t>
      </w:r>
      <w:r w:rsidRPr="0071228C">
        <w:rPr>
          <w:b/>
          <w:noProof/>
        </w:rPr>
        <w:t>ie budżetowe po stronie wydatków, na które wniosek/inicjatywa ma wpływ</w:t>
      </w:r>
      <w:bookmarkEnd w:id="53"/>
      <w:bookmarkEnd w:id="54"/>
      <w:r w:rsidRPr="0071228C">
        <w:rPr>
          <w:b/>
          <w:noProof/>
        </w:rPr>
        <w:t xml:space="preserve"> </w:t>
      </w:r>
    </w:p>
    <w:p w14:paraId="6360070B" w14:textId="77777777" w:rsidR="001C0111" w:rsidRPr="0071228C" w:rsidRDefault="001C0111" w:rsidP="001C0111">
      <w:pPr>
        <w:tabs>
          <w:tab w:val="num" w:pos="1134"/>
        </w:tabs>
        <w:ind w:left="1134" w:hanging="283"/>
        <w:rPr>
          <w:noProof/>
        </w:rPr>
      </w:pPr>
      <w:r w:rsidRPr="0071228C">
        <w:rPr>
          <w:noProof/>
        </w:rPr>
        <w:t xml:space="preserve">Istniejące linie budżetowe </w:t>
      </w:r>
    </w:p>
    <w:p w14:paraId="75FB0EF4" w14:textId="002384EF" w:rsidR="001C0111" w:rsidRPr="0071228C" w:rsidRDefault="001C0111" w:rsidP="001C0111">
      <w:pPr>
        <w:ind w:left="850"/>
        <w:rPr>
          <w:i/>
          <w:noProof/>
        </w:rPr>
      </w:pPr>
      <w:r w:rsidRPr="0071228C">
        <w:rPr>
          <w:i/>
          <w:noProof/>
          <w:u w:val="single"/>
        </w:rPr>
        <w:t>Według</w:t>
      </w:r>
      <w:r w:rsidRPr="0071228C">
        <w:rPr>
          <w:i/>
          <w:noProof/>
        </w:rPr>
        <w:t xml:space="preserve"> działów wieloletnich ram finansowych</w:t>
      </w:r>
      <w:r w:rsidR="00CC55C0" w:rsidRPr="0071228C">
        <w:rPr>
          <w:i/>
          <w:noProof/>
        </w:rPr>
        <w:t xml:space="preserve"> i</w:t>
      </w:r>
      <w:r w:rsidR="00CC55C0">
        <w:rPr>
          <w:i/>
          <w:noProof/>
        </w:rPr>
        <w:t> </w:t>
      </w:r>
      <w:r w:rsidR="00CC55C0" w:rsidRPr="0071228C">
        <w:rPr>
          <w:i/>
          <w:noProof/>
        </w:rPr>
        <w:t>lin</w:t>
      </w:r>
      <w:r w:rsidRPr="0071228C">
        <w:rPr>
          <w:i/>
          <w:noProof/>
        </w:rPr>
        <w:t>ii budżetowych</w:t>
      </w:r>
      <w:r w:rsidRPr="0071228C">
        <w:rPr>
          <w:noProof/>
          <w:color w:val="0000FF"/>
          <w:highlight w:val="green"/>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C0111" w:rsidRPr="0071228C" w14:paraId="3772D541" w14:textId="77777777" w:rsidTr="00EE4772">
        <w:tc>
          <w:tcPr>
            <w:tcW w:w="1080" w:type="dxa"/>
            <w:vMerge w:val="restart"/>
            <w:vAlign w:val="center"/>
          </w:tcPr>
          <w:p w14:paraId="3B799E4D" w14:textId="77777777" w:rsidR="001C0111" w:rsidRPr="0071228C" w:rsidRDefault="001C0111" w:rsidP="001C0111">
            <w:pPr>
              <w:spacing w:before="60" w:after="60"/>
              <w:jc w:val="center"/>
              <w:rPr>
                <w:noProof/>
              </w:rPr>
            </w:pPr>
            <w:r w:rsidRPr="0071228C">
              <w:rPr>
                <w:noProof/>
                <w:sz w:val="18"/>
              </w:rPr>
              <w:t>Dział wieloletnich ram finansowych</w:t>
            </w:r>
          </w:p>
        </w:tc>
        <w:tc>
          <w:tcPr>
            <w:tcW w:w="3960" w:type="dxa"/>
            <w:vAlign w:val="center"/>
          </w:tcPr>
          <w:p w14:paraId="43BACCF5" w14:textId="77777777" w:rsidR="001C0111" w:rsidRPr="0071228C" w:rsidRDefault="001C0111" w:rsidP="001C0111">
            <w:pPr>
              <w:spacing w:before="60" w:after="60"/>
              <w:jc w:val="center"/>
              <w:rPr>
                <w:noProof/>
              </w:rPr>
            </w:pPr>
            <w:r w:rsidRPr="0071228C">
              <w:rPr>
                <w:noProof/>
                <w:sz w:val="20"/>
              </w:rPr>
              <w:t>Linia budżetowa</w:t>
            </w:r>
          </w:p>
        </w:tc>
        <w:tc>
          <w:tcPr>
            <w:tcW w:w="1080" w:type="dxa"/>
            <w:vAlign w:val="center"/>
          </w:tcPr>
          <w:p w14:paraId="7055BCCD" w14:textId="7510F8E7" w:rsidR="001C0111" w:rsidRPr="0071228C" w:rsidRDefault="001C0111" w:rsidP="001C0111">
            <w:pPr>
              <w:spacing w:before="60" w:after="60"/>
              <w:jc w:val="center"/>
              <w:rPr>
                <w:noProof/>
              </w:rPr>
            </w:pPr>
            <w:r w:rsidRPr="0071228C">
              <w:rPr>
                <w:noProof/>
                <w:sz w:val="18"/>
              </w:rPr>
              <w:t>Rodza</w:t>
            </w:r>
            <w:r w:rsidRPr="00CC55C0">
              <w:rPr>
                <w:noProof/>
                <w:sz w:val="18"/>
              </w:rPr>
              <w:t>j</w:t>
            </w:r>
            <w:r w:rsidR="00CC55C0" w:rsidRPr="00CC55C0">
              <w:rPr>
                <w:noProof/>
                <w:sz w:val="18"/>
              </w:rPr>
              <w:t xml:space="preserve"> </w:t>
            </w:r>
            <w:r w:rsidRPr="00CC55C0">
              <w:rPr>
                <w:noProof/>
              </w:rPr>
              <w:br/>
            </w:r>
            <w:r w:rsidRPr="0071228C">
              <w:rPr>
                <w:noProof/>
                <w:sz w:val="18"/>
              </w:rPr>
              <w:t>wydatków</w:t>
            </w:r>
          </w:p>
        </w:tc>
        <w:tc>
          <w:tcPr>
            <w:tcW w:w="4440" w:type="dxa"/>
            <w:gridSpan w:val="4"/>
            <w:vAlign w:val="center"/>
          </w:tcPr>
          <w:p w14:paraId="2438F099" w14:textId="77777777" w:rsidR="001C0111" w:rsidRPr="0071228C" w:rsidRDefault="001C0111" w:rsidP="001C0111">
            <w:pPr>
              <w:spacing w:before="60" w:after="60"/>
              <w:jc w:val="center"/>
              <w:rPr>
                <w:noProof/>
              </w:rPr>
            </w:pPr>
            <w:r w:rsidRPr="0071228C">
              <w:rPr>
                <w:noProof/>
                <w:sz w:val="20"/>
              </w:rPr>
              <w:t xml:space="preserve">Wkład </w:t>
            </w:r>
          </w:p>
        </w:tc>
      </w:tr>
      <w:tr w:rsidR="001C0111" w:rsidRPr="0071228C" w14:paraId="044FBF57" w14:textId="77777777" w:rsidTr="00EE4772">
        <w:tc>
          <w:tcPr>
            <w:tcW w:w="1080" w:type="dxa"/>
            <w:vMerge/>
            <w:vAlign w:val="center"/>
          </w:tcPr>
          <w:p w14:paraId="4B6BF6E1" w14:textId="77777777" w:rsidR="001C0111" w:rsidRPr="0071228C" w:rsidRDefault="001C0111" w:rsidP="001C0111">
            <w:pPr>
              <w:jc w:val="center"/>
              <w:rPr>
                <w:noProof/>
                <w:lang w:eastAsia="en-GB"/>
              </w:rPr>
            </w:pPr>
          </w:p>
        </w:tc>
        <w:tc>
          <w:tcPr>
            <w:tcW w:w="3960" w:type="dxa"/>
            <w:vAlign w:val="center"/>
          </w:tcPr>
          <w:p w14:paraId="07EAEE88" w14:textId="05849D4A" w:rsidR="001C0111" w:rsidRPr="0071228C" w:rsidRDefault="001C0111" w:rsidP="001C0111">
            <w:pPr>
              <w:rPr>
                <w:noProof/>
              </w:rPr>
            </w:pPr>
            <w:r w:rsidRPr="0071228C">
              <w:rPr>
                <w:noProof/>
                <w:sz w:val="20"/>
              </w:rPr>
              <w:t>Nume</w:t>
            </w:r>
            <w:r w:rsidRPr="00CC55C0">
              <w:rPr>
                <w:noProof/>
                <w:sz w:val="20"/>
              </w:rPr>
              <w:t>r</w:t>
            </w:r>
            <w:r w:rsidR="00CC55C0" w:rsidRPr="00CC55C0">
              <w:rPr>
                <w:noProof/>
                <w:sz w:val="20"/>
              </w:rPr>
              <w:t xml:space="preserve"> </w:t>
            </w:r>
            <w:r w:rsidRPr="00CC55C0">
              <w:rPr>
                <w:noProof/>
              </w:rPr>
              <w:br/>
            </w:r>
          </w:p>
        </w:tc>
        <w:tc>
          <w:tcPr>
            <w:tcW w:w="1080" w:type="dxa"/>
            <w:vAlign w:val="center"/>
          </w:tcPr>
          <w:p w14:paraId="5ACD943F" w14:textId="77777777" w:rsidR="001C0111" w:rsidRPr="0071228C" w:rsidRDefault="001C0111" w:rsidP="001C0111">
            <w:pPr>
              <w:jc w:val="center"/>
              <w:rPr>
                <w:noProof/>
              </w:rPr>
            </w:pPr>
            <w:r w:rsidRPr="0071228C">
              <w:rPr>
                <w:noProof/>
                <w:sz w:val="18"/>
              </w:rPr>
              <w:t>Zróżn. /Niezróżn.</w:t>
            </w:r>
            <w:r w:rsidRPr="0071228C">
              <w:rPr>
                <w:rStyle w:val="FootnoteReference"/>
                <w:noProof/>
              </w:rPr>
              <w:footnoteReference w:id="69"/>
            </w:r>
          </w:p>
        </w:tc>
        <w:tc>
          <w:tcPr>
            <w:tcW w:w="956" w:type="dxa"/>
            <w:vAlign w:val="center"/>
          </w:tcPr>
          <w:p w14:paraId="1BBD219C" w14:textId="77777777" w:rsidR="001C0111" w:rsidRPr="0071228C" w:rsidRDefault="001C0111" w:rsidP="001C0111">
            <w:pPr>
              <w:jc w:val="center"/>
              <w:rPr>
                <w:noProof/>
              </w:rPr>
            </w:pPr>
            <w:r w:rsidRPr="0071228C">
              <w:rPr>
                <w:noProof/>
                <w:sz w:val="18"/>
              </w:rPr>
              <w:t>państw EFTA</w:t>
            </w:r>
            <w:r w:rsidRPr="0071228C">
              <w:rPr>
                <w:rStyle w:val="FootnoteReference"/>
                <w:noProof/>
              </w:rPr>
              <w:footnoteReference w:id="70"/>
            </w:r>
          </w:p>
          <w:p w14:paraId="41BF26A7" w14:textId="77777777" w:rsidR="001C0111" w:rsidRPr="0071228C" w:rsidRDefault="001C0111" w:rsidP="001C0111">
            <w:pPr>
              <w:spacing w:before="0" w:after="0"/>
              <w:jc w:val="center"/>
              <w:rPr>
                <w:b/>
                <w:noProof/>
                <w:sz w:val="18"/>
                <w:lang w:eastAsia="en-GB"/>
              </w:rPr>
            </w:pPr>
          </w:p>
        </w:tc>
        <w:tc>
          <w:tcPr>
            <w:tcW w:w="1080" w:type="dxa"/>
            <w:vAlign w:val="center"/>
          </w:tcPr>
          <w:p w14:paraId="5D3AAB5C" w14:textId="77777777" w:rsidR="001C0111" w:rsidRPr="0071228C" w:rsidRDefault="001C0111" w:rsidP="001C0111">
            <w:pPr>
              <w:jc w:val="center"/>
              <w:rPr>
                <w:noProof/>
              </w:rPr>
            </w:pPr>
            <w:r w:rsidRPr="0071228C">
              <w:rPr>
                <w:noProof/>
                <w:sz w:val="18"/>
              </w:rPr>
              <w:t>krajów kandydujących</w:t>
            </w:r>
            <w:r w:rsidRPr="0071228C">
              <w:rPr>
                <w:rStyle w:val="FootnoteReference"/>
                <w:noProof/>
              </w:rPr>
              <w:footnoteReference w:id="71"/>
            </w:r>
          </w:p>
          <w:p w14:paraId="2ECCC855" w14:textId="77777777" w:rsidR="001C0111" w:rsidRPr="0071228C" w:rsidRDefault="001C0111" w:rsidP="001C0111">
            <w:pPr>
              <w:spacing w:before="0" w:after="0"/>
              <w:jc w:val="center"/>
              <w:rPr>
                <w:noProof/>
                <w:sz w:val="18"/>
                <w:lang w:eastAsia="en-GB"/>
              </w:rPr>
            </w:pPr>
          </w:p>
        </w:tc>
        <w:tc>
          <w:tcPr>
            <w:tcW w:w="956" w:type="dxa"/>
            <w:vAlign w:val="center"/>
          </w:tcPr>
          <w:p w14:paraId="012E2B8A" w14:textId="77777777" w:rsidR="001C0111" w:rsidRPr="0071228C" w:rsidRDefault="001C0111" w:rsidP="001C0111">
            <w:pPr>
              <w:jc w:val="center"/>
              <w:rPr>
                <w:noProof/>
                <w:sz w:val="18"/>
              </w:rPr>
            </w:pPr>
            <w:r w:rsidRPr="0071228C">
              <w:rPr>
                <w:noProof/>
                <w:sz w:val="18"/>
              </w:rPr>
              <w:t>państw trzecich</w:t>
            </w:r>
          </w:p>
        </w:tc>
        <w:tc>
          <w:tcPr>
            <w:tcW w:w="1448" w:type="dxa"/>
            <w:vAlign w:val="center"/>
          </w:tcPr>
          <w:p w14:paraId="63490B9F" w14:textId="79B583F9" w:rsidR="001C0111" w:rsidRPr="0071228C" w:rsidRDefault="001C0111" w:rsidP="001C0111">
            <w:pPr>
              <w:jc w:val="center"/>
              <w:rPr>
                <w:noProof/>
              </w:rPr>
            </w:pPr>
            <w:r w:rsidRPr="0071228C">
              <w:rPr>
                <w:noProof/>
                <w:sz w:val="16"/>
              </w:rPr>
              <w:t xml:space="preserve">w rozumieniu </w:t>
            </w:r>
            <w:r w:rsidRPr="00CC55C0">
              <w:rPr>
                <w:noProof/>
                <w:sz w:val="16"/>
              </w:rPr>
              <w:t>art.</w:t>
            </w:r>
            <w:r w:rsidR="00CC55C0" w:rsidRPr="00CC55C0">
              <w:rPr>
                <w:noProof/>
                <w:sz w:val="16"/>
              </w:rPr>
              <w:t> </w:t>
            </w:r>
            <w:r w:rsidRPr="00CC55C0">
              <w:rPr>
                <w:noProof/>
                <w:sz w:val="16"/>
              </w:rPr>
              <w:t>2</w:t>
            </w:r>
            <w:r w:rsidRPr="0071228C">
              <w:rPr>
                <w:noProof/>
                <w:sz w:val="16"/>
              </w:rPr>
              <w:t xml:space="preserve">1 </w:t>
            </w:r>
            <w:r w:rsidRPr="00CC55C0">
              <w:rPr>
                <w:noProof/>
                <w:sz w:val="16"/>
              </w:rPr>
              <w:t>ust.</w:t>
            </w:r>
            <w:r w:rsidR="00CC55C0" w:rsidRPr="00CC55C0">
              <w:rPr>
                <w:noProof/>
                <w:sz w:val="16"/>
              </w:rPr>
              <w:t> </w:t>
            </w:r>
            <w:r w:rsidRPr="00CC55C0">
              <w:rPr>
                <w:noProof/>
                <w:sz w:val="16"/>
              </w:rPr>
              <w:t>2</w:t>
            </w:r>
            <w:r w:rsidRPr="0071228C">
              <w:rPr>
                <w:noProof/>
                <w:sz w:val="16"/>
              </w:rPr>
              <w:t xml:space="preserve"> </w:t>
            </w:r>
            <w:r w:rsidRPr="00CC55C0">
              <w:rPr>
                <w:noProof/>
                <w:sz w:val="16"/>
              </w:rPr>
              <w:t>lit.</w:t>
            </w:r>
            <w:r w:rsidR="00CC55C0" w:rsidRPr="00CC55C0">
              <w:rPr>
                <w:noProof/>
                <w:sz w:val="16"/>
              </w:rPr>
              <w:t> </w:t>
            </w:r>
            <w:r w:rsidRPr="00CC55C0">
              <w:rPr>
                <w:noProof/>
                <w:sz w:val="16"/>
              </w:rPr>
              <w:t>b)</w:t>
            </w:r>
            <w:r w:rsidRPr="0071228C">
              <w:rPr>
                <w:noProof/>
                <w:sz w:val="16"/>
              </w:rPr>
              <w:t xml:space="preserve"> rozporządzenia finansowego </w:t>
            </w:r>
          </w:p>
        </w:tc>
      </w:tr>
      <w:tr w:rsidR="001C0111" w:rsidRPr="0071228C" w14:paraId="49299ED5" w14:textId="77777777" w:rsidTr="00EE4772">
        <w:tc>
          <w:tcPr>
            <w:tcW w:w="1080" w:type="dxa"/>
            <w:vAlign w:val="center"/>
          </w:tcPr>
          <w:p w14:paraId="026C0CC1" w14:textId="77777777" w:rsidR="001C0111" w:rsidRPr="0071228C" w:rsidRDefault="001C0111" w:rsidP="001C0111">
            <w:pPr>
              <w:jc w:val="center"/>
              <w:rPr>
                <w:rFonts w:eastAsia="Calibri"/>
                <w:noProof/>
                <w:color w:val="000000"/>
              </w:rPr>
            </w:pPr>
            <w:r w:rsidRPr="0071228C">
              <w:rPr>
                <w:noProof/>
                <w:color w:val="000000"/>
              </w:rPr>
              <w:t>3</w:t>
            </w:r>
          </w:p>
        </w:tc>
        <w:tc>
          <w:tcPr>
            <w:tcW w:w="3960" w:type="dxa"/>
            <w:vAlign w:val="center"/>
          </w:tcPr>
          <w:p w14:paraId="0631F8AC" w14:textId="7C9D185B" w:rsidR="001C0111" w:rsidRPr="0071228C" w:rsidRDefault="001C0111" w:rsidP="001C0111">
            <w:pPr>
              <w:spacing w:before="60"/>
              <w:rPr>
                <w:rFonts w:eastAsia="Calibri"/>
                <w:noProof/>
                <w:color w:val="000000"/>
              </w:rPr>
            </w:pPr>
            <w:r w:rsidRPr="0071228C">
              <w:rPr>
                <w:noProof/>
                <w:color w:val="000000"/>
              </w:rPr>
              <w:t>09 02 02 – Gospodarka</w:t>
            </w:r>
            <w:r w:rsidR="00CC55C0" w:rsidRPr="0071228C">
              <w:rPr>
                <w:noProof/>
                <w:color w:val="000000"/>
              </w:rPr>
              <w:t xml:space="preserve"> o</w:t>
            </w:r>
            <w:r w:rsidR="00CC55C0">
              <w:rPr>
                <w:noProof/>
                <w:color w:val="000000"/>
              </w:rPr>
              <w:t> </w:t>
            </w:r>
            <w:r w:rsidR="00CC55C0" w:rsidRPr="0071228C">
              <w:rPr>
                <w:noProof/>
                <w:color w:val="000000"/>
              </w:rPr>
              <w:t>obi</w:t>
            </w:r>
            <w:r w:rsidRPr="0071228C">
              <w:rPr>
                <w:noProof/>
                <w:color w:val="000000"/>
              </w:rPr>
              <w:t>egu zamkniętym</w:t>
            </w:r>
            <w:r w:rsidR="00CC55C0" w:rsidRPr="0071228C">
              <w:rPr>
                <w:noProof/>
                <w:color w:val="000000"/>
              </w:rPr>
              <w:t xml:space="preserve"> i</w:t>
            </w:r>
            <w:r w:rsidR="00CC55C0">
              <w:rPr>
                <w:noProof/>
                <w:color w:val="000000"/>
              </w:rPr>
              <w:t> </w:t>
            </w:r>
            <w:r w:rsidR="00CC55C0" w:rsidRPr="0071228C">
              <w:rPr>
                <w:noProof/>
                <w:color w:val="000000"/>
              </w:rPr>
              <w:t>jak</w:t>
            </w:r>
            <w:r w:rsidRPr="0071228C">
              <w:rPr>
                <w:noProof/>
                <w:color w:val="000000"/>
              </w:rPr>
              <w:t>ość życia</w:t>
            </w:r>
          </w:p>
          <w:p w14:paraId="461D8693" w14:textId="77777777" w:rsidR="001C0111" w:rsidRPr="0071228C" w:rsidRDefault="001C0111" w:rsidP="001C0111">
            <w:pPr>
              <w:spacing w:before="60"/>
              <w:rPr>
                <w:rFonts w:eastAsia="Calibri"/>
                <w:noProof/>
                <w:color w:val="000000"/>
                <w:lang w:eastAsia="en-GB"/>
              </w:rPr>
            </w:pPr>
          </w:p>
        </w:tc>
        <w:tc>
          <w:tcPr>
            <w:tcW w:w="1080" w:type="dxa"/>
            <w:vAlign w:val="center"/>
          </w:tcPr>
          <w:p w14:paraId="75C086B0" w14:textId="77777777" w:rsidR="001C0111" w:rsidRPr="0071228C" w:rsidRDefault="001C0111" w:rsidP="001C0111">
            <w:pPr>
              <w:jc w:val="center"/>
              <w:rPr>
                <w:rFonts w:eastAsia="Calibri"/>
                <w:noProof/>
                <w:color w:val="000000"/>
              </w:rPr>
            </w:pPr>
            <w:r w:rsidRPr="0071228C">
              <w:rPr>
                <w:noProof/>
                <w:color w:val="000000"/>
              </w:rPr>
              <w:t>Zróżn.</w:t>
            </w:r>
          </w:p>
        </w:tc>
        <w:tc>
          <w:tcPr>
            <w:tcW w:w="956" w:type="dxa"/>
            <w:vAlign w:val="center"/>
          </w:tcPr>
          <w:p w14:paraId="75FC01EC" w14:textId="77777777" w:rsidR="001C0111" w:rsidRPr="0071228C" w:rsidRDefault="001C0111" w:rsidP="001C0111">
            <w:pPr>
              <w:jc w:val="center"/>
              <w:rPr>
                <w:rFonts w:eastAsia="Calibri"/>
                <w:noProof/>
                <w:color w:val="000000"/>
                <w:sz w:val="20"/>
                <w:szCs w:val="20"/>
              </w:rPr>
            </w:pPr>
            <w:r w:rsidRPr="0071228C">
              <w:rPr>
                <w:noProof/>
                <w:color w:val="000000"/>
                <w:sz w:val="20"/>
              </w:rPr>
              <w:t>TAK</w:t>
            </w:r>
          </w:p>
        </w:tc>
        <w:tc>
          <w:tcPr>
            <w:tcW w:w="1080" w:type="dxa"/>
            <w:vAlign w:val="center"/>
          </w:tcPr>
          <w:p w14:paraId="5FE2C1D4"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c>
          <w:tcPr>
            <w:tcW w:w="956" w:type="dxa"/>
            <w:vAlign w:val="center"/>
          </w:tcPr>
          <w:p w14:paraId="1932CF0A"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c>
          <w:tcPr>
            <w:tcW w:w="1448" w:type="dxa"/>
            <w:vAlign w:val="center"/>
          </w:tcPr>
          <w:p w14:paraId="4D3D711F"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r>
      <w:tr w:rsidR="001C0111" w:rsidRPr="0071228C" w14:paraId="25243A3C" w14:textId="77777777" w:rsidTr="00EE4772">
        <w:tc>
          <w:tcPr>
            <w:tcW w:w="1080" w:type="dxa"/>
            <w:vAlign w:val="center"/>
          </w:tcPr>
          <w:p w14:paraId="5CBF32C9" w14:textId="77777777" w:rsidR="001C0111" w:rsidRPr="0071228C" w:rsidRDefault="001C0111" w:rsidP="001C0111">
            <w:pPr>
              <w:jc w:val="center"/>
              <w:rPr>
                <w:rFonts w:eastAsia="Calibri"/>
                <w:noProof/>
                <w:color w:val="000000"/>
              </w:rPr>
            </w:pPr>
            <w:r w:rsidRPr="0071228C">
              <w:rPr>
                <w:noProof/>
                <w:color w:val="000000"/>
              </w:rPr>
              <w:t>3</w:t>
            </w:r>
          </w:p>
        </w:tc>
        <w:tc>
          <w:tcPr>
            <w:tcW w:w="3960" w:type="dxa"/>
            <w:vAlign w:val="center"/>
          </w:tcPr>
          <w:p w14:paraId="2E0C27F5" w14:textId="77777777" w:rsidR="001C0111" w:rsidRPr="0071228C" w:rsidRDefault="001C0111" w:rsidP="001C0111">
            <w:pPr>
              <w:spacing w:before="60"/>
              <w:rPr>
                <w:rFonts w:eastAsia="Calibri"/>
                <w:noProof/>
                <w:color w:val="000000"/>
              </w:rPr>
            </w:pPr>
            <w:r w:rsidRPr="0071228C">
              <w:rPr>
                <w:noProof/>
                <w:color w:val="000000"/>
              </w:rPr>
              <w:t>09 10 01 – Europejska Agencja Chemikaliów – dyrektywy oraz konwencje międzynarodowe dotyczące środowiska</w:t>
            </w:r>
          </w:p>
        </w:tc>
        <w:tc>
          <w:tcPr>
            <w:tcW w:w="1080" w:type="dxa"/>
            <w:vAlign w:val="center"/>
          </w:tcPr>
          <w:p w14:paraId="23659ACD" w14:textId="77777777" w:rsidR="001C0111" w:rsidRPr="0071228C" w:rsidRDefault="001C0111" w:rsidP="001C0111">
            <w:pPr>
              <w:jc w:val="center"/>
              <w:rPr>
                <w:rFonts w:eastAsia="Calibri"/>
                <w:noProof/>
                <w:color w:val="000000"/>
              </w:rPr>
            </w:pPr>
            <w:r w:rsidRPr="0071228C">
              <w:rPr>
                <w:noProof/>
                <w:color w:val="000000"/>
              </w:rPr>
              <w:t>Zróżn.</w:t>
            </w:r>
          </w:p>
        </w:tc>
        <w:tc>
          <w:tcPr>
            <w:tcW w:w="956" w:type="dxa"/>
            <w:vAlign w:val="center"/>
          </w:tcPr>
          <w:p w14:paraId="0BF0782D" w14:textId="77777777" w:rsidR="001C0111" w:rsidRPr="0071228C" w:rsidRDefault="001C0111" w:rsidP="001C0111">
            <w:pPr>
              <w:jc w:val="center"/>
              <w:rPr>
                <w:rFonts w:eastAsia="Calibri"/>
                <w:noProof/>
                <w:color w:val="000000"/>
                <w:sz w:val="20"/>
                <w:szCs w:val="20"/>
              </w:rPr>
            </w:pPr>
            <w:r w:rsidRPr="0071228C">
              <w:rPr>
                <w:noProof/>
                <w:color w:val="000000"/>
                <w:sz w:val="20"/>
              </w:rPr>
              <w:t>TAK</w:t>
            </w:r>
          </w:p>
        </w:tc>
        <w:tc>
          <w:tcPr>
            <w:tcW w:w="1080" w:type="dxa"/>
            <w:vAlign w:val="center"/>
          </w:tcPr>
          <w:p w14:paraId="233F17B0"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c>
          <w:tcPr>
            <w:tcW w:w="956" w:type="dxa"/>
            <w:vAlign w:val="center"/>
          </w:tcPr>
          <w:p w14:paraId="467C7D66"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c>
          <w:tcPr>
            <w:tcW w:w="1448" w:type="dxa"/>
            <w:vAlign w:val="center"/>
          </w:tcPr>
          <w:p w14:paraId="30E39051" w14:textId="77777777" w:rsidR="001C0111" w:rsidRPr="0071228C" w:rsidRDefault="001C0111" w:rsidP="001C0111">
            <w:pPr>
              <w:jc w:val="center"/>
              <w:rPr>
                <w:rFonts w:eastAsia="Calibri"/>
                <w:noProof/>
                <w:color w:val="000000"/>
                <w:sz w:val="20"/>
                <w:szCs w:val="20"/>
              </w:rPr>
            </w:pPr>
            <w:r w:rsidRPr="0071228C">
              <w:rPr>
                <w:noProof/>
                <w:color w:val="000000"/>
                <w:sz w:val="20"/>
              </w:rPr>
              <w:t>NIE</w:t>
            </w:r>
          </w:p>
        </w:tc>
      </w:tr>
      <w:tr w:rsidR="001C0111" w:rsidRPr="0071228C" w14:paraId="1FEEFE73" w14:textId="77777777" w:rsidTr="00EE4772">
        <w:tc>
          <w:tcPr>
            <w:tcW w:w="1080" w:type="dxa"/>
            <w:vAlign w:val="center"/>
          </w:tcPr>
          <w:p w14:paraId="79DADC38" w14:textId="77777777" w:rsidR="001C0111" w:rsidRPr="0071228C" w:rsidRDefault="001C0111" w:rsidP="001C0111">
            <w:pPr>
              <w:jc w:val="center"/>
              <w:rPr>
                <w:noProof/>
                <w:color w:val="0000FF"/>
              </w:rPr>
            </w:pPr>
            <w:r w:rsidRPr="0071228C">
              <w:rPr>
                <w:noProof/>
                <w:color w:val="000000"/>
              </w:rPr>
              <w:t>3</w:t>
            </w:r>
          </w:p>
        </w:tc>
        <w:tc>
          <w:tcPr>
            <w:tcW w:w="3960" w:type="dxa"/>
            <w:vAlign w:val="center"/>
          </w:tcPr>
          <w:p w14:paraId="5C3F5B09" w14:textId="77777777" w:rsidR="001C0111" w:rsidRPr="0071228C" w:rsidRDefault="001C0111" w:rsidP="001C0111">
            <w:pPr>
              <w:spacing w:before="60"/>
              <w:rPr>
                <w:noProof/>
                <w:sz w:val="22"/>
              </w:rPr>
            </w:pPr>
            <w:r w:rsidRPr="0071228C">
              <w:rPr>
                <w:noProof/>
                <w:color w:val="000000"/>
              </w:rPr>
              <w:t>09 10 02 – Europejska Agencja Środowiska</w:t>
            </w:r>
          </w:p>
        </w:tc>
        <w:tc>
          <w:tcPr>
            <w:tcW w:w="1080" w:type="dxa"/>
            <w:vAlign w:val="center"/>
          </w:tcPr>
          <w:p w14:paraId="05944A81" w14:textId="77777777" w:rsidR="001C0111" w:rsidRPr="0071228C" w:rsidRDefault="001C0111" w:rsidP="001C0111">
            <w:pPr>
              <w:jc w:val="center"/>
              <w:rPr>
                <w:noProof/>
                <w:sz w:val="22"/>
              </w:rPr>
            </w:pPr>
            <w:r w:rsidRPr="0071228C">
              <w:rPr>
                <w:noProof/>
                <w:color w:val="000000"/>
              </w:rPr>
              <w:t>Zróżn.</w:t>
            </w:r>
          </w:p>
        </w:tc>
        <w:tc>
          <w:tcPr>
            <w:tcW w:w="956" w:type="dxa"/>
            <w:vAlign w:val="center"/>
          </w:tcPr>
          <w:p w14:paraId="24FAEF5C" w14:textId="77777777" w:rsidR="001C0111" w:rsidRPr="0071228C" w:rsidRDefault="001C0111" w:rsidP="001C0111">
            <w:pPr>
              <w:jc w:val="center"/>
              <w:rPr>
                <w:noProof/>
                <w:sz w:val="20"/>
                <w:szCs w:val="20"/>
              </w:rPr>
            </w:pPr>
            <w:r w:rsidRPr="0071228C">
              <w:rPr>
                <w:noProof/>
                <w:color w:val="000000"/>
                <w:sz w:val="20"/>
              </w:rPr>
              <w:t>TAK</w:t>
            </w:r>
          </w:p>
        </w:tc>
        <w:tc>
          <w:tcPr>
            <w:tcW w:w="1080" w:type="dxa"/>
            <w:vAlign w:val="center"/>
          </w:tcPr>
          <w:p w14:paraId="49BD749D" w14:textId="77777777" w:rsidR="001C0111" w:rsidRPr="0071228C" w:rsidRDefault="001C0111" w:rsidP="001C0111">
            <w:pPr>
              <w:jc w:val="center"/>
              <w:rPr>
                <w:noProof/>
                <w:sz w:val="20"/>
                <w:szCs w:val="20"/>
              </w:rPr>
            </w:pPr>
            <w:r w:rsidRPr="0071228C">
              <w:rPr>
                <w:noProof/>
                <w:color w:val="000000"/>
                <w:sz w:val="20"/>
              </w:rPr>
              <w:t>TAK</w:t>
            </w:r>
          </w:p>
        </w:tc>
        <w:tc>
          <w:tcPr>
            <w:tcW w:w="956" w:type="dxa"/>
            <w:vAlign w:val="center"/>
          </w:tcPr>
          <w:p w14:paraId="042F7CDC" w14:textId="77777777" w:rsidR="001C0111" w:rsidRPr="0071228C" w:rsidRDefault="001C0111" w:rsidP="001C0111">
            <w:pPr>
              <w:jc w:val="center"/>
              <w:rPr>
                <w:noProof/>
                <w:sz w:val="20"/>
                <w:szCs w:val="20"/>
              </w:rPr>
            </w:pPr>
            <w:r w:rsidRPr="0071228C">
              <w:rPr>
                <w:noProof/>
                <w:color w:val="000000"/>
                <w:sz w:val="20"/>
              </w:rPr>
              <w:t>NIE</w:t>
            </w:r>
          </w:p>
        </w:tc>
        <w:tc>
          <w:tcPr>
            <w:tcW w:w="1448" w:type="dxa"/>
            <w:vAlign w:val="center"/>
          </w:tcPr>
          <w:p w14:paraId="2CD5C4E3" w14:textId="77777777" w:rsidR="001C0111" w:rsidRPr="0071228C" w:rsidRDefault="001C0111" w:rsidP="001C0111">
            <w:pPr>
              <w:jc w:val="center"/>
              <w:rPr>
                <w:noProof/>
                <w:sz w:val="20"/>
                <w:szCs w:val="20"/>
              </w:rPr>
            </w:pPr>
            <w:r w:rsidRPr="0071228C">
              <w:rPr>
                <w:noProof/>
                <w:color w:val="000000"/>
                <w:sz w:val="20"/>
              </w:rPr>
              <w:t>NIE</w:t>
            </w:r>
          </w:p>
        </w:tc>
      </w:tr>
      <w:tr w:rsidR="001C0111" w:rsidRPr="0071228C" w14:paraId="586C0E6C" w14:textId="77777777" w:rsidTr="00EE4772">
        <w:tc>
          <w:tcPr>
            <w:tcW w:w="1080" w:type="dxa"/>
            <w:vAlign w:val="center"/>
          </w:tcPr>
          <w:p w14:paraId="2EA44E48" w14:textId="77777777" w:rsidR="001C0111" w:rsidRPr="0071228C" w:rsidRDefault="001C0111" w:rsidP="001C0111">
            <w:pPr>
              <w:jc w:val="center"/>
              <w:rPr>
                <w:noProof/>
                <w:color w:val="0000FF"/>
              </w:rPr>
            </w:pPr>
            <w:r w:rsidRPr="0071228C">
              <w:rPr>
                <w:noProof/>
                <w:color w:val="000000"/>
              </w:rPr>
              <w:t>7</w:t>
            </w:r>
          </w:p>
        </w:tc>
        <w:tc>
          <w:tcPr>
            <w:tcW w:w="3960" w:type="dxa"/>
            <w:vAlign w:val="center"/>
          </w:tcPr>
          <w:p w14:paraId="705BE516" w14:textId="11FA2F2A" w:rsidR="001C0111" w:rsidRPr="0071228C" w:rsidRDefault="001C0111" w:rsidP="001C0111">
            <w:pPr>
              <w:spacing w:before="60"/>
              <w:rPr>
                <w:noProof/>
                <w:sz w:val="22"/>
              </w:rPr>
            </w:pPr>
            <w:r w:rsidRPr="0071228C">
              <w:rPr>
                <w:noProof/>
                <w:color w:val="000000"/>
              </w:rPr>
              <w:t>20 01 02 01 – Wynagrodzenia</w:t>
            </w:r>
            <w:r w:rsidR="00CC55C0" w:rsidRPr="0071228C">
              <w:rPr>
                <w:noProof/>
                <w:color w:val="000000"/>
              </w:rPr>
              <w:t xml:space="preserve"> i</w:t>
            </w:r>
            <w:r w:rsidR="00CC55C0">
              <w:rPr>
                <w:noProof/>
                <w:color w:val="000000"/>
              </w:rPr>
              <w:t> </w:t>
            </w:r>
            <w:r w:rsidR="00CC55C0" w:rsidRPr="0071228C">
              <w:rPr>
                <w:noProof/>
                <w:color w:val="000000"/>
              </w:rPr>
              <w:t>dod</w:t>
            </w:r>
            <w:r w:rsidRPr="0071228C">
              <w:rPr>
                <w:noProof/>
                <w:color w:val="000000"/>
              </w:rPr>
              <w:t>atki</w:t>
            </w:r>
          </w:p>
        </w:tc>
        <w:tc>
          <w:tcPr>
            <w:tcW w:w="1080" w:type="dxa"/>
            <w:vAlign w:val="center"/>
          </w:tcPr>
          <w:p w14:paraId="10708165" w14:textId="77777777" w:rsidR="001C0111" w:rsidRPr="0071228C" w:rsidRDefault="001C0111" w:rsidP="001C0111">
            <w:pPr>
              <w:jc w:val="center"/>
              <w:rPr>
                <w:noProof/>
                <w:sz w:val="22"/>
              </w:rPr>
            </w:pPr>
            <w:r w:rsidRPr="0071228C">
              <w:rPr>
                <w:noProof/>
                <w:color w:val="000000"/>
              </w:rPr>
              <w:t>Niezróżn.</w:t>
            </w:r>
          </w:p>
        </w:tc>
        <w:tc>
          <w:tcPr>
            <w:tcW w:w="956" w:type="dxa"/>
            <w:vAlign w:val="center"/>
          </w:tcPr>
          <w:p w14:paraId="4720B1AB" w14:textId="77777777" w:rsidR="001C0111" w:rsidRPr="0071228C" w:rsidRDefault="001C0111" w:rsidP="001C0111">
            <w:pPr>
              <w:jc w:val="center"/>
              <w:rPr>
                <w:noProof/>
                <w:sz w:val="20"/>
                <w:szCs w:val="20"/>
              </w:rPr>
            </w:pPr>
            <w:r w:rsidRPr="0071228C">
              <w:rPr>
                <w:noProof/>
                <w:color w:val="000000"/>
                <w:sz w:val="20"/>
              </w:rPr>
              <w:t>NIE</w:t>
            </w:r>
          </w:p>
        </w:tc>
        <w:tc>
          <w:tcPr>
            <w:tcW w:w="1080" w:type="dxa"/>
            <w:vAlign w:val="center"/>
          </w:tcPr>
          <w:p w14:paraId="4C4CCCE1" w14:textId="77777777" w:rsidR="001C0111" w:rsidRPr="0071228C" w:rsidRDefault="001C0111" w:rsidP="001C0111">
            <w:pPr>
              <w:jc w:val="center"/>
              <w:rPr>
                <w:noProof/>
                <w:sz w:val="20"/>
                <w:szCs w:val="20"/>
              </w:rPr>
            </w:pPr>
            <w:r w:rsidRPr="0071228C">
              <w:rPr>
                <w:noProof/>
                <w:color w:val="000000"/>
                <w:sz w:val="20"/>
              </w:rPr>
              <w:t>NIE</w:t>
            </w:r>
          </w:p>
        </w:tc>
        <w:tc>
          <w:tcPr>
            <w:tcW w:w="956" w:type="dxa"/>
            <w:vAlign w:val="center"/>
          </w:tcPr>
          <w:p w14:paraId="395CB2D3" w14:textId="77777777" w:rsidR="001C0111" w:rsidRPr="0071228C" w:rsidRDefault="001C0111" w:rsidP="001C0111">
            <w:pPr>
              <w:jc w:val="center"/>
              <w:rPr>
                <w:noProof/>
                <w:sz w:val="20"/>
                <w:szCs w:val="20"/>
              </w:rPr>
            </w:pPr>
            <w:r w:rsidRPr="0071228C">
              <w:rPr>
                <w:noProof/>
                <w:color w:val="000000"/>
                <w:sz w:val="20"/>
              </w:rPr>
              <w:t>NIE</w:t>
            </w:r>
          </w:p>
        </w:tc>
        <w:tc>
          <w:tcPr>
            <w:tcW w:w="1448" w:type="dxa"/>
            <w:vAlign w:val="center"/>
          </w:tcPr>
          <w:p w14:paraId="34450F63" w14:textId="77777777" w:rsidR="001C0111" w:rsidRPr="0071228C" w:rsidRDefault="001C0111" w:rsidP="001C0111">
            <w:pPr>
              <w:jc w:val="center"/>
              <w:rPr>
                <w:noProof/>
                <w:sz w:val="20"/>
                <w:szCs w:val="20"/>
              </w:rPr>
            </w:pPr>
            <w:r w:rsidRPr="0071228C">
              <w:rPr>
                <w:noProof/>
                <w:color w:val="000000"/>
                <w:sz w:val="20"/>
              </w:rPr>
              <w:t>NIE</w:t>
            </w:r>
          </w:p>
        </w:tc>
      </w:tr>
    </w:tbl>
    <w:p w14:paraId="44722DAF" w14:textId="77777777" w:rsidR="001C0111" w:rsidRPr="0071228C" w:rsidRDefault="001C0111" w:rsidP="001C0111">
      <w:pPr>
        <w:tabs>
          <w:tab w:val="num" w:pos="1134"/>
        </w:tabs>
        <w:ind w:left="1134" w:hanging="283"/>
        <w:rPr>
          <w:noProof/>
        </w:rPr>
      </w:pPr>
      <w:r w:rsidRPr="0071228C">
        <w:rPr>
          <w:noProof/>
        </w:rPr>
        <w:t xml:space="preserve">Proponowane nowe linie budżetowe </w:t>
      </w:r>
    </w:p>
    <w:p w14:paraId="6B4F745A"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rPr>
        <w:t>Nie dotyczy</w:t>
      </w:r>
    </w:p>
    <w:p w14:paraId="622FA278" w14:textId="77777777" w:rsidR="001C0111" w:rsidRPr="0071228C" w:rsidRDefault="001C0111" w:rsidP="001C0111">
      <w:pPr>
        <w:rPr>
          <w:noProof/>
          <w:lang w:eastAsia="en-GB"/>
        </w:rPr>
        <w:sectPr w:rsidR="001C0111" w:rsidRPr="0071228C" w:rsidSect="00E25B75">
          <w:footnotePr>
            <w:numRestart w:val="eachSect"/>
          </w:footnotePr>
          <w:pgSz w:w="11907" w:h="16840" w:code="1"/>
          <w:pgMar w:top="1134" w:right="1418" w:bottom="1134" w:left="1418" w:header="709" w:footer="709" w:gutter="0"/>
          <w:cols w:space="708"/>
          <w:docGrid w:linePitch="360"/>
        </w:sectPr>
      </w:pPr>
    </w:p>
    <w:p w14:paraId="5878C682" w14:textId="77777777" w:rsidR="001C0111" w:rsidRPr="0071228C" w:rsidRDefault="001C0111" w:rsidP="002A2DB0">
      <w:pPr>
        <w:keepNext/>
        <w:outlineLvl w:val="1"/>
        <w:rPr>
          <w:rFonts w:eastAsiaTheme="majorEastAsia"/>
          <w:b/>
          <w:noProof/>
          <w:szCs w:val="24"/>
        </w:rPr>
      </w:pPr>
      <w:bookmarkStart w:id="55" w:name="_Toc514938052"/>
      <w:bookmarkStart w:id="56" w:name="_Toc520485051"/>
      <w:r w:rsidRPr="0071228C">
        <w:rPr>
          <w:b/>
          <w:noProof/>
        </w:rPr>
        <w:t>Szacunkowy wpływ finansowy wniosku na środki</w:t>
      </w:r>
      <w:bookmarkEnd w:id="55"/>
      <w:bookmarkEnd w:id="56"/>
      <w:r w:rsidRPr="0071228C">
        <w:rPr>
          <w:b/>
          <w:noProof/>
        </w:rPr>
        <w:t xml:space="preserve"> </w:t>
      </w:r>
    </w:p>
    <w:p w14:paraId="2C645F2A" w14:textId="77777777" w:rsidR="001C0111" w:rsidRPr="0071228C" w:rsidRDefault="001C0111" w:rsidP="002A2DB0">
      <w:pPr>
        <w:keepNext/>
        <w:outlineLvl w:val="2"/>
        <w:rPr>
          <w:rFonts w:eastAsiaTheme="majorEastAsia"/>
          <w:bCs/>
          <w:i/>
          <w:noProof/>
        </w:rPr>
      </w:pPr>
      <w:bookmarkStart w:id="57" w:name="_Toc514938053"/>
      <w:bookmarkStart w:id="58" w:name="_Toc520485052"/>
      <w:r w:rsidRPr="0071228C">
        <w:rPr>
          <w:i/>
          <w:noProof/>
        </w:rPr>
        <w:t>Podsumowanie szacunkowego wpływu na środki operacyjne</w:t>
      </w:r>
      <w:bookmarkEnd w:id="57"/>
      <w:bookmarkEnd w:id="58"/>
      <w:r w:rsidRPr="0071228C">
        <w:rPr>
          <w:i/>
          <w:noProof/>
        </w:rPr>
        <w:t xml:space="preserve"> </w:t>
      </w:r>
    </w:p>
    <w:p w14:paraId="21A3A45A" w14:textId="0D11591D" w:rsidR="001C0111" w:rsidRPr="0071228C" w:rsidRDefault="001C0111" w:rsidP="002A2DB0">
      <w:pPr>
        <w:rPr>
          <w:noProof/>
        </w:rPr>
      </w:pPr>
      <w:r w:rsidRPr="0071228C">
        <w:rPr>
          <w:rFonts w:ascii="Wingdings" w:hAnsi="Wingdings"/>
          <w:noProof/>
        </w:rPr>
        <w:t></w:t>
      </w:r>
      <w:r w:rsidRPr="0071228C">
        <w:rPr>
          <w:noProof/>
        </w:rPr>
        <w:tab/>
        <w:t>Wniosek/inicjatywa nie wiąże się</w:t>
      </w:r>
      <w:r w:rsidR="00CC55C0" w:rsidRPr="0071228C">
        <w:rPr>
          <w:noProof/>
        </w:rPr>
        <w:t xml:space="preserve"> z</w:t>
      </w:r>
      <w:r w:rsidR="00CC55C0">
        <w:rPr>
          <w:noProof/>
        </w:rPr>
        <w:t> </w:t>
      </w:r>
      <w:r w:rsidR="00CC55C0" w:rsidRPr="0071228C">
        <w:rPr>
          <w:noProof/>
        </w:rPr>
        <w:t>kon</w:t>
      </w:r>
      <w:r w:rsidRPr="0071228C">
        <w:rPr>
          <w:noProof/>
        </w:rPr>
        <w:t xml:space="preserve">iecznością wykorzystania środków operacyjnych </w:t>
      </w:r>
    </w:p>
    <w:p w14:paraId="1DE4DF39" w14:textId="41AB9350" w:rsidR="001C0111" w:rsidRPr="0071228C" w:rsidRDefault="001C0111" w:rsidP="002A2DB0">
      <w:pPr>
        <w:rPr>
          <w:noProof/>
        </w:rPr>
      </w:pPr>
      <w:r w:rsidRPr="0071228C">
        <w:rPr>
          <w:rFonts w:ascii="Wingdings" w:hAnsi="Wingdings"/>
          <w:b/>
          <w:noProof/>
        </w:rPr>
        <w:t></w:t>
      </w:r>
      <w:r w:rsidRPr="0071228C">
        <w:rPr>
          <w:noProof/>
        </w:rPr>
        <w:tab/>
        <w:t>Wniosek/inicjatywa wiąże się</w:t>
      </w:r>
      <w:r w:rsidR="00CC55C0" w:rsidRPr="0071228C">
        <w:rPr>
          <w:noProof/>
        </w:rPr>
        <w:t xml:space="preserve"> z</w:t>
      </w:r>
      <w:r w:rsidR="00CC55C0">
        <w:rPr>
          <w:noProof/>
        </w:rPr>
        <w:t> </w:t>
      </w:r>
      <w:r w:rsidR="00CC55C0" w:rsidRPr="0071228C">
        <w:rPr>
          <w:noProof/>
        </w:rPr>
        <w:t>kon</w:t>
      </w:r>
      <w:r w:rsidRPr="0071228C">
        <w:rPr>
          <w:noProof/>
        </w:rPr>
        <w:t>iecznością wykorzystania środków operacyjnych, jak określono poniżej:</w:t>
      </w:r>
    </w:p>
    <w:p w14:paraId="70544EF8" w14:textId="77777777" w:rsidR="001C0111" w:rsidRPr="0071228C" w:rsidRDefault="001C0111" w:rsidP="001C0111">
      <w:pPr>
        <w:jc w:val="right"/>
        <w:rPr>
          <w:noProof/>
          <w:sz w:val="18"/>
          <w:szCs w:val="18"/>
        </w:rPr>
      </w:pPr>
      <w:r w:rsidRPr="0071228C">
        <w:rPr>
          <w:noProof/>
          <w:sz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2126"/>
        <w:gridCol w:w="3827"/>
      </w:tblGrid>
      <w:tr w:rsidR="001C0111" w:rsidRPr="0071228C" w14:paraId="00E1EE9F" w14:textId="77777777" w:rsidTr="00F221F6">
        <w:trPr>
          <w:jc w:val="center"/>
        </w:trPr>
        <w:tc>
          <w:tcPr>
            <w:tcW w:w="5811" w:type="dxa"/>
            <w:shd w:val="thinDiagStripe" w:color="C0C0C0" w:fill="auto"/>
            <w:vAlign w:val="center"/>
          </w:tcPr>
          <w:p w14:paraId="6D6661F3" w14:textId="5B055F1E" w:rsidR="001C0111" w:rsidRPr="0071228C" w:rsidRDefault="001C0111" w:rsidP="001C0111">
            <w:pPr>
              <w:spacing w:before="60" w:after="60"/>
              <w:jc w:val="center"/>
              <w:rPr>
                <w:b/>
                <w:noProof/>
              </w:rPr>
            </w:pPr>
            <w:r w:rsidRPr="0071228C">
              <w:rPr>
                <w:b/>
                <w:noProof/>
                <w:sz w:val="22"/>
              </w:rPr>
              <w:t>Dział wieloletnic</w:t>
            </w:r>
            <w:r w:rsidRPr="00CC55C0">
              <w:rPr>
                <w:b/>
                <w:noProof/>
                <w:sz w:val="22"/>
              </w:rPr>
              <w:t>h</w:t>
            </w:r>
            <w:r w:rsidR="00CC55C0" w:rsidRPr="00CC55C0">
              <w:rPr>
                <w:b/>
                <w:noProof/>
                <w:sz w:val="22"/>
              </w:rPr>
              <w:t xml:space="preserve"> </w:t>
            </w:r>
            <w:r w:rsidRPr="00CC55C0">
              <w:rPr>
                <w:noProof/>
              </w:rPr>
              <w:br/>
            </w:r>
            <w:r w:rsidRPr="0071228C">
              <w:rPr>
                <w:b/>
                <w:noProof/>
                <w:sz w:val="22"/>
              </w:rPr>
              <w:t xml:space="preserve">ram finansowych </w:t>
            </w:r>
          </w:p>
        </w:tc>
        <w:tc>
          <w:tcPr>
            <w:tcW w:w="2126" w:type="dxa"/>
            <w:vAlign w:val="center"/>
          </w:tcPr>
          <w:p w14:paraId="0BC889D0" w14:textId="77777777" w:rsidR="001C0111" w:rsidRPr="0071228C" w:rsidRDefault="001C0111" w:rsidP="001C0111">
            <w:pPr>
              <w:spacing w:before="60" w:after="60"/>
              <w:jc w:val="center"/>
              <w:rPr>
                <w:b/>
                <w:noProof/>
              </w:rPr>
            </w:pPr>
            <w:r w:rsidRPr="0071228C">
              <w:rPr>
                <w:b/>
                <w:noProof/>
                <w:sz w:val="22"/>
              </w:rPr>
              <w:t>3</w:t>
            </w:r>
          </w:p>
        </w:tc>
        <w:tc>
          <w:tcPr>
            <w:tcW w:w="3827" w:type="dxa"/>
            <w:vAlign w:val="center"/>
          </w:tcPr>
          <w:p w14:paraId="275B9EA5" w14:textId="1DDC3AEA" w:rsidR="001C0111" w:rsidRPr="0071228C" w:rsidRDefault="001C0111" w:rsidP="001C0111">
            <w:pPr>
              <w:spacing w:before="60" w:after="60"/>
              <w:jc w:val="center"/>
              <w:rPr>
                <w:noProof/>
              </w:rPr>
            </w:pPr>
            <w:r w:rsidRPr="0071228C">
              <w:rPr>
                <w:noProof/>
              </w:rPr>
              <w:t>Zasoby naturalne</w:t>
            </w:r>
            <w:r w:rsidR="00CC55C0" w:rsidRPr="0071228C">
              <w:rPr>
                <w:noProof/>
              </w:rPr>
              <w:t xml:space="preserve"> i</w:t>
            </w:r>
            <w:r w:rsidR="00CC55C0">
              <w:rPr>
                <w:noProof/>
              </w:rPr>
              <w:t> </w:t>
            </w:r>
            <w:r w:rsidR="00CC55C0" w:rsidRPr="0071228C">
              <w:rPr>
                <w:noProof/>
              </w:rPr>
              <w:t>śro</w:t>
            </w:r>
            <w:r w:rsidRPr="0071228C">
              <w:rPr>
                <w:noProof/>
              </w:rPr>
              <w:t>dowisko</w:t>
            </w:r>
          </w:p>
        </w:tc>
      </w:tr>
    </w:tbl>
    <w:p w14:paraId="768BF298" w14:textId="77777777" w:rsidR="001C0111" w:rsidRPr="0071228C" w:rsidRDefault="001C0111" w:rsidP="001C0111">
      <w:pPr>
        <w:rPr>
          <w:noProof/>
          <w:sz w:val="16"/>
          <w:lang w:eastAsia="en-GB"/>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440"/>
        <w:gridCol w:w="120"/>
        <w:gridCol w:w="534"/>
        <w:gridCol w:w="868"/>
        <w:gridCol w:w="868"/>
        <w:gridCol w:w="868"/>
        <w:gridCol w:w="868"/>
        <w:gridCol w:w="914"/>
        <w:gridCol w:w="1998"/>
      </w:tblGrid>
      <w:tr w:rsidR="001C0111" w:rsidRPr="0071228C" w14:paraId="091D9AC7" w14:textId="77777777" w:rsidTr="00EE4772">
        <w:tc>
          <w:tcPr>
            <w:tcW w:w="3713" w:type="dxa"/>
            <w:vAlign w:val="center"/>
          </w:tcPr>
          <w:p w14:paraId="71E6B132" w14:textId="77777777" w:rsidR="001C0111" w:rsidRPr="0071228C" w:rsidRDefault="001C0111" w:rsidP="001C0111">
            <w:pPr>
              <w:jc w:val="center"/>
              <w:rPr>
                <w:b/>
                <w:noProof/>
              </w:rPr>
            </w:pPr>
            <w:r w:rsidRPr="0071228C">
              <w:rPr>
                <w:b/>
                <w:noProof/>
                <w:sz w:val="22"/>
              </w:rPr>
              <w:t>Dyrekcja Generalna: ENV</w:t>
            </w:r>
          </w:p>
        </w:tc>
        <w:tc>
          <w:tcPr>
            <w:tcW w:w="1560" w:type="dxa"/>
            <w:gridSpan w:val="2"/>
          </w:tcPr>
          <w:p w14:paraId="3A28B9D5" w14:textId="77777777" w:rsidR="001C0111" w:rsidRPr="0071228C" w:rsidRDefault="001C0111" w:rsidP="001C0111">
            <w:pPr>
              <w:rPr>
                <w:noProof/>
                <w:sz w:val="20"/>
                <w:lang w:eastAsia="en-GB"/>
              </w:rPr>
            </w:pPr>
          </w:p>
        </w:tc>
        <w:tc>
          <w:tcPr>
            <w:tcW w:w="534" w:type="dxa"/>
          </w:tcPr>
          <w:p w14:paraId="476E0528" w14:textId="77777777" w:rsidR="001C0111" w:rsidRPr="0071228C" w:rsidRDefault="001C0111" w:rsidP="001C0111">
            <w:pPr>
              <w:jc w:val="center"/>
              <w:rPr>
                <w:noProof/>
                <w:sz w:val="20"/>
                <w:lang w:eastAsia="en-GB"/>
              </w:rPr>
            </w:pPr>
          </w:p>
        </w:tc>
        <w:tc>
          <w:tcPr>
            <w:tcW w:w="868" w:type="dxa"/>
            <w:vAlign w:val="center"/>
          </w:tcPr>
          <w:p w14:paraId="62C8B522" w14:textId="77777777" w:rsidR="001C0111" w:rsidRPr="0071228C" w:rsidRDefault="001C0111" w:rsidP="001C0111">
            <w:pPr>
              <w:jc w:val="center"/>
              <w:rPr>
                <w:b/>
                <w:noProof/>
                <w:sz w:val="20"/>
              </w:rPr>
            </w:pPr>
            <w:r w:rsidRPr="0071228C">
              <w:rPr>
                <w:b/>
                <w:noProof/>
                <w:sz w:val="20"/>
              </w:rPr>
              <w:t>2023</w:t>
            </w:r>
          </w:p>
        </w:tc>
        <w:tc>
          <w:tcPr>
            <w:tcW w:w="868" w:type="dxa"/>
            <w:vAlign w:val="center"/>
          </w:tcPr>
          <w:p w14:paraId="48D9BEE1" w14:textId="77777777" w:rsidR="001C0111" w:rsidRPr="0071228C" w:rsidRDefault="001C0111" w:rsidP="001C0111">
            <w:pPr>
              <w:jc w:val="center"/>
              <w:rPr>
                <w:b/>
                <w:noProof/>
                <w:sz w:val="20"/>
              </w:rPr>
            </w:pPr>
            <w:r w:rsidRPr="0071228C">
              <w:rPr>
                <w:b/>
                <w:noProof/>
                <w:sz w:val="20"/>
              </w:rPr>
              <w:t>2024</w:t>
            </w:r>
          </w:p>
        </w:tc>
        <w:tc>
          <w:tcPr>
            <w:tcW w:w="868" w:type="dxa"/>
            <w:vAlign w:val="center"/>
          </w:tcPr>
          <w:p w14:paraId="647C9C4C" w14:textId="77777777" w:rsidR="001C0111" w:rsidRPr="0071228C" w:rsidRDefault="001C0111" w:rsidP="001C0111">
            <w:pPr>
              <w:jc w:val="center"/>
              <w:rPr>
                <w:b/>
                <w:noProof/>
                <w:sz w:val="20"/>
              </w:rPr>
            </w:pPr>
            <w:r w:rsidRPr="0071228C">
              <w:rPr>
                <w:b/>
                <w:noProof/>
                <w:sz w:val="20"/>
              </w:rPr>
              <w:t>2025</w:t>
            </w:r>
          </w:p>
        </w:tc>
        <w:tc>
          <w:tcPr>
            <w:tcW w:w="868" w:type="dxa"/>
            <w:vAlign w:val="center"/>
          </w:tcPr>
          <w:p w14:paraId="1B84F24B" w14:textId="77777777" w:rsidR="001C0111" w:rsidRPr="0071228C" w:rsidRDefault="001C0111" w:rsidP="001C0111">
            <w:pPr>
              <w:jc w:val="center"/>
              <w:rPr>
                <w:b/>
                <w:noProof/>
                <w:sz w:val="20"/>
              </w:rPr>
            </w:pPr>
            <w:r w:rsidRPr="0071228C">
              <w:rPr>
                <w:b/>
                <w:noProof/>
                <w:sz w:val="20"/>
              </w:rPr>
              <w:t>2026</w:t>
            </w:r>
          </w:p>
        </w:tc>
        <w:tc>
          <w:tcPr>
            <w:tcW w:w="914" w:type="dxa"/>
          </w:tcPr>
          <w:p w14:paraId="564FE330" w14:textId="77777777" w:rsidR="001C0111" w:rsidRPr="0071228C" w:rsidRDefault="001C0111" w:rsidP="001C0111">
            <w:pPr>
              <w:jc w:val="center"/>
              <w:rPr>
                <w:noProof/>
                <w:sz w:val="18"/>
              </w:rPr>
            </w:pPr>
            <w:r w:rsidRPr="0071228C">
              <w:rPr>
                <w:b/>
                <w:noProof/>
                <w:sz w:val="20"/>
              </w:rPr>
              <w:t>2027 (i kolejne lata)</w:t>
            </w:r>
          </w:p>
        </w:tc>
        <w:tc>
          <w:tcPr>
            <w:tcW w:w="1998" w:type="dxa"/>
            <w:vAlign w:val="center"/>
          </w:tcPr>
          <w:p w14:paraId="51CB8E44" w14:textId="77777777" w:rsidR="001C0111" w:rsidRPr="0071228C" w:rsidRDefault="001C0111" w:rsidP="001C0111">
            <w:pPr>
              <w:jc w:val="center"/>
              <w:rPr>
                <w:b/>
                <w:noProof/>
                <w:sz w:val="20"/>
              </w:rPr>
            </w:pPr>
            <w:r w:rsidRPr="0071228C">
              <w:rPr>
                <w:b/>
                <w:noProof/>
                <w:sz w:val="20"/>
              </w:rPr>
              <w:t>OGÓŁEM</w:t>
            </w:r>
          </w:p>
        </w:tc>
      </w:tr>
      <w:tr w:rsidR="001C0111" w:rsidRPr="0071228C" w14:paraId="38F4E1D8" w14:textId="77777777" w:rsidTr="00EE4772">
        <w:trPr>
          <w:trHeight w:val="213"/>
        </w:trPr>
        <w:tc>
          <w:tcPr>
            <w:tcW w:w="5807" w:type="dxa"/>
            <w:gridSpan w:val="4"/>
            <w:vAlign w:val="center"/>
          </w:tcPr>
          <w:p w14:paraId="4FC77020" w14:textId="77777777" w:rsidR="001C0111" w:rsidRPr="0071228C" w:rsidRDefault="001C0111" w:rsidP="001C0111">
            <w:pPr>
              <w:spacing w:before="20" w:after="20"/>
              <w:rPr>
                <w:noProof/>
                <w:sz w:val="21"/>
              </w:rPr>
            </w:pPr>
            <w:r w:rsidRPr="0071228C">
              <w:rPr>
                <w:rFonts w:ascii="Wingdings" w:hAnsi="Wingdings"/>
                <w:noProof/>
                <w:sz w:val="21"/>
              </w:rPr>
              <w:t>□</w:t>
            </w:r>
            <w:r w:rsidRPr="0071228C">
              <w:rPr>
                <w:noProof/>
                <w:sz w:val="21"/>
              </w:rPr>
              <w:t xml:space="preserve"> Środki operacyjne </w:t>
            </w:r>
          </w:p>
        </w:tc>
        <w:tc>
          <w:tcPr>
            <w:tcW w:w="868" w:type="dxa"/>
            <w:vAlign w:val="center"/>
          </w:tcPr>
          <w:p w14:paraId="31255F6E" w14:textId="77777777" w:rsidR="001C0111" w:rsidRPr="0071228C" w:rsidRDefault="001C0111" w:rsidP="001C0111">
            <w:pPr>
              <w:rPr>
                <w:noProof/>
                <w:sz w:val="20"/>
                <w:lang w:eastAsia="en-GB"/>
              </w:rPr>
            </w:pPr>
          </w:p>
        </w:tc>
        <w:tc>
          <w:tcPr>
            <w:tcW w:w="868" w:type="dxa"/>
            <w:vAlign w:val="center"/>
          </w:tcPr>
          <w:p w14:paraId="01CAD6B5" w14:textId="77777777" w:rsidR="001C0111" w:rsidRPr="0071228C" w:rsidRDefault="001C0111" w:rsidP="001C0111">
            <w:pPr>
              <w:rPr>
                <w:noProof/>
                <w:sz w:val="20"/>
                <w:lang w:eastAsia="en-GB"/>
              </w:rPr>
            </w:pPr>
          </w:p>
        </w:tc>
        <w:tc>
          <w:tcPr>
            <w:tcW w:w="868" w:type="dxa"/>
            <w:vAlign w:val="center"/>
          </w:tcPr>
          <w:p w14:paraId="5D9B85C4" w14:textId="77777777" w:rsidR="001C0111" w:rsidRPr="0071228C" w:rsidRDefault="001C0111" w:rsidP="001C0111">
            <w:pPr>
              <w:rPr>
                <w:noProof/>
                <w:sz w:val="20"/>
                <w:lang w:eastAsia="en-GB"/>
              </w:rPr>
            </w:pPr>
          </w:p>
        </w:tc>
        <w:tc>
          <w:tcPr>
            <w:tcW w:w="868" w:type="dxa"/>
            <w:vAlign w:val="center"/>
          </w:tcPr>
          <w:p w14:paraId="326789E5" w14:textId="77777777" w:rsidR="001C0111" w:rsidRPr="0071228C" w:rsidRDefault="001C0111" w:rsidP="001C0111">
            <w:pPr>
              <w:rPr>
                <w:noProof/>
                <w:sz w:val="20"/>
                <w:lang w:eastAsia="en-GB"/>
              </w:rPr>
            </w:pPr>
          </w:p>
        </w:tc>
        <w:tc>
          <w:tcPr>
            <w:tcW w:w="914" w:type="dxa"/>
          </w:tcPr>
          <w:p w14:paraId="4921F0EE" w14:textId="77777777" w:rsidR="001C0111" w:rsidRPr="0071228C" w:rsidRDefault="001C0111" w:rsidP="001C0111">
            <w:pPr>
              <w:rPr>
                <w:noProof/>
                <w:sz w:val="20"/>
                <w:lang w:eastAsia="en-GB"/>
              </w:rPr>
            </w:pPr>
          </w:p>
        </w:tc>
        <w:tc>
          <w:tcPr>
            <w:tcW w:w="1998" w:type="dxa"/>
            <w:vAlign w:val="center"/>
          </w:tcPr>
          <w:p w14:paraId="3624B307" w14:textId="77777777" w:rsidR="001C0111" w:rsidRPr="0071228C" w:rsidRDefault="001C0111" w:rsidP="001C0111">
            <w:pPr>
              <w:rPr>
                <w:b/>
                <w:noProof/>
                <w:sz w:val="20"/>
                <w:lang w:eastAsia="en-GB"/>
              </w:rPr>
            </w:pPr>
          </w:p>
        </w:tc>
      </w:tr>
      <w:tr w:rsidR="001C0111" w:rsidRPr="0071228C" w14:paraId="21B92317" w14:textId="77777777" w:rsidTr="00EE4772">
        <w:tc>
          <w:tcPr>
            <w:tcW w:w="3713" w:type="dxa"/>
            <w:vMerge w:val="restart"/>
            <w:vAlign w:val="center"/>
          </w:tcPr>
          <w:p w14:paraId="2588EE31" w14:textId="62C0DACE" w:rsidR="001C0111" w:rsidRPr="0071228C" w:rsidRDefault="001C0111" w:rsidP="001C0111">
            <w:pPr>
              <w:rPr>
                <w:noProof/>
                <w:sz w:val="20"/>
              </w:rPr>
            </w:pPr>
            <w:r w:rsidRPr="0071228C">
              <w:rPr>
                <w:noProof/>
                <w:sz w:val="20"/>
              </w:rPr>
              <w:t>09 02 02 – Gospodarka</w:t>
            </w:r>
            <w:r w:rsidR="00CC55C0" w:rsidRPr="0071228C">
              <w:rPr>
                <w:noProof/>
                <w:sz w:val="20"/>
              </w:rPr>
              <w:t xml:space="preserve"> o</w:t>
            </w:r>
            <w:r w:rsidR="00CC55C0">
              <w:rPr>
                <w:noProof/>
                <w:sz w:val="20"/>
              </w:rPr>
              <w:t> </w:t>
            </w:r>
            <w:r w:rsidR="00CC55C0" w:rsidRPr="0071228C">
              <w:rPr>
                <w:noProof/>
                <w:sz w:val="20"/>
              </w:rPr>
              <w:t>obi</w:t>
            </w:r>
            <w:r w:rsidRPr="0071228C">
              <w:rPr>
                <w:noProof/>
                <w:sz w:val="20"/>
              </w:rPr>
              <w:t>egu zamkniętym</w:t>
            </w:r>
            <w:r w:rsidR="00CC55C0" w:rsidRPr="0071228C">
              <w:rPr>
                <w:noProof/>
                <w:sz w:val="20"/>
              </w:rPr>
              <w:t xml:space="preserve"> i</w:t>
            </w:r>
            <w:r w:rsidR="00CC55C0">
              <w:rPr>
                <w:noProof/>
                <w:sz w:val="20"/>
              </w:rPr>
              <w:t> </w:t>
            </w:r>
            <w:r w:rsidR="00CC55C0" w:rsidRPr="0071228C">
              <w:rPr>
                <w:noProof/>
                <w:sz w:val="20"/>
              </w:rPr>
              <w:t>jak</w:t>
            </w:r>
            <w:r w:rsidRPr="0071228C">
              <w:rPr>
                <w:noProof/>
                <w:sz w:val="20"/>
              </w:rPr>
              <w:t>ość życia</w:t>
            </w:r>
          </w:p>
        </w:tc>
        <w:tc>
          <w:tcPr>
            <w:tcW w:w="1440" w:type="dxa"/>
            <w:vAlign w:val="center"/>
          </w:tcPr>
          <w:p w14:paraId="112695A9" w14:textId="77777777" w:rsidR="001C0111" w:rsidRPr="0071228C" w:rsidRDefault="001C0111" w:rsidP="001C0111">
            <w:pPr>
              <w:spacing w:before="20" w:after="20"/>
              <w:rPr>
                <w:noProof/>
                <w:sz w:val="18"/>
              </w:rPr>
            </w:pPr>
            <w:r w:rsidRPr="0071228C">
              <w:rPr>
                <w:noProof/>
                <w:sz w:val="18"/>
              </w:rPr>
              <w:t>Środki na zobowiązania</w:t>
            </w:r>
          </w:p>
        </w:tc>
        <w:tc>
          <w:tcPr>
            <w:tcW w:w="654" w:type="dxa"/>
            <w:gridSpan w:val="2"/>
            <w:vAlign w:val="center"/>
          </w:tcPr>
          <w:p w14:paraId="10482F4B" w14:textId="77777777" w:rsidR="001C0111" w:rsidRPr="0071228C" w:rsidRDefault="001C0111" w:rsidP="001C0111">
            <w:pPr>
              <w:spacing w:before="20" w:after="20"/>
              <w:jc w:val="center"/>
              <w:rPr>
                <w:noProof/>
                <w:sz w:val="14"/>
              </w:rPr>
            </w:pPr>
            <w:r w:rsidRPr="0071228C">
              <w:rPr>
                <w:noProof/>
                <w:sz w:val="14"/>
              </w:rPr>
              <w:t>(1)</w:t>
            </w:r>
          </w:p>
        </w:tc>
        <w:tc>
          <w:tcPr>
            <w:tcW w:w="868" w:type="dxa"/>
            <w:vAlign w:val="bottom"/>
          </w:tcPr>
          <w:p w14:paraId="3C4AFAE1"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23877124"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1E0C3F08"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56DADE49" w14:textId="77777777" w:rsidR="001C0111" w:rsidRPr="0071228C" w:rsidRDefault="001C0111" w:rsidP="001C0111">
            <w:pPr>
              <w:spacing w:before="20" w:after="20"/>
              <w:jc w:val="right"/>
              <w:rPr>
                <w:noProof/>
                <w:sz w:val="20"/>
              </w:rPr>
            </w:pPr>
            <w:r w:rsidRPr="0071228C">
              <w:rPr>
                <w:noProof/>
                <w:sz w:val="20"/>
              </w:rPr>
              <w:t>0,100</w:t>
            </w:r>
          </w:p>
        </w:tc>
        <w:tc>
          <w:tcPr>
            <w:tcW w:w="914" w:type="dxa"/>
            <w:vAlign w:val="bottom"/>
          </w:tcPr>
          <w:p w14:paraId="258E8232" w14:textId="77777777" w:rsidR="001C0111" w:rsidRPr="0071228C" w:rsidRDefault="001C0111" w:rsidP="001C0111">
            <w:pPr>
              <w:spacing w:before="20" w:after="20"/>
              <w:jc w:val="right"/>
              <w:rPr>
                <w:noProof/>
                <w:sz w:val="20"/>
              </w:rPr>
            </w:pPr>
            <w:r w:rsidRPr="0071228C">
              <w:rPr>
                <w:noProof/>
                <w:sz w:val="20"/>
              </w:rPr>
              <w:t>0,100</w:t>
            </w:r>
          </w:p>
        </w:tc>
        <w:tc>
          <w:tcPr>
            <w:tcW w:w="1998" w:type="dxa"/>
            <w:vAlign w:val="bottom"/>
          </w:tcPr>
          <w:p w14:paraId="67256C50" w14:textId="77777777" w:rsidR="001C0111" w:rsidRPr="0071228C" w:rsidRDefault="001C0111" w:rsidP="001C0111">
            <w:pPr>
              <w:spacing w:before="20" w:after="20"/>
              <w:jc w:val="right"/>
              <w:rPr>
                <w:b/>
                <w:noProof/>
                <w:sz w:val="20"/>
              </w:rPr>
            </w:pPr>
            <w:r w:rsidRPr="0071228C">
              <w:rPr>
                <w:b/>
                <w:noProof/>
                <w:sz w:val="20"/>
              </w:rPr>
              <w:t>0,500</w:t>
            </w:r>
          </w:p>
        </w:tc>
      </w:tr>
      <w:tr w:rsidR="001C0111" w:rsidRPr="0071228C" w14:paraId="4BF880E9" w14:textId="77777777" w:rsidTr="00EE4772">
        <w:tc>
          <w:tcPr>
            <w:tcW w:w="3713" w:type="dxa"/>
            <w:vMerge/>
          </w:tcPr>
          <w:p w14:paraId="5683DDA8" w14:textId="77777777" w:rsidR="001C0111" w:rsidRPr="0071228C" w:rsidRDefault="001C0111" w:rsidP="001C0111">
            <w:pPr>
              <w:jc w:val="center"/>
              <w:rPr>
                <w:noProof/>
                <w:sz w:val="20"/>
                <w:lang w:eastAsia="en-GB"/>
              </w:rPr>
            </w:pPr>
          </w:p>
        </w:tc>
        <w:tc>
          <w:tcPr>
            <w:tcW w:w="1440" w:type="dxa"/>
            <w:vAlign w:val="center"/>
          </w:tcPr>
          <w:p w14:paraId="1BDB47A1" w14:textId="77777777" w:rsidR="001C0111" w:rsidRPr="0071228C" w:rsidRDefault="001C0111" w:rsidP="001C0111">
            <w:pPr>
              <w:spacing w:before="20" w:after="20"/>
              <w:rPr>
                <w:noProof/>
                <w:sz w:val="18"/>
              </w:rPr>
            </w:pPr>
            <w:r w:rsidRPr="0071228C">
              <w:rPr>
                <w:noProof/>
                <w:sz w:val="18"/>
              </w:rPr>
              <w:t>Środki na płatności</w:t>
            </w:r>
          </w:p>
        </w:tc>
        <w:tc>
          <w:tcPr>
            <w:tcW w:w="654" w:type="dxa"/>
            <w:gridSpan w:val="2"/>
            <w:vAlign w:val="center"/>
          </w:tcPr>
          <w:p w14:paraId="4657BDE9" w14:textId="77777777" w:rsidR="001C0111" w:rsidRPr="0071228C" w:rsidRDefault="001C0111" w:rsidP="001C0111">
            <w:pPr>
              <w:spacing w:before="20" w:after="20"/>
              <w:jc w:val="center"/>
              <w:rPr>
                <w:noProof/>
                <w:sz w:val="14"/>
              </w:rPr>
            </w:pPr>
            <w:r w:rsidRPr="0071228C">
              <w:rPr>
                <w:noProof/>
                <w:sz w:val="14"/>
              </w:rPr>
              <w:t>(2)</w:t>
            </w:r>
          </w:p>
        </w:tc>
        <w:tc>
          <w:tcPr>
            <w:tcW w:w="868" w:type="dxa"/>
            <w:vAlign w:val="bottom"/>
          </w:tcPr>
          <w:p w14:paraId="2F1D65FE"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15DE8CA7"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15C6B22B"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02ADEAC0" w14:textId="77777777" w:rsidR="001C0111" w:rsidRPr="0071228C" w:rsidRDefault="001C0111" w:rsidP="001C0111">
            <w:pPr>
              <w:spacing w:before="20" w:after="20"/>
              <w:jc w:val="right"/>
              <w:rPr>
                <w:noProof/>
                <w:sz w:val="20"/>
              </w:rPr>
            </w:pPr>
            <w:r w:rsidRPr="0071228C">
              <w:rPr>
                <w:noProof/>
                <w:sz w:val="20"/>
              </w:rPr>
              <w:t>0,100</w:t>
            </w:r>
          </w:p>
        </w:tc>
        <w:tc>
          <w:tcPr>
            <w:tcW w:w="914" w:type="dxa"/>
            <w:vAlign w:val="bottom"/>
          </w:tcPr>
          <w:p w14:paraId="65137408" w14:textId="77777777" w:rsidR="001C0111" w:rsidRPr="0071228C" w:rsidRDefault="001C0111" w:rsidP="001C0111">
            <w:pPr>
              <w:spacing w:before="20" w:after="20"/>
              <w:jc w:val="right"/>
              <w:rPr>
                <w:noProof/>
                <w:sz w:val="20"/>
              </w:rPr>
            </w:pPr>
            <w:r w:rsidRPr="0071228C">
              <w:rPr>
                <w:noProof/>
                <w:sz w:val="20"/>
              </w:rPr>
              <w:t>0,100</w:t>
            </w:r>
          </w:p>
        </w:tc>
        <w:tc>
          <w:tcPr>
            <w:tcW w:w="1998" w:type="dxa"/>
            <w:vAlign w:val="bottom"/>
          </w:tcPr>
          <w:p w14:paraId="36573E29" w14:textId="77777777" w:rsidR="001C0111" w:rsidRPr="0071228C" w:rsidRDefault="001C0111" w:rsidP="001C0111">
            <w:pPr>
              <w:spacing w:before="20" w:after="20"/>
              <w:jc w:val="right"/>
              <w:rPr>
                <w:b/>
                <w:noProof/>
                <w:sz w:val="20"/>
              </w:rPr>
            </w:pPr>
            <w:r w:rsidRPr="0071228C">
              <w:rPr>
                <w:b/>
                <w:noProof/>
                <w:sz w:val="20"/>
              </w:rPr>
              <w:t>0,500</w:t>
            </w:r>
          </w:p>
        </w:tc>
      </w:tr>
      <w:tr w:rsidR="001C0111" w:rsidRPr="0071228C" w14:paraId="4FF574B5" w14:textId="77777777" w:rsidTr="00EE4772">
        <w:tc>
          <w:tcPr>
            <w:tcW w:w="3713" w:type="dxa"/>
            <w:vMerge w:val="restart"/>
            <w:vAlign w:val="center"/>
          </w:tcPr>
          <w:p w14:paraId="17765891" w14:textId="77777777" w:rsidR="001C0111" w:rsidRPr="0071228C" w:rsidRDefault="001C0111" w:rsidP="001C0111">
            <w:pPr>
              <w:jc w:val="center"/>
              <w:rPr>
                <w:b/>
                <w:noProof/>
              </w:rPr>
            </w:pPr>
            <w:r w:rsidRPr="0071228C">
              <w:rPr>
                <w:b/>
                <w:noProof/>
                <w:sz w:val="22"/>
              </w:rPr>
              <w:t>OGÓŁEM środki</w:t>
            </w:r>
            <w:r w:rsidRPr="0071228C">
              <w:rPr>
                <w:noProof/>
              </w:rPr>
              <w:t xml:space="preserve"> </w:t>
            </w:r>
            <w:r w:rsidRPr="0071228C">
              <w:rPr>
                <w:noProof/>
              </w:rPr>
              <w:br/>
            </w:r>
            <w:r w:rsidRPr="0071228C">
              <w:rPr>
                <w:b/>
                <w:noProof/>
                <w:sz w:val="22"/>
              </w:rPr>
              <w:t>Dla DG ENV</w:t>
            </w:r>
          </w:p>
        </w:tc>
        <w:tc>
          <w:tcPr>
            <w:tcW w:w="1440" w:type="dxa"/>
            <w:vAlign w:val="center"/>
          </w:tcPr>
          <w:p w14:paraId="32307810" w14:textId="77777777" w:rsidR="001C0111" w:rsidRPr="0071228C" w:rsidRDefault="001C0111" w:rsidP="001C0111">
            <w:pPr>
              <w:rPr>
                <w:noProof/>
                <w:sz w:val="18"/>
              </w:rPr>
            </w:pPr>
            <w:r w:rsidRPr="0071228C">
              <w:rPr>
                <w:noProof/>
                <w:sz w:val="18"/>
              </w:rPr>
              <w:t>Środki na zobowiązania</w:t>
            </w:r>
          </w:p>
        </w:tc>
        <w:tc>
          <w:tcPr>
            <w:tcW w:w="654" w:type="dxa"/>
            <w:gridSpan w:val="2"/>
            <w:vAlign w:val="center"/>
          </w:tcPr>
          <w:p w14:paraId="087AB8EF" w14:textId="77777777" w:rsidR="001C0111" w:rsidRPr="0071228C" w:rsidRDefault="001C0111" w:rsidP="001C0111">
            <w:pPr>
              <w:jc w:val="center"/>
              <w:rPr>
                <w:noProof/>
                <w:sz w:val="14"/>
              </w:rPr>
            </w:pPr>
            <w:r w:rsidRPr="0071228C">
              <w:rPr>
                <w:noProof/>
                <w:sz w:val="14"/>
              </w:rPr>
              <w:t>=(1)</w:t>
            </w:r>
          </w:p>
        </w:tc>
        <w:tc>
          <w:tcPr>
            <w:tcW w:w="868" w:type="dxa"/>
            <w:vAlign w:val="bottom"/>
          </w:tcPr>
          <w:p w14:paraId="6715685D"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3B5192D3"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437A76BA"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4C29A1C0" w14:textId="77777777" w:rsidR="001C0111" w:rsidRPr="0071228C" w:rsidRDefault="001C0111" w:rsidP="001C0111">
            <w:pPr>
              <w:spacing w:before="20" w:after="20"/>
              <w:jc w:val="right"/>
              <w:rPr>
                <w:noProof/>
                <w:sz w:val="20"/>
              </w:rPr>
            </w:pPr>
            <w:r w:rsidRPr="0071228C">
              <w:rPr>
                <w:noProof/>
                <w:sz w:val="20"/>
              </w:rPr>
              <w:t>0,100</w:t>
            </w:r>
          </w:p>
        </w:tc>
        <w:tc>
          <w:tcPr>
            <w:tcW w:w="914" w:type="dxa"/>
            <w:vAlign w:val="bottom"/>
          </w:tcPr>
          <w:p w14:paraId="742F16F7" w14:textId="77777777" w:rsidR="001C0111" w:rsidRPr="0071228C" w:rsidRDefault="001C0111" w:rsidP="001C0111">
            <w:pPr>
              <w:spacing w:before="20" w:after="20"/>
              <w:jc w:val="right"/>
              <w:rPr>
                <w:noProof/>
                <w:sz w:val="20"/>
              </w:rPr>
            </w:pPr>
            <w:r w:rsidRPr="0071228C">
              <w:rPr>
                <w:noProof/>
                <w:sz w:val="20"/>
              </w:rPr>
              <w:t>0,100</w:t>
            </w:r>
          </w:p>
        </w:tc>
        <w:tc>
          <w:tcPr>
            <w:tcW w:w="1998" w:type="dxa"/>
            <w:vAlign w:val="bottom"/>
          </w:tcPr>
          <w:p w14:paraId="4D91083A" w14:textId="77777777" w:rsidR="001C0111" w:rsidRPr="0071228C" w:rsidRDefault="001C0111" w:rsidP="001C0111">
            <w:pPr>
              <w:spacing w:before="20" w:after="20"/>
              <w:jc w:val="right"/>
              <w:rPr>
                <w:b/>
                <w:noProof/>
                <w:sz w:val="20"/>
              </w:rPr>
            </w:pPr>
            <w:r w:rsidRPr="0071228C">
              <w:rPr>
                <w:b/>
                <w:noProof/>
                <w:sz w:val="20"/>
              </w:rPr>
              <w:t>0,500</w:t>
            </w:r>
          </w:p>
        </w:tc>
      </w:tr>
      <w:tr w:rsidR="001C0111" w:rsidRPr="0071228C" w14:paraId="27CF7E29" w14:textId="77777777" w:rsidTr="00EE4772">
        <w:tc>
          <w:tcPr>
            <w:tcW w:w="3713" w:type="dxa"/>
            <w:vMerge/>
          </w:tcPr>
          <w:p w14:paraId="168B2337" w14:textId="77777777" w:rsidR="001C0111" w:rsidRPr="0071228C" w:rsidRDefault="001C0111" w:rsidP="001C0111">
            <w:pPr>
              <w:rPr>
                <w:noProof/>
                <w:sz w:val="20"/>
                <w:lang w:eastAsia="en-GB"/>
              </w:rPr>
            </w:pPr>
          </w:p>
        </w:tc>
        <w:tc>
          <w:tcPr>
            <w:tcW w:w="1440" w:type="dxa"/>
            <w:vAlign w:val="center"/>
          </w:tcPr>
          <w:p w14:paraId="72D2B830" w14:textId="77777777" w:rsidR="001C0111" w:rsidRPr="0071228C" w:rsidRDefault="001C0111" w:rsidP="001C0111">
            <w:pPr>
              <w:rPr>
                <w:noProof/>
                <w:sz w:val="18"/>
              </w:rPr>
            </w:pPr>
            <w:r w:rsidRPr="0071228C">
              <w:rPr>
                <w:noProof/>
                <w:sz w:val="18"/>
              </w:rPr>
              <w:t>Środki na płatności</w:t>
            </w:r>
          </w:p>
        </w:tc>
        <w:tc>
          <w:tcPr>
            <w:tcW w:w="654" w:type="dxa"/>
            <w:gridSpan w:val="2"/>
            <w:vAlign w:val="center"/>
          </w:tcPr>
          <w:p w14:paraId="18F10705" w14:textId="77777777" w:rsidR="001C0111" w:rsidRPr="0071228C" w:rsidRDefault="001C0111" w:rsidP="001C0111">
            <w:pPr>
              <w:jc w:val="center"/>
              <w:rPr>
                <w:noProof/>
                <w:sz w:val="14"/>
              </w:rPr>
            </w:pPr>
            <w:r w:rsidRPr="0071228C">
              <w:rPr>
                <w:noProof/>
                <w:sz w:val="14"/>
              </w:rPr>
              <w:t>=(2)</w:t>
            </w:r>
          </w:p>
        </w:tc>
        <w:tc>
          <w:tcPr>
            <w:tcW w:w="868" w:type="dxa"/>
            <w:vAlign w:val="bottom"/>
          </w:tcPr>
          <w:p w14:paraId="71A70EC6"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30EEB878"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512794DB" w14:textId="77777777" w:rsidR="001C0111" w:rsidRPr="0071228C" w:rsidRDefault="001C0111" w:rsidP="001C0111">
            <w:pPr>
              <w:spacing w:before="20" w:after="20"/>
              <w:jc w:val="right"/>
              <w:rPr>
                <w:noProof/>
                <w:sz w:val="20"/>
              </w:rPr>
            </w:pPr>
            <w:r w:rsidRPr="0071228C">
              <w:rPr>
                <w:noProof/>
                <w:sz w:val="20"/>
              </w:rPr>
              <w:t>0,100</w:t>
            </w:r>
          </w:p>
        </w:tc>
        <w:tc>
          <w:tcPr>
            <w:tcW w:w="868" w:type="dxa"/>
            <w:vAlign w:val="bottom"/>
          </w:tcPr>
          <w:p w14:paraId="76867769" w14:textId="77777777" w:rsidR="001C0111" w:rsidRPr="0071228C" w:rsidRDefault="001C0111" w:rsidP="001C0111">
            <w:pPr>
              <w:spacing w:before="20" w:after="20"/>
              <w:jc w:val="right"/>
              <w:rPr>
                <w:noProof/>
                <w:sz w:val="20"/>
              </w:rPr>
            </w:pPr>
            <w:r w:rsidRPr="0071228C">
              <w:rPr>
                <w:noProof/>
                <w:sz w:val="20"/>
              </w:rPr>
              <w:t>0,100</w:t>
            </w:r>
          </w:p>
        </w:tc>
        <w:tc>
          <w:tcPr>
            <w:tcW w:w="914" w:type="dxa"/>
            <w:vAlign w:val="bottom"/>
          </w:tcPr>
          <w:p w14:paraId="1F9FFFE4" w14:textId="77777777" w:rsidR="001C0111" w:rsidRPr="0071228C" w:rsidRDefault="001C0111" w:rsidP="001C0111">
            <w:pPr>
              <w:spacing w:before="20" w:after="20"/>
              <w:jc w:val="right"/>
              <w:rPr>
                <w:noProof/>
                <w:sz w:val="20"/>
              </w:rPr>
            </w:pPr>
            <w:r w:rsidRPr="0071228C">
              <w:rPr>
                <w:noProof/>
                <w:sz w:val="20"/>
              </w:rPr>
              <w:t>0,100</w:t>
            </w:r>
          </w:p>
        </w:tc>
        <w:tc>
          <w:tcPr>
            <w:tcW w:w="1998" w:type="dxa"/>
            <w:vAlign w:val="bottom"/>
          </w:tcPr>
          <w:p w14:paraId="58289456" w14:textId="77777777" w:rsidR="001C0111" w:rsidRPr="0071228C" w:rsidRDefault="001C0111" w:rsidP="001C0111">
            <w:pPr>
              <w:spacing w:before="20" w:after="20"/>
              <w:jc w:val="right"/>
              <w:rPr>
                <w:b/>
                <w:noProof/>
                <w:sz w:val="20"/>
              </w:rPr>
            </w:pPr>
            <w:r w:rsidRPr="0071228C">
              <w:rPr>
                <w:b/>
                <w:noProof/>
                <w:sz w:val="20"/>
              </w:rPr>
              <w:t>0,500</w:t>
            </w:r>
          </w:p>
        </w:tc>
      </w:tr>
    </w:tbl>
    <w:p w14:paraId="5E27B958" w14:textId="4F5CF8E1" w:rsidR="001C0111" w:rsidRPr="0071228C" w:rsidRDefault="001C0111" w:rsidP="001C0111">
      <w:pPr>
        <w:rPr>
          <w:noProof/>
        </w:rPr>
      </w:pPr>
      <w:r w:rsidRPr="0071228C">
        <w:rPr>
          <w:noProof/>
        </w:rPr>
        <w:t>Podana wyżej kwota</w:t>
      </w:r>
      <w:r w:rsidR="00CC55C0" w:rsidRPr="0071228C">
        <w:rPr>
          <w:noProof/>
        </w:rPr>
        <w:t xml:space="preserve"> w</w:t>
      </w:r>
      <w:r w:rsidR="00CC55C0">
        <w:rPr>
          <w:noProof/>
        </w:rPr>
        <w:t> </w:t>
      </w:r>
      <w:r w:rsidR="00CC55C0" w:rsidRPr="0071228C">
        <w:rPr>
          <w:noProof/>
        </w:rPr>
        <w:t>lin</w:t>
      </w:r>
      <w:r w:rsidRPr="0071228C">
        <w:rPr>
          <w:noProof/>
        </w:rPr>
        <w:t>ii budżetowej 09.02.02 będzie potrzebna do sfinansowania uzgodnień administracyjnych z JRC oraz dodatkowego wsparcia finansowego</w:t>
      </w:r>
      <w:r w:rsidR="00CC55C0" w:rsidRPr="0071228C">
        <w:rPr>
          <w:noProof/>
        </w:rPr>
        <w:t xml:space="preserve"> w</w:t>
      </w:r>
      <w:r w:rsidR="00CC55C0">
        <w:rPr>
          <w:noProof/>
        </w:rPr>
        <w:t> </w:t>
      </w:r>
      <w:r w:rsidR="00CC55C0" w:rsidRPr="0071228C">
        <w:rPr>
          <w:noProof/>
        </w:rPr>
        <w:t>wys</w:t>
      </w:r>
      <w:r w:rsidRPr="0071228C">
        <w:rPr>
          <w:noProof/>
        </w:rPr>
        <w:t xml:space="preserve">okości 100 000 EUR rocznie na realizację poniższych zadań: </w:t>
      </w:r>
    </w:p>
    <w:p w14:paraId="34FE45A1" w14:textId="729E463F" w:rsidR="001C0111" w:rsidRPr="0071228C" w:rsidRDefault="001C0111" w:rsidP="002A2DB0">
      <w:pPr>
        <w:contextualSpacing/>
        <w:rPr>
          <w:noProof/>
          <w:sz w:val="22"/>
        </w:rPr>
      </w:pPr>
      <w:r w:rsidRPr="0071228C">
        <w:rPr>
          <w:noProof/>
          <w:sz w:val="22"/>
        </w:rPr>
        <w:t>Wsparcie</w:t>
      </w:r>
      <w:r w:rsidR="00CC55C0" w:rsidRPr="0071228C">
        <w:rPr>
          <w:noProof/>
          <w:sz w:val="22"/>
        </w:rPr>
        <w:t xml:space="preserve"> i</w:t>
      </w:r>
      <w:r w:rsidR="00CC55C0">
        <w:rPr>
          <w:noProof/>
          <w:sz w:val="22"/>
        </w:rPr>
        <w:t> </w:t>
      </w:r>
      <w:r w:rsidR="00CC55C0" w:rsidRPr="0071228C">
        <w:rPr>
          <w:noProof/>
          <w:sz w:val="22"/>
        </w:rPr>
        <w:t>wsk</w:t>
      </w:r>
      <w:r w:rsidRPr="0071228C">
        <w:rPr>
          <w:noProof/>
          <w:sz w:val="22"/>
        </w:rPr>
        <w:t>azówki dotyczące opracowania ulepszonych metod monitorowania zanieczyszczeń powietrza oraz wykorzystania modelowania jakości powietrza.</w:t>
      </w:r>
    </w:p>
    <w:p w14:paraId="19C1F11B" w14:textId="28F047E8" w:rsidR="001C0111" w:rsidRPr="00CC55C0" w:rsidRDefault="001C0111" w:rsidP="002A2DB0">
      <w:pPr>
        <w:contextualSpacing/>
        <w:rPr>
          <w:noProof/>
          <w:sz w:val="22"/>
        </w:rPr>
      </w:pPr>
      <w:r w:rsidRPr="0071228C">
        <w:rPr>
          <w:noProof/>
          <w:sz w:val="22"/>
        </w:rPr>
        <w:t>Wsparcie usprawnień metodologicznych związanych</w:t>
      </w:r>
      <w:r w:rsidR="00CC55C0" w:rsidRPr="0071228C">
        <w:rPr>
          <w:noProof/>
          <w:sz w:val="22"/>
        </w:rPr>
        <w:t xml:space="preserve"> z</w:t>
      </w:r>
      <w:r w:rsidR="00CC55C0">
        <w:rPr>
          <w:noProof/>
          <w:sz w:val="22"/>
        </w:rPr>
        <w:t> </w:t>
      </w:r>
      <w:r w:rsidR="00CC55C0" w:rsidRPr="0071228C">
        <w:rPr>
          <w:noProof/>
          <w:sz w:val="22"/>
        </w:rPr>
        <w:t>prz</w:t>
      </w:r>
      <w:r w:rsidRPr="0071228C">
        <w:rPr>
          <w:noProof/>
          <w:sz w:val="22"/>
        </w:rPr>
        <w:t>estrzenną reprezentatywnością monitorowania jakości powietrza, zharmonizowanymi ocenami jakości powietrza</w:t>
      </w:r>
      <w:r w:rsidR="00CC55C0" w:rsidRPr="0071228C">
        <w:rPr>
          <w:noProof/>
          <w:sz w:val="22"/>
        </w:rPr>
        <w:t xml:space="preserve"> i</w:t>
      </w:r>
      <w:r w:rsidR="00CC55C0">
        <w:rPr>
          <w:noProof/>
          <w:sz w:val="22"/>
        </w:rPr>
        <w:t> </w:t>
      </w:r>
      <w:r w:rsidR="00CC55C0" w:rsidRPr="0071228C">
        <w:rPr>
          <w:noProof/>
          <w:sz w:val="22"/>
        </w:rPr>
        <w:t>alo</w:t>
      </w:r>
      <w:r w:rsidRPr="0071228C">
        <w:rPr>
          <w:noProof/>
          <w:sz w:val="22"/>
        </w:rPr>
        <w:t>kacją źródeł</w:t>
      </w:r>
      <w:r w:rsidRPr="00CC55C0">
        <w:rPr>
          <w:noProof/>
          <w:sz w:val="22"/>
        </w:rPr>
        <w:t>.</w:t>
      </w:r>
      <w:r w:rsidR="00CC55C0" w:rsidRPr="00CC55C0">
        <w:rPr>
          <w:noProof/>
          <w:sz w:val="22"/>
        </w:rPr>
        <w:t xml:space="preserve"> </w:t>
      </w:r>
    </w:p>
    <w:p w14:paraId="404B5474" w14:textId="68354090" w:rsidR="001C0111" w:rsidRPr="0071228C" w:rsidRDefault="001C0111" w:rsidP="002A2DB0">
      <w:pPr>
        <w:contextualSpacing/>
        <w:rPr>
          <w:noProof/>
          <w:sz w:val="22"/>
        </w:rPr>
      </w:pPr>
      <w:r w:rsidRPr="0071228C">
        <w:rPr>
          <w:noProof/>
          <w:sz w:val="22"/>
        </w:rPr>
        <w:t>Wsparcie przy opracowywaniu praktycznych wskazówek dotyczących wdrażania dyrektywy</w:t>
      </w:r>
      <w:r w:rsidR="00CC55C0" w:rsidRPr="0071228C">
        <w:rPr>
          <w:noProof/>
          <w:sz w:val="22"/>
        </w:rPr>
        <w:t xml:space="preserve"> w</w:t>
      </w:r>
      <w:r w:rsidR="00CC55C0">
        <w:rPr>
          <w:noProof/>
          <w:sz w:val="22"/>
        </w:rPr>
        <w:t> </w:t>
      </w:r>
      <w:r w:rsidR="00CC55C0" w:rsidRPr="0071228C">
        <w:rPr>
          <w:noProof/>
          <w:sz w:val="22"/>
        </w:rPr>
        <w:t>spr</w:t>
      </w:r>
      <w:r w:rsidRPr="0071228C">
        <w:rPr>
          <w:noProof/>
          <w:sz w:val="22"/>
        </w:rPr>
        <w:t>awie jakości powietrza</w:t>
      </w:r>
      <w:r w:rsidR="00CC55C0" w:rsidRPr="0071228C">
        <w:rPr>
          <w:noProof/>
          <w:sz w:val="22"/>
        </w:rPr>
        <w:t xml:space="preserve"> w</w:t>
      </w:r>
      <w:r w:rsidR="00CC55C0">
        <w:rPr>
          <w:noProof/>
          <w:sz w:val="22"/>
        </w:rPr>
        <w:t> </w:t>
      </w:r>
      <w:r w:rsidR="00CC55C0" w:rsidRPr="0071228C">
        <w:rPr>
          <w:noProof/>
          <w:sz w:val="22"/>
        </w:rPr>
        <w:t>zak</w:t>
      </w:r>
      <w:r w:rsidRPr="0071228C">
        <w:rPr>
          <w:noProof/>
          <w:sz w:val="22"/>
        </w:rPr>
        <w:t>resie monitorowania</w:t>
      </w:r>
      <w:r w:rsidR="00CC55C0" w:rsidRPr="0071228C">
        <w:rPr>
          <w:noProof/>
          <w:sz w:val="22"/>
        </w:rPr>
        <w:t xml:space="preserve"> i</w:t>
      </w:r>
      <w:r w:rsidR="00CC55C0">
        <w:rPr>
          <w:noProof/>
          <w:sz w:val="22"/>
        </w:rPr>
        <w:t> </w:t>
      </w:r>
      <w:r w:rsidR="00CC55C0" w:rsidRPr="0071228C">
        <w:rPr>
          <w:noProof/>
          <w:sz w:val="22"/>
        </w:rPr>
        <w:t>mod</w:t>
      </w:r>
      <w:r w:rsidRPr="0071228C">
        <w:rPr>
          <w:noProof/>
          <w:sz w:val="22"/>
        </w:rPr>
        <w:t>elowania jakości powietrza.</w:t>
      </w:r>
    </w:p>
    <w:p w14:paraId="24F3B019" w14:textId="5080965C" w:rsidR="001C0111" w:rsidRPr="0071228C" w:rsidRDefault="001C0111" w:rsidP="002A2DB0">
      <w:pPr>
        <w:contextualSpacing/>
        <w:rPr>
          <w:noProof/>
          <w:sz w:val="22"/>
        </w:rPr>
      </w:pPr>
      <w:r w:rsidRPr="0071228C">
        <w:rPr>
          <w:noProof/>
          <w:sz w:val="22"/>
        </w:rPr>
        <w:t>Organizacja</w:t>
      </w:r>
      <w:r w:rsidR="00CC55C0" w:rsidRPr="0071228C">
        <w:rPr>
          <w:noProof/>
          <w:sz w:val="22"/>
        </w:rPr>
        <w:t xml:space="preserve"> i</w:t>
      </w:r>
      <w:r w:rsidR="00CC55C0">
        <w:rPr>
          <w:noProof/>
          <w:sz w:val="22"/>
        </w:rPr>
        <w:t> </w:t>
      </w:r>
      <w:r w:rsidR="00CC55C0" w:rsidRPr="0071228C">
        <w:rPr>
          <w:noProof/>
          <w:sz w:val="22"/>
        </w:rPr>
        <w:t>pro</w:t>
      </w:r>
      <w:r w:rsidRPr="0071228C">
        <w:rPr>
          <w:noProof/>
          <w:sz w:val="22"/>
        </w:rPr>
        <w:t>wadzenie kluczowych sieci wsparcia dla wdrażania polityki dotyczącej powietrza na poziomie krajowym, regionalnym</w:t>
      </w:r>
      <w:r w:rsidR="00CC55C0" w:rsidRPr="0071228C">
        <w:rPr>
          <w:noProof/>
          <w:sz w:val="22"/>
        </w:rPr>
        <w:t xml:space="preserve"> i</w:t>
      </w:r>
      <w:r w:rsidR="00CC55C0">
        <w:rPr>
          <w:noProof/>
          <w:sz w:val="22"/>
        </w:rPr>
        <w:t> </w:t>
      </w:r>
      <w:r w:rsidR="00CC55C0" w:rsidRPr="0071228C">
        <w:rPr>
          <w:noProof/>
          <w:sz w:val="22"/>
        </w:rPr>
        <w:t>mie</w:t>
      </w:r>
      <w:r w:rsidRPr="0071228C">
        <w:rPr>
          <w:noProof/>
          <w:sz w:val="22"/>
        </w:rPr>
        <w:t>jskim (np. AQUILA i FAIRMODE).</w:t>
      </w:r>
    </w:p>
    <w:p w14:paraId="33B76D46" w14:textId="71215AD9" w:rsidR="001C0111" w:rsidRPr="0071228C" w:rsidRDefault="001C0111" w:rsidP="002A2DB0">
      <w:pPr>
        <w:contextualSpacing/>
        <w:rPr>
          <w:noProof/>
          <w:sz w:val="22"/>
        </w:rPr>
      </w:pPr>
      <w:r w:rsidRPr="0071228C">
        <w:rPr>
          <w:noProof/>
          <w:sz w:val="22"/>
        </w:rPr>
        <w:t>Wsparcie przy opracowywaniu norm dotyczących monitorowania</w:t>
      </w:r>
      <w:r w:rsidR="00CC55C0" w:rsidRPr="0071228C">
        <w:rPr>
          <w:noProof/>
          <w:sz w:val="22"/>
        </w:rPr>
        <w:t xml:space="preserve"> i</w:t>
      </w:r>
      <w:r w:rsidR="00CC55C0">
        <w:rPr>
          <w:noProof/>
          <w:sz w:val="22"/>
        </w:rPr>
        <w:t> </w:t>
      </w:r>
      <w:r w:rsidR="00CC55C0" w:rsidRPr="0071228C">
        <w:rPr>
          <w:noProof/>
          <w:sz w:val="22"/>
        </w:rPr>
        <w:t>mod</w:t>
      </w:r>
      <w:r w:rsidRPr="0071228C">
        <w:rPr>
          <w:noProof/>
          <w:sz w:val="22"/>
        </w:rPr>
        <w:t>elowania jakości powietrza we współpracy</w:t>
      </w:r>
      <w:r w:rsidR="00CC55C0" w:rsidRPr="0071228C">
        <w:rPr>
          <w:noProof/>
          <w:sz w:val="22"/>
        </w:rPr>
        <w:t xml:space="preserve"> z</w:t>
      </w:r>
      <w:r w:rsidR="00CC55C0">
        <w:rPr>
          <w:noProof/>
          <w:sz w:val="22"/>
        </w:rPr>
        <w:t> </w:t>
      </w:r>
      <w:r w:rsidR="00CC55C0" w:rsidRPr="0071228C">
        <w:rPr>
          <w:noProof/>
          <w:sz w:val="22"/>
        </w:rPr>
        <w:t>Eur</w:t>
      </w:r>
      <w:r w:rsidRPr="0071228C">
        <w:rPr>
          <w:noProof/>
          <w:sz w:val="22"/>
        </w:rPr>
        <w:t>opejskim Komitetem Normalizacyjnym (CEN).</w:t>
      </w:r>
    </w:p>
    <w:p w14:paraId="1EE7E721" w14:textId="77777777" w:rsidR="001C0111" w:rsidRPr="0071228C" w:rsidRDefault="001C0111" w:rsidP="002A2DB0">
      <w:pPr>
        <w:contextualSpacing/>
        <w:rPr>
          <w:noProof/>
          <w:lang w:eastAsia="en-GB"/>
        </w:rPr>
      </w:pPr>
    </w:p>
    <w:p w14:paraId="419AA884" w14:textId="77777777" w:rsidR="001C0111" w:rsidRPr="0071228C" w:rsidRDefault="001C0111" w:rsidP="002A2DB0">
      <w:pPr>
        <w:contextualSpacing/>
        <w:rPr>
          <w:noProof/>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1560"/>
        <w:gridCol w:w="1186"/>
        <w:gridCol w:w="1134"/>
        <w:gridCol w:w="992"/>
        <w:gridCol w:w="851"/>
        <w:gridCol w:w="992"/>
        <w:gridCol w:w="1418"/>
      </w:tblGrid>
      <w:tr w:rsidR="001C0111" w:rsidRPr="0071228C" w14:paraId="0055EB64" w14:textId="77777777" w:rsidTr="00EE4772">
        <w:tc>
          <w:tcPr>
            <w:tcW w:w="4229" w:type="dxa"/>
            <w:vAlign w:val="center"/>
          </w:tcPr>
          <w:p w14:paraId="653FAD63" w14:textId="77777777" w:rsidR="001C0111" w:rsidRPr="0071228C" w:rsidRDefault="001C0111" w:rsidP="001C0111">
            <w:pPr>
              <w:jc w:val="center"/>
              <w:rPr>
                <w:b/>
                <w:noProof/>
              </w:rPr>
            </w:pPr>
            <w:r w:rsidRPr="0071228C">
              <w:rPr>
                <w:b/>
                <w:noProof/>
                <w:sz w:val="22"/>
              </w:rPr>
              <w:t>Agencja: ECHA – Dyrektywy dotyczące środowiska</w:t>
            </w:r>
          </w:p>
        </w:tc>
        <w:tc>
          <w:tcPr>
            <w:tcW w:w="1560" w:type="dxa"/>
          </w:tcPr>
          <w:p w14:paraId="56EB9C36" w14:textId="77777777" w:rsidR="001C0111" w:rsidRPr="0071228C" w:rsidRDefault="001C0111" w:rsidP="001C0111">
            <w:pPr>
              <w:rPr>
                <w:noProof/>
                <w:sz w:val="20"/>
                <w:lang w:eastAsia="en-GB"/>
              </w:rPr>
            </w:pPr>
          </w:p>
        </w:tc>
        <w:tc>
          <w:tcPr>
            <w:tcW w:w="1186" w:type="dxa"/>
          </w:tcPr>
          <w:p w14:paraId="27D49704" w14:textId="77777777" w:rsidR="001C0111" w:rsidRPr="0071228C" w:rsidRDefault="001C0111" w:rsidP="001C0111">
            <w:pPr>
              <w:jc w:val="center"/>
              <w:rPr>
                <w:noProof/>
                <w:sz w:val="20"/>
                <w:lang w:eastAsia="en-GB"/>
              </w:rPr>
            </w:pPr>
          </w:p>
        </w:tc>
        <w:tc>
          <w:tcPr>
            <w:tcW w:w="1134" w:type="dxa"/>
            <w:vAlign w:val="center"/>
          </w:tcPr>
          <w:p w14:paraId="21B22E4D" w14:textId="77777777" w:rsidR="001C0111" w:rsidRPr="0071228C" w:rsidRDefault="001C0111" w:rsidP="001C0111">
            <w:pPr>
              <w:jc w:val="center"/>
              <w:rPr>
                <w:noProof/>
                <w:sz w:val="20"/>
              </w:rPr>
            </w:pPr>
            <w:r w:rsidRPr="0071228C">
              <w:rPr>
                <w:b/>
                <w:noProof/>
                <w:sz w:val="20"/>
              </w:rPr>
              <w:t>2024</w:t>
            </w:r>
          </w:p>
        </w:tc>
        <w:tc>
          <w:tcPr>
            <w:tcW w:w="992" w:type="dxa"/>
            <w:vAlign w:val="center"/>
          </w:tcPr>
          <w:p w14:paraId="4BA6FC24" w14:textId="77777777" w:rsidR="001C0111" w:rsidRPr="0071228C" w:rsidRDefault="001C0111" w:rsidP="001C0111">
            <w:pPr>
              <w:jc w:val="center"/>
              <w:rPr>
                <w:noProof/>
                <w:sz w:val="20"/>
              </w:rPr>
            </w:pPr>
            <w:r w:rsidRPr="0071228C">
              <w:rPr>
                <w:b/>
                <w:noProof/>
                <w:sz w:val="20"/>
              </w:rPr>
              <w:t>2025</w:t>
            </w:r>
          </w:p>
        </w:tc>
        <w:tc>
          <w:tcPr>
            <w:tcW w:w="851" w:type="dxa"/>
            <w:vAlign w:val="center"/>
          </w:tcPr>
          <w:p w14:paraId="6023C572" w14:textId="77777777" w:rsidR="001C0111" w:rsidRPr="0071228C" w:rsidRDefault="001C0111" w:rsidP="001C0111">
            <w:pPr>
              <w:jc w:val="center"/>
              <w:rPr>
                <w:noProof/>
                <w:sz w:val="20"/>
              </w:rPr>
            </w:pPr>
            <w:r w:rsidRPr="0071228C">
              <w:rPr>
                <w:b/>
                <w:noProof/>
                <w:sz w:val="20"/>
              </w:rPr>
              <w:t>2026</w:t>
            </w:r>
          </w:p>
        </w:tc>
        <w:tc>
          <w:tcPr>
            <w:tcW w:w="992" w:type="dxa"/>
            <w:vAlign w:val="center"/>
          </w:tcPr>
          <w:p w14:paraId="575A947C" w14:textId="77777777" w:rsidR="001C0111" w:rsidRPr="0071228C" w:rsidRDefault="001C0111" w:rsidP="001C0111">
            <w:pPr>
              <w:jc w:val="center"/>
              <w:rPr>
                <w:b/>
                <w:noProof/>
                <w:sz w:val="20"/>
              </w:rPr>
            </w:pPr>
            <w:r w:rsidRPr="0071228C">
              <w:rPr>
                <w:b/>
                <w:noProof/>
                <w:sz w:val="20"/>
              </w:rPr>
              <w:t>2027</w:t>
            </w:r>
          </w:p>
        </w:tc>
        <w:tc>
          <w:tcPr>
            <w:tcW w:w="1418" w:type="dxa"/>
            <w:vAlign w:val="center"/>
          </w:tcPr>
          <w:p w14:paraId="48FF2C5E" w14:textId="77777777" w:rsidR="001C0111" w:rsidRPr="0071228C" w:rsidRDefault="001C0111" w:rsidP="001C0111">
            <w:pPr>
              <w:jc w:val="center"/>
              <w:rPr>
                <w:b/>
                <w:noProof/>
                <w:sz w:val="20"/>
              </w:rPr>
            </w:pPr>
            <w:r w:rsidRPr="0071228C">
              <w:rPr>
                <w:b/>
                <w:noProof/>
                <w:sz w:val="20"/>
              </w:rPr>
              <w:t>OGÓŁEM</w:t>
            </w:r>
          </w:p>
        </w:tc>
      </w:tr>
      <w:tr w:rsidR="001C0111" w:rsidRPr="0071228C" w14:paraId="01E2916D" w14:textId="77777777" w:rsidTr="00EE4772">
        <w:trPr>
          <w:trHeight w:val="277"/>
        </w:trPr>
        <w:tc>
          <w:tcPr>
            <w:tcW w:w="4229" w:type="dxa"/>
            <w:vMerge w:val="restart"/>
            <w:vAlign w:val="center"/>
          </w:tcPr>
          <w:p w14:paraId="7B341B9D" w14:textId="77777777" w:rsidR="001C0111" w:rsidRPr="0071228C" w:rsidRDefault="001C0111" w:rsidP="001C0111">
            <w:pPr>
              <w:rPr>
                <w:noProof/>
              </w:rPr>
            </w:pPr>
            <w:r w:rsidRPr="0071228C">
              <w:rPr>
                <w:noProof/>
                <w:sz w:val="20"/>
              </w:rPr>
              <w:t>Tytuł 1: Wydatki na personel</w:t>
            </w:r>
          </w:p>
        </w:tc>
        <w:tc>
          <w:tcPr>
            <w:tcW w:w="1560" w:type="dxa"/>
            <w:vAlign w:val="center"/>
          </w:tcPr>
          <w:p w14:paraId="19145066" w14:textId="77777777" w:rsidR="001C0111" w:rsidRPr="0071228C" w:rsidRDefault="001C0111" w:rsidP="001C0111">
            <w:pPr>
              <w:spacing w:before="20" w:after="20"/>
              <w:rPr>
                <w:noProof/>
                <w:sz w:val="18"/>
              </w:rPr>
            </w:pPr>
            <w:r w:rsidRPr="0071228C">
              <w:rPr>
                <w:noProof/>
                <w:sz w:val="18"/>
              </w:rPr>
              <w:t>Środki na zobowiązania</w:t>
            </w:r>
          </w:p>
        </w:tc>
        <w:tc>
          <w:tcPr>
            <w:tcW w:w="1186" w:type="dxa"/>
            <w:vAlign w:val="center"/>
          </w:tcPr>
          <w:p w14:paraId="3B5D0C62" w14:textId="77777777" w:rsidR="001C0111" w:rsidRPr="0071228C" w:rsidRDefault="001C0111" w:rsidP="001C0111">
            <w:pPr>
              <w:spacing w:before="20" w:after="20"/>
              <w:jc w:val="center"/>
              <w:rPr>
                <w:noProof/>
                <w:sz w:val="14"/>
              </w:rPr>
            </w:pPr>
            <w:r w:rsidRPr="0071228C">
              <w:rPr>
                <w:noProof/>
                <w:sz w:val="14"/>
              </w:rPr>
              <w:t>(1a)</w:t>
            </w:r>
          </w:p>
        </w:tc>
        <w:tc>
          <w:tcPr>
            <w:tcW w:w="1134" w:type="dxa"/>
            <w:vAlign w:val="center"/>
          </w:tcPr>
          <w:p w14:paraId="7BB0CF55" w14:textId="77777777" w:rsidR="001C0111" w:rsidRPr="0071228C" w:rsidRDefault="001C0111" w:rsidP="001C0111">
            <w:pPr>
              <w:spacing w:before="20" w:after="20"/>
              <w:jc w:val="right"/>
              <w:rPr>
                <w:noProof/>
                <w:sz w:val="20"/>
              </w:rPr>
            </w:pPr>
            <w:r w:rsidRPr="0071228C">
              <w:rPr>
                <w:noProof/>
                <w:sz w:val="20"/>
              </w:rPr>
              <w:t>0,734</w:t>
            </w:r>
          </w:p>
        </w:tc>
        <w:tc>
          <w:tcPr>
            <w:tcW w:w="992" w:type="dxa"/>
          </w:tcPr>
          <w:p w14:paraId="490EF7E0" w14:textId="77777777" w:rsidR="001C0111" w:rsidRPr="0071228C" w:rsidRDefault="001C0111" w:rsidP="001C0111">
            <w:pPr>
              <w:spacing w:before="20" w:after="20"/>
              <w:jc w:val="right"/>
              <w:rPr>
                <w:noProof/>
                <w:sz w:val="20"/>
              </w:rPr>
            </w:pPr>
            <w:r w:rsidRPr="0071228C">
              <w:rPr>
                <w:noProof/>
                <w:sz w:val="20"/>
              </w:rPr>
              <w:t>1,498</w:t>
            </w:r>
          </w:p>
        </w:tc>
        <w:tc>
          <w:tcPr>
            <w:tcW w:w="851" w:type="dxa"/>
          </w:tcPr>
          <w:p w14:paraId="5E4819ED" w14:textId="77777777" w:rsidR="001C0111" w:rsidRPr="0071228C" w:rsidRDefault="001C0111" w:rsidP="001C0111">
            <w:pPr>
              <w:spacing w:before="20" w:after="20"/>
              <w:jc w:val="right"/>
              <w:rPr>
                <w:noProof/>
                <w:sz w:val="20"/>
              </w:rPr>
            </w:pPr>
            <w:r w:rsidRPr="0071228C">
              <w:rPr>
                <w:noProof/>
                <w:sz w:val="20"/>
              </w:rPr>
              <w:t>1,528</w:t>
            </w:r>
          </w:p>
        </w:tc>
        <w:tc>
          <w:tcPr>
            <w:tcW w:w="992" w:type="dxa"/>
          </w:tcPr>
          <w:p w14:paraId="0F1772DD" w14:textId="77777777" w:rsidR="001C0111" w:rsidRPr="0071228C" w:rsidRDefault="001C0111" w:rsidP="001C0111">
            <w:pPr>
              <w:spacing w:before="20" w:after="20"/>
              <w:jc w:val="right"/>
              <w:rPr>
                <w:noProof/>
                <w:sz w:val="20"/>
              </w:rPr>
            </w:pPr>
            <w:r w:rsidRPr="0071228C">
              <w:rPr>
                <w:noProof/>
                <w:sz w:val="20"/>
              </w:rPr>
              <w:t>1,559</w:t>
            </w:r>
          </w:p>
        </w:tc>
        <w:tc>
          <w:tcPr>
            <w:tcW w:w="1418" w:type="dxa"/>
            <w:vAlign w:val="center"/>
          </w:tcPr>
          <w:p w14:paraId="119E52FE" w14:textId="77777777" w:rsidR="001C0111" w:rsidRPr="0071228C" w:rsidRDefault="001C0111" w:rsidP="001C0111">
            <w:pPr>
              <w:spacing w:before="20" w:after="20"/>
              <w:jc w:val="right"/>
              <w:rPr>
                <w:b/>
                <w:noProof/>
                <w:sz w:val="20"/>
              </w:rPr>
            </w:pPr>
            <w:r w:rsidRPr="0071228C">
              <w:rPr>
                <w:b/>
                <w:noProof/>
                <w:sz w:val="20"/>
              </w:rPr>
              <w:t>5,319</w:t>
            </w:r>
          </w:p>
        </w:tc>
      </w:tr>
      <w:tr w:rsidR="001C0111" w:rsidRPr="0071228C" w14:paraId="3730DE4B" w14:textId="77777777" w:rsidTr="00EE4772">
        <w:tc>
          <w:tcPr>
            <w:tcW w:w="4229" w:type="dxa"/>
            <w:vMerge/>
          </w:tcPr>
          <w:p w14:paraId="6BF1AA15" w14:textId="77777777" w:rsidR="001C0111" w:rsidRPr="0071228C" w:rsidRDefault="001C0111" w:rsidP="001C0111">
            <w:pPr>
              <w:jc w:val="center"/>
              <w:rPr>
                <w:noProof/>
                <w:sz w:val="20"/>
                <w:lang w:eastAsia="en-GB"/>
              </w:rPr>
            </w:pPr>
          </w:p>
        </w:tc>
        <w:tc>
          <w:tcPr>
            <w:tcW w:w="1560" w:type="dxa"/>
            <w:vAlign w:val="center"/>
          </w:tcPr>
          <w:p w14:paraId="3116DD45" w14:textId="77777777" w:rsidR="001C0111" w:rsidRPr="0071228C" w:rsidRDefault="001C0111" w:rsidP="001C0111">
            <w:pPr>
              <w:spacing w:before="20" w:after="20"/>
              <w:rPr>
                <w:noProof/>
                <w:sz w:val="18"/>
              </w:rPr>
            </w:pPr>
            <w:r w:rsidRPr="0071228C">
              <w:rPr>
                <w:noProof/>
                <w:sz w:val="18"/>
              </w:rPr>
              <w:t>Środki na płatności</w:t>
            </w:r>
          </w:p>
        </w:tc>
        <w:tc>
          <w:tcPr>
            <w:tcW w:w="1186" w:type="dxa"/>
            <w:vAlign w:val="center"/>
          </w:tcPr>
          <w:p w14:paraId="5533715D" w14:textId="77777777" w:rsidR="001C0111" w:rsidRPr="0071228C" w:rsidRDefault="001C0111" w:rsidP="001C0111">
            <w:pPr>
              <w:spacing w:before="20" w:after="20"/>
              <w:jc w:val="center"/>
              <w:rPr>
                <w:noProof/>
                <w:sz w:val="14"/>
              </w:rPr>
            </w:pPr>
            <w:r w:rsidRPr="0071228C">
              <w:rPr>
                <w:noProof/>
                <w:sz w:val="14"/>
              </w:rPr>
              <w:t>(2a)</w:t>
            </w:r>
          </w:p>
        </w:tc>
        <w:tc>
          <w:tcPr>
            <w:tcW w:w="1134" w:type="dxa"/>
            <w:vAlign w:val="center"/>
          </w:tcPr>
          <w:p w14:paraId="3190D9B3" w14:textId="77777777" w:rsidR="001C0111" w:rsidRPr="0071228C" w:rsidRDefault="001C0111" w:rsidP="001C0111">
            <w:pPr>
              <w:spacing w:before="20" w:after="20"/>
              <w:jc w:val="right"/>
              <w:rPr>
                <w:noProof/>
                <w:sz w:val="20"/>
              </w:rPr>
            </w:pPr>
            <w:r w:rsidRPr="0071228C">
              <w:rPr>
                <w:noProof/>
                <w:sz w:val="20"/>
              </w:rPr>
              <w:t>0,734</w:t>
            </w:r>
          </w:p>
        </w:tc>
        <w:tc>
          <w:tcPr>
            <w:tcW w:w="992" w:type="dxa"/>
          </w:tcPr>
          <w:p w14:paraId="1CFC647F" w14:textId="77777777" w:rsidR="001C0111" w:rsidRPr="0071228C" w:rsidRDefault="001C0111" w:rsidP="001C0111">
            <w:pPr>
              <w:spacing w:before="20" w:after="20"/>
              <w:jc w:val="right"/>
              <w:rPr>
                <w:noProof/>
                <w:sz w:val="20"/>
              </w:rPr>
            </w:pPr>
            <w:r w:rsidRPr="0071228C">
              <w:rPr>
                <w:noProof/>
                <w:sz w:val="20"/>
              </w:rPr>
              <w:t>1,498</w:t>
            </w:r>
          </w:p>
        </w:tc>
        <w:tc>
          <w:tcPr>
            <w:tcW w:w="851" w:type="dxa"/>
          </w:tcPr>
          <w:p w14:paraId="19A82605" w14:textId="77777777" w:rsidR="001C0111" w:rsidRPr="0071228C" w:rsidRDefault="001C0111" w:rsidP="001C0111">
            <w:pPr>
              <w:spacing w:before="20" w:after="20"/>
              <w:jc w:val="right"/>
              <w:rPr>
                <w:noProof/>
                <w:sz w:val="20"/>
              </w:rPr>
            </w:pPr>
            <w:r w:rsidRPr="0071228C">
              <w:rPr>
                <w:noProof/>
                <w:sz w:val="20"/>
              </w:rPr>
              <w:t>1,528</w:t>
            </w:r>
          </w:p>
        </w:tc>
        <w:tc>
          <w:tcPr>
            <w:tcW w:w="992" w:type="dxa"/>
          </w:tcPr>
          <w:p w14:paraId="62C74509" w14:textId="77777777" w:rsidR="001C0111" w:rsidRPr="0071228C" w:rsidRDefault="001C0111" w:rsidP="001C0111">
            <w:pPr>
              <w:spacing w:before="20" w:after="20"/>
              <w:jc w:val="right"/>
              <w:rPr>
                <w:noProof/>
                <w:sz w:val="20"/>
              </w:rPr>
            </w:pPr>
            <w:r w:rsidRPr="0071228C">
              <w:rPr>
                <w:noProof/>
                <w:sz w:val="20"/>
              </w:rPr>
              <w:t>1,559</w:t>
            </w:r>
          </w:p>
        </w:tc>
        <w:tc>
          <w:tcPr>
            <w:tcW w:w="1418" w:type="dxa"/>
            <w:vAlign w:val="center"/>
          </w:tcPr>
          <w:p w14:paraId="11B06574" w14:textId="77777777" w:rsidR="001C0111" w:rsidRPr="0071228C" w:rsidRDefault="001C0111" w:rsidP="001C0111">
            <w:pPr>
              <w:spacing w:before="20" w:after="20"/>
              <w:jc w:val="right"/>
              <w:rPr>
                <w:b/>
                <w:noProof/>
                <w:sz w:val="20"/>
              </w:rPr>
            </w:pPr>
            <w:r w:rsidRPr="0071228C">
              <w:rPr>
                <w:b/>
                <w:noProof/>
                <w:sz w:val="20"/>
              </w:rPr>
              <w:t>5,319</w:t>
            </w:r>
          </w:p>
        </w:tc>
      </w:tr>
      <w:tr w:rsidR="001C0111" w:rsidRPr="0071228C" w14:paraId="0E102676" w14:textId="77777777" w:rsidTr="00EE4772">
        <w:tc>
          <w:tcPr>
            <w:tcW w:w="4229" w:type="dxa"/>
            <w:vMerge w:val="restart"/>
            <w:vAlign w:val="center"/>
          </w:tcPr>
          <w:p w14:paraId="68CCC433" w14:textId="77777777" w:rsidR="001C0111" w:rsidRPr="0071228C" w:rsidDel="006337FA" w:rsidRDefault="001C0111" w:rsidP="001C0111">
            <w:pPr>
              <w:rPr>
                <w:noProof/>
                <w:sz w:val="20"/>
              </w:rPr>
            </w:pPr>
            <w:r w:rsidRPr="0071228C">
              <w:rPr>
                <w:noProof/>
                <w:sz w:val="20"/>
              </w:rPr>
              <w:t>Tytuł 2: Infrastruktura</w:t>
            </w:r>
          </w:p>
        </w:tc>
        <w:tc>
          <w:tcPr>
            <w:tcW w:w="1560" w:type="dxa"/>
            <w:vAlign w:val="center"/>
          </w:tcPr>
          <w:p w14:paraId="128FDA62" w14:textId="77777777" w:rsidR="001C0111" w:rsidRPr="0071228C" w:rsidRDefault="001C0111" w:rsidP="001C0111">
            <w:pPr>
              <w:spacing w:before="20" w:after="20"/>
              <w:rPr>
                <w:noProof/>
                <w:sz w:val="18"/>
              </w:rPr>
            </w:pPr>
            <w:r w:rsidRPr="0071228C">
              <w:rPr>
                <w:noProof/>
                <w:sz w:val="18"/>
              </w:rPr>
              <w:t>Środki na zobowiązania</w:t>
            </w:r>
          </w:p>
        </w:tc>
        <w:tc>
          <w:tcPr>
            <w:tcW w:w="1186" w:type="dxa"/>
            <w:vAlign w:val="center"/>
          </w:tcPr>
          <w:p w14:paraId="33B98CC3" w14:textId="77777777" w:rsidR="001C0111" w:rsidRPr="0071228C" w:rsidRDefault="001C0111" w:rsidP="001C0111">
            <w:pPr>
              <w:spacing w:before="20" w:after="20"/>
              <w:jc w:val="center"/>
              <w:rPr>
                <w:noProof/>
                <w:sz w:val="14"/>
              </w:rPr>
            </w:pPr>
            <w:r w:rsidRPr="0071228C">
              <w:rPr>
                <w:noProof/>
                <w:sz w:val="14"/>
              </w:rPr>
              <w:t>(1b)</w:t>
            </w:r>
          </w:p>
        </w:tc>
        <w:tc>
          <w:tcPr>
            <w:tcW w:w="1134" w:type="dxa"/>
            <w:vAlign w:val="center"/>
          </w:tcPr>
          <w:p w14:paraId="7059E04A" w14:textId="77777777" w:rsidR="001C0111" w:rsidRPr="0071228C" w:rsidRDefault="001C0111" w:rsidP="001C0111">
            <w:pPr>
              <w:spacing w:before="20" w:after="20"/>
              <w:jc w:val="right"/>
              <w:rPr>
                <w:noProof/>
                <w:sz w:val="20"/>
              </w:rPr>
            </w:pPr>
            <w:r w:rsidRPr="0071228C">
              <w:rPr>
                <w:noProof/>
                <w:sz w:val="20"/>
              </w:rPr>
              <w:t>0,189</w:t>
            </w:r>
          </w:p>
        </w:tc>
        <w:tc>
          <w:tcPr>
            <w:tcW w:w="992" w:type="dxa"/>
            <w:vAlign w:val="center"/>
          </w:tcPr>
          <w:p w14:paraId="42FE73B7" w14:textId="77777777" w:rsidR="001C0111" w:rsidRPr="0071228C" w:rsidRDefault="001C0111" w:rsidP="001C0111">
            <w:pPr>
              <w:spacing w:before="20" w:after="20"/>
              <w:jc w:val="right"/>
              <w:rPr>
                <w:noProof/>
                <w:sz w:val="20"/>
              </w:rPr>
            </w:pPr>
            <w:r w:rsidRPr="0071228C">
              <w:rPr>
                <w:noProof/>
                <w:sz w:val="20"/>
              </w:rPr>
              <w:t>0,193</w:t>
            </w:r>
          </w:p>
        </w:tc>
        <w:tc>
          <w:tcPr>
            <w:tcW w:w="851" w:type="dxa"/>
            <w:vAlign w:val="center"/>
          </w:tcPr>
          <w:p w14:paraId="36A9FEA2" w14:textId="77777777" w:rsidR="001C0111" w:rsidRPr="0071228C" w:rsidRDefault="001C0111" w:rsidP="001C0111">
            <w:pPr>
              <w:spacing w:before="20" w:after="20"/>
              <w:jc w:val="right"/>
              <w:rPr>
                <w:noProof/>
                <w:sz w:val="20"/>
              </w:rPr>
            </w:pPr>
            <w:r w:rsidRPr="0071228C">
              <w:rPr>
                <w:noProof/>
                <w:sz w:val="20"/>
              </w:rPr>
              <w:t>0,201</w:t>
            </w:r>
          </w:p>
        </w:tc>
        <w:tc>
          <w:tcPr>
            <w:tcW w:w="992" w:type="dxa"/>
            <w:vAlign w:val="center"/>
          </w:tcPr>
          <w:p w14:paraId="329A6DCF" w14:textId="77777777" w:rsidR="001C0111" w:rsidRPr="0071228C" w:rsidRDefault="001C0111" w:rsidP="001C0111">
            <w:pPr>
              <w:spacing w:before="20" w:after="20"/>
              <w:jc w:val="right"/>
              <w:rPr>
                <w:noProof/>
                <w:sz w:val="20"/>
              </w:rPr>
            </w:pPr>
            <w:r w:rsidRPr="0071228C">
              <w:rPr>
                <w:noProof/>
                <w:sz w:val="20"/>
              </w:rPr>
              <w:t>0,201</w:t>
            </w:r>
          </w:p>
        </w:tc>
        <w:tc>
          <w:tcPr>
            <w:tcW w:w="1418" w:type="dxa"/>
            <w:vAlign w:val="center"/>
          </w:tcPr>
          <w:p w14:paraId="697379AF" w14:textId="77777777" w:rsidR="001C0111" w:rsidRPr="0071228C" w:rsidRDefault="001C0111" w:rsidP="001C0111">
            <w:pPr>
              <w:spacing w:before="20" w:after="20"/>
              <w:jc w:val="right"/>
              <w:rPr>
                <w:b/>
                <w:noProof/>
                <w:sz w:val="20"/>
              </w:rPr>
            </w:pPr>
            <w:r w:rsidRPr="0071228C">
              <w:rPr>
                <w:b/>
                <w:noProof/>
                <w:sz w:val="20"/>
              </w:rPr>
              <w:t>0,779</w:t>
            </w:r>
          </w:p>
        </w:tc>
      </w:tr>
      <w:tr w:rsidR="001C0111" w:rsidRPr="0071228C" w14:paraId="024AAB14" w14:textId="77777777" w:rsidTr="00EE4772">
        <w:tc>
          <w:tcPr>
            <w:tcW w:w="4229" w:type="dxa"/>
            <w:vMerge/>
            <w:vAlign w:val="center"/>
          </w:tcPr>
          <w:p w14:paraId="1CA04853" w14:textId="77777777" w:rsidR="001C0111" w:rsidRPr="0071228C" w:rsidDel="006337FA" w:rsidRDefault="001C0111" w:rsidP="001C0111">
            <w:pPr>
              <w:rPr>
                <w:noProof/>
                <w:sz w:val="20"/>
                <w:lang w:eastAsia="en-GB"/>
              </w:rPr>
            </w:pPr>
          </w:p>
        </w:tc>
        <w:tc>
          <w:tcPr>
            <w:tcW w:w="1560" w:type="dxa"/>
            <w:vAlign w:val="center"/>
          </w:tcPr>
          <w:p w14:paraId="4C034842" w14:textId="77777777" w:rsidR="001C0111" w:rsidRPr="0071228C" w:rsidRDefault="001C0111" w:rsidP="001C0111">
            <w:pPr>
              <w:spacing w:before="20" w:after="20"/>
              <w:rPr>
                <w:noProof/>
                <w:sz w:val="18"/>
              </w:rPr>
            </w:pPr>
            <w:r w:rsidRPr="0071228C">
              <w:rPr>
                <w:noProof/>
                <w:sz w:val="18"/>
              </w:rPr>
              <w:t>Środki na płatności</w:t>
            </w:r>
          </w:p>
        </w:tc>
        <w:tc>
          <w:tcPr>
            <w:tcW w:w="1186" w:type="dxa"/>
            <w:vAlign w:val="center"/>
          </w:tcPr>
          <w:p w14:paraId="34F7D6FB" w14:textId="77777777" w:rsidR="001C0111" w:rsidRPr="0071228C" w:rsidRDefault="001C0111" w:rsidP="001C0111">
            <w:pPr>
              <w:spacing w:before="20" w:after="20"/>
              <w:jc w:val="center"/>
              <w:rPr>
                <w:noProof/>
                <w:sz w:val="14"/>
              </w:rPr>
            </w:pPr>
            <w:r w:rsidRPr="0071228C">
              <w:rPr>
                <w:noProof/>
                <w:sz w:val="14"/>
              </w:rPr>
              <w:t>(2b)</w:t>
            </w:r>
          </w:p>
        </w:tc>
        <w:tc>
          <w:tcPr>
            <w:tcW w:w="1134" w:type="dxa"/>
            <w:vAlign w:val="center"/>
          </w:tcPr>
          <w:p w14:paraId="22FF2E35" w14:textId="77777777" w:rsidR="001C0111" w:rsidRPr="0071228C" w:rsidRDefault="001C0111" w:rsidP="001C0111">
            <w:pPr>
              <w:spacing w:before="20" w:after="20"/>
              <w:jc w:val="right"/>
              <w:rPr>
                <w:noProof/>
                <w:sz w:val="20"/>
              </w:rPr>
            </w:pPr>
            <w:r w:rsidRPr="0071228C">
              <w:rPr>
                <w:noProof/>
                <w:sz w:val="20"/>
              </w:rPr>
              <w:t>0,189</w:t>
            </w:r>
          </w:p>
        </w:tc>
        <w:tc>
          <w:tcPr>
            <w:tcW w:w="992" w:type="dxa"/>
            <w:vAlign w:val="center"/>
          </w:tcPr>
          <w:p w14:paraId="329C649F" w14:textId="77777777" w:rsidR="001C0111" w:rsidRPr="0071228C" w:rsidRDefault="001C0111" w:rsidP="001C0111">
            <w:pPr>
              <w:spacing w:before="20" w:after="20"/>
              <w:jc w:val="right"/>
              <w:rPr>
                <w:noProof/>
                <w:sz w:val="20"/>
              </w:rPr>
            </w:pPr>
            <w:r w:rsidRPr="0071228C">
              <w:rPr>
                <w:noProof/>
                <w:sz w:val="20"/>
              </w:rPr>
              <w:t>0,193</w:t>
            </w:r>
          </w:p>
        </w:tc>
        <w:tc>
          <w:tcPr>
            <w:tcW w:w="851" w:type="dxa"/>
            <w:vAlign w:val="center"/>
          </w:tcPr>
          <w:p w14:paraId="34CCF889" w14:textId="77777777" w:rsidR="001C0111" w:rsidRPr="0071228C" w:rsidRDefault="001C0111" w:rsidP="001C0111">
            <w:pPr>
              <w:spacing w:before="20" w:after="20"/>
              <w:jc w:val="right"/>
              <w:rPr>
                <w:noProof/>
                <w:sz w:val="20"/>
              </w:rPr>
            </w:pPr>
            <w:r w:rsidRPr="0071228C">
              <w:rPr>
                <w:noProof/>
                <w:sz w:val="20"/>
              </w:rPr>
              <w:t>0,201</w:t>
            </w:r>
          </w:p>
        </w:tc>
        <w:tc>
          <w:tcPr>
            <w:tcW w:w="992" w:type="dxa"/>
            <w:vAlign w:val="center"/>
          </w:tcPr>
          <w:p w14:paraId="36677244" w14:textId="77777777" w:rsidR="001C0111" w:rsidRPr="0071228C" w:rsidRDefault="001C0111" w:rsidP="001C0111">
            <w:pPr>
              <w:spacing w:before="20" w:after="20"/>
              <w:jc w:val="right"/>
              <w:rPr>
                <w:noProof/>
                <w:sz w:val="20"/>
              </w:rPr>
            </w:pPr>
            <w:r w:rsidRPr="0071228C">
              <w:rPr>
                <w:noProof/>
                <w:sz w:val="20"/>
              </w:rPr>
              <w:t>0,201</w:t>
            </w:r>
          </w:p>
        </w:tc>
        <w:tc>
          <w:tcPr>
            <w:tcW w:w="1418" w:type="dxa"/>
            <w:vAlign w:val="center"/>
          </w:tcPr>
          <w:p w14:paraId="39977405" w14:textId="77777777" w:rsidR="001C0111" w:rsidRPr="0071228C" w:rsidRDefault="001C0111" w:rsidP="001C0111">
            <w:pPr>
              <w:spacing w:before="20" w:after="20"/>
              <w:jc w:val="right"/>
              <w:rPr>
                <w:b/>
                <w:noProof/>
                <w:sz w:val="20"/>
              </w:rPr>
            </w:pPr>
            <w:r w:rsidRPr="0071228C">
              <w:rPr>
                <w:b/>
                <w:noProof/>
                <w:sz w:val="20"/>
              </w:rPr>
              <w:t>0,779</w:t>
            </w:r>
          </w:p>
        </w:tc>
      </w:tr>
      <w:tr w:rsidR="001C0111" w:rsidRPr="0071228C" w14:paraId="7D6ED234" w14:textId="77777777" w:rsidTr="00EE4772">
        <w:tc>
          <w:tcPr>
            <w:tcW w:w="4229" w:type="dxa"/>
            <w:vMerge w:val="restart"/>
            <w:vAlign w:val="center"/>
          </w:tcPr>
          <w:p w14:paraId="0591C7C8" w14:textId="77777777" w:rsidR="001C0111" w:rsidRPr="0071228C" w:rsidRDefault="001C0111" w:rsidP="001C0111">
            <w:pPr>
              <w:rPr>
                <w:noProof/>
              </w:rPr>
            </w:pPr>
            <w:r w:rsidRPr="0071228C">
              <w:rPr>
                <w:noProof/>
                <w:sz w:val="20"/>
              </w:rPr>
              <w:t>Tytuł 3: Wydatki operacyjne</w:t>
            </w:r>
          </w:p>
        </w:tc>
        <w:tc>
          <w:tcPr>
            <w:tcW w:w="1560" w:type="dxa"/>
            <w:vAlign w:val="center"/>
          </w:tcPr>
          <w:p w14:paraId="44A9E8E6" w14:textId="77777777" w:rsidR="001C0111" w:rsidRPr="0071228C" w:rsidRDefault="001C0111" w:rsidP="001C0111">
            <w:pPr>
              <w:spacing w:before="20" w:after="20"/>
              <w:rPr>
                <w:noProof/>
                <w:sz w:val="18"/>
              </w:rPr>
            </w:pPr>
            <w:r w:rsidRPr="0071228C">
              <w:rPr>
                <w:noProof/>
                <w:sz w:val="18"/>
              </w:rPr>
              <w:t>Środki na zobowiązania</w:t>
            </w:r>
          </w:p>
        </w:tc>
        <w:tc>
          <w:tcPr>
            <w:tcW w:w="1186" w:type="dxa"/>
            <w:vAlign w:val="center"/>
          </w:tcPr>
          <w:p w14:paraId="45589497" w14:textId="77777777" w:rsidR="001C0111" w:rsidRPr="0071228C" w:rsidRDefault="001C0111" w:rsidP="001C0111">
            <w:pPr>
              <w:spacing w:before="20" w:after="20"/>
              <w:jc w:val="center"/>
              <w:rPr>
                <w:noProof/>
                <w:sz w:val="14"/>
              </w:rPr>
            </w:pPr>
            <w:r w:rsidRPr="0071228C">
              <w:rPr>
                <w:noProof/>
                <w:sz w:val="14"/>
              </w:rPr>
              <w:t>(1c)</w:t>
            </w:r>
          </w:p>
        </w:tc>
        <w:tc>
          <w:tcPr>
            <w:tcW w:w="1134" w:type="dxa"/>
            <w:vAlign w:val="center"/>
          </w:tcPr>
          <w:p w14:paraId="724935A0" w14:textId="77777777" w:rsidR="001C0111" w:rsidRPr="0071228C" w:rsidRDefault="001C0111" w:rsidP="001C0111">
            <w:pPr>
              <w:spacing w:before="20" w:after="20"/>
              <w:jc w:val="right"/>
              <w:rPr>
                <w:noProof/>
                <w:sz w:val="20"/>
              </w:rPr>
            </w:pPr>
            <w:r w:rsidRPr="0071228C">
              <w:rPr>
                <w:noProof/>
                <w:sz w:val="20"/>
              </w:rPr>
              <w:t>0,673</w:t>
            </w:r>
          </w:p>
        </w:tc>
        <w:tc>
          <w:tcPr>
            <w:tcW w:w="992" w:type="dxa"/>
            <w:vAlign w:val="center"/>
          </w:tcPr>
          <w:p w14:paraId="7D9B33FB" w14:textId="77777777" w:rsidR="001C0111" w:rsidRPr="0071228C" w:rsidRDefault="001C0111" w:rsidP="001C0111">
            <w:pPr>
              <w:spacing w:before="20" w:after="20"/>
              <w:jc w:val="right"/>
              <w:rPr>
                <w:noProof/>
                <w:sz w:val="20"/>
              </w:rPr>
            </w:pPr>
            <w:r w:rsidRPr="0071228C">
              <w:rPr>
                <w:noProof/>
                <w:sz w:val="20"/>
              </w:rPr>
              <w:t>0,686</w:t>
            </w:r>
          </w:p>
        </w:tc>
        <w:tc>
          <w:tcPr>
            <w:tcW w:w="851" w:type="dxa"/>
            <w:vAlign w:val="center"/>
          </w:tcPr>
          <w:p w14:paraId="462623F0" w14:textId="77777777" w:rsidR="001C0111" w:rsidRPr="0071228C" w:rsidRDefault="001C0111" w:rsidP="001C0111">
            <w:pPr>
              <w:spacing w:before="20" w:after="20"/>
              <w:jc w:val="right"/>
              <w:rPr>
                <w:noProof/>
                <w:sz w:val="20"/>
              </w:rPr>
            </w:pPr>
            <w:r w:rsidRPr="0071228C">
              <w:rPr>
                <w:noProof/>
                <w:sz w:val="20"/>
              </w:rPr>
              <w:t>0,702</w:t>
            </w:r>
          </w:p>
        </w:tc>
        <w:tc>
          <w:tcPr>
            <w:tcW w:w="992" w:type="dxa"/>
            <w:vAlign w:val="center"/>
          </w:tcPr>
          <w:p w14:paraId="403D7C7D" w14:textId="77777777" w:rsidR="001C0111" w:rsidRPr="0071228C" w:rsidRDefault="001C0111" w:rsidP="001C0111">
            <w:pPr>
              <w:spacing w:before="20" w:after="20"/>
              <w:jc w:val="right"/>
              <w:rPr>
                <w:noProof/>
                <w:sz w:val="20"/>
              </w:rPr>
            </w:pPr>
            <w:r w:rsidRPr="0071228C">
              <w:rPr>
                <w:noProof/>
                <w:sz w:val="20"/>
              </w:rPr>
              <w:t>0,718</w:t>
            </w:r>
          </w:p>
        </w:tc>
        <w:tc>
          <w:tcPr>
            <w:tcW w:w="1418" w:type="dxa"/>
            <w:vAlign w:val="center"/>
          </w:tcPr>
          <w:p w14:paraId="11DD9A22" w14:textId="77777777" w:rsidR="001C0111" w:rsidRPr="0071228C" w:rsidRDefault="001C0111" w:rsidP="001C0111">
            <w:pPr>
              <w:spacing w:before="20" w:after="20"/>
              <w:jc w:val="right"/>
              <w:rPr>
                <w:b/>
                <w:noProof/>
                <w:sz w:val="20"/>
              </w:rPr>
            </w:pPr>
            <w:r w:rsidRPr="0071228C">
              <w:rPr>
                <w:b/>
                <w:noProof/>
                <w:sz w:val="20"/>
              </w:rPr>
              <w:t>2,779</w:t>
            </w:r>
          </w:p>
        </w:tc>
      </w:tr>
      <w:tr w:rsidR="001C0111" w:rsidRPr="0071228C" w14:paraId="571C7CC8" w14:textId="77777777" w:rsidTr="00EE4772">
        <w:tc>
          <w:tcPr>
            <w:tcW w:w="4229" w:type="dxa"/>
            <w:vMerge/>
          </w:tcPr>
          <w:p w14:paraId="1F831C83" w14:textId="77777777" w:rsidR="001C0111" w:rsidRPr="0071228C" w:rsidRDefault="001C0111" w:rsidP="001C0111">
            <w:pPr>
              <w:jc w:val="center"/>
              <w:rPr>
                <w:noProof/>
                <w:sz w:val="20"/>
                <w:lang w:eastAsia="en-GB"/>
              </w:rPr>
            </w:pPr>
          </w:p>
        </w:tc>
        <w:tc>
          <w:tcPr>
            <w:tcW w:w="1560" w:type="dxa"/>
            <w:vAlign w:val="center"/>
          </w:tcPr>
          <w:p w14:paraId="03E99EBE" w14:textId="77777777" w:rsidR="001C0111" w:rsidRPr="0071228C" w:rsidRDefault="001C0111" w:rsidP="001C0111">
            <w:pPr>
              <w:spacing w:before="20" w:after="20"/>
              <w:rPr>
                <w:noProof/>
                <w:sz w:val="18"/>
              </w:rPr>
            </w:pPr>
            <w:r w:rsidRPr="0071228C">
              <w:rPr>
                <w:noProof/>
                <w:sz w:val="18"/>
              </w:rPr>
              <w:t>Środki na płatności</w:t>
            </w:r>
          </w:p>
        </w:tc>
        <w:tc>
          <w:tcPr>
            <w:tcW w:w="1186" w:type="dxa"/>
            <w:vAlign w:val="center"/>
          </w:tcPr>
          <w:p w14:paraId="347B87A3" w14:textId="77777777" w:rsidR="001C0111" w:rsidRPr="0071228C" w:rsidRDefault="001C0111" w:rsidP="001C0111">
            <w:pPr>
              <w:spacing w:before="20" w:after="20"/>
              <w:jc w:val="center"/>
              <w:rPr>
                <w:noProof/>
                <w:sz w:val="14"/>
              </w:rPr>
            </w:pPr>
            <w:r w:rsidRPr="0071228C">
              <w:rPr>
                <w:noProof/>
                <w:sz w:val="14"/>
              </w:rPr>
              <w:t>(2c)</w:t>
            </w:r>
          </w:p>
        </w:tc>
        <w:tc>
          <w:tcPr>
            <w:tcW w:w="1134" w:type="dxa"/>
            <w:vAlign w:val="center"/>
          </w:tcPr>
          <w:p w14:paraId="020F3CEE" w14:textId="77777777" w:rsidR="001C0111" w:rsidRPr="0071228C" w:rsidRDefault="001C0111" w:rsidP="001C0111">
            <w:pPr>
              <w:spacing w:before="20" w:after="20"/>
              <w:jc w:val="right"/>
              <w:rPr>
                <w:noProof/>
                <w:sz w:val="20"/>
              </w:rPr>
            </w:pPr>
            <w:r w:rsidRPr="0071228C">
              <w:rPr>
                <w:noProof/>
                <w:sz w:val="20"/>
              </w:rPr>
              <w:t>0,673</w:t>
            </w:r>
          </w:p>
        </w:tc>
        <w:tc>
          <w:tcPr>
            <w:tcW w:w="992" w:type="dxa"/>
            <w:vAlign w:val="center"/>
          </w:tcPr>
          <w:p w14:paraId="1DA1193B" w14:textId="77777777" w:rsidR="001C0111" w:rsidRPr="0071228C" w:rsidRDefault="001C0111" w:rsidP="001C0111">
            <w:pPr>
              <w:spacing w:before="20" w:after="20"/>
              <w:jc w:val="right"/>
              <w:rPr>
                <w:noProof/>
                <w:sz w:val="20"/>
              </w:rPr>
            </w:pPr>
            <w:r w:rsidRPr="0071228C">
              <w:rPr>
                <w:noProof/>
                <w:sz w:val="20"/>
              </w:rPr>
              <w:t>0,686</w:t>
            </w:r>
          </w:p>
        </w:tc>
        <w:tc>
          <w:tcPr>
            <w:tcW w:w="851" w:type="dxa"/>
            <w:vAlign w:val="center"/>
          </w:tcPr>
          <w:p w14:paraId="4851AAB3" w14:textId="77777777" w:rsidR="001C0111" w:rsidRPr="0071228C" w:rsidRDefault="001C0111" w:rsidP="001C0111">
            <w:pPr>
              <w:spacing w:before="20" w:after="20"/>
              <w:jc w:val="right"/>
              <w:rPr>
                <w:noProof/>
                <w:sz w:val="20"/>
              </w:rPr>
            </w:pPr>
            <w:r w:rsidRPr="0071228C">
              <w:rPr>
                <w:noProof/>
                <w:sz w:val="20"/>
              </w:rPr>
              <w:t>0,702</w:t>
            </w:r>
          </w:p>
        </w:tc>
        <w:tc>
          <w:tcPr>
            <w:tcW w:w="992" w:type="dxa"/>
            <w:vAlign w:val="center"/>
          </w:tcPr>
          <w:p w14:paraId="000E83B3" w14:textId="77777777" w:rsidR="001C0111" w:rsidRPr="0071228C" w:rsidRDefault="001C0111" w:rsidP="001C0111">
            <w:pPr>
              <w:spacing w:before="20" w:after="20"/>
              <w:jc w:val="right"/>
              <w:rPr>
                <w:noProof/>
                <w:sz w:val="20"/>
              </w:rPr>
            </w:pPr>
            <w:r w:rsidRPr="0071228C">
              <w:rPr>
                <w:noProof/>
                <w:sz w:val="20"/>
              </w:rPr>
              <w:t>0,718</w:t>
            </w:r>
          </w:p>
        </w:tc>
        <w:tc>
          <w:tcPr>
            <w:tcW w:w="1418" w:type="dxa"/>
            <w:vAlign w:val="center"/>
          </w:tcPr>
          <w:p w14:paraId="47DF285E" w14:textId="77777777" w:rsidR="001C0111" w:rsidRPr="0071228C" w:rsidRDefault="001C0111" w:rsidP="001C0111">
            <w:pPr>
              <w:spacing w:before="20" w:after="20"/>
              <w:jc w:val="right"/>
              <w:rPr>
                <w:b/>
                <w:noProof/>
                <w:sz w:val="20"/>
              </w:rPr>
            </w:pPr>
            <w:r w:rsidRPr="0071228C">
              <w:rPr>
                <w:b/>
                <w:noProof/>
                <w:sz w:val="20"/>
              </w:rPr>
              <w:t>2,779</w:t>
            </w:r>
          </w:p>
        </w:tc>
      </w:tr>
      <w:tr w:rsidR="001C0111" w:rsidRPr="0071228C" w14:paraId="5CF57800" w14:textId="77777777" w:rsidTr="00EE4772">
        <w:tc>
          <w:tcPr>
            <w:tcW w:w="4229" w:type="dxa"/>
            <w:vMerge w:val="restart"/>
            <w:vAlign w:val="center"/>
          </w:tcPr>
          <w:p w14:paraId="7AEBFBF0" w14:textId="77777777" w:rsidR="001C0111" w:rsidRPr="0071228C" w:rsidRDefault="001C0111" w:rsidP="001C0111">
            <w:pPr>
              <w:jc w:val="center"/>
              <w:rPr>
                <w:b/>
                <w:noProof/>
              </w:rPr>
            </w:pPr>
            <w:r w:rsidRPr="0071228C">
              <w:rPr>
                <w:b/>
                <w:noProof/>
                <w:sz w:val="22"/>
              </w:rPr>
              <w:t>OGÓŁEM środki</w:t>
            </w:r>
            <w:r w:rsidRPr="0071228C">
              <w:rPr>
                <w:noProof/>
              </w:rPr>
              <w:t xml:space="preserve"> </w:t>
            </w:r>
            <w:r w:rsidRPr="0071228C">
              <w:rPr>
                <w:noProof/>
              </w:rPr>
              <w:br/>
            </w:r>
            <w:r w:rsidRPr="0071228C">
              <w:rPr>
                <w:b/>
                <w:noProof/>
                <w:sz w:val="22"/>
              </w:rPr>
              <w:t>w przypadku agencji ECHA</w:t>
            </w:r>
          </w:p>
        </w:tc>
        <w:tc>
          <w:tcPr>
            <w:tcW w:w="1560" w:type="dxa"/>
            <w:vAlign w:val="center"/>
          </w:tcPr>
          <w:p w14:paraId="4A2D2CFC" w14:textId="77777777" w:rsidR="001C0111" w:rsidRPr="0071228C" w:rsidRDefault="001C0111" w:rsidP="001C0111">
            <w:pPr>
              <w:rPr>
                <w:noProof/>
                <w:sz w:val="18"/>
              </w:rPr>
            </w:pPr>
            <w:r w:rsidRPr="0071228C">
              <w:rPr>
                <w:noProof/>
                <w:sz w:val="18"/>
              </w:rPr>
              <w:t>Środki na zobowiązania</w:t>
            </w:r>
          </w:p>
        </w:tc>
        <w:tc>
          <w:tcPr>
            <w:tcW w:w="1186" w:type="dxa"/>
            <w:vAlign w:val="center"/>
          </w:tcPr>
          <w:p w14:paraId="422390B2" w14:textId="77777777" w:rsidR="001C0111" w:rsidRPr="0071228C" w:rsidRDefault="001C0111" w:rsidP="001C0111">
            <w:pPr>
              <w:jc w:val="center"/>
              <w:rPr>
                <w:noProof/>
                <w:sz w:val="14"/>
              </w:rPr>
            </w:pPr>
            <w:r w:rsidRPr="0071228C">
              <w:rPr>
                <w:noProof/>
                <w:sz w:val="14"/>
              </w:rPr>
              <w:t>=1a+1b +1c</w:t>
            </w:r>
          </w:p>
        </w:tc>
        <w:tc>
          <w:tcPr>
            <w:tcW w:w="1134" w:type="dxa"/>
            <w:vAlign w:val="center"/>
          </w:tcPr>
          <w:p w14:paraId="6972CBA3" w14:textId="77777777" w:rsidR="001C0111" w:rsidRPr="0071228C" w:rsidRDefault="001C0111" w:rsidP="001C0111">
            <w:pPr>
              <w:spacing w:before="20" w:after="20"/>
              <w:jc w:val="right"/>
              <w:rPr>
                <w:noProof/>
                <w:sz w:val="20"/>
              </w:rPr>
            </w:pPr>
            <w:r w:rsidRPr="0071228C">
              <w:rPr>
                <w:noProof/>
                <w:sz w:val="20"/>
              </w:rPr>
              <w:t>1,596</w:t>
            </w:r>
          </w:p>
        </w:tc>
        <w:tc>
          <w:tcPr>
            <w:tcW w:w="992" w:type="dxa"/>
            <w:vAlign w:val="center"/>
          </w:tcPr>
          <w:p w14:paraId="73FB1749" w14:textId="77777777" w:rsidR="001C0111" w:rsidRPr="0071228C" w:rsidRDefault="001C0111" w:rsidP="001C0111">
            <w:pPr>
              <w:spacing w:before="20" w:after="20"/>
              <w:jc w:val="right"/>
              <w:rPr>
                <w:noProof/>
                <w:sz w:val="20"/>
              </w:rPr>
            </w:pPr>
            <w:r w:rsidRPr="0071228C">
              <w:rPr>
                <w:noProof/>
                <w:sz w:val="20"/>
              </w:rPr>
              <w:t>2,377</w:t>
            </w:r>
          </w:p>
        </w:tc>
        <w:tc>
          <w:tcPr>
            <w:tcW w:w="851" w:type="dxa"/>
            <w:vAlign w:val="center"/>
          </w:tcPr>
          <w:p w14:paraId="02B93B04" w14:textId="77777777" w:rsidR="001C0111" w:rsidRPr="0071228C" w:rsidRDefault="001C0111" w:rsidP="001C0111">
            <w:pPr>
              <w:spacing w:before="20" w:after="20"/>
              <w:jc w:val="right"/>
              <w:rPr>
                <w:noProof/>
                <w:sz w:val="20"/>
              </w:rPr>
            </w:pPr>
            <w:r w:rsidRPr="0071228C">
              <w:rPr>
                <w:noProof/>
                <w:sz w:val="20"/>
              </w:rPr>
              <w:t>2,427</w:t>
            </w:r>
          </w:p>
        </w:tc>
        <w:tc>
          <w:tcPr>
            <w:tcW w:w="992" w:type="dxa"/>
            <w:vAlign w:val="center"/>
          </w:tcPr>
          <w:p w14:paraId="1719C6B9" w14:textId="77777777" w:rsidR="001C0111" w:rsidRPr="0071228C" w:rsidRDefault="001C0111" w:rsidP="001C0111">
            <w:pPr>
              <w:spacing w:before="20" w:after="20"/>
              <w:jc w:val="right"/>
              <w:rPr>
                <w:noProof/>
                <w:sz w:val="20"/>
              </w:rPr>
            </w:pPr>
            <w:r w:rsidRPr="0071228C">
              <w:rPr>
                <w:noProof/>
                <w:sz w:val="20"/>
              </w:rPr>
              <w:t>2,477</w:t>
            </w:r>
          </w:p>
        </w:tc>
        <w:tc>
          <w:tcPr>
            <w:tcW w:w="1418" w:type="dxa"/>
            <w:vAlign w:val="center"/>
          </w:tcPr>
          <w:p w14:paraId="52E95883" w14:textId="77777777" w:rsidR="001C0111" w:rsidRPr="0071228C" w:rsidRDefault="001C0111" w:rsidP="001C0111">
            <w:pPr>
              <w:spacing w:before="20" w:after="20"/>
              <w:jc w:val="right"/>
              <w:rPr>
                <w:b/>
                <w:noProof/>
                <w:sz w:val="20"/>
              </w:rPr>
            </w:pPr>
            <w:r w:rsidRPr="0071228C">
              <w:rPr>
                <w:b/>
                <w:noProof/>
                <w:sz w:val="20"/>
              </w:rPr>
              <w:t>8,878</w:t>
            </w:r>
          </w:p>
        </w:tc>
      </w:tr>
      <w:tr w:rsidR="001C0111" w:rsidRPr="0071228C" w14:paraId="601ABA63" w14:textId="77777777" w:rsidTr="00EE4772">
        <w:tc>
          <w:tcPr>
            <w:tcW w:w="4229" w:type="dxa"/>
            <w:vMerge/>
          </w:tcPr>
          <w:p w14:paraId="50096CBE" w14:textId="77777777" w:rsidR="001C0111" w:rsidRPr="0071228C" w:rsidRDefault="001C0111" w:rsidP="001C0111">
            <w:pPr>
              <w:rPr>
                <w:noProof/>
                <w:sz w:val="20"/>
                <w:lang w:eastAsia="en-GB"/>
              </w:rPr>
            </w:pPr>
          </w:p>
        </w:tc>
        <w:tc>
          <w:tcPr>
            <w:tcW w:w="1560" w:type="dxa"/>
            <w:vAlign w:val="center"/>
          </w:tcPr>
          <w:p w14:paraId="149D9F93" w14:textId="77777777" w:rsidR="001C0111" w:rsidRPr="0071228C" w:rsidRDefault="001C0111" w:rsidP="001C0111">
            <w:pPr>
              <w:rPr>
                <w:noProof/>
                <w:sz w:val="18"/>
              </w:rPr>
            </w:pPr>
            <w:r w:rsidRPr="0071228C">
              <w:rPr>
                <w:noProof/>
                <w:sz w:val="18"/>
              </w:rPr>
              <w:t>Środki na płatności</w:t>
            </w:r>
          </w:p>
        </w:tc>
        <w:tc>
          <w:tcPr>
            <w:tcW w:w="1186" w:type="dxa"/>
            <w:vAlign w:val="center"/>
          </w:tcPr>
          <w:p w14:paraId="7DFF891D" w14:textId="77777777" w:rsidR="001C0111" w:rsidRPr="0071228C" w:rsidRDefault="001C0111" w:rsidP="001C0111">
            <w:pPr>
              <w:jc w:val="center"/>
              <w:rPr>
                <w:noProof/>
                <w:sz w:val="14"/>
              </w:rPr>
            </w:pPr>
            <w:r w:rsidRPr="0071228C">
              <w:rPr>
                <w:noProof/>
                <w:sz w:val="14"/>
              </w:rPr>
              <w:t>=2a+2b+2c</w:t>
            </w:r>
          </w:p>
        </w:tc>
        <w:tc>
          <w:tcPr>
            <w:tcW w:w="1134" w:type="dxa"/>
            <w:vAlign w:val="center"/>
          </w:tcPr>
          <w:p w14:paraId="4F3C1F03" w14:textId="77777777" w:rsidR="001C0111" w:rsidRPr="0071228C" w:rsidRDefault="001C0111" w:rsidP="001C0111">
            <w:pPr>
              <w:spacing w:before="20" w:after="20"/>
              <w:jc w:val="right"/>
              <w:rPr>
                <w:noProof/>
                <w:sz w:val="20"/>
              </w:rPr>
            </w:pPr>
            <w:r w:rsidRPr="0071228C">
              <w:rPr>
                <w:noProof/>
                <w:sz w:val="20"/>
              </w:rPr>
              <w:t>1,596</w:t>
            </w:r>
          </w:p>
        </w:tc>
        <w:tc>
          <w:tcPr>
            <w:tcW w:w="992" w:type="dxa"/>
            <w:vAlign w:val="center"/>
          </w:tcPr>
          <w:p w14:paraId="507E8B22" w14:textId="77777777" w:rsidR="001C0111" w:rsidRPr="0071228C" w:rsidRDefault="001C0111" w:rsidP="001C0111">
            <w:pPr>
              <w:spacing w:before="20" w:after="20"/>
              <w:jc w:val="right"/>
              <w:rPr>
                <w:noProof/>
                <w:sz w:val="20"/>
              </w:rPr>
            </w:pPr>
            <w:r w:rsidRPr="0071228C">
              <w:rPr>
                <w:noProof/>
                <w:sz w:val="20"/>
              </w:rPr>
              <w:t>2,377</w:t>
            </w:r>
          </w:p>
        </w:tc>
        <w:tc>
          <w:tcPr>
            <w:tcW w:w="851" w:type="dxa"/>
            <w:vAlign w:val="center"/>
          </w:tcPr>
          <w:p w14:paraId="21AC7769" w14:textId="77777777" w:rsidR="001C0111" w:rsidRPr="0071228C" w:rsidRDefault="001C0111" w:rsidP="001C0111">
            <w:pPr>
              <w:spacing w:before="20" w:after="20"/>
              <w:jc w:val="right"/>
              <w:rPr>
                <w:noProof/>
                <w:sz w:val="20"/>
              </w:rPr>
            </w:pPr>
            <w:r w:rsidRPr="0071228C">
              <w:rPr>
                <w:noProof/>
                <w:sz w:val="20"/>
              </w:rPr>
              <w:t>2,427</w:t>
            </w:r>
          </w:p>
        </w:tc>
        <w:tc>
          <w:tcPr>
            <w:tcW w:w="992" w:type="dxa"/>
            <w:vAlign w:val="center"/>
          </w:tcPr>
          <w:p w14:paraId="706DCBBC" w14:textId="77777777" w:rsidR="001C0111" w:rsidRPr="0071228C" w:rsidRDefault="001C0111" w:rsidP="001C0111">
            <w:pPr>
              <w:spacing w:before="20" w:after="20"/>
              <w:jc w:val="right"/>
              <w:rPr>
                <w:noProof/>
                <w:sz w:val="20"/>
              </w:rPr>
            </w:pPr>
            <w:r w:rsidRPr="0071228C">
              <w:rPr>
                <w:noProof/>
                <w:sz w:val="20"/>
              </w:rPr>
              <w:t>2,477</w:t>
            </w:r>
          </w:p>
        </w:tc>
        <w:tc>
          <w:tcPr>
            <w:tcW w:w="1418" w:type="dxa"/>
            <w:vAlign w:val="center"/>
          </w:tcPr>
          <w:p w14:paraId="3F2DEE46" w14:textId="77777777" w:rsidR="001C0111" w:rsidRPr="0071228C" w:rsidRDefault="001C0111" w:rsidP="001C0111">
            <w:pPr>
              <w:spacing w:before="20" w:after="20"/>
              <w:jc w:val="right"/>
              <w:rPr>
                <w:b/>
                <w:noProof/>
                <w:sz w:val="20"/>
              </w:rPr>
            </w:pPr>
            <w:r w:rsidRPr="0071228C">
              <w:rPr>
                <w:b/>
                <w:noProof/>
                <w:sz w:val="20"/>
              </w:rPr>
              <w:t>8,878</w:t>
            </w:r>
          </w:p>
        </w:tc>
      </w:tr>
    </w:tbl>
    <w:p w14:paraId="7C6D4253" w14:textId="07E8EB30" w:rsidR="001C0111" w:rsidRPr="0071228C" w:rsidRDefault="001C0111" w:rsidP="001C0111">
      <w:pPr>
        <w:rPr>
          <w:noProof/>
        </w:rPr>
      </w:pPr>
      <w:r w:rsidRPr="0071228C">
        <w:rPr>
          <w:noProof/>
        </w:rPr>
        <w:t>Koszty ECHA obejmują koszty dodatkowych 11 EPC, rozdzielonych między 7 TA</w:t>
      </w:r>
      <w:r w:rsidR="00CC55C0" w:rsidRPr="0071228C">
        <w:rPr>
          <w:noProof/>
        </w:rPr>
        <w:t xml:space="preserve"> i</w:t>
      </w:r>
      <w:r w:rsidR="00CC55C0">
        <w:rPr>
          <w:noProof/>
        </w:rPr>
        <w:t> </w:t>
      </w:r>
      <w:r w:rsidR="00CC55C0" w:rsidRPr="0071228C">
        <w:rPr>
          <w:noProof/>
        </w:rPr>
        <w:t>4</w:t>
      </w:r>
      <w:r w:rsidRPr="0071228C">
        <w:rPr>
          <w:noProof/>
        </w:rPr>
        <w:t xml:space="preserve"> CA,</w:t>
      </w:r>
      <w:r w:rsidR="00CC55C0" w:rsidRPr="0071228C">
        <w:rPr>
          <w:noProof/>
        </w:rPr>
        <w:t xml:space="preserve"> w</w:t>
      </w:r>
      <w:r w:rsidR="00CC55C0">
        <w:rPr>
          <w:noProof/>
        </w:rPr>
        <w:t> </w:t>
      </w:r>
      <w:r w:rsidR="00CC55C0" w:rsidRPr="0071228C">
        <w:rPr>
          <w:noProof/>
        </w:rPr>
        <w:t>cel</w:t>
      </w:r>
      <w:r w:rsidRPr="0071228C">
        <w:rPr>
          <w:noProof/>
        </w:rPr>
        <w:t xml:space="preserve">u: </w:t>
      </w:r>
    </w:p>
    <w:p w14:paraId="06966C9B" w14:textId="4B585429" w:rsidR="001C0111" w:rsidRPr="0071228C" w:rsidRDefault="001C0111" w:rsidP="001C0111">
      <w:pPr>
        <w:ind w:left="850"/>
        <w:rPr>
          <w:noProof/>
        </w:rPr>
      </w:pPr>
      <w:r w:rsidRPr="0071228C">
        <w:rPr>
          <w:rFonts w:ascii="Symbol" w:hAnsi="Symbol"/>
          <w:noProof/>
        </w:rPr>
        <w:t></w:t>
      </w:r>
      <w:r w:rsidRPr="0071228C">
        <w:rPr>
          <w:noProof/>
        </w:rPr>
        <w:t xml:space="preserve"> wsparcia naukowego realizowanego obecnie przez wykonawców z JRC i DG ENV oraz SANTE SCHEER (obecnie 6,35 EPC rocznie; zgodnie</w:t>
      </w:r>
      <w:r w:rsidR="00CC55C0" w:rsidRPr="0071228C">
        <w:rPr>
          <w:noProof/>
        </w:rPr>
        <w:t xml:space="preserve"> z</w:t>
      </w:r>
      <w:r w:rsidR="00CC55C0">
        <w:rPr>
          <w:noProof/>
        </w:rPr>
        <w:t> </w:t>
      </w:r>
      <w:r w:rsidR="00CC55C0" w:rsidRPr="0071228C">
        <w:rPr>
          <w:noProof/>
        </w:rPr>
        <w:t>wni</w:t>
      </w:r>
      <w:r w:rsidRPr="0071228C">
        <w:rPr>
          <w:noProof/>
        </w:rPr>
        <w:t>oskiem ECHA wynosiłoby to około 5,15 EPC; oznacza to skuteczne przesunięcie zasobów)</w:t>
      </w:r>
    </w:p>
    <w:p w14:paraId="53D132ED" w14:textId="0DBAE373" w:rsidR="001C0111" w:rsidRPr="0071228C" w:rsidRDefault="001C0111" w:rsidP="001C0111">
      <w:pPr>
        <w:ind w:left="850"/>
        <w:rPr>
          <w:noProof/>
        </w:rPr>
      </w:pPr>
      <w:r w:rsidRPr="0071228C">
        <w:rPr>
          <w:rFonts w:ascii="Symbol" w:hAnsi="Symbol"/>
          <w:noProof/>
        </w:rPr>
        <w:t></w:t>
      </w:r>
      <w:r w:rsidRPr="0071228C">
        <w:rPr>
          <w:noProof/>
        </w:rPr>
        <w:t xml:space="preserve"> wsparcia naukowego wynikającego</w:t>
      </w:r>
      <w:r w:rsidR="00CC55C0" w:rsidRPr="0071228C">
        <w:rPr>
          <w:noProof/>
        </w:rPr>
        <w:t xml:space="preserve"> z</w:t>
      </w:r>
      <w:r w:rsidR="00CC55C0">
        <w:rPr>
          <w:noProof/>
        </w:rPr>
        <w:t> </w:t>
      </w:r>
      <w:r w:rsidR="00CC55C0" w:rsidRPr="0071228C">
        <w:rPr>
          <w:noProof/>
        </w:rPr>
        <w:t>now</w:t>
      </w:r>
      <w:r w:rsidRPr="0071228C">
        <w:rPr>
          <w:noProof/>
        </w:rPr>
        <w:t xml:space="preserve">ych zobowiązań określonych we wniosku: </w:t>
      </w:r>
    </w:p>
    <w:p w14:paraId="1B9B85EB" w14:textId="6C123E3B" w:rsidR="001C0111" w:rsidRPr="0071228C" w:rsidRDefault="001C0111" w:rsidP="001C0111">
      <w:pPr>
        <w:spacing w:before="0"/>
        <w:ind w:left="2157" w:hanging="740"/>
        <w:rPr>
          <w:noProof/>
        </w:rPr>
      </w:pPr>
      <w:r w:rsidRPr="0071228C">
        <w:rPr>
          <w:noProof/>
        </w:rPr>
        <w:t>–</w:t>
      </w:r>
      <w:r w:rsidRPr="0071228C">
        <w:rPr>
          <w:noProof/>
        </w:rPr>
        <w:tab/>
        <w:t>do celów ustanowienia unijnych środowiskowych norm jakości dla substancji zanieczyszczających</w:t>
      </w:r>
      <w:r w:rsidR="00CC55C0" w:rsidRPr="0071228C">
        <w:rPr>
          <w:noProof/>
        </w:rPr>
        <w:t xml:space="preserve"> o</w:t>
      </w:r>
      <w:r w:rsidR="00CC55C0">
        <w:rPr>
          <w:noProof/>
        </w:rPr>
        <w:t> </w:t>
      </w:r>
      <w:r w:rsidR="00CC55C0" w:rsidRPr="0071228C">
        <w:rPr>
          <w:noProof/>
        </w:rPr>
        <w:t>zas</w:t>
      </w:r>
      <w:r w:rsidRPr="0071228C">
        <w:rPr>
          <w:noProof/>
        </w:rPr>
        <w:t>ięgu krajowym/regionalnym (1 EPC rocznie dla GW, 1 EPC dla SW)</w:t>
      </w:r>
    </w:p>
    <w:p w14:paraId="386D375A" w14:textId="77777777" w:rsidR="001C0111" w:rsidRPr="0071228C" w:rsidRDefault="001C0111" w:rsidP="001C0111">
      <w:pPr>
        <w:spacing w:before="0"/>
        <w:ind w:left="2157" w:hanging="740"/>
        <w:rPr>
          <w:noProof/>
        </w:rPr>
      </w:pPr>
      <w:r w:rsidRPr="0071228C">
        <w:rPr>
          <w:noProof/>
        </w:rPr>
        <w:t xml:space="preserve">– </w:t>
      </w:r>
      <w:r w:rsidRPr="0071228C">
        <w:rPr>
          <w:noProof/>
        </w:rPr>
        <w:tab/>
        <w:t xml:space="preserve">do celów aktualizacji załącznika I GW (1 EPC rocznie) </w:t>
      </w:r>
    </w:p>
    <w:p w14:paraId="50F14D43" w14:textId="6ED68DFB" w:rsidR="001C0111" w:rsidRPr="0071228C" w:rsidRDefault="001C0111" w:rsidP="001C0111">
      <w:pPr>
        <w:spacing w:before="0"/>
        <w:ind w:left="1417"/>
        <w:rPr>
          <w:noProof/>
        </w:rPr>
      </w:pPr>
      <w:r w:rsidRPr="0071228C">
        <w:rPr>
          <w:noProof/>
        </w:rPr>
        <w:t>–</w:t>
      </w:r>
      <w:r w:rsidRPr="0071228C">
        <w:rPr>
          <w:noProof/>
        </w:rPr>
        <w:tab/>
        <w:t>do celów wsparcia</w:t>
      </w:r>
      <w:r w:rsidR="00CC55C0" w:rsidRPr="0071228C">
        <w:rPr>
          <w:noProof/>
        </w:rPr>
        <w:t xml:space="preserve"> w</w:t>
      </w:r>
      <w:r w:rsidR="00CC55C0">
        <w:rPr>
          <w:noProof/>
        </w:rPr>
        <w:t> </w:t>
      </w:r>
      <w:r w:rsidR="00CC55C0" w:rsidRPr="0071228C">
        <w:rPr>
          <w:noProof/>
        </w:rPr>
        <w:t>spr</w:t>
      </w:r>
      <w:r w:rsidRPr="0071228C">
        <w:rPr>
          <w:noProof/>
        </w:rPr>
        <w:t>awie listy obserwacyjnej wód podziemnych (0,6 EPC rocznie)</w:t>
      </w:r>
    </w:p>
    <w:p w14:paraId="542DEDD0" w14:textId="13729B0D" w:rsidR="001C0111" w:rsidRPr="0071228C" w:rsidRDefault="001C0111" w:rsidP="001C0111">
      <w:pPr>
        <w:spacing w:before="0"/>
        <w:ind w:left="2157" w:hanging="740"/>
        <w:rPr>
          <w:noProof/>
        </w:rPr>
      </w:pPr>
      <w:r w:rsidRPr="0071228C">
        <w:rPr>
          <w:noProof/>
        </w:rPr>
        <w:t>–do celów określenia/opracowania metodologii monitorowania</w:t>
      </w:r>
      <w:r w:rsidR="00CC55C0" w:rsidRPr="0071228C">
        <w:rPr>
          <w:noProof/>
        </w:rPr>
        <w:t xml:space="preserve"> i</w:t>
      </w:r>
      <w:r w:rsidR="00CC55C0">
        <w:rPr>
          <w:noProof/>
        </w:rPr>
        <w:t> </w:t>
      </w:r>
      <w:r w:rsidR="00CC55C0" w:rsidRPr="0071228C">
        <w:rPr>
          <w:noProof/>
        </w:rPr>
        <w:t>ana</w:t>
      </w:r>
      <w:r w:rsidRPr="0071228C">
        <w:rPr>
          <w:noProof/>
        </w:rPr>
        <w:t>lizowania mikrodrobin plastiku, genów oporności na środki przeciwdrobnoustrojowe (około 0,5 EPC plus około 1 EPC na wsparcie informatyczne plus 1,5 EPC na zarządzanie)</w:t>
      </w:r>
    </w:p>
    <w:p w14:paraId="010922AD" w14:textId="77777777" w:rsidR="001C0111" w:rsidRPr="0071228C" w:rsidRDefault="001C0111" w:rsidP="001C0111">
      <w:pPr>
        <w:spacing w:before="0" w:after="200" w:line="276" w:lineRule="auto"/>
        <w:jc w:val="left"/>
        <w:rPr>
          <w:noProof/>
        </w:rPr>
      </w:pPr>
      <w:r w:rsidRPr="0071228C">
        <w:rPr>
          <w:noProof/>
        </w:rPr>
        <w:br w:type="page"/>
      </w:r>
    </w:p>
    <w:p w14:paraId="5683FFB8" w14:textId="77777777" w:rsidR="001C0111" w:rsidRPr="0071228C" w:rsidRDefault="001C0111" w:rsidP="001C0111">
      <w:pPr>
        <w:ind w:left="2157" w:hanging="740"/>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1659"/>
        <w:gridCol w:w="1559"/>
        <w:gridCol w:w="1276"/>
        <w:gridCol w:w="1276"/>
        <w:gridCol w:w="992"/>
        <w:gridCol w:w="1134"/>
        <w:gridCol w:w="1378"/>
      </w:tblGrid>
      <w:tr w:rsidR="001C0111" w:rsidRPr="0071228C" w14:paraId="12BE8674" w14:textId="77777777" w:rsidTr="00EE4772">
        <w:trPr>
          <w:trHeight w:val="482"/>
        </w:trPr>
        <w:tc>
          <w:tcPr>
            <w:tcW w:w="3014" w:type="dxa"/>
            <w:vAlign w:val="center"/>
          </w:tcPr>
          <w:p w14:paraId="20F60A84" w14:textId="77777777" w:rsidR="001C0111" w:rsidRPr="0071228C" w:rsidRDefault="001C0111" w:rsidP="001C0111">
            <w:pPr>
              <w:jc w:val="center"/>
              <w:rPr>
                <w:b/>
                <w:noProof/>
              </w:rPr>
            </w:pPr>
            <w:r w:rsidRPr="0071228C">
              <w:rPr>
                <w:b/>
                <w:noProof/>
                <w:sz w:val="22"/>
              </w:rPr>
              <w:t>Agencja: EEA</w:t>
            </w:r>
          </w:p>
        </w:tc>
        <w:tc>
          <w:tcPr>
            <w:tcW w:w="1659" w:type="dxa"/>
          </w:tcPr>
          <w:p w14:paraId="19FE32A3" w14:textId="77777777" w:rsidR="001C0111" w:rsidRPr="0071228C" w:rsidRDefault="001C0111" w:rsidP="001C0111">
            <w:pPr>
              <w:rPr>
                <w:noProof/>
                <w:sz w:val="20"/>
                <w:lang w:eastAsia="en-GB"/>
              </w:rPr>
            </w:pPr>
          </w:p>
        </w:tc>
        <w:tc>
          <w:tcPr>
            <w:tcW w:w="1559" w:type="dxa"/>
          </w:tcPr>
          <w:p w14:paraId="47E95209" w14:textId="77777777" w:rsidR="001C0111" w:rsidRPr="0071228C" w:rsidRDefault="001C0111" w:rsidP="001C0111">
            <w:pPr>
              <w:jc w:val="center"/>
              <w:rPr>
                <w:noProof/>
                <w:sz w:val="20"/>
                <w:lang w:eastAsia="en-GB"/>
              </w:rPr>
            </w:pPr>
          </w:p>
        </w:tc>
        <w:tc>
          <w:tcPr>
            <w:tcW w:w="1276" w:type="dxa"/>
            <w:vAlign w:val="center"/>
          </w:tcPr>
          <w:p w14:paraId="5CFCED4C" w14:textId="77777777" w:rsidR="001C0111" w:rsidRPr="0071228C" w:rsidRDefault="001C0111" w:rsidP="001C0111">
            <w:pPr>
              <w:jc w:val="center"/>
              <w:rPr>
                <w:noProof/>
                <w:sz w:val="20"/>
              </w:rPr>
            </w:pPr>
            <w:r w:rsidRPr="0071228C">
              <w:rPr>
                <w:b/>
                <w:noProof/>
                <w:sz w:val="20"/>
              </w:rPr>
              <w:t>2024</w:t>
            </w:r>
          </w:p>
        </w:tc>
        <w:tc>
          <w:tcPr>
            <w:tcW w:w="1276" w:type="dxa"/>
            <w:vAlign w:val="center"/>
          </w:tcPr>
          <w:p w14:paraId="6E286821" w14:textId="77777777" w:rsidR="001C0111" w:rsidRPr="0071228C" w:rsidRDefault="001C0111" w:rsidP="001C0111">
            <w:pPr>
              <w:jc w:val="center"/>
              <w:rPr>
                <w:noProof/>
                <w:sz w:val="20"/>
              </w:rPr>
            </w:pPr>
            <w:r w:rsidRPr="0071228C">
              <w:rPr>
                <w:b/>
                <w:noProof/>
                <w:sz w:val="20"/>
              </w:rPr>
              <w:t>2025</w:t>
            </w:r>
          </w:p>
        </w:tc>
        <w:tc>
          <w:tcPr>
            <w:tcW w:w="992" w:type="dxa"/>
            <w:vAlign w:val="center"/>
          </w:tcPr>
          <w:p w14:paraId="1F2FACEE" w14:textId="77777777" w:rsidR="001C0111" w:rsidRPr="0071228C" w:rsidRDefault="001C0111" w:rsidP="001C0111">
            <w:pPr>
              <w:jc w:val="center"/>
              <w:rPr>
                <w:noProof/>
                <w:sz w:val="20"/>
              </w:rPr>
            </w:pPr>
            <w:r w:rsidRPr="0071228C">
              <w:rPr>
                <w:b/>
                <w:noProof/>
                <w:sz w:val="20"/>
              </w:rPr>
              <w:t>2026</w:t>
            </w:r>
          </w:p>
        </w:tc>
        <w:tc>
          <w:tcPr>
            <w:tcW w:w="1134" w:type="dxa"/>
            <w:vAlign w:val="center"/>
          </w:tcPr>
          <w:p w14:paraId="0309F284" w14:textId="77777777" w:rsidR="001C0111" w:rsidRPr="0071228C" w:rsidRDefault="001C0111" w:rsidP="001C0111">
            <w:pPr>
              <w:jc w:val="center"/>
              <w:rPr>
                <w:noProof/>
                <w:sz w:val="20"/>
              </w:rPr>
            </w:pPr>
            <w:r w:rsidRPr="0071228C">
              <w:rPr>
                <w:b/>
                <w:noProof/>
                <w:sz w:val="20"/>
              </w:rPr>
              <w:t>2027</w:t>
            </w:r>
          </w:p>
        </w:tc>
        <w:tc>
          <w:tcPr>
            <w:tcW w:w="1378" w:type="dxa"/>
            <w:vAlign w:val="center"/>
          </w:tcPr>
          <w:p w14:paraId="2FA97371" w14:textId="77777777" w:rsidR="001C0111" w:rsidRPr="0071228C" w:rsidRDefault="001C0111" w:rsidP="001C0111">
            <w:pPr>
              <w:jc w:val="center"/>
              <w:rPr>
                <w:b/>
                <w:noProof/>
                <w:sz w:val="20"/>
              </w:rPr>
            </w:pPr>
            <w:r w:rsidRPr="0071228C">
              <w:rPr>
                <w:b/>
                <w:noProof/>
                <w:sz w:val="20"/>
              </w:rPr>
              <w:t>OGÓŁEM</w:t>
            </w:r>
          </w:p>
        </w:tc>
      </w:tr>
      <w:tr w:rsidR="001C0111" w:rsidRPr="0071228C" w14:paraId="5024AA37" w14:textId="77777777" w:rsidTr="00EE4772">
        <w:trPr>
          <w:trHeight w:val="210"/>
        </w:trPr>
        <w:tc>
          <w:tcPr>
            <w:tcW w:w="6232" w:type="dxa"/>
            <w:gridSpan w:val="3"/>
            <w:vAlign w:val="center"/>
          </w:tcPr>
          <w:p w14:paraId="3238D6CD" w14:textId="77777777" w:rsidR="001C0111" w:rsidRPr="0071228C" w:rsidRDefault="001C0111" w:rsidP="001C0111">
            <w:pPr>
              <w:spacing w:before="20" w:after="20"/>
              <w:rPr>
                <w:noProof/>
                <w:sz w:val="21"/>
                <w:lang w:eastAsia="en-GB"/>
              </w:rPr>
            </w:pPr>
          </w:p>
        </w:tc>
        <w:tc>
          <w:tcPr>
            <w:tcW w:w="1276" w:type="dxa"/>
            <w:vAlign w:val="center"/>
          </w:tcPr>
          <w:p w14:paraId="499534F6" w14:textId="77777777" w:rsidR="001C0111" w:rsidRPr="0071228C" w:rsidRDefault="001C0111" w:rsidP="001C0111">
            <w:pPr>
              <w:rPr>
                <w:noProof/>
                <w:sz w:val="20"/>
                <w:lang w:eastAsia="en-GB"/>
              </w:rPr>
            </w:pPr>
          </w:p>
        </w:tc>
        <w:tc>
          <w:tcPr>
            <w:tcW w:w="1276" w:type="dxa"/>
            <w:vAlign w:val="center"/>
          </w:tcPr>
          <w:p w14:paraId="7C1DADEF" w14:textId="77777777" w:rsidR="001C0111" w:rsidRPr="0071228C" w:rsidRDefault="001C0111" w:rsidP="001C0111">
            <w:pPr>
              <w:rPr>
                <w:noProof/>
                <w:sz w:val="20"/>
                <w:lang w:eastAsia="en-GB"/>
              </w:rPr>
            </w:pPr>
          </w:p>
        </w:tc>
        <w:tc>
          <w:tcPr>
            <w:tcW w:w="992" w:type="dxa"/>
            <w:vAlign w:val="center"/>
          </w:tcPr>
          <w:p w14:paraId="19A6B199" w14:textId="77777777" w:rsidR="001C0111" w:rsidRPr="0071228C" w:rsidRDefault="001C0111" w:rsidP="001C0111">
            <w:pPr>
              <w:rPr>
                <w:noProof/>
                <w:sz w:val="20"/>
                <w:lang w:eastAsia="en-GB"/>
              </w:rPr>
            </w:pPr>
          </w:p>
        </w:tc>
        <w:tc>
          <w:tcPr>
            <w:tcW w:w="1134" w:type="dxa"/>
            <w:vAlign w:val="center"/>
          </w:tcPr>
          <w:p w14:paraId="2AF7F328" w14:textId="77777777" w:rsidR="001C0111" w:rsidRPr="0071228C" w:rsidRDefault="001C0111" w:rsidP="001C0111">
            <w:pPr>
              <w:rPr>
                <w:noProof/>
                <w:sz w:val="20"/>
                <w:lang w:eastAsia="en-GB"/>
              </w:rPr>
            </w:pPr>
          </w:p>
        </w:tc>
        <w:tc>
          <w:tcPr>
            <w:tcW w:w="1378" w:type="dxa"/>
            <w:vAlign w:val="center"/>
          </w:tcPr>
          <w:p w14:paraId="0537FE55" w14:textId="77777777" w:rsidR="001C0111" w:rsidRPr="0071228C" w:rsidRDefault="001C0111" w:rsidP="001C0111">
            <w:pPr>
              <w:rPr>
                <w:b/>
                <w:noProof/>
                <w:sz w:val="20"/>
                <w:lang w:eastAsia="en-GB"/>
              </w:rPr>
            </w:pPr>
          </w:p>
        </w:tc>
      </w:tr>
      <w:tr w:rsidR="001C0111" w:rsidRPr="0071228C" w14:paraId="48630218" w14:textId="77777777" w:rsidTr="00EE4772">
        <w:trPr>
          <w:trHeight w:val="273"/>
        </w:trPr>
        <w:tc>
          <w:tcPr>
            <w:tcW w:w="3014" w:type="dxa"/>
            <w:vMerge w:val="restart"/>
            <w:vAlign w:val="center"/>
          </w:tcPr>
          <w:p w14:paraId="29A2E7AF" w14:textId="77777777" w:rsidR="001C0111" w:rsidRPr="0071228C" w:rsidRDefault="001C0111" w:rsidP="001C0111">
            <w:pPr>
              <w:rPr>
                <w:noProof/>
              </w:rPr>
            </w:pPr>
            <w:r w:rsidRPr="0071228C">
              <w:rPr>
                <w:noProof/>
                <w:sz w:val="20"/>
              </w:rPr>
              <w:t>Tytuł 1: Wydatki na personel</w:t>
            </w:r>
          </w:p>
        </w:tc>
        <w:tc>
          <w:tcPr>
            <w:tcW w:w="1659" w:type="dxa"/>
            <w:vAlign w:val="center"/>
          </w:tcPr>
          <w:p w14:paraId="699EE709" w14:textId="77777777" w:rsidR="001C0111" w:rsidRPr="0071228C" w:rsidRDefault="001C0111" w:rsidP="001C0111">
            <w:pPr>
              <w:spacing w:before="20" w:after="20"/>
              <w:rPr>
                <w:noProof/>
                <w:sz w:val="18"/>
              </w:rPr>
            </w:pPr>
            <w:r w:rsidRPr="0071228C">
              <w:rPr>
                <w:noProof/>
                <w:sz w:val="18"/>
              </w:rPr>
              <w:t>Środki na zobowiązania</w:t>
            </w:r>
          </w:p>
        </w:tc>
        <w:tc>
          <w:tcPr>
            <w:tcW w:w="1559" w:type="dxa"/>
            <w:vAlign w:val="center"/>
          </w:tcPr>
          <w:p w14:paraId="10122288" w14:textId="77777777" w:rsidR="001C0111" w:rsidRPr="0071228C" w:rsidRDefault="001C0111" w:rsidP="001C0111">
            <w:pPr>
              <w:spacing w:before="20" w:after="20"/>
              <w:jc w:val="center"/>
              <w:rPr>
                <w:noProof/>
                <w:sz w:val="14"/>
              </w:rPr>
            </w:pPr>
            <w:r w:rsidRPr="0071228C">
              <w:rPr>
                <w:noProof/>
                <w:sz w:val="14"/>
              </w:rPr>
              <w:t>(1a)</w:t>
            </w:r>
          </w:p>
        </w:tc>
        <w:tc>
          <w:tcPr>
            <w:tcW w:w="1276" w:type="dxa"/>
          </w:tcPr>
          <w:p w14:paraId="22C38237" w14:textId="77777777" w:rsidR="001C0111" w:rsidRPr="0071228C" w:rsidRDefault="001C0111" w:rsidP="001C0111">
            <w:pPr>
              <w:spacing w:before="20" w:after="20"/>
              <w:jc w:val="right"/>
              <w:rPr>
                <w:noProof/>
                <w:sz w:val="20"/>
              </w:rPr>
            </w:pPr>
            <w:r w:rsidRPr="0071228C">
              <w:rPr>
                <w:noProof/>
                <w:sz w:val="20"/>
              </w:rPr>
              <w:t>0,697</w:t>
            </w:r>
          </w:p>
        </w:tc>
        <w:tc>
          <w:tcPr>
            <w:tcW w:w="1276" w:type="dxa"/>
          </w:tcPr>
          <w:p w14:paraId="41674468" w14:textId="77777777" w:rsidR="001C0111" w:rsidRPr="0071228C" w:rsidRDefault="001C0111" w:rsidP="001C0111">
            <w:pPr>
              <w:spacing w:before="20" w:after="20"/>
              <w:jc w:val="right"/>
              <w:rPr>
                <w:noProof/>
                <w:sz w:val="20"/>
              </w:rPr>
            </w:pPr>
            <w:r w:rsidRPr="0071228C">
              <w:rPr>
                <w:noProof/>
                <w:sz w:val="20"/>
              </w:rPr>
              <w:t>1,423</w:t>
            </w:r>
          </w:p>
        </w:tc>
        <w:tc>
          <w:tcPr>
            <w:tcW w:w="992" w:type="dxa"/>
          </w:tcPr>
          <w:p w14:paraId="31B82E1D" w14:textId="77777777" w:rsidR="001C0111" w:rsidRPr="0071228C" w:rsidRDefault="001C0111" w:rsidP="001C0111">
            <w:pPr>
              <w:spacing w:before="20" w:after="20"/>
              <w:jc w:val="right"/>
              <w:rPr>
                <w:noProof/>
                <w:sz w:val="20"/>
              </w:rPr>
            </w:pPr>
            <w:r w:rsidRPr="0071228C">
              <w:rPr>
                <w:noProof/>
                <w:sz w:val="20"/>
              </w:rPr>
              <w:t>1,451</w:t>
            </w:r>
          </w:p>
        </w:tc>
        <w:tc>
          <w:tcPr>
            <w:tcW w:w="1134" w:type="dxa"/>
          </w:tcPr>
          <w:p w14:paraId="01CDCA55" w14:textId="77777777" w:rsidR="001C0111" w:rsidRPr="0071228C" w:rsidRDefault="001C0111" w:rsidP="001C0111">
            <w:pPr>
              <w:spacing w:before="20" w:after="20"/>
              <w:jc w:val="right"/>
              <w:rPr>
                <w:noProof/>
                <w:sz w:val="20"/>
              </w:rPr>
            </w:pPr>
            <w:r w:rsidRPr="0071228C">
              <w:rPr>
                <w:noProof/>
                <w:sz w:val="20"/>
              </w:rPr>
              <w:t>1,480</w:t>
            </w:r>
          </w:p>
        </w:tc>
        <w:tc>
          <w:tcPr>
            <w:tcW w:w="1378" w:type="dxa"/>
          </w:tcPr>
          <w:p w14:paraId="4ED7D068" w14:textId="77777777" w:rsidR="001C0111" w:rsidRPr="0071228C" w:rsidRDefault="001C0111" w:rsidP="001C0111">
            <w:pPr>
              <w:spacing w:before="20" w:after="20"/>
              <w:jc w:val="right"/>
              <w:rPr>
                <w:noProof/>
                <w:sz w:val="20"/>
              </w:rPr>
            </w:pPr>
            <w:r w:rsidRPr="0071228C">
              <w:rPr>
                <w:noProof/>
                <w:sz w:val="20"/>
              </w:rPr>
              <w:t>5,052</w:t>
            </w:r>
          </w:p>
        </w:tc>
      </w:tr>
      <w:tr w:rsidR="001C0111" w:rsidRPr="0071228C" w14:paraId="2D53E6D4" w14:textId="77777777" w:rsidTr="00EE4772">
        <w:trPr>
          <w:trHeight w:val="281"/>
        </w:trPr>
        <w:tc>
          <w:tcPr>
            <w:tcW w:w="3014" w:type="dxa"/>
            <w:vMerge/>
          </w:tcPr>
          <w:p w14:paraId="19543B2C" w14:textId="77777777" w:rsidR="001C0111" w:rsidRPr="0071228C" w:rsidRDefault="001C0111" w:rsidP="001C0111">
            <w:pPr>
              <w:jc w:val="center"/>
              <w:rPr>
                <w:noProof/>
                <w:sz w:val="20"/>
                <w:lang w:eastAsia="en-GB"/>
              </w:rPr>
            </w:pPr>
          </w:p>
        </w:tc>
        <w:tc>
          <w:tcPr>
            <w:tcW w:w="1659" w:type="dxa"/>
            <w:vAlign w:val="center"/>
          </w:tcPr>
          <w:p w14:paraId="4F6EC267" w14:textId="77777777" w:rsidR="001C0111" w:rsidRPr="0071228C" w:rsidRDefault="001C0111" w:rsidP="001C0111">
            <w:pPr>
              <w:spacing w:before="20" w:after="20"/>
              <w:rPr>
                <w:noProof/>
                <w:sz w:val="18"/>
              </w:rPr>
            </w:pPr>
            <w:r w:rsidRPr="0071228C">
              <w:rPr>
                <w:noProof/>
                <w:sz w:val="18"/>
              </w:rPr>
              <w:t>Środki na płatności</w:t>
            </w:r>
          </w:p>
        </w:tc>
        <w:tc>
          <w:tcPr>
            <w:tcW w:w="1559" w:type="dxa"/>
            <w:vAlign w:val="center"/>
          </w:tcPr>
          <w:p w14:paraId="6724C4D4" w14:textId="77777777" w:rsidR="001C0111" w:rsidRPr="0071228C" w:rsidRDefault="001C0111" w:rsidP="001C0111">
            <w:pPr>
              <w:spacing w:before="20" w:after="20"/>
              <w:jc w:val="center"/>
              <w:rPr>
                <w:noProof/>
                <w:sz w:val="14"/>
              </w:rPr>
            </w:pPr>
            <w:r w:rsidRPr="0071228C">
              <w:rPr>
                <w:noProof/>
                <w:sz w:val="14"/>
              </w:rPr>
              <w:t>(2a)</w:t>
            </w:r>
          </w:p>
        </w:tc>
        <w:tc>
          <w:tcPr>
            <w:tcW w:w="1276" w:type="dxa"/>
          </w:tcPr>
          <w:p w14:paraId="089FE9F0" w14:textId="77777777" w:rsidR="001C0111" w:rsidRPr="0071228C" w:rsidRDefault="001C0111" w:rsidP="001C0111">
            <w:pPr>
              <w:spacing w:before="20" w:after="20"/>
              <w:jc w:val="right"/>
              <w:rPr>
                <w:noProof/>
                <w:sz w:val="20"/>
              </w:rPr>
            </w:pPr>
            <w:r w:rsidRPr="0071228C">
              <w:rPr>
                <w:noProof/>
                <w:sz w:val="20"/>
              </w:rPr>
              <w:t>0,697</w:t>
            </w:r>
          </w:p>
        </w:tc>
        <w:tc>
          <w:tcPr>
            <w:tcW w:w="1276" w:type="dxa"/>
          </w:tcPr>
          <w:p w14:paraId="79DE4565" w14:textId="77777777" w:rsidR="001C0111" w:rsidRPr="0071228C" w:rsidRDefault="001C0111" w:rsidP="001C0111">
            <w:pPr>
              <w:spacing w:before="20" w:after="20"/>
              <w:jc w:val="right"/>
              <w:rPr>
                <w:noProof/>
                <w:sz w:val="20"/>
              </w:rPr>
            </w:pPr>
            <w:r w:rsidRPr="0071228C">
              <w:rPr>
                <w:noProof/>
                <w:sz w:val="20"/>
              </w:rPr>
              <w:t>1,423</w:t>
            </w:r>
          </w:p>
        </w:tc>
        <w:tc>
          <w:tcPr>
            <w:tcW w:w="992" w:type="dxa"/>
          </w:tcPr>
          <w:p w14:paraId="5F193025" w14:textId="77777777" w:rsidR="001C0111" w:rsidRPr="0071228C" w:rsidRDefault="001C0111" w:rsidP="001C0111">
            <w:pPr>
              <w:spacing w:before="20" w:after="20"/>
              <w:jc w:val="right"/>
              <w:rPr>
                <w:noProof/>
                <w:sz w:val="20"/>
              </w:rPr>
            </w:pPr>
            <w:r w:rsidRPr="0071228C">
              <w:rPr>
                <w:noProof/>
                <w:sz w:val="20"/>
              </w:rPr>
              <w:t>1,451</w:t>
            </w:r>
          </w:p>
        </w:tc>
        <w:tc>
          <w:tcPr>
            <w:tcW w:w="1134" w:type="dxa"/>
          </w:tcPr>
          <w:p w14:paraId="6458F067" w14:textId="77777777" w:rsidR="001C0111" w:rsidRPr="0071228C" w:rsidRDefault="001C0111" w:rsidP="001C0111">
            <w:pPr>
              <w:spacing w:before="20" w:after="20"/>
              <w:jc w:val="right"/>
              <w:rPr>
                <w:noProof/>
                <w:sz w:val="20"/>
              </w:rPr>
            </w:pPr>
            <w:r w:rsidRPr="0071228C">
              <w:rPr>
                <w:noProof/>
                <w:sz w:val="20"/>
              </w:rPr>
              <w:t>1,480</w:t>
            </w:r>
          </w:p>
        </w:tc>
        <w:tc>
          <w:tcPr>
            <w:tcW w:w="1378" w:type="dxa"/>
          </w:tcPr>
          <w:p w14:paraId="430B8E03" w14:textId="77777777" w:rsidR="001C0111" w:rsidRPr="0071228C" w:rsidRDefault="001C0111" w:rsidP="001C0111">
            <w:pPr>
              <w:spacing w:before="20" w:after="20"/>
              <w:jc w:val="right"/>
              <w:rPr>
                <w:b/>
                <w:noProof/>
                <w:sz w:val="20"/>
              </w:rPr>
            </w:pPr>
            <w:r w:rsidRPr="0071228C">
              <w:rPr>
                <w:noProof/>
                <w:sz w:val="20"/>
              </w:rPr>
              <w:t>5,052</w:t>
            </w:r>
          </w:p>
        </w:tc>
      </w:tr>
      <w:tr w:rsidR="001C0111" w:rsidRPr="0071228C" w14:paraId="5830FB9B" w14:textId="77777777" w:rsidTr="00EE4772">
        <w:trPr>
          <w:trHeight w:val="268"/>
        </w:trPr>
        <w:tc>
          <w:tcPr>
            <w:tcW w:w="3014" w:type="dxa"/>
            <w:vMerge w:val="restart"/>
            <w:vAlign w:val="center"/>
          </w:tcPr>
          <w:p w14:paraId="06CB0F69" w14:textId="77777777" w:rsidR="001C0111" w:rsidRPr="0071228C" w:rsidDel="006337FA" w:rsidRDefault="001C0111" w:rsidP="001C0111">
            <w:pPr>
              <w:rPr>
                <w:noProof/>
                <w:sz w:val="20"/>
              </w:rPr>
            </w:pPr>
            <w:r w:rsidRPr="0071228C">
              <w:rPr>
                <w:noProof/>
                <w:sz w:val="20"/>
              </w:rPr>
              <w:t>Tytuł 2: Infrastruktura</w:t>
            </w:r>
          </w:p>
        </w:tc>
        <w:tc>
          <w:tcPr>
            <w:tcW w:w="1659" w:type="dxa"/>
            <w:vAlign w:val="center"/>
          </w:tcPr>
          <w:p w14:paraId="371AF20E" w14:textId="77777777" w:rsidR="001C0111" w:rsidRPr="0071228C" w:rsidRDefault="001C0111" w:rsidP="001C0111">
            <w:pPr>
              <w:spacing w:before="20" w:after="20"/>
              <w:rPr>
                <w:noProof/>
                <w:sz w:val="18"/>
              </w:rPr>
            </w:pPr>
            <w:r w:rsidRPr="0071228C">
              <w:rPr>
                <w:noProof/>
                <w:sz w:val="18"/>
              </w:rPr>
              <w:t>Środki na zobowiązania</w:t>
            </w:r>
          </w:p>
        </w:tc>
        <w:tc>
          <w:tcPr>
            <w:tcW w:w="1559" w:type="dxa"/>
            <w:vAlign w:val="center"/>
          </w:tcPr>
          <w:p w14:paraId="1FC4E4CB" w14:textId="77777777" w:rsidR="001C0111" w:rsidRPr="0071228C" w:rsidRDefault="001C0111" w:rsidP="001C0111">
            <w:pPr>
              <w:spacing w:before="20" w:after="20"/>
              <w:jc w:val="center"/>
              <w:rPr>
                <w:noProof/>
                <w:sz w:val="14"/>
              </w:rPr>
            </w:pPr>
            <w:r w:rsidRPr="0071228C">
              <w:rPr>
                <w:noProof/>
                <w:sz w:val="14"/>
              </w:rPr>
              <w:t>(1b)</w:t>
            </w:r>
          </w:p>
        </w:tc>
        <w:tc>
          <w:tcPr>
            <w:tcW w:w="1276" w:type="dxa"/>
            <w:vAlign w:val="center"/>
          </w:tcPr>
          <w:p w14:paraId="5F8A1430" w14:textId="77777777" w:rsidR="001C0111" w:rsidRPr="0071228C" w:rsidRDefault="001C0111" w:rsidP="001C0111">
            <w:pPr>
              <w:spacing w:before="20" w:after="20"/>
              <w:jc w:val="right"/>
              <w:rPr>
                <w:noProof/>
                <w:sz w:val="20"/>
                <w:lang w:eastAsia="en-GB"/>
              </w:rPr>
            </w:pPr>
          </w:p>
        </w:tc>
        <w:tc>
          <w:tcPr>
            <w:tcW w:w="1276" w:type="dxa"/>
            <w:vAlign w:val="center"/>
          </w:tcPr>
          <w:p w14:paraId="4F356A7A" w14:textId="77777777" w:rsidR="001C0111" w:rsidRPr="0071228C" w:rsidRDefault="001C0111" w:rsidP="001C0111">
            <w:pPr>
              <w:spacing w:before="20" w:after="20"/>
              <w:jc w:val="right"/>
              <w:rPr>
                <w:noProof/>
                <w:sz w:val="20"/>
                <w:lang w:eastAsia="en-GB"/>
              </w:rPr>
            </w:pPr>
          </w:p>
        </w:tc>
        <w:tc>
          <w:tcPr>
            <w:tcW w:w="992" w:type="dxa"/>
            <w:vAlign w:val="center"/>
          </w:tcPr>
          <w:p w14:paraId="4F429985" w14:textId="77777777" w:rsidR="001C0111" w:rsidRPr="0071228C" w:rsidRDefault="001C0111" w:rsidP="001C0111">
            <w:pPr>
              <w:spacing w:before="20" w:after="20"/>
              <w:jc w:val="right"/>
              <w:rPr>
                <w:noProof/>
                <w:sz w:val="20"/>
                <w:lang w:eastAsia="en-GB"/>
              </w:rPr>
            </w:pPr>
          </w:p>
        </w:tc>
        <w:tc>
          <w:tcPr>
            <w:tcW w:w="1134" w:type="dxa"/>
            <w:vAlign w:val="center"/>
          </w:tcPr>
          <w:p w14:paraId="49085CEE" w14:textId="77777777" w:rsidR="001C0111" w:rsidRPr="0071228C" w:rsidRDefault="001C0111" w:rsidP="001C0111">
            <w:pPr>
              <w:spacing w:before="20" w:after="20"/>
              <w:jc w:val="right"/>
              <w:rPr>
                <w:noProof/>
                <w:sz w:val="20"/>
                <w:lang w:eastAsia="en-GB"/>
              </w:rPr>
            </w:pPr>
          </w:p>
        </w:tc>
        <w:tc>
          <w:tcPr>
            <w:tcW w:w="1378" w:type="dxa"/>
            <w:vAlign w:val="center"/>
          </w:tcPr>
          <w:p w14:paraId="60E1F997" w14:textId="77777777" w:rsidR="001C0111" w:rsidRPr="0071228C" w:rsidRDefault="001C0111" w:rsidP="001C0111">
            <w:pPr>
              <w:spacing w:before="20" w:after="20"/>
              <w:rPr>
                <w:b/>
                <w:noProof/>
                <w:sz w:val="20"/>
                <w:lang w:eastAsia="en-GB"/>
              </w:rPr>
            </w:pPr>
          </w:p>
        </w:tc>
      </w:tr>
      <w:tr w:rsidR="001C0111" w:rsidRPr="0071228C" w14:paraId="38E15476" w14:textId="77777777" w:rsidTr="00EE4772">
        <w:trPr>
          <w:trHeight w:val="268"/>
        </w:trPr>
        <w:tc>
          <w:tcPr>
            <w:tcW w:w="3014" w:type="dxa"/>
            <w:vMerge/>
            <w:vAlign w:val="center"/>
          </w:tcPr>
          <w:p w14:paraId="6A315CC5" w14:textId="77777777" w:rsidR="001C0111" w:rsidRPr="0071228C" w:rsidDel="006337FA" w:rsidRDefault="001C0111" w:rsidP="001C0111">
            <w:pPr>
              <w:rPr>
                <w:noProof/>
                <w:sz w:val="20"/>
                <w:lang w:eastAsia="en-GB"/>
              </w:rPr>
            </w:pPr>
          </w:p>
        </w:tc>
        <w:tc>
          <w:tcPr>
            <w:tcW w:w="1659" w:type="dxa"/>
            <w:vAlign w:val="center"/>
          </w:tcPr>
          <w:p w14:paraId="02C0EE40" w14:textId="77777777" w:rsidR="001C0111" w:rsidRPr="0071228C" w:rsidRDefault="001C0111" w:rsidP="001C0111">
            <w:pPr>
              <w:spacing w:before="20" w:after="20"/>
              <w:rPr>
                <w:noProof/>
                <w:sz w:val="18"/>
              </w:rPr>
            </w:pPr>
            <w:r w:rsidRPr="0071228C">
              <w:rPr>
                <w:noProof/>
                <w:sz w:val="18"/>
              </w:rPr>
              <w:t>Środki na płatności</w:t>
            </w:r>
          </w:p>
        </w:tc>
        <w:tc>
          <w:tcPr>
            <w:tcW w:w="1559" w:type="dxa"/>
            <w:vAlign w:val="center"/>
          </w:tcPr>
          <w:p w14:paraId="3E80CA51" w14:textId="77777777" w:rsidR="001C0111" w:rsidRPr="0071228C" w:rsidRDefault="001C0111" w:rsidP="001C0111">
            <w:pPr>
              <w:spacing w:before="20" w:after="20"/>
              <w:jc w:val="center"/>
              <w:rPr>
                <w:noProof/>
                <w:sz w:val="14"/>
              </w:rPr>
            </w:pPr>
            <w:r w:rsidRPr="0071228C">
              <w:rPr>
                <w:noProof/>
                <w:sz w:val="14"/>
              </w:rPr>
              <w:t>(2b)</w:t>
            </w:r>
          </w:p>
        </w:tc>
        <w:tc>
          <w:tcPr>
            <w:tcW w:w="1276" w:type="dxa"/>
            <w:vAlign w:val="center"/>
          </w:tcPr>
          <w:p w14:paraId="6DDE60B0" w14:textId="77777777" w:rsidR="001C0111" w:rsidRPr="0071228C" w:rsidRDefault="001C0111" w:rsidP="001C0111">
            <w:pPr>
              <w:spacing w:before="20" w:after="20"/>
              <w:jc w:val="right"/>
              <w:rPr>
                <w:noProof/>
                <w:sz w:val="20"/>
                <w:lang w:eastAsia="en-GB"/>
              </w:rPr>
            </w:pPr>
          </w:p>
        </w:tc>
        <w:tc>
          <w:tcPr>
            <w:tcW w:w="1276" w:type="dxa"/>
            <w:vAlign w:val="center"/>
          </w:tcPr>
          <w:p w14:paraId="073039ED" w14:textId="77777777" w:rsidR="001C0111" w:rsidRPr="0071228C" w:rsidRDefault="001C0111" w:rsidP="001C0111">
            <w:pPr>
              <w:spacing w:before="20" w:after="20"/>
              <w:jc w:val="right"/>
              <w:rPr>
                <w:noProof/>
                <w:sz w:val="20"/>
                <w:lang w:eastAsia="en-GB"/>
              </w:rPr>
            </w:pPr>
          </w:p>
        </w:tc>
        <w:tc>
          <w:tcPr>
            <w:tcW w:w="992" w:type="dxa"/>
            <w:vAlign w:val="center"/>
          </w:tcPr>
          <w:p w14:paraId="602AE17B" w14:textId="77777777" w:rsidR="001C0111" w:rsidRPr="0071228C" w:rsidRDefault="001C0111" w:rsidP="001C0111">
            <w:pPr>
              <w:spacing w:before="20" w:after="20"/>
              <w:jc w:val="right"/>
              <w:rPr>
                <w:noProof/>
                <w:sz w:val="20"/>
                <w:lang w:eastAsia="en-GB"/>
              </w:rPr>
            </w:pPr>
          </w:p>
        </w:tc>
        <w:tc>
          <w:tcPr>
            <w:tcW w:w="1134" w:type="dxa"/>
            <w:vAlign w:val="center"/>
          </w:tcPr>
          <w:p w14:paraId="68192836" w14:textId="77777777" w:rsidR="001C0111" w:rsidRPr="0071228C" w:rsidRDefault="001C0111" w:rsidP="001C0111">
            <w:pPr>
              <w:spacing w:before="20" w:after="20"/>
              <w:jc w:val="right"/>
              <w:rPr>
                <w:noProof/>
                <w:sz w:val="20"/>
                <w:lang w:eastAsia="en-GB"/>
              </w:rPr>
            </w:pPr>
          </w:p>
        </w:tc>
        <w:tc>
          <w:tcPr>
            <w:tcW w:w="1378" w:type="dxa"/>
            <w:vAlign w:val="center"/>
          </w:tcPr>
          <w:p w14:paraId="28289B7A" w14:textId="77777777" w:rsidR="001C0111" w:rsidRPr="0071228C" w:rsidRDefault="001C0111" w:rsidP="001C0111">
            <w:pPr>
              <w:spacing w:before="20" w:after="20"/>
              <w:jc w:val="right"/>
              <w:rPr>
                <w:b/>
                <w:noProof/>
                <w:sz w:val="20"/>
                <w:lang w:eastAsia="en-GB"/>
              </w:rPr>
            </w:pPr>
          </w:p>
        </w:tc>
      </w:tr>
      <w:tr w:rsidR="001C0111" w:rsidRPr="0071228C" w14:paraId="095B53E5" w14:textId="77777777" w:rsidTr="00EE4772">
        <w:trPr>
          <w:trHeight w:val="268"/>
        </w:trPr>
        <w:tc>
          <w:tcPr>
            <w:tcW w:w="3014" w:type="dxa"/>
            <w:vMerge w:val="restart"/>
            <w:vAlign w:val="center"/>
          </w:tcPr>
          <w:p w14:paraId="37721519" w14:textId="77777777" w:rsidR="001C0111" w:rsidRPr="0071228C" w:rsidRDefault="001C0111" w:rsidP="001C0111">
            <w:pPr>
              <w:rPr>
                <w:noProof/>
              </w:rPr>
            </w:pPr>
            <w:r w:rsidRPr="0071228C">
              <w:rPr>
                <w:noProof/>
                <w:sz w:val="20"/>
              </w:rPr>
              <w:t>Tytuł 3: Wydatki operacyjne</w:t>
            </w:r>
          </w:p>
        </w:tc>
        <w:tc>
          <w:tcPr>
            <w:tcW w:w="1659" w:type="dxa"/>
            <w:vAlign w:val="center"/>
          </w:tcPr>
          <w:p w14:paraId="2EA03EF1" w14:textId="77777777" w:rsidR="001C0111" w:rsidRPr="0071228C" w:rsidRDefault="001C0111" w:rsidP="001C0111">
            <w:pPr>
              <w:spacing w:before="20" w:after="20"/>
              <w:rPr>
                <w:noProof/>
                <w:sz w:val="18"/>
              </w:rPr>
            </w:pPr>
            <w:r w:rsidRPr="0071228C">
              <w:rPr>
                <w:noProof/>
                <w:sz w:val="18"/>
              </w:rPr>
              <w:t>Środki na zobowiązania</w:t>
            </w:r>
          </w:p>
        </w:tc>
        <w:tc>
          <w:tcPr>
            <w:tcW w:w="1559" w:type="dxa"/>
            <w:vAlign w:val="center"/>
          </w:tcPr>
          <w:p w14:paraId="549B7BBE" w14:textId="77777777" w:rsidR="001C0111" w:rsidRPr="0071228C" w:rsidRDefault="001C0111" w:rsidP="001C0111">
            <w:pPr>
              <w:spacing w:before="20" w:after="20"/>
              <w:jc w:val="center"/>
              <w:rPr>
                <w:noProof/>
                <w:sz w:val="14"/>
              </w:rPr>
            </w:pPr>
            <w:r w:rsidRPr="0071228C">
              <w:rPr>
                <w:noProof/>
                <w:sz w:val="14"/>
              </w:rPr>
              <w:t>(1c)</w:t>
            </w:r>
          </w:p>
        </w:tc>
        <w:tc>
          <w:tcPr>
            <w:tcW w:w="1276" w:type="dxa"/>
            <w:vAlign w:val="bottom"/>
          </w:tcPr>
          <w:p w14:paraId="6BE6F9D8" w14:textId="77777777" w:rsidR="001C0111" w:rsidRPr="0071228C" w:rsidRDefault="001C0111" w:rsidP="001C0111">
            <w:pPr>
              <w:spacing w:before="20" w:after="20"/>
              <w:jc w:val="right"/>
              <w:rPr>
                <w:noProof/>
                <w:sz w:val="20"/>
              </w:rPr>
            </w:pPr>
            <w:r w:rsidRPr="0071228C">
              <w:rPr>
                <w:noProof/>
                <w:sz w:val="20"/>
              </w:rPr>
              <w:t>0,490</w:t>
            </w:r>
          </w:p>
        </w:tc>
        <w:tc>
          <w:tcPr>
            <w:tcW w:w="1276" w:type="dxa"/>
            <w:vAlign w:val="bottom"/>
          </w:tcPr>
          <w:p w14:paraId="170BBACC" w14:textId="77777777" w:rsidR="001C0111" w:rsidRPr="0071228C" w:rsidRDefault="001C0111" w:rsidP="001C0111">
            <w:pPr>
              <w:spacing w:before="20" w:after="20"/>
              <w:jc w:val="right"/>
              <w:rPr>
                <w:noProof/>
                <w:sz w:val="20"/>
              </w:rPr>
            </w:pPr>
            <w:r w:rsidRPr="0071228C">
              <w:rPr>
                <w:noProof/>
                <w:sz w:val="20"/>
              </w:rPr>
              <w:t>0,620</w:t>
            </w:r>
          </w:p>
        </w:tc>
        <w:tc>
          <w:tcPr>
            <w:tcW w:w="992" w:type="dxa"/>
            <w:vAlign w:val="bottom"/>
          </w:tcPr>
          <w:p w14:paraId="3809EA2B" w14:textId="77777777" w:rsidR="001C0111" w:rsidRPr="0071228C" w:rsidRDefault="001C0111" w:rsidP="001C0111">
            <w:pPr>
              <w:spacing w:before="20" w:after="20"/>
              <w:jc w:val="right"/>
              <w:rPr>
                <w:noProof/>
                <w:sz w:val="20"/>
              </w:rPr>
            </w:pPr>
            <w:r w:rsidRPr="0071228C">
              <w:rPr>
                <w:noProof/>
                <w:sz w:val="20"/>
              </w:rPr>
              <w:t>0,420</w:t>
            </w:r>
          </w:p>
        </w:tc>
        <w:tc>
          <w:tcPr>
            <w:tcW w:w="1134" w:type="dxa"/>
            <w:vAlign w:val="bottom"/>
          </w:tcPr>
          <w:p w14:paraId="6F694717" w14:textId="77777777" w:rsidR="001C0111" w:rsidRPr="0071228C" w:rsidRDefault="001C0111" w:rsidP="001C0111">
            <w:pPr>
              <w:spacing w:before="20" w:after="20"/>
              <w:jc w:val="right"/>
              <w:rPr>
                <w:noProof/>
                <w:sz w:val="20"/>
              </w:rPr>
            </w:pPr>
            <w:r w:rsidRPr="0071228C">
              <w:rPr>
                <w:noProof/>
                <w:sz w:val="20"/>
              </w:rPr>
              <w:t>0,420</w:t>
            </w:r>
          </w:p>
        </w:tc>
        <w:tc>
          <w:tcPr>
            <w:tcW w:w="1378" w:type="dxa"/>
            <w:vAlign w:val="bottom"/>
          </w:tcPr>
          <w:p w14:paraId="34D92488" w14:textId="77777777" w:rsidR="001C0111" w:rsidRPr="0071228C" w:rsidRDefault="001C0111" w:rsidP="001C0111">
            <w:pPr>
              <w:spacing w:before="20" w:after="20"/>
              <w:jc w:val="right"/>
              <w:rPr>
                <w:b/>
                <w:noProof/>
                <w:sz w:val="20"/>
              </w:rPr>
            </w:pPr>
            <w:r w:rsidRPr="0071228C">
              <w:rPr>
                <w:b/>
                <w:noProof/>
                <w:sz w:val="20"/>
              </w:rPr>
              <w:t>1,950</w:t>
            </w:r>
          </w:p>
        </w:tc>
      </w:tr>
      <w:tr w:rsidR="001C0111" w:rsidRPr="0071228C" w14:paraId="0A95AB28" w14:textId="77777777" w:rsidTr="00EE4772">
        <w:trPr>
          <w:trHeight w:val="281"/>
        </w:trPr>
        <w:tc>
          <w:tcPr>
            <w:tcW w:w="3014" w:type="dxa"/>
            <w:vMerge/>
          </w:tcPr>
          <w:p w14:paraId="0FAE2D8B" w14:textId="77777777" w:rsidR="001C0111" w:rsidRPr="0071228C" w:rsidRDefault="001C0111" w:rsidP="001C0111">
            <w:pPr>
              <w:jc w:val="center"/>
              <w:rPr>
                <w:noProof/>
                <w:sz w:val="20"/>
                <w:lang w:eastAsia="en-GB"/>
              </w:rPr>
            </w:pPr>
          </w:p>
        </w:tc>
        <w:tc>
          <w:tcPr>
            <w:tcW w:w="1659" w:type="dxa"/>
            <w:vAlign w:val="center"/>
          </w:tcPr>
          <w:p w14:paraId="2815ED90" w14:textId="77777777" w:rsidR="001C0111" w:rsidRPr="0071228C" w:rsidRDefault="001C0111" w:rsidP="001C0111">
            <w:pPr>
              <w:spacing w:before="20" w:after="20"/>
              <w:rPr>
                <w:noProof/>
                <w:sz w:val="18"/>
              </w:rPr>
            </w:pPr>
            <w:r w:rsidRPr="0071228C">
              <w:rPr>
                <w:noProof/>
                <w:sz w:val="18"/>
              </w:rPr>
              <w:t>Środki na płatności</w:t>
            </w:r>
          </w:p>
        </w:tc>
        <w:tc>
          <w:tcPr>
            <w:tcW w:w="1559" w:type="dxa"/>
            <w:vAlign w:val="center"/>
          </w:tcPr>
          <w:p w14:paraId="6C476C66" w14:textId="77777777" w:rsidR="001C0111" w:rsidRPr="0071228C" w:rsidRDefault="001C0111" w:rsidP="001C0111">
            <w:pPr>
              <w:spacing w:before="20" w:after="20"/>
              <w:jc w:val="center"/>
              <w:rPr>
                <w:noProof/>
                <w:sz w:val="14"/>
              </w:rPr>
            </w:pPr>
            <w:r w:rsidRPr="0071228C">
              <w:rPr>
                <w:noProof/>
                <w:sz w:val="14"/>
              </w:rPr>
              <w:t>(2c)</w:t>
            </w:r>
          </w:p>
        </w:tc>
        <w:tc>
          <w:tcPr>
            <w:tcW w:w="1276" w:type="dxa"/>
            <w:vAlign w:val="bottom"/>
          </w:tcPr>
          <w:p w14:paraId="0B168303" w14:textId="77777777" w:rsidR="001C0111" w:rsidRPr="0071228C" w:rsidRDefault="001C0111" w:rsidP="001C0111">
            <w:pPr>
              <w:spacing w:before="20" w:after="20"/>
              <w:jc w:val="right"/>
              <w:rPr>
                <w:noProof/>
                <w:sz w:val="20"/>
              </w:rPr>
            </w:pPr>
            <w:r w:rsidRPr="0071228C">
              <w:rPr>
                <w:noProof/>
                <w:sz w:val="20"/>
              </w:rPr>
              <w:t>0,490</w:t>
            </w:r>
          </w:p>
        </w:tc>
        <w:tc>
          <w:tcPr>
            <w:tcW w:w="1276" w:type="dxa"/>
            <w:vAlign w:val="bottom"/>
          </w:tcPr>
          <w:p w14:paraId="79ACCA9A" w14:textId="77777777" w:rsidR="001C0111" w:rsidRPr="0071228C" w:rsidRDefault="001C0111" w:rsidP="001C0111">
            <w:pPr>
              <w:spacing w:before="20" w:after="20"/>
              <w:jc w:val="right"/>
              <w:rPr>
                <w:noProof/>
                <w:sz w:val="20"/>
              </w:rPr>
            </w:pPr>
            <w:r w:rsidRPr="0071228C">
              <w:rPr>
                <w:noProof/>
                <w:sz w:val="20"/>
              </w:rPr>
              <w:t>0,620</w:t>
            </w:r>
          </w:p>
        </w:tc>
        <w:tc>
          <w:tcPr>
            <w:tcW w:w="992" w:type="dxa"/>
            <w:vAlign w:val="bottom"/>
          </w:tcPr>
          <w:p w14:paraId="74E55ED8" w14:textId="77777777" w:rsidR="001C0111" w:rsidRPr="0071228C" w:rsidRDefault="001C0111" w:rsidP="001C0111">
            <w:pPr>
              <w:spacing w:before="20" w:after="20"/>
              <w:jc w:val="right"/>
              <w:rPr>
                <w:noProof/>
                <w:sz w:val="20"/>
              </w:rPr>
            </w:pPr>
            <w:r w:rsidRPr="0071228C">
              <w:rPr>
                <w:noProof/>
                <w:sz w:val="20"/>
              </w:rPr>
              <w:t>0,420</w:t>
            </w:r>
          </w:p>
        </w:tc>
        <w:tc>
          <w:tcPr>
            <w:tcW w:w="1134" w:type="dxa"/>
            <w:vAlign w:val="bottom"/>
          </w:tcPr>
          <w:p w14:paraId="1E7469B3" w14:textId="77777777" w:rsidR="001C0111" w:rsidRPr="0071228C" w:rsidRDefault="001C0111" w:rsidP="001C0111">
            <w:pPr>
              <w:spacing w:before="20" w:after="20"/>
              <w:jc w:val="right"/>
              <w:rPr>
                <w:noProof/>
                <w:sz w:val="20"/>
              </w:rPr>
            </w:pPr>
            <w:r w:rsidRPr="0071228C">
              <w:rPr>
                <w:noProof/>
                <w:sz w:val="20"/>
              </w:rPr>
              <w:t>0,420</w:t>
            </w:r>
          </w:p>
        </w:tc>
        <w:tc>
          <w:tcPr>
            <w:tcW w:w="1378" w:type="dxa"/>
            <w:vAlign w:val="bottom"/>
          </w:tcPr>
          <w:p w14:paraId="7307BAC9" w14:textId="77777777" w:rsidR="001C0111" w:rsidRPr="0071228C" w:rsidRDefault="001C0111" w:rsidP="001C0111">
            <w:pPr>
              <w:spacing w:before="20" w:after="20"/>
              <w:jc w:val="right"/>
              <w:rPr>
                <w:b/>
                <w:noProof/>
                <w:sz w:val="20"/>
              </w:rPr>
            </w:pPr>
            <w:r w:rsidRPr="0071228C">
              <w:rPr>
                <w:b/>
                <w:noProof/>
                <w:sz w:val="20"/>
              </w:rPr>
              <w:t>1,950</w:t>
            </w:r>
          </w:p>
        </w:tc>
      </w:tr>
      <w:tr w:rsidR="001C0111" w:rsidRPr="0071228C" w14:paraId="4BD3AE77" w14:textId="77777777" w:rsidTr="00EE4772">
        <w:trPr>
          <w:trHeight w:val="549"/>
        </w:trPr>
        <w:tc>
          <w:tcPr>
            <w:tcW w:w="3014" w:type="dxa"/>
            <w:vMerge w:val="restart"/>
            <w:vAlign w:val="center"/>
          </w:tcPr>
          <w:p w14:paraId="2AD3D401" w14:textId="77777777" w:rsidR="001C0111" w:rsidRPr="0071228C" w:rsidRDefault="001C0111" w:rsidP="001C0111">
            <w:pPr>
              <w:jc w:val="center"/>
              <w:rPr>
                <w:b/>
                <w:noProof/>
              </w:rPr>
            </w:pPr>
            <w:r w:rsidRPr="0071228C">
              <w:rPr>
                <w:b/>
                <w:noProof/>
                <w:sz w:val="22"/>
              </w:rPr>
              <w:t>OGÓŁEM środki</w:t>
            </w:r>
            <w:r w:rsidRPr="0071228C">
              <w:rPr>
                <w:noProof/>
              </w:rPr>
              <w:t xml:space="preserve"> </w:t>
            </w:r>
            <w:r w:rsidRPr="0071228C">
              <w:rPr>
                <w:noProof/>
              </w:rPr>
              <w:br/>
            </w:r>
            <w:r w:rsidRPr="0071228C">
              <w:rPr>
                <w:b/>
                <w:noProof/>
                <w:sz w:val="22"/>
              </w:rPr>
              <w:t>dla agencji EEA</w:t>
            </w:r>
          </w:p>
        </w:tc>
        <w:tc>
          <w:tcPr>
            <w:tcW w:w="1659" w:type="dxa"/>
            <w:vAlign w:val="center"/>
          </w:tcPr>
          <w:p w14:paraId="1B79063A" w14:textId="77777777" w:rsidR="001C0111" w:rsidRPr="0071228C" w:rsidRDefault="001C0111" w:rsidP="001C0111">
            <w:pPr>
              <w:rPr>
                <w:noProof/>
                <w:sz w:val="18"/>
              </w:rPr>
            </w:pPr>
            <w:r w:rsidRPr="0071228C">
              <w:rPr>
                <w:noProof/>
                <w:sz w:val="18"/>
              </w:rPr>
              <w:t>Środki na zobowiązania</w:t>
            </w:r>
          </w:p>
        </w:tc>
        <w:tc>
          <w:tcPr>
            <w:tcW w:w="1559" w:type="dxa"/>
            <w:vAlign w:val="center"/>
          </w:tcPr>
          <w:p w14:paraId="0CF0AD13" w14:textId="77777777" w:rsidR="001C0111" w:rsidRPr="0071228C" w:rsidRDefault="001C0111" w:rsidP="001C0111">
            <w:pPr>
              <w:jc w:val="center"/>
              <w:rPr>
                <w:noProof/>
                <w:sz w:val="14"/>
              </w:rPr>
            </w:pPr>
            <w:r w:rsidRPr="0071228C">
              <w:rPr>
                <w:noProof/>
                <w:sz w:val="14"/>
              </w:rPr>
              <w:t>=1a+1b +1c</w:t>
            </w:r>
          </w:p>
        </w:tc>
        <w:tc>
          <w:tcPr>
            <w:tcW w:w="1276" w:type="dxa"/>
            <w:vAlign w:val="bottom"/>
          </w:tcPr>
          <w:p w14:paraId="082C68C1" w14:textId="77777777" w:rsidR="001C0111" w:rsidRPr="0071228C" w:rsidRDefault="001C0111" w:rsidP="001C0111">
            <w:pPr>
              <w:spacing w:before="20" w:after="20"/>
              <w:jc w:val="right"/>
              <w:rPr>
                <w:b/>
                <w:noProof/>
                <w:sz w:val="20"/>
              </w:rPr>
            </w:pPr>
            <w:r w:rsidRPr="0071228C">
              <w:rPr>
                <w:b/>
                <w:noProof/>
                <w:sz w:val="20"/>
              </w:rPr>
              <w:t>1,187</w:t>
            </w:r>
          </w:p>
        </w:tc>
        <w:tc>
          <w:tcPr>
            <w:tcW w:w="1276" w:type="dxa"/>
            <w:vAlign w:val="bottom"/>
          </w:tcPr>
          <w:p w14:paraId="2ABB6618" w14:textId="77777777" w:rsidR="001C0111" w:rsidRPr="0071228C" w:rsidRDefault="001C0111" w:rsidP="001C0111">
            <w:pPr>
              <w:spacing w:before="20" w:after="20"/>
              <w:jc w:val="right"/>
              <w:rPr>
                <w:b/>
                <w:noProof/>
                <w:sz w:val="20"/>
              </w:rPr>
            </w:pPr>
            <w:r w:rsidRPr="0071228C">
              <w:rPr>
                <w:b/>
                <w:noProof/>
                <w:sz w:val="20"/>
              </w:rPr>
              <w:t>2,043</w:t>
            </w:r>
          </w:p>
        </w:tc>
        <w:tc>
          <w:tcPr>
            <w:tcW w:w="992" w:type="dxa"/>
            <w:vAlign w:val="bottom"/>
          </w:tcPr>
          <w:p w14:paraId="7248601C" w14:textId="77777777" w:rsidR="001C0111" w:rsidRPr="0071228C" w:rsidRDefault="001C0111" w:rsidP="001C0111">
            <w:pPr>
              <w:spacing w:before="20" w:after="20"/>
              <w:jc w:val="right"/>
              <w:rPr>
                <w:b/>
                <w:noProof/>
                <w:sz w:val="20"/>
              </w:rPr>
            </w:pPr>
            <w:r w:rsidRPr="0071228C">
              <w:rPr>
                <w:b/>
                <w:noProof/>
                <w:sz w:val="20"/>
              </w:rPr>
              <w:t>1,871</w:t>
            </w:r>
          </w:p>
        </w:tc>
        <w:tc>
          <w:tcPr>
            <w:tcW w:w="1134" w:type="dxa"/>
            <w:vAlign w:val="bottom"/>
          </w:tcPr>
          <w:p w14:paraId="5D9C179E" w14:textId="77777777" w:rsidR="001C0111" w:rsidRPr="0071228C" w:rsidRDefault="001C0111" w:rsidP="001C0111">
            <w:pPr>
              <w:spacing w:before="20" w:after="20"/>
              <w:jc w:val="right"/>
              <w:rPr>
                <w:b/>
                <w:noProof/>
                <w:sz w:val="20"/>
              </w:rPr>
            </w:pPr>
            <w:r w:rsidRPr="0071228C">
              <w:rPr>
                <w:b/>
                <w:noProof/>
                <w:sz w:val="20"/>
              </w:rPr>
              <w:t>1,900</w:t>
            </w:r>
          </w:p>
        </w:tc>
        <w:tc>
          <w:tcPr>
            <w:tcW w:w="1378" w:type="dxa"/>
            <w:vAlign w:val="bottom"/>
          </w:tcPr>
          <w:p w14:paraId="4842F592" w14:textId="77777777" w:rsidR="001C0111" w:rsidRPr="0071228C" w:rsidRDefault="001C0111" w:rsidP="001C0111">
            <w:pPr>
              <w:spacing w:before="20" w:after="20"/>
              <w:jc w:val="right"/>
              <w:rPr>
                <w:b/>
                <w:noProof/>
                <w:sz w:val="20"/>
              </w:rPr>
            </w:pPr>
            <w:r w:rsidRPr="0071228C">
              <w:rPr>
                <w:b/>
                <w:noProof/>
                <w:sz w:val="20"/>
              </w:rPr>
              <w:t>7,002</w:t>
            </w:r>
          </w:p>
        </w:tc>
      </w:tr>
      <w:tr w:rsidR="001C0111" w:rsidRPr="0071228C" w14:paraId="6DCC904F" w14:textId="77777777" w:rsidTr="00EE4772">
        <w:trPr>
          <w:trHeight w:val="536"/>
        </w:trPr>
        <w:tc>
          <w:tcPr>
            <w:tcW w:w="3014" w:type="dxa"/>
            <w:vMerge/>
          </w:tcPr>
          <w:p w14:paraId="12D8EF90" w14:textId="77777777" w:rsidR="001C0111" w:rsidRPr="0071228C" w:rsidRDefault="001C0111" w:rsidP="001C0111">
            <w:pPr>
              <w:rPr>
                <w:noProof/>
                <w:sz w:val="20"/>
                <w:lang w:eastAsia="en-GB"/>
              </w:rPr>
            </w:pPr>
          </w:p>
        </w:tc>
        <w:tc>
          <w:tcPr>
            <w:tcW w:w="1659" w:type="dxa"/>
            <w:vAlign w:val="center"/>
          </w:tcPr>
          <w:p w14:paraId="276B231B" w14:textId="77777777" w:rsidR="001C0111" w:rsidRPr="0071228C" w:rsidRDefault="001C0111" w:rsidP="001C0111">
            <w:pPr>
              <w:rPr>
                <w:noProof/>
                <w:sz w:val="18"/>
              </w:rPr>
            </w:pPr>
            <w:r w:rsidRPr="0071228C">
              <w:rPr>
                <w:noProof/>
                <w:sz w:val="18"/>
              </w:rPr>
              <w:t>Środki na płatności</w:t>
            </w:r>
          </w:p>
        </w:tc>
        <w:tc>
          <w:tcPr>
            <w:tcW w:w="1559" w:type="dxa"/>
            <w:vAlign w:val="center"/>
          </w:tcPr>
          <w:p w14:paraId="542E9AB3" w14:textId="77777777" w:rsidR="001C0111" w:rsidRPr="0071228C" w:rsidRDefault="001C0111" w:rsidP="001C0111">
            <w:pPr>
              <w:jc w:val="center"/>
              <w:rPr>
                <w:noProof/>
                <w:sz w:val="14"/>
              </w:rPr>
            </w:pPr>
            <w:r w:rsidRPr="0071228C">
              <w:rPr>
                <w:noProof/>
                <w:sz w:val="14"/>
              </w:rPr>
              <w:t>=2a+2b +2c</w:t>
            </w:r>
          </w:p>
        </w:tc>
        <w:tc>
          <w:tcPr>
            <w:tcW w:w="1276" w:type="dxa"/>
            <w:vAlign w:val="bottom"/>
          </w:tcPr>
          <w:p w14:paraId="1AF1A157" w14:textId="77777777" w:rsidR="001C0111" w:rsidRPr="0071228C" w:rsidRDefault="001C0111" w:rsidP="001C0111">
            <w:pPr>
              <w:spacing w:before="20" w:after="20"/>
              <w:jc w:val="right"/>
              <w:rPr>
                <w:noProof/>
                <w:sz w:val="20"/>
              </w:rPr>
            </w:pPr>
            <w:r w:rsidRPr="0071228C">
              <w:rPr>
                <w:b/>
                <w:noProof/>
                <w:sz w:val="20"/>
              </w:rPr>
              <w:t>1,187</w:t>
            </w:r>
          </w:p>
        </w:tc>
        <w:tc>
          <w:tcPr>
            <w:tcW w:w="1276" w:type="dxa"/>
            <w:vAlign w:val="bottom"/>
          </w:tcPr>
          <w:p w14:paraId="42C7580D" w14:textId="77777777" w:rsidR="001C0111" w:rsidRPr="0071228C" w:rsidRDefault="001C0111" w:rsidP="001C0111">
            <w:pPr>
              <w:spacing w:before="20" w:after="20"/>
              <w:jc w:val="right"/>
              <w:rPr>
                <w:noProof/>
                <w:sz w:val="20"/>
              </w:rPr>
            </w:pPr>
            <w:r w:rsidRPr="0071228C">
              <w:rPr>
                <w:b/>
                <w:noProof/>
                <w:sz w:val="20"/>
              </w:rPr>
              <w:t>2,043</w:t>
            </w:r>
          </w:p>
        </w:tc>
        <w:tc>
          <w:tcPr>
            <w:tcW w:w="992" w:type="dxa"/>
            <w:vAlign w:val="bottom"/>
          </w:tcPr>
          <w:p w14:paraId="7489D591" w14:textId="77777777" w:rsidR="001C0111" w:rsidRPr="0071228C" w:rsidRDefault="001C0111" w:rsidP="001C0111">
            <w:pPr>
              <w:spacing w:before="20" w:after="20"/>
              <w:jc w:val="right"/>
              <w:rPr>
                <w:noProof/>
                <w:sz w:val="20"/>
              </w:rPr>
            </w:pPr>
            <w:r w:rsidRPr="0071228C">
              <w:rPr>
                <w:b/>
                <w:noProof/>
                <w:sz w:val="20"/>
              </w:rPr>
              <w:t>1,871</w:t>
            </w:r>
          </w:p>
        </w:tc>
        <w:tc>
          <w:tcPr>
            <w:tcW w:w="1134" w:type="dxa"/>
            <w:vAlign w:val="bottom"/>
          </w:tcPr>
          <w:p w14:paraId="66D31CA0" w14:textId="77777777" w:rsidR="001C0111" w:rsidRPr="0071228C" w:rsidRDefault="001C0111" w:rsidP="001C0111">
            <w:pPr>
              <w:spacing w:before="20" w:after="20"/>
              <w:jc w:val="right"/>
              <w:rPr>
                <w:noProof/>
                <w:sz w:val="20"/>
              </w:rPr>
            </w:pPr>
            <w:r w:rsidRPr="0071228C">
              <w:rPr>
                <w:b/>
                <w:noProof/>
                <w:sz w:val="20"/>
              </w:rPr>
              <w:t>1,900</w:t>
            </w:r>
          </w:p>
        </w:tc>
        <w:tc>
          <w:tcPr>
            <w:tcW w:w="1378" w:type="dxa"/>
            <w:vAlign w:val="bottom"/>
          </w:tcPr>
          <w:p w14:paraId="4BFE1731" w14:textId="77777777" w:rsidR="001C0111" w:rsidRPr="0071228C" w:rsidRDefault="001C0111" w:rsidP="001C0111">
            <w:pPr>
              <w:spacing w:before="20" w:after="20"/>
              <w:jc w:val="right"/>
              <w:rPr>
                <w:b/>
                <w:noProof/>
                <w:sz w:val="20"/>
              </w:rPr>
            </w:pPr>
            <w:r w:rsidRPr="0071228C">
              <w:rPr>
                <w:b/>
                <w:noProof/>
                <w:sz w:val="20"/>
              </w:rPr>
              <w:t>7,002</w:t>
            </w:r>
          </w:p>
        </w:tc>
      </w:tr>
    </w:tbl>
    <w:p w14:paraId="5BC91AE9" w14:textId="717E9495" w:rsidR="001C0111" w:rsidRPr="0071228C" w:rsidRDefault="001C0111" w:rsidP="001C0111">
      <w:pPr>
        <w:rPr>
          <w:noProof/>
        </w:rPr>
      </w:pPr>
      <w:r w:rsidRPr="0071228C">
        <w:rPr>
          <w:noProof/>
        </w:rPr>
        <w:t>Koszty EEA obejmują koszty 8 dodatkowych EPC (5 TA</w:t>
      </w:r>
      <w:r w:rsidR="00CC55C0" w:rsidRPr="0071228C">
        <w:rPr>
          <w:noProof/>
        </w:rPr>
        <w:t xml:space="preserve"> i</w:t>
      </w:r>
      <w:r w:rsidR="00CC55C0">
        <w:rPr>
          <w:noProof/>
        </w:rPr>
        <w:t> </w:t>
      </w:r>
      <w:r w:rsidR="00CC55C0" w:rsidRPr="0071228C">
        <w:rPr>
          <w:noProof/>
        </w:rPr>
        <w:t>3</w:t>
      </w:r>
      <w:r w:rsidRPr="0071228C">
        <w:rPr>
          <w:noProof/>
        </w:rPr>
        <w:t xml:space="preserve"> CA) oraz wydatki operacyjne do celów: </w:t>
      </w:r>
    </w:p>
    <w:p w14:paraId="4D1A525B" w14:textId="5D012FA5" w:rsidR="001C0111" w:rsidRPr="0071228C" w:rsidRDefault="001C0111" w:rsidP="001C0111">
      <w:pPr>
        <w:tabs>
          <w:tab w:val="num" w:pos="1417"/>
        </w:tabs>
        <w:ind w:left="1417" w:hanging="567"/>
        <w:rPr>
          <w:noProof/>
        </w:rPr>
      </w:pPr>
      <w:r w:rsidRPr="0071228C">
        <w:rPr>
          <w:noProof/>
        </w:rPr>
        <w:t>realizacji dodatkowego obowiązku corocznego zgłaszania EEA danych dotyczących monitorowania</w:t>
      </w:r>
      <w:r w:rsidR="00CC55C0" w:rsidRPr="0071228C">
        <w:rPr>
          <w:noProof/>
        </w:rPr>
        <w:t xml:space="preserve"> i</w:t>
      </w:r>
      <w:r w:rsidR="00CC55C0">
        <w:rPr>
          <w:noProof/>
        </w:rPr>
        <w:t> </w:t>
      </w:r>
      <w:r w:rsidR="00CC55C0" w:rsidRPr="0071228C">
        <w:rPr>
          <w:noProof/>
        </w:rPr>
        <w:t>sta</w:t>
      </w:r>
      <w:r w:rsidRPr="0071228C">
        <w:rPr>
          <w:noProof/>
        </w:rPr>
        <w:t>nu systemu za pośrednictwem sprawozdawczości międzysystemowej (mechanizm zautomatyzowanego dostarczania danych): 4 EPC (z czego 3 będą dodatkowymi/nowymi TA,</w:t>
      </w:r>
      <w:r w:rsidR="00CC55C0" w:rsidRPr="0071228C">
        <w:rPr>
          <w:noProof/>
        </w:rPr>
        <w:t xml:space="preserve"> a</w:t>
      </w:r>
      <w:r w:rsidR="00CC55C0">
        <w:rPr>
          <w:noProof/>
        </w:rPr>
        <w:t> </w:t>
      </w:r>
      <w:r w:rsidR="00CC55C0" w:rsidRPr="0071228C">
        <w:rPr>
          <w:noProof/>
        </w:rPr>
        <w:t>1</w:t>
      </w:r>
      <w:r w:rsidRPr="0071228C">
        <w:rPr>
          <w:noProof/>
        </w:rPr>
        <w:t xml:space="preserve"> TA zostanie pozyskany</w:t>
      </w:r>
      <w:r w:rsidR="00CC55C0" w:rsidRPr="0071228C">
        <w:rPr>
          <w:noProof/>
        </w:rPr>
        <w:t xml:space="preserve"> w</w:t>
      </w:r>
      <w:r w:rsidR="00CC55C0">
        <w:rPr>
          <w:noProof/>
        </w:rPr>
        <w:t> </w:t>
      </w:r>
      <w:r w:rsidR="00CC55C0" w:rsidRPr="0071228C">
        <w:rPr>
          <w:noProof/>
        </w:rPr>
        <w:t>wyn</w:t>
      </w:r>
      <w:r w:rsidRPr="0071228C">
        <w:rPr>
          <w:noProof/>
        </w:rPr>
        <w:t>iku przesunięcia pracowników EEA) plus 130 tys. wsparcia doradczego</w:t>
      </w:r>
      <w:r w:rsidR="00CC55C0" w:rsidRPr="0071228C">
        <w:rPr>
          <w:noProof/>
        </w:rPr>
        <w:t xml:space="preserve"> w</w:t>
      </w:r>
      <w:r w:rsidR="00CC55C0">
        <w:rPr>
          <w:noProof/>
        </w:rPr>
        <w:t> </w:t>
      </w:r>
      <w:r w:rsidR="00CC55C0" w:rsidRPr="0071228C">
        <w:rPr>
          <w:noProof/>
        </w:rPr>
        <w:t>1</w:t>
      </w:r>
      <w:r w:rsidRPr="0071228C">
        <w:rPr>
          <w:noProof/>
        </w:rPr>
        <w:t>. roku,</w:t>
      </w:r>
      <w:r w:rsidR="00CC55C0" w:rsidRPr="0071228C">
        <w:rPr>
          <w:noProof/>
        </w:rPr>
        <w:t xml:space="preserve"> a</w:t>
      </w:r>
      <w:r w:rsidR="00CC55C0">
        <w:rPr>
          <w:noProof/>
        </w:rPr>
        <w:t> </w:t>
      </w:r>
      <w:r w:rsidR="00CC55C0" w:rsidRPr="0071228C">
        <w:rPr>
          <w:noProof/>
        </w:rPr>
        <w:t>nas</w:t>
      </w:r>
      <w:r w:rsidRPr="0071228C">
        <w:rPr>
          <w:noProof/>
        </w:rPr>
        <w:t>tępnie 80 tys.</w:t>
      </w:r>
      <w:r w:rsidR="00CC55C0" w:rsidRPr="0071228C">
        <w:rPr>
          <w:noProof/>
        </w:rPr>
        <w:t xml:space="preserve"> w</w:t>
      </w:r>
      <w:r w:rsidR="00CC55C0">
        <w:rPr>
          <w:noProof/>
        </w:rPr>
        <w:t> </w:t>
      </w:r>
      <w:r w:rsidR="00CC55C0" w:rsidRPr="0071228C">
        <w:rPr>
          <w:noProof/>
        </w:rPr>
        <w:t>2</w:t>
      </w:r>
      <w:r w:rsidRPr="0071228C">
        <w:rPr>
          <w:noProof/>
        </w:rPr>
        <w:t>. roku</w:t>
      </w:r>
      <w:r w:rsidR="00CC55C0" w:rsidRPr="0071228C">
        <w:rPr>
          <w:noProof/>
        </w:rPr>
        <w:t xml:space="preserve"> i</w:t>
      </w:r>
      <w:r w:rsidR="00CC55C0">
        <w:rPr>
          <w:noProof/>
        </w:rPr>
        <w:t> </w:t>
      </w:r>
      <w:r w:rsidR="00CC55C0" w:rsidRPr="0071228C">
        <w:rPr>
          <w:noProof/>
        </w:rPr>
        <w:t>w</w:t>
      </w:r>
      <w:r w:rsidR="00CC55C0">
        <w:rPr>
          <w:noProof/>
        </w:rPr>
        <w:t> </w:t>
      </w:r>
      <w:r w:rsidR="00CC55C0" w:rsidRPr="0071228C">
        <w:rPr>
          <w:noProof/>
        </w:rPr>
        <w:t>kol</w:t>
      </w:r>
      <w:r w:rsidRPr="0071228C">
        <w:rPr>
          <w:noProof/>
        </w:rPr>
        <w:t xml:space="preserve">ejnych latach. Opracowanie standardowej bazy danych dotyczących ponownego wykorzystania wody (w ramach wdrażania rozporządzenia </w:t>
      </w:r>
      <w:r w:rsidRPr="0071228C">
        <w:rPr>
          <w:rFonts w:ascii="Roboto" w:hAnsi="Roboto"/>
          <w:b/>
          <w:noProof/>
          <w:color w:val="333333"/>
          <w:sz w:val="21"/>
        </w:rPr>
        <w:t>(UE) 2020/741</w:t>
      </w:r>
      <w:r w:rsidR="00CC55C0" w:rsidRPr="0071228C">
        <w:rPr>
          <w:noProof/>
        </w:rPr>
        <w:t xml:space="preserve"> w</w:t>
      </w:r>
      <w:r w:rsidR="00CC55C0">
        <w:rPr>
          <w:noProof/>
        </w:rPr>
        <w:t> </w:t>
      </w:r>
      <w:r w:rsidR="00CC55C0" w:rsidRPr="0071228C">
        <w:rPr>
          <w:noProof/>
        </w:rPr>
        <w:t>spr</w:t>
      </w:r>
      <w:r w:rsidRPr="0071228C">
        <w:rPr>
          <w:noProof/>
        </w:rPr>
        <w:t>awie ponownego wykorzystania wody) oraz zarządzanie przepływem powiązanych danych</w:t>
      </w:r>
      <w:r w:rsidR="00CC55C0" w:rsidRPr="0071228C">
        <w:rPr>
          <w:noProof/>
        </w:rPr>
        <w:t xml:space="preserve"> i</w:t>
      </w:r>
      <w:r w:rsidR="00CC55C0">
        <w:rPr>
          <w:noProof/>
        </w:rPr>
        <w:t> </w:t>
      </w:r>
      <w:r w:rsidR="00CC55C0" w:rsidRPr="0071228C">
        <w:rPr>
          <w:noProof/>
        </w:rPr>
        <w:t>prz</w:t>
      </w:r>
      <w:r w:rsidRPr="0071228C">
        <w:rPr>
          <w:noProof/>
        </w:rPr>
        <w:t>ygotowywanie ogólnounijnych przeglądów. EEA będzie musiała zapewnić jakość kontroli, aby zagwarantować regularną sprawozdawczość państw członkowskich prowadzoną</w:t>
      </w:r>
      <w:r w:rsidR="00CC55C0" w:rsidRPr="0071228C">
        <w:rPr>
          <w:noProof/>
        </w:rPr>
        <w:t xml:space="preserve"> w</w:t>
      </w:r>
      <w:r w:rsidR="00CC55C0">
        <w:rPr>
          <w:noProof/>
        </w:rPr>
        <w:t> </w:t>
      </w:r>
      <w:r w:rsidR="00CC55C0" w:rsidRPr="0071228C">
        <w:rPr>
          <w:noProof/>
        </w:rPr>
        <w:t>spo</w:t>
      </w:r>
      <w:r w:rsidRPr="0071228C">
        <w:rPr>
          <w:noProof/>
        </w:rPr>
        <w:t>sób zharmonizowany</w:t>
      </w:r>
      <w:r w:rsidR="00CC55C0" w:rsidRPr="0071228C">
        <w:rPr>
          <w:noProof/>
        </w:rPr>
        <w:t xml:space="preserve"> i</w:t>
      </w:r>
      <w:r w:rsidR="00CC55C0">
        <w:rPr>
          <w:noProof/>
        </w:rPr>
        <w:t> </w:t>
      </w:r>
      <w:r w:rsidR="00CC55C0" w:rsidRPr="0071228C">
        <w:rPr>
          <w:noProof/>
        </w:rPr>
        <w:t>por</w:t>
      </w:r>
      <w:r w:rsidRPr="0071228C">
        <w:rPr>
          <w:noProof/>
        </w:rPr>
        <w:t xml:space="preserve">ównywalny (2 dodatkowych CA). Podsumowując, </w:t>
      </w:r>
      <w:r w:rsidRPr="0071228C">
        <w:rPr>
          <w:b/>
          <w:noProof/>
        </w:rPr>
        <w:t>dodatkowe zasoby, które zostaną przydzielone EEA na potrzeby zintegrowanej sprawozdawczości dotyczącej wód oraz prac związanych</w:t>
      </w:r>
      <w:r w:rsidR="00CC55C0" w:rsidRPr="0071228C">
        <w:rPr>
          <w:b/>
          <w:noProof/>
        </w:rPr>
        <w:t xml:space="preserve"> z</w:t>
      </w:r>
      <w:r w:rsidR="00CC55C0">
        <w:rPr>
          <w:b/>
          <w:noProof/>
        </w:rPr>
        <w:t> </w:t>
      </w:r>
      <w:r w:rsidR="00CC55C0" w:rsidRPr="0071228C">
        <w:rPr>
          <w:b/>
          <w:noProof/>
        </w:rPr>
        <w:t>pon</w:t>
      </w:r>
      <w:r w:rsidRPr="0071228C">
        <w:rPr>
          <w:b/>
          <w:noProof/>
        </w:rPr>
        <w:t>ownym wykorzystaniem wody, wynoszą 5 dodatkowych EPC,</w:t>
      </w:r>
      <w:r w:rsidR="00CC55C0" w:rsidRPr="0071228C">
        <w:rPr>
          <w:b/>
          <w:noProof/>
        </w:rPr>
        <w:t xml:space="preserve"> w</w:t>
      </w:r>
      <w:r w:rsidR="00CC55C0">
        <w:rPr>
          <w:b/>
          <w:noProof/>
        </w:rPr>
        <w:t> </w:t>
      </w:r>
      <w:r w:rsidR="00CC55C0" w:rsidRPr="0071228C">
        <w:rPr>
          <w:b/>
          <w:noProof/>
        </w:rPr>
        <w:t>pod</w:t>
      </w:r>
      <w:r w:rsidRPr="0071228C">
        <w:rPr>
          <w:b/>
          <w:noProof/>
        </w:rPr>
        <w:t xml:space="preserve">ziale </w:t>
      </w:r>
      <w:r w:rsidRPr="00CC55C0">
        <w:rPr>
          <w:b/>
          <w:noProof/>
        </w:rPr>
        <w:t>na</w:t>
      </w:r>
      <w:r w:rsidR="00CC55C0" w:rsidRPr="00CC55C0">
        <w:rPr>
          <w:b/>
          <w:noProof/>
        </w:rPr>
        <w:t> </w:t>
      </w:r>
      <w:r w:rsidRPr="00CC55C0">
        <w:rPr>
          <w:b/>
          <w:noProof/>
        </w:rPr>
        <w:t>3</w:t>
      </w:r>
      <w:r w:rsidRPr="0071228C">
        <w:rPr>
          <w:b/>
          <w:noProof/>
        </w:rPr>
        <w:t xml:space="preserve"> TA</w:t>
      </w:r>
      <w:r w:rsidR="00CC55C0" w:rsidRPr="0071228C">
        <w:rPr>
          <w:b/>
          <w:noProof/>
        </w:rPr>
        <w:t xml:space="preserve"> i</w:t>
      </w:r>
      <w:r w:rsidR="00CC55C0">
        <w:rPr>
          <w:b/>
          <w:noProof/>
        </w:rPr>
        <w:t> </w:t>
      </w:r>
      <w:r w:rsidR="00CC55C0" w:rsidRPr="0071228C">
        <w:rPr>
          <w:b/>
          <w:noProof/>
        </w:rPr>
        <w:t>2</w:t>
      </w:r>
      <w:r w:rsidRPr="0071228C">
        <w:rPr>
          <w:b/>
          <w:noProof/>
        </w:rPr>
        <w:t xml:space="preserve"> CA.</w:t>
      </w:r>
    </w:p>
    <w:p w14:paraId="05D6549D" w14:textId="7F8083BD" w:rsidR="001C0111" w:rsidRPr="0071228C" w:rsidRDefault="001C0111" w:rsidP="001C0111">
      <w:pPr>
        <w:tabs>
          <w:tab w:val="num" w:pos="1417"/>
        </w:tabs>
        <w:ind w:left="1417" w:hanging="567"/>
        <w:rPr>
          <w:noProof/>
        </w:rPr>
      </w:pPr>
      <w:r w:rsidRPr="0071228C">
        <w:rPr>
          <w:noProof/>
        </w:rPr>
        <w:t>Ekspert ds. dyrektywy dotyczącej oczyszczania ścieków komunalnych (</w:t>
      </w:r>
      <w:r w:rsidRPr="0071228C">
        <w:rPr>
          <w:b/>
          <w:noProof/>
        </w:rPr>
        <w:t>1 dodatkowy CA</w:t>
      </w:r>
      <w:r w:rsidRPr="0071228C">
        <w:rPr>
          <w:noProof/>
        </w:rPr>
        <w:t>)</w:t>
      </w:r>
      <w:r w:rsidR="00CC55C0" w:rsidRPr="0071228C">
        <w:rPr>
          <w:noProof/>
        </w:rPr>
        <w:t xml:space="preserve"> i</w:t>
      </w:r>
      <w:r w:rsidR="00CC55C0">
        <w:rPr>
          <w:noProof/>
        </w:rPr>
        <w:t> </w:t>
      </w:r>
      <w:r w:rsidR="00CC55C0" w:rsidRPr="0071228C">
        <w:rPr>
          <w:noProof/>
        </w:rPr>
        <w:t>wsp</w:t>
      </w:r>
      <w:r w:rsidRPr="0071228C">
        <w:rPr>
          <w:noProof/>
        </w:rPr>
        <w:t>arcie informatyczne</w:t>
      </w:r>
      <w:r w:rsidR="00CC55C0" w:rsidRPr="0071228C">
        <w:rPr>
          <w:noProof/>
        </w:rPr>
        <w:t xml:space="preserve"> w</w:t>
      </w:r>
      <w:r w:rsidR="00CC55C0">
        <w:rPr>
          <w:noProof/>
        </w:rPr>
        <w:t> </w:t>
      </w:r>
      <w:r w:rsidR="00CC55C0" w:rsidRPr="0071228C">
        <w:rPr>
          <w:noProof/>
        </w:rPr>
        <w:t>cel</w:t>
      </w:r>
      <w:r w:rsidRPr="0071228C">
        <w:rPr>
          <w:noProof/>
        </w:rPr>
        <w:t>u utworzenia</w:t>
      </w:r>
      <w:r w:rsidR="00CC55C0" w:rsidRPr="0071228C">
        <w:rPr>
          <w:noProof/>
        </w:rPr>
        <w:t xml:space="preserve"> i</w:t>
      </w:r>
      <w:r w:rsidR="00CC55C0">
        <w:rPr>
          <w:noProof/>
        </w:rPr>
        <w:t> </w:t>
      </w:r>
      <w:r w:rsidR="00CC55C0" w:rsidRPr="0071228C">
        <w:rPr>
          <w:noProof/>
        </w:rPr>
        <w:t>dos</w:t>
      </w:r>
      <w:r w:rsidRPr="0071228C">
        <w:rPr>
          <w:noProof/>
        </w:rPr>
        <w:t>tosowania baz danych</w:t>
      </w:r>
      <w:r w:rsidR="00CC55C0" w:rsidRPr="0071228C">
        <w:rPr>
          <w:noProof/>
        </w:rPr>
        <w:t xml:space="preserve"> w</w:t>
      </w:r>
      <w:r w:rsidR="00CC55C0">
        <w:rPr>
          <w:noProof/>
        </w:rPr>
        <w:t> </w:t>
      </w:r>
      <w:r w:rsidR="00CC55C0" w:rsidRPr="0071228C">
        <w:rPr>
          <w:noProof/>
        </w:rPr>
        <w:t>zwi</w:t>
      </w:r>
      <w:r w:rsidRPr="0071228C">
        <w:rPr>
          <w:noProof/>
        </w:rPr>
        <w:t>ązku</w:t>
      </w:r>
      <w:r w:rsidR="00CC55C0" w:rsidRPr="0071228C">
        <w:rPr>
          <w:noProof/>
        </w:rPr>
        <w:t xml:space="preserve"> z</w:t>
      </w:r>
      <w:r w:rsidR="00CC55C0">
        <w:rPr>
          <w:noProof/>
        </w:rPr>
        <w:t> </w:t>
      </w:r>
      <w:r w:rsidR="00CC55C0" w:rsidRPr="00CC55C0">
        <w:rPr>
          <w:noProof/>
        </w:rPr>
        <w:t>art</w:t>
      </w:r>
      <w:r w:rsidRPr="00CC55C0">
        <w:rPr>
          <w:noProof/>
        </w:rPr>
        <w:t>.</w:t>
      </w:r>
      <w:r w:rsidR="00CC55C0" w:rsidRPr="00CC55C0">
        <w:rPr>
          <w:noProof/>
        </w:rPr>
        <w:t> </w:t>
      </w:r>
      <w:r w:rsidRPr="00CC55C0">
        <w:rPr>
          <w:noProof/>
        </w:rPr>
        <w:t>2</w:t>
      </w:r>
      <w:r w:rsidRPr="0071228C">
        <w:rPr>
          <w:noProof/>
        </w:rPr>
        <w:t>0 proponowanej wersji przekształconej dyrektywy dotyczącej oczyszczania ścieków komunalnych. Będzie to również wsparcie prac nad nowymi wskaźnikami zgodności, np. dotyczącymi energii, mikrozanieczyszczeń, które są obecnie wskazane</w:t>
      </w:r>
      <w:r w:rsidR="00CC55C0" w:rsidRPr="0071228C">
        <w:rPr>
          <w:noProof/>
        </w:rPr>
        <w:t xml:space="preserve"> w</w:t>
      </w:r>
      <w:r w:rsidR="00CC55C0">
        <w:rPr>
          <w:noProof/>
        </w:rPr>
        <w:t> </w:t>
      </w:r>
      <w:r w:rsidR="00CC55C0" w:rsidRPr="0071228C">
        <w:rPr>
          <w:noProof/>
        </w:rPr>
        <w:t>now</w:t>
      </w:r>
      <w:r w:rsidRPr="0071228C">
        <w:rPr>
          <w:noProof/>
        </w:rPr>
        <w:t>ym wniosku ustawodawczym</w:t>
      </w:r>
      <w:r w:rsidR="00CC55C0" w:rsidRPr="0071228C">
        <w:rPr>
          <w:noProof/>
        </w:rPr>
        <w:t xml:space="preserve"> w</w:t>
      </w:r>
      <w:r w:rsidR="00CC55C0">
        <w:rPr>
          <w:noProof/>
        </w:rPr>
        <w:t> </w:t>
      </w:r>
      <w:r w:rsidR="00CC55C0" w:rsidRPr="0071228C">
        <w:rPr>
          <w:noProof/>
        </w:rPr>
        <w:t>dyr</w:t>
      </w:r>
      <w:r w:rsidRPr="0071228C">
        <w:rPr>
          <w:noProof/>
        </w:rPr>
        <w:t>ektywie. Będzie również służyło do zmiany</w:t>
      </w:r>
      <w:r w:rsidR="00CC55C0" w:rsidRPr="0071228C">
        <w:rPr>
          <w:noProof/>
        </w:rPr>
        <w:t xml:space="preserve"> i</w:t>
      </w:r>
      <w:r w:rsidR="00CC55C0">
        <w:rPr>
          <w:noProof/>
        </w:rPr>
        <w:t> </w:t>
      </w:r>
      <w:r w:rsidR="00CC55C0" w:rsidRPr="0071228C">
        <w:rPr>
          <w:noProof/>
        </w:rPr>
        <w:t>uak</w:t>
      </w:r>
      <w:r w:rsidRPr="0071228C">
        <w:rPr>
          <w:noProof/>
        </w:rPr>
        <w:t>tualnienia profili krajowych</w:t>
      </w:r>
      <w:r w:rsidR="00CC55C0" w:rsidRPr="0071228C">
        <w:rPr>
          <w:noProof/>
        </w:rPr>
        <w:t xml:space="preserve"> w</w:t>
      </w:r>
      <w:r w:rsidR="00CC55C0">
        <w:rPr>
          <w:noProof/>
        </w:rPr>
        <w:t> </w:t>
      </w:r>
      <w:r w:rsidR="00CC55C0" w:rsidRPr="0071228C">
        <w:rPr>
          <w:noProof/>
        </w:rPr>
        <w:t>dyr</w:t>
      </w:r>
      <w:r w:rsidRPr="0071228C">
        <w:rPr>
          <w:noProof/>
        </w:rPr>
        <w:t>ektywie dotyczącej oczyszczania ścieków komunalnych, które obecnie zajmują miejsce raportów krajowych https://water.europa.eu/freshwater/countries/uwwtIt oraz do zmiany dotychczasowych przepływów danych, tak aby mogły one uwzględniać nowe wymogi dotyczące sprawozdawczości. Podjęte zostaną działania</w:t>
      </w:r>
      <w:r w:rsidR="00CC55C0" w:rsidRPr="0071228C">
        <w:rPr>
          <w:noProof/>
        </w:rPr>
        <w:t xml:space="preserve"> w</w:t>
      </w:r>
      <w:r w:rsidR="00CC55C0">
        <w:rPr>
          <w:noProof/>
        </w:rPr>
        <w:t> </w:t>
      </w:r>
      <w:r w:rsidR="00CC55C0" w:rsidRPr="0071228C">
        <w:rPr>
          <w:noProof/>
        </w:rPr>
        <w:t>cel</w:t>
      </w:r>
      <w:r w:rsidRPr="0071228C">
        <w:rPr>
          <w:noProof/>
        </w:rPr>
        <w:t>u dalszego usprawnienia za pomocą powiązanych przepływów danych (np. europejski PRTR i WISE). Zapotrzebowanie na wsparcie informatyczne wynosi łącznie 760 tys.,</w:t>
      </w:r>
      <w:r w:rsidR="00CC55C0" w:rsidRPr="0071228C">
        <w:rPr>
          <w:noProof/>
        </w:rPr>
        <w:t xml:space="preserve"> z</w:t>
      </w:r>
      <w:r w:rsidR="00CC55C0">
        <w:rPr>
          <w:noProof/>
        </w:rPr>
        <w:t> </w:t>
      </w:r>
      <w:r w:rsidR="00CC55C0" w:rsidRPr="0071228C">
        <w:rPr>
          <w:noProof/>
        </w:rPr>
        <w:t>cze</w:t>
      </w:r>
      <w:r w:rsidRPr="0071228C">
        <w:rPr>
          <w:noProof/>
        </w:rPr>
        <w:t xml:space="preserve">go 240 tys. przypada </w:t>
      </w:r>
      <w:r w:rsidRPr="00CC55C0">
        <w:rPr>
          <w:noProof/>
        </w:rPr>
        <w:t>na</w:t>
      </w:r>
      <w:r w:rsidR="00CC55C0" w:rsidRPr="00CC55C0">
        <w:rPr>
          <w:noProof/>
        </w:rPr>
        <w:t> </w:t>
      </w:r>
      <w:r w:rsidRPr="00CC55C0">
        <w:rPr>
          <w:noProof/>
        </w:rPr>
        <w:t>1</w:t>
      </w:r>
      <w:r w:rsidRPr="0071228C">
        <w:rPr>
          <w:noProof/>
        </w:rPr>
        <w:t xml:space="preserve">. rok, 260 tys. </w:t>
      </w:r>
      <w:r w:rsidRPr="00CC55C0">
        <w:rPr>
          <w:noProof/>
        </w:rPr>
        <w:t>na</w:t>
      </w:r>
      <w:r w:rsidR="00CC55C0" w:rsidRPr="00CC55C0">
        <w:rPr>
          <w:noProof/>
        </w:rPr>
        <w:t> </w:t>
      </w:r>
      <w:r w:rsidRPr="00CC55C0">
        <w:rPr>
          <w:noProof/>
        </w:rPr>
        <w:t>2</w:t>
      </w:r>
      <w:r w:rsidRPr="0071228C">
        <w:rPr>
          <w:noProof/>
        </w:rPr>
        <w:t>. rok,</w:t>
      </w:r>
      <w:r w:rsidR="00CC55C0" w:rsidRPr="0071228C">
        <w:rPr>
          <w:noProof/>
        </w:rPr>
        <w:t xml:space="preserve"> a</w:t>
      </w:r>
      <w:r w:rsidR="00CC55C0">
        <w:rPr>
          <w:noProof/>
        </w:rPr>
        <w:t> </w:t>
      </w:r>
      <w:r w:rsidR="00CC55C0" w:rsidRPr="0071228C">
        <w:rPr>
          <w:noProof/>
        </w:rPr>
        <w:t>nas</w:t>
      </w:r>
      <w:r w:rsidRPr="0071228C">
        <w:rPr>
          <w:noProof/>
        </w:rPr>
        <w:t>tępnie 130 tys. na kolejne lata.</w:t>
      </w:r>
    </w:p>
    <w:p w14:paraId="0A78BF90" w14:textId="407FD132" w:rsidR="001C0111" w:rsidRPr="0071228C" w:rsidRDefault="001C0111" w:rsidP="001C0111">
      <w:pPr>
        <w:tabs>
          <w:tab w:val="num" w:pos="1417"/>
        </w:tabs>
        <w:ind w:left="1417" w:hanging="567"/>
        <w:jc w:val="left"/>
        <w:rPr>
          <w:noProof/>
        </w:rPr>
      </w:pPr>
      <w:r w:rsidRPr="0071228C">
        <w:rPr>
          <w:noProof/>
        </w:rPr>
        <w:t>Zadania związane ze sprawozdawczością</w:t>
      </w:r>
      <w:r w:rsidR="00CC55C0" w:rsidRPr="0071228C">
        <w:rPr>
          <w:noProof/>
        </w:rPr>
        <w:t xml:space="preserve"> i</w:t>
      </w:r>
      <w:r w:rsidR="00CC55C0">
        <w:rPr>
          <w:noProof/>
        </w:rPr>
        <w:t> </w:t>
      </w:r>
      <w:r w:rsidR="00CC55C0" w:rsidRPr="0071228C">
        <w:rPr>
          <w:noProof/>
        </w:rPr>
        <w:t>wym</w:t>
      </w:r>
      <w:r w:rsidRPr="0071228C">
        <w:rPr>
          <w:noProof/>
        </w:rPr>
        <w:t>ianą danych dotyczących jakości powietrza będą wymagały środków na rozbudowę</w:t>
      </w:r>
      <w:r w:rsidR="00CC55C0" w:rsidRPr="0071228C">
        <w:rPr>
          <w:noProof/>
        </w:rPr>
        <w:t xml:space="preserve"> i</w:t>
      </w:r>
      <w:r w:rsidR="00CC55C0">
        <w:rPr>
          <w:noProof/>
        </w:rPr>
        <w:t> </w:t>
      </w:r>
      <w:r w:rsidR="00CC55C0" w:rsidRPr="0071228C">
        <w:rPr>
          <w:noProof/>
        </w:rPr>
        <w:t>dal</w:t>
      </w:r>
      <w:r w:rsidRPr="0071228C">
        <w:rPr>
          <w:noProof/>
        </w:rPr>
        <w:t>sze utrzymanie istniejącego portalu</w:t>
      </w:r>
      <w:r w:rsidR="00CC55C0" w:rsidRPr="0071228C">
        <w:rPr>
          <w:noProof/>
        </w:rPr>
        <w:t xml:space="preserve"> i</w:t>
      </w:r>
      <w:r w:rsidR="00CC55C0">
        <w:rPr>
          <w:noProof/>
        </w:rPr>
        <w:t> </w:t>
      </w:r>
      <w:r w:rsidR="00CC55C0" w:rsidRPr="0071228C">
        <w:rPr>
          <w:noProof/>
        </w:rPr>
        <w:t>rep</w:t>
      </w:r>
      <w:r w:rsidRPr="0071228C">
        <w:rPr>
          <w:noProof/>
        </w:rPr>
        <w:t>ozytorium danych dotyczących jakości powietrza. Zadania związane</w:t>
      </w:r>
      <w:r w:rsidR="00CC55C0" w:rsidRPr="0071228C">
        <w:rPr>
          <w:noProof/>
        </w:rPr>
        <w:t xml:space="preserve"> z</w:t>
      </w:r>
      <w:r w:rsidR="00CC55C0">
        <w:rPr>
          <w:noProof/>
        </w:rPr>
        <w:t> </w:t>
      </w:r>
      <w:r w:rsidR="00CC55C0" w:rsidRPr="0071228C">
        <w:rPr>
          <w:noProof/>
        </w:rPr>
        <w:t>oce</w:t>
      </w:r>
      <w:r w:rsidRPr="0071228C">
        <w:rPr>
          <w:noProof/>
        </w:rPr>
        <w:t>ną jakości powietrza będą wymagały środków na rozszerzenie obecnie wykonywanych rocznych ocen jakości powietrza, zwłaszcza</w:t>
      </w:r>
      <w:r w:rsidR="00CC55C0" w:rsidRPr="0071228C">
        <w:rPr>
          <w:noProof/>
        </w:rPr>
        <w:t xml:space="preserve"> w</w:t>
      </w:r>
      <w:r w:rsidR="00CC55C0">
        <w:rPr>
          <w:noProof/>
        </w:rPr>
        <w:t> </w:t>
      </w:r>
      <w:r w:rsidR="00CC55C0" w:rsidRPr="0071228C">
        <w:rPr>
          <w:noProof/>
        </w:rPr>
        <w:t>odn</w:t>
      </w:r>
      <w:r w:rsidRPr="0071228C">
        <w:rPr>
          <w:noProof/>
        </w:rPr>
        <w:t>iesieniu do nowych substancji zanieczyszczających oraz powiązań między zanieczyszczeniem powietrza, zmianami klimatu, zdrowiem ludzi</w:t>
      </w:r>
      <w:r w:rsidR="00CC55C0" w:rsidRPr="0071228C">
        <w:rPr>
          <w:noProof/>
        </w:rPr>
        <w:t xml:space="preserve"> i</w:t>
      </w:r>
      <w:r w:rsidR="00CC55C0">
        <w:rPr>
          <w:noProof/>
        </w:rPr>
        <w:t> </w:t>
      </w:r>
      <w:r w:rsidR="00CC55C0" w:rsidRPr="0071228C">
        <w:rPr>
          <w:noProof/>
        </w:rPr>
        <w:t>eko</w:t>
      </w:r>
      <w:r w:rsidRPr="0071228C">
        <w:rPr>
          <w:noProof/>
        </w:rPr>
        <w:t>systemów. Będzie to wymagało dodatkowych, szczególnych kompetencji,</w:t>
      </w:r>
      <w:r w:rsidR="00CC55C0" w:rsidRPr="0071228C">
        <w:rPr>
          <w:noProof/>
        </w:rPr>
        <w:t xml:space="preserve"> a</w:t>
      </w:r>
      <w:r w:rsidR="00CC55C0">
        <w:rPr>
          <w:noProof/>
        </w:rPr>
        <w:t> </w:t>
      </w:r>
      <w:r w:rsidR="00CC55C0" w:rsidRPr="0071228C">
        <w:rPr>
          <w:noProof/>
        </w:rPr>
        <w:t>zat</w:t>
      </w:r>
      <w:r w:rsidRPr="0071228C">
        <w:rPr>
          <w:noProof/>
        </w:rPr>
        <w:t xml:space="preserve">em </w:t>
      </w:r>
      <w:r w:rsidRPr="0071228C">
        <w:rPr>
          <w:b/>
          <w:noProof/>
        </w:rPr>
        <w:t>dodatkowego, długoterminowego personelu specjalistycznego (2 EPC,</w:t>
      </w:r>
      <w:r w:rsidR="00CC55C0" w:rsidRPr="0071228C">
        <w:rPr>
          <w:b/>
          <w:noProof/>
        </w:rPr>
        <w:t xml:space="preserve"> w</w:t>
      </w:r>
      <w:r w:rsidR="00CC55C0">
        <w:rPr>
          <w:b/>
          <w:noProof/>
        </w:rPr>
        <w:t> </w:t>
      </w:r>
      <w:r w:rsidR="00CC55C0" w:rsidRPr="0071228C">
        <w:rPr>
          <w:b/>
          <w:noProof/>
        </w:rPr>
        <w:t>obu</w:t>
      </w:r>
      <w:r w:rsidRPr="0071228C">
        <w:rPr>
          <w:b/>
          <w:noProof/>
        </w:rPr>
        <w:t xml:space="preserve"> przypadkach TA)</w:t>
      </w:r>
      <w:r w:rsidRPr="0071228C">
        <w:rPr>
          <w:noProof/>
        </w:rPr>
        <w:t>.</w:t>
      </w:r>
    </w:p>
    <w:p w14:paraId="5559B773" w14:textId="77777777" w:rsidR="001C0111" w:rsidRPr="0071228C" w:rsidRDefault="001C0111" w:rsidP="001C0111">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81"/>
        <w:gridCol w:w="1134"/>
        <w:gridCol w:w="992"/>
        <w:gridCol w:w="1134"/>
        <w:gridCol w:w="992"/>
        <w:gridCol w:w="1760"/>
      </w:tblGrid>
      <w:tr w:rsidR="001C0111" w:rsidRPr="0071228C" w14:paraId="57EA8EC1" w14:textId="77777777" w:rsidTr="00EE4772">
        <w:trPr>
          <w:trHeight w:val="277"/>
        </w:trPr>
        <w:tc>
          <w:tcPr>
            <w:tcW w:w="3960" w:type="dxa"/>
            <w:vMerge w:val="restart"/>
            <w:vAlign w:val="center"/>
          </w:tcPr>
          <w:p w14:paraId="6DDFA332" w14:textId="77777777" w:rsidR="001C0111" w:rsidRPr="0071228C" w:rsidRDefault="001C0111" w:rsidP="001C0111">
            <w:pPr>
              <w:spacing w:before="20" w:after="20"/>
              <w:rPr>
                <w:noProof/>
              </w:rPr>
            </w:pPr>
            <w:r w:rsidRPr="0071228C">
              <w:rPr>
                <w:noProof/>
              </w:rPr>
              <w:br w:type="page"/>
            </w:r>
            <w:r w:rsidRPr="0071228C">
              <w:rPr>
                <w:rFonts w:ascii="Wingdings" w:hAnsi="Wingdings"/>
                <w:noProof/>
                <w:sz w:val="21"/>
              </w:rPr>
              <w:t>□</w:t>
            </w:r>
            <w:r w:rsidRPr="0071228C">
              <w:rPr>
                <w:noProof/>
                <w:sz w:val="21"/>
              </w:rPr>
              <w:t xml:space="preserve"> OGÓŁEM środki operacyjne </w:t>
            </w:r>
          </w:p>
        </w:tc>
        <w:tc>
          <w:tcPr>
            <w:tcW w:w="1440" w:type="dxa"/>
            <w:vAlign w:val="center"/>
          </w:tcPr>
          <w:p w14:paraId="3784AF00" w14:textId="77777777" w:rsidR="001C0111" w:rsidRPr="0071228C" w:rsidRDefault="001C0111" w:rsidP="001C0111">
            <w:pPr>
              <w:spacing w:beforeLines="20" w:before="48" w:afterLines="20" w:after="48"/>
              <w:rPr>
                <w:noProof/>
                <w:sz w:val="18"/>
                <w:lang w:eastAsia="en-GB"/>
              </w:rPr>
            </w:pPr>
          </w:p>
        </w:tc>
        <w:tc>
          <w:tcPr>
            <w:tcW w:w="654" w:type="dxa"/>
            <w:vAlign w:val="center"/>
          </w:tcPr>
          <w:p w14:paraId="783A53F6" w14:textId="77777777" w:rsidR="001C0111" w:rsidRPr="0071228C" w:rsidRDefault="001C0111" w:rsidP="001C0111">
            <w:pPr>
              <w:spacing w:beforeLines="20" w:before="48" w:afterLines="20" w:after="48"/>
              <w:jc w:val="center"/>
              <w:rPr>
                <w:noProof/>
                <w:sz w:val="14"/>
                <w:lang w:eastAsia="en-GB"/>
              </w:rPr>
            </w:pPr>
          </w:p>
        </w:tc>
        <w:tc>
          <w:tcPr>
            <w:tcW w:w="1281" w:type="dxa"/>
            <w:vAlign w:val="center"/>
          </w:tcPr>
          <w:p w14:paraId="70B3F0B6" w14:textId="77777777" w:rsidR="001C0111" w:rsidRPr="0071228C" w:rsidRDefault="001C0111" w:rsidP="001C0111">
            <w:pPr>
              <w:spacing w:before="20" w:after="20"/>
              <w:jc w:val="right"/>
              <w:rPr>
                <w:b/>
                <w:noProof/>
                <w:sz w:val="20"/>
              </w:rPr>
            </w:pPr>
            <w:r w:rsidRPr="0071228C">
              <w:rPr>
                <w:b/>
                <w:noProof/>
                <w:sz w:val="20"/>
              </w:rPr>
              <w:t>2023</w:t>
            </w:r>
          </w:p>
        </w:tc>
        <w:tc>
          <w:tcPr>
            <w:tcW w:w="1134" w:type="dxa"/>
            <w:vAlign w:val="center"/>
          </w:tcPr>
          <w:p w14:paraId="42266922" w14:textId="77777777" w:rsidR="001C0111" w:rsidRPr="0071228C" w:rsidRDefault="001C0111" w:rsidP="001C0111">
            <w:pPr>
              <w:spacing w:before="20" w:after="20"/>
              <w:jc w:val="right"/>
              <w:rPr>
                <w:b/>
                <w:noProof/>
                <w:sz w:val="20"/>
              </w:rPr>
            </w:pPr>
            <w:r w:rsidRPr="0071228C">
              <w:rPr>
                <w:b/>
                <w:noProof/>
                <w:sz w:val="20"/>
              </w:rPr>
              <w:t>2024</w:t>
            </w:r>
          </w:p>
        </w:tc>
        <w:tc>
          <w:tcPr>
            <w:tcW w:w="992" w:type="dxa"/>
            <w:vAlign w:val="center"/>
          </w:tcPr>
          <w:p w14:paraId="569C104C" w14:textId="77777777" w:rsidR="001C0111" w:rsidRPr="0071228C" w:rsidRDefault="001C0111" w:rsidP="001C0111">
            <w:pPr>
              <w:spacing w:before="20" w:after="20"/>
              <w:jc w:val="right"/>
              <w:rPr>
                <w:noProof/>
                <w:sz w:val="20"/>
              </w:rPr>
            </w:pPr>
            <w:r w:rsidRPr="0071228C">
              <w:rPr>
                <w:b/>
                <w:noProof/>
                <w:sz w:val="20"/>
              </w:rPr>
              <w:t>2025</w:t>
            </w:r>
          </w:p>
        </w:tc>
        <w:tc>
          <w:tcPr>
            <w:tcW w:w="1134" w:type="dxa"/>
            <w:vAlign w:val="center"/>
          </w:tcPr>
          <w:p w14:paraId="3C2A105F" w14:textId="77777777" w:rsidR="001C0111" w:rsidRPr="0071228C" w:rsidRDefault="001C0111" w:rsidP="001C0111">
            <w:pPr>
              <w:spacing w:before="20" w:after="20"/>
              <w:jc w:val="right"/>
              <w:rPr>
                <w:noProof/>
                <w:sz w:val="20"/>
              </w:rPr>
            </w:pPr>
            <w:r w:rsidRPr="0071228C">
              <w:rPr>
                <w:b/>
                <w:noProof/>
                <w:sz w:val="20"/>
              </w:rPr>
              <w:t>2026</w:t>
            </w:r>
          </w:p>
        </w:tc>
        <w:tc>
          <w:tcPr>
            <w:tcW w:w="992" w:type="dxa"/>
            <w:vAlign w:val="center"/>
          </w:tcPr>
          <w:p w14:paraId="34C2E168" w14:textId="77777777" w:rsidR="001C0111" w:rsidRPr="0071228C" w:rsidRDefault="001C0111" w:rsidP="001C0111">
            <w:pPr>
              <w:spacing w:before="20" w:after="20"/>
              <w:jc w:val="right"/>
              <w:rPr>
                <w:noProof/>
                <w:sz w:val="20"/>
              </w:rPr>
            </w:pPr>
            <w:r w:rsidRPr="0071228C">
              <w:rPr>
                <w:b/>
                <w:noProof/>
                <w:sz w:val="20"/>
              </w:rPr>
              <w:t>2027</w:t>
            </w:r>
          </w:p>
        </w:tc>
        <w:tc>
          <w:tcPr>
            <w:tcW w:w="1760" w:type="dxa"/>
            <w:vAlign w:val="center"/>
          </w:tcPr>
          <w:p w14:paraId="334E24E7" w14:textId="77777777" w:rsidR="001C0111" w:rsidRPr="0071228C" w:rsidRDefault="001C0111" w:rsidP="001C0111">
            <w:pPr>
              <w:spacing w:before="20" w:after="20"/>
              <w:jc w:val="right"/>
              <w:rPr>
                <w:b/>
                <w:noProof/>
                <w:sz w:val="20"/>
              </w:rPr>
            </w:pPr>
            <w:r w:rsidRPr="0071228C">
              <w:rPr>
                <w:b/>
                <w:noProof/>
                <w:sz w:val="20"/>
              </w:rPr>
              <w:t>OGÓŁEM</w:t>
            </w:r>
          </w:p>
        </w:tc>
      </w:tr>
      <w:tr w:rsidR="001C0111" w:rsidRPr="0071228C" w14:paraId="57B5ABA7" w14:textId="77777777" w:rsidTr="00EE4772">
        <w:trPr>
          <w:trHeight w:val="277"/>
        </w:trPr>
        <w:tc>
          <w:tcPr>
            <w:tcW w:w="3960" w:type="dxa"/>
            <w:vMerge/>
            <w:vAlign w:val="center"/>
          </w:tcPr>
          <w:p w14:paraId="5C735DF9" w14:textId="77777777" w:rsidR="001C0111" w:rsidRPr="0071228C" w:rsidRDefault="001C0111" w:rsidP="001C0111">
            <w:pPr>
              <w:spacing w:before="20" w:after="20"/>
              <w:rPr>
                <w:noProof/>
                <w:sz w:val="22"/>
                <w:lang w:eastAsia="en-GB"/>
              </w:rPr>
            </w:pPr>
          </w:p>
        </w:tc>
        <w:tc>
          <w:tcPr>
            <w:tcW w:w="1440" w:type="dxa"/>
            <w:vAlign w:val="center"/>
          </w:tcPr>
          <w:p w14:paraId="50E90DD2" w14:textId="77777777" w:rsidR="001C0111" w:rsidRPr="0071228C" w:rsidRDefault="001C0111" w:rsidP="001C0111">
            <w:pPr>
              <w:spacing w:beforeLines="20" w:before="48" w:afterLines="20" w:after="48"/>
              <w:rPr>
                <w:noProof/>
                <w:sz w:val="18"/>
              </w:rPr>
            </w:pPr>
            <w:r w:rsidRPr="0071228C">
              <w:rPr>
                <w:noProof/>
                <w:sz w:val="18"/>
              </w:rPr>
              <w:t>Środki na zobowiązania</w:t>
            </w:r>
          </w:p>
        </w:tc>
        <w:tc>
          <w:tcPr>
            <w:tcW w:w="654" w:type="dxa"/>
            <w:vAlign w:val="center"/>
          </w:tcPr>
          <w:p w14:paraId="17C40E81" w14:textId="77777777" w:rsidR="001C0111" w:rsidRPr="0071228C" w:rsidRDefault="001C0111" w:rsidP="001C0111">
            <w:pPr>
              <w:spacing w:beforeLines="20" w:before="48" w:afterLines="20" w:after="48"/>
              <w:jc w:val="center"/>
              <w:rPr>
                <w:noProof/>
                <w:sz w:val="14"/>
              </w:rPr>
            </w:pPr>
            <w:r w:rsidRPr="0071228C">
              <w:rPr>
                <w:noProof/>
                <w:sz w:val="14"/>
              </w:rPr>
              <w:t>(4)</w:t>
            </w:r>
          </w:p>
        </w:tc>
        <w:tc>
          <w:tcPr>
            <w:tcW w:w="1281" w:type="dxa"/>
            <w:vAlign w:val="center"/>
          </w:tcPr>
          <w:p w14:paraId="576D1CD7" w14:textId="77777777" w:rsidR="001C0111" w:rsidRPr="0071228C" w:rsidRDefault="001C0111" w:rsidP="001C0111">
            <w:pPr>
              <w:spacing w:before="20" w:after="20"/>
              <w:jc w:val="right"/>
              <w:rPr>
                <w:noProof/>
                <w:sz w:val="20"/>
                <w:lang w:eastAsia="en-GB"/>
              </w:rPr>
            </w:pPr>
          </w:p>
        </w:tc>
        <w:tc>
          <w:tcPr>
            <w:tcW w:w="1134" w:type="dxa"/>
            <w:vAlign w:val="center"/>
          </w:tcPr>
          <w:p w14:paraId="0FF843DE" w14:textId="77777777" w:rsidR="001C0111" w:rsidRPr="0071228C" w:rsidRDefault="001C0111" w:rsidP="001C0111">
            <w:pPr>
              <w:spacing w:before="20" w:after="20"/>
              <w:jc w:val="right"/>
              <w:rPr>
                <w:noProof/>
                <w:sz w:val="20"/>
                <w:lang w:eastAsia="en-GB"/>
              </w:rPr>
            </w:pPr>
          </w:p>
        </w:tc>
        <w:tc>
          <w:tcPr>
            <w:tcW w:w="992" w:type="dxa"/>
            <w:vAlign w:val="center"/>
          </w:tcPr>
          <w:p w14:paraId="4250545F" w14:textId="77777777" w:rsidR="001C0111" w:rsidRPr="0071228C" w:rsidRDefault="001C0111" w:rsidP="001C0111">
            <w:pPr>
              <w:spacing w:before="20" w:after="20"/>
              <w:jc w:val="right"/>
              <w:rPr>
                <w:noProof/>
                <w:sz w:val="20"/>
                <w:lang w:eastAsia="en-GB"/>
              </w:rPr>
            </w:pPr>
          </w:p>
        </w:tc>
        <w:tc>
          <w:tcPr>
            <w:tcW w:w="1134" w:type="dxa"/>
            <w:vAlign w:val="center"/>
          </w:tcPr>
          <w:p w14:paraId="1EC1873F" w14:textId="77777777" w:rsidR="001C0111" w:rsidRPr="0071228C" w:rsidRDefault="001C0111" w:rsidP="001C0111">
            <w:pPr>
              <w:spacing w:before="20" w:after="20"/>
              <w:jc w:val="right"/>
              <w:rPr>
                <w:noProof/>
                <w:sz w:val="20"/>
                <w:lang w:eastAsia="en-GB"/>
              </w:rPr>
            </w:pPr>
          </w:p>
        </w:tc>
        <w:tc>
          <w:tcPr>
            <w:tcW w:w="992" w:type="dxa"/>
            <w:vAlign w:val="center"/>
          </w:tcPr>
          <w:p w14:paraId="016E4159" w14:textId="77777777" w:rsidR="001C0111" w:rsidRPr="0071228C" w:rsidRDefault="001C0111" w:rsidP="001C0111">
            <w:pPr>
              <w:spacing w:before="20" w:after="20"/>
              <w:jc w:val="right"/>
              <w:rPr>
                <w:noProof/>
                <w:sz w:val="20"/>
                <w:lang w:eastAsia="en-GB"/>
              </w:rPr>
            </w:pPr>
          </w:p>
        </w:tc>
        <w:tc>
          <w:tcPr>
            <w:tcW w:w="1760" w:type="dxa"/>
            <w:vAlign w:val="center"/>
          </w:tcPr>
          <w:p w14:paraId="7DCDB56A" w14:textId="77777777" w:rsidR="001C0111" w:rsidRPr="0071228C" w:rsidRDefault="001C0111" w:rsidP="001C0111">
            <w:pPr>
              <w:spacing w:before="20" w:after="20"/>
              <w:jc w:val="right"/>
              <w:rPr>
                <w:b/>
                <w:noProof/>
                <w:sz w:val="20"/>
                <w:lang w:eastAsia="en-GB"/>
              </w:rPr>
            </w:pPr>
          </w:p>
        </w:tc>
      </w:tr>
      <w:tr w:rsidR="001C0111" w:rsidRPr="0071228C" w14:paraId="1CB10C0B" w14:textId="77777777" w:rsidTr="00EE4772">
        <w:tc>
          <w:tcPr>
            <w:tcW w:w="3960" w:type="dxa"/>
            <w:vMerge/>
          </w:tcPr>
          <w:p w14:paraId="6F870CB1" w14:textId="77777777" w:rsidR="001C0111" w:rsidRPr="0071228C" w:rsidRDefault="001C0111" w:rsidP="001C0111">
            <w:pPr>
              <w:jc w:val="center"/>
              <w:rPr>
                <w:noProof/>
                <w:sz w:val="20"/>
                <w:lang w:eastAsia="en-GB"/>
              </w:rPr>
            </w:pPr>
          </w:p>
        </w:tc>
        <w:tc>
          <w:tcPr>
            <w:tcW w:w="1440" w:type="dxa"/>
            <w:vAlign w:val="center"/>
          </w:tcPr>
          <w:p w14:paraId="2AFED924" w14:textId="77777777" w:rsidR="001C0111" w:rsidRPr="0071228C" w:rsidRDefault="001C0111" w:rsidP="001C0111">
            <w:pPr>
              <w:spacing w:beforeLines="20" w:before="48" w:afterLines="20" w:after="48"/>
              <w:rPr>
                <w:noProof/>
                <w:sz w:val="18"/>
              </w:rPr>
            </w:pPr>
            <w:r w:rsidRPr="0071228C">
              <w:rPr>
                <w:noProof/>
                <w:sz w:val="18"/>
              </w:rPr>
              <w:t>Środki na płatności</w:t>
            </w:r>
          </w:p>
        </w:tc>
        <w:tc>
          <w:tcPr>
            <w:tcW w:w="654" w:type="dxa"/>
            <w:vAlign w:val="center"/>
          </w:tcPr>
          <w:p w14:paraId="0DDCF0DB" w14:textId="77777777" w:rsidR="001C0111" w:rsidRPr="0071228C" w:rsidRDefault="001C0111" w:rsidP="001C0111">
            <w:pPr>
              <w:spacing w:beforeLines="20" w:before="48" w:afterLines="20" w:after="48"/>
              <w:jc w:val="center"/>
              <w:rPr>
                <w:noProof/>
                <w:sz w:val="14"/>
              </w:rPr>
            </w:pPr>
            <w:r w:rsidRPr="0071228C">
              <w:rPr>
                <w:noProof/>
                <w:sz w:val="14"/>
              </w:rPr>
              <w:t>(5)</w:t>
            </w:r>
          </w:p>
        </w:tc>
        <w:tc>
          <w:tcPr>
            <w:tcW w:w="1281" w:type="dxa"/>
            <w:vAlign w:val="center"/>
          </w:tcPr>
          <w:p w14:paraId="7010AC91" w14:textId="77777777" w:rsidR="001C0111" w:rsidRPr="0071228C" w:rsidRDefault="001C0111" w:rsidP="001C0111">
            <w:pPr>
              <w:spacing w:before="20" w:after="20"/>
              <w:jc w:val="right"/>
              <w:rPr>
                <w:noProof/>
                <w:sz w:val="20"/>
                <w:lang w:eastAsia="en-GB"/>
              </w:rPr>
            </w:pPr>
          </w:p>
        </w:tc>
        <w:tc>
          <w:tcPr>
            <w:tcW w:w="1134" w:type="dxa"/>
            <w:vAlign w:val="center"/>
          </w:tcPr>
          <w:p w14:paraId="4AB91A8E" w14:textId="77777777" w:rsidR="001C0111" w:rsidRPr="0071228C" w:rsidRDefault="001C0111" w:rsidP="001C0111">
            <w:pPr>
              <w:spacing w:before="20" w:after="20"/>
              <w:jc w:val="right"/>
              <w:rPr>
                <w:noProof/>
                <w:sz w:val="20"/>
                <w:lang w:eastAsia="en-GB"/>
              </w:rPr>
            </w:pPr>
          </w:p>
        </w:tc>
        <w:tc>
          <w:tcPr>
            <w:tcW w:w="992" w:type="dxa"/>
            <w:vAlign w:val="center"/>
          </w:tcPr>
          <w:p w14:paraId="3A3C985F" w14:textId="77777777" w:rsidR="001C0111" w:rsidRPr="0071228C" w:rsidRDefault="001C0111" w:rsidP="001C0111">
            <w:pPr>
              <w:spacing w:before="20" w:after="20"/>
              <w:jc w:val="right"/>
              <w:rPr>
                <w:noProof/>
                <w:sz w:val="20"/>
                <w:lang w:eastAsia="en-GB"/>
              </w:rPr>
            </w:pPr>
          </w:p>
        </w:tc>
        <w:tc>
          <w:tcPr>
            <w:tcW w:w="1134" w:type="dxa"/>
            <w:vAlign w:val="center"/>
          </w:tcPr>
          <w:p w14:paraId="41AE45BC" w14:textId="77777777" w:rsidR="001C0111" w:rsidRPr="0071228C" w:rsidRDefault="001C0111" w:rsidP="001C0111">
            <w:pPr>
              <w:spacing w:before="20" w:after="20"/>
              <w:jc w:val="right"/>
              <w:rPr>
                <w:noProof/>
                <w:sz w:val="20"/>
                <w:lang w:eastAsia="en-GB"/>
              </w:rPr>
            </w:pPr>
          </w:p>
        </w:tc>
        <w:tc>
          <w:tcPr>
            <w:tcW w:w="992" w:type="dxa"/>
            <w:vAlign w:val="center"/>
          </w:tcPr>
          <w:p w14:paraId="55B6133D" w14:textId="77777777" w:rsidR="001C0111" w:rsidRPr="0071228C" w:rsidRDefault="001C0111" w:rsidP="001C0111">
            <w:pPr>
              <w:spacing w:before="20" w:after="20"/>
              <w:jc w:val="right"/>
              <w:rPr>
                <w:noProof/>
                <w:sz w:val="20"/>
                <w:lang w:eastAsia="en-GB"/>
              </w:rPr>
            </w:pPr>
          </w:p>
        </w:tc>
        <w:tc>
          <w:tcPr>
            <w:tcW w:w="1760" w:type="dxa"/>
            <w:vAlign w:val="center"/>
          </w:tcPr>
          <w:p w14:paraId="450CF21D" w14:textId="77777777" w:rsidR="001C0111" w:rsidRPr="0071228C" w:rsidRDefault="001C0111" w:rsidP="001C0111">
            <w:pPr>
              <w:spacing w:before="20" w:after="20"/>
              <w:jc w:val="right"/>
              <w:rPr>
                <w:b/>
                <w:noProof/>
                <w:sz w:val="20"/>
                <w:lang w:eastAsia="en-GB"/>
              </w:rPr>
            </w:pPr>
          </w:p>
        </w:tc>
      </w:tr>
      <w:tr w:rsidR="001C0111" w:rsidRPr="0071228C" w14:paraId="328DF715" w14:textId="77777777" w:rsidTr="00EE4772">
        <w:trPr>
          <w:trHeight w:val="533"/>
        </w:trPr>
        <w:tc>
          <w:tcPr>
            <w:tcW w:w="5400" w:type="dxa"/>
            <w:gridSpan w:val="2"/>
            <w:vAlign w:val="center"/>
          </w:tcPr>
          <w:p w14:paraId="4F27BCBD" w14:textId="77777777" w:rsidR="001C0111" w:rsidRPr="0071228C" w:rsidRDefault="001C0111" w:rsidP="001C0111">
            <w:pPr>
              <w:spacing w:beforeLines="20" w:before="48" w:afterLines="20" w:after="48"/>
              <w:rPr>
                <w:noProof/>
              </w:rPr>
            </w:pPr>
            <w:r w:rsidRPr="0071228C">
              <w:rPr>
                <w:rFonts w:ascii="Wingdings" w:hAnsi="Wingdings"/>
                <w:noProof/>
                <w:sz w:val="21"/>
              </w:rPr>
              <w:t>□</w:t>
            </w:r>
            <w:r w:rsidRPr="0071228C">
              <w:rPr>
                <w:noProof/>
                <w:sz w:val="21"/>
              </w:rPr>
              <w:t xml:space="preserve"> OGÓŁEM środki administracyjne finansowane ze środków przydzielonych na określone programy </w:t>
            </w:r>
          </w:p>
        </w:tc>
        <w:tc>
          <w:tcPr>
            <w:tcW w:w="654" w:type="dxa"/>
            <w:vAlign w:val="center"/>
          </w:tcPr>
          <w:p w14:paraId="42808816" w14:textId="77777777" w:rsidR="001C0111" w:rsidRPr="0071228C" w:rsidRDefault="001C0111" w:rsidP="001C0111">
            <w:pPr>
              <w:spacing w:beforeLines="20" w:before="48" w:afterLines="20" w:after="48"/>
              <w:jc w:val="center"/>
              <w:rPr>
                <w:noProof/>
                <w:sz w:val="14"/>
              </w:rPr>
            </w:pPr>
            <w:r w:rsidRPr="0071228C">
              <w:rPr>
                <w:noProof/>
                <w:sz w:val="14"/>
              </w:rPr>
              <w:t>(6)</w:t>
            </w:r>
          </w:p>
        </w:tc>
        <w:tc>
          <w:tcPr>
            <w:tcW w:w="1281" w:type="dxa"/>
            <w:vAlign w:val="center"/>
          </w:tcPr>
          <w:p w14:paraId="57F17D45" w14:textId="77777777" w:rsidR="001C0111" w:rsidRPr="0071228C" w:rsidRDefault="001C0111" w:rsidP="001C0111">
            <w:pPr>
              <w:spacing w:before="20" w:after="20"/>
              <w:jc w:val="right"/>
              <w:rPr>
                <w:b/>
                <w:noProof/>
                <w:sz w:val="20"/>
                <w:lang w:eastAsia="en-GB"/>
              </w:rPr>
            </w:pPr>
          </w:p>
        </w:tc>
        <w:tc>
          <w:tcPr>
            <w:tcW w:w="1134" w:type="dxa"/>
            <w:vAlign w:val="center"/>
          </w:tcPr>
          <w:p w14:paraId="665FB2A1" w14:textId="77777777" w:rsidR="001C0111" w:rsidRPr="0071228C" w:rsidRDefault="001C0111" w:rsidP="001C0111">
            <w:pPr>
              <w:spacing w:before="20" w:after="20"/>
              <w:jc w:val="right"/>
              <w:rPr>
                <w:b/>
                <w:noProof/>
                <w:sz w:val="20"/>
                <w:lang w:eastAsia="en-GB"/>
              </w:rPr>
            </w:pPr>
          </w:p>
        </w:tc>
        <w:tc>
          <w:tcPr>
            <w:tcW w:w="992" w:type="dxa"/>
            <w:vAlign w:val="center"/>
          </w:tcPr>
          <w:p w14:paraId="0054C048" w14:textId="77777777" w:rsidR="001C0111" w:rsidRPr="0071228C" w:rsidRDefault="001C0111" w:rsidP="001C0111">
            <w:pPr>
              <w:spacing w:before="20" w:after="20"/>
              <w:jc w:val="right"/>
              <w:rPr>
                <w:b/>
                <w:noProof/>
                <w:sz w:val="20"/>
                <w:lang w:eastAsia="en-GB"/>
              </w:rPr>
            </w:pPr>
          </w:p>
        </w:tc>
        <w:tc>
          <w:tcPr>
            <w:tcW w:w="1134" w:type="dxa"/>
            <w:vAlign w:val="center"/>
          </w:tcPr>
          <w:p w14:paraId="4E612BF3" w14:textId="77777777" w:rsidR="001C0111" w:rsidRPr="0071228C" w:rsidRDefault="001C0111" w:rsidP="001C0111">
            <w:pPr>
              <w:spacing w:before="20" w:after="20"/>
              <w:jc w:val="right"/>
              <w:rPr>
                <w:b/>
                <w:noProof/>
                <w:sz w:val="20"/>
                <w:lang w:eastAsia="en-GB"/>
              </w:rPr>
            </w:pPr>
          </w:p>
        </w:tc>
        <w:tc>
          <w:tcPr>
            <w:tcW w:w="992" w:type="dxa"/>
            <w:vAlign w:val="center"/>
          </w:tcPr>
          <w:p w14:paraId="00DFE00D" w14:textId="77777777" w:rsidR="001C0111" w:rsidRPr="0071228C" w:rsidRDefault="001C0111" w:rsidP="001C0111">
            <w:pPr>
              <w:spacing w:before="20" w:after="20"/>
              <w:jc w:val="right"/>
              <w:rPr>
                <w:b/>
                <w:noProof/>
                <w:sz w:val="20"/>
                <w:lang w:eastAsia="en-GB"/>
              </w:rPr>
            </w:pPr>
          </w:p>
        </w:tc>
        <w:tc>
          <w:tcPr>
            <w:tcW w:w="1760" w:type="dxa"/>
            <w:vAlign w:val="center"/>
          </w:tcPr>
          <w:p w14:paraId="27A2FB43" w14:textId="77777777" w:rsidR="001C0111" w:rsidRPr="0071228C" w:rsidRDefault="001C0111" w:rsidP="001C0111">
            <w:pPr>
              <w:spacing w:before="20" w:after="20"/>
              <w:jc w:val="right"/>
              <w:rPr>
                <w:b/>
                <w:noProof/>
                <w:sz w:val="20"/>
                <w:lang w:eastAsia="en-GB"/>
              </w:rPr>
            </w:pPr>
          </w:p>
        </w:tc>
      </w:tr>
      <w:tr w:rsidR="001C0111" w:rsidRPr="0071228C" w14:paraId="11D1F810" w14:textId="77777777" w:rsidTr="00EE4772">
        <w:tc>
          <w:tcPr>
            <w:tcW w:w="3960" w:type="dxa"/>
            <w:vMerge w:val="restart"/>
            <w:shd w:val="thinDiagStripe" w:color="C0C0C0" w:fill="auto"/>
            <w:vAlign w:val="center"/>
          </w:tcPr>
          <w:p w14:paraId="0B4CB963" w14:textId="2D3C13E6" w:rsidR="001C0111" w:rsidRPr="0071228C" w:rsidRDefault="001C0111" w:rsidP="001C0111">
            <w:pPr>
              <w:jc w:val="center"/>
              <w:rPr>
                <w:b/>
                <w:noProof/>
              </w:rPr>
            </w:pPr>
            <w:r w:rsidRPr="0071228C">
              <w:rPr>
                <w:b/>
                <w:noProof/>
                <w:sz w:val="22"/>
              </w:rPr>
              <w:t>OGÓŁEM środk</w:t>
            </w:r>
            <w:r w:rsidRPr="00CC55C0">
              <w:rPr>
                <w:b/>
                <w:noProof/>
                <w:sz w:val="22"/>
              </w:rPr>
              <w:t>i</w:t>
            </w:r>
            <w:r w:rsidR="00CC55C0" w:rsidRPr="00CC55C0">
              <w:rPr>
                <w:b/>
                <w:noProof/>
                <w:sz w:val="22"/>
              </w:rPr>
              <w:t xml:space="preserve"> </w:t>
            </w:r>
            <w:r w:rsidRPr="00CC55C0">
              <w:rPr>
                <w:noProof/>
              </w:rPr>
              <w:br/>
            </w:r>
            <w:r w:rsidRPr="0071228C">
              <w:rPr>
                <w:b/>
                <w:noProof/>
                <w:sz w:val="22"/>
              </w:rPr>
              <w:t>na DZIAŁ 3</w:t>
            </w:r>
            <w:r w:rsidRPr="0071228C">
              <w:rPr>
                <w:noProof/>
              </w:rPr>
              <w:t xml:space="preserve"> </w:t>
            </w:r>
            <w:r w:rsidRPr="0071228C">
              <w:rPr>
                <w:noProof/>
              </w:rPr>
              <w:br/>
            </w:r>
            <w:r w:rsidRPr="0071228C">
              <w:rPr>
                <w:noProof/>
                <w:sz w:val="22"/>
              </w:rPr>
              <w:t>wieloletnich ram finansowych</w:t>
            </w:r>
          </w:p>
        </w:tc>
        <w:tc>
          <w:tcPr>
            <w:tcW w:w="1440" w:type="dxa"/>
            <w:vAlign w:val="center"/>
          </w:tcPr>
          <w:p w14:paraId="1970B125" w14:textId="77777777" w:rsidR="001C0111" w:rsidRPr="0071228C" w:rsidRDefault="001C0111" w:rsidP="001C0111">
            <w:pPr>
              <w:rPr>
                <w:noProof/>
                <w:sz w:val="18"/>
              </w:rPr>
            </w:pPr>
            <w:r w:rsidRPr="0071228C">
              <w:rPr>
                <w:noProof/>
                <w:sz w:val="18"/>
              </w:rPr>
              <w:t>Środki na zobowiązania</w:t>
            </w:r>
          </w:p>
        </w:tc>
        <w:tc>
          <w:tcPr>
            <w:tcW w:w="654" w:type="dxa"/>
            <w:vAlign w:val="center"/>
          </w:tcPr>
          <w:p w14:paraId="13488DAE" w14:textId="77777777" w:rsidR="001C0111" w:rsidRPr="0071228C" w:rsidRDefault="001C0111" w:rsidP="001C0111">
            <w:pPr>
              <w:jc w:val="center"/>
              <w:rPr>
                <w:noProof/>
                <w:sz w:val="14"/>
              </w:rPr>
            </w:pPr>
            <w:r w:rsidRPr="0071228C">
              <w:rPr>
                <w:noProof/>
                <w:sz w:val="14"/>
              </w:rPr>
              <w:t>=4+6</w:t>
            </w:r>
          </w:p>
        </w:tc>
        <w:tc>
          <w:tcPr>
            <w:tcW w:w="1281" w:type="dxa"/>
            <w:vAlign w:val="center"/>
          </w:tcPr>
          <w:p w14:paraId="61701501" w14:textId="77777777" w:rsidR="001C0111" w:rsidRPr="0071228C" w:rsidRDefault="001C0111" w:rsidP="001C0111">
            <w:pPr>
              <w:spacing w:after="0"/>
              <w:jc w:val="right"/>
              <w:rPr>
                <w:noProof/>
              </w:rPr>
            </w:pPr>
            <w:r w:rsidRPr="0071228C">
              <w:rPr>
                <w:noProof/>
              </w:rPr>
              <w:t>0,100</w:t>
            </w:r>
          </w:p>
        </w:tc>
        <w:tc>
          <w:tcPr>
            <w:tcW w:w="1134" w:type="dxa"/>
            <w:vAlign w:val="bottom"/>
          </w:tcPr>
          <w:p w14:paraId="23E29FD1" w14:textId="77777777" w:rsidR="001C0111" w:rsidRPr="0071228C" w:rsidRDefault="001C0111" w:rsidP="001C0111">
            <w:pPr>
              <w:spacing w:after="0"/>
              <w:jc w:val="right"/>
              <w:rPr>
                <w:noProof/>
              </w:rPr>
            </w:pPr>
            <w:r w:rsidRPr="0071228C">
              <w:rPr>
                <w:noProof/>
                <w:color w:val="000000"/>
              </w:rPr>
              <w:t>2,774</w:t>
            </w:r>
          </w:p>
        </w:tc>
        <w:tc>
          <w:tcPr>
            <w:tcW w:w="992" w:type="dxa"/>
            <w:vAlign w:val="bottom"/>
          </w:tcPr>
          <w:p w14:paraId="4819EBFE" w14:textId="77777777" w:rsidR="001C0111" w:rsidRPr="0071228C" w:rsidRDefault="001C0111" w:rsidP="001C0111">
            <w:pPr>
              <w:spacing w:after="0"/>
              <w:jc w:val="right"/>
              <w:rPr>
                <w:noProof/>
              </w:rPr>
            </w:pPr>
            <w:r w:rsidRPr="0071228C">
              <w:rPr>
                <w:noProof/>
                <w:color w:val="000000"/>
              </w:rPr>
              <w:t>4,297</w:t>
            </w:r>
          </w:p>
        </w:tc>
        <w:tc>
          <w:tcPr>
            <w:tcW w:w="1134" w:type="dxa"/>
            <w:vAlign w:val="bottom"/>
          </w:tcPr>
          <w:p w14:paraId="257F4BA9" w14:textId="77777777" w:rsidR="001C0111" w:rsidRPr="0071228C" w:rsidRDefault="001C0111" w:rsidP="001C0111">
            <w:pPr>
              <w:spacing w:after="0"/>
              <w:jc w:val="right"/>
              <w:rPr>
                <w:noProof/>
              </w:rPr>
            </w:pPr>
            <w:r w:rsidRPr="0071228C">
              <w:rPr>
                <w:noProof/>
                <w:color w:val="000000"/>
              </w:rPr>
              <w:t>4,170</w:t>
            </w:r>
          </w:p>
        </w:tc>
        <w:tc>
          <w:tcPr>
            <w:tcW w:w="992" w:type="dxa"/>
            <w:vAlign w:val="bottom"/>
          </w:tcPr>
          <w:p w14:paraId="1F866AD0" w14:textId="77777777" w:rsidR="001C0111" w:rsidRPr="0071228C" w:rsidRDefault="001C0111" w:rsidP="001C0111">
            <w:pPr>
              <w:spacing w:after="0"/>
              <w:jc w:val="right"/>
              <w:rPr>
                <w:noProof/>
              </w:rPr>
            </w:pPr>
            <w:r w:rsidRPr="0071228C">
              <w:rPr>
                <w:noProof/>
                <w:color w:val="000000"/>
              </w:rPr>
              <w:t>4,245</w:t>
            </w:r>
          </w:p>
        </w:tc>
        <w:tc>
          <w:tcPr>
            <w:tcW w:w="1760" w:type="dxa"/>
            <w:vAlign w:val="bottom"/>
          </w:tcPr>
          <w:p w14:paraId="02BC6DEE" w14:textId="77777777" w:rsidR="001C0111" w:rsidRPr="0071228C" w:rsidRDefault="001C0111" w:rsidP="001C0111">
            <w:pPr>
              <w:spacing w:after="0"/>
              <w:jc w:val="right"/>
              <w:rPr>
                <w:b/>
                <w:noProof/>
              </w:rPr>
            </w:pPr>
            <w:r w:rsidRPr="0071228C">
              <w:rPr>
                <w:b/>
                <w:noProof/>
                <w:color w:val="000000"/>
              </w:rPr>
              <w:t>15,587</w:t>
            </w:r>
          </w:p>
        </w:tc>
      </w:tr>
      <w:tr w:rsidR="001C0111" w:rsidRPr="0071228C" w14:paraId="2B112E4D" w14:textId="77777777" w:rsidTr="00EE4772">
        <w:tc>
          <w:tcPr>
            <w:tcW w:w="3960" w:type="dxa"/>
            <w:vMerge/>
            <w:shd w:val="thinDiagStripe" w:color="C0C0C0" w:fill="auto"/>
          </w:tcPr>
          <w:p w14:paraId="3F2644EC" w14:textId="77777777" w:rsidR="001C0111" w:rsidRPr="0071228C" w:rsidRDefault="001C0111" w:rsidP="001C0111">
            <w:pPr>
              <w:rPr>
                <w:noProof/>
                <w:sz w:val="20"/>
                <w:lang w:eastAsia="en-GB"/>
              </w:rPr>
            </w:pPr>
          </w:p>
        </w:tc>
        <w:tc>
          <w:tcPr>
            <w:tcW w:w="1440" w:type="dxa"/>
            <w:vAlign w:val="center"/>
          </w:tcPr>
          <w:p w14:paraId="3A2EEAAD" w14:textId="77777777" w:rsidR="001C0111" w:rsidRPr="0071228C" w:rsidRDefault="001C0111" w:rsidP="001C0111">
            <w:pPr>
              <w:rPr>
                <w:noProof/>
                <w:sz w:val="18"/>
              </w:rPr>
            </w:pPr>
            <w:r w:rsidRPr="0071228C">
              <w:rPr>
                <w:noProof/>
                <w:sz w:val="18"/>
              </w:rPr>
              <w:t>Środki na płatności</w:t>
            </w:r>
          </w:p>
        </w:tc>
        <w:tc>
          <w:tcPr>
            <w:tcW w:w="654" w:type="dxa"/>
            <w:vAlign w:val="center"/>
          </w:tcPr>
          <w:p w14:paraId="34EDB9A1" w14:textId="77777777" w:rsidR="001C0111" w:rsidRPr="0071228C" w:rsidRDefault="001C0111" w:rsidP="001C0111">
            <w:pPr>
              <w:jc w:val="center"/>
              <w:rPr>
                <w:noProof/>
                <w:sz w:val="14"/>
              </w:rPr>
            </w:pPr>
            <w:r w:rsidRPr="0071228C">
              <w:rPr>
                <w:noProof/>
                <w:sz w:val="14"/>
              </w:rPr>
              <w:t>=5+6</w:t>
            </w:r>
          </w:p>
        </w:tc>
        <w:tc>
          <w:tcPr>
            <w:tcW w:w="1281" w:type="dxa"/>
            <w:vAlign w:val="center"/>
          </w:tcPr>
          <w:p w14:paraId="1EF7139B" w14:textId="77777777" w:rsidR="001C0111" w:rsidRPr="0071228C" w:rsidRDefault="001C0111" w:rsidP="001C0111">
            <w:pPr>
              <w:spacing w:after="0"/>
              <w:jc w:val="right"/>
              <w:rPr>
                <w:noProof/>
              </w:rPr>
            </w:pPr>
            <w:r w:rsidRPr="0071228C">
              <w:rPr>
                <w:noProof/>
              </w:rPr>
              <w:t>0,100</w:t>
            </w:r>
          </w:p>
        </w:tc>
        <w:tc>
          <w:tcPr>
            <w:tcW w:w="1134" w:type="dxa"/>
            <w:vAlign w:val="bottom"/>
          </w:tcPr>
          <w:p w14:paraId="07B7EB0B" w14:textId="77777777" w:rsidR="001C0111" w:rsidRPr="0071228C" w:rsidRDefault="001C0111" w:rsidP="001C0111">
            <w:pPr>
              <w:spacing w:after="0"/>
              <w:jc w:val="right"/>
              <w:rPr>
                <w:noProof/>
              </w:rPr>
            </w:pPr>
            <w:r w:rsidRPr="0071228C">
              <w:rPr>
                <w:noProof/>
                <w:color w:val="000000"/>
              </w:rPr>
              <w:t>2,774</w:t>
            </w:r>
          </w:p>
        </w:tc>
        <w:tc>
          <w:tcPr>
            <w:tcW w:w="992" w:type="dxa"/>
            <w:vAlign w:val="bottom"/>
          </w:tcPr>
          <w:p w14:paraId="35C0AE48" w14:textId="77777777" w:rsidR="001C0111" w:rsidRPr="0071228C" w:rsidRDefault="001C0111" w:rsidP="001C0111">
            <w:pPr>
              <w:spacing w:after="0"/>
              <w:jc w:val="right"/>
              <w:rPr>
                <w:noProof/>
              </w:rPr>
            </w:pPr>
            <w:r w:rsidRPr="0071228C">
              <w:rPr>
                <w:noProof/>
                <w:color w:val="000000"/>
              </w:rPr>
              <w:t>4,297</w:t>
            </w:r>
          </w:p>
        </w:tc>
        <w:tc>
          <w:tcPr>
            <w:tcW w:w="1134" w:type="dxa"/>
            <w:vAlign w:val="bottom"/>
          </w:tcPr>
          <w:p w14:paraId="3BEADD38" w14:textId="77777777" w:rsidR="001C0111" w:rsidRPr="0071228C" w:rsidRDefault="001C0111" w:rsidP="001C0111">
            <w:pPr>
              <w:spacing w:after="0"/>
              <w:jc w:val="right"/>
              <w:rPr>
                <w:noProof/>
              </w:rPr>
            </w:pPr>
            <w:r w:rsidRPr="0071228C">
              <w:rPr>
                <w:noProof/>
                <w:color w:val="000000"/>
              </w:rPr>
              <w:t>4,170</w:t>
            </w:r>
          </w:p>
        </w:tc>
        <w:tc>
          <w:tcPr>
            <w:tcW w:w="992" w:type="dxa"/>
            <w:vAlign w:val="bottom"/>
          </w:tcPr>
          <w:p w14:paraId="3C3577C0" w14:textId="77777777" w:rsidR="001C0111" w:rsidRPr="0071228C" w:rsidRDefault="001C0111" w:rsidP="001C0111">
            <w:pPr>
              <w:spacing w:after="0"/>
              <w:jc w:val="right"/>
              <w:rPr>
                <w:noProof/>
              </w:rPr>
            </w:pPr>
            <w:r w:rsidRPr="0071228C">
              <w:rPr>
                <w:noProof/>
                <w:color w:val="000000"/>
              </w:rPr>
              <w:t>4,245</w:t>
            </w:r>
          </w:p>
        </w:tc>
        <w:tc>
          <w:tcPr>
            <w:tcW w:w="1760" w:type="dxa"/>
            <w:vAlign w:val="bottom"/>
          </w:tcPr>
          <w:p w14:paraId="6A3FC263" w14:textId="77777777" w:rsidR="001C0111" w:rsidRPr="0071228C" w:rsidRDefault="001C0111" w:rsidP="001C0111">
            <w:pPr>
              <w:spacing w:after="0"/>
              <w:jc w:val="right"/>
              <w:rPr>
                <w:b/>
                <w:noProof/>
              </w:rPr>
            </w:pPr>
            <w:r w:rsidRPr="0071228C">
              <w:rPr>
                <w:b/>
                <w:noProof/>
                <w:color w:val="000000"/>
              </w:rPr>
              <w:t>15,587</w:t>
            </w:r>
          </w:p>
        </w:tc>
      </w:tr>
    </w:tbl>
    <w:p w14:paraId="4D2A0DBF" w14:textId="77777777" w:rsidR="001C0111" w:rsidRPr="0071228C" w:rsidRDefault="001C0111" w:rsidP="001C0111">
      <w:pPr>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0111" w:rsidRPr="0071228C" w14:paraId="06EE9F2E" w14:textId="77777777" w:rsidTr="00EE4772">
        <w:trPr>
          <w:jc w:val="center"/>
        </w:trPr>
        <w:tc>
          <w:tcPr>
            <w:tcW w:w="4744" w:type="dxa"/>
            <w:shd w:val="thinDiagStripe" w:color="C0C0C0" w:fill="auto"/>
            <w:vAlign w:val="center"/>
          </w:tcPr>
          <w:p w14:paraId="615E470E" w14:textId="07E9C164" w:rsidR="001C0111" w:rsidRPr="0071228C" w:rsidRDefault="001C0111" w:rsidP="001C0111">
            <w:pPr>
              <w:spacing w:before="60" w:after="60"/>
              <w:jc w:val="center"/>
              <w:rPr>
                <w:b/>
                <w:noProof/>
              </w:rPr>
            </w:pPr>
            <w:r w:rsidRPr="0071228C">
              <w:rPr>
                <w:noProof/>
              </w:rPr>
              <w:br w:type="page"/>
            </w:r>
            <w:r w:rsidRPr="0071228C">
              <w:rPr>
                <w:noProof/>
              </w:rPr>
              <w:br w:type="page"/>
            </w:r>
            <w:r w:rsidRPr="0071228C">
              <w:rPr>
                <w:b/>
                <w:noProof/>
                <w:sz w:val="22"/>
              </w:rPr>
              <w:t>Dział wieloletnic</w:t>
            </w:r>
            <w:r w:rsidRPr="00CC55C0">
              <w:rPr>
                <w:b/>
                <w:noProof/>
                <w:sz w:val="22"/>
              </w:rPr>
              <w:t>h</w:t>
            </w:r>
            <w:r w:rsidR="00CC55C0" w:rsidRPr="00CC55C0">
              <w:rPr>
                <w:b/>
                <w:noProof/>
                <w:sz w:val="22"/>
              </w:rPr>
              <w:t xml:space="preserve"> </w:t>
            </w:r>
            <w:r w:rsidRPr="00CC55C0">
              <w:rPr>
                <w:noProof/>
              </w:rPr>
              <w:br/>
            </w:r>
            <w:r w:rsidRPr="0071228C">
              <w:rPr>
                <w:b/>
                <w:noProof/>
                <w:sz w:val="22"/>
              </w:rPr>
              <w:t xml:space="preserve">ram finansowych </w:t>
            </w:r>
          </w:p>
        </w:tc>
        <w:tc>
          <w:tcPr>
            <w:tcW w:w="1080" w:type="dxa"/>
            <w:shd w:val="thinDiagStripe" w:color="C0C0C0" w:fill="auto"/>
            <w:vAlign w:val="center"/>
          </w:tcPr>
          <w:p w14:paraId="78D8C8C9" w14:textId="77777777" w:rsidR="001C0111" w:rsidRPr="0071228C" w:rsidRDefault="001C0111" w:rsidP="001C0111">
            <w:pPr>
              <w:spacing w:before="60" w:after="60"/>
              <w:jc w:val="center"/>
              <w:rPr>
                <w:noProof/>
              </w:rPr>
            </w:pPr>
            <w:r w:rsidRPr="0071228C">
              <w:rPr>
                <w:b/>
                <w:noProof/>
                <w:sz w:val="22"/>
              </w:rPr>
              <w:t>7</w:t>
            </w:r>
          </w:p>
        </w:tc>
        <w:tc>
          <w:tcPr>
            <w:tcW w:w="7817" w:type="dxa"/>
            <w:vAlign w:val="center"/>
          </w:tcPr>
          <w:p w14:paraId="2F9BCC05" w14:textId="77777777" w:rsidR="001C0111" w:rsidRPr="0071228C" w:rsidRDefault="001C0111" w:rsidP="001C0111">
            <w:pPr>
              <w:spacing w:before="60" w:after="60"/>
              <w:rPr>
                <w:noProof/>
              </w:rPr>
            </w:pPr>
            <w:r w:rsidRPr="0071228C">
              <w:rPr>
                <w:noProof/>
                <w:sz w:val="22"/>
              </w:rPr>
              <w:t>„Wydatki administracyjne”</w:t>
            </w:r>
          </w:p>
        </w:tc>
      </w:tr>
    </w:tbl>
    <w:p w14:paraId="0B5D6681" w14:textId="7B1D6C4B" w:rsidR="001C0111" w:rsidRPr="0071228C" w:rsidRDefault="001C0111" w:rsidP="001C0111">
      <w:pPr>
        <w:jc w:val="left"/>
        <w:rPr>
          <w:noProof/>
        </w:rPr>
      </w:pPr>
      <w:r w:rsidRPr="0071228C">
        <w:rPr>
          <w:noProof/>
        </w:rPr>
        <w:t>Niniejszą część uzupełnia się przy użyciu „danych budżetowych</w:t>
      </w:r>
      <w:r w:rsidR="00CC55C0" w:rsidRPr="0071228C">
        <w:rPr>
          <w:noProof/>
        </w:rPr>
        <w:t xml:space="preserve"> o</w:t>
      </w:r>
      <w:r w:rsidR="00CC55C0">
        <w:rPr>
          <w:noProof/>
        </w:rPr>
        <w:t> </w:t>
      </w:r>
      <w:r w:rsidR="00CC55C0" w:rsidRPr="0071228C">
        <w:rPr>
          <w:noProof/>
        </w:rPr>
        <w:t>cha</w:t>
      </w:r>
      <w:r w:rsidRPr="0071228C">
        <w:rPr>
          <w:noProof/>
        </w:rPr>
        <w:t xml:space="preserve">rakterze administracyjnym”, które należy najpierw wprowadzić do </w:t>
      </w:r>
      <w:hyperlink r:id="rId16" w:history="1">
        <w:r w:rsidRPr="0071228C">
          <w:rPr>
            <w:noProof/>
            <w:color w:val="0000FF"/>
            <w:u w:val="single"/>
          </w:rPr>
          <w:t>załącznika do oceny skutków finansowych regulacji</w:t>
        </w:r>
      </w:hyperlink>
      <w:r w:rsidRPr="0071228C">
        <w:rPr>
          <w:noProof/>
        </w:rPr>
        <w:t xml:space="preserve"> (załącznika V do zasad wewnętrznych), przesyłanego do DECIDE</w:t>
      </w:r>
      <w:r w:rsidR="00CC55C0" w:rsidRPr="0071228C">
        <w:rPr>
          <w:noProof/>
        </w:rPr>
        <w:t xml:space="preserve"> w</w:t>
      </w:r>
      <w:r w:rsidR="00CC55C0">
        <w:rPr>
          <w:noProof/>
        </w:rPr>
        <w:t> </w:t>
      </w:r>
      <w:r w:rsidR="00CC55C0" w:rsidRPr="0071228C">
        <w:rPr>
          <w:noProof/>
        </w:rPr>
        <w:t>cel</w:t>
      </w:r>
      <w:r w:rsidRPr="0071228C">
        <w:rPr>
          <w:noProof/>
        </w:rPr>
        <w:t>u konsultacji między służbami.</w:t>
      </w:r>
    </w:p>
    <w:p w14:paraId="19321E95" w14:textId="77777777" w:rsidR="001C0111" w:rsidRPr="0071228C" w:rsidRDefault="001C0111" w:rsidP="001C0111">
      <w:pPr>
        <w:jc w:val="right"/>
        <w:rPr>
          <w:noProof/>
          <w:sz w:val="20"/>
        </w:rPr>
      </w:pPr>
      <w:r w:rsidRPr="0071228C">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0"/>
        <w:gridCol w:w="1706"/>
        <w:gridCol w:w="51"/>
      </w:tblGrid>
      <w:tr w:rsidR="001C0111" w:rsidRPr="0071228C" w14:paraId="3745C174" w14:textId="77777777" w:rsidTr="00EE4772">
        <w:trPr>
          <w:gridAfter w:val="1"/>
          <w:wAfter w:w="51" w:type="dxa"/>
        </w:trPr>
        <w:tc>
          <w:tcPr>
            <w:tcW w:w="3960" w:type="dxa"/>
            <w:tcBorders>
              <w:top w:val="nil"/>
              <w:left w:val="nil"/>
              <w:right w:val="nil"/>
            </w:tcBorders>
            <w:vAlign w:val="center"/>
          </w:tcPr>
          <w:p w14:paraId="32CC0B0D" w14:textId="77777777" w:rsidR="001C0111" w:rsidRPr="0071228C" w:rsidRDefault="001C0111" w:rsidP="001C0111">
            <w:pPr>
              <w:jc w:val="center"/>
              <w:rPr>
                <w:noProof/>
                <w:lang w:eastAsia="en-GB"/>
              </w:rPr>
            </w:pPr>
          </w:p>
        </w:tc>
        <w:tc>
          <w:tcPr>
            <w:tcW w:w="1560" w:type="dxa"/>
            <w:tcBorders>
              <w:top w:val="nil"/>
              <w:left w:val="nil"/>
              <w:right w:val="nil"/>
            </w:tcBorders>
          </w:tcPr>
          <w:p w14:paraId="58D0D227" w14:textId="77777777" w:rsidR="001C0111" w:rsidRPr="0071228C" w:rsidRDefault="001C0111" w:rsidP="001C0111">
            <w:pPr>
              <w:rPr>
                <w:noProof/>
                <w:sz w:val="20"/>
                <w:lang w:eastAsia="en-GB"/>
              </w:rPr>
            </w:pPr>
          </w:p>
        </w:tc>
        <w:tc>
          <w:tcPr>
            <w:tcW w:w="534" w:type="dxa"/>
            <w:tcBorders>
              <w:top w:val="nil"/>
              <w:left w:val="nil"/>
            </w:tcBorders>
          </w:tcPr>
          <w:p w14:paraId="5E1B199A" w14:textId="77777777" w:rsidR="001C0111" w:rsidRPr="0071228C" w:rsidRDefault="001C0111" w:rsidP="001C0111">
            <w:pPr>
              <w:jc w:val="center"/>
              <w:rPr>
                <w:noProof/>
                <w:sz w:val="20"/>
                <w:lang w:eastAsia="en-GB"/>
              </w:rPr>
            </w:pPr>
          </w:p>
        </w:tc>
        <w:tc>
          <w:tcPr>
            <w:tcW w:w="868" w:type="dxa"/>
            <w:vAlign w:val="center"/>
          </w:tcPr>
          <w:p w14:paraId="50B21750" w14:textId="77777777" w:rsidR="001C0111" w:rsidRPr="0071228C" w:rsidRDefault="001C0111" w:rsidP="001C0111">
            <w:pPr>
              <w:jc w:val="center"/>
              <w:rPr>
                <w:b/>
                <w:noProof/>
                <w:sz w:val="20"/>
              </w:rPr>
            </w:pPr>
            <w:r w:rsidRPr="0071228C">
              <w:rPr>
                <w:b/>
                <w:noProof/>
                <w:sz w:val="20"/>
              </w:rPr>
              <w:t>2024</w:t>
            </w:r>
          </w:p>
        </w:tc>
        <w:tc>
          <w:tcPr>
            <w:tcW w:w="868" w:type="dxa"/>
            <w:vAlign w:val="center"/>
          </w:tcPr>
          <w:p w14:paraId="5B354741" w14:textId="77777777" w:rsidR="001C0111" w:rsidRPr="0071228C" w:rsidRDefault="001C0111" w:rsidP="001C0111">
            <w:pPr>
              <w:jc w:val="center"/>
              <w:rPr>
                <w:b/>
                <w:noProof/>
                <w:sz w:val="20"/>
              </w:rPr>
            </w:pPr>
            <w:r w:rsidRPr="0071228C">
              <w:rPr>
                <w:b/>
                <w:noProof/>
                <w:sz w:val="20"/>
              </w:rPr>
              <w:t>2025</w:t>
            </w:r>
          </w:p>
        </w:tc>
        <w:tc>
          <w:tcPr>
            <w:tcW w:w="868" w:type="dxa"/>
            <w:vAlign w:val="center"/>
          </w:tcPr>
          <w:p w14:paraId="25FB77BC" w14:textId="77777777" w:rsidR="001C0111" w:rsidRPr="0071228C" w:rsidRDefault="001C0111" w:rsidP="001C0111">
            <w:pPr>
              <w:jc w:val="center"/>
              <w:rPr>
                <w:b/>
                <w:noProof/>
                <w:sz w:val="20"/>
              </w:rPr>
            </w:pPr>
            <w:r w:rsidRPr="0071228C">
              <w:rPr>
                <w:b/>
                <w:noProof/>
                <w:sz w:val="20"/>
              </w:rPr>
              <w:t>2026</w:t>
            </w:r>
          </w:p>
        </w:tc>
        <w:tc>
          <w:tcPr>
            <w:tcW w:w="888" w:type="dxa"/>
            <w:gridSpan w:val="2"/>
            <w:vAlign w:val="center"/>
          </w:tcPr>
          <w:p w14:paraId="3B2D2916" w14:textId="77777777" w:rsidR="001C0111" w:rsidRPr="0071228C" w:rsidRDefault="001C0111" w:rsidP="001C0111">
            <w:pPr>
              <w:jc w:val="center"/>
              <w:rPr>
                <w:b/>
                <w:noProof/>
                <w:sz w:val="20"/>
              </w:rPr>
            </w:pPr>
            <w:r w:rsidRPr="0071228C">
              <w:rPr>
                <w:b/>
                <w:noProof/>
                <w:sz w:val="20"/>
              </w:rPr>
              <w:t>2027 (i kolejne lata)</w:t>
            </w:r>
          </w:p>
        </w:tc>
        <w:tc>
          <w:tcPr>
            <w:tcW w:w="1706" w:type="dxa"/>
            <w:vAlign w:val="center"/>
          </w:tcPr>
          <w:p w14:paraId="4E8DF6E6" w14:textId="77777777" w:rsidR="001C0111" w:rsidRPr="0071228C" w:rsidRDefault="001C0111" w:rsidP="001C0111">
            <w:pPr>
              <w:jc w:val="center"/>
              <w:rPr>
                <w:b/>
                <w:noProof/>
                <w:sz w:val="20"/>
              </w:rPr>
            </w:pPr>
            <w:r w:rsidRPr="0071228C">
              <w:rPr>
                <w:b/>
                <w:noProof/>
                <w:sz w:val="20"/>
              </w:rPr>
              <w:t>OGÓŁEM</w:t>
            </w:r>
          </w:p>
        </w:tc>
      </w:tr>
      <w:tr w:rsidR="001C0111" w:rsidRPr="0071228C" w14:paraId="53AD83D3" w14:textId="77777777" w:rsidTr="00EE4772">
        <w:trPr>
          <w:gridAfter w:val="9"/>
          <w:wAfter w:w="7343" w:type="dxa"/>
        </w:trPr>
        <w:tc>
          <w:tcPr>
            <w:tcW w:w="3960" w:type="dxa"/>
            <w:vAlign w:val="center"/>
          </w:tcPr>
          <w:p w14:paraId="0A1B4833" w14:textId="77777777" w:rsidR="001C0111" w:rsidRPr="0071228C" w:rsidRDefault="001C0111" w:rsidP="001C0111">
            <w:pPr>
              <w:spacing w:before="60" w:after="60"/>
              <w:jc w:val="center"/>
              <w:rPr>
                <w:noProof/>
              </w:rPr>
            </w:pPr>
            <w:r w:rsidRPr="0071228C">
              <w:rPr>
                <w:noProof/>
                <w:sz w:val="22"/>
              </w:rPr>
              <w:t>Dyrekcja Generalna: ENV</w:t>
            </w:r>
          </w:p>
        </w:tc>
      </w:tr>
      <w:tr w:rsidR="001C0111" w:rsidRPr="0071228C" w14:paraId="5F4B6F91" w14:textId="77777777" w:rsidTr="00EE4772">
        <w:trPr>
          <w:trHeight w:val="313"/>
        </w:trPr>
        <w:tc>
          <w:tcPr>
            <w:tcW w:w="6054" w:type="dxa"/>
            <w:gridSpan w:val="3"/>
            <w:vAlign w:val="center"/>
          </w:tcPr>
          <w:p w14:paraId="42A71171" w14:textId="77777777" w:rsidR="001C0111" w:rsidRPr="0071228C" w:rsidRDefault="001C0111" w:rsidP="001C0111">
            <w:pPr>
              <w:spacing w:before="20" w:after="20"/>
              <w:rPr>
                <w:noProof/>
                <w:sz w:val="22"/>
              </w:rPr>
            </w:pPr>
            <w:r w:rsidRPr="0071228C">
              <w:rPr>
                <w:noProof/>
                <w:sz w:val="22"/>
              </w:rPr>
              <w:t xml:space="preserve">□ Zasoby ludzkie </w:t>
            </w:r>
          </w:p>
        </w:tc>
        <w:tc>
          <w:tcPr>
            <w:tcW w:w="868" w:type="dxa"/>
            <w:vAlign w:val="bottom"/>
          </w:tcPr>
          <w:p w14:paraId="1E54E316"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39987DF6"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2A251E56"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6D098628" w14:textId="77777777" w:rsidR="001C0111" w:rsidRPr="0071228C" w:rsidRDefault="001C0111" w:rsidP="001C0111">
            <w:pPr>
              <w:spacing w:before="20" w:after="20"/>
              <w:jc w:val="right"/>
              <w:rPr>
                <w:noProof/>
                <w:sz w:val="22"/>
              </w:rPr>
            </w:pPr>
            <w:r w:rsidRPr="0071228C">
              <w:rPr>
                <w:noProof/>
                <w:color w:val="000000"/>
                <w:sz w:val="22"/>
              </w:rPr>
              <w:t>0,314</w:t>
            </w:r>
          </w:p>
        </w:tc>
        <w:tc>
          <w:tcPr>
            <w:tcW w:w="1777" w:type="dxa"/>
            <w:gridSpan w:val="3"/>
            <w:vAlign w:val="bottom"/>
          </w:tcPr>
          <w:p w14:paraId="216CA039" w14:textId="77777777" w:rsidR="001C0111" w:rsidRPr="0071228C" w:rsidRDefault="001C0111" w:rsidP="001C0111">
            <w:pPr>
              <w:spacing w:before="20" w:after="20"/>
              <w:jc w:val="right"/>
              <w:rPr>
                <w:b/>
                <w:noProof/>
                <w:sz w:val="22"/>
              </w:rPr>
            </w:pPr>
            <w:r w:rsidRPr="0071228C">
              <w:rPr>
                <w:b/>
                <w:noProof/>
                <w:color w:val="000000"/>
                <w:sz w:val="22"/>
              </w:rPr>
              <w:t>1,256</w:t>
            </w:r>
          </w:p>
        </w:tc>
      </w:tr>
      <w:tr w:rsidR="001C0111" w:rsidRPr="0071228C" w14:paraId="1BD14612" w14:textId="77777777" w:rsidTr="00EE4772">
        <w:trPr>
          <w:trHeight w:val="351"/>
        </w:trPr>
        <w:tc>
          <w:tcPr>
            <w:tcW w:w="6054" w:type="dxa"/>
            <w:gridSpan w:val="3"/>
            <w:vAlign w:val="center"/>
          </w:tcPr>
          <w:p w14:paraId="6C03E4BD" w14:textId="77777777" w:rsidR="001C0111" w:rsidRPr="0071228C" w:rsidRDefault="001C0111" w:rsidP="001C0111">
            <w:pPr>
              <w:spacing w:before="20" w:after="20"/>
              <w:rPr>
                <w:noProof/>
                <w:sz w:val="22"/>
              </w:rPr>
            </w:pPr>
            <w:r w:rsidRPr="0071228C">
              <w:rPr>
                <w:noProof/>
                <w:sz w:val="22"/>
              </w:rPr>
              <w:t xml:space="preserve">□ Pozostałe wydatki administracyjne </w:t>
            </w:r>
          </w:p>
        </w:tc>
        <w:tc>
          <w:tcPr>
            <w:tcW w:w="868" w:type="dxa"/>
            <w:vAlign w:val="center"/>
          </w:tcPr>
          <w:p w14:paraId="6C6B2968" w14:textId="77777777" w:rsidR="001C0111" w:rsidRPr="0071228C" w:rsidRDefault="001C0111" w:rsidP="001C0111">
            <w:pPr>
              <w:spacing w:before="20" w:after="20"/>
              <w:jc w:val="right"/>
              <w:rPr>
                <w:b/>
                <w:noProof/>
                <w:sz w:val="22"/>
                <w:lang w:eastAsia="en-GB"/>
              </w:rPr>
            </w:pPr>
          </w:p>
        </w:tc>
        <w:tc>
          <w:tcPr>
            <w:tcW w:w="868" w:type="dxa"/>
            <w:vAlign w:val="center"/>
          </w:tcPr>
          <w:p w14:paraId="662079A2" w14:textId="77777777" w:rsidR="001C0111" w:rsidRPr="0071228C" w:rsidRDefault="001C0111" w:rsidP="001C0111">
            <w:pPr>
              <w:spacing w:before="20" w:after="20"/>
              <w:jc w:val="right"/>
              <w:rPr>
                <w:b/>
                <w:noProof/>
                <w:sz w:val="22"/>
                <w:lang w:eastAsia="en-GB"/>
              </w:rPr>
            </w:pPr>
          </w:p>
        </w:tc>
        <w:tc>
          <w:tcPr>
            <w:tcW w:w="868" w:type="dxa"/>
            <w:vAlign w:val="center"/>
          </w:tcPr>
          <w:p w14:paraId="06E729A0" w14:textId="77777777" w:rsidR="001C0111" w:rsidRPr="0071228C" w:rsidRDefault="001C0111" w:rsidP="001C0111">
            <w:pPr>
              <w:spacing w:before="20" w:after="20"/>
              <w:jc w:val="right"/>
              <w:rPr>
                <w:b/>
                <w:noProof/>
                <w:sz w:val="22"/>
                <w:lang w:eastAsia="en-GB"/>
              </w:rPr>
            </w:pPr>
          </w:p>
        </w:tc>
        <w:tc>
          <w:tcPr>
            <w:tcW w:w="868" w:type="dxa"/>
            <w:vAlign w:val="center"/>
          </w:tcPr>
          <w:p w14:paraId="6D349692" w14:textId="77777777" w:rsidR="001C0111" w:rsidRPr="0071228C" w:rsidRDefault="001C0111" w:rsidP="001C0111">
            <w:pPr>
              <w:spacing w:before="20" w:after="20"/>
              <w:jc w:val="right"/>
              <w:rPr>
                <w:b/>
                <w:noProof/>
                <w:sz w:val="22"/>
                <w:lang w:eastAsia="en-GB"/>
              </w:rPr>
            </w:pPr>
          </w:p>
        </w:tc>
        <w:tc>
          <w:tcPr>
            <w:tcW w:w="1777" w:type="dxa"/>
            <w:gridSpan w:val="3"/>
            <w:vAlign w:val="center"/>
          </w:tcPr>
          <w:p w14:paraId="158148C4" w14:textId="77777777" w:rsidR="001C0111" w:rsidRPr="0071228C" w:rsidRDefault="001C0111" w:rsidP="001C0111">
            <w:pPr>
              <w:spacing w:before="20" w:after="20"/>
              <w:jc w:val="right"/>
              <w:rPr>
                <w:b/>
                <w:noProof/>
                <w:sz w:val="22"/>
                <w:lang w:eastAsia="en-GB"/>
              </w:rPr>
            </w:pPr>
          </w:p>
        </w:tc>
      </w:tr>
      <w:tr w:rsidR="001C0111" w:rsidRPr="0071228C" w14:paraId="4256C0E8" w14:textId="77777777" w:rsidTr="00EE4772">
        <w:tc>
          <w:tcPr>
            <w:tcW w:w="3960" w:type="dxa"/>
            <w:vAlign w:val="center"/>
          </w:tcPr>
          <w:p w14:paraId="4679E33A" w14:textId="77777777" w:rsidR="001C0111" w:rsidRPr="0071228C" w:rsidRDefault="001C0111" w:rsidP="001C0111">
            <w:pPr>
              <w:jc w:val="center"/>
              <w:rPr>
                <w:b/>
                <w:noProof/>
                <w:sz w:val="22"/>
              </w:rPr>
            </w:pPr>
            <w:r w:rsidRPr="0071228C">
              <w:rPr>
                <w:b/>
                <w:noProof/>
                <w:sz w:val="22"/>
              </w:rPr>
              <w:t>OGÓŁEM DG ENV</w:t>
            </w:r>
          </w:p>
        </w:tc>
        <w:tc>
          <w:tcPr>
            <w:tcW w:w="2094" w:type="dxa"/>
            <w:gridSpan w:val="2"/>
            <w:vAlign w:val="center"/>
          </w:tcPr>
          <w:p w14:paraId="4D0EF4DF" w14:textId="77777777" w:rsidR="001C0111" w:rsidRPr="0071228C" w:rsidRDefault="001C0111" w:rsidP="001C0111">
            <w:pPr>
              <w:rPr>
                <w:noProof/>
                <w:sz w:val="22"/>
              </w:rPr>
            </w:pPr>
            <w:r w:rsidRPr="0071228C">
              <w:rPr>
                <w:noProof/>
                <w:sz w:val="22"/>
              </w:rPr>
              <w:t xml:space="preserve">Środki </w:t>
            </w:r>
          </w:p>
        </w:tc>
        <w:tc>
          <w:tcPr>
            <w:tcW w:w="868" w:type="dxa"/>
            <w:vAlign w:val="bottom"/>
          </w:tcPr>
          <w:p w14:paraId="51D4EFD1"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710118D6"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5222C9DE" w14:textId="77777777" w:rsidR="001C0111" w:rsidRPr="0071228C" w:rsidRDefault="001C0111" w:rsidP="001C0111">
            <w:pPr>
              <w:spacing w:before="20" w:after="20"/>
              <w:jc w:val="right"/>
              <w:rPr>
                <w:noProof/>
                <w:sz w:val="22"/>
              </w:rPr>
            </w:pPr>
            <w:r w:rsidRPr="0071228C">
              <w:rPr>
                <w:noProof/>
                <w:color w:val="000000"/>
                <w:sz w:val="22"/>
              </w:rPr>
              <w:t>0,314</w:t>
            </w:r>
          </w:p>
        </w:tc>
        <w:tc>
          <w:tcPr>
            <w:tcW w:w="868" w:type="dxa"/>
            <w:vAlign w:val="bottom"/>
          </w:tcPr>
          <w:p w14:paraId="1BA73ADE" w14:textId="77777777" w:rsidR="001C0111" w:rsidRPr="0071228C" w:rsidRDefault="001C0111" w:rsidP="001C0111">
            <w:pPr>
              <w:spacing w:before="20" w:after="20"/>
              <w:jc w:val="right"/>
              <w:rPr>
                <w:noProof/>
                <w:sz w:val="22"/>
              </w:rPr>
            </w:pPr>
            <w:r w:rsidRPr="0071228C">
              <w:rPr>
                <w:noProof/>
                <w:color w:val="000000"/>
                <w:sz w:val="22"/>
              </w:rPr>
              <w:t>0,314</w:t>
            </w:r>
          </w:p>
        </w:tc>
        <w:tc>
          <w:tcPr>
            <w:tcW w:w="1777" w:type="dxa"/>
            <w:gridSpan w:val="3"/>
            <w:vAlign w:val="bottom"/>
          </w:tcPr>
          <w:p w14:paraId="798A1BBB" w14:textId="77777777" w:rsidR="001C0111" w:rsidRPr="0071228C" w:rsidRDefault="001C0111" w:rsidP="001C0111">
            <w:pPr>
              <w:spacing w:before="20" w:after="20"/>
              <w:jc w:val="right"/>
              <w:rPr>
                <w:b/>
                <w:noProof/>
                <w:sz w:val="22"/>
              </w:rPr>
            </w:pPr>
            <w:r w:rsidRPr="0071228C">
              <w:rPr>
                <w:b/>
                <w:noProof/>
                <w:color w:val="000000"/>
                <w:sz w:val="22"/>
              </w:rPr>
              <w:t>1,256</w:t>
            </w:r>
          </w:p>
        </w:tc>
      </w:tr>
    </w:tbl>
    <w:p w14:paraId="15335462" w14:textId="77777777" w:rsidR="001C0111" w:rsidRPr="0071228C" w:rsidRDefault="001C0111" w:rsidP="001C0111">
      <w:pPr>
        <w:rPr>
          <w:noProof/>
          <w:lang w:eastAsia="en-GB"/>
        </w:rPr>
      </w:pPr>
    </w:p>
    <w:p w14:paraId="6D38EDBE" w14:textId="5946469F" w:rsidR="001C0111" w:rsidRPr="0071228C" w:rsidRDefault="001C0111" w:rsidP="001C0111">
      <w:pPr>
        <w:rPr>
          <w:noProof/>
          <w:sz w:val="20"/>
        </w:rPr>
      </w:pPr>
      <w:r w:rsidRPr="0071228C">
        <w:rPr>
          <w:noProof/>
        </w:rPr>
        <w:t>Dodatkowy personel DG ENV (1 AD ds. zintegrowanej gospodarki wodnej</w:t>
      </w:r>
      <w:r w:rsidR="00CC55C0" w:rsidRPr="0071228C">
        <w:rPr>
          <w:noProof/>
        </w:rPr>
        <w:t xml:space="preserve"> i</w:t>
      </w:r>
      <w:r w:rsidR="00CC55C0">
        <w:rPr>
          <w:noProof/>
        </w:rPr>
        <w:t> </w:t>
      </w:r>
      <w:r w:rsidR="00CC55C0" w:rsidRPr="0071228C">
        <w:rPr>
          <w:noProof/>
        </w:rPr>
        <w:t>1</w:t>
      </w:r>
      <w:r w:rsidRPr="0071228C">
        <w:rPr>
          <w:noProof/>
        </w:rPr>
        <w:t xml:space="preserve"> AD ds. jakości powietrza):</w:t>
      </w:r>
    </w:p>
    <w:p w14:paraId="3C05906E" w14:textId="0FB7A5D2"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wykonawczych Komisji ustanawiających listy obserwacyjne nowych substancji zanieczyszczających wody powierzchniowe</w:t>
      </w:r>
      <w:r w:rsidR="00CC55C0" w:rsidRPr="0071228C">
        <w:rPr>
          <w:noProof/>
        </w:rPr>
        <w:t xml:space="preserve"> i</w:t>
      </w:r>
      <w:r w:rsidR="00CC55C0">
        <w:rPr>
          <w:noProof/>
        </w:rPr>
        <w:t> </w:t>
      </w:r>
      <w:r w:rsidR="00CC55C0" w:rsidRPr="0071228C">
        <w:rPr>
          <w:noProof/>
        </w:rPr>
        <w:t>pod</w:t>
      </w:r>
      <w:r w:rsidRPr="0071228C">
        <w:rPr>
          <w:noProof/>
        </w:rPr>
        <w:t>ziemne, które będą monitorowane</w:t>
      </w:r>
      <w:r w:rsidR="00CC55C0" w:rsidRPr="0071228C">
        <w:rPr>
          <w:noProof/>
        </w:rPr>
        <w:t xml:space="preserve"> w</w:t>
      </w:r>
      <w:r w:rsidR="00CC55C0">
        <w:rPr>
          <w:noProof/>
        </w:rPr>
        <w:t> </w:t>
      </w:r>
      <w:r w:rsidR="00CC55C0" w:rsidRPr="0071228C">
        <w:rPr>
          <w:noProof/>
        </w:rPr>
        <w:t>cel</w:t>
      </w:r>
      <w:r w:rsidRPr="0071228C">
        <w:rPr>
          <w:noProof/>
        </w:rPr>
        <w:t>u oceny potrzeby ustanowienia norm unijnych;</w:t>
      </w:r>
    </w:p>
    <w:p w14:paraId="3C828FEC" w14:textId="06D9465D" w:rsidR="001C0111" w:rsidRPr="00CC55C0"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delegowanych Komisji co sześć lat</w:t>
      </w:r>
      <w:r w:rsidR="00CC55C0" w:rsidRPr="0071228C">
        <w:rPr>
          <w:noProof/>
        </w:rPr>
        <w:t xml:space="preserve"> w</w:t>
      </w:r>
      <w:r w:rsidR="00CC55C0">
        <w:rPr>
          <w:noProof/>
        </w:rPr>
        <w:t> </w:t>
      </w:r>
      <w:r w:rsidR="00CC55C0" w:rsidRPr="0071228C">
        <w:rPr>
          <w:noProof/>
        </w:rPr>
        <w:t>cel</w:t>
      </w:r>
      <w:r w:rsidRPr="0071228C">
        <w:rPr>
          <w:noProof/>
        </w:rPr>
        <w:t>u dokonania przeglądu</w:t>
      </w:r>
      <w:r w:rsidR="00CC55C0" w:rsidRPr="0071228C">
        <w:rPr>
          <w:noProof/>
        </w:rPr>
        <w:t xml:space="preserve"> i</w:t>
      </w:r>
      <w:r w:rsidR="00CC55C0">
        <w:rPr>
          <w:noProof/>
        </w:rPr>
        <w:t> </w:t>
      </w:r>
      <w:r w:rsidR="00CC55C0" w:rsidRPr="0071228C">
        <w:rPr>
          <w:noProof/>
        </w:rPr>
        <w:t>akt</w:t>
      </w:r>
      <w:r w:rsidRPr="0071228C">
        <w:rPr>
          <w:noProof/>
        </w:rPr>
        <w:t>ualizacji wykazu zanieczyszczeń</w:t>
      </w:r>
      <w:r w:rsidR="00CC55C0" w:rsidRPr="0071228C">
        <w:rPr>
          <w:noProof/>
        </w:rPr>
        <w:t xml:space="preserve"> i</w:t>
      </w:r>
      <w:r w:rsidR="00CC55C0">
        <w:rPr>
          <w:noProof/>
        </w:rPr>
        <w:t> </w:t>
      </w:r>
      <w:r w:rsidR="00CC55C0" w:rsidRPr="0071228C">
        <w:rPr>
          <w:noProof/>
        </w:rPr>
        <w:t>odp</w:t>
      </w:r>
      <w:r w:rsidRPr="0071228C">
        <w:rPr>
          <w:noProof/>
        </w:rPr>
        <w:t>owiadających im norm unijnych, które należy uwzględnić</w:t>
      </w:r>
      <w:r w:rsidR="00CC55C0" w:rsidRPr="0071228C">
        <w:rPr>
          <w:noProof/>
        </w:rPr>
        <w:t xml:space="preserve"> w</w:t>
      </w:r>
      <w:r w:rsidR="00CC55C0">
        <w:rPr>
          <w:noProof/>
        </w:rPr>
        <w:t> </w:t>
      </w:r>
      <w:r w:rsidR="00CC55C0" w:rsidRPr="0071228C">
        <w:rPr>
          <w:noProof/>
        </w:rPr>
        <w:t>cel</w:t>
      </w:r>
      <w:r w:rsidRPr="0071228C">
        <w:rPr>
          <w:noProof/>
        </w:rPr>
        <w:t>u ochrony zdrowia ludzkiego</w:t>
      </w:r>
      <w:r w:rsidR="00CC55C0" w:rsidRPr="0071228C">
        <w:rPr>
          <w:noProof/>
        </w:rPr>
        <w:t xml:space="preserve"> i</w:t>
      </w:r>
      <w:r w:rsidR="00CC55C0">
        <w:rPr>
          <w:noProof/>
        </w:rPr>
        <w:t> </w:t>
      </w:r>
      <w:r w:rsidR="00CC55C0" w:rsidRPr="0071228C">
        <w:rPr>
          <w:noProof/>
        </w:rPr>
        <w:t>śro</w:t>
      </w:r>
      <w:r w:rsidRPr="0071228C">
        <w:rPr>
          <w:noProof/>
        </w:rPr>
        <w:t>dowiska</w:t>
      </w:r>
      <w:r w:rsidRPr="00CC55C0">
        <w:rPr>
          <w:noProof/>
        </w:rPr>
        <w:t>;</w:t>
      </w:r>
      <w:r w:rsidR="00CC55C0" w:rsidRPr="00CC55C0">
        <w:rPr>
          <w:noProof/>
        </w:rPr>
        <w:t xml:space="preserve"> </w:t>
      </w:r>
    </w:p>
    <w:p w14:paraId="77D820E8" w14:textId="44DDDE72" w:rsidR="001C0111" w:rsidRPr="0071228C" w:rsidRDefault="001C0111" w:rsidP="001C0111">
      <w:pPr>
        <w:tabs>
          <w:tab w:val="num" w:pos="1417"/>
        </w:tabs>
        <w:ind w:left="1417" w:hanging="567"/>
        <w:rPr>
          <w:noProof/>
        </w:rPr>
      </w:pPr>
      <w:r w:rsidRPr="0071228C">
        <w:rPr>
          <w:noProof/>
        </w:rPr>
        <w:t>podtrzymanie dialogu na temat gospodarki wodnej</w:t>
      </w:r>
      <w:r w:rsidR="00CC55C0" w:rsidRPr="0071228C">
        <w:rPr>
          <w:noProof/>
        </w:rPr>
        <w:t xml:space="preserve"> z</w:t>
      </w:r>
      <w:r w:rsidR="00CC55C0">
        <w:rPr>
          <w:noProof/>
        </w:rPr>
        <w:t> </w:t>
      </w:r>
      <w:r w:rsidR="00CC55C0" w:rsidRPr="0071228C">
        <w:rPr>
          <w:noProof/>
        </w:rPr>
        <w:t>pań</w:t>
      </w:r>
      <w:r w:rsidRPr="0071228C">
        <w:rPr>
          <w:noProof/>
        </w:rPr>
        <w:t>stwami członkowskimi, EEA i ECHA,</w:t>
      </w:r>
      <w:r w:rsidR="00CC55C0" w:rsidRPr="0071228C">
        <w:rPr>
          <w:noProof/>
        </w:rPr>
        <w:t xml:space="preserve"> w</w:t>
      </w:r>
      <w:r w:rsidR="00CC55C0">
        <w:rPr>
          <w:noProof/>
        </w:rPr>
        <w:t> </w:t>
      </w:r>
      <w:r w:rsidR="00CC55C0" w:rsidRPr="0071228C">
        <w:rPr>
          <w:noProof/>
        </w:rPr>
        <w:t>tym w</w:t>
      </w:r>
      <w:r w:rsidR="00CC55C0">
        <w:rPr>
          <w:noProof/>
        </w:rPr>
        <w:t> </w:t>
      </w:r>
      <w:r w:rsidR="00CC55C0" w:rsidRPr="0071228C">
        <w:rPr>
          <w:noProof/>
        </w:rPr>
        <w:t>ram</w:t>
      </w:r>
      <w:r w:rsidRPr="0071228C">
        <w:rPr>
          <w:noProof/>
        </w:rPr>
        <w:t>ach odpowiednich grup ekspertów</w:t>
      </w:r>
      <w:r w:rsidR="00CC55C0" w:rsidRPr="0071228C">
        <w:rPr>
          <w:noProof/>
        </w:rPr>
        <w:t xml:space="preserve"> i</w:t>
      </w:r>
      <w:r w:rsidR="00CC55C0">
        <w:rPr>
          <w:noProof/>
        </w:rPr>
        <w:t> </w:t>
      </w:r>
      <w:r w:rsidR="00CC55C0" w:rsidRPr="0071228C">
        <w:rPr>
          <w:noProof/>
        </w:rPr>
        <w:t>kom</w:t>
      </w:r>
      <w:r w:rsidRPr="0071228C">
        <w:rPr>
          <w:noProof/>
        </w:rPr>
        <w:t>itetów;</w:t>
      </w:r>
    </w:p>
    <w:p w14:paraId="39734BC2" w14:textId="06590257"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wykonawczych Komisji</w:t>
      </w:r>
      <w:r w:rsidR="00CC55C0" w:rsidRPr="0071228C">
        <w:rPr>
          <w:noProof/>
        </w:rPr>
        <w:t xml:space="preserve"> i</w:t>
      </w:r>
      <w:r w:rsidR="00CC55C0">
        <w:rPr>
          <w:noProof/>
        </w:rPr>
        <w:t> </w:t>
      </w:r>
      <w:r w:rsidR="00CC55C0" w:rsidRPr="0071228C">
        <w:rPr>
          <w:noProof/>
        </w:rPr>
        <w:t>akt</w:t>
      </w:r>
      <w:r w:rsidRPr="0071228C">
        <w:rPr>
          <w:noProof/>
        </w:rPr>
        <w:t>ów delegowanych łączących się</w:t>
      </w:r>
      <w:r w:rsidR="00CC55C0" w:rsidRPr="0071228C">
        <w:rPr>
          <w:noProof/>
        </w:rPr>
        <w:t xml:space="preserve"> z</w:t>
      </w:r>
      <w:r w:rsidR="00CC55C0">
        <w:rPr>
          <w:noProof/>
        </w:rPr>
        <w:t> </w:t>
      </w:r>
      <w:r w:rsidR="00CC55C0" w:rsidRPr="0071228C">
        <w:rPr>
          <w:noProof/>
        </w:rPr>
        <w:t>wdr</w:t>
      </w:r>
      <w:r w:rsidRPr="0071228C">
        <w:rPr>
          <w:noProof/>
        </w:rPr>
        <w:t>ożeniem nowej dyrektywy</w:t>
      </w:r>
      <w:r w:rsidR="00CC55C0" w:rsidRPr="0071228C">
        <w:rPr>
          <w:noProof/>
        </w:rPr>
        <w:t xml:space="preserve"> w</w:t>
      </w:r>
      <w:r w:rsidR="00CC55C0">
        <w:rPr>
          <w:noProof/>
        </w:rPr>
        <w:t> </w:t>
      </w:r>
      <w:r w:rsidR="00CC55C0" w:rsidRPr="0071228C">
        <w:rPr>
          <w:noProof/>
        </w:rPr>
        <w:t>spr</w:t>
      </w:r>
      <w:r w:rsidRPr="0071228C">
        <w:rPr>
          <w:noProof/>
        </w:rPr>
        <w:t xml:space="preserve">awie jakości powietrza. </w:t>
      </w:r>
    </w:p>
    <w:p w14:paraId="172E2579" w14:textId="60EF1774" w:rsidR="001C0111" w:rsidRPr="0071228C" w:rsidRDefault="001C0111" w:rsidP="001C0111">
      <w:pPr>
        <w:tabs>
          <w:tab w:val="num" w:pos="1417"/>
        </w:tabs>
        <w:ind w:left="1417" w:hanging="567"/>
        <w:rPr>
          <w:noProof/>
        </w:rPr>
      </w:pPr>
      <w:r w:rsidRPr="0071228C">
        <w:rPr>
          <w:noProof/>
        </w:rPr>
        <w:t>Wsparcie zespołu we wdrażaniu zmienionej dyrektywy</w:t>
      </w:r>
      <w:r w:rsidR="00CC55C0" w:rsidRPr="0071228C">
        <w:rPr>
          <w:noProof/>
        </w:rPr>
        <w:t xml:space="preserve"> w</w:t>
      </w:r>
      <w:r w:rsidR="00CC55C0">
        <w:rPr>
          <w:noProof/>
        </w:rPr>
        <w:t> </w:t>
      </w:r>
      <w:r w:rsidR="00CC55C0" w:rsidRPr="0071228C">
        <w:rPr>
          <w:noProof/>
        </w:rPr>
        <w:t>spr</w:t>
      </w:r>
      <w:r w:rsidRPr="0071228C">
        <w:rPr>
          <w:noProof/>
        </w:rPr>
        <w:t>awie jakości powietrza, zwłaszcza</w:t>
      </w:r>
      <w:r w:rsidR="00CC55C0" w:rsidRPr="0071228C">
        <w:rPr>
          <w:noProof/>
        </w:rPr>
        <w:t xml:space="preserve"> w</w:t>
      </w:r>
      <w:r w:rsidR="00CC55C0">
        <w:rPr>
          <w:noProof/>
        </w:rPr>
        <w:t> </w:t>
      </w:r>
      <w:r w:rsidR="00CC55C0" w:rsidRPr="0071228C">
        <w:rPr>
          <w:noProof/>
        </w:rPr>
        <w:t>zak</w:t>
      </w:r>
      <w:r w:rsidRPr="0071228C">
        <w:rPr>
          <w:noProof/>
        </w:rPr>
        <w:t>resie nowych przepisów wymagających zwiększonego zaangażowania właściwych organów.</w:t>
      </w:r>
    </w:p>
    <w:p w14:paraId="60605E2F" w14:textId="3BC500E6"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pro</w:t>
      </w:r>
      <w:r w:rsidRPr="0071228C">
        <w:rPr>
          <w:noProof/>
        </w:rPr>
        <w:t>wadzenie prac nad technicznymi wytycznymi wynikającymi ze zmian</w:t>
      </w:r>
      <w:r w:rsidR="00CC55C0" w:rsidRPr="0071228C">
        <w:rPr>
          <w:noProof/>
        </w:rPr>
        <w:t xml:space="preserve"> w</w:t>
      </w:r>
      <w:r w:rsidR="00CC55C0">
        <w:rPr>
          <w:noProof/>
        </w:rPr>
        <w:t> </w:t>
      </w:r>
      <w:r w:rsidR="00CC55C0" w:rsidRPr="0071228C">
        <w:rPr>
          <w:noProof/>
        </w:rPr>
        <w:t>zak</w:t>
      </w:r>
      <w:r w:rsidRPr="0071228C">
        <w:rPr>
          <w:noProof/>
        </w:rPr>
        <w:t>resie monitorowania, modelowania</w:t>
      </w:r>
      <w:r w:rsidR="00CC55C0" w:rsidRPr="0071228C">
        <w:rPr>
          <w:noProof/>
        </w:rPr>
        <w:t xml:space="preserve"> i</w:t>
      </w:r>
      <w:r w:rsidR="00CC55C0">
        <w:rPr>
          <w:noProof/>
        </w:rPr>
        <w:t> </w:t>
      </w:r>
      <w:r w:rsidR="00CC55C0" w:rsidRPr="0071228C">
        <w:rPr>
          <w:noProof/>
        </w:rPr>
        <w:t>pla</w:t>
      </w:r>
      <w:r w:rsidRPr="0071228C">
        <w:rPr>
          <w:noProof/>
        </w:rPr>
        <w:t>nów ochrony powietrza.</w:t>
      </w:r>
    </w:p>
    <w:p w14:paraId="6C0A18FF" w14:textId="42D56A25" w:rsidR="001C0111" w:rsidRPr="0071228C" w:rsidRDefault="001C0111" w:rsidP="001C0111">
      <w:pPr>
        <w:rPr>
          <w:noProof/>
        </w:rPr>
      </w:pPr>
      <w:r w:rsidRPr="0071228C">
        <w:rPr>
          <w:noProof/>
        </w:rPr>
        <w:t>Potrzeby</w:t>
      </w:r>
      <w:r w:rsidR="00CC55C0" w:rsidRPr="0071228C">
        <w:rPr>
          <w:noProof/>
        </w:rPr>
        <w:t xml:space="preserve"> w</w:t>
      </w:r>
      <w:r w:rsidR="00CC55C0">
        <w:rPr>
          <w:noProof/>
        </w:rPr>
        <w:t> </w:t>
      </w:r>
      <w:r w:rsidR="00CC55C0" w:rsidRPr="0071228C">
        <w:rPr>
          <w:noProof/>
        </w:rPr>
        <w:t>zak</w:t>
      </w:r>
      <w:r w:rsidRPr="0071228C">
        <w:rPr>
          <w:noProof/>
        </w:rPr>
        <w:t>resie środków na zasoby ludzkie zostaną pokryte</w:t>
      </w:r>
      <w:r w:rsidR="00CC55C0" w:rsidRPr="0071228C">
        <w:rPr>
          <w:noProof/>
        </w:rPr>
        <w:t xml:space="preserve"> z</w:t>
      </w:r>
      <w:r w:rsidR="00CC55C0">
        <w:rPr>
          <w:noProof/>
        </w:rPr>
        <w:t> </w:t>
      </w:r>
      <w:r w:rsidR="00CC55C0" w:rsidRPr="0071228C">
        <w:rPr>
          <w:noProof/>
        </w:rPr>
        <w:t>zas</w:t>
      </w:r>
      <w:r w:rsidRPr="0071228C">
        <w:rPr>
          <w:noProof/>
        </w:rPr>
        <w:t>obów dyrekcji generalnej już przydzielonych na zarządzanie tym działaniem lub przesuniętych</w:t>
      </w:r>
      <w:r w:rsidR="00CC55C0" w:rsidRPr="0071228C">
        <w:rPr>
          <w:noProof/>
        </w:rPr>
        <w:t xml:space="preserve"> w</w:t>
      </w:r>
      <w:r w:rsidR="00CC55C0">
        <w:rPr>
          <w:noProof/>
        </w:rPr>
        <w:t> </w:t>
      </w:r>
      <w:r w:rsidR="00CC55C0" w:rsidRPr="0071228C">
        <w:rPr>
          <w:noProof/>
        </w:rPr>
        <w:t>ram</w:t>
      </w:r>
      <w:r w:rsidRPr="0071228C">
        <w:rPr>
          <w:noProof/>
        </w:rPr>
        <w:t>ach dyrekcji generalnej, uzupełnionych</w:t>
      </w:r>
      <w:r w:rsidR="00CC55C0" w:rsidRPr="0071228C">
        <w:rPr>
          <w:noProof/>
        </w:rPr>
        <w:t xml:space="preserve"> w</w:t>
      </w:r>
      <w:r w:rsidR="00CC55C0">
        <w:rPr>
          <w:noProof/>
        </w:rPr>
        <w:t> </w:t>
      </w:r>
      <w:r w:rsidR="00CC55C0" w:rsidRPr="0071228C">
        <w:rPr>
          <w:noProof/>
        </w:rPr>
        <w:t>raz</w:t>
      </w:r>
      <w:r w:rsidRPr="0071228C">
        <w:rPr>
          <w:noProof/>
        </w:rPr>
        <w:t>ie potrzeby wszelkimi dodatkowymi zasobami, które mogą zostać przydzielone zarządzającej dyrekcji generalnej</w:t>
      </w:r>
      <w:r w:rsidR="00CC55C0" w:rsidRPr="0071228C">
        <w:rPr>
          <w:noProof/>
        </w:rPr>
        <w:t xml:space="preserve"> w</w:t>
      </w:r>
      <w:r w:rsidR="00CC55C0">
        <w:rPr>
          <w:noProof/>
        </w:rPr>
        <w:t> </w:t>
      </w:r>
      <w:r w:rsidR="00CC55C0" w:rsidRPr="0071228C">
        <w:rPr>
          <w:noProof/>
        </w:rPr>
        <w:t>ram</w:t>
      </w:r>
      <w:r w:rsidRPr="0071228C">
        <w:rPr>
          <w:noProof/>
        </w:rPr>
        <w:t>ach procedury rocznego przydziału środków oraz</w:t>
      </w:r>
      <w:r w:rsidR="00CC55C0" w:rsidRPr="0071228C">
        <w:rPr>
          <w:noProof/>
        </w:rPr>
        <w:t xml:space="preserve"> w</w:t>
      </w:r>
      <w:r w:rsidR="00CC55C0">
        <w:rPr>
          <w:noProof/>
        </w:rPr>
        <w:t> </w:t>
      </w:r>
      <w:r w:rsidR="00CC55C0" w:rsidRPr="0071228C">
        <w:rPr>
          <w:noProof/>
        </w:rPr>
        <w:t>świ</w:t>
      </w:r>
      <w:r w:rsidRPr="0071228C">
        <w:rPr>
          <w:noProof/>
        </w:rPr>
        <w:t>etle istniejących ograniczeń budżetowych.</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1C0111" w:rsidRPr="0071228C" w14:paraId="554D540A" w14:textId="77777777" w:rsidTr="00EE4772">
        <w:tc>
          <w:tcPr>
            <w:tcW w:w="3960" w:type="dxa"/>
            <w:shd w:val="thinDiagStripe" w:color="C0C0C0" w:fill="auto"/>
            <w:vAlign w:val="center"/>
          </w:tcPr>
          <w:p w14:paraId="5A6DEC5D" w14:textId="77777777" w:rsidR="001C0111" w:rsidRPr="0071228C" w:rsidRDefault="001C0111" w:rsidP="001C0111">
            <w:pPr>
              <w:jc w:val="center"/>
              <w:rPr>
                <w:b/>
                <w:noProof/>
              </w:rPr>
            </w:pPr>
            <w:r w:rsidRPr="0071228C">
              <w:rPr>
                <w:b/>
                <w:noProof/>
                <w:sz w:val="22"/>
              </w:rPr>
              <w:t>OGÓŁEM środki</w:t>
            </w:r>
            <w:r w:rsidRPr="0071228C">
              <w:rPr>
                <w:noProof/>
              </w:rPr>
              <w:t xml:space="preserve"> </w:t>
            </w:r>
            <w:r w:rsidRPr="0071228C">
              <w:rPr>
                <w:noProof/>
              </w:rPr>
              <w:br/>
            </w:r>
            <w:r w:rsidRPr="0071228C">
              <w:rPr>
                <w:b/>
                <w:noProof/>
                <w:sz w:val="22"/>
              </w:rPr>
              <w:t>na DZIAŁ 7</w:t>
            </w:r>
            <w:r w:rsidRPr="0071228C">
              <w:rPr>
                <w:noProof/>
              </w:rPr>
              <w:t xml:space="preserve"> </w:t>
            </w:r>
            <w:r w:rsidRPr="0071228C">
              <w:rPr>
                <w:noProof/>
              </w:rPr>
              <w:br/>
            </w:r>
            <w:r w:rsidRPr="0071228C">
              <w:rPr>
                <w:noProof/>
                <w:sz w:val="22"/>
              </w:rPr>
              <w:t>wieloletnich ram finansowych</w:t>
            </w:r>
            <w:r w:rsidRPr="0071228C">
              <w:rPr>
                <w:b/>
                <w:noProof/>
                <w:sz w:val="22"/>
              </w:rPr>
              <w:t xml:space="preserve"> </w:t>
            </w:r>
          </w:p>
        </w:tc>
        <w:tc>
          <w:tcPr>
            <w:tcW w:w="2094" w:type="dxa"/>
            <w:vAlign w:val="center"/>
          </w:tcPr>
          <w:p w14:paraId="4611A432" w14:textId="77777777" w:rsidR="001C0111" w:rsidRPr="0071228C" w:rsidRDefault="001C0111" w:rsidP="001C0111">
            <w:pPr>
              <w:spacing w:before="40" w:after="40"/>
              <w:rPr>
                <w:noProof/>
              </w:rPr>
            </w:pPr>
            <w:r w:rsidRPr="0071228C">
              <w:rPr>
                <w:noProof/>
                <w:sz w:val="18"/>
              </w:rPr>
              <w:t>(Środki na zobowiązania ogółem = środki na płatności ogółem)</w:t>
            </w:r>
          </w:p>
        </w:tc>
        <w:tc>
          <w:tcPr>
            <w:tcW w:w="868" w:type="dxa"/>
            <w:vAlign w:val="center"/>
          </w:tcPr>
          <w:p w14:paraId="2DD4E809" w14:textId="77777777" w:rsidR="001C0111" w:rsidRPr="0071228C" w:rsidRDefault="001C0111" w:rsidP="001C0111">
            <w:pPr>
              <w:spacing w:before="20" w:after="20"/>
              <w:jc w:val="right"/>
              <w:rPr>
                <w:noProof/>
              </w:rPr>
            </w:pPr>
            <w:r w:rsidRPr="0071228C">
              <w:rPr>
                <w:noProof/>
                <w:color w:val="000000"/>
              </w:rPr>
              <w:t>0,314</w:t>
            </w:r>
          </w:p>
        </w:tc>
        <w:tc>
          <w:tcPr>
            <w:tcW w:w="868" w:type="dxa"/>
            <w:vAlign w:val="center"/>
          </w:tcPr>
          <w:p w14:paraId="5BD65AE3" w14:textId="77777777" w:rsidR="001C0111" w:rsidRPr="0071228C" w:rsidRDefault="001C0111" w:rsidP="001C0111">
            <w:pPr>
              <w:spacing w:before="20" w:after="20"/>
              <w:jc w:val="right"/>
              <w:rPr>
                <w:noProof/>
              </w:rPr>
            </w:pPr>
            <w:r w:rsidRPr="0071228C">
              <w:rPr>
                <w:noProof/>
                <w:color w:val="000000"/>
              </w:rPr>
              <w:t>0,314</w:t>
            </w:r>
          </w:p>
        </w:tc>
        <w:tc>
          <w:tcPr>
            <w:tcW w:w="868" w:type="dxa"/>
            <w:vAlign w:val="center"/>
          </w:tcPr>
          <w:p w14:paraId="4969AA74" w14:textId="77777777" w:rsidR="001C0111" w:rsidRPr="0071228C" w:rsidRDefault="001C0111" w:rsidP="001C0111">
            <w:pPr>
              <w:spacing w:before="20" w:after="20"/>
              <w:jc w:val="right"/>
              <w:rPr>
                <w:noProof/>
              </w:rPr>
            </w:pPr>
            <w:r w:rsidRPr="0071228C">
              <w:rPr>
                <w:noProof/>
                <w:color w:val="000000"/>
              </w:rPr>
              <w:t>0,314</w:t>
            </w:r>
          </w:p>
        </w:tc>
        <w:tc>
          <w:tcPr>
            <w:tcW w:w="868" w:type="dxa"/>
            <w:vAlign w:val="center"/>
          </w:tcPr>
          <w:p w14:paraId="75BD04DF" w14:textId="77777777" w:rsidR="001C0111" w:rsidRPr="0071228C" w:rsidRDefault="001C0111" w:rsidP="001C0111">
            <w:pPr>
              <w:spacing w:before="20" w:after="20"/>
              <w:jc w:val="right"/>
              <w:rPr>
                <w:noProof/>
              </w:rPr>
            </w:pPr>
            <w:r w:rsidRPr="0071228C">
              <w:rPr>
                <w:noProof/>
                <w:color w:val="000000"/>
              </w:rPr>
              <w:t>0,314</w:t>
            </w:r>
          </w:p>
        </w:tc>
        <w:tc>
          <w:tcPr>
            <w:tcW w:w="1777" w:type="dxa"/>
            <w:vAlign w:val="center"/>
          </w:tcPr>
          <w:p w14:paraId="6F70CBF4" w14:textId="77777777" w:rsidR="001C0111" w:rsidRPr="0071228C" w:rsidRDefault="001C0111" w:rsidP="001C0111">
            <w:pPr>
              <w:spacing w:before="20" w:after="20"/>
              <w:jc w:val="right"/>
              <w:rPr>
                <w:b/>
                <w:noProof/>
              </w:rPr>
            </w:pPr>
            <w:r w:rsidRPr="0071228C">
              <w:rPr>
                <w:b/>
                <w:noProof/>
                <w:color w:val="000000"/>
              </w:rPr>
              <w:t>1,256</w:t>
            </w:r>
          </w:p>
        </w:tc>
      </w:tr>
    </w:tbl>
    <w:p w14:paraId="129DDBFA" w14:textId="77777777" w:rsidR="001C0111" w:rsidRPr="0071228C" w:rsidRDefault="001C0111" w:rsidP="001C0111">
      <w:pPr>
        <w:rPr>
          <w:noProof/>
          <w:lang w:eastAsia="en-GB"/>
        </w:rPr>
      </w:pPr>
    </w:p>
    <w:p w14:paraId="4D0CBF37" w14:textId="77777777" w:rsidR="001C0111" w:rsidRPr="0071228C" w:rsidRDefault="001C0111" w:rsidP="001C0111">
      <w:pPr>
        <w:jc w:val="right"/>
        <w:rPr>
          <w:noProof/>
          <w:sz w:val="20"/>
        </w:rPr>
      </w:pPr>
      <w:r w:rsidRPr="0071228C">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20"/>
        <w:gridCol w:w="1826"/>
      </w:tblGrid>
      <w:tr w:rsidR="001C0111" w:rsidRPr="0071228C" w14:paraId="77CBA6A5" w14:textId="77777777" w:rsidTr="00EE4772">
        <w:tc>
          <w:tcPr>
            <w:tcW w:w="3960" w:type="dxa"/>
            <w:tcBorders>
              <w:top w:val="nil"/>
              <w:left w:val="nil"/>
              <w:right w:val="nil"/>
            </w:tcBorders>
            <w:vAlign w:val="center"/>
          </w:tcPr>
          <w:p w14:paraId="7D108010" w14:textId="77777777" w:rsidR="001C0111" w:rsidRPr="0071228C" w:rsidRDefault="001C0111" w:rsidP="001C0111">
            <w:pPr>
              <w:jc w:val="center"/>
              <w:rPr>
                <w:noProof/>
                <w:lang w:eastAsia="en-GB"/>
              </w:rPr>
            </w:pPr>
          </w:p>
        </w:tc>
        <w:tc>
          <w:tcPr>
            <w:tcW w:w="1560" w:type="dxa"/>
            <w:tcBorders>
              <w:top w:val="nil"/>
              <w:left w:val="nil"/>
              <w:right w:val="nil"/>
            </w:tcBorders>
          </w:tcPr>
          <w:p w14:paraId="7D0DD2E8" w14:textId="77777777" w:rsidR="001C0111" w:rsidRPr="0071228C" w:rsidRDefault="001C0111" w:rsidP="001C0111">
            <w:pPr>
              <w:rPr>
                <w:noProof/>
                <w:sz w:val="20"/>
                <w:lang w:eastAsia="en-GB"/>
              </w:rPr>
            </w:pPr>
          </w:p>
        </w:tc>
        <w:tc>
          <w:tcPr>
            <w:tcW w:w="534" w:type="dxa"/>
            <w:tcBorders>
              <w:top w:val="nil"/>
              <w:left w:val="nil"/>
            </w:tcBorders>
          </w:tcPr>
          <w:p w14:paraId="1660FA1B" w14:textId="77777777" w:rsidR="001C0111" w:rsidRPr="0071228C" w:rsidRDefault="001C0111" w:rsidP="001C0111">
            <w:pPr>
              <w:jc w:val="center"/>
              <w:rPr>
                <w:noProof/>
                <w:sz w:val="20"/>
                <w:lang w:eastAsia="en-GB"/>
              </w:rPr>
            </w:pPr>
          </w:p>
        </w:tc>
        <w:tc>
          <w:tcPr>
            <w:tcW w:w="868" w:type="dxa"/>
            <w:vAlign w:val="center"/>
          </w:tcPr>
          <w:p w14:paraId="21679FF9" w14:textId="77777777" w:rsidR="001C0111" w:rsidRPr="0071228C" w:rsidRDefault="001C0111" w:rsidP="001C0111">
            <w:pPr>
              <w:jc w:val="center"/>
              <w:rPr>
                <w:noProof/>
                <w:sz w:val="20"/>
              </w:rPr>
            </w:pPr>
            <w:r w:rsidRPr="0071228C">
              <w:rPr>
                <w:b/>
                <w:noProof/>
                <w:sz w:val="20"/>
              </w:rPr>
              <w:t>2023</w:t>
            </w:r>
          </w:p>
        </w:tc>
        <w:tc>
          <w:tcPr>
            <w:tcW w:w="868" w:type="dxa"/>
            <w:vAlign w:val="center"/>
          </w:tcPr>
          <w:p w14:paraId="1F70D5D9" w14:textId="77777777" w:rsidR="001C0111" w:rsidRPr="0071228C" w:rsidRDefault="001C0111" w:rsidP="001C0111">
            <w:pPr>
              <w:jc w:val="center"/>
              <w:rPr>
                <w:noProof/>
                <w:sz w:val="20"/>
              </w:rPr>
            </w:pPr>
            <w:r w:rsidRPr="0071228C">
              <w:rPr>
                <w:b/>
                <w:noProof/>
                <w:sz w:val="20"/>
              </w:rPr>
              <w:t>2024</w:t>
            </w:r>
          </w:p>
        </w:tc>
        <w:tc>
          <w:tcPr>
            <w:tcW w:w="868" w:type="dxa"/>
            <w:vAlign w:val="center"/>
          </w:tcPr>
          <w:p w14:paraId="46C896C3" w14:textId="77777777" w:rsidR="001C0111" w:rsidRPr="0071228C" w:rsidRDefault="001C0111" w:rsidP="001C0111">
            <w:pPr>
              <w:jc w:val="center"/>
              <w:rPr>
                <w:noProof/>
                <w:sz w:val="20"/>
              </w:rPr>
            </w:pPr>
            <w:r w:rsidRPr="0071228C">
              <w:rPr>
                <w:b/>
                <w:noProof/>
                <w:sz w:val="20"/>
              </w:rPr>
              <w:t>2025</w:t>
            </w:r>
          </w:p>
        </w:tc>
        <w:tc>
          <w:tcPr>
            <w:tcW w:w="868" w:type="dxa"/>
            <w:vAlign w:val="center"/>
          </w:tcPr>
          <w:p w14:paraId="184C81C5" w14:textId="77777777" w:rsidR="001C0111" w:rsidRPr="0071228C" w:rsidRDefault="001C0111" w:rsidP="001C0111">
            <w:pPr>
              <w:jc w:val="center"/>
              <w:rPr>
                <w:noProof/>
                <w:sz w:val="20"/>
              </w:rPr>
            </w:pPr>
            <w:r w:rsidRPr="0071228C">
              <w:rPr>
                <w:b/>
                <w:noProof/>
                <w:sz w:val="20"/>
              </w:rPr>
              <w:t>2026</w:t>
            </w:r>
          </w:p>
        </w:tc>
        <w:tc>
          <w:tcPr>
            <w:tcW w:w="888" w:type="dxa"/>
            <w:gridSpan w:val="2"/>
            <w:vAlign w:val="center"/>
          </w:tcPr>
          <w:p w14:paraId="4A1B2E9E" w14:textId="77777777" w:rsidR="001C0111" w:rsidRPr="0071228C" w:rsidRDefault="001C0111" w:rsidP="001C0111">
            <w:pPr>
              <w:jc w:val="center"/>
              <w:rPr>
                <w:b/>
                <w:noProof/>
                <w:sz w:val="20"/>
              </w:rPr>
            </w:pPr>
            <w:r w:rsidRPr="0071228C">
              <w:rPr>
                <w:b/>
                <w:noProof/>
                <w:sz w:val="20"/>
              </w:rPr>
              <w:t>2027 (i kolejne lata)</w:t>
            </w:r>
          </w:p>
        </w:tc>
        <w:tc>
          <w:tcPr>
            <w:tcW w:w="1826" w:type="dxa"/>
            <w:vAlign w:val="center"/>
          </w:tcPr>
          <w:p w14:paraId="0FD84B41" w14:textId="77777777" w:rsidR="001C0111" w:rsidRPr="0071228C" w:rsidRDefault="001C0111" w:rsidP="001C0111">
            <w:pPr>
              <w:jc w:val="center"/>
              <w:rPr>
                <w:b/>
                <w:noProof/>
                <w:sz w:val="20"/>
              </w:rPr>
            </w:pPr>
            <w:r w:rsidRPr="0071228C">
              <w:rPr>
                <w:b/>
                <w:noProof/>
                <w:sz w:val="20"/>
              </w:rPr>
              <w:t>OGÓŁEM</w:t>
            </w:r>
          </w:p>
        </w:tc>
      </w:tr>
      <w:tr w:rsidR="001C0111" w:rsidRPr="0071228C" w14:paraId="382F5401" w14:textId="77777777" w:rsidTr="00EE4772">
        <w:tc>
          <w:tcPr>
            <w:tcW w:w="3960" w:type="dxa"/>
            <w:vMerge w:val="restart"/>
            <w:shd w:val="clear" w:color="auto" w:fill="C0C0C0"/>
            <w:vAlign w:val="center"/>
          </w:tcPr>
          <w:p w14:paraId="5AC50452" w14:textId="24DD362A" w:rsidR="001C0111" w:rsidRPr="0071228C" w:rsidRDefault="001C0111" w:rsidP="001C0111">
            <w:pPr>
              <w:jc w:val="center"/>
              <w:rPr>
                <w:b/>
                <w:noProof/>
              </w:rPr>
            </w:pPr>
            <w:r w:rsidRPr="0071228C">
              <w:rPr>
                <w:b/>
                <w:noProof/>
                <w:sz w:val="22"/>
              </w:rPr>
              <w:t>OGÓŁEM środk</w:t>
            </w:r>
            <w:r w:rsidRPr="00CC55C0">
              <w:rPr>
                <w:b/>
                <w:noProof/>
                <w:sz w:val="22"/>
              </w:rPr>
              <w:t>i</w:t>
            </w:r>
            <w:r w:rsidR="00CC55C0" w:rsidRPr="00CC55C0">
              <w:rPr>
                <w:b/>
                <w:noProof/>
                <w:sz w:val="22"/>
              </w:rPr>
              <w:t xml:space="preserve"> </w:t>
            </w:r>
            <w:r w:rsidRPr="00CC55C0">
              <w:rPr>
                <w:noProof/>
              </w:rPr>
              <w:br/>
            </w:r>
            <w:r w:rsidRPr="0071228C">
              <w:rPr>
                <w:b/>
                <w:noProof/>
                <w:sz w:val="22"/>
              </w:rPr>
              <w:t xml:space="preserve">na DZIAŁY 1 </w:t>
            </w:r>
            <w:r w:rsidRPr="00CC55C0">
              <w:rPr>
                <w:b/>
                <w:noProof/>
                <w:sz w:val="22"/>
              </w:rPr>
              <w:t>do</w:t>
            </w:r>
            <w:r w:rsidR="00CC55C0" w:rsidRPr="00CC55C0">
              <w:rPr>
                <w:b/>
                <w:noProof/>
                <w:sz w:val="22"/>
              </w:rPr>
              <w:t> </w:t>
            </w:r>
            <w:r w:rsidRPr="00CC55C0">
              <w:rPr>
                <w:b/>
                <w:noProof/>
                <w:sz w:val="22"/>
              </w:rPr>
              <w:t>7</w:t>
            </w:r>
            <w:r w:rsidRPr="0071228C">
              <w:rPr>
                <w:noProof/>
              </w:rPr>
              <w:t xml:space="preserve"> </w:t>
            </w:r>
            <w:r w:rsidRPr="0071228C">
              <w:rPr>
                <w:noProof/>
              </w:rPr>
              <w:br/>
            </w:r>
            <w:r w:rsidRPr="0071228C">
              <w:rPr>
                <w:noProof/>
                <w:sz w:val="22"/>
              </w:rPr>
              <w:t>wieloletnich ram finansowych</w:t>
            </w:r>
            <w:r w:rsidRPr="0071228C">
              <w:rPr>
                <w:b/>
                <w:noProof/>
                <w:sz w:val="22"/>
              </w:rPr>
              <w:t xml:space="preserve"> </w:t>
            </w:r>
          </w:p>
        </w:tc>
        <w:tc>
          <w:tcPr>
            <w:tcW w:w="2094" w:type="dxa"/>
            <w:gridSpan w:val="2"/>
            <w:vAlign w:val="center"/>
          </w:tcPr>
          <w:p w14:paraId="5343ABB5" w14:textId="77777777" w:rsidR="001C0111" w:rsidRPr="0071228C" w:rsidRDefault="001C0111" w:rsidP="001C0111">
            <w:pPr>
              <w:rPr>
                <w:noProof/>
                <w:sz w:val="14"/>
              </w:rPr>
            </w:pPr>
            <w:r w:rsidRPr="0071228C">
              <w:rPr>
                <w:noProof/>
                <w:sz w:val="18"/>
              </w:rPr>
              <w:t>Środki na zobowiązania</w:t>
            </w:r>
          </w:p>
        </w:tc>
        <w:tc>
          <w:tcPr>
            <w:tcW w:w="868" w:type="dxa"/>
            <w:vAlign w:val="center"/>
          </w:tcPr>
          <w:p w14:paraId="661F2A80" w14:textId="77777777" w:rsidR="001C0111" w:rsidRPr="0071228C" w:rsidRDefault="001C0111" w:rsidP="001C0111">
            <w:pPr>
              <w:spacing w:before="60" w:after="60"/>
              <w:jc w:val="right"/>
              <w:rPr>
                <w:noProof/>
                <w:szCs w:val="24"/>
              </w:rPr>
            </w:pPr>
            <w:r w:rsidRPr="0071228C">
              <w:rPr>
                <w:noProof/>
              </w:rPr>
              <w:t>0,100</w:t>
            </w:r>
          </w:p>
        </w:tc>
        <w:tc>
          <w:tcPr>
            <w:tcW w:w="868" w:type="dxa"/>
            <w:vAlign w:val="bottom"/>
          </w:tcPr>
          <w:p w14:paraId="54AE51FB" w14:textId="77777777" w:rsidR="001C0111" w:rsidRPr="0071228C" w:rsidRDefault="001C0111" w:rsidP="001C0111">
            <w:pPr>
              <w:spacing w:before="60" w:after="60"/>
              <w:jc w:val="right"/>
              <w:rPr>
                <w:noProof/>
                <w:szCs w:val="24"/>
              </w:rPr>
            </w:pPr>
            <w:r w:rsidRPr="0071228C">
              <w:rPr>
                <w:noProof/>
                <w:color w:val="000000"/>
              </w:rPr>
              <w:t>3,197</w:t>
            </w:r>
          </w:p>
        </w:tc>
        <w:tc>
          <w:tcPr>
            <w:tcW w:w="868" w:type="dxa"/>
            <w:vAlign w:val="bottom"/>
          </w:tcPr>
          <w:p w14:paraId="3E8BF016" w14:textId="77777777" w:rsidR="001C0111" w:rsidRPr="0071228C" w:rsidRDefault="001C0111" w:rsidP="001C0111">
            <w:pPr>
              <w:spacing w:before="60" w:after="60"/>
              <w:jc w:val="right"/>
              <w:rPr>
                <w:noProof/>
                <w:szCs w:val="24"/>
              </w:rPr>
            </w:pPr>
            <w:r w:rsidRPr="0071228C">
              <w:rPr>
                <w:noProof/>
                <w:color w:val="000000"/>
              </w:rPr>
              <w:t>4,834</w:t>
            </w:r>
          </w:p>
        </w:tc>
        <w:tc>
          <w:tcPr>
            <w:tcW w:w="868" w:type="dxa"/>
            <w:vAlign w:val="bottom"/>
          </w:tcPr>
          <w:p w14:paraId="19865708" w14:textId="77777777" w:rsidR="001C0111" w:rsidRPr="0071228C" w:rsidRDefault="001C0111" w:rsidP="001C0111">
            <w:pPr>
              <w:spacing w:before="60" w:after="60"/>
              <w:jc w:val="right"/>
              <w:rPr>
                <w:noProof/>
                <w:szCs w:val="24"/>
              </w:rPr>
            </w:pPr>
            <w:r w:rsidRPr="0071228C">
              <w:rPr>
                <w:noProof/>
                <w:color w:val="000000"/>
              </w:rPr>
              <w:t>4,712</w:t>
            </w:r>
          </w:p>
        </w:tc>
        <w:tc>
          <w:tcPr>
            <w:tcW w:w="868" w:type="dxa"/>
            <w:vAlign w:val="bottom"/>
          </w:tcPr>
          <w:p w14:paraId="51C59BFB" w14:textId="77777777" w:rsidR="001C0111" w:rsidRPr="0071228C" w:rsidRDefault="001C0111" w:rsidP="001C0111">
            <w:pPr>
              <w:spacing w:before="60" w:after="60"/>
              <w:jc w:val="right"/>
              <w:rPr>
                <w:noProof/>
                <w:szCs w:val="24"/>
              </w:rPr>
            </w:pPr>
            <w:r w:rsidRPr="0071228C">
              <w:rPr>
                <w:noProof/>
                <w:color w:val="000000"/>
              </w:rPr>
              <w:t>4,791</w:t>
            </w:r>
          </w:p>
        </w:tc>
        <w:tc>
          <w:tcPr>
            <w:tcW w:w="1846" w:type="dxa"/>
            <w:gridSpan w:val="2"/>
            <w:vAlign w:val="bottom"/>
          </w:tcPr>
          <w:p w14:paraId="24FDD05D" w14:textId="77777777" w:rsidR="001C0111" w:rsidRPr="0071228C" w:rsidRDefault="001C0111" w:rsidP="001C0111">
            <w:pPr>
              <w:spacing w:before="60" w:after="60"/>
              <w:jc w:val="right"/>
              <w:rPr>
                <w:b/>
                <w:noProof/>
                <w:szCs w:val="24"/>
              </w:rPr>
            </w:pPr>
            <w:r w:rsidRPr="0071228C">
              <w:rPr>
                <w:noProof/>
                <w:color w:val="000000"/>
              </w:rPr>
              <w:t>17,653</w:t>
            </w:r>
          </w:p>
        </w:tc>
      </w:tr>
      <w:tr w:rsidR="001C0111" w:rsidRPr="0071228C" w14:paraId="477C03ED" w14:textId="77777777" w:rsidTr="00EE4772">
        <w:tc>
          <w:tcPr>
            <w:tcW w:w="3960" w:type="dxa"/>
            <w:vMerge/>
            <w:shd w:val="clear" w:color="auto" w:fill="C0C0C0"/>
          </w:tcPr>
          <w:p w14:paraId="0AB68A80" w14:textId="77777777" w:rsidR="001C0111" w:rsidRPr="0071228C" w:rsidRDefault="001C0111" w:rsidP="001C0111">
            <w:pPr>
              <w:rPr>
                <w:noProof/>
                <w:sz w:val="20"/>
                <w:lang w:eastAsia="en-GB"/>
              </w:rPr>
            </w:pPr>
          </w:p>
        </w:tc>
        <w:tc>
          <w:tcPr>
            <w:tcW w:w="2094" w:type="dxa"/>
            <w:gridSpan w:val="2"/>
            <w:vAlign w:val="center"/>
          </w:tcPr>
          <w:p w14:paraId="17EC05B4" w14:textId="77777777" w:rsidR="001C0111" w:rsidRPr="0071228C" w:rsidRDefault="001C0111" w:rsidP="001C0111">
            <w:pPr>
              <w:rPr>
                <w:noProof/>
                <w:sz w:val="14"/>
              </w:rPr>
            </w:pPr>
            <w:r w:rsidRPr="0071228C">
              <w:rPr>
                <w:noProof/>
                <w:sz w:val="18"/>
              </w:rPr>
              <w:t>Środki na płatności</w:t>
            </w:r>
          </w:p>
        </w:tc>
        <w:tc>
          <w:tcPr>
            <w:tcW w:w="868" w:type="dxa"/>
            <w:vAlign w:val="center"/>
          </w:tcPr>
          <w:p w14:paraId="54A37C84" w14:textId="77777777" w:rsidR="001C0111" w:rsidRPr="0071228C" w:rsidRDefault="001C0111" w:rsidP="001C0111">
            <w:pPr>
              <w:spacing w:before="60" w:after="60"/>
              <w:jc w:val="right"/>
              <w:rPr>
                <w:noProof/>
                <w:szCs w:val="24"/>
              </w:rPr>
            </w:pPr>
            <w:r w:rsidRPr="0071228C">
              <w:rPr>
                <w:noProof/>
              </w:rPr>
              <w:t>0,100</w:t>
            </w:r>
          </w:p>
        </w:tc>
        <w:tc>
          <w:tcPr>
            <w:tcW w:w="868" w:type="dxa"/>
            <w:vAlign w:val="bottom"/>
          </w:tcPr>
          <w:p w14:paraId="1EECC1A7" w14:textId="77777777" w:rsidR="001C0111" w:rsidRPr="0071228C" w:rsidRDefault="001C0111" w:rsidP="001C0111">
            <w:pPr>
              <w:spacing w:before="60" w:after="60"/>
              <w:jc w:val="right"/>
              <w:rPr>
                <w:noProof/>
                <w:szCs w:val="24"/>
              </w:rPr>
            </w:pPr>
            <w:r w:rsidRPr="0071228C">
              <w:rPr>
                <w:noProof/>
                <w:color w:val="000000"/>
              </w:rPr>
              <w:t>3,197</w:t>
            </w:r>
          </w:p>
        </w:tc>
        <w:tc>
          <w:tcPr>
            <w:tcW w:w="868" w:type="dxa"/>
            <w:vAlign w:val="bottom"/>
          </w:tcPr>
          <w:p w14:paraId="7BCDD425" w14:textId="77777777" w:rsidR="001C0111" w:rsidRPr="0071228C" w:rsidRDefault="001C0111" w:rsidP="001C0111">
            <w:pPr>
              <w:spacing w:before="60" w:after="60"/>
              <w:jc w:val="right"/>
              <w:rPr>
                <w:noProof/>
                <w:szCs w:val="24"/>
              </w:rPr>
            </w:pPr>
            <w:r w:rsidRPr="0071228C">
              <w:rPr>
                <w:noProof/>
                <w:color w:val="000000"/>
              </w:rPr>
              <w:t>4,834</w:t>
            </w:r>
          </w:p>
        </w:tc>
        <w:tc>
          <w:tcPr>
            <w:tcW w:w="868" w:type="dxa"/>
            <w:vAlign w:val="bottom"/>
          </w:tcPr>
          <w:p w14:paraId="22507D4A" w14:textId="77777777" w:rsidR="001C0111" w:rsidRPr="0071228C" w:rsidRDefault="001C0111" w:rsidP="001C0111">
            <w:pPr>
              <w:spacing w:before="60" w:after="60"/>
              <w:jc w:val="right"/>
              <w:rPr>
                <w:noProof/>
                <w:szCs w:val="24"/>
              </w:rPr>
            </w:pPr>
            <w:r w:rsidRPr="0071228C">
              <w:rPr>
                <w:noProof/>
                <w:color w:val="000000"/>
              </w:rPr>
              <w:t>4,712</w:t>
            </w:r>
          </w:p>
        </w:tc>
        <w:tc>
          <w:tcPr>
            <w:tcW w:w="868" w:type="dxa"/>
            <w:vAlign w:val="bottom"/>
          </w:tcPr>
          <w:p w14:paraId="04E33E74" w14:textId="77777777" w:rsidR="001C0111" w:rsidRPr="0071228C" w:rsidRDefault="001C0111" w:rsidP="001C0111">
            <w:pPr>
              <w:spacing w:before="60" w:after="60"/>
              <w:jc w:val="right"/>
              <w:rPr>
                <w:noProof/>
                <w:szCs w:val="24"/>
              </w:rPr>
            </w:pPr>
            <w:r w:rsidRPr="0071228C">
              <w:rPr>
                <w:noProof/>
                <w:color w:val="000000"/>
              </w:rPr>
              <w:t>4,791</w:t>
            </w:r>
          </w:p>
        </w:tc>
        <w:tc>
          <w:tcPr>
            <w:tcW w:w="1846" w:type="dxa"/>
            <w:gridSpan w:val="2"/>
            <w:vAlign w:val="bottom"/>
          </w:tcPr>
          <w:p w14:paraId="1CDF8EF5" w14:textId="77777777" w:rsidR="001C0111" w:rsidRPr="0071228C" w:rsidRDefault="001C0111" w:rsidP="001C0111">
            <w:pPr>
              <w:spacing w:before="60" w:after="60"/>
              <w:jc w:val="right"/>
              <w:rPr>
                <w:b/>
                <w:noProof/>
                <w:szCs w:val="24"/>
              </w:rPr>
            </w:pPr>
            <w:r w:rsidRPr="0071228C">
              <w:rPr>
                <w:noProof/>
                <w:color w:val="000000"/>
              </w:rPr>
              <w:t>17,653</w:t>
            </w:r>
          </w:p>
        </w:tc>
      </w:tr>
    </w:tbl>
    <w:p w14:paraId="7BAF7A67" w14:textId="77777777" w:rsidR="001C0111" w:rsidRPr="0071228C" w:rsidRDefault="001C0111" w:rsidP="001C0111">
      <w:pPr>
        <w:rPr>
          <w:noProof/>
          <w:lang w:eastAsia="en-GB"/>
        </w:rPr>
      </w:pPr>
    </w:p>
    <w:p w14:paraId="15F7C36C" w14:textId="77777777" w:rsidR="001C0111" w:rsidRPr="0071228C" w:rsidRDefault="001C0111" w:rsidP="002A2DB0">
      <w:pPr>
        <w:keepNext/>
        <w:outlineLvl w:val="2"/>
        <w:rPr>
          <w:rFonts w:eastAsiaTheme="majorEastAsia"/>
          <w:bCs/>
          <w:i/>
          <w:noProof/>
        </w:rPr>
      </w:pPr>
      <w:bookmarkStart w:id="59" w:name="_Toc514938054"/>
      <w:bookmarkStart w:id="60" w:name="_Toc520485053"/>
      <w:r w:rsidRPr="0071228C">
        <w:rPr>
          <w:i/>
          <w:noProof/>
        </w:rPr>
        <w:t>Przewidywany produkt finansowany ze środków operacyjnych</w:t>
      </w:r>
      <w:bookmarkEnd w:id="59"/>
      <w:bookmarkEnd w:id="60"/>
      <w:r w:rsidRPr="0071228C">
        <w:rPr>
          <w:i/>
          <w:noProof/>
        </w:rPr>
        <w:t xml:space="preserve"> </w:t>
      </w:r>
    </w:p>
    <w:p w14:paraId="5D10BF67" w14:textId="279EC2D0" w:rsidR="001C0111" w:rsidRPr="0071228C" w:rsidRDefault="001C0111" w:rsidP="001C0111">
      <w:pPr>
        <w:jc w:val="right"/>
        <w:rPr>
          <w:noProof/>
          <w:sz w:val="20"/>
        </w:rPr>
      </w:pPr>
      <w:r w:rsidRPr="0071228C">
        <w:rPr>
          <w:noProof/>
          <w:sz w:val="20"/>
        </w:rPr>
        <w:t>Środki na zobowiązania</w:t>
      </w:r>
      <w:r w:rsidR="00CC55C0" w:rsidRPr="0071228C">
        <w:rPr>
          <w:noProof/>
          <w:sz w:val="20"/>
        </w:rPr>
        <w:t xml:space="preserve"> w</w:t>
      </w:r>
      <w:r w:rsidR="00CC55C0">
        <w:rPr>
          <w:noProof/>
          <w:sz w:val="20"/>
        </w:rPr>
        <w:t> </w:t>
      </w:r>
      <w:r w:rsidR="00CC55C0" w:rsidRPr="0071228C">
        <w:rPr>
          <w:noProof/>
          <w:sz w:val="20"/>
        </w:rPr>
        <w:t>mln</w:t>
      </w:r>
      <w:r w:rsidRPr="0071228C">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C0111" w:rsidRPr="0071228C" w14:paraId="6A486589" w14:textId="77777777" w:rsidTr="00EE4772">
        <w:trPr>
          <w:jc w:val="center"/>
        </w:trPr>
        <w:tc>
          <w:tcPr>
            <w:tcW w:w="1423" w:type="dxa"/>
            <w:vMerge w:val="restart"/>
            <w:vAlign w:val="center"/>
          </w:tcPr>
          <w:p w14:paraId="668BC2F5" w14:textId="0C608C0A" w:rsidR="001C0111" w:rsidRPr="0071228C" w:rsidRDefault="001C0111" w:rsidP="001C0111">
            <w:pPr>
              <w:ind w:right="-29"/>
              <w:jc w:val="center"/>
              <w:rPr>
                <w:b/>
                <w:noProof/>
                <w:sz w:val="18"/>
                <w:szCs w:val="18"/>
              </w:rPr>
            </w:pPr>
            <w:r w:rsidRPr="0071228C">
              <w:rPr>
                <w:b/>
                <w:noProof/>
                <w:sz w:val="18"/>
              </w:rPr>
              <w:t>Określić cele</w:t>
            </w:r>
            <w:r w:rsidR="00CC55C0" w:rsidRPr="0071228C">
              <w:rPr>
                <w:b/>
                <w:noProof/>
                <w:sz w:val="18"/>
              </w:rPr>
              <w:t xml:space="preserve"> i</w:t>
            </w:r>
            <w:r w:rsidR="00CC55C0">
              <w:rPr>
                <w:b/>
                <w:noProof/>
                <w:sz w:val="18"/>
              </w:rPr>
              <w:t> </w:t>
            </w:r>
            <w:r w:rsidR="00CC55C0" w:rsidRPr="0071228C">
              <w:rPr>
                <w:b/>
                <w:noProof/>
                <w:sz w:val="18"/>
              </w:rPr>
              <w:t>pro</w:t>
            </w:r>
            <w:r w:rsidRPr="0071228C">
              <w:rPr>
                <w:b/>
                <w:noProof/>
                <w:sz w:val="18"/>
              </w:rPr>
              <w:t xml:space="preserve">dukty </w:t>
            </w:r>
          </w:p>
          <w:p w14:paraId="1AC32A77" w14:textId="77777777" w:rsidR="001C0111" w:rsidRPr="0071228C" w:rsidRDefault="001C0111" w:rsidP="001C0111">
            <w:pPr>
              <w:ind w:right="-29"/>
              <w:jc w:val="center"/>
              <w:rPr>
                <w:b/>
                <w:noProof/>
                <w:sz w:val="18"/>
                <w:szCs w:val="18"/>
                <w:lang w:eastAsia="en-GB"/>
              </w:rPr>
            </w:pPr>
          </w:p>
          <w:p w14:paraId="4C40DB91" w14:textId="77777777" w:rsidR="001C0111" w:rsidRPr="0071228C" w:rsidRDefault="001C0111" w:rsidP="001C0111">
            <w:pPr>
              <w:ind w:right="-29"/>
              <w:jc w:val="center"/>
              <w:rPr>
                <w:noProof/>
                <w:sz w:val="18"/>
                <w:szCs w:val="18"/>
              </w:rPr>
            </w:pPr>
            <w:r w:rsidRPr="0071228C">
              <w:rPr>
                <w:rFonts w:ascii="Wingdings" w:hAnsi="Wingdings"/>
                <w:noProof/>
                <w:sz w:val="18"/>
              </w:rPr>
              <w:t></w:t>
            </w:r>
          </w:p>
        </w:tc>
        <w:tc>
          <w:tcPr>
            <w:tcW w:w="720" w:type="dxa"/>
            <w:vAlign w:val="center"/>
          </w:tcPr>
          <w:p w14:paraId="6F341653" w14:textId="77777777" w:rsidR="001C0111" w:rsidRPr="0071228C" w:rsidRDefault="001C0111" w:rsidP="001C0111">
            <w:pPr>
              <w:ind w:right="-29"/>
              <w:jc w:val="center"/>
              <w:rPr>
                <w:noProof/>
                <w:sz w:val="18"/>
                <w:szCs w:val="18"/>
                <w:lang w:eastAsia="en-GB"/>
              </w:rPr>
            </w:pPr>
          </w:p>
        </w:tc>
        <w:tc>
          <w:tcPr>
            <w:tcW w:w="701" w:type="dxa"/>
            <w:vAlign w:val="center"/>
          </w:tcPr>
          <w:p w14:paraId="3C496763" w14:textId="77777777" w:rsidR="001C0111" w:rsidRPr="0071228C" w:rsidRDefault="001C0111" w:rsidP="001C0111">
            <w:pPr>
              <w:ind w:right="-29"/>
              <w:jc w:val="center"/>
              <w:rPr>
                <w:noProof/>
                <w:sz w:val="18"/>
                <w:szCs w:val="18"/>
                <w:lang w:eastAsia="en-GB"/>
              </w:rPr>
            </w:pPr>
          </w:p>
        </w:tc>
        <w:tc>
          <w:tcPr>
            <w:tcW w:w="1224" w:type="dxa"/>
            <w:gridSpan w:val="2"/>
            <w:tcBorders>
              <w:left w:val="nil"/>
            </w:tcBorders>
            <w:vAlign w:val="center"/>
          </w:tcPr>
          <w:p w14:paraId="671016E8" w14:textId="77777777" w:rsidR="001C0111" w:rsidRPr="0071228C" w:rsidRDefault="001C0111" w:rsidP="001C0111">
            <w:pPr>
              <w:ind w:right="-29"/>
              <w:jc w:val="center"/>
              <w:rPr>
                <w:noProof/>
                <w:sz w:val="18"/>
                <w:szCs w:val="18"/>
              </w:rPr>
            </w:pPr>
            <w:r w:rsidRPr="0071228C">
              <w:rPr>
                <w:noProof/>
                <w:sz w:val="18"/>
              </w:rPr>
              <w:t>Rok</w:t>
            </w:r>
            <w:r w:rsidRPr="0071228C">
              <w:rPr>
                <w:noProof/>
              </w:rPr>
              <w:t xml:space="preserve"> </w:t>
            </w:r>
            <w:r w:rsidRPr="0071228C">
              <w:rPr>
                <w:noProof/>
              </w:rPr>
              <w:br/>
            </w:r>
            <w:r w:rsidRPr="0071228C">
              <w:rPr>
                <w:b/>
                <w:noProof/>
                <w:sz w:val="18"/>
              </w:rPr>
              <w:t>N</w:t>
            </w:r>
          </w:p>
        </w:tc>
        <w:tc>
          <w:tcPr>
            <w:tcW w:w="1260" w:type="dxa"/>
            <w:gridSpan w:val="2"/>
            <w:vAlign w:val="center"/>
          </w:tcPr>
          <w:p w14:paraId="6F4BA93B" w14:textId="77777777" w:rsidR="001C0111" w:rsidRPr="0071228C" w:rsidRDefault="001C0111" w:rsidP="001C0111">
            <w:pPr>
              <w:ind w:right="-29"/>
              <w:jc w:val="center"/>
              <w:rPr>
                <w:noProof/>
                <w:sz w:val="18"/>
                <w:szCs w:val="18"/>
              </w:rPr>
            </w:pPr>
            <w:r w:rsidRPr="0071228C">
              <w:rPr>
                <w:noProof/>
                <w:sz w:val="18"/>
              </w:rPr>
              <w:t>Rok</w:t>
            </w:r>
            <w:r w:rsidRPr="0071228C">
              <w:rPr>
                <w:noProof/>
              </w:rPr>
              <w:t xml:space="preserve"> </w:t>
            </w:r>
            <w:r w:rsidRPr="0071228C">
              <w:rPr>
                <w:noProof/>
              </w:rPr>
              <w:br/>
            </w:r>
            <w:r w:rsidRPr="0071228C">
              <w:rPr>
                <w:b/>
                <w:noProof/>
                <w:sz w:val="18"/>
              </w:rPr>
              <w:t>N+1</w:t>
            </w:r>
          </w:p>
        </w:tc>
        <w:tc>
          <w:tcPr>
            <w:tcW w:w="1440" w:type="dxa"/>
            <w:gridSpan w:val="2"/>
            <w:vAlign w:val="center"/>
          </w:tcPr>
          <w:p w14:paraId="44A82C4D" w14:textId="77777777" w:rsidR="001C0111" w:rsidRPr="0071228C" w:rsidRDefault="001C0111" w:rsidP="001C0111">
            <w:pPr>
              <w:ind w:right="-29"/>
              <w:jc w:val="center"/>
              <w:rPr>
                <w:noProof/>
                <w:sz w:val="18"/>
                <w:szCs w:val="18"/>
              </w:rPr>
            </w:pPr>
            <w:r w:rsidRPr="0071228C">
              <w:rPr>
                <w:noProof/>
                <w:sz w:val="18"/>
              </w:rPr>
              <w:t>Rok</w:t>
            </w:r>
            <w:r w:rsidRPr="0071228C">
              <w:rPr>
                <w:noProof/>
              </w:rPr>
              <w:t xml:space="preserve"> </w:t>
            </w:r>
            <w:r w:rsidRPr="0071228C">
              <w:rPr>
                <w:noProof/>
              </w:rPr>
              <w:br/>
            </w:r>
            <w:r w:rsidRPr="0071228C">
              <w:rPr>
                <w:b/>
                <w:noProof/>
                <w:sz w:val="18"/>
              </w:rPr>
              <w:t>N+2</w:t>
            </w:r>
          </w:p>
        </w:tc>
        <w:tc>
          <w:tcPr>
            <w:tcW w:w="1620" w:type="dxa"/>
            <w:gridSpan w:val="3"/>
            <w:vAlign w:val="center"/>
          </w:tcPr>
          <w:p w14:paraId="02B86729" w14:textId="77777777" w:rsidR="001C0111" w:rsidRPr="0071228C" w:rsidRDefault="001C0111" w:rsidP="001C0111">
            <w:pPr>
              <w:ind w:right="-29"/>
              <w:jc w:val="center"/>
              <w:rPr>
                <w:noProof/>
                <w:sz w:val="18"/>
                <w:szCs w:val="18"/>
              </w:rPr>
            </w:pPr>
            <w:r w:rsidRPr="0071228C">
              <w:rPr>
                <w:noProof/>
                <w:sz w:val="18"/>
              </w:rPr>
              <w:t>Rok</w:t>
            </w:r>
            <w:r w:rsidRPr="0071228C">
              <w:rPr>
                <w:noProof/>
              </w:rPr>
              <w:t xml:space="preserve"> </w:t>
            </w:r>
            <w:r w:rsidRPr="0071228C">
              <w:rPr>
                <w:noProof/>
              </w:rPr>
              <w:br/>
            </w:r>
            <w:r w:rsidRPr="0071228C">
              <w:rPr>
                <w:b/>
                <w:noProof/>
                <w:sz w:val="18"/>
              </w:rPr>
              <w:t>N+3</w:t>
            </w:r>
          </w:p>
        </w:tc>
        <w:tc>
          <w:tcPr>
            <w:tcW w:w="3600" w:type="dxa"/>
            <w:gridSpan w:val="6"/>
            <w:vAlign w:val="center"/>
          </w:tcPr>
          <w:p w14:paraId="775A338F" w14:textId="5366FAE5" w:rsidR="001C0111" w:rsidRPr="0071228C" w:rsidRDefault="001C0111" w:rsidP="001C0111">
            <w:pPr>
              <w:jc w:val="center"/>
              <w:rPr>
                <w:noProof/>
                <w:sz w:val="18"/>
                <w:szCs w:val="18"/>
              </w:rPr>
            </w:pPr>
            <w:r w:rsidRPr="0071228C">
              <w:rPr>
                <w:noProof/>
                <w:sz w:val="18"/>
              </w:rPr>
              <w:t xml:space="preserve">Wprowadzić taką liczbę kolumn dla poszczególnych lat, jaka jest niezbędna, by odzwierciedlić cały okres wpływu (por. </w:t>
            </w:r>
            <w:r w:rsidRPr="00CC55C0">
              <w:rPr>
                <w:noProof/>
                <w:sz w:val="18"/>
              </w:rPr>
              <w:t>pkt</w:t>
            </w:r>
            <w:r w:rsidR="00CC55C0" w:rsidRPr="00CC55C0">
              <w:rPr>
                <w:noProof/>
                <w:sz w:val="18"/>
              </w:rPr>
              <w:t> </w:t>
            </w:r>
            <w:r w:rsidRPr="00CC55C0">
              <w:rPr>
                <w:noProof/>
                <w:sz w:val="18"/>
              </w:rPr>
              <w:t>1</w:t>
            </w:r>
            <w:r w:rsidRPr="0071228C">
              <w:rPr>
                <w:noProof/>
                <w:sz w:val="18"/>
              </w:rPr>
              <w:t>.6)</w:t>
            </w:r>
          </w:p>
        </w:tc>
        <w:tc>
          <w:tcPr>
            <w:tcW w:w="1620" w:type="dxa"/>
            <w:gridSpan w:val="2"/>
            <w:tcBorders>
              <w:left w:val="nil"/>
              <w:bottom w:val="nil"/>
            </w:tcBorders>
            <w:vAlign w:val="center"/>
          </w:tcPr>
          <w:p w14:paraId="5A78E079" w14:textId="77777777" w:rsidR="001C0111" w:rsidRPr="0071228C" w:rsidRDefault="001C0111" w:rsidP="001C0111">
            <w:pPr>
              <w:ind w:right="-29"/>
              <w:jc w:val="center"/>
              <w:rPr>
                <w:noProof/>
                <w:sz w:val="18"/>
                <w:szCs w:val="18"/>
              </w:rPr>
            </w:pPr>
            <w:r w:rsidRPr="0071228C">
              <w:rPr>
                <w:b/>
                <w:noProof/>
                <w:sz w:val="18"/>
              </w:rPr>
              <w:t>OGÓŁEM</w:t>
            </w:r>
          </w:p>
        </w:tc>
      </w:tr>
      <w:tr w:rsidR="001C0111" w:rsidRPr="0071228C" w14:paraId="57332105" w14:textId="77777777" w:rsidTr="00EE4772">
        <w:trPr>
          <w:jc w:val="center"/>
        </w:trPr>
        <w:tc>
          <w:tcPr>
            <w:tcW w:w="1423" w:type="dxa"/>
            <w:vMerge/>
            <w:vAlign w:val="center"/>
          </w:tcPr>
          <w:p w14:paraId="766C21F7" w14:textId="77777777" w:rsidR="001C0111" w:rsidRPr="0071228C" w:rsidRDefault="001C0111" w:rsidP="001C0111">
            <w:pPr>
              <w:ind w:right="-29"/>
              <w:jc w:val="center"/>
              <w:rPr>
                <w:noProof/>
                <w:sz w:val="18"/>
                <w:szCs w:val="18"/>
                <w:lang w:eastAsia="en-GB"/>
              </w:rPr>
            </w:pPr>
          </w:p>
        </w:tc>
        <w:tc>
          <w:tcPr>
            <w:tcW w:w="12185" w:type="dxa"/>
            <w:gridSpan w:val="19"/>
            <w:vAlign w:val="center"/>
          </w:tcPr>
          <w:p w14:paraId="2D6001D5" w14:textId="77777777" w:rsidR="001C0111" w:rsidRPr="0071228C" w:rsidRDefault="001C0111" w:rsidP="001C0111">
            <w:pPr>
              <w:spacing w:before="60" w:after="60"/>
              <w:ind w:right="-29"/>
              <w:jc w:val="center"/>
              <w:rPr>
                <w:noProof/>
                <w:sz w:val="18"/>
                <w:szCs w:val="18"/>
              </w:rPr>
            </w:pPr>
            <w:r w:rsidRPr="0071228C">
              <w:rPr>
                <w:b/>
                <w:noProof/>
                <w:sz w:val="18"/>
              </w:rPr>
              <w:t>PRODUKT</w:t>
            </w:r>
          </w:p>
        </w:tc>
      </w:tr>
      <w:tr w:rsidR="001C0111" w:rsidRPr="0071228C" w14:paraId="5CF18B5D" w14:textId="77777777" w:rsidTr="00EE4772">
        <w:trPr>
          <w:cantSplit/>
          <w:trHeight w:val="1134"/>
          <w:jc w:val="center"/>
        </w:trPr>
        <w:tc>
          <w:tcPr>
            <w:tcW w:w="1423" w:type="dxa"/>
            <w:vMerge/>
            <w:vAlign w:val="center"/>
          </w:tcPr>
          <w:p w14:paraId="5F869215" w14:textId="77777777" w:rsidR="001C0111" w:rsidRPr="0071228C" w:rsidRDefault="001C0111" w:rsidP="001C0111">
            <w:pPr>
              <w:rPr>
                <w:noProof/>
                <w:sz w:val="18"/>
                <w:szCs w:val="18"/>
                <w:lang w:eastAsia="en-GB"/>
              </w:rPr>
            </w:pPr>
          </w:p>
        </w:tc>
        <w:tc>
          <w:tcPr>
            <w:tcW w:w="720" w:type="dxa"/>
            <w:vAlign w:val="center"/>
          </w:tcPr>
          <w:p w14:paraId="489F2497" w14:textId="77777777" w:rsidR="001C0111" w:rsidRPr="0071228C" w:rsidRDefault="001C0111" w:rsidP="001C0111">
            <w:pPr>
              <w:jc w:val="center"/>
              <w:rPr>
                <w:noProof/>
                <w:sz w:val="18"/>
                <w:szCs w:val="18"/>
              </w:rPr>
            </w:pPr>
            <w:r w:rsidRPr="0071228C">
              <w:rPr>
                <w:noProof/>
                <w:sz w:val="18"/>
              </w:rPr>
              <w:t>Rodzaj</w:t>
            </w:r>
            <w:r w:rsidRPr="0071228C">
              <w:rPr>
                <w:rStyle w:val="FootnoteReference"/>
                <w:noProof/>
              </w:rPr>
              <w:footnoteReference w:id="72"/>
            </w:r>
          </w:p>
          <w:p w14:paraId="1C4BA374" w14:textId="77777777" w:rsidR="001C0111" w:rsidRPr="0071228C" w:rsidRDefault="001C0111" w:rsidP="001C0111">
            <w:pPr>
              <w:spacing w:before="0" w:after="0"/>
              <w:jc w:val="center"/>
              <w:rPr>
                <w:noProof/>
                <w:sz w:val="18"/>
                <w:szCs w:val="18"/>
                <w:lang w:eastAsia="en-GB"/>
              </w:rPr>
            </w:pPr>
          </w:p>
        </w:tc>
        <w:tc>
          <w:tcPr>
            <w:tcW w:w="701" w:type="dxa"/>
            <w:vAlign w:val="center"/>
          </w:tcPr>
          <w:p w14:paraId="1CCA5084" w14:textId="77777777" w:rsidR="001C0111" w:rsidRPr="0071228C" w:rsidRDefault="001C0111" w:rsidP="001C0111">
            <w:pPr>
              <w:jc w:val="center"/>
              <w:rPr>
                <w:noProof/>
                <w:sz w:val="18"/>
                <w:szCs w:val="18"/>
              </w:rPr>
            </w:pPr>
            <w:r w:rsidRPr="0071228C">
              <w:rPr>
                <w:noProof/>
                <w:sz w:val="18"/>
              </w:rPr>
              <w:t>Średni koszt</w:t>
            </w:r>
          </w:p>
        </w:tc>
        <w:tc>
          <w:tcPr>
            <w:tcW w:w="504" w:type="dxa"/>
            <w:tcBorders>
              <w:left w:val="nil"/>
              <w:right w:val="dashSmallGap" w:sz="4" w:space="0" w:color="auto"/>
            </w:tcBorders>
            <w:shd w:val="pct10" w:color="auto" w:fill="auto"/>
            <w:textDirection w:val="btLr"/>
            <w:vAlign w:val="center"/>
          </w:tcPr>
          <w:p w14:paraId="187F9459"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tcBorders>
              <w:left w:val="dashSmallGap" w:sz="4" w:space="0" w:color="auto"/>
            </w:tcBorders>
            <w:shd w:val="pct10" w:color="auto" w:fill="auto"/>
            <w:vAlign w:val="center"/>
          </w:tcPr>
          <w:p w14:paraId="716ADD3E" w14:textId="77777777" w:rsidR="001C0111" w:rsidRPr="0071228C" w:rsidRDefault="001C0111" w:rsidP="001C0111">
            <w:pPr>
              <w:jc w:val="center"/>
              <w:rPr>
                <w:noProof/>
                <w:sz w:val="18"/>
                <w:szCs w:val="18"/>
              </w:rPr>
            </w:pPr>
            <w:r w:rsidRPr="0071228C">
              <w:rPr>
                <w:noProof/>
                <w:sz w:val="18"/>
              </w:rPr>
              <w:t>Koszt</w:t>
            </w:r>
          </w:p>
        </w:tc>
        <w:tc>
          <w:tcPr>
            <w:tcW w:w="540" w:type="dxa"/>
            <w:tcBorders>
              <w:right w:val="dashSmallGap" w:sz="4" w:space="0" w:color="auto"/>
            </w:tcBorders>
            <w:shd w:val="pct10" w:color="auto" w:fill="auto"/>
            <w:textDirection w:val="btLr"/>
            <w:vAlign w:val="center"/>
          </w:tcPr>
          <w:p w14:paraId="2BB6753B"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tcBorders>
              <w:left w:val="dashSmallGap" w:sz="4" w:space="0" w:color="auto"/>
            </w:tcBorders>
            <w:shd w:val="pct10" w:color="auto" w:fill="auto"/>
            <w:vAlign w:val="center"/>
          </w:tcPr>
          <w:p w14:paraId="11BC2CE2" w14:textId="77777777" w:rsidR="001C0111" w:rsidRPr="0071228C" w:rsidRDefault="001C0111" w:rsidP="001C0111">
            <w:pPr>
              <w:jc w:val="center"/>
              <w:rPr>
                <w:noProof/>
                <w:sz w:val="18"/>
                <w:szCs w:val="18"/>
              </w:rPr>
            </w:pPr>
            <w:r w:rsidRPr="0071228C">
              <w:rPr>
                <w:noProof/>
                <w:sz w:val="18"/>
              </w:rPr>
              <w:t>Koszt</w:t>
            </w:r>
          </w:p>
        </w:tc>
        <w:tc>
          <w:tcPr>
            <w:tcW w:w="720" w:type="dxa"/>
            <w:tcBorders>
              <w:right w:val="dashSmallGap" w:sz="4" w:space="0" w:color="auto"/>
            </w:tcBorders>
            <w:shd w:val="pct10" w:color="auto" w:fill="auto"/>
            <w:textDirection w:val="btLr"/>
            <w:vAlign w:val="center"/>
          </w:tcPr>
          <w:p w14:paraId="7B128269"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tcBorders>
              <w:left w:val="dashSmallGap" w:sz="4" w:space="0" w:color="auto"/>
            </w:tcBorders>
            <w:shd w:val="pct10" w:color="auto" w:fill="auto"/>
            <w:vAlign w:val="center"/>
          </w:tcPr>
          <w:p w14:paraId="1021EBB6" w14:textId="77777777" w:rsidR="001C0111" w:rsidRPr="0071228C" w:rsidRDefault="001C0111" w:rsidP="001C0111">
            <w:pPr>
              <w:jc w:val="center"/>
              <w:rPr>
                <w:noProof/>
                <w:sz w:val="18"/>
                <w:szCs w:val="18"/>
              </w:rPr>
            </w:pPr>
            <w:r w:rsidRPr="0071228C">
              <w:rPr>
                <w:noProof/>
                <w:sz w:val="18"/>
              </w:rPr>
              <w:t>Koszt</w:t>
            </w:r>
          </w:p>
        </w:tc>
        <w:tc>
          <w:tcPr>
            <w:tcW w:w="900" w:type="dxa"/>
            <w:tcBorders>
              <w:right w:val="dashSmallGap" w:sz="4" w:space="0" w:color="auto"/>
            </w:tcBorders>
            <w:shd w:val="pct10" w:color="auto" w:fill="auto"/>
            <w:textDirection w:val="btLr"/>
            <w:vAlign w:val="center"/>
          </w:tcPr>
          <w:p w14:paraId="005C5873"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gridSpan w:val="2"/>
            <w:tcBorders>
              <w:left w:val="dashSmallGap" w:sz="4" w:space="0" w:color="auto"/>
            </w:tcBorders>
            <w:shd w:val="pct10" w:color="auto" w:fill="auto"/>
            <w:vAlign w:val="center"/>
          </w:tcPr>
          <w:p w14:paraId="71B9D126" w14:textId="77777777" w:rsidR="001C0111" w:rsidRPr="0071228C" w:rsidRDefault="001C0111" w:rsidP="001C0111">
            <w:pPr>
              <w:jc w:val="center"/>
              <w:rPr>
                <w:noProof/>
                <w:sz w:val="18"/>
                <w:szCs w:val="18"/>
              </w:rPr>
            </w:pPr>
            <w:r w:rsidRPr="0071228C">
              <w:rPr>
                <w:noProof/>
                <w:sz w:val="18"/>
              </w:rPr>
              <w:t>Koszt</w:t>
            </w:r>
          </w:p>
        </w:tc>
        <w:tc>
          <w:tcPr>
            <w:tcW w:w="540" w:type="dxa"/>
            <w:tcBorders>
              <w:right w:val="dashSmallGap" w:sz="4" w:space="0" w:color="auto"/>
            </w:tcBorders>
            <w:shd w:val="pct10" w:color="auto" w:fill="auto"/>
            <w:textDirection w:val="btLr"/>
            <w:vAlign w:val="center"/>
          </w:tcPr>
          <w:p w14:paraId="00998071" w14:textId="77777777" w:rsidR="001C0111" w:rsidRPr="0071228C" w:rsidRDefault="001C0111" w:rsidP="001C0111">
            <w:pPr>
              <w:ind w:left="113" w:right="113"/>
              <w:jc w:val="center"/>
              <w:rPr>
                <w:noProof/>
                <w:sz w:val="18"/>
                <w:szCs w:val="18"/>
              </w:rPr>
            </w:pPr>
            <w:r w:rsidRPr="0071228C">
              <w:rPr>
                <w:noProof/>
                <w:sz w:val="18"/>
              </w:rPr>
              <w:t>Liczba</w:t>
            </w:r>
          </w:p>
        </w:tc>
        <w:tc>
          <w:tcPr>
            <w:tcW w:w="648" w:type="dxa"/>
            <w:tcBorders>
              <w:left w:val="dashSmallGap" w:sz="4" w:space="0" w:color="auto"/>
            </w:tcBorders>
            <w:shd w:val="pct10" w:color="auto" w:fill="auto"/>
            <w:vAlign w:val="center"/>
          </w:tcPr>
          <w:p w14:paraId="1BE124A1" w14:textId="77777777" w:rsidR="001C0111" w:rsidRPr="0071228C" w:rsidRDefault="001C0111" w:rsidP="001C0111">
            <w:pPr>
              <w:jc w:val="center"/>
              <w:rPr>
                <w:noProof/>
                <w:sz w:val="18"/>
                <w:szCs w:val="18"/>
              </w:rPr>
            </w:pPr>
            <w:r w:rsidRPr="0071228C">
              <w:rPr>
                <w:noProof/>
                <w:sz w:val="18"/>
              </w:rPr>
              <w:t>Koszt</w:t>
            </w:r>
          </w:p>
        </w:tc>
        <w:tc>
          <w:tcPr>
            <w:tcW w:w="432" w:type="dxa"/>
            <w:tcBorders>
              <w:right w:val="dashSmallGap" w:sz="4" w:space="0" w:color="auto"/>
            </w:tcBorders>
            <w:shd w:val="pct10" w:color="auto" w:fill="auto"/>
            <w:textDirection w:val="btLr"/>
            <w:vAlign w:val="center"/>
          </w:tcPr>
          <w:p w14:paraId="2746E319"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tcBorders>
              <w:left w:val="dashSmallGap" w:sz="4" w:space="0" w:color="auto"/>
            </w:tcBorders>
            <w:shd w:val="pct10" w:color="auto" w:fill="auto"/>
            <w:vAlign w:val="center"/>
          </w:tcPr>
          <w:p w14:paraId="6582F44F" w14:textId="77777777" w:rsidR="001C0111" w:rsidRPr="0071228C" w:rsidRDefault="001C0111" w:rsidP="001C0111">
            <w:pPr>
              <w:jc w:val="center"/>
              <w:rPr>
                <w:noProof/>
                <w:sz w:val="18"/>
                <w:szCs w:val="18"/>
              </w:rPr>
            </w:pPr>
            <w:r w:rsidRPr="0071228C">
              <w:rPr>
                <w:noProof/>
                <w:sz w:val="18"/>
              </w:rPr>
              <w:t>Koszt</w:t>
            </w:r>
          </w:p>
        </w:tc>
        <w:tc>
          <w:tcPr>
            <w:tcW w:w="540" w:type="dxa"/>
            <w:tcBorders>
              <w:right w:val="dashSmallGap" w:sz="4" w:space="0" w:color="auto"/>
            </w:tcBorders>
            <w:shd w:val="pct10" w:color="auto" w:fill="auto"/>
            <w:textDirection w:val="btLr"/>
            <w:vAlign w:val="center"/>
          </w:tcPr>
          <w:p w14:paraId="6BE3620F" w14:textId="77777777" w:rsidR="001C0111" w:rsidRPr="0071228C" w:rsidRDefault="001C0111" w:rsidP="001C0111">
            <w:pPr>
              <w:ind w:left="113" w:right="113"/>
              <w:jc w:val="center"/>
              <w:rPr>
                <w:noProof/>
                <w:sz w:val="18"/>
                <w:szCs w:val="18"/>
              </w:rPr>
            </w:pPr>
            <w:r w:rsidRPr="0071228C">
              <w:rPr>
                <w:noProof/>
                <w:sz w:val="18"/>
              </w:rPr>
              <w:t>Liczba</w:t>
            </w:r>
          </w:p>
        </w:tc>
        <w:tc>
          <w:tcPr>
            <w:tcW w:w="720" w:type="dxa"/>
            <w:tcBorders>
              <w:left w:val="dashSmallGap" w:sz="4" w:space="0" w:color="auto"/>
            </w:tcBorders>
            <w:shd w:val="pct10" w:color="auto" w:fill="auto"/>
            <w:vAlign w:val="center"/>
          </w:tcPr>
          <w:p w14:paraId="0D35DC6D" w14:textId="77777777" w:rsidR="001C0111" w:rsidRPr="0071228C" w:rsidRDefault="001C0111" w:rsidP="001C0111">
            <w:pPr>
              <w:jc w:val="center"/>
              <w:rPr>
                <w:noProof/>
                <w:sz w:val="18"/>
                <w:szCs w:val="18"/>
              </w:rPr>
            </w:pPr>
            <w:r w:rsidRPr="0071228C">
              <w:rPr>
                <w:noProof/>
                <w:sz w:val="18"/>
              </w:rPr>
              <w:t>Koszt</w:t>
            </w:r>
          </w:p>
        </w:tc>
        <w:tc>
          <w:tcPr>
            <w:tcW w:w="720" w:type="dxa"/>
            <w:tcBorders>
              <w:right w:val="dashSmallGap" w:sz="4" w:space="0" w:color="auto"/>
            </w:tcBorders>
            <w:shd w:val="pct10" w:color="auto" w:fill="auto"/>
            <w:vAlign w:val="center"/>
          </w:tcPr>
          <w:p w14:paraId="6656088E" w14:textId="77777777" w:rsidR="001C0111" w:rsidRPr="0071228C" w:rsidRDefault="001C0111" w:rsidP="001C0111">
            <w:pPr>
              <w:jc w:val="center"/>
              <w:rPr>
                <w:noProof/>
                <w:sz w:val="18"/>
                <w:szCs w:val="18"/>
              </w:rPr>
            </w:pPr>
            <w:r w:rsidRPr="0071228C">
              <w:rPr>
                <w:noProof/>
                <w:sz w:val="18"/>
              </w:rPr>
              <w:t>Liczba ogółem</w:t>
            </w:r>
          </w:p>
        </w:tc>
        <w:tc>
          <w:tcPr>
            <w:tcW w:w="900" w:type="dxa"/>
            <w:tcBorders>
              <w:left w:val="dashSmallGap" w:sz="4" w:space="0" w:color="auto"/>
            </w:tcBorders>
            <w:shd w:val="pct10" w:color="auto" w:fill="auto"/>
            <w:vAlign w:val="center"/>
          </w:tcPr>
          <w:p w14:paraId="0D9309F4" w14:textId="77777777" w:rsidR="001C0111" w:rsidRPr="0071228C" w:rsidRDefault="001C0111" w:rsidP="001C0111">
            <w:pPr>
              <w:jc w:val="center"/>
              <w:rPr>
                <w:noProof/>
                <w:sz w:val="18"/>
                <w:szCs w:val="18"/>
              </w:rPr>
            </w:pPr>
            <w:r w:rsidRPr="0071228C">
              <w:rPr>
                <w:noProof/>
                <w:sz w:val="18"/>
              </w:rPr>
              <w:t>Koszt całkowity</w:t>
            </w:r>
          </w:p>
        </w:tc>
      </w:tr>
      <w:tr w:rsidR="001C0111" w:rsidRPr="0071228C" w14:paraId="2A3647F6" w14:textId="77777777" w:rsidTr="00EE4772">
        <w:trPr>
          <w:jc w:val="center"/>
        </w:trPr>
        <w:tc>
          <w:tcPr>
            <w:tcW w:w="2844" w:type="dxa"/>
            <w:gridSpan w:val="3"/>
            <w:vAlign w:val="center"/>
          </w:tcPr>
          <w:p w14:paraId="397C51B1" w14:textId="03583515" w:rsidR="001C0111" w:rsidRPr="0071228C" w:rsidRDefault="001C0111" w:rsidP="001C0111">
            <w:pPr>
              <w:spacing w:before="60" w:after="60"/>
              <w:ind w:right="-29"/>
              <w:jc w:val="center"/>
              <w:rPr>
                <w:noProof/>
                <w:sz w:val="18"/>
                <w:szCs w:val="18"/>
              </w:rPr>
            </w:pPr>
            <w:r w:rsidRPr="0071228C">
              <w:rPr>
                <w:noProof/>
                <w:sz w:val="18"/>
              </w:rPr>
              <w:t xml:space="preserve">CEL SZCZEGÓŁOWY </w:t>
            </w:r>
            <w:r w:rsidRPr="00CC55C0">
              <w:rPr>
                <w:noProof/>
                <w:sz w:val="18"/>
              </w:rPr>
              <w:t>nr</w:t>
            </w:r>
            <w:r w:rsidR="00CC55C0" w:rsidRPr="00CC55C0">
              <w:rPr>
                <w:noProof/>
                <w:sz w:val="18"/>
              </w:rPr>
              <w:t> </w:t>
            </w:r>
            <w:r w:rsidRPr="00CC55C0">
              <w:rPr>
                <w:noProof/>
                <w:sz w:val="18"/>
              </w:rPr>
              <w:t>1</w:t>
            </w:r>
            <w:r w:rsidRPr="0071228C">
              <w:rPr>
                <w:rStyle w:val="FootnoteReference"/>
                <w:noProof/>
              </w:rPr>
              <w:footnoteReference w:id="73"/>
            </w:r>
            <w:r w:rsidRPr="0071228C">
              <w:rPr>
                <w:noProof/>
                <w:sz w:val="18"/>
              </w:rPr>
              <w:t>...</w:t>
            </w:r>
          </w:p>
        </w:tc>
        <w:tc>
          <w:tcPr>
            <w:tcW w:w="504" w:type="dxa"/>
            <w:tcBorders>
              <w:top w:val="nil"/>
              <w:left w:val="nil"/>
              <w:bottom w:val="nil"/>
              <w:right w:val="nil"/>
            </w:tcBorders>
          </w:tcPr>
          <w:p w14:paraId="7156C425"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28AFBF45"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79498F68"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160F84B7"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6C6324BD"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28552B5" w14:textId="77777777" w:rsidR="001C0111" w:rsidRPr="0071228C"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3FC2C0E5" w14:textId="77777777" w:rsidR="001C0111" w:rsidRPr="0071228C" w:rsidRDefault="001C0111" w:rsidP="001C0111">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2D6EF48C"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14A87328" w14:textId="77777777" w:rsidR="001C0111" w:rsidRPr="0071228C" w:rsidRDefault="001C0111" w:rsidP="001C0111">
            <w:pPr>
              <w:spacing w:before="60" w:after="60"/>
              <w:ind w:right="-29"/>
              <w:jc w:val="center"/>
              <w:rPr>
                <w:noProof/>
                <w:sz w:val="18"/>
                <w:szCs w:val="18"/>
                <w:lang w:eastAsia="en-GB"/>
              </w:rPr>
            </w:pPr>
          </w:p>
        </w:tc>
        <w:tc>
          <w:tcPr>
            <w:tcW w:w="648" w:type="dxa"/>
            <w:tcBorders>
              <w:top w:val="nil"/>
              <w:left w:val="nil"/>
              <w:bottom w:val="nil"/>
              <w:right w:val="nil"/>
            </w:tcBorders>
          </w:tcPr>
          <w:p w14:paraId="1D568646" w14:textId="77777777" w:rsidR="001C0111" w:rsidRPr="0071228C" w:rsidRDefault="001C0111" w:rsidP="001C0111">
            <w:pPr>
              <w:spacing w:before="60" w:after="60"/>
              <w:ind w:right="-29"/>
              <w:jc w:val="center"/>
              <w:rPr>
                <w:noProof/>
                <w:sz w:val="18"/>
                <w:szCs w:val="18"/>
                <w:lang w:eastAsia="en-GB"/>
              </w:rPr>
            </w:pPr>
          </w:p>
        </w:tc>
        <w:tc>
          <w:tcPr>
            <w:tcW w:w="432" w:type="dxa"/>
            <w:tcBorders>
              <w:top w:val="nil"/>
              <w:left w:val="nil"/>
              <w:bottom w:val="nil"/>
              <w:right w:val="nil"/>
            </w:tcBorders>
          </w:tcPr>
          <w:p w14:paraId="1B69DC83"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473D4017"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13D09C88"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4511CFA5"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757B64C" w14:textId="77777777" w:rsidR="001C0111" w:rsidRPr="0071228C"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5AF954C7" w14:textId="77777777" w:rsidR="001C0111" w:rsidRPr="0071228C" w:rsidRDefault="001C0111" w:rsidP="001C0111">
            <w:pPr>
              <w:spacing w:before="60" w:after="60"/>
              <w:ind w:right="-29"/>
              <w:jc w:val="center"/>
              <w:rPr>
                <w:noProof/>
                <w:sz w:val="18"/>
                <w:szCs w:val="18"/>
                <w:lang w:eastAsia="en-GB"/>
              </w:rPr>
            </w:pPr>
          </w:p>
        </w:tc>
      </w:tr>
      <w:tr w:rsidR="001C0111" w:rsidRPr="0071228C" w14:paraId="5471950D" w14:textId="77777777" w:rsidTr="00EE4772">
        <w:trPr>
          <w:trHeight w:hRule="exact" w:val="369"/>
          <w:jc w:val="center"/>
        </w:trPr>
        <w:tc>
          <w:tcPr>
            <w:tcW w:w="1423" w:type="dxa"/>
          </w:tcPr>
          <w:p w14:paraId="7F7370E5" w14:textId="77777777" w:rsidR="001C0111" w:rsidRPr="0071228C" w:rsidRDefault="001C0111" w:rsidP="001C0111">
            <w:pPr>
              <w:ind w:right="-29"/>
              <w:jc w:val="center"/>
              <w:rPr>
                <w:noProof/>
                <w:sz w:val="18"/>
                <w:szCs w:val="18"/>
              </w:rPr>
            </w:pPr>
            <w:r w:rsidRPr="0071228C">
              <w:rPr>
                <w:noProof/>
                <w:sz w:val="18"/>
              </w:rPr>
              <w:t>- Produkt</w:t>
            </w:r>
          </w:p>
        </w:tc>
        <w:tc>
          <w:tcPr>
            <w:tcW w:w="720" w:type="dxa"/>
          </w:tcPr>
          <w:p w14:paraId="0ABEFACE" w14:textId="77777777" w:rsidR="001C0111" w:rsidRPr="0071228C" w:rsidRDefault="001C0111" w:rsidP="001C0111">
            <w:pPr>
              <w:ind w:right="-29"/>
              <w:jc w:val="center"/>
              <w:rPr>
                <w:noProof/>
                <w:sz w:val="18"/>
                <w:szCs w:val="18"/>
                <w:lang w:eastAsia="en-GB"/>
              </w:rPr>
            </w:pPr>
          </w:p>
        </w:tc>
        <w:tc>
          <w:tcPr>
            <w:tcW w:w="701" w:type="dxa"/>
          </w:tcPr>
          <w:p w14:paraId="5BA85CD1" w14:textId="77777777" w:rsidR="001C0111" w:rsidRPr="0071228C" w:rsidRDefault="001C0111" w:rsidP="001C0111">
            <w:pPr>
              <w:ind w:right="-29"/>
              <w:jc w:val="center"/>
              <w:rPr>
                <w:noProof/>
                <w:sz w:val="18"/>
                <w:szCs w:val="18"/>
                <w:lang w:eastAsia="en-GB"/>
              </w:rPr>
            </w:pPr>
          </w:p>
        </w:tc>
        <w:tc>
          <w:tcPr>
            <w:tcW w:w="504" w:type="dxa"/>
            <w:tcBorders>
              <w:right w:val="dashSmallGap" w:sz="4" w:space="0" w:color="auto"/>
            </w:tcBorders>
          </w:tcPr>
          <w:p w14:paraId="64FDAFAA"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7349029E"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52F65CE3"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5056431C" w14:textId="77777777" w:rsidR="001C0111" w:rsidRPr="0071228C" w:rsidRDefault="001C0111" w:rsidP="001C0111">
            <w:pPr>
              <w:ind w:right="-29"/>
              <w:jc w:val="center"/>
              <w:rPr>
                <w:noProof/>
                <w:sz w:val="18"/>
                <w:szCs w:val="18"/>
                <w:lang w:eastAsia="en-GB"/>
              </w:rPr>
            </w:pPr>
          </w:p>
        </w:tc>
        <w:tc>
          <w:tcPr>
            <w:tcW w:w="720" w:type="dxa"/>
            <w:tcBorders>
              <w:right w:val="dashSmallGap" w:sz="4" w:space="0" w:color="auto"/>
            </w:tcBorders>
          </w:tcPr>
          <w:p w14:paraId="1859706D"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3A3AC49D" w14:textId="77777777" w:rsidR="001C0111" w:rsidRPr="0071228C" w:rsidRDefault="001C0111" w:rsidP="001C0111">
            <w:pPr>
              <w:ind w:right="-29"/>
              <w:jc w:val="center"/>
              <w:rPr>
                <w:noProof/>
                <w:sz w:val="18"/>
                <w:szCs w:val="18"/>
                <w:lang w:eastAsia="en-GB"/>
              </w:rPr>
            </w:pPr>
          </w:p>
        </w:tc>
        <w:tc>
          <w:tcPr>
            <w:tcW w:w="900" w:type="dxa"/>
            <w:tcBorders>
              <w:right w:val="dashSmallGap" w:sz="4" w:space="0" w:color="auto"/>
            </w:tcBorders>
          </w:tcPr>
          <w:p w14:paraId="7B958BA8" w14:textId="77777777" w:rsidR="001C0111" w:rsidRPr="0071228C" w:rsidRDefault="001C0111" w:rsidP="001C0111">
            <w:pPr>
              <w:ind w:right="-29"/>
              <w:jc w:val="center"/>
              <w:rPr>
                <w:noProof/>
                <w:sz w:val="18"/>
                <w:szCs w:val="18"/>
                <w:lang w:eastAsia="en-GB"/>
              </w:rPr>
            </w:pPr>
          </w:p>
        </w:tc>
        <w:tc>
          <w:tcPr>
            <w:tcW w:w="720" w:type="dxa"/>
            <w:gridSpan w:val="2"/>
            <w:tcBorders>
              <w:left w:val="dashSmallGap" w:sz="4" w:space="0" w:color="auto"/>
            </w:tcBorders>
          </w:tcPr>
          <w:p w14:paraId="331B96F4"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447AF046" w14:textId="77777777" w:rsidR="001C0111" w:rsidRPr="0071228C" w:rsidRDefault="001C0111" w:rsidP="001C0111">
            <w:pPr>
              <w:ind w:right="-29"/>
              <w:jc w:val="center"/>
              <w:rPr>
                <w:noProof/>
                <w:sz w:val="18"/>
                <w:szCs w:val="18"/>
                <w:lang w:eastAsia="en-GB"/>
              </w:rPr>
            </w:pPr>
          </w:p>
        </w:tc>
        <w:tc>
          <w:tcPr>
            <w:tcW w:w="648" w:type="dxa"/>
            <w:tcBorders>
              <w:left w:val="dashSmallGap" w:sz="4" w:space="0" w:color="auto"/>
            </w:tcBorders>
          </w:tcPr>
          <w:p w14:paraId="3B607AE8" w14:textId="77777777" w:rsidR="001C0111" w:rsidRPr="0071228C" w:rsidRDefault="001C0111" w:rsidP="001C0111">
            <w:pPr>
              <w:ind w:right="-29"/>
              <w:jc w:val="center"/>
              <w:rPr>
                <w:noProof/>
                <w:sz w:val="18"/>
                <w:szCs w:val="18"/>
                <w:lang w:eastAsia="en-GB"/>
              </w:rPr>
            </w:pPr>
          </w:p>
        </w:tc>
        <w:tc>
          <w:tcPr>
            <w:tcW w:w="432" w:type="dxa"/>
            <w:tcBorders>
              <w:right w:val="dashSmallGap" w:sz="4" w:space="0" w:color="auto"/>
            </w:tcBorders>
          </w:tcPr>
          <w:p w14:paraId="7F57E913"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6A957317"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026D167F"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2E04B126" w14:textId="77777777" w:rsidR="001C0111" w:rsidRPr="0071228C" w:rsidRDefault="001C0111" w:rsidP="001C0111">
            <w:pPr>
              <w:ind w:right="-29"/>
              <w:jc w:val="center"/>
              <w:rPr>
                <w:noProof/>
                <w:sz w:val="18"/>
                <w:szCs w:val="18"/>
                <w:lang w:eastAsia="en-GB"/>
              </w:rPr>
            </w:pPr>
          </w:p>
        </w:tc>
        <w:tc>
          <w:tcPr>
            <w:tcW w:w="720" w:type="dxa"/>
          </w:tcPr>
          <w:p w14:paraId="050CBC54" w14:textId="77777777" w:rsidR="001C0111" w:rsidRPr="0071228C" w:rsidRDefault="001C0111" w:rsidP="001C0111">
            <w:pPr>
              <w:ind w:right="-29"/>
              <w:jc w:val="center"/>
              <w:rPr>
                <w:noProof/>
                <w:sz w:val="18"/>
                <w:szCs w:val="18"/>
                <w:lang w:eastAsia="en-GB"/>
              </w:rPr>
            </w:pPr>
          </w:p>
        </w:tc>
        <w:tc>
          <w:tcPr>
            <w:tcW w:w="900" w:type="dxa"/>
          </w:tcPr>
          <w:p w14:paraId="54A18B80" w14:textId="77777777" w:rsidR="001C0111" w:rsidRPr="0071228C" w:rsidRDefault="001C0111" w:rsidP="001C0111">
            <w:pPr>
              <w:ind w:right="-29"/>
              <w:jc w:val="center"/>
              <w:rPr>
                <w:noProof/>
                <w:sz w:val="18"/>
                <w:szCs w:val="18"/>
                <w:lang w:eastAsia="en-GB"/>
              </w:rPr>
            </w:pPr>
          </w:p>
        </w:tc>
      </w:tr>
      <w:tr w:rsidR="001C0111" w:rsidRPr="0071228C" w14:paraId="2F103BF5" w14:textId="77777777" w:rsidTr="00EE4772">
        <w:trPr>
          <w:trHeight w:hRule="exact" w:val="369"/>
          <w:jc w:val="center"/>
        </w:trPr>
        <w:tc>
          <w:tcPr>
            <w:tcW w:w="1423" w:type="dxa"/>
          </w:tcPr>
          <w:p w14:paraId="246FEE9D" w14:textId="77777777" w:rsidR="001C0111" w:rsidRPr="0071228C" w:rsidRDefault="001C0111" w:rsidP="001C0111">
            <w:pPr>
              <w:ind w:right="-29"/>
              <w:jc w:val="center"/>
              <w:rPr>
                <w:noProof/>
                <w:sz w:val="18"/>
                <w:szCs w:val="18"/>
              </w:rPr>
            </w:pPr>
            <w:r w:rsidRPr="0071228C">
              <w:rPr>
                <w:noProof/>
                <w:sz w:val="18"/>
              </w:rPr>
              <w:t>- Produkt</w:t>
            </w:r>
          </w:p>
        </w:tc>
        <w:tc>
          <w:tcPr>
            <w:tcW w:w="720" w:type="dxa"/>
          </w:tcPr>
          <w:p w14:paraId="7521BD2C" w14:textId="77777777" w:rsidR="001C0111" w:rsidRPr="0071228C" w:rsidRDefault="001C0111" w:rsidP="001C0111">
            <w:pPr>
              <w:ind w:right="-29"/>
              <w:jc w:val="center"/>
              <w:rPr>
                <w:noProof/>
                <w:sz w:val="18"/>
                <w:szCs w:val="18"/>
                <w:lang w:eastAsia="en-GB"/>
              </w:rPr>
            </w:pPr>
          </w:p>
        </w:tc>
        <w:tc>
          <w:tcPr>
            <w:tcW w:w="701" w:type="dxa"/>
          </w:tcPr>
          <w:p w14:paraId="2A632D68" w14:textId="77777777" w:rsidR="001C0111" w:rsidRPr="0071228C" w:rsidRDefault="001C0111" w:rsidP="001C0111">
            <w:pPr>
              <w:ind w:right="-29"/>
              <w:jc w:val="center"/>
              <w:rPr>
                <w:noProof/>
                <w:sz w:val="18"/>
                <w:szCs w:val="18"/>
                <w:lang w:eastAsia="en-GB"/>
              </w:rPr>
            </w:pPr>
          </w:p>
        </w:tc>
        <w:tc>
          <w:tcPr>
            <w:tcW w:w="504" w:type="dxa"/>
            <w:tcBorders>
              <w:right w:val="dashSmallGap" w:sz="4" w:space="0" w:color="auto"/>
            </w:tcBorders>
          </w:tcPr>
          <w:p w14:paraId="39D1C254"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3F18D84C"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372EB5E6"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16050DAD" w14:textId="77777777" w:rsidR="001C0111" w:rsidRPr="0071228C" w:rsidRDefault="001C0111" w:rsidP="001C0111">
            <w:pPr>
              <w:ind w:right="-29"/>
              <w:jc w:val="center"/>
              <w:rPr>
                <w:noProof/>
                <w:sz w:val="18"/>
                <w:szCs w:val="18"/>
                <w:lang w:eastAsia="en-GB"/>
              </w:rPr>
            </w:pPr>
          </w:p>
        </w:tc>
        <w:tc>
          <w:tcPr>
            <w:tcW w:w="720" w:type="dxa"/>
            <w:tcBorders>
              <w:right w:val="dashSmallGap" w:sz="4" w:space="0" w:color="auto"/>
            </w:tcBorders>
          </w:tcPr>
          <w:p w14:paraId="5AEA6682"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6D6B800F" w14:textId="77777777" w:rsidR="001C0111" w:rsidRPr="0071228C" w:rsidRDefault="001C0111" w:rsidP="001C0111">
            <w:pPr>
              <w:ind w:right="-29"/>
              <w:jc w:val="center"/>
              <w:rPr>
                <w:noProof/>
                <w:sz w:val="18"/>
                <w:szCs w:val="18"/>
                <w:lang w:eastAsia="en-GB"/>
              </w:rPr>
            </w:pPr>
          </w:p>
        </w:tc>
        <w:tc>
          <w:tcPr>
            <w:tcW w:w="900" w:type="dxa"/>
            <w:tcBorders>
              <w:right w:val="dashSmallGap" w:sz="4" w:space="0" w:color="auto"/>
            </w:tcBorders>
          </w:tcPr>
          <w:p w14:paraId="501CC2CC" w14:textId="77777777" w:rsidR="001C0111" w:rsidRPr="0071228C" w:rsidRDefault="001C0111" w:rsidP="001C0111">
            <w:pPr>
              <w:ind w:right="-29"/>
              <w:jc w:val="center"/>
              <w:rPr>
                <w:noProof/>
                <w:sz w:val="18"/>
                <w:szCs w:val="18"/>
                <w:lang w:eastAsia="en-GB"/>
              </w:rPr>
            </w:pPr>
          </w:p>
        </w:tc>
        <w:tc>
          <w:tcPr>
            <w:tcW w:w="720" w:type="dxa"/>
            <w:gridSpan w:val="2"/>
            <w:tcBorders>
              <w:left w:val="dashSmallGap" w:sz="4" w:space="0" w:color="auto"/>
            </w:tcBorders>
          </w:tcPr>
          <w:p w14:paraId="7A69F5FB"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4E0E9146" w14:textId="77777777" w:rsidR="001C0111" w:rsidRPr="0071228C" w:rsidRDefault="001C0111" w:rsidP="001C0111">
            <w:pPr>
              <w:ind w:right="-29"/>
              <w:jc w:val="center"/>
              <w:rPr>
                <w:noProof/>
                <w:sz w:val="18"/>
                <w:szCs w:val="18"/>
                <w:lang w:eastAsia="en-GB"/>
              </w:rPr>
            </w:pPr>
          </w:p>
        </w:tc>
        <w:tc>
          <w:tcPr>
            <w:tcW w:w="648" w:type="dxa"/>
            <w:tcBorders>
              <w:left w:val="dashSmallGap" w:sz="4" w:space="0" w:color="auto"/>
            </w:tcBorders>
          </w:tcPr>
          <w:p w14:paraId="1FE80445" w14:textId="77777777" w:rsidR="001C0111" w:rsidRPr="0071228C" w:rsidRDefault="001C0111" w:rsidP="001C0111">
            <w:pPr>
              <w:ind w:right="-29"/>
              <w:jc w:val="center"/>
              <w:rPr>
                <w:noProof/>
                <w:sz w:val="18"/>
                <w:szCs w:val="18"/>
                <w:lang w:eastAsia="en-GB"/>
              </w:rPr>
            </w:pPr>
          </w:p>
        </w:tc>
        <w:tc>
          <w:tcPr>
            <w:tcW w:w="432" w:type="dxa"/>
            <w:tcBorders>
              <w:right w:val="dashSmallGap" w:sz="4" w:space="0" w:color="auto"/>
            </w:tcBorders>
          </w:tcPr>
          <w:p w14:paraId="22F89CBE"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36A1D80D" w14:textId="77777777" w:rsidR="001C0111" w:rsidRPr="0071228C" w:rsidRDefault="001C0111" w:rsidP="001C0111">
            <w:pPr>
              <w:ind w:right="-29"/>
              <w:jc w:val="center"/>
              <w:rPr>
                <w:noProof/>
                <w:sz w:val="18"/>
                <w:szCs w:val="18"/>
                <w:lang w:eastAsia="en-GB"/>
              </w:rPr>
            </w:pPr>
          </w:p>
        </w:tc>
        <w:tc>
          <w:tcPr>
            <w:tcW w:w="540" w:type="dxa"/>
            <w:tcBorders>
              <w:right w:val="dashSmallGap" w:sz="4" w:space="0" w:color="auto"/>
            </w:tcBorders>
          </w:tcPr>
          <w:p w14:paraId="79EA38F2" w14:textId="77777777" w:rsidR="001C0111" w:rsidRPr="0071228C" w:rsidRDefault="001C0111" w:rsidP="001C0111">
            <w:pPr>
              <w:ind w:right="-29"/>
              <w:jc w:val="center"/>
              <w:rPr>
                <w:noProof/>
                <w:sz w:val="18"/>
                <w:szCs w:val="18"/>
                <w:lang w:eastAsia="en-GB"/>
              </w:rPr>
            </w:pPr>
          </w:p>
        </w:tc>
        <w:tc>
          <w:tcPr>
            <w:tcW w:w="720" w:type="dxa"/>
            <w:tcBorders>
              <w:left w:val="dashSmallGap" w:sz="4" w:space="0" w:color="auto"/>
            </w:tcBorders>
          </w:tcPr>
          <w:p w14:paraId="29978E08" w14:textId="77777777" w:rsidR="001C0111" w:rsidRPr="0071228C" w:rsidRDefault="001C0111" w:rsidP="001C0111">
            <w:pPr>
              <w:ind w:right="-29"/>
              <w:jc w:val="center"/>
              <w:rPr>
                <w:noProof/>
                <w:sz w:val="18"/>
                <w:szCs w:val="18"/>
                <w:lang w:eastAsia="en-GB"/>
              </w:rPr>
            </w:pPr>
          </w:p>
        </w:tc>
        <w:tc>
          <w:tcPr>
            <w:tcW w:w="720" w:type="dxa"/>
          </w:tcPr>
          <w:p w14:paraId="363094F6" w14:textId="77777777" w:rsidR="001C0111" w:rsidRPr="0071228C" w:rsidRDefault="001C0111" w:rsidP="001C0111">
            <w:pPr>
              <w:ind w:right="-29"/>
              <w:jc w:val="center"/>
              <w:rPr>
                <w:noProof/>
                <w:sz w:val="18"/>
                <w:szCs w:val="18"/>
                <w:lang w:eastAsia="en-GB"/>
              </w:rPr>
            </w:pPr>
          </w:p>
        </w:tc>
        <w:tc>
          <w:tcPr>
            <w:tcW w:w="900" w:type="dxa"/>
          </w:tcPr>
          <w:p w14:paraId="00CF62DC" w14:textId="77777777" w:rsidR="001C0111" w:rsidRPr="0071228C" w:rsidRDefault="001C0111" w:rsidP="001C0111">
            <w:pPr>
              <w:ind w:right="-29"/>
              <w:jc w:val="center"/>
              <w:rPr>
                <w:noProof/>
                <w:sz w:val="18"/>
                <w:szCs w:val="18"/>
                <w:lang w:eastAsia="en-GB"/>
              </w:rPr>
            </w:pPr>
          </w:p>
        </w:tc>
      </w:tr>
      <w:tr w:rsidR="001C0111" w:rsidRPr="0071228C" w14:paraId="7BE47783" w14:textId="77777777" w:rsidTr="00EE4772">
        <w:trPr>
          <w:trHeight w:hRule="exact" w:val="369"/>
          <w:jc w:val="center"/>
        </w:trPr>
        <w:tc>
          <w:tcPr>
            <w:tcW w:w="1423" w:type="dxa"/>
          </w:tcPr>
          <w:p w14:paraId="1CD8FC06" w14:textId="77777777" w:rsidR="001C0111" w:rsidRPr="0071228C" w:rsidRDefault="001C0111" w:rsidP="001C0111">
            <w:pPr>
              <w:ind w:right="-29"/>
              <w:jc w:val="center"/>
              <w:rPr>
                <w:noProof/>
                <w:sz w:val="18"/>
                <w:szCs w:val="18"/>
              </w:rPr>
            </w:pPr>
            <w:r w:rsidRPr="0071228C">
              <w:rPr>
                <w:noProof/>
                <w:sz w:val="18"/>
              </w:rPr>
              <w:t>- Produkt</w:t>
            </w:r>
          </w:p>
        </w:tc>
        <w:tc>
          <w:tcPr>
            <w:tcW w:w="720" w:type="dxa"/>
          </w:tcPr>
          <w:p w14:paraId="4B49453D" w14:textId="77777777" w:rsidR="001C0111" w:rsidRPr="0071228C" w:rsidRDefault="001C0111" w:rsidP="001C0111">
            <w:pPr>
              <w:ind w:right="-29"/>
              <w:jc w:val="center"/>
              <w:rPr>
                <w:noProof/>
                <w:sz w:val="18"/>
                <w:szCs w:val="18"/>
                <w:lang w:eastAsia="en-GB"/>
              </w:rPr>
            </w:pPr>
          </w:p>
        </w:tc>
        <w:tc>
          <w:tcPr>
            <w:tcW w:w="701" w:type="dxa"/>
          </w:tcPr>
          <w:p w14:paraId="54F20931" w14:textId="77777777" w:rsidR="001C0111" w:rsidRPr="0071228C" w:rsidRDefault="001C0111" w:rsidP="001C0111">
            <w:pPr>
              <w:ind w:right="-29"/>
              <w:jc w:val="center"/>
              <w:rPr>
                <w:noProof/>
                <w:sz w:val="18"/>
                <w:szCs w:val="18"/>
                <w:lang w:eastAsia="en-GB"/>
              </w:rPr>
            </w:pPr>
          </w:p>
        </w:tc>
        <w:tc>
          <w:tcPr>
            <w:tcW w:w="504" w:type="dxa"/>
          </w:tcPr>
          <w:p w14:paraId="64577EA8" w14:textId="77777777" w:rsidR="001C0111" w:rsidRPr="0071228C" w:rsidRDefault="001C0111" w:rsidP="001C0111">
            <w:pPr>
              <w:ind w:right="-29"/>
              <w:jc w:val="center"/>
              <w:rPr>
                <w:noProof/>
                <w:sz w:val="18"/>
                <w:szCs w:val="18"/>
                <w:lang w:eastAsia="en-GB"/>
              </w:rPr>
            </w:pPr>
          </w:p>
        </w:tc>
        <w:tc>
          <w:tcPr>
            <w:tcW w:w="720" w:type="dxa"/>
          </w:tcPr>
          <w:p w14:paraId="0BA2D56A" w14:textId="77777777" w:rsidR="001C0111" w:rsidRPr="0071228C" w:rsidRDefault="001C0111" w:rsidP="001C0111">
            <w:pPr>
              <w:ind w:right="-29"/>
              <w:jc w:val="center"/>
              <w:rPr>
                <w:noProof/>
                <w:sz w:val="18"/>
                <w:szCs w:val="18"/>
                <w:lang w:eastAsia="en-GB"/>
              </w:rPr>
            </w:pPr>
          </w:p>
        </w:tc>
        <w:tc>
          <w:tcPr>
            <w:tcW w:w="540" w:type="dxa"/>
          </w:tcPr>
          <w:p w14:paraId="00E209F2" w14:textId="77777777" w:rsidR="001C0111" w:rsidRPr="0071228C" w:rsidRDefault="001C0111" w:rsidP="001C0111">
            <w:pPr>
              <w:ind w:right="-29"/>
              <w:jc w:val="center"/>
              <w:rPr>
                <w:noProof/>
                <w:sz w:val="18"/>
                <w:szCs w:val="18"/>
                <w:lang w:eastAsia="en-GB"/>
              </w:rPr>
            </w:pPr>
          </w:p>
        </w:tc>
        <w:tc>
          <w:tcPr>
            <w:tcW w:w="720" w:type="dxa"/>
          </w:tcPr>
          <w:p w14:paraId="7AA4327F" w14:textId="77777777" w:rsidR="001C0111" w:rsidRPr="0071228C" w:rsidRDefault="001C0111" w:rsidP="001C0111">
            <w:pPr>
              <w:ind w:right="-29"/>
              <w:jc w:val="center"/>
              <w:rPr>
                <w:noProof/>
                <w:sz w:val="18"/>
                <w:szCs w:val="18"/>
                <w:lang w:eastAsia="en-GB"/>
              </w:rPr>
            </w:pPr>
          </w:p>
        </w:tc>
        <w:tc>
          <w:tcPr>
            <w:tcW w:w="720" w:type="dxa"/>
          </w:tcPr>
          <w:p w14:paraId="08322B13" w14:textId="77777777" w:rsidR="001C0111" w:rsidRPr="0071228C" w:rsidRDefault="001C0111" w:rsidP="001C0111">
            <w:pPr>
              <w:ind w:right="-29"/>
              <w:jc w:val="center"/>
              <w:rPr>
                <w:noProof/>
                <w:sz w:val="18"/>
                <w:szCs w:val="18"/>
                <w:lang w:eastAsia="en-GB"/>
              </w:rPr>
            </w:pPr>
          </w:p>
        </w:tc>
        <w:tc>
          <w:tcPr>
            <w:tcW w:w="720" w:type="dxa"/>
          </w:tcPr>
          <w:p w14:paraId="07AB3D5D" w14:textId="77777777" w:rsidR="001C0111" w:rsidRPr="0071228C" w:rsidRDefault="001C0111" w:rsidP="001C0111">
            <w:pPr>
              <w:ind w:right="-29"/>
              <w:jc w:val="center"/>
              <w:rPr>
                <w:noProof/>
                <w:sz w:val="18"/>
                <w:szCs w:val="18"/>
                <w:lang w:eastAsia="en-GB"/>
              </w:rPr>
            </w:pPr>
          </w:p>
        </w:tc>
        <w:tc>
          <w:tcPr>
            <w:tcW w:w="900" w:type="dxa"/>
          </w:tcPr>
          <w:p w14:paraId="4F5DDADF" w14:textId="77777777" w:rsidR="001C0111" w:rsidRPr="0071228C" w:rsidRDefault="001C0111" w:rsidP="001C0111">
            <w:pPr>
              <w:ind w:right="-29"/>
              <w:jc w:val="center"/>
              <w:rPr>
                <w:noProof/>
                <w:sz w:val="18"/>
                <w:szCs w:val="18"/>
                <w:lang w:eastAsia="en-GB"/>
              </w:rPr>
            </w:pPr>
          </w:p>
        </w:tc>
        <w:tc>
          <w:tcPr>
            <w:tcW w:w="720" w:type="dxa"/>
            <w:gridSpan w:val="2"/>
          </w:tcPr>
          <w:p w14:paraId="5EA27ECB" w14:textId="77777777" w:rsidR="001C0111" w:rsidRPr="0071228C" w:rsidRDefault="001C0111" w:rsidP="001C0111">
            <w:pPr>
              <w:ind w:right="-29"/>
              <w:jc w:val="center"/>
              <w:rPr>
                <w:noProof/>
                <w:sz w:val="18"/>
                <w:szCs w:val="18"/>
                <w:lang w:eastAsia="en-GB"/>
              </w:rPr>
            </w:pPr>
          </w:p>
        </w:tc>
        <w:tc>
          <w:tcPr>
            <w:tcW w:w="540" w:type="dxa"/>
          </w:tcPr>
          <w:p w14:paraId="1AE70D29" w14:textId="77777777" w:rsidR="001C0111" w:rsidRPr="0071228C" w:rsidRDefault="001C0111" w:rsidP="001C0111">
            <w:pPr>
              <w:ind w:right="-29"/>
              <w:jc w:val="center"/>
              <w:rPr>
                <w:noProof/>
                <w:sz w:val="18"/>
                <w:szCs w:val="18"/>
                <w:lang w:eastAsia="en-GB"/>
              </w:rPr>
            </w:pPr>
          </w:p>
        </w:tc>
        <w:tc>
          <w:tcPr>
            <w:tcW w:w="648" w:type="dxa"/>
          </w:tcPr>
          <w:p w14:paraId="2CF0A873" w14:textId="77777777" w:rsidR="001C0111" w:rsidRPr="0071228C" w:rsidRDefault="001C0111" w:rsidP="001C0111">
            <w:pPr>
              <w:ind w:right="-29"/>
              <w:jc w:val="center"/>
              <w:rPr>
                <w:noProof/>
                <w:sz w:val="18"/>
                <w:szCs w:val="18"/>
                <w:lang w:eastAsia="en-GB"/>
              </w:rPr>
            </w:pPr>
          </w:p>
        </w:tc>
        <w:tc>
          <w:tcPr>
            <w:tcW w:w="432" w:type="dxa"/>
          </w:tcPr>
          <w:p w14:paraId="277B135A" w14:textId="77777777" w:rsidR="001C0111" w:rsidRPr="0071228C" w:rsidRDefault="001C0111" w:rsidP="001C0111">
            <w:pPr>
              <w:ind w:right="-29"/>
              <w:jc w:val="center"/>
              <w:rPr>
                <w:noProof/>
                <w:sz w:val="18"/>
                <w:szCs w:val="18"/>
                <w:lang w:eastAsia="en-GB"/>
              </w:rPr>
            </w:pPr>
          </w:p>
        </w:tc>
        <w:tc>
          <w:tcPr>
            <w:tcW w:w="720" w:type="dxa"/>
          </w:tcPr>
          <w:p w14:paraId="37A239CA" w14:textId="77777777" w:rsidR="001C0111" w:rsidRPr="0071228C" w:rsidRDefault="001C0111" w:rsidP="001C0111">
            <w:pPr>
              <w:ind w:right="-29"/>
              <w:jc w:val="center"/>
              <w:rPr>
                <w:noProof/>
                <w:sz w:val="18"/>
                <w:szCs w:val="18"/>
                <w:lang w:eastAsia="en-GB"/>
              </w:rPr>
            </w:pPr>
          </w:p>
        </w:tc>
        <w:tc>
          <w:tcPr>
            <w:tcW w:w="540" w:type="dxa"/>
          </w:tcPr>
          <w:p w14:paraId="658FC8E8" w14:textId="77777777" w:rsidR="001C0111" w:rsidRPr="0071228C" w:rsidRDefault="001C0111" w:rsidP="001C0111">
            <w:pPr>
              <w:ind w:right="-29"/>
              <w:jc w:val="center"/>
              <w:rPr>
                <w:noProof/>
                <w:sz w:val="18"/>
                <w:szCs w:val="18"/>
                <w:lang w:eastAsia="en-GB"/>
              </w:rPr>
            </w:pPr>
          </w:p>
        </w:tc>
        <w:tc>
          <w:tcPr>
            <w:tcW w:w="720" w:type="dxa"/>
          </w:tcPr>
          <w:p w14:paraId="581B53E8" w14:textId="77777777" w:rsidR="001C0111" w:rsidRPr="0071228C" w:rsidRDefault="001C0111" w:rsidP="001C0111">
            <w:pPr>
              <w:ind w:right="-29"/>
              <w:jc w:val="center"/>
              <w:rPr>
                <w:noProof/>
                <w:sz w:val="18"/>
                <w:szCs w:val="18"/>
                <w:lang w:eastAsia="en-GB"/>
              </w:rPr>
            </w:pPr>
          </w:p>
        </w:tc>
        <w:tc>
          <w:tcPr>
            <w:tcW w:w="720" w:type="dxa"/>
          </w:tcPr>
          <w:p w14:paraId="2B6ECD24" w14:textId="77777777" w:rsidR="001C0111" w:rsidRPr="0071228C" w:rsidRDefault="001C0111" w:rsidP="001C0111">
            <w:pPr>
              <w:ind w:right="-29"/>
              <w:jc w:val="center"/>
              <w:rPr>
                <w:noProof/>
                <w:sz w:val="18"/>
                <w:szCs w:val="18"/>
                <w:lang w:eastAsia="en-GB"/>
              </w:rPr>
            </w:pPr>
          </w:p>
        </w:tc>
        <w:tc>
          <w:tcPr>
            <w:tcW w:w="900" w:type="dxa"/>
          </w:tcPr>
          <w:p w14:paraId="54C09A18" w14:textId="77777777" w:rsidR="001C0111" w:rsidRPr="0071228C" w:rsidRDefault="001C0111" w:rsidP="001C0111">
            <w:pPr>
              <w:ind w:right="-29"/>
              <w:jc w:val="center"/>
              <w:rPr>
                <w:noProof/>
                <w:sz w:val="18"/>
                <w:szCs w:val="18"/>
                <w:lang w:eastAsia="en-GB"/>
              </w:rPr>
            </w:pPr>
          </w:p>
        </w:tc>
      </w:tr>
      <w:tr w:rsidR="001C0111" w:rsidRPr="0071228C" w14:paraId="4CF4AB4D" w14:textId="77777777" w:rsidTr="00EE4772">
        <w:trPr>
          <w:trHeight w:val="77"/>
          <w:jc w:val="center"/>
        </w:trPr>
        <w:tc>
          <w:tcPr>
            <w:tcW w:w="2844" w:type="dxa"/>
            <w:gridSpan w:val="3"/>
            <w:tcBorders>
              <w:bottom w:val="single" w:sz="12" w:space="0" w:color="auto"/>
            </w:tcBorders>
            <w:vAlign w:val="center"/>
          </w:tcPr>
          <w:p w14:paraId="06C9D2E8" w14:textId="15AD4100" w:rsidR="001C0111" w:rsidRPr="0071228C" w:rsidRDefault="001C0111" w:rsidP="001C0111">
            <w:pPr>
              <w:ind w:right="-29"/>
              <w:jc w:val="center"/>
              <w:rPr>
                <w:noProof/>
                <w:sz w:val="18"/>
                <w:szCs w:val="18"/>
              </w:rPr>
            </w:pPr>
            <w:r w:rsidRPr="0071228C">
              <w:rPr>
                <w:noProof/>
                <w:sz w:val="18"/>
              </w:rPr>
              <w:t xml:space="preserve">Cel szczegółowy </w:t>
            </w:r>
            <w:r w:rsidRPr="00CC55C0">
              <w:rPr>
                <w:noProof/>
                <w:sz w:val="18"/>
              </w:rPr>
              <w:t>nr</w:t>
            </w:r>
            <w:r w:rsidR="00CC55C0" w:rsidRPr="00CC55C0">
              <w:rPr>
                <w:noProof/>
                <w:sz w:val="18"/>
              </w:rPr>
              <w:t> </w:t>
            </w:r>
            <w:r w:rsidRPr="00CC55C0">
              <w:rPr>
                <w:noProof/>
                <w:sz w:val="18"/>
              </w:rPr>
              <w:t>1</w:t>
            </w:r>
            <w:r w:rsidRPr="0071228C">
              <w:rPr>
                <w:noProof/>
                <w:sz w:val="18"/>
              </w:rPr>
              <w:t xml:space="preserve"> – suma cząstkowa</w:t>
            </w:r>
          </w:p>
        </w:tc>
        <w:tc>
          <w:tcPr>
            <w:tcW w:w="504" w:type="dxa"/>
            <w:tcBorders>
              <w:bottom w:val="single" w:sz="12" w:space="0" w:color="auto"/>
            </w:tcBorders>
          </w:tcPr>
          <w:p w14:paraId="07ACBA91"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087E0D91"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66DB32B0"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023480ED"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3342C8A8"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2418B698" w14:textId="77777777" w:rsidR="001C0111" w:rsidRPr="0071228C" w:rsidRDefault="001C0111" w:rsidP="001C0111">
            <w:pPr>
              <w:ind w:right="-29"/>
              <w:jc w:val="center"/>
              <w:rPr>
                <w:noProof/>
                <w:sz w:val="18"/>
                <w:szCs w:val="18"/>
                <w:lang w:eastAsia="en-GB"/>
              </w:rPr>
            </w:pPr>
          </w:p>
        </w:tc>
        <w:tc>
          <w:tcPr>
            <w:tcW w:w="900" w:type="dxa"/>
            <w:tcBorders>
              <w:bottom w:val="single" w:sz="12" w:space="0" w:color="auto"/>
            </w:tcBorders>
          </w:tcPr>
          <w:p w14:paraId="63219C5D" w14:textId="77777777" w:rsidR="001C0111" w:rsidRPr="0071228C" w:rsidRDefault="001C0111" w:rsidP="001C0111">
            <w:pPr>
              <w:ind w:right="-29"/>
              <w:jc w:val="center"/>
              <w:rPr>
                <w:noProof/>
                <w:sz w:val="18"/>
                <w:szCs w:val="18"/>
                <w:lang w:eastAsia="en-GB"/>
              </w:rPr>
            </w:pPr>
          </w:p>
        </w:tc>
        <w:tc>
          <w:tcPr>
            <w:tcW w:w="720" w:type="dxa"/>
            <w:gridSpan w:val="2"/>
            <w:tcBorders>
              <w:bottom w:val="single" w:sz="12" w:space="0" w:color="auto"/>
            </w:tcBorders>
          </w:tcPr>
          <w:p w14:paraId="1B789000"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7B391F45" w14:textId="77777777" w:rsidR="001C0111" w:rsidRPr="0071228C" w:rsidRDefault="001C0111" w:rsidP="001C0111">
            <w:pPr>
              <w:ind w:right="-29"/>
              <w:jc w:val="center"/>
              <w:rPr>
                <w:noProof/>
                <w:sz w:val="18"/>
                <w:szCs w:val="18"/>
                <w:lang w:eastAsia="en-GB"/>
              </w:rPr>
            </w:pPr>
          </w:p>
        </w:tc>
        <w:tc>
          <w:tcPr>
            <w:tcW w:w="648" w:type="dxa"/>
            <w:tcBorders>
              <w:bottom w:val="single" w:sz="12" w:space="0" w:color="auto"/>
            </w:tcBorders>
          </w:tcPr>
          <w:p w14:paraId="5971A103" w14:textId="77777777" w:rsidR="001C0111" w:rsidRPr="0071228C" w:rsidRDefault="001C0111" w:rsidP="001C0111">
            <w:pPr>
              <w:ind w:right="-29"/>
              <w:jc w:val="center"/>
              <w:rPr>
                <w:noProof/>
                <w:sz w:val="18"/>
                <w:szCs w:val="18"/>
                <w:lang w:eastAsia="en-GB"/>
              </w:rPr>
            </w:pPr>
          </w:p>
        </w:tc>
        <w:tc>
          <w:tcPr>
            <w:tcW w:w="432" w:type="dxa"/>
            <w:tcBorders>
              <w:bottom w:val="single" w:sz="12" w:space="0" w:color="auto"/>
            </w:tcBorders>
          </w:tcPr>
          <w:p w14:paraId="773ACF2C"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262AB815"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4FE4C316"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161D0B72"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734CCFD4" w14:textId="77777777" w:rsidR="001C0111" w:rsidRPr="0071228C" w:rsidRDefault="001C0111" w:rsidP="001C0111">
            <w:pPr>
              <w:ind w:right="-29"/>
              <w:jc w:val="center"/>
              <w:rPr>
                <w:noProof/>
                <w:sz w:val="18"/>
                <w:szCs w:val="18"/>
                <w:lang w:eastAsia="en-GB"/>
              </w:rPr>
            </w:pPr>
          </w:p>
        </w:tc>
        <w:tc>
          <w:tcPr>
            <w:tcW w:w="900" w:type="dxa"/>
            <w:tcBorders>
              <w:bottom w:val="single" w:sz="12" w:space="0" w:color="auto"/>
            </w:tcBorders>
          </w:tcPr>
          <w:p w14:paraId="64CDF9CA" w14:textId="77777777" w:rsidR="001C0111" w:rsidRPr="0071228C" w:rsidRDefault="001C0111" w:rsidP="001C0111">
            <w:pPr>
              <w:ind w:right="-29"/>
              <w:jc w:val="center"/>
              <w:rPr>
                <w:noProof/>
                <w:sz w:val="18"/>
                <w:szCs w:val="18"/>
                <w:lang w:eastAsia="en-GB"/>
              </w:rPr>
            </w:pPr>
          </w:p>
        </w:tc>
      </w:tr>
      <w:tr w:rsidR="001C0111" w:rsidRPr="0071228C" w14:paraId="0E494E7E" w14:textId="77777777" w:rsidTr="00EE4772">
        <w:trPr>
          <w:jc w:val="center"/>
        </w:trPr>
        <w:tc>
          <w:tcPr>
            <w:tcW w:w="2844" w:type="dxa"/>
            <w:gridSpan w:val="3"/>
            <w:vAlign w:val="center"/>
          </w:tcPr>
          <w:p w14:paraId="615C788B" w14:textId="3E13ECD6" w:rsidR="001C0111" w:rsidRPr="0071228C" w:rsidRDefault="001C0111" w:rsidP="001C0111">
            <w:pPr>
              <w:spacing w:before="60" w:after="60"/>
              <w:ind w:right="-29"/>
              <w:jc w:val="center"/>
              <w:rPr>
                <w:noProof/>
                <w:sz w:val="18"/>
                <w:szCs w:val="18"/>
              </w:rPr>
            </w:pPr>
            <w:r w:rsidRPr="0071228C">
              <w:rPr>
                <w:noProof/>
                <w:sz w:val="18"/>
              </w:rPr>
              <w:t xml:space="preserve">CEL SZCZEGÓŁOWY </w:t>
            </w:r>
            <w:r w:rsidRPr="00CC55C0">
              <w:rPr>
                <w:noProof/>
                <w:sz w:val="18"/>
              </w:rPr>
              <w:t>nr</w:t>
            </w:r>
            <w:r w:rsidR="00CC55C0" w:rsidRPr="00CC55C0">
              <w:rPr>
                <w:noProof/>
                <w:sz w:val="18"/>
              </w:rPr>
              <w:t> </w:t>
            </w:r>
            <w:r w:rsidRPr="00CC55C0">
              <w:rPr>
                <w:noProof/>
                <w:sz w:val="18"/>
              </w:rPr>
              <w:t>2</w:t>
            </w:r>
          </w:p>
        </w:tc>
        <w:tc>
          <w:tcPr>
            <w:tcW w:w="504" w:type="dxa"/>
            <w:tcBorders>
              <w:top w:val="nil"/>
              <w:left w:val="nil"/>
              <w:bottom w:val="nil"/>
              <w:right w:val="nil"/>
            </w:tcBorders>
          </w:tcPr>
          <w:p w14:paraId="338968F4"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98C272B"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50C75DE2"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0B6988F6"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6AB80162"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019F966" w14:textId="77777777" w:rsidR="001C0111" w:rsidRPr="0071228C"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6F818E00" w14:textId="77777777" w:rsidR="001C0111" w:rsidRPr="0071228C" w:rsidRDefault="001C0111" w:rsidP="001C0111">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58318EEF"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00454743" w14:textId="77777777" w:rsidR="001C0111" w:rsidRPr="0071228C" w:rsidRDefault="001C0111" w:rsidP="001C0111">
            <w:pPr>
              <w:spacing w:before="60" w:after="60"/>
              <w:ind w:right="-29"/>
              <w:jc w:val="center"/>
              <w:rPr>
                <w:noProof/>
                <w:sz w:val="18"/>
                <w:szCs w:val="18"/>
                <w:lang w:eastAsia="en-GB"/>
              </w:rPr>
            </w:pPr>
          </w:p>
        </w:tc>
        <w:tc>
          <w:tcPr>
            <w:tcW w:w="648" w:type="dxa"/>
            <w:tcBorders>
              <w:top w:val="nil"/>
              <w:left w:val="nil"/>
              <w:bottom w:val="nil"/>
              <w:right w:val="nil"/>
            </w:tcBorders>
          </w:tcPr>
          <w:p w14:paraId="7CCB800C" w14:textId="77777777" w:rsidR="001C0111" w:rsidRPr="0071228C" w:rsidRDefault="001C0111" w:rsidP="001C0111">
            <w:pPr>
              <w:spacing w:before="60" w:after="60"/>
              <w:ind w:right="-29"/>
              <w:jc w:val="center"/>
              <w:rPr>
                <w:noProof/>
                <w:sz w:val="18"/>
                <w:szCs w:val="18"/>
                <w:lang w:eastAsia="en-GB"/>
              </w:rPr>
            </w:pPr>
          </w:p>
        </w:tc>
        <w:tc>
          <w:tcPr>
            <w:tcW w:w="432" w:type="dxa"/>
            <w:tcBorders>
              <w:top w:val="nil"/>
              <w:left w:val="nil"/>
              <w:bottom w:val="nil"/>
              <w:right w:val="nil"/>
            </w:tcBorders>
          </w:tcPr>
          <w:p w14:paraId="25FC3ABB"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865EF39" w14:textId="77777777" w:rsidR="001C0111" w:rsidRPr="0071228C"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59974EFF"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1CBE7F0E" w14:textId="77777777" w:rsidR="001C0111" w:rsidRPr="0071228C"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31CFD93" w14:textId="77777777" w:rsidR="001C0111" w:rsidRPr="0071228C"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1A38C0CE" w14:textId="77777777" w:rsidR="001C0111" w:rsidRPr="0071228C" w:rsidRDefault="001C0111" w:rsidP="001C0111">
            <w:pPr>
              <w:spacing w:before="60" w:after="60"/>
              <w:ind w:right="-29"/>
              <w:jc w:val="center"/>
              <w:rPr>
                <w:noProof/>
                <w:sz w:val="18"/>
                <w:szCs w:val="18"/>
                <w:lang w:eastAsia="en-GB"/>
              </w:rPr>
            </w:pPr>
          </w:p>
        </w:tc>
      </w:tr>
      <w:tr w:rsidR="001C0111" w:rsidRPr="0071228C" w14:paraId="2BE2A0F3" w14:textId="77777777" w:rsidTr="00EE4772">
        <w:trPr>
          <w:trHeight w:hRule="exact" w:val="369"/>
          <w:jc w:val="center"/>
        </w:trPr>
        <w:tc>
          <w:tcPr>
            <w:tcW w:w="1423" w:type="dxa"/>
          </w:tcPr>
          <w:p w14:paraId="2D54FF55" w14:textId="77777777" w:rsidR="001C0111" w:rsidRPr="0071228C" w:rsidRDefault="001C0111" w:rsidP="001C0111">
            <w:pPr>
              <w:ind w:right="-29"/>
              <w:jc w:val="center"/>
              <w:rPr>
                <w:noProof/>
                <w:sz w:val="18"/>
                <w:szCs w:val="18"/>
              </w:rPr>
            </w:pPr>
            <w:r w:rsidRPr="0071228C">
              <w:rPr>
                <w:noProof/>
                <w:sz w:val="18"/>
              </w:rPr>
              <w:t>- Produkt</w:t>
            </w:r>
          </w:p>
        </w:tc>
        <w:tc>
          <w:tcPr>
            <w:tcW w:w="720" w:type="dxa"/>
          </w:tcPr>
          <w:p w14:paraId="30D42544" w14:textId="77777777" w:rsidR="001C0111" w:rsidRPr="0071228C" w:rsidRDefault="001C0111" w:rsidP="001C0111">
            <w:pPr>
              <w:ind w:right="-29"/>
              <w:jc w:val="center"/>
              <w:rPr>
                <w:noProof/>
                <w:sz w:val="18"/>
                <w:szCs w:val="18"/>
                <w:lang w:eastAsia="en-GB"/>
              </w:rPr>
            </w:pPr>
          </w:p>
        </w:tc>
        <w:tc>
          <w:tcPr>
            <w:tcW w:w="701" w:type="dxa"/>
          </w:tcPr>
          <w:p w14:paraId="55A65CD2" w14:textId="77777777" w:rsidR="001C0111" w:rsidRPr="0071228C" w:rsidRDefault="001C0111" w:rsidP="001C0111">
            <w:pPr>
              <w:ind w:right="-29"/>
              <w:jc w:val="center"/>
              <w:rPr>
                <w:noProof/>
                <w:sz w:val="18"/>
                <w:szCs w:val="18"/>
                <w:lang w:eastAsia="en-GB"/>
              </w:rPr>
            </w:pPr>
          </w:p>
        </w:tc>
        <w:tc>
          <w:tcPr>
            <w:tcW w:w="504" w:type="dxa"/>
          </w:tcPr>
          <w:p w14:paraId="6A43CA30" w14:textId="77777777" w:rsidR="001C0111" w:rsidRPr="0071228C" w:rsidRDefault="001C0111" w:rsidP="001C0111">
            <w:pPr>
              <w:ind w:right="-29"/>
              <w:jc w:val="center"/>
              <w:rPr>
                <w:noProof/>
                <w:sz w:val="18"/>
                <w:szCs w:val="18"/>
                <w:lang w:eastAsia="en-GB"/>
              </w:rPr>
            </w:pPr>
          </w:p>
        </w:tc>
        <w:tc>
          <w:tcPr>
            <w:tcW w:w="720" w:type="dxa"/>
          </w:tcPr>
          <w:p w14:paraId="45B094D7" w14:textId="77777777" w:rsidR="001C0111" w:rsidRPr="0071228C" w:rsidRDefault="001C0111" w:rsidP="001C0111">
            <w:pPr>
              <w:ind w:right="-29"/>
              <w:jc w:val="center"/>
              <w:rPr>
                <w:noProof/>
                <w:sz w:val="18"/>
                <w:szCs w:val="18"/>
                <w:lang w:eastAsia="en-GB"/>
              </w:rPr>
            </w:pPr>
          </w:p>
        </w:tc>
        <w:tc>
          <w:tcPr>
            <w:tcW w:w="540" w:type="dxa"/>
          </w:tcPr>
          <w:p w14:paraId="224ACA2F" w14:textId="77777777" w:rsidR="001C0111" w:rsidRPr="0071228C" w:rsidRDefault="001C0111" w:rsidP="001C0111">
            <w:pPr>
              <w:ind w:right="-29"/>
              <w:jc w:val="center"/>
              <w:rPr>
                <w:noProof/>
                <w:sz w:val="18"/>
                <w:szCs w:val="18"/>
                <w:lang w:eastAsia="en-GB"/>
              </w:rPr>
            </w:pPr>
          </w:p>
        </w:tc>
        <w:tc>
          <w:tcPr>
            <w:tcW w:w="720" w:type="dxa"/>
          </w:tcPr>
          <w:p w14:paraId="2A3B2AE4" w14:textId="77777777" w:rsidR="001C0111" w:rsidRPr="0071228C" w:rsidRDefault="001C0111" w:rsidP="001C0111">
            <w:pPr>
              <w:ind w:right="-29"/>
              <w:jc w:val="center"/>
              <w:rPr>
                <w:noProof/>
                <w:sz w:val="18"/>
                <w:szCs w:val="18"/>
                <w:lang w:eastAsia="en-GB"/>
              </w:rPr>
            </w:pPr>
          </w:p>
        </w:tc>
        <w:tc>
          <w:tcPr>
            <w:tcW w:w="720" w:type="dxa"/>
          </w:tcPr>
          <w:p w14:paraId="3AE9410C" w14:textId="77777777" w:rsidR="001C0111" w:rsidRPr="0071228C" w:rsidRDefault="001C0111" w:rsidP="001C0111">
            <w:pPr>
              <w:ind w:right="-29"/>
              <w:jc w:val="center"/>
              <w:rPr>
                <w:noProof/>
                <w:sz w:val="18"/>
                <w:szCs w:val="18"/>
                <w:lang w:eastAsia="en-GB"/>
              </w:rPr>
            </w:pPr>
          </w:p>
        </w:tc>
        <w:tc>
          <w:tcPr>
            <w:tcW w:w="720" w:type="dxa"/>
          </w:tcPr>
          <w:p w14:paraId="2171497F" w14:textId="77777777" w:rsidR="001C0111" w:rsidRPr="0071228C" w:rsidRDefault="001C0111" w:rsidP="001C0111">
            <w:pPr>
              <w:ind w:right="-29"/>
              <w:jc w:val="center"/>
              <w:rPr>
                <w:noProof/>
                <w:sz w:val="18"/>
                <w:szCs w:val="18"/>
                <w:lang w:eastAsia="en-GB"/>
              </w:rPr>
            </w:pPr>
          </w:p>
        </w:tc>
        <w:tc>
          <w:tcPr>
            <w:tcW w:w="900" w:type="dxa"/>
          </w:tcPr>
          <w:p w14:paraId="121D4257" w14:textId="77777777" w:rsidR="001C0111" w:rsidRPr="0071228C" w:rsidRDefault="001C0111" w:rsidP="001C0111">
            <w:pPr>
              <w:ind w:right="-29"/>
              <w:jc w:val="center"/>
              <w:rPr>
                <w:noProof/>
                <w:sz w:val="18"/>
                <w:szCs w:val="18"/>
                <w:lang w:eastAsia="en-GB"/>
              </w:rPr>
            </w:pPr>
          </w:p>
        </w:tc>
        <w:tc>
          <w:tcPr>
            <w:tcW w:w="720" w:type="dxa"/>
            <w:gridSpan w:val="2"/>
          </w:tcPr>
          <w:p w14:paraId="0786B5BC" w14:textId="77777777" w:rsidR="001C0111" w:rsidRPr="0071228C" w:rsidRDefault="001C0111" w:rsidP="001C0111">
            <w:pPr>
              <w:ind w:right="-29"/>
              <w:jc w:val="center"/>
              <w:rPr>
                <w:noProof/>
                <w:sz w:val="18"/>
                <w:szCs w:val="18"/>
                <w:lang w:eastAsia="en-GB"/>
              </w:rPr>
            </w:pPr>
          </w:p>
        </w:tc>
        <w:tc>
          <w:tcPr>
            <w:tcW w:w="540" w:type="dxa"/>
          </w:tcPr>
          <w:p w14:paraId="55F6B4A1" w14:textId="77777777" w:rsidR="001C0111" w:rsidRPr="0071228C" w:rsidRDefault="001C0111" w:rsidP="001C0111">
            <w:pPr>
              <w:ind w:right="-29"/>
              <w:jc w:val="center"/>
              <w:rPr>
                <w:noProof/>
                <w:sz w:val="18"/>
                <w:szCs w:val="18"/>
                <w:lang w:eastAsia="en-GB"/>
              </w:rPr>
            </w:pPr>
          </w:p>
        </w:tc>
        <w:tc>
          <w:tcPr>
            <w:tcW w:w="648" w:type="dxa"/>
          </w:tcPr>
          <w:p w14:paraId="747C5B54" w14:textId="77777777" w:rsidR="001C0111" w:rsidRPr="0071228C" w:rsidRDefault="001C0111" w:rsidP="001C0111">
            <w:pPr>
              <w:ind w:right="-29"/>
              <w:jc w:val="center"/>
              <w:rPr>
                <w:noProof/>
                <w:sz w:val="18"/>
                <w:szCs w:val="18"/>
                <w:lang w:eastAsia="en-GB"/>
              </w:rPr>
            </w:pPr>
          </w:p>
        </w:tc>
        <w:tc>
          <w:tcPr>
            <w:tcW w:w="432" w:type="dxa"/>
          </w:tcPr>
          <w:p w14:paraId="61C8935C" w14:textId="77777777" w:rsidR="001C0111" w:rsidRPr="0071228C" w:rsidRDefault="001C0111" w:rsidP="001C0111">
            <w:pPr>
              <w:ind w:right="-29"/>
              <w:jc w:val="center"/>
              <w:rPr>
                <w:noProof/>
                <w:sz w:val="18"/>
                <w:szCs w:val="18"/>
                <w:lang w:eastAsia="en-GB"/>
              </w:rPr>
            </w:pPr>
          </w:p>
        </w:tc>
        <w:tc>
          <w:tcPr>
            <w:tcW w:w="720" w:type="dxa"/>
          </w:tcPr>
          <w:p w14:paraId="66CA1559" w14:textId="77777777" w:rsidR="001C0111" w:rsidRPr="0071228C" w:rsidRDefault="001C0111" w:rsidP="001C0111">
            <w:pPr>
              <w:ind w:right="-29"/>
              <w:jc w:val="center"/>
              <w:rPr>
                <w:noProof/>
                <w:sz w:val="18"/>
                <w:szCs w:val="18"/>
                <w:lang w:eastAsia="en-GB"/>
              </w:rPr>
            </w:pPr>
          </w:p>
        </w:tc>
        <w:tc>
          <w:tcPr>
            <w:tcW w:w="540" w:type="dxa"/>
          </w:tcPr>
          <w:p w14:paraId="71A1EADE" w14:textId="77777777" w:rsidR="001C0111" w:rsidRPr="0071228C" w:rsidRDefault="001C0111" w:rsidP="001C0111">
            <w:pPr>
              <w:ind w:right="-29"/>
              <w:jc w:val="center"/>
              <w:rPr>
                <w:noProof/>
                <w:sz w:val="18"/>
                <w:szCs w:val="18"/>
                <w:lang w:eastAsia="en-GB"/>
              </w:rPr>
            </w:pPr>
          </w:p>
        </w:tc>
        <w:tc>
          <w:tcPr>
            <w:tcW w:w="720" w:type="dxa"/>
          </w:tcPr>
          <w:p w14:paraId="6BBC4A4C" w14:textId="77777777" w:rsidR="001C0111" w:rsidRPr="0071228C" w:rsidRDefault="001C0111" w:rsidP="001C0111">
            <w:pPr>
              <w:ind w:right="-29"/>
              <w:jc w:val="center"/>
              <w:rPr>
                <w:noProof/>
                <w:sz w:val="18"/>
                <w:szCs w:val="18"/>
                <w:lang w:eastAsia="en-GB"/>
              </w:rPr>
            </w:pPr>
          </w:p>
        </w:tc>
        <w:tc>
          <w:tcPr>
            <w:tcW w:w="720" w:type="dxa"/>
          </w:tcPr>
          <w:p w14:paraId="317B24FF" w14:textId="77777777" w:rsidR="001C0111" w:rsidRPr="0071228C" w:rsidRDefault="001C0111" w:rsidP="001C0111">
            <w:pPr>
              <w:ind w:right="-29"/>
              <w:jc w:val="center"/>
              <w:rPr>
                <w:noProof/>
                <w:sz w:val="18"/>
                <w:szCs w:val="18"/>
                <w:lang w:eastAsia="en-GB"/>
              </w:rPr>
            </w:pPr>
          </w:p>
        </w:tc>
        <w:tc>
          <w:tcPr>
            <w:tcW w:w="900" w:type="dxa"/>
          </w:tcPr>
          <w:p w14:paraId="5C4706F4" w14:textId="77777777" w:rsidR="001C0111" w:rsidRPr="0071228C" w:rsidRDefault="001C0111" w:rsidP="001C0111">
            <w:pPr>
              <w:ind w:right="-29"/>
              <w:jc w:val="center"/>
              <w:rPr>
                <w:noProof/>
                <w:sz w:val="18"/>
                <w:szCs w:val="18"/>
                <w:lang w:eastAsia="en-GB"/>
              </w:rPr>
            </w:pPr>
          </w:p>
        </w:tc>
      </w:tr>
      <w:tr w:rsidR="001C0111" w:rsidRPr="0071228C" w14:paraId="699233E7" w14:textId="77777777" w:rsidTr="00EE4772">
        <w:trPr>
          <w:jc w:val="center"/>
        </w:trPr>
        <w:tc>
          <w:tcPr>
            <w:tcW w:w="2844" w:type="dxa"/>
            <w:gridSpan w:val="3"/>
            <w:tcBorders>
              <w:bottom w:val="single" w:sz="12" w:space="0" w:color="auto"/>
            </w:tcBorders>
            <w:vAlign w:val="center"/>
          </w:tcPr>
          <w:p w14:paraId="304549BE" w14:textId="2E3C3986" w:rsidR="001C0111" w:rsidRPr="0071228C" w:rsidRDefault="001C0111" w:rsidP="001C0111">
            <w:pPr>
              <w:jc w:val="center"/>
              <w:rPr>
                <w:noProof/>
                <w:sz w:val="18"/>
                <w:szCs w:val="18"/>
              </w:rPr>
            </w:pPr>
            <w:r w:rsidRPr="0071228C">
              <w:rPr>
                <w:noProof/>
                <w:sz w:val="18"/>
              </w:rPr>
              <w:t xml:space="preserve">Cel szczegółowy </w:t>
            </w:r>
            <w:r w:rsidRPr="00CC55C0">
              <w:rPr>
                <w:noProof/>
                <w:sz w:val="18"/>
              </w:rPr>
              <w:t>nr</w:t>
            </w:r>
            <w:r w:rsidR="00CC55C0" w:rsidRPr="00CC55C0">
              <w:rPr>
                <w:noProof/>
                <w:sz w:val="18"/>
              </w:rPr>
              <w:t> </w:t>
            </w:r>
            <w:r w:rsidRPr="00CC55C0">
              <w:rPr>
                <w:noProof/>
                <w:sz w:val="18"/>
              </w:rPr>
              <w:t>2</w:t>
            </w:r>
            <w:r w:rsidRPr="0071228C">
              <w:rPr>
                <w:noProof/>
                <w:sz w:val="18"/>
              </w:rPr>
              <w:t xml:space="preserve"> – suma cząstkowa</w:t>
            </w:r>
          </w:p>
        </w:tc>
        <w:tc>
          <w:tcPr>
            <w:tcW w:w="504" w:type="dxa"/>
            <w:tcBorders>
              <w:bottom w:val="single" w:sz="12" w:space="0" w:color="auto"/>
            </w:tcBorders>
          </w:tcPr>
          <w:p w14:paraId="6D2AD217"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1ECAB4EB"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618B58E3"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39DDDB2D"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0F2E179B"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764C4902" w14:textId="77777777" w:rsidR="001C0111" w:rsidRPr="0071228C" w:rsidRDefault="001C0111" w:rsidP="001C0111">
            <w:pPr>
              <w:ind w:right="-29"/>
              <w:jc w:val="center"/>
              <w:rPr>
                <w:noProof/>
                <w:sz w:val="18"/>
                <w:szCs w:val="18"/>
                <w:lang w:eastAsia="en-GB"/>
              </w:rPr>
            </w:pPr>
          </w:p>
        </w:tc>
        <w:tc>
          <w:tcPr>
            <w:tcW w:w="951" w:type="dxa"/>
            <w:gridSpan w:val="2"/>
            <w:tcBorders>
              <w:bottom w:val="single" w:sz="12" w:space="0" w:color="auto"/>
            </w:tcBorders>
          </w:tcPr>
          <w:p w14:paraId="6799B84D" w14:textId="77777777" w:rsidR="001C0111" w:rsidRPr="0071228C" w:rsidRDefault="001C0111" w:rsidP="001C0111">
            <w:pPr>
              <w:ind w:right="-29"/>
              <w:jc w:val="center"/>
              <w:rPr>
                <w:noProof/>
                <w:sz w:val="18"/>
                <w:szCs w:val="18"/>
                <w:lang w:eastAsia="en-GB"/>
              </w:rPr>
            </w:pPr>
          </w:p>
        </w:tc>
        <w:tc>
          <w:tcPr>
            <w:tcW w:w="669" w:type="dxa"/>
            <w:tcBorders>
              <w:bottom w:val="single" w:sz="12" w:space="0" w:color="auto"/>
            </w:tcBorders>
          </w:tcPr>
          <w:p w14:paraId="0F405571"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321A8002" w14:textId="77777777" w:rsidR="001C0111" w:rsidRPr="0071228C" w:rsidRDefault="001C0111" w:rsidP="001C0111">
            <w:pPr>
              <w:ind w:right="-29"/>
              <w:jc w:val="center"/>
              <w:rPr>
                <w:noProof/>
                <w:sz w:val="18"/>
                <w:szCs w:val="18"/>
                <w:lang w:eastAsia="en-GB"/>
              </w:rPr>
            </w:pPr>
          </w:p>
        </w:tc>
        <w:tc>
          <w:tcPr>
            <w:tcW w:w="648" w:type="dxa"/>
            <w:tcBorders>
              <w:bottom w:val="single" w:sz="12" w:space="0" w:color="auto"/>
            </w:tcBorders>
          </w:tcPr>
          <w:p w14:paraId="3DAD89CB" w14:textId="77777777" w:rsidR="001C0111" w:rsidRPr="0071228C" w:rsidRDefault="001C0111" w:rsidP="001C0111">
            <w:pPr>
              <w:ind w:right="-29"/>
              <w:jc w:val="center"/>
              <w:rPr>
                <w:noProof/>
                <w:sz w:val="18"/>
                <w:szCs w:val="18"/>
                <w:lang w:eastAsia="en-GB"/>
              </w:rPr>
            </w:pPr>
          </w:p>
        </w:tc>
        <w:tc>
          <w:tcPr>
            <w:tcW w:w="432" w:type="dxa"/>
            <w:tcBorders>
              <w:bottom w:val="single" w:sz="12" w:space="0" w:color="auto"/>
            </w:tcBorders>
          </w:tcPr>
          <w:p w14:paraId="458C0C02"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28B58BB5" w14:textId="77777777" w:rsidR="001C0111" w:rsidRPr="0071228C" w:rsidRDefault="001C0111" w:rsidP="001C0111">
            <w:pPr>
              <w:ind w:right="-29"/>
              <w:jc w:val="center"/>
              <w:rPr>
                <w:noProof/>
                <w:sz w:val="18"/>
                <w:szCs w:val="18"/>
                <w:lang w:eastAsia="en-GB"/>
              </w:rPr>
            </w:pPr>
          </w:p>
        </w:tc>
        <w:tc>
          <w:tcPr>
            <w:tcW w:w="540" w:type="dxa"/>
            <w:tcBorders>
              <w:bottom w:val="single" w:sz="12" w:space="0" w:color="auto"/>
            </w:tcBorders>
          </w:tcPr>
          <w:p w14:paraId="57BD7692"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1A7A9463" w14:textId="77777777" w:rsidR="001C0111" w:rsidRPr="0071228C" w:rsidRDefault="001C0111" w:rsidP="001C0111">
            <w:pPr>
              <w:ind w:right="-29"/>
              <w:jc w:val="center"/>
              <w:rPr>
                <w:noProof/>
                <w:sz w:val="18"/>
                <w:szCs w:val="18"/>
                <w:lang w:eastAsia="en-GB"/>
              </w:rPr>
            </w:pPr>
          </w:p>
        </w:tc>
        <w:tc>
          <w:tcPr>
            <w:tcW w:w="720" w:type="dxa"/>
            <w:tcBorders>
              <w:bottom w:val="single" w:sz="12" w:space="0" w:color="auto"/>
            </w:tcBorders>
          </w:tcPr>
          <w:p w14:paraId="6B9B492B" w14:textId="77777777" w:rsidR="001C0111" w:rsidRPr="0071228C" w:rsidRDefault="001C0111" w:rsidP="001C0111">
            <w:pPr>
              <w:ind w:right="-29"/>
              <w:jc w:val="center"/>
              <w:rPr>
                <w:noProof/>
                <w:sz w:val="18"/>
                <w:szCs w:val="18"/>
                <w:lang w:eastAsia="en-GB"/>
              </w:rPr>
            </w:pPr>
          </w:p>
        </w:tc>
        <w:tc>
          <w:tcPr>
            <w:tcW w:w="900" w:type="dxa"/>
            <w:tcBorders>
              <w:bottom w:val="single" w:sz="12" w:space="0" w:color="auto"/>
            </w:tcBorders>
          </w:tcPr>
          <w:p w14:paraId="3F52E118" w14:textId="77777777" w:rsidR="001C0111" w:rsidRPr="0071228C" w:rsidRDefault="001C0111" w:rsidP="001C0111">
            <w:pPr>
              <w:ind w:right="-29"/>
              <w:jc w:val="center"/>
              <w:rPr>
                <w:noProof/>
                <w:sz w:val="18"/>
                <w:szCs w:val="18"/>
                <w:lang w:eastAsia="en-GB"/>
              </w:rPr>
            </w:pPr>
          </w:p>
        </w:tc>
      </w:tr>
      <w:tr w:rsidR="001C0111" w:rsidRPr="0071228C" w14:paraId="2F3A86BF" w14:textId="77777777" w:rsidTr="00EE4772">
        <w:trPr>
          <w:jc w:val="center"/>
        </w:trPr>
        <w:tc>
          <w:tcPr>
            <w:tcW w:w="2844" w:type="dxa"/>
            <w:gridSpan w:val="3"/>
            <w:tcBorders>
              <w:top w:val="single" w:sz="12" w:space="0" w:color="auto"/>
              <w:left w:val="single" w:sz="12" w:space="0" w:color="auto"/>
              <w:bottom w:val="single" w:sz="12" w:space="0" w:color="auto"/>
            </w:tcBorders>
            <w:vAlign w:val="center"/>
          </w:tcPr>
          <w:p w14:paraId="28DE0B1F" w14:textId="77777777" w:rsidR="001C0111" w:rsidRPr="0071228C" w:rsidRDefault="001C0111" w:rsidP="001C0111">
            <w:pPr>
              <w:ind w:right="-29"/>
              <w:jc w:val="center"/>
              <w:rPr>
                <w:noProof/>
                <w:sz w:val="18"/>
                <w:szCs w:val="18"/>
              </w:rPr>
            </w:pPr>
            <w:r w:rsidRPr="0071228C">
              <w:rPr>
                <w:b/>
                <w:noProof/>
                <w:sz w:val="18"/>
              </w:rPr>
              <w:t>OGÓŁEM</w:t>
            </w:r>
          </w:p>
        </w:tc>
        <w:tc>
          <w:tcPr>
            <w:tcW w:w="504" w:type="dxa"/>
            <w:tcBorders>
              <w:top w:val="single" w:sz="12" w:space="0" w:color="auto"/>
              <w:bottom w:val="single" w:sz="12" w:space="0" w:color="auto"/>
            </w:tcBorders>
          </w:tcPr>
          <w:p w14:paraId="695D74CF"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1570D27" w14:textId="77777777" w:rsidR="001C0111" w:rsidRPr="0071228C"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43A076D9"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DFC28F6"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DBC662B"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FA862C0" w14:textId="77777777" w:rsidR="001C0111" w:rsidRPr="0071228C" w:rsidRDefault="001C0111" w:rsidP="001C0111">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9E14582" w14:textId="77777777" w:rsidR="001C0111" w:rsidRPr="0071228C" w:rsidRDefault="001C0111" w:rsidP="001C0111">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223432F7" w14:textId="77777777" w:rsidR="001C0111" w:rsidRPr="0071228C"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4794040C" w14:textId="77777777" w:rsidR="001C0111" w:rsidRPr="0071228C" w:rsidRDefault="001C0111" w:rsidP="001C0111">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146C23CB" w14:textId="77777777" w:rsidR="001C0111" w:rsidRPr="0071228C" w:rsidRDefault="001C0111" w:rsidP="001C0111">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13A5D7A6"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C4EB7EC" w14:textId="77777777" w:rsidR="001C0111" w:rsidRPr="0071228C"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2F2B08D"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36BE691" w14:textId="77777777" w:rsidR="001C0111" w:rsidRPr="0071228C"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D791E3F" w14:textId="77777777" w:rsidR="001C0111" w:rsidRPr="0071228C" w:rsidRDefault="001C0111" w:rsidP="001C0111">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4A8A1AFF" w14:textId="77777777" w:rsidR="001C0111" w:rsidRPr="0071228C" w:rsidRDefault="001C0111" w:rsidP="001C0111">
            <w:pPr>
              <w:spacing w:before="180" w:after="180"/>
              <w:ind w:right="-29"/>
              <w:jc w:val="center"/>
              <w:rPr>
                <w:noProof/>
                <w:sz w:val="18"/>
                <w:szCs w:val="18"/>
                <w:lang w:eastAsia="en-GB"/>
              </w:rPr>
            </w:pPr>
          </w:p>
        </w:tc>
      </w:tr>
    </w:tbl>
    <w:p w14:paraId="73502C9E" w14:textId="77777777" w:rsidR="001C0111" w:rsidRPr="0071228C" w:rsidRDefault="001C0111" w:rsidP="001C0111">
      <w:pPr>
        <w:rPr>
          <w:noProof/>
          <w:lang w:eastAsia="en-GB"/>
        </w:rPr>
        <w:sectPr w:rsidR="001C0111" w:rsidRPr="0071228C" w:rsidSect="00E25B75">
          <w:headerReference w:type="default" r:id="rId17"/>
          <w:footerReference w:type="default" r:id="rId18"/>
          <w:headerReference w:type="first" r:id="rId19"/>
          <w:footerReference w:type="first" r:id="rId20"/>
          <w:footnotePr>
            <w:numRestart w:val="eachSect"/>
          </w:footnotePr>
          <w:pgSz w:w="16840" w:h="11907" w:orient="landscape" w:code="9"/>
          <w:pgMar w:top="1134" w:right="1418" w:bottom="567" w:left="1418" w:header="709" w:footer="709" w:gutter="0"/>
          <w:cols w:space="708"/>
          <w:docGrid w:linePitch="360"/>
        </w:sectPr>
      </w:pPr>
    </w:p>
    <w:p w14:paraId="65CCA46E" w14:textId="77777777" w:rsidR="001C0111" w:rsidRPr="0071228C" w:rsidRDefault="001C0111" w:rsidP="002A2DB0">
      <w:pPr>
        <w:keepNext/>
        <w:outlineLvl w:val="2"/>
        <w:rPr>
          <w:rFonts w:eastAsiaTheme="majorEastAsia"/>
          <w:i/>
          <w:noProof/>
          <w:szCs w:val="24"/>
        </w:rPr>
      </w:pPr>
      <w:bookmarkStart w:id="61" w:name="_Toc514938055"/>
      <w:bookmarkStart w:id="62" w:name="_Toc520485054"/>
      <w:r w:rsidRPr="0071228C">
        <w:rPr>
          <w:i/>
          <w:noProof/>
        </w:rPr>
        <w:t>Szacunkowy wpływ na środki administracyjne ECHA, EEA i COM</w:t>
      </w:r>
      <w:bookmarkEnd w:id="61"/>
      <w:bookmarkEnd w:id="62"/>
      <w:r w:rsidRPr="0071228C">
        <w:rPr>
          <w:i/>
          <w:noProof/>
        </w:rPr>
        <w:t xml:space="preserve"> </w:t>
      </w:r>
    </w:p>
    <w:p w14:paraId="76CCF3B0" w14:textId="77777777" w:rsidR="001C0111" w:rsidRPr="0071228C" w:rsidRDefault="001C0111" w:rsidP="001C0111">
      <w:pPr>
        <w:ind w:left="1134"/>
        <w:rPr>
          <w:noProof/>
          <w:lang w:eastAsia="en-GB"/>
        </w:rPr>
      </w:pPr>
    </w:p>
    <w:p w14:paraId="2FAD9E13" w14:textId="77777777" w:rsidR="001C0111" w:rsidRPr="0071228C" w:rsidRDefault="001C0111" w:rsidP="002A2DB0">
      <w:pPr>
        <w:keepNext/>
        <w:outlineLvl w:val="3"/>
        <w:rPr>
          <w:rFonts w:eastAsiaTheme="majorEastAsia"/>
          <w:iCs/>
          <w:noProof/>
          <w:szCs w:val="24"/>
        </w:rPr>
      </w:pPr>
      <w:r w:rsidRPr="0071228C">
        <w:rPr>
          <w:noProof/>
        </w:rPr>
        <w:t xml:space="preserve">Szacunkowy wpływ na zasoby ludzkie ECHA </w:t>
      </w:r>
    </w:p>
    <w:p w14:paraId="3296118D" w14:textId="6A117F28" w:rsidR="001C0111" w:rsidRPr="0071228C" w:rsidRDefault="001C0111" w:rsidP="002A2DB0">
      <w:pPr>
        <w:rPr>
          <w:noProof/>
        </w:rPr>
      </w:pPr>
      <w:r w:rsidRPr="0071228C">
        <w:rPr>
          <w:rFonts w:ascii="Wingdings" w:hAnsi="Wingdings"/>
          <w:noProof/>
        </w:rPr>
        <w:t></w:t>
      </w:r>
      <w:r w:rsidRPr="0071228C">
        <w:rPr>
          <w:noProof/>
        </w:rPr>
        <w:tab/>
        <w:t>Wniosek/inicjatywa nie wiąże się</w:t>
      </w:r>
      <w:r w:rsidR="00CC55C0" w:rsidRPr="0071228C">
        <w:rPr>
          <w:noProof/>
        </w:rPr>
        <w:t xml:space="preserve"> z</w:t>
      </w:r>
      <w:r w:rsidR="00CC55C0">
        <w:rPr>
          <w:noProof/>
        </w:rPr>
        <w:t> </w:t>
      </w:r>
      <w:r w:rsidR="00CC55C0" w:rsidRPr="0071228C">
        <w:rPr>
          <w:noProof/>
        </w:rPr>
        <w:t>kon</w:t>
      </w:r>
      <w:r w:rsidRPr="0071228C">
        <w:rPr>
          <w:noProof/>
        </w:rPr>
        <w:t xml:space="preserve">iecznością wykorzystania środków administracyjnych </w:t>
      </w:r>
    </w:p>
    <w:p w14:paraId="422C0F1C" w14:textId="18BE85F1" w:rsidR="001C0111" w:rsidRPr="0071228C" w:rsidRDefault="001C0111" w:rsidP="002A2DB0">
      <w:pPr>
        <w:rPr>
          <w:noProof/>
        </w:rPr>
      </w:pPr>
      <w:r w:rsidRPr="0071228C">
        <w:rPr>
          <w:rFonts w:ascii="Wingdings" w:hAnsi="Wingdings"/>
          <w:b/>
          <w:noProof/>
        </w:rPr>
        <w:t></w:t>
      </w:r>
      <w:r w:rsidRPr="0071228C">
        <w:rPr>
          <w:noProof/>
        </w:rPr>
        <w:tab/>
        <w:t>Wniosek/inicjatywa wiąże się</w:t>
      </w:r>
      <w:r w:rsidR="00CC55C0" w:rsidRPr="0071228C">
        <w:rPr>
          <w:noProof/>
        </w:rPr>
        <w:t xml:space="preserve"> z</w:t>
      </w:r>
      <w:r w:rsidR="00CC55C0">
        <w:rPr>
          <w:noProof/>
        </w:rPr>
        <w:t> </w:t>
      </w:r>
      <w:r w:rsidR="00CC55C0" w:rsidRPr="0071228C">
        <w:rPr>
          <w:noProof/>
        </w:rPr>
        <w:t>kon</w:t>
      </w:r>
      <w:r w:rsidRPr="0071228C">
        <w:rPr>
          <w:noProof/>
        </w:rPr>
        <w:t>iecznością wykorzystania środków administracyjnych, jak określono poniżej:</w:t>
      </w:r>
    </w:p>
    <w:p w14:paraId="2F4C8A8D" w14:textId="77777777" w:rsidR="001C0111" w:rsidRPr="0071228C" w:rsidRDefault="001C0111" w:rsidP="001C0111">
      <w:pPr>
        <w:rPr>
          <w:noProof/>
          <w:sz w:val="20"/>
        </w:rPr>
      </w:pPr>
      <w:r w:rsidRPr="0071228C">
        <w:rPr>
          <w:noProof/>
          <w:sz w:val="20"/>
        </w:rPr>
        <w:t>w mln EUR (do trzech miejsc po przecinku)</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7A568BE2" w14:textId="77777777" w:rsidTr="00EE4772">
        <w:trPr>
          <w:trHeight w:val="585"/>
          <w:jc w:val="center"/>
        </w:trPr>
        <w:tc>
          <w:tcPr>
            <w:tcW w:w="1980" w:type="dxa"/>
          </w:tcPr>
          <w:p w14:paraId="266C13D9" w14:textId="77777777" w:rsidR="001C0111" w:rsidRPr="0071228C" w:rsidRDefault="001C0111" w:rsidP="001C0111">
            <w:pPr>
              <w:spacing w:before="60" w:after="60"/>
              <w:rPr>
                <w:noProof/>
                <w:sz w:val="20"/>
                <w:lang w:eastAsia="en-GB"/>
              </w:rPr>
            </w:pPr>
          </w:p>
        </w:tc>
        <w:tc>
          <w:tcPr>
            <w:tcW w:w="1080" w:type="dxa"/>
            <w:vAlign w:val="center"/>
          </w:tcPr>
          <w:p w14:paraId="1B423065" w14:textId="77777777" w:rsidR="001C0111" w:rsidRPr="0071228C" w:rsidRDefault="001C0111" w:rsidP="001C0111">
            <w:pPr>
              <w:spacing w:before="60" w:after="60"/>
              <w:jc w:val="center"/>
              <w:rPr>
                <w:b/>
                <w:noProof/>
                <w:sz w:val="20"/>
              </w:rPr>
            </w:pPr>
            <w:r w:rsidRPr="0071228C">
              <w:rPr>
                <w:b/>
                <w:noProof/>
                <w:sz w:val="20"/>
              </w:rPr>
              <w:t>2024</w:t>
            </w:r>
          </w:p>
        </w:tc>
        <w:tc>
          <w:tcPr>
            <w:tcW w:w="1080" w:type="dxa"/>
            <w:vAlign w:val="center"/>
          </w:tcPr>
          <w:p w14:paraId="55474DE2" w14:textId="77777777" w:rsidR="001C0111" w:rsidRPr="0071228C" w:rsidRDefault="001C0111" w:rsidP="001C0111">
            <w:pPr>
              <w:spacing w:before="60" w:after="60"/>
              <w:jc w:val="center"/>
              <w:rPr>
                <w:b/>
                <w:noProof/>
                <w:sz w:val="20"/>
              </w:rPr>
            </w:pPr>
            <w:r w:rsidRPr="0071228C">
              <w:rPr>
                <w:b/>
                <w:noProof/>
                <w:sz w:val="20"/>
              </w:rPr>
              <w:t>2025</w:t>
            </w:r>
          </w:p>
        </w:tc>
        <w:tc>
          <w:tcPr>
            <w:tcW w:w="1080" w:type="dxa"/>
            <w:vAlign w:val="center"/>
          </w:tcPr>
          <w:p w14:paraId="2B83C3F9" w14:textId="77777777" w:rsidR="001C0111" w:rsidRPr="0071228C" w:rsidRDefault="001C0111" w:rsidP="001C0111">
            <w:pPr>
              <w:spacing w:before="60" w:after="60"/>
              <w:jc w:val="center"/>
              <w:rPr>
                <w:b/>
                <w:noProof/>
                <w:sz w:val="20"/>
              </w:rPr>
            </w:pPr>
            <w:r w:rsidRPr="0071228C">
              <w:rPr>
                <w:b/>
                <w:noProof/>
                <w:sz w:val="20"/>
              </w:rPr>
              <w:t>2026</w:t>
            </w:r>
          </w:p>
        </w:tc>
        <w:tc>
          <w:tcPr>
            <w:tcW w:w="1080" w:type="dxa"/>
            <w:vAlign w:val="center"/>
          </w:tcPr>
          <w:p w14:paraId="7901FE5F" w14:textId="77777777" w:rsidR="001C0111" w:rsidRPr="0071228C" w:rsidRDefault="001C0111" w:rsidP="001C0111">
            <w:pPr>
              <w:spacing w:before="60" w:after="60"/>
              <w:jc w:val="center"/>
              <w:rPr>
                <w:b/>
                <w:noProof/>
                <w:sz w:val="20"/>
              </w:rPr>
            </w:pPr>
            <w:r w:rsidRPr="0071228C">
              <w:rPr>
                <w:b/>
                <w:noProof/>
                <w:sz w:val="20"/>
              </w:rPr>
              <w:t>2027</w:t>
            </w:r>
          </w:p>
        </w:tc>
        <w:tc>
          <w:tcPr>
            <w:tcW w:w="1080" w:type="dxa"/>
            <w:vAlign w:val="center"/>
          </w:tcPr>
          <w:p w14:paraId="5C887753" w14:textId="77777777" w:rsidR="001C0111" w:rsidRPr="0071228C" w:rsidRDefault="001C0111" w:rsidP="001C0111">
            <w:pPr>
              <w:jc w:val="center"/>
              <w:rPr>
                <w:b/>
                <w:noProof/>
                <w:sz w:val="20"/>
              </w:rPr>
            </w:pPr>
            <w:r w:rsidRPr="0071228C">
              <w:rPr>
                <w:b/>
                <w:noProof/>
                <w:sz w:val="20"/>
              </w:rPr>
              <w:t>OGÓŁEM</w:t>
            </w:r>
          </w:p>
        </w:tc>
      </w:tr>
    </w:tbl>
    <w:p w14:paraId="65414A0C" w14:textId="77777777" w:rsidR="001C0111" w:rsidRPr="0071228C"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1484CDE1" w14:textId="77777777" w:rsidTr="00EE4772">
        <w:trPr>
          <w:trHeight w:val="585"/>
          <w:jc w:val="center"/>
        </w:trPr>
        <w:tc>
          <w:tcPr>
            <w:tcW w:w="1980" w:type="dxa"/>
            <w:shd w:val="clear" w:color="auto" w:fill="D9D9D9" w:themeFill="background1" w:themeFillShade="D9"/>
            <w:vAlign w:val="center"/>
          </w:tcPr>
          <w:p w14:paraId="14C28C66" w14:textId="77777777" w:rsidR="001C0111" w:rsidRPr="0071228C" w:rsidRDefault="001C0111" w:rsidP="001C0111">
            <w:pPr>
              <w:spacing w:before="60" w:after="60"/>
              <w:jc w:val="center"/>
              <w:rPr>
                <w:noProof/>
                <w:sz w:val="18"/>
              </w:rPr>
            </w:pPr>
            <w:r w:rsidRPr="0071228C">
              <w:rPr>
                <w:noProof/>
                <w:sz w:val="18"/>
              </w:rPr>
              <w:t>Pracownicy zatrudnieni na czas określony (grupy funkcyjne AD) ds. dyrektyw środowiskowych</w:t>
            </w:r>
          </w:p>
        </w:tc>
        <w:tc>
          <w:tcPr>
            <w:tcW w:w="1080" w:type="dxa"/>
            <w:vAlign w:val="center"/>
          </w:tcPr>
          <w:p w14:paraId="0690D6F6" w14:textId="77777777" w:rsidR="001C0111" w:rsidRPr="0071228C" w:rsidRDefault="001C0111" w:rsidP="001C0111">
            <w:pPr>
              <w:spacing w:before="60" w:after="60"/>
              <w:jc w:val="right"/>
              <w:rPr>
                <w:noProof/>
                <w:sz w:val="20"/>
              </w:rPr>
            </w:pPr>
            <w:r w:rsidRPr="0071228C">
              <w:rPr>
                <w:noProof/>
                <w:sz w:val="20"/>
              </w:rPr>
              <w:t>0,535</w:t>
            </w:r>
          </w:p>
        </w:tc>
        <w:tc>
          <w:tcPr>
            <w:tcW w:w="1080" w:type="dxa"/>
            <w:vAlign w:val="center"/>
          </w:tcPr>
          <w:p w14:paraId="7D934DCA" w14:textId="77777777" w:rsidR="001C0111" w:rsidRPr="0071228C" w:rsidRDefault="001C0111" w:rsidP="001C0111">
            <w:pPr>
              <w:spacing w:before="60" w:after="60"/>
              <w:jc w:val="center"/>
              <w:rPr>
                <w:noProof/>
                <w:sz w:val="20"/>
              </w:rPr>
            </w:pPr>
            <w:r w:rsidRPr="0071228C">
              <w:rPr>
                <w:noProof/>
                <w:sz w:val="20"/>
              </w:rPr>
              <w:t>1,091</w:t>
            </w:r>
          </w:p>
        </w:tc>
        <w:tc>
          <w:tcPr>
            <w:tcW w:w="1080" w:type="dxa"/>
            <w:vAlign w:val="center"/>
          </w:tcPr>
          <w:p w14:paraId="171C47F4" w14:textId="77777777" w:rsidR="001C0111" w:rsidRPr="0071228C" w:rsidRDefault="001C0111" w:rsidP="001C0111">
            <w:pPr>
              <w:spacing w:before="60" w:after="60"/>
              <w:jc w:val="center"/>
              <w:rPr>
                <w:noProof/>
                <w:sz w:val="20"/>
              </w:rPr>
            </w:pPr>
            <w:r w:rsidRPr="0071228C">
              <w:rPr>
                <w:noProof/>
                <w:sz w:val="20"/>
              </w:rPr>
              <w:t>1,112</w:t>
            </w:r>
          </w:p>
        </w:tc>
        <w:tc>
          <w:tcPr>
            <w:tcW w:w="1080" w:type="dxa"/>
            <w:vAlign w:val="center"/>
          </w:tcPr>
          <w:p w14:paraId="33012200" w14:textId="77777777" w:rsidR="001C0111" w:rsidRPr="0071228C" w:rsidRDefault="001C0111" w:rsidP="001C0111">
            <w:pPr>
              <w:spacing w:before="60" w:after="60"/>
              <w:jc w:val="center"/>
              <w:rPr>
                <w:noProof/>
                <w:sz w:val="20"/>
              </w:rPr>
            </w:pPr>
            <w:r w:rsidRPr="0071228C">
              <w:rPr>
                <w:noProof/>
                <w:sz w:val="20"/>
              </w:rPr>
              <w:t>1,135</w:t>
            </w:r>
          </w:p>
        </w:tc>
        <w:tc>
          <w:tcPr>
            <w:tcW w:w="1080" w:type="dxa"/>
            <w:vAlign w:val="center"/>
          </w:tcPr>
          <w:p w14:paraId="4D8222FB" w14:textId="77777777" w:rsidR="001C0111" w:rsidRPr="0071228C" w:rsidRDefault="001C0111" w:rsidP="001C0111">
            <w:pPr>
              <w:spacing w:before="60" w:after="60"/>
              <w:jc w:val="right"/>
              <w:rPr>
                <w:b/>
                <w:noProof/>
                <w:sz w:val="20"/>
              </w:rPr>
            </w:pPr>
            <w:r w:rsidRPr="0071228C">
              <w:rPr>
                <w:b/>
                <w:noProof/>
                <w:sz w:val="20"/>
              </w:rPr>
              <w:t>3,872</w:t>
            </w:r>
          </w:p>
        </w:tc>
      </w:tr>
      <w:tr w:rsidR="001C0111" w:rsidRPr="0071228C" w14:paraId="34622E47" w14:textId="77777777" w:rsidTr="00EE4772">
        <w:trPr>
          <w:trHeight w:val="585"/>
          <w:jc w:val="center"/>
        </w:trPr>
        <w:tc>
          <w:tcPr>
            <w:tcW w:w="1980" w:type="dxa"/>
            <w:shd w:val="clear" w:color="auto" w:fill="BFBFBF" w:themeFill="background1" w:themeFillShade="BF"/>
            <w:vAlign w:val="center"/>
          </w:tcPr>
          <w:p w14:paraId="45DAEA48" w14:textId="77777777" w:rsidR="001C0111" w:rsidRPr="0071228C" w:rsidRDefault="001C0111" w:rsidP="001C0111">
            <w:pPr>
              <w:spacing w:before="60" w:after="60"/>
              <w:ind w:left="72"/>
              <w:rPr>
                <w:noProof/>
              </w:rPr>
            </w:pPr>
            <w:r w:rsidRPr="0071228C">
              <w:rPr>
                <w:noProof/>
                <w:sz w:val="20"/>
              </w:rPr>
              <w:t>Pracownicy zatrudnieni na czas określony (grupy zaszeregowania AST)</w:t>
            </w:r>
          </w:p>
        </w:tc>
        <w:tc>
          <w:tcPr>
            <w:tcW w:w="1080" w:type="dxa"/>
            <w:vAlign w:val="center"/>
          </w:tcPr>
          <w:p w14:paraId="7A5AB92C" w14:textId="77777777" w:rsidR="001C0111" w:rsidRPr="0071228C" w:rsidRDefault="001C0111" w:rsidP="001C0111">
            <w:pPr>
              <w:spacing w:before="60" w:after="60"/>
              <w:jc w:val="right"/>
              <w:rPr>
                <w:noProof/>
                <w:sz w:val="20"/>
                <w:lang w:eastAsia="en-GB"/>
              </w:rPr>
            </w:pPr>
          </w:p>
        </w:tc>
        <w:tc>
          <w:tcPr>
            <w:tcW w:w="1080" w:type="dxa"/>
            <w:vAlign w:val="center"/>
          </w:tcPr>
          <w:p w14:paraId="057ED834" w14:textId="77777777" w:rsidR="001C0111" w:rsidRPr="0071228C" w:rsidRDefault="001C0111" w:rsidP="001C0111">
            <w:pPr>
              <w:spacing w:before="60" w:after="60"/>
              <w:jc w:val="right"/>
              <w:rPr>
                <w:noProof/>
                <w:sz w:val="20"/>
                <w:lang w:eastAsia="en-GB"/>
              </w:rPr>
            </w:pPr>
          </w:p>
        </w:tc>
        <w:tc>
          <w:tcPr>
            <w:tcW w:w="1080" w:type="dxa"/>
          </w:tcPr>
          <w:p w14:paraId="6E39093F" w14:textId="77777777" w:rsidR="001C0111" w:rsidRPr="0071228C" w:rsidRDefault="001C0111" w:rsidP="001C0111">
            <w:pPr>
              <w:spacing w:before="60" w:after="60"/>
              <w:jc w:val="right"/>
              <w:rPr>
                <w:noProof/>
                <w:sz w:val="20"/>
                <w:lang w:eastAsia="en-GB"/>
              </w:rPr>
            </w:pPr>
          </w:p>
        </w:tc>
        <w:tc>
          <w:tcPr>
            <w:tcW w:w="1080" w:type="dxa"/>
            <w:vAlign w:val="center"/>
          </w:tcPr>
          <w:p w14:paraId="1D24A53C" w14:textId="77777777" w:rsidR="001C0111" w:rsidRPr="0071228C" w:rsidRDefault="001C0111" w:rsidP="001C0111">
            <w:pPr>
              <w:spacing w:before="60" w:after="60"/>
              <w:jc w:val="right"/>
              <w:rPr>
                <w:noProof/>
                <w:sz w:val="20"/>
                <w:lang w:eastAsia="en-GB"/>
              </w:rPr>
            </w:pPr>
          </w:p>
        </w:tc>
        <w:tc>
          <w:tcPr>
            <w:tcW w:w="1080" w:type="dxa"/>
            <w:vAlign w:val="center"/>
          </w:tcPr>
          <w:p w14:paraId="21E39F47" w14:textId="77777777" w:rsidR="001C0111" w:rsidRPr="0071228C" w:rsidRDefault="001C0111" w:rsidP="001C0111">
            <w:pPr>
              <w:spacing w:before="60" w:after="60"/>
              <w:jc w:val="right"/>
              <w:rPr>
                <w:noProof/>
                <w:sz w:val="20"/>
                <w:lang w:eastAsia="en-GB"/>
              </w:rPr>
            </w:pPr>
          </w:p>
        </w:tc>
      </w:tr>
      <w:tr w:rsidR="001C0111" w:rsidRPr="0071228C" w14:paraId="64F0FA88" w14:textId="77777777" w:rsidTr="00EE4772">
        <w:trPr>
          <w:trHeight w:val="585"/>
          <w:jc w:val="center"/>
        </w:trPr>
        <w:tc>
          <w:tcPr>
            <w:tcW w:w="1980" w:type="dxa"/>
            <w:shd w:val="clear" w:color="auto" w:fill="BFBFBF" w:themeFill="background1" w:themeFillShade="BF"/>
            <w:vAlign w:val="center"/>
          </w:tcPr>
          <w:p w14:paraId="35961836" w14:textId="77777777" w:rsidR="001C0111" w:rsidRPr="0071228C" w:rsidRDefault="001C0111" w:rsidP="001C0111">
            <w:pPr>
              <w:spacing w:before="60" w:after="60"/>
              <w:ind w:left="72"/>
              <w:rPr>
                <w:noProof/>
              </w:rPr>
            </w:pPr>
            <w:r w:rsidRPr="0071228C">
              <w:rPr>
                <w:noProof/>
                <w:sz w:val="20"/>
              </w:rPr>
              <w:t xml:space="preserve">Personel kontraktowy </w:t>
            </w:r>
          </w:p>
        </w:tc>
        <w:tc>
          <w:tcPr>
            <w:tcW w:w="1080" w:type="dxa"/>
            <w:shd w:val="clear" w:color="auto" w:fill="auto"/>
            <w:vAlign w:val="bottom"/>
          </w:tcPr>
          <w:p w14:paraId="5A2B8EDB" w14:textId="77777777" w:rsidR="001C0111" w:rsidRPr="0071228C" w:rsidRDefault="001C0111" w:rsidP="001C0111">
            <w:pPr>
              <w:spacing w:before="60" w:after="60"/>
              <w:jc w:val="right"/>
              <w:rPr>
                <w:noProof/>
                <w:sz w:val="20"/>
              </w:rPr>
            </w:pPr>
            <w:r w:rsidRPr="0071228C">
              <w:rPr>
                <w:noProof/>
                <w:sz w:val="20"/>
              </w:rPr>
              <w:t>0,200</w:t>
            </w:r>
          </w:p>
        </w:tc>
        <w:tc>
          <w:tcPr>
            <w:tcW w:w="1080" w:type="dxa"/>
            <w:shd w:val="clear" w:color="auto" w:fill="auto"/>
            <w:vAlign w:val="bottom"/>
          </w:tcPr>
          <w:p w14:paraId="54144D16" w14:textId="77777777" w:rsidR="001C0111" w:rsidRPr="0071228C" w:rsidRDefault="001C0111" w:rsidP="001C0111">
            <w:pPr>
              <w:spacing w:before="60" w:after="60"/>
              <w:jc w:val="right"/>
              <w:rPr>
                <w:noProof/>
                <w:sz w:val="20"/>
              </w:rPr>
            </w:pPr>
            <w:r w:rsidRPr="0071228C">
              <w:rPr>
                <w:noProof/>
                <w:sz w:val="20"/>
              </w:rPr>
              <w:t>0,407</w:t>
            </w:r>
          </w:p>
        </w:tc>
        <w:tc>
          <w:tcPr>
            <w:tcW w:w="1080" w:type="dxa"/>
            <w:shd w:val="clear" w:color="auto" w:fill="auto"/>
            <w:vAlign w:val="bottom"/>
          </w:tcPr>
          <w:p w14:paraId="29DE238E" w14:textId="77777777" w:rsidR="001C0111" w:rsidRPr="0071228C" w:rsidRDefault="001C0111" w:rsidP="001C0111">
            <w:pPr>
              <w:spacing w:before="60" w:after="60"/>
              <w:jc w:val="right"/>
              <w:rPr>
                <w:noProof/>
                <w:sz w:val="20"/>
              </w:rPr>
            </w:pPr>
            <w:r w:rsidRPr="0071228C">
              <w:rPr>
                <w:noProof/>
                <w:sz w:val="20"/>
              </w:rPr>
              <w:t>0,416</w:t>
            </w:r>
          </w:p>
        </w:tc>
        <w:tc>
          <w:tcPr>
            <w:tcW w:w="1080" w:type="dxa"/>
            <w:shd w:val="clear" w:color="auto" w:fill="auto"/>
            <w:vAlign w:val="bottom"/>
          </w:tcPr>
          <w:p w14:paraId="4A06BAE7" w14:textId="77777777" w:rsidR="001C0111" w:rsidRPr="0071228C" w:rsidRDefault="001C0111" w:rsidP="001C0111">
            <w:pPr>
              <w:spacing w:before="60" w:after="60"/>
              <w:jc w:val="right"/>
              <w:rPr>
                <w:noProof/>
                <w:sz w:val="20"/>
              </w:rPr>
            </w:pPr>
            <w:r w:rsidRPr="0071228C">
              <w:rPr>
                <w:noProof/>
                <w:sz w:val="20"/>
              </w:rPr>
              <w:t>0,424</w:t>
            </w:r>
          </w:p>
        </w:tc>
        <w:tc>
          <w:tcPr>
            <w:tcW w:w="1080" w:type="dxa"/>
            <w:shd w:val="clear" w:color="auto" w:fill="auto"/>
            <w:vAlign w:val="bottom"/>
          </w:tcPr>
          <w:p w14:paraId="7F3D1238" w14:textId="77777777" w:rsidR="001C0111" w:rsidRPr="0071228C" w:rsidRDefault="001C0111" w:rsidP="001C0111">
            <w:pPr>
              <w:spacing w:before="60" w:after="60"/>
              <w:jc w:val="right"/>
              <w:rPr>
                <w:b/>
                <w:noProof/>
                <w:sz w:val="20"/>
              </w:rPr>
            </w:pPr>
            <w:r w:rsidRPr="0071228C">
              <w:rPr>
                <w:b/>
                <w:noProof/>
                <w:sz w:val="20"/>
              </w:rPr>
              <w:t>1,447</w:t>
            </w:r>
          </w:p>
        </w:tc>
      </w:tr>
      <w:tr w:rsidR="001C0111" w:rsidRPr="0071228C" w14:paraId="1231C6BF" w14:textId="77777777" w:rsidTr="00EE4772">
        <w:trPr>
          <w:trHeight w:val="585"/>
          <w:jc w:val="center"/>
        </w:trPr>
        <w:tc>
          <w:tcPr>
            <w:tcW w:w="1980" w:type="dxa"/>
            <w:shd w:val="clear" w:color="auto" w:fill="CCCCCC"/>
            <w:vAlign w:val="center"/>
          </w:tcPr>
          <w:p w14:paraId="0BC82DEB" w14:textId="77777777" w:rsidR="001C0111" w:rsidRPr="0071228C" w:rsidRDefault="001C0111" w:rsidP="001C0111">
            <w:pPr>
              <w:spacing w:before="60" w:after="60"/>
              <w:jc w:val="center"/>
              <w:rPr>
                <w:noProof/>
              </w:rPr>
            </w:pPr>
            <w:r w:rsidRPr="0071228C">
              <w:rPr>
                <w:noProof/>
                <w:sz w:val="18"/>
              </w:rPr>
              <w:t>Oddelegowani eksperci krajowi</w:t>
            </w:r>
          </w:p>
        </w:tc>
        <w:tc>
          <w:tcPr>
            <w:tcW w:w="1080" w:type="dxa"/>
            <w:vAlign w:val="center"/>
          </w:tcPr>
          <w:p w14:paraId="1996432D" w14:textId="77777777" w:rsidR="001C0111" w:rsidRPr="0071228C" w:rsidRDefault="001C0111" w:rsidP="001C0111">
            <w:pPr>
              <w:spacing w:before="60" w:after="60"/>
              <w:jc w:val="right"/>
              <w:rPr>
                <w:noProof/>
                <w:sz w:val="20"/>
                <w:lang w:eastAsia="en-GB"/>
              </w:rPr>
            </w:pPr>
          </w:p>
        </w:tc>
        <w:tc>
          <w:tcPr>
            <w:tcW w:w="1080" w:type="dxa"/>
            <w:vAlign w:val="center"/>
          </w:tcPr>
          <w:p w14:paraId="349BCEAB" w14:textId="77777777" w:rsidR="001C0111" w:rsidRPr="0071228C" w:rsidRDefault="001C0111" w:rsidP="001C0111">
            <w:pPr>
              <w:spacing w:before="60" w:after="60"/>
              <w:jc w:val="right"/>
              <w:rPr>
                <w:noProof/>
                <w:sz w:val="20"/>
                <w:lang w:eastAsia="en-GB"/>
              </w:rPr>
            </w:pPr>
          </w:p>
        </w:tc>
        <w:tc>
          <w:tcPr>
            <w:tcW w:w="1080" w:type="dxa"/>
          </w:tcPr>
          <w:p w14:paraId="58544E3C" w14:textId="77777777" w:rsidR="001C0111" w:rsidRPr="0071228C" w:rsidRDefault="001C0111" w:rsidP="001C0111">
            <w:pPr>
              <w:spacing w:before="60" w:after="60"/>
              <w:jc w:val="right"/>
              <w:rPr>
                <w:noProof/>
                <w:sz w:val="20"/>
                <w:lang w:eastAsia="en-GB"/>
              </w:rPr>
            </w:pPr>
          </w:p>
        </w:tc>
        <w:tc>
          <w:tcPr>
            <w:tcW w:w="1080" w:type="dxa"/>
            <w:vAlign w:val="center"/>
          </w:tcPr>
          <w:p w14:paraId="354A4504" w14:textId="77777777" w:rsidR="001C0111" w:rsidRPr="0071228C" w:rsidRDefault="001C0111" w:rsidP="001C0111">
            <w:pPr>
              <w:spacing w:before="60" w:after="60"/>
              <w:jc w:val="right"/>
              <w:rPr>
                <w:noProof/>
                <w:sz w:val="20"/>
                <w:lang w:eastAsia="en-GB"/>
              </w:rPr>
            </w:pPr>
          </w:p>
        </w:tc>
        <w:tc>
          <w:tcPr>
            <w:tcW w:w="1080" w:type="dxa"/>
            <w:vAlign w:val="center"/>
          </w:tcPr>
          <w:p w14:paraId="7D466F89" w14:textId="77777777" w:rsidR="001C0111" w:rsidRPr="0071228C" w:rsidRDefault="001C0111" w:rsidP="001C0111">
            <w:pPr>
              <w:spacing w:before="60" w:after="60"/>
              <w:jc w:val="right"/>
              <w:rPr>
                <w:noProof/>
                <w:sz w:val="20"/>
                <w:lang w:eastAsia="en-GB"/>
              </w:rPr>
            </w:pPr>
          </w:p>
        </w:tc>
      </w:tr>
    </w:tbl>
    <w:p w14:paraId="1AA23720" w14:textId="77777777" w:rsidR="001C0111" w:rsidRPr="0071228C"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71228C" w14:paraId="50CDE288"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C2980C5" w14:textId="77777777" w:rsidR="001C0111" w:rsidRPr="0071228C" w:rsidRDefault="001C0111" w:rsidP="001C0111">
            <w:pPr>
              <w:spacing w:before="60" w:after="60"/>
              <w:jc w:val="center"/>
              <w:rPr>
                <w:noProof/>
                <w:sz w:val="20"/>
              </w:rPr>
            </w:pPr>
            <w:r w:rsidRPr="0071228C">
              <w:rPr>
                <w:b/>
                <w:noProof/>
                <w:sz w:val="20"/>
              </w:rPr>
              <w:t>OGÓŁEM</w:t>
            </w:r>
          </w:p>
        </w:tc>
        <w:tc>
          <w:tcPr>
            <w:tcW w:w="1080" w:type="dxa"/>
            <w:tcBorders>
              <w:top w:val="single" w:sz="12" w:space="0" w:color="auto"/>
              <w:left w:val="single" w:sz="2" w:space="0" w:color="auto"/>
              <w:bottom w:val="single" w:sz="12" w:space="0" w:color="auto"/>
              <w:right w:val="single" w:sz="2" w:space="0" w:color="auto"/>
            </w:tcBorders>
            <w:vAlign w:val="bottom"/>
          </w:tcPr>
          <w:p w14:paraId="3F3DDD9C" w14:textId="77777777" w:rsidR="001C0111" w:rsidRPr="0071228C" w:rsidRDefault="001C0111" w:rsidP="001C0111">
            <w:pPr>
              <w:spacing w:before="60" w:after="60"/>
              <w:jc w:val="right"/>
              <w:rPr>
                <w:b/>
                <w:noProof/>
                <w:szCs w:val="24"/>
              </w:rPr>
            </w:pPr>
            <w:r w:rsidRPr="0071228C">
              <w:rPr>
                <w:b/>
                <w:noProof/>
              </w:rPr>
              <w:t>0,734</w:t>
            </w:r>
          </w:p>
        </w:tc>
        <w:tc>
          <w:tcPr>
            <w:tcW w:w="1080" w:type="dxa"/>
            <w:tcBorders>
              <w:top w:val="single" w:sz="12" w:space="0" w:color="auto"/>
              <w:left w:val="single" w:sz="2" w:space="0" w:color="auto"/>
              <w:bottom w:val="single" w:sz="12" w:space="0" w:color="auto"/>
              <w:right w:val="single" w:sz="2" w:space="0" w:color="auto"/>
            </w:tcBorders>
            <w:vAlign w:val="bottom"/>
          </w:tcPr>
          <w:p w14:paraId="436B6D8F" w14:textId="77777777" w:rsidR="001C0111" w:rsidRPr="0071228C" w:rsidRDefault="001C0111" w:rsidP="001C0111">
            <w:pPr>
              <w:spacing w:before="60" w:after="60"/>
              <w:jc w:val="right"/>
              <w:rPr>
                <w:b/>
                <w:noProof/>
                <w:szCs w:val="24"/>
              </w:rPr>
            </w:pPr>
            <w:r w:rsidRPr="0071228C">
              <w:rPr>
                <w:b/>
                <w:noProof/>
              </w:rPr>
              <w:t>1,498</w:t>
            </w:r>
          </w:p>
        </w:tc>
        <w:tc>
          <w:tcPr>
            <w:tcW w:w="1080" w:type="dxa"/>
            <w:tcBorders>
              <w:top w:val="single" w:sz="12" w:space="0" w:color="auto"/>
              <w:left w:val="single" w:sz="2" w:space="0" w:color="auto"/>
              <w:bottom w:val="single" w:sz="12" w:space="0" w:color="auto"/>
              <w:right w:val="single" w:sz="2" w:space="0" w:color="auto"/>
            </w:tcBorders>
            <w:vAlign w:val="bottom"/>
          </w:tcPr>
          <w:p w14:paraId="0B56D028" w14:textId="77777777" w:rsidR="001C0111" w:rsidRPr="0071228C" w:rsidRDefault="001C0111" w:rsidP="001C0111">
            <w:pPr>
              <w:spacing w:before="60" w:after="60"/>
              <w:jc w:val="center"/>
              <w:rPr>
                <w:b/>
                <w:noProof/>
                <w:szCs w:val="24"/>
              </w:rPr>
            </w:pPr>
            <w:r w:rsidRPr="0071228C">
              <w:rPr>
                <w:b/>
                <w:noProof/>
              </w:rPr>
              <w:t>1,528</w:t>
            </w:r>
          </w:p>
        </w:tc>
        <w:tc>
          <w:tcPr>
            <w:tcW w:w="1080" w:type="dxa"/>
            <w:tcBorders>
              <w:top w:val="single" w:sz="12" w:space="0" w:color="auto"/>
              <w:left w:val="single" w:sz="2" w:space="0" w:color="auto"/>
              <w:bottom w:val="single" w:sz="12" w:space="0" w:color="auto"/>
              <w:right w:val="single" w:sz="2" w:space="0" w:color="auto"/>
            </w:tcBorders>
            <w:vAlign w:val="bottom"/>
          </w:tcPr>
          <w:p w14:paraId="1C7C53C4" w14:textId="77777777" w:rsidR="001C0111" w:rsidRPr="0071228C" w:rsidRDefault="001C0111" w:rsidP="001C0111">
            <w:pPr>
              <w:spacing w:before="60" w:after="60"/>
              <w:jc w:val="right"/>
              <w:rPr>
                <w:b/>
                <w:noProof/>
                <w:szCs w:val="24"/>
              </w:rPr>
            </w:pPr>
            <w:r w:rsidRPr="0071228C">
              <w:rPr>
                <w:b/>
                <w:noProof/>
              </w:rPr>
              <w:t>1,559</w:t>
            </w:r>
          </w:p>
        </w:tc>
        <w:tc>
          <w:tcPr>
            <w:tcW w:w="1080" w:type="dxa"/>
            <w:tcBorders>
              <w:top w:val="single" w:sz="12" w:space="0" w:color="auto"/>
              <w:left w:val="single" w:sz="2" w:space="0" w:color="auto"/>
              <w:bottom w:val="single" w:sz="12" w:space="0" w:color="auto"/>
              <w:right w:val="single" w:sz="2" w:space="0" w:color="auto"/>
            </w:tcBorders>
            <w:vAlign w:val="bottom"/>
          </w:tcPr>
          <w:p w14:paraId="68A659BF" w14:textId="77777777" w:rsidR="001C0111" w:rsidRPr="0071228C" w:rsidRDefault="001C0111" w:rsidP="001C0111">
            <w:pPr>
              <w:spacing w:before="60" w:after="60"/>
              <w:jc w:val="right"/>
              <w:rPr>
                <w:b/>
                <w:noProof/>
                <w:szCs w:val="24"/>
              </w:rPr>
            </w:pPr>
            <w:r w:rsidRPr="0071228C">
              <w:rPr>
                <w:b/>
                <w:noProof/>
              </w:rPr>
              <w:t>5,319</w:t>
            </w:r>
          </w:p>
        </w:tc>
      </w:tr>
    </w:tbl>
    <w:p w14:paraId="057855B3" w14:textId="77777777" w:rsidR="001C0111" w:rsidRPr="0071228C" w:rsidRDefault="001C0111" w:rsidP="001C0111">
      <w:pPr>
        <w:rPr>
          <w:noProof/>
          <w:u w:val="single"/>
          <w:lang w:eastAsia="en-GB"/>
        </w:rPr>
      </w:pPr>
    </w:p>
    <w:p w14:paraId="747C62C8" w14:textId="77777777" w:rsidR="001C0111" w:rsidRPr="0071228C" w:rsidRDefault="001C0111" w:rsidP="001C0111">
      <w:pPr>
        <w:rPr>
          <w:noProof/>
          <w:sz w:val="20"/>
        </w:rPr>
      </w:pPr>
      <w:r w:rsidRPr="0071228C">
        <w:rPr>
          <w:noProof/>
          <w:sz w:val="20"/>
        </w:rPr>
        <w:t>Wymagania dotyczące pracowników (EPC):</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05202EBE" w14:textId="77777777" w:rsidTr="00EE4772">
        <w:trPr>
          <w:trHeight w:val="585"/>
          <w:jc w:val="center"/>
        </w:trPr>
        <w:tc>
          <w:tcPr>
            <w:tcW w:w="1980" w:type="dxa"/>
          </w:tcPr>
          <w:p w14:paraId="62E679AE" w14:textId="77777777" w:rsidR="001C0111" w:rsidRPr="0071228C" w:rsidRDefault="001C0111" w:rsidP="001C0111">
            <w:pPr>
              <w:spacing w:before="60" w:after="60"/>
              <w:rPr>
                <w:noProof/>
                <w:sz w:val="20"/>
                <w:lang w:eastAsia="en-GB"/>
              </w:rPr>
            </w:pPr>
          </w:p>
        </w:tc>
        <w:tc>
          <w:tcPr>
            <w:tcW w:w="1080" w:type="dxa"/>
            <w:vAlign w:val="center"/>
          </w:tcPr>
          <w:p w14:paraId="3ED6FF1F" w14:textId="77777777" w:rsidR="001C0111" w:rsidRPr="0071228C" w:rsidRDefault="001C0111" w:rsidP="001C0111">
            <w:pPr>
              <w:spacing w:before="60" w:after="60"/>
              <w:jc w:val="center"/>
              <w:rPr>
                <w:noProof/>
                <w:sz w:val="20"/>
              </w:rPr>
            </w:pPr>
            <w:r w:rsidRPr="0071228C">
              <w:rPr>
                <w:b/>
                <w:noProof/>
                <w:sz w:val="20"/>
              </w:rPr>
              <w:t>2024</w:t>
            </w:r>
          </w:p>
        </w:tc>
        <w:tc>
          <w:tcPr>
            <w:tcW w:w="1080" w:type="dxa"/>
            <w:vAlign w:val="center"/>
          </w:tcPr>
          <w:p w14:paraId="59062C37" w14:textId="77777777" w:rsidR="001C0111" w:rsidRPr="0071228C" w:rsidRDefault="001C0111" w:rsidP="001C0111">
            <w:pPr>
              <w:spacing w:before="60" w:after="60"/>
              <w:jc w:val="center"/>
              <w:rPr>
                <w:noProof/>
                <w:sz w:val="20"/>
              </w:rPr>
            </w:pPr>
            <w:r w:rsidRPr="0071228C">
              <w:rPr>
                <w:b/>
                <w:noProof/>
                <w:sz w:val="20"/>
              </w:rPr>
              <w:t>2025</w:t>
            </w:r>
          </w:p>
        </w:tc>
        <w:tc>
          <w:tcPr>
            <w:tcW w:w="1080" w:type="dxa"/>
            <w:vAlign w:val="center"/>
          </w:tcPr>
          <w:p w14:paraId="5CDB1FA8" w14:textId="77777777" w:rsidR="001C0111" w:rsidRPr="0071228C" w:rsidRDefault="001C0111" w:rsidP="001C0111">
            <w:pPr>
              <w:spacing w:before="60" w:after="60"/>
              <w:jc w:val="center"/>
              <w:rPr>
                <w:b/>
                <w:noProof/>
                <w:sz w:val="20"/>
              </w:rPr>
            </w:pPr>
            <w:r w:rsidRPr="0071228C">
              <w:rPr>
                <w:b/>
                <w:noProof/>
                <w:sz w:val="20"/>
              </w:rPr>
              <w:t>2026</w:t>
            </w:r>
          </w:p>
        </w:tc>
        <w:tc>
          <w:tcPr>
            <w:tcW w:w="1080" w:type="dxa"/>
            <w:vAlign w:val="center"/>
          </w:tcPr>
          <w:p w14:paraId="5D5A5C87" w14:textId="77777777" w:rsidR="001C0111" w:rsidRPr="0071228C" w:rsidRDefault="001C0111" w:rsidP="001C0111">
            <w:pPr>
              <w:spacing w:before="60" w:after="60"/>
              <w:jc w:val="center"/>
              <w:rPr>
                <w:noProof/>
                <w:sz w:val="20"/>
              </w:rPr>
            </w:pPr>
            <w:r w:rsidRPr="0071228C">
              <w:rPr>
                <w:b/>
                <w:noProof/>
                <w:sz w:val="20"/>
              </w:rPr>
              <w:t>2027</w:t>
            </w:r>
          </w:p>
        </w:tc>
        <w:tc>
          <w:tcPr>
            <w:tcW w:w="1080" w:type="dxa"/>
            <w:vAlign w:val="center"/>
          </w:tcPr>
          <w:p w14:paraId="6E9C817B" w14:textId="77777777" w:rsidR="001C0111" w:rsidRPr="0071228C" w:rsidRDefault="001C0111" w:rsidP="001C0111">
            <w:pPr>
              <w:spacing w:before="60" w:after="60"/>
              <w:jc w:val="center"/>
              <w:rPr>
                <w:b/>
                <w:noProof/>
                <w:sz w:val="20"/>
              </w:rPr>
            </w:pPr>
            <w:r w:rsidRPr="0071228C">
              <w:rPr>
                <w:b/>
                <w:noProof/>
                <w:sz w:val="20"/>
              </w:rPr>
              <w:t>OGÓŁEM</w:t>
            </w:r>
          </w:p>
        </w:tc>
      </w:tr>
    </w:tbl>
    <w:p w14:paraId="3EADE798" w14:textId="77777777" w:rsidR="001C0111" w:rsidRPr="0071228C"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45899A91" w14:textId="77777777" w:rsidTr="00EE4772">
        <w:trPr>
          <w:trHeight w:val="585"/>
          <w:jc w:val="center"/>
        </w:trPr>
        <w:tc>
          <w:tcPr>
            <w:tcW w:w="1980" w:type="dxa"/>
            <w:shd w:val="clear" w:color="auto" w:fill="D9D9D9" w:themeFill="background1" w:themeFillShade="D9"/>
            <w:vAlign w:val="center"/>
          </w:tcPr>
          <w:p w14:paraId="309A9161" w14:textId="77777777" w:rsidR="001C0111" w:rsidRPr="0071228C" w:rsidRDefault="001C0111" w:rsidP="001C0111">
            <w:pPr>
              <w:spacing w:before="60" w:after="60"/>
              <w:jc w:val="center"/>
              <w:rPr>
                <w:noProof/>
                <w:sz w:val="18"/>
              </w:rPr>
            </w:pPr>
            <w:r w:rsidRPr="0071228C">
              <w:rPr>
                <w:noProof/>
                <w:sz w:val="18"/>
              </w:rPr>
              <w:t>Pracownicy zatrudnieni na czas określony (grupy funkcyjne AD) ds. dyrektyw środowiskowych</w:t>
            </w:r>
          </w:p>
        </w:tc>
        <w:tc>
          <w:tcPr>
            <w:tcW w:w="1080" w:type="dxa"/>
            <w:vAlign w:val="center"/>
          </w:tcPr>
          <w:p w14:paraId="34C803F1" w14:textId="77777777" w:rsidR="001C0111" w:rsidRPr="0071228C" w:rsidRDefault="001C0111" w:rsidP="001C0111">
            <w:pPr>
              <w:spacing w:before="60" w:after="60"/>
              <w:jc w:val="right"/>
              <w:rPr>
                <w:noProof/>
                <w:sz w:val="20"/>
              </w:rPr>
            </w:pPr>
            <w:r w:rsidRPr="0071228C">
              <w:rPr>
                <w:noProof/>
                <w:sz w:val="20"/>
              </w:rPr>
              <w:t>7</w:t>
            </w:r>
          </w:p>
        </w:tc>
        <w:tc>
          <w:tcPr>
            <w:tcW w:w="1080" w:type="dxa"/>
            <w:vAlign w:val="center"/>
          </w:tcPr>
          <w:p w14:paraId="784BF5E3" w14:textId="77777777" w:rsidR="001C0111" w:rsidRPr="0071228C" w:rsidRDefault="001C0111" w:rsidP="001C0111">
            <w:pPr>
              <w:spacing w:before="60" w:after="60"/>
              <w:jc w:val="right"/>
              <w:rPr>
                <w:noProof/>
                <w:sz w:val="20"/>
              </w:rPr>
            </w:pPr>
            <w:r w:rsidRPr="0071228C">
              <w:rPr>
                <w:noProof/>
                <w:sz w:val="20"/>
              </w:rPr>
              <w:t>7</w:t>
            </w:r>
          </w:p>
        </w:tc>
        <w:tc>
          <w:tcPr>
            <w:tcW w:w="1080" w:type="dxa"/>
            <w:vAlign w:val="center"/>
          </w:tcPr>
          <w:p w14:paraId="1524EE4B" w14:textId="77777777" w:rsidR="001C0111" w:rsidRPr="0071228C" w:rsidRDefault="001C0111" w:rsidP="001C0111">
            <w:pPr>
              <w:spacing w:before="60" w:after="60"/>
              <w:jc w:val="right"/>
              <w:rPr>
                <w:noProof/>
                <w:sz w:val="20"/>
              </w:rPr>
            </w:pPr>
            <w:r w:rsidRPr="0071228C">
              <w:rPr>
                <w:noProof/>
                <w:sz w:val="20"/>
              </w:rPr>
              <w:t>7</w:t>
            </w:r>
          </w:p>
        </w:tc>
        <w:tc>
          <w:tcPr>
            <w:tcW w:w="1080" w:type="dxa"/>
            <w:vAlign w:val="center"/>
          </w:tcPr>
          <w:p w14:paraId="44D66B38" w14:textId="77777777" w:rsidR="001C0111" w:rsidRPr="0071228C" w:rsidRDefault="001C0111" w:rsidP="001C0111">
            <w:pPr>
              <w:spacing w:before="60" w:after="60"/>
              <w:jc w:val="right"/>
              <w:rPr>
                <w:noProof/>
                <w:sz w:val="20"/>
              </w:rPr>
            </w:pPr>
            <w:r w:rsidRPr="0071228C">
              <w:rPr>
                <w:noProof/>
                <w:sz w:val="20"/>
              </w:rPr>
              <w:t>7</w:t>
            </w:r>
          </w:p>
        </w:tc>
        <w:tc>
          <w:tcPr>
            <w:tcW w:w="1080" w:type="dxa"/>
            <w:vAlign w:val="center"/>
          </w:tcPr>
          <w:p w14:paraId="70DC111E" w14:textId="77777777" w:rsidR="001C0111" w:rsidRPr="0071228C" w:rsidRDefault="001C0111" w:rsidP="001C0111">
            <w:pPr>
              <w:spacing w:before="60" w:after="60"/>
              <w:jc w:val="right"/>
              <w:rPr>
                <w:b/>
                <w:noProof/>
                <w:sz w:val="20"/>
                <w:lang w:eastAsia="en-GB"/>
              </w:rPr>
            </w:pPr>
          </w:p>
        </w:tc>
      </w:tr>
      <w:tr w:rsidR="001C0111" w:rsidRPr="0071228C" w14:paraId="201801B0" w14:textId="77777777" w:rsidTr="00EE4772">
        <w:trPr>
          <w:trHeight w:val="585"/>
          <w:jc w:val="center"/>
        </w:trPr>
        <w:tc>
          <w:tcPr>
            <w:tcW w:w="1980" w:type="dxa"/>
            <w:shd w:val="clear" w:color="auto" w:fill="BFBFBF" w:themeFill="background1" w:themeFillShade="BF"/>
            <w:vAlign w:val="center"/>
          </w:tcPr>
          <w:p w14:paraId="4AFB9174" w14:textId="77777777" w:rsidR="001C0111" w:rsidRPr="0071228C" w:rsidRDefault="001C0111" w:rsidP="001C0111">
            <w:pPr>
              <w:spacing w:before="60" w:after="60"/>
              <w:ind w:left="72"/>
              <w:rPr>
                <w:noProof/>
              </w:rPr>
            </w:pPr>
            <w:r w:rsidRPr="0071228C">
              <w:rPr>
                <w:noProof/>
                <w:sz w:val="20"/>
              </w:rPr>
              <w:t>Pracownicy zatrudnieni na czas określony (grupy zaszeregowania AST)</w:t>
            </w:r>
          </w:p>
        </w:tc>
        <w:tc>
          <w:tcPr>
            <w:tcW w:w="1080" w:type="dxa"/>
            <w:vAlign w:val="center"/>
          </w:tcPr>
          <w:p w14:paraId="3007F4BF" w14:textId="77777777" w:rsidR="001C0111" w:rsidRPr="0071228C" w:rsidRDefault="001C0111" w:rsidP="001C0111">
            <w:pPr>
              <w:spacing w:before="60" w:after="60"/>
              <w:jc w:val="right"/>
              <w:rPr>
                <w:noProof/>
                <w:sz w:val="20"/>
                <w:lang w:eastAsia="en-GB"/>
              </w:rPr>
            </w:pPr>
          </w:p>
        </w:tc>
        <w:tc>
          <w:tcPr>
            <w:tcW w:w="1080" w:type="dxa"/>
            <w:vAlign w:val="center"/>
          </w:tcPr>
          <w:p w14:paraId="3C45028D" w14:textId="77777777" w:rsidR="001C0111" w:rsidRPr="0071228C" w:rsidRDefault="001C0111" w:rsidP="001C0111">
            <w:pPr>
              <w:spacing w:before="60" w:after="60"/>
              <w:jc w:val="right"/>
              <w:rPr>
                <w:noProof/>
                <w:sz w:val="20"/>
                <w:lang w:eastAsia="en-GB"/>
              </w:rPr>
            </w:pPr>
          </w:p>
        </w:tc>
        <w:tc>
          <w:tcPr>
            <w:tcW w:w="1080" w:type="dxa"/>
          </w:tcPr>
          <w:p w14:paraId="3E7FB9C8" w14:textId="77777777" w:rsidR="001C0111" w:rsidRPr="0071228C" w:rsidRDefault="001C0111" w:rsidP="001C0111">
            <w:pPr>
              <w:spacing w:before="60" w:after="60"/>
              <w:jc w:val="right"/>
              <w:rPr>
                <w:noProof/>
                <w:sz w:val="20"/>
                <w:lang w:eastAsia="en-GB"/>
              </w:rPr>
            </w:pPr>
          </w:p>
        </w:tc>
        <w:tc>
          <w:tcPr>
            <w:tcW w:w="1080" w:type="dxa"/>
            <w:vAlign w:val="center"/>
          </w:tcPr>
          <w:p w14:paraId="45071056" w14:textId="77777777" w:rsidR="001C0111" w:rsidRPr="0071228C" w:rsidRDefault="001C0111" w:rsidP="001C0111">
            <w:pPr>
              <w:spacing w:before="60" w:after="60"/>
              <w:jc w:val="right"/>
              <w:rPr>
                <w:noProof/>
                <w:sz w:val="20"/>
                <w:lang w:eastAsia="en-GB"/>
              </w:rPr>
            </w:pPr>
          </w:p>
        </w:tc>
        <w:tc>
          <w:tcPr>
            <w:tcW w:w="1080" w:type="dxa"/>
            <w:vAlign w:val="center"/>
          </w:tcPr>
          <w:p w14:paraId="3B0A958C" w14:textId="77777777" w:rsidR="001C0111" w:rsidRPr="0071228C" w:rsidRDefault="001C0111" w:rsidP="001C0111">
            <w:pPr>
              <w:spacing w:before="60" w:after="60"/>
              <w:jc w:val="right"/>
              <w:rPr>
                <w:b/>
                <w:noProof/>
                <w:sz w:val="20"/>
                <w:lang w:eastAsia="en-GB"/>
              </w:rPr>
            </w:pPr>
          </w:p>
        </w:tc>
      </w:tr>
      <w:tr w:rsidR="001C0111" w:rsidRPr="0071228C" w14:paraId="4F0B6587" w14:textId="77777777" w:rsidTr="00EE4772">
        <w:trPr>
          <w:trHeight w:val="585"/>
          <w:jc w:val="center"/>
        </w:trPr>
        <w:tc>
          <w:tcPr>
            <w:tcW w:w="1980" w:type="dxa"/>
            <w:shd w:val="clear" w:color="auto" w:fill="BFBFBF" w:themeFill="background1" w:themeFillShade="BF"/>
            <w:vAlign w:val="center"/>
          </w:tcPr>
          <w:p w14:paraId="54059102" w14:textId="77777777" w:rsidR="001C0111" w:rsidRPr="0071228C" w:rsidRDefault="001C0111" w:rsidP="001C0111">
            <w:pPr>
              <w:spacing w:before="60" w:after="60"/>
              <w:ind w:left="72"/>
              <w:rPr>
                <w:noProof/>
              </w:rPr>
            </w:pPr>
            <w:r w:rsidRPr="0071228C">
              <w:rPr>
                <w:noProof/>
                <w:sz w:val="20"/>
              </w:rPr>
              <w:t>Personel kontraktowy ds. REACH/CLP</w:t>
            </w:r>
          </w:p>
        </w:tc>
        <w:tc>
          <w:tcPr>
            <w:tcW w:w="1080" w:type="dxa"/>
            <w:shd w:val="clear" w:color="auto" w:fill="auto"/>
            <w:vAlign w:val="center"/>
          </w:tcPr>
          <w:p w14:paraId="7498CBEC" w14:textId="77777777" w:rsidR="001C0111" w:rsidRPr="0071228C" w:rsidRDefault="001C0111" w:rsidP="001C0111">
            <w:pPr>
              <w:spacing w:before="60" w:after="60"/>
              <w:jc w:val="right"/>
              <w:rPr>
                <w:noProof/>
                <w:sz w:val="20"/>
              </w:rPr>
            </w:pPr>
            <w:r w:rsidRPr="0071228C">
              <w:rPr>
                <w:noProof/>
                <w:sz w:val="20"/>
              </w:rPr>
              <w:t>4</w:t>
            </w:r>
          </w:p>
        </w:tc>
        <w:tc>
          <w:tcPr>
            <w:tcW w:w="1080" w:type="dxa"/>
            <w:shd w:val="clear" w:color="auto" w:fill="auto"/>
            <w:vAlign w:val="center"/>
          </w:tcPr>
          <w:p w14:paraId="24D4008A" w14:textId="77777777" w:rsidR="001C0111" w:rsidRPr="0071228C" w:rsidRDefault="001C0111" w:rsidP="001C0111">
            <w:pPr>
              <w:spacing w:before="60" w:after="60"/>
              <w:jc w:val="right"/>
              <w:rPr>
                <w:noProof/>
                <w:sz w:val="20"/>
              </w:rPr>
            </w:pPr>
            <w:r w:rsidRPr="0071228C">
              <w:rPr>
                <w:noProof/>
                <w:sz w:val="20"/>
              </w:rPr>
              <w:t>4</w:t>
            </w:r>
          </w:p>
        </w:tc>
        <w:tc>
          <w:tcPr>
            <w:tcW w:w="1080" w:type="dxa"/>
            <w:shd w:val="clear" w:color="auto" w:fill="auto"/>
            <w:vAlign w:val="center"/>
          </w:tcPr>
          <w:p w14:paraId="742585DF" w14:textId="77777777" w:rsidR="001C0111" w:rsidRPr="0071228C" w:rsidRDefault="001C0111" w:rsidP="001C0111">
            <w:pPr>
              <w:spacing w:before="60" w:after="60"/>
              <w:jc w:val="right"/>
              <w:rPr>
                <w:noProof/>
                <w:sz w:val="20"/>
              </w:rPr>
            </w:pPr>
            <w:r w:rsidRPr="0071228C">
              <w:rPr>
                <w:noProof/>
                <w:sz w:val="20"/>
              </w:rPr>
              <w:t>4</w:t>
            </w:r>
          </w:p>
        </w:tc>
        <w:tc>
          <w:tcPr>
            <w:tcW w:w="1080" w:type="dxa"/>
            <w:shd w:val="clear" w:color="auto" w:fill="auto"/>
            <w:vAlign w:val="center"/>
          </w:tcPr>
          <w:p w14:paraId="5E8DB0C0" w14:textId="77777777" w:rsidR="001C0111" w:rsidRPr="0071228C" w:rsidRDefault="001C0111" w:rsidP="001C0111">
            <w:pPr>
              <w:spacing w:before="60" w:after="60"/>
              <w:jc w:val="right"/>
              <w:rPr>
                <w:noProof/>
                <w:sz w:val="20"/>
              </w:rPr>
            </w:pPr>
            <w:r w:rsidRPr="0071228C">
              <w:rPr>
                <w:noProof/>
                <w:sz w:val="20"/>
              </w:rPr>
              <w:t>4</w:t>
            </w:r>
          </w:p>
        </w:tc>
        <w:tc>
          <w:tcPr>
            <w:tcW w:w="1080" w:type="dxa"/>
            <w:shd w:val="clear" w:color="auto" w:fill="auto"/>
            <w:vAlign w:val="center"/>
          </w:tcPr>
          <w:p w14:paraId="7CC28F96" w14:textId="77777777" w:rsidR="001C0111" w:rsidRPr="0071228C" w:rsidRDefault="001C0111" w:rsidP="001C0111">
            <w:pPr>
              <w:spacing w:before="60" w:after="60"/>
              <w:jc w:val="right"/>
              <w:rPr>
                <w:b/>
                <w:noProof/>
                <w:sz w:val="20"/>
                <w:lang w:eastAsia="en-GB"/>
              </w:rPr>
            </w:pPr>
          </w:p>
        </w:tc>
      </w:tr>
      <w:tr w:rsidR="001C0111" w:rsidRPr="0071228C" w14:paraId="2CBB2906" w14:textId="77777777" w:rsidTr="00EE4772">
        <w:trPr>
          <w:trHeight w:val="585"/>
          <w:jc w:val="center"/>
        </w:trPr>
        <w:tc>
          <w:tcPr>
            <w:tcW w:w="1980" w:type="dxa"/>
            <w:shd w:val="clear" w:color="auto" w:fill="CCCCCC"/>
            <w:vAlign w:val="center"/>
          </w:tcPr>
          <w:p w14:paraId="0342C596" w14:textId="77777777" w:rsidR="001C0111" w:rsidRPr="0071228C" w:rsidRDefault="001C0111" w:rsidP="001C0111">
            <w:pPr>
              <w:spacing w:before="60" w:after="60"/>
              <w:jc w:val="center"/>
              <w:rPr>
                <w:noProof/>
              </w:rPr>
            </w:pPr>
            <w:r w:rsidRPr="0071228C">
              <w:rPr>
                <w:noProof/>
                <w:sz w:val="18"/>
              </w:rPr>
              <w:t>Oddelegowani eksperci krajowi</w:t>
            </w:r>
          </w:p>
        </w:tc>
        <w:tc>
          <w:tcPr>
            <w:tcW w:w="1080" w:type="dxa"/>
            <w:vAlign w:val="center"/>
          </w:tcPr>
          <w:p w14:paraId="33A2C14B" w14:textId="77777777" w:rsidR="001C0111" w:rsidRPr="0071228C" w:rsidRDefault="001C0111" w:rsidP="001C0111">
            <w:pPr>
              <w:spacing w:before="60" w:after="60"/>
              <w:jc w:val="right"/>
              <w:rPr>
                <w:noProof/>
                <w:sz w:val="20"/>
                <w:lang w:eastAsia="en-GB"/>
              </w:rPr>
            </w:pPr>
          </w:p>
        </w:tc>
        <w:tc>
          <w:tcPr>
            <w:tcW w:w="1080" w:type="dxa"/>
            <w:vAlign w:val="center"/>
          </w:tcPr>
          <w:p w14:paraId="05DE1DC3" w14:textId="77777777" w:rsidR="001C0111" w:rsidRPr="0071228C" w:rsidRDefault="001C0111" w:rsidP="001C0111">
            <w:pPr>
              <w:spacing w:before="60" w:after="60"/>
              <w:jc w:val="right"/>
              <w:rPr>
                <w:noProof/>
                <w:sz w:val="20"/>
                <w:lang w:eastAsia="en-GB"/>
              </w:rPr>
            </w:pPr>
          </w:p>
        </w:tc>
        <w:tc>
          <w:tcPr>
            <w:tcW w:w="1080" w:type="dxa"/>
          </w:tcPr>
          <w:p w14:paraId="35287F35" w14:textId="77777777" w:rsidR="001C0111" w:rsidRPr="0071228C" w:rsidRDefault="001C0111" w:rsidP="001C0111">
            <w:pPr>
              <w:spacing w:before="60" w:after="60"/>
              <w:jc w:val="right"/>
              <w:rPr>
                <w:noProof/>
                <w:sz w:val="20"/>
                <w:lang w:eastAsia="en-GB"/>
              </w:rPr>
            </w:pPr>
          </w:p>
        </w:tc>
        <w:tc>
          <w:tcPr>
            <w:tcW w:w="1080" w:type="dxa"/>
            <w:vAlign w:val="center"/>
          </w:tcPr>
          <w:p w14:paraId="6DA4E506" w14:textId="77777777" w:rsidR="001C0111" w:rsidRPr="0071228C" w:rsidRDefault="001C0111" w:rsidP="001C0111">
            <w:pPr>
              <w:spacing w:before="60" w:after="60"/>
              <w:jc w:val="right"/>
              <w:rPr>
                <w:noProof/>
                <w:sz w:val="20"/>
                <w:lang w:eastAsia="en-GB"/>
              </w:rPr>
            </w:pPr>
          </w:p>
        </w:tc>
        <w:tc>
          <w:tcPr>
            <w:tcW w:w="1080" w:type="dxa"/>
            <w:vAlign w:val="center"/>
          </w:tcPr>
          <w:p w14:paraId="69F31009" w14:textId="77777777" w:rsidR="001C0111" w:rsidRPr="0071228C" w:rsidRDefault="001C0111" w:rsidP="001C0111">
            <w:pPr>
              <w:spacing w:before="60" w:after="60"/>
              <w:jc w:val="right"/>
              <w:rPr>
                <w:b/>
                <w:noProof/>
                <w:sz w:val="20"/>
                <w:lang w:eastAsia="en-GB"/>
              </w:rPr>
            </w:pPr>
          </w:p>
        </w:tc>
      </w:tr>
    </w:tbl>
    <w:p w14:paraId="23219968" w14:textId="77777777" w:rsidR="001C0111" w:rsidRPr="0071228C"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71228C" w14:paraId="7AA46E9A"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B06F688" w14:textId="77777777" w:rsidR="001C0111" w:rsidRPr="0071228C" w:rsidRDefault="001C0111" w:rsidP="001C0111">
            <w:pPr>
              <w:spacing w:before="60" w:after="60"/>
              <w:jc w:val="center"/>
              <w:rPr>
                <w:noProof/>
                <w:sz w:val="20"/>
              </w:rPr>
            </w:pPr>
            <w:r w:rsidRPr="0071228C">
              <w:rPr>
                <w:b/>
                <w:noProof/>
                <w:sz w:val="20"/>
              </w:rPr>
              <w:t>OGÓŁEM</w:t>
            </w:r>
          </w:p>
        </w:tc>
        <w:tc>
          <w:tcPr>
            <w:tcW w:w="1080" w:type="dxa"/>
            <w:tcBorders>
              <w:top w:val="single" w:sz="12" w:space="0" w:color="auto"/>
              <w:left w:val="single" w:sz="2" w:space="0" w:color="auto"/>
              <w:bottom w:val="single" w:sz="12" w:space="0" w:color="auto"/>
              <w:right w:val="single" w:sz="2" w:space="0" w:color="auto"/>
            </w:tcBorders>
            <w:vAlign w:val="center"/>
          </w:tcPr>
          <w:p w14:paraId="352CB1BF" w14:textId="77777777" w:rsidR="001C0111" w:rsidRPr="0071228C" w:rsidRDefault="001C0111" w:rsidP="001C0111">
            <w:pPr>
              <w:spacing w:before="60" w:after="60"/>
              <w:jc w:val="right"/>
              <w:rPr>
                <w:b/>
                <w:noProof/>
                <w:sz w:val="20"/>
              </w:rPr>
            </w:pPr>
            <w:r w:rsidRPr="0071228C">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0EABCD46" w14:textId="77777777" w:rsidR="001C0111" w:rsidRPr="0071228C" w:rsidRDefault="001C0111" w:rsidP="001C0111">
            <w:pPr>
              <w:spacing w:before="60" w:after="60"/>
              <w:jc w:val="right"/>
              <w:rPr>
                <w:b/>
                <w:noProof/>
                <w:sz w:val="20"/>
              </w:rPr>
            </w:pPr>
            <w:r w:rsidRPr="0071228C">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6FEEA495" w14:textId="77777777" w:rsidR="001C0111" w:rsidRPr="0071228C" w:rsidRDefault="001C0111" w:rsidP="001C0111">
            <w:pPr>
              <w:spacing w:before="60" w:after="60"/>
              <w:jc w:val="right"/>
              <w:rPr>
                <w:b/>
                <w:noProof/>
                <w:sz w:val="20"/>
              </w:rPr>
            </w:pPr>
            <w:r w:rsidRPr="0071228C">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312CE423" w14:textId="77777777" w:rsidR="001C0111" w:rsidRPr="0071228C" w:rsidRDefault="001C0111" w:rsidP="001C0111">
            <w:pPr>
              <w:spacing w:before="60" w:after="60"/>
              <w:jc w:val="right"/>
              <w:rPr>
                <w:b/>
                <w:noProof/>
                <w:sz w:val="20"/>
              </w:rPr>
            </w:pPr>
            <w:r w:rsidRPr="0071228C">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2238DDDF" w14:textId="77777777" w:rsidR="001C0111" w:rsidRPr="0071228C" w:rsidRDefault="001C0111" w:rsidP="001C0111">
            <w:pPr>
              <w:spacing w:before="60" w:after="60"/>
              <w:jc w:val="right"/>
              <w:rPr>
                <w:b/>
                <w:noProof/>
                <w:sz w:val="20"/>
                <w:lang w:eastAsia="en-GB"/>
              </w:rPr>
            </w:pPr>
          </w:p>
        </w:tc>
      </w:tr>
    </w:tbl>
    <w:p w14:paraId="11340BCD" w14:textId="77777777" w:rsidR="001C0111" w:rsidRPr="0071228C" w:rsidRDefault="001C0111" w:rsidP="001C0111">
      <w:pPr>
        <w:rPr>
          <w:noProof/>
          <w:u w:val="single"/>
          <w:lang w:eastAsia="en-GB"/>
        </w:rPr>
      </w:pPr>
    </w:p>
    <w:p w14:paraId="14B562B6" w14:textId="77777777" w:rsidR="001C0111" w:rsidRPr="0071228C" w:rsidRDefault="001C0111" w:rsidP="002A2DB0">
      <w:pPr>
        <w:keepNext/>
        <w:outlineLvl w:val="3"/>
        <w:rPr>
          <w:rFonts w:eastAsiaTheme="majorEastAsia"/>
          <w:bCs/>
          <w:iCs/>
          <w:noProof/>
        </w:rPr>
      </w:pPr>
      <w:r w:rsidRPr="0071228C">
        <w:rPr>
          <w:noProof/>
        </w:rPr>
        <w:t xml:space="preserve">Szacunkowy wpływ na zasoby ludzkie EEA </w:t>
      </w:r>
    </w:p>
    <w:p w14:paraId="0D988C2E" w14:textId="012B01A8" w:rsidR="001C0111" w:rsidRPr="0071228C" w:rsidRDefault="001C0111" w:rsidP="001C0111">
      <w:pPr>
        <w:ind w:left="850"/>
        <w:rPr>
          <w:noProof/>
        </w:rPr>
      </w:pPr>
      <w:r w:rsidRPr="0071228C">
        <w:rPr>
          <w:rFonts w:ascii="Wingdings" w:hAnsi="Wingdings"/>
          <w:noProof/>
        </w:rPr>
        <w:t></w:t>
      </w:r>
      <w:r w:rsidRPr="0071228C">
        <w:rPr>
          <w:noProof/>
        </w:rPr>
        <w:tab/>
        <w:t>Wniosek/inicjatywa nie wiąże się</w:t>
      </w:r>
      <w:r w:rsidR="00CC55C0" w:rsidRPr="0071228C">
        <w:rPr>
          <w:noProof/>
        </w:rPr>
        <w:t xml:space="preserve"> z</w:t>
      </w:r>
      <w:r w:rsidR="00CC55C0">
        <w:rPr>
          <w:noProof/>
        </w:rPr>
        <w:t> </w:t>
      </w:r>
      <w:r w:rsidR="00CC55C0" w:rsidRPr="0071228C">
        <w:rPr>
          <w:noProof/>
        </w:rPr>
        <w:t>kon</w:t>
      </w:r>
      <w:r w:rsidRPr="0071228C">
        <w:rPr>
          <w:noProof/>
        </w:rPr>
        <w:t xml:space="preserve">iecznością wykorzystania środków administracyjnych </w:t>
      </w:r>
    </w:p>
    <w:p w14:paraId="30466CB2" w14:textId="14915330" w:rsidR="001C0111" w:rsidRPr="0071228C" w:rsidRDefault="001C0111" w:rsidP="001C0111">
      <w:pPr>
        <w:ind w:left="850"/>
        <w:rPr>
          <w:noProof/>
        </w:rPr>
      </w:pPr>
      <w:r w:rsidRPr="0071228C">
        <w:rPr>
          <w:rFonts w:ascii="Wingdings" w:hAnsi="Wingdings"/>
          <w:noProof/>
        </w:rPr>
        <w:t></w:t>
      </w:r>
      <w:r w:rsidRPr="0071228C">
        <w:rPr>
          <w:noProof/>
        </w:rPr>
        <w:tab/>
        <w:t>Wniosek/inicjatywa wiąże się</w:t>
      </w:r>
      <w:r w:rsidR="00CC55C0" w:rsidRPr="0071228C">
        <w:rPr>
          <w:noProof/>
        </w:rPr>
        <w:t xml:space="preserve"> z</w:t>
      </w:r>
      <w:r w:rsidR="00CC55C0">
        <w:rPr>
          <w:noProof/>
        </w:rPr>
        <w:t> </w:t>
      </w:r>
      <w:r w:rsidR="00CC55C0" w:rsidRPr="0071228C">
        <w:rPr>
          <w:noProof/>
        </w:rPr>
        <w:t>kon</w:t>
      </w:r>
      <w:r w:rsidRPr="0071228C">
        <w:rPr>
          <w:noProof/>
        </w:rPr>
        <w:t>iecznością wykorzystania środków administracyjnych, jak określono poniżej:</w:t>
      </w:r>
    </w:p>
    <w:p w14:paraId="18C4B40B" w14:textId="77777777" w:rsidR="001C0111" w:rsidRPr="0071228C" w:rsidRDefault="001C0111" w:rsidP="001C0111">
      <w:pPr>
        <w:rPr>
          <w:noProof/>
          <w:sz w:val="20"/>
        </w:rPr>
      </w:pPr>
      <w:r w:rsidRPr="0071228C">
        <w:rPr>
          <w:noProof/>
          <w:sz w:val="20"/>
        </w:rPr>
        <w:t>w mln EUR (do trzech miejsc po przecinku)</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6CC892D4" w14:textId="77777777" w:rsidTr="00EE4772">
        <w:trPr>
          <w:trHeight w:val="585"/>
          <w:jc w:val="center"/>
        </w:trPr>
        <w:tc>
          <w:tcPr>
            <w:tcW w:w="1980" w:type="dxa"/>
          </w:tcPr>
          <w:p w14:paraId="4D3BD97F" w14:textId="77777777" w:rsidR="001C0111" w:rsidRPr="0071228C" w:rsidRDefault="001C0111" w:rsidP="001C0111">
            <w:pPr>
              <w:spacing w:before="60" w:after="60"/>
              <w:rPr>
                <w:noProof/>
                <w:sz w:val="20"/>
                <w:lang w:eastAsia="en-GB"/>
              </w:rPr>
            </w:pPr>
          </w:p>
        </w:tc>
        <w:tc>
          <w:tcPr>
            <w:tcW w:w="1080" w:type="dxa"/>
            <w:vAlign w:val="center"/>
          </w:tcPr>
          <w:p w14:paraId="0C13AC44" w14:textId="77777777" w:rsidR="001C0111" w:rsidRPr="0071228C" w:rsidRDefault="001C0111" w:rsidP="001C0111">
            <w:pPr>
              <w:spacing w:before="60" w:after="60"/>
              <w:jc w:val="center"/>
              <w:rPr>
                <w:b/>
                <w:noProof/>
                <w:sz w:val="20"/>
              </w:rPr>
            </w:pPr>
            <w:r w:rsidRPr="0071228C">
              <w:rPr>
                <w:b/>
                <w:noProof/>
                <w:sz w:val="20"/>
              </w:rPr>
              <w:t>2024</w:t>
            </w:r>
          </w:p>
        </w:tc>
        <w:tc>
          <w:tcPr>
            <w:tcW w:w="1080" w:type="dxa"/>
            <w:vAlign w:val="center"/>
          </w:tcPr>
          <w:p w14:paraId="69C458FC" w14:textId="77777777" w:rsidR="001C0111" w:rsidRPr="0071228C" w:rsidRDefault="001C0111" w:rsidP="001C0111">
            <w:pPr>
              <w:spacing w:before="60" w:after="60"/>
              <w:jc w:val="center"/>
              <w:rPr>
                <w:b/>
                <w:noProof/>
                <w:sz w:val="20"/>
              </w:rPr>
            </w:pPr>
            <w:r w:rsidRPr="0071228C">
              <w:rPr>
                <w:b/>
                <w:noProof/>
                <w:sz w:val="20"/>
              </w:rPr>
              <w:t>2025</w:t>
            </w:r>
          </w:p>
        </w:tc>
        <w:tc>
          <w:tcPr>
            <w:tcW w:w="1080" w:type="dxa"/>
            <w:vAlign w:val="center"/>
          </w:tcPr>
          <w:p w14:paraId="2C96A2CD" w14:textId="77777777" w:rsidR="001C0111" w:rsidRPr="0071228C" w:rsidRDefault="001C0111" w:rsidP="001C0111">
            <w:pPr>
              <w:spacing w:before="60" w:after="60"/>
              <w:jc w:val="center"/>
              <w:rPr>
                <w:b/>
                <w:noProof/>
                <w:sz w:val="20"/>
              </w:rPr>
            </w:pPr>
            <w:r w:rsidRPr="0071228C">
              <w:rPr>
                <w:b/>
                <w:noProof/>
                <w:sz w:val="20"/>
              </w:rPr>
              <w:t>2026</w:t>
            </w:r>
          </w:p>
        </w:tc>
        <w:tc>
          <w:tcPr>
            <w:tcW w:w="1080" w:type="dxa"/>
            <w:vAlign w:val="center"/>
          </w:tcPr>
          <w:p w14:paraId="29F0517D" w14:textId="77777777" w:rsidR="001C0111" w:rsidRPr="0071228C" w:rsidRDefault="001C0111" w:rsidP="001C0111">
            <w:pPr>
              <w:spacing w:before="60" w:after="60"/>
              <w:jc w:val="center"/>
              <w:rPr>
                <w:b/>
                <w:noProof/>
                <w:sz w:val="20"/>
              </w:rPr>
            </w:pPr>
            <w:r w:rsidRPr="0071228C">
              <w:rPr>
                <w:b/>
                <w:noProof/>
                <w:sz w:val="20"/>
              </w:rPr>
              <w:t>2027</w:t>
            </w:r>
          </w:p>
        </w:tc>
        <w:tc>
          <w:tcPr>
            <w:tcW w:w="1080" w:type="dxa"/>
            <w:vAlign w:val="center"/>
          </w:tcPr>
          <w:p w14:paraId="0372F909" w14:textId="77777777" w:rsidR="001C0111" w:rsidRPr="0071228C" w:rsidRDefault="001C0111" w:rsidP="001C0111">
            <w:pPr>
              <w:jc w:val="center"/>
              <w:rPr>
                <w:b/>
                <w:noProof/>
                <w:sz w:val="20"/>
              </w:rPr>
            </w:pPr>
            <w:r w:rsidRPr="0071228C">
              <w:rPr>
                <w:b/>
                <w:noProof/>
                <w:sz w:val="20"/>
              </w:rPr>
              <w:t>OGÓŁEM</w:t>
            </w:r>
          </w:p>
        </w:tc>
      </w:tr>
    </w:tbl>
    <w:p w14:paraId="65B5B092" w14:textId="77777777" w:rsidR="001C0111" w:rsidRPr="0071228C"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6E3716F6" w14:textId="77777777" w:rsidTr="00EE4772">
        <w:trPr>
          <w:trHeight w:val="585"/>
          <w:jc w:val="center"/>
        </w:trPr>
        <w:tc>
          <w:tcPr>
            <w:tcW w:w="1980" w:type="dxa"/>
            <w:shd w:val="clear" w:color="auto" w:fill="D9D9D9" w:themeFill="background1" w:themeFillShade="D9"/>
            <w:vAlign w:val="center"/>
          </w:tcPr>
          <w:p w14:paraId="0643BE10" w14:textId="77777777" w:rsidR="001C0111" w:rsidRPr="0071228C" w:rsidRDefault="001C0111" w:rsidP="001C0111">
            <w:pPr>
              <w:spacing w:before="60" w:after="60"/>
              <w:jc w:val="center"/>
              <w:rPr>
                <w:noProof/>
              </w:rPr>
            </w:pPr>
            <w:r w:rsidRPr="0071228C">
              <w:rPr>
                <w:noProof/>
                <w:sz w:val="18"/>
              </w:rPr>
              <w:t>Pracownicy zatrudnieni na czas określony (grupy zaszeregowania AD)</w:t>
            </w:r>
          </w:p>
        </w:tc>
        <w:tc>
          <w:tcPr>
            <w:tcW w:w="1080" w:type="dxa"/>
          </w:tcPr>
          <w:p w14:paraId="6FDF2A4D" w14:textId="77777777" w:rsidR="001C0111" w:rsidRPr="0071228C" w:rsidRDefault="001C0111" w:rsidP="001C0111">
            <w:pPr>
              <w:spacing w:before="60" w:after="60"/>
              <w:jc w:val="right"/>
              <w:rPr>
                <w:noProof/>
                <w:sz w:val="22"/>
              </w:rPr>
            </w:pPr>
            <w:r w:rsidRPr="0071228C">
              <w:rPr>
                <w:noProof/>
                <w:sz w:val="22"/>
              </w:rPr>
              <w:t>0,526</w:t>
            </w:r>
          </w:p>
        </w:tc>
        <w:tc>
          <w:tcPr>
            <w:tcW w:w="1080" w:type="dxa"/>
          </w:tcPr>
          <w:p w14:paraId="5F66B88B" w14:textId="77777777" w:rsidR="001C0111" w:rsidRPr="0071228C" w:rsidRDefault="001C0111" w:rsidP="001C0111">
            <w:pPr>
              <w:spacing w:before="60" w:after="60"/>
              <w:jc w:val="right"/>
              <w:rPr>
                <w:noProof/>
                <w:sz w:val="22"/>
              </w:rPr>
            </w:pPr>
            <w:r w:rsidRPr="0071228C">
              <w:rPr>
                <w:noProof/>
                <w:sz w:val="22"/>
              </w:rPr>
              <w:t>1,074</w:t>
            </w:r>
          </w:p>
        </w:tc>
        <w:tc>
          <w:tcPr>
            <w:tcW w:w="1080" w:type="dxa"/>
          </w:tcPr>
          <w:p w14:paraId="02C28DFB" w14:textId="77777777" w:rsidR="001C0111" w:rsidRPr="0071228C" w:rsidRDefault="001C0111" w:rsidP="001C0111">
            <w:pPr>
              <w:spacing w:before="60" w:after="60"/>
              <w:jc w:val="center"/>
              <w:rPr>
                <w:noProof/>
                <w:sz w:val="22"/>
              </w:rPr>
            </w:pPr>
            <w:r w:rsidRPr="0071228C">
              <w:rPr>
                <w:noProof/>
                <w:sz w:val="22"/>
              </w:rPr>
              <w:t>1,095</w:t>
            </w:r>
          </w:p>
        </w:tc>
        <w:tc>
          <w:tcPr>
            <w:tcW w:w="1080" w:type="dxa"/>
          </w:tcPr>
          <w:p w14:paraId="7CCD95B8" w14:textId="77777777" w:rsidR="001C0111" w:rsidRPr="0071228C" w:rsidRDefault="001C0111" w:rsidP="001C0111">
            <w:pPr>
              <w:spacing w:before="60" w:after="60"/>
              <w:jc w:val="right"/>
              <w:rPr>
                <w:noProof/>
                <w:sz w:val="22"/>
              </w:rPr>
            </w:pPr>
            <w:r w:rsidRPr="0071228C">
              <w:rPr>
                <w:noProof/>
                <w:sz w:val="22"/>
              </w:rPr>
              <w:t>1,117</w:t>
            </w:r>
          </w:p>
        </w:tc>
        <w:tc>
          <w:tcPr>
            <w:tcW w:w="1080" w:type="dxa"/>
          </w:tcPr>
          <w:p w14:paraId="75F5B53F" w14:textId="77777777" w:rsidR="001C0111" w:rsidRPr="0071228C" w:rsidRDefault="001C0111" w:rsidP="001C0111">
            <w:pPr>
              <w:spacing w:before="60" w:after="60"/>
              <w:jc w:val="right"/>
              <w:rPr>
                <w:b/>
                <w:noProof/>
                <w:sz w:val="22"/>
              </w:rPr>
            </w:pPr>
            <w:r w:rsidRPr="0071228C">
              <w:rPr>
                <w:b/>
                <w:noProof/>
                <w:sz w:val="22"/>
              </w:rPr>
              <w:t>3,813</w:t>
            </w:r>
          </w:p>
        </w:tc>
      </w:tr>
      <w:tr w:rsidR="001C0111" w:rsidRPr="0071228C" w14:paraId="052DDBA1" w14:textId="77777777" w:rsidTr="00EE4772">
        <w:trPr>
          <w:trHeight w:val="585"/>
          <w:jc w:val="center"/>
        </w:trPr>
        <w:tc>
          <w:tcPr>
            <w:tcW w:w="1980" w:type="dxa"/>
            <w:shd w:val="clear" w:color="auto" w:fill="BFBFBF" w:themeFill="background1" w:themeFillShade="BF"/>
            <w:vAlign w:val="center"/>
          </w:tcPr>
          <w:p w14:paraId="5278DCEB" w14:textId="77777777" w:rsidR="001C0111" w:rsidRPr="0071228C" w:rsidRDefault="001C0111" w:rsidP="001C0111">
            <w:pPr>
              <w:spacing w:before="60" w:after="60"/>
              <w:ind w:left="72"/>
              <w:rPr>
                <w:noProof/>
              </w:rPr>
            </w:pPr>
            <w:r w:rsidRPr="0071228C">
              <w:rPr>
                <w:noProof/>
                <w:sz w:val="20"/>
              </w:rPr>
              <w:t>Pracownicy zatrudnieni na czas określony (grupy zaszeregowania AST)</w:t>
            </w:r>
          </w:p>
        </w:tc>
        <w:tc>
          <w:tcPr>
            <w:tcW w:w="1080" w:type="dxa"/>
            <w:vAlign w:val="center"/>
          </w:tcPr>
          <w:p w14:paraId="01BFFF76" w14:textId="77777777" w:rsidR="001C0111" w:rsidRPr="0071228C" w:rsidRDefault="001C0111" w:rsidP="001C0111">
            <w:pPr>
              <w:spacing w:before="60" w:after="60"/>
              <w:jc w:val="right"/>
              <w:rPr>
                <w:noProof/>
                <w:sz w:val="22"/>
                <w:lang w:eastAsia="en-GB"/>
              </w:rPr>
            </w:pPr>
          </w:p>
        </w:tc>
        <w:tc>
          <w:tcPr>
            <w:tcW w:w="1080" w:type="dxa"/>
            <w:vAlign w:val="center"/>
          </w:tcPr>
          <w:p w14:paraId="3DB80E69" w14:textId="77777777" w:rsidR="001C0111" w:rsidRPr="0071228C" w:rsidRDefault="001C0111" w:rsidP="001C0111">
            <w:pPr>
              <w:spacing w:before="60" w:after="60"/>
              <w:jc w:val="right"/>
              <w:rPr>
                <w:noProof/>
                <w:sz w:val="22"/>
                <w:lang w:eastAsia="en-GB"/>
              </w:rPr>
            </w:pPr>
          </w:p>
        </w:tc>
        <w:tc>
          <w:tcPr>
            <w:tcW w:w="1080" w:type="dxa"/>
          </w:tcPr>
          <w:p w14:paraId="590DA2FE" w14:textId="77777777" w:rsidR="001C0111" w:rsidRPr="0071228C" w:rsidRDefault="001C0111" w:rsidP="001C0111">
            <w:pPr>
              <w:spacing w:before="60" w:after="60"/>
              <w:jc w:val="right"/>
              <w:rPr>
                <w:noProof/>
                <w:sz w:val="22"/>
                <w:lang w:eastAsia="en-GB"/>
              </w:rPr>
            </w:pPr>
          </w:p>
        </w:tc>
        <w:tc>
          <w:tcPr>
            <w:tcW w:w="1080" w:type="dxa"/>
            <w:vAlign w:val="center"/>
          </w:tcPr>
          <w:p w14:paraId="7B32DABD" w14:textId="77777777" w:rsidR="001C0111" w:rsidRPr="0071228C" w:rsidRDefault="001C0111" w:rsidP="001C0111">
            <w:pPr>
              <w:spacing w:before="60" w:after="60"/>
              <w:jc w:val="right"/>
              <w:rPr>
                <w:noProof/>
                <w:sz w:val="22"/>
                <w:lang w:eastAsia="en-GB"/>
              </w:rPr>
            </w:pPr>
          </w:p>
        </w:tc>
        <w:tc>
          <w:tcPr>
            <w:tcW w:w="1080" w:type="dxa"/>
            <w:vAlign w:val="center"/>
          </w:tcPr>
          <w:p w14:paraId="68FE7726" w14:textId="77777777" w:rsidR="001C0111" w:rsidRPr="0071228C" w:rsidRDefault="001C0111" w:rsidP="001C0111">
            <w:pPr>
              <w:spacing w:before="60" w:after="60"/>
              <w:jc w:val="right"/>
              <w:rPr>
                <w:noProof/>
                <w:sz w:val="22"/>
                <w:lang w:eastAsia="en-GB"/>
              </w:rPr>
            </w:pPr>
          </w:p>
        </w:tc>
      </w:tr>
      <w:tr w:rsidR="001C0111" w:rsidRPr="0071228C" w14:paraId="3FA38669" w14:textId="77777777" w:rsidTr="00EE4772">
        <w:trPr>
          <w:trHeight w:val="585"/>
          <w:jc w:val="center"/>
        </w:trPr>
        <w:tc>
          <w:tcPr>
            <w:tcW w:w="1980" w:type="dxa"/>
            <w:shd w:val="clear" w:color="auto" w:fill="BFBFBF" w:themeFill="background1" w:themeFillShade="BF"/>
            <w:vAlign w:val="center"/>
          </w:tcPr>
          <w:p w14:paraId="4B4F5567" w14:textId="77777777" w:rsidR="001C0111" w:rsidRPr="0071228C" w:rsidRDefault="001C0111" w:rsidP="001C0111">
            <w:pPr>
              <w:spacing w:before="60" w:after="60"/>
              <w:ind w:left="72"/>
              <w:rPr>
                <w:noProof/>
                <w:sz w:val="22"/>
              </w:rPr>
            </w:pPr>
            <w:r w:rsidRPr="0071228C">
              <w:rPr>
                <w:noProof/>
                <w:sz w:val="22"/>
              </w:rPr>
              <w:t>Personel kontraktowy</w:t>
            </w:r>
          </w:p>
        </w:tc>
        <w:tc>
          <w:tcPr>
            <w:tcW w:w="1080" w:type="dxa"/>
            <w:shd w:val="clear" w:color="auto" w:fill="auto"/>
            <w:vAlign w:val="bottom"/>
          </w:tcPr>
          <w:p w14:paraId="3D8C26D0" w14:textId="77777777" w:rsidR="001C0111" w:rsidRPr="0071228C" w:rsidRDefault="001C0111" w:rsidP="001C0111">
            <w:pPr>
              <w:spacing w:before="60" w:after="60"/>
              <w:jc w:val="right"/>
              <w:rPr>
                <w:noProof/>
                <w:sz w:val="22"/>
              </w:rPr>
            </w:pPr>
            <w:r w:rsidRPr="0071228C">
              <w:rPr>
                <w:noProof/>
                <w:sz w:val="22"/>
              </w:rPr>
              <w:t>0,171</w:t>
            </w:r>
          </w:p>
        </w:tc>
        <w:tc>
          <w:tcPr>
            <w:tcW w:w="1080" w:type="dxa"/>
            <w:shd w:val="clear" w:color="auto" w:fill="auto"/>
            <w:vAlign w:val="bottom"/>
          </w:tcPr>
          <w:p w14:paraId="44B9BD99" w14:textId="77777777" w:rsidR="001C0111" w:rsidRPr="0071228C" w:rsidRDefault="001C0111" w:rsidP="001C0111">
            <w:pPr>
              <w:spacing w:before="60" w:after="60"/>
              <w:jc w:val="right"/>
              <w:rPr>
                <w:noProof/>
                <w:sz w:val="22"/>
              </w:rPr>
            </w:pPr>
            <w:r w:rsidRPr="0071228C">
              <w:rPr>
                <w:noProof/>
                <w:sz w:val="22"/>
              </w:rPr>
              <w:t>0,349</w:t>
            </w:r>
          </w:p>
        </w:tc>
        <w:tc>
          <w:tcPr>
            <w:tcW w:w="1080" w:type="dxa"/>
            <w:shd w:val="clear" w:color="auto" w:fill="auto"/>
            <w:vAlign w:val="bottom"/>
          </w:tcPr>
          <w:p w14:paraId="24AB6DBA" w14:textId="77777777" w:rsidR="001C0111" w:rsidRPr="0071228C" w:rsidRDefault="001C0111" w:rsidP="001C0111">
            <w:pPr>
              <w:spacing w:before="60" w:after="60"/>
              <w:jc w:val="right"/>
              <w:rPr>
                <w:noProof/>
                <w:sz w:val="22"/>
              </w:rPr>
            </w:pPr>
            <w:r w:rsidRPr="0071228C">
              <w:rPr>
                <w:noProof/>
                <w:sz w:val="22"/>
              </w:rPr>
              <w:t>0,356</w:t>
            </w:r>
          </w:p>
        </w:tc>
        <w:tc>
          <w:tcPr>
            <w:tcW w:w="1080" w:type="dxa"/>
            <w:shd w:val="clear" w:color="auto" w:fill="auto"/>
            <w:vAlign w:val="bottom"/>
          </w:tcPr>
          <w:p w14:paraId="5F9D358F" w14:textId="77777777" w:rsidR="001C0111" w:rsidRPr="0071228C" w:rsidRDefault="001C0111" w:rsidP="001C0111">
            <w:pPr>
              <w:spacing w:before="60" w:after="60"/>
              <w:jc w:val="right"/>
              <w:rPr>
                <w:noProof/>
                <w:sz w:val="22"/>
              </w:rPr>
            </w:pPr>
            <w:r w:rsidRPr="0071228C">
              <w:rPr>
                <w:noProof/>
                <w:sz w:val="22"/>
              </w:rPr>
              <w:t>0,363</w:t>
            </w:r>
          </w:p>
        </w:tc>
        <w:tc>
          <w:tcPr>
            <w:tcW w:w="1080" w:type="dxa"/>
            <w:shd w:val="clear" w:color="auto" w:fill="auto"/>
            <w:vAlign w:val="bottom"/>
          </w:tcPr>
          <w:p w14:paraId="2D1CA99C" w14:textId="77777777" w:rsidR="001C0111" w:rsidRPr="0071228C" w:rsidRDefault="001C0111" w:rsidP="001C0111">
            <w:pPr>
              <w:spacing w:before="60" w:after="60"/>
              <w:jc w:val="right"/>
              <w:rPr>
                <w:noProof/>
                <w:sz w:val="22"/>
              </w:rPr>
            </w:pPr>
            <w:r w:rsidRPr="0071228C">
              <w:rPr>
                <w:b/>
                <w:noProof/>
                <w:sz w:val="22"/>
              </w:rPr>
              <w:t>1,239</w:t>
            </w:r>
          </w:p>
        </w:tc>
      </w:tr>
      <w:tr w:rsidR="001C0111" w:rsidRPr="0071228C" w14:paraId="20D415A7" w14:textId="77777777" w:rsidTr="00EE4772">
        <w:trPr>
          <w:trHeight w:val="585"/>
          <w:jc w:val="center"/>
        </w:trPr>
        <w:tc>
          <w:tcPr>
            <w:tcW w:w="1980" w:type="dxa"/>
            <w:shd w:val="clear" w:color="auto" w:fill="CCCCCC"/>
            <w:vAlign w:val="center"/>
          </w:tcPr>
          <w:p w14:paraId="7F684195" w14:textId="77777777" w:rsidR="001C0111" w:rsidRPr="0071228C" w:rsidRDefault="001C0111" w:rsidP="001C0111">
            <w:pPr>
              <w:spacing w:before="60" w:after="60"/>
              <w:jc w:val="center"/>
              <w:rPr>
                <w:noProof/>
                <w:sz w:val="22"/>
              </w:rPr>
            </w:pPr>
            <w:r w:rsidRPr="0071228C">
              <w:rPr>
                <w:noProof/>
                <w:sz w:val="22"/>
              </w:rPr>
              <w:t>Oddelegowani eksperci krajowi</w:t>
            </w:r>
          </w:p>
        </w:tc>
        <w:tc>
          <w:tcPr>
            <w:tcW w:w="1080" w:type="dxa"/>
            <w:vAlign w:val="center"/>
          </w:tcPr>
          <w:p w14:paraId="5DA8F05B" w14:textId="77777777" w:rsidR="001C0111" w:rsidRPr="0071228C" w:rsidRDefault="001C0111" w:rsidP="001C0111">
            <w:pPr>
              <w:spacing w:before="60" w:after="60"/>
              <w:jc w:val="right"/>
              <w:rPr>
                <w:noProof/>
                <w:sz w:val="22"/>
                <w:lang w:eastAsia="en-GB"/>
              </w:rPr>
            </w:pPr>
          </w:p>
        </w:tc>
        <w:tc>
          <w:tcPr>
            <w:tcW w:w="1080" w:type="dxa"/>
            <w:vAlign w:val="center"/>
          </w:tcPr>
          <w:p w14:paraId="3519BD62" w14:textId="77777777" w:rsidR="001C0111" w:rsidRPr="0071228C" w:rsidRDefault="001C0111" w:rsidP="001C0111">
            <w:pPr>
              <w:spacing w:before="60" w:after="60"/>
              <w:jc w:val="right"/>
              <w:rPr>
                <w:noProof/>
                <w:sz w:val="22"/>
                <w:lang w:eastAsia="en-GB"/>
              </w:rPr>
            </w:pPr>
          </w:p>
        </w:tc>
        <w:tc>
          <w:tcPr>
            <w:tcW w:w="1080" w:type="dxa"/>
          </w:tcPr>
          <w:p w14:paraId="378328C7" w14:textId="77777777" w:rsidR="001C0111" w:rsidRPr="0071228C" w:rsidRDefault="001C0111" w:rsidP="001C0111">
            <w:pPr>
              <w:spacing w:before="60" w:after="60"/>
              <w:jc w:val="right"/>
              <w:rPr>
                <w:noProof/>
                <w:sz w:val="22"/>
                <w:lang w:eastAsia="en-GB"/>
              </w:rPr>
            </w:pPr>
          </w:p>
        </w:tc>
        <w:tc>
          <w:tcPr>
            <w:tcW w:w="1080" w:type="dxa"/>
            <w:vAlign w:val="center"/>
          </w:tcPr>
          <w:p w14:paraId="3DC01B68" w14:textId="77777777" w:rsidR="001C0111" w:rsidRPr="0071228C" w:rsidRDefault="001C0111" w:rsidP="001C0111">
            <w:pPr>
              <w:spacing w:before="60" w:after="60"/>
              <w:jc w:val="right"/>
              <w:rPr>
                <w:noProof/>
                <w:sz w:val="22"/>
                <w:lang w:eastAsia="en-GB"/>
              </w:rPr>
            </w:pPr>
          </w:p>
        </w:tc>
        <w:tc>
          <w:tcPr>
            <w:tcW w:w="1080" w:type="dxa"/>
            <w:vAlign w:val="center"/>
          </w:tcPr>
          <w:p w14:paraId="0DE838B4" w14:textId="77777777" w:rsidR="001C0111" w:rsidRPr="0071228C" w:rsidRDefault="001C0111" w:rsidP="001C0111">
            <w:pPr>
              <w:spacing w:before="60" w:after="60"/>
              <w:jc w:val="right"/>
              <w:rPr>
                <w:noProof/>
                <w:sz w:val="22"/>
                <w:lang w:eastAsia="en-GB"/>
              </w:rPr>
            </w:pPr>
          </w:p>
        </w:tc>
      </w:tr>
    </w:tbl>
    <w:p w14:paraId="034F6D5B" w14:textId="77777777" w:rsidR="001C0111" w:rsidRPr="0071228C" w:rsidRDefault="001C0111" w:rsidP="001C0111">
      <w:pPr>
        <w:rPr>
          <w:noProof/>
          <w:sz w:val="22"/>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71228C" w14:paraId="5574DD2F"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922ECB1" w14:textId="77777777" w:rsidR="001C0111" w:rsidRPr="0071228C" w:rsidRDefault="001C0111" w:rsidP="001C0111">
            <w:pPr>
              <w:spacing w:before="60" w:after="60"/>
              <w:jc w:val="center"/>
              <w:rPr>
                <w:noProof/>
                <w:sz w:val="22"/>
              </w:rPr>
            </w:pPr>
            <w:r w:rsidRPr="0071228C">
              <w:rPr>
                <w:b/>
                <w:noProof/>
                <w:sz w:val="22"/>
              </w:rPr>
              <w:t>OGÓŁEM</w:t>
            </w:r>
          </w:p>
        </w:tc>
        <w:tc>
          <w:tcPr>
            <w:tcW w:w="1080" w:type="dxa"/>
            <w:tcBorders>
              <w:top w:val="single" w:sz="12" w:space="0" w:color="auto"/>
              <w:left w:val="single" w:sz="2" w:space="0" w:color="auto"/>
              <w:bottom w:val="single" w:sz="12" w:space="0" w:color="auto"/>
              <w:right w:val="single" w:sz="2" w:space="0" w:color="auto"/>
            </w:tcBorders>
            <w:vAlign w:val="bottom"/>
          </w:tcPr>
          <w:p w14:paraId="6BDEF15B" w14:textId="77777777" w:rsidR="001C0111" w:rsidRPr="0071228C" w:rsidRDefault="001C0111" w:rsidP="001C0111">
            <w:pPr>
              <w:spacing w:before="60" w:after="60"/>
              <w:jc w:val="right"/>
              <w:rPr>
                <w:b/>
                <w:noProof/>
                <w:sz w:val="22"/>
              </w:rPr>
            </w:pPr>
            <w:r w:rsidRPr="0071228C">
              <w:rPr>
                <w:b/>
                <w:noProof/>
                <w:sz w:val="22"/>
              </w:rPr>
              <w:t>0,697</w:t>
            </w:r>
          </w:p>
        </w:tc>
        <w:tc>
          <w:tcPr>
            <w:tcW w:w="1080" w:type="dxa"/>
            <w:tcBorders>
              <w:top w:val="single" w:sz="12" w:space="0" w:color="auto"/>
              <w:left w:val="single" w:sz="2" w:space="0" w:color="auto"/>
              <w:bottom w:val="single" w:sz="12" w:space="0" w:color="auto"/>
              <w:right w:val="single" w:sz="2" w:space="0" w:color="auto"/>
            </w:tcBorders>
            <w:vAlign w:val="bottom"/>
          </w:tcPr>
          <w:p w14:paraId="62DE2399" w14:textId="77777777" w:rsidR="001C0111" w:rsidRPr="0071228C" w:rsidRDefault="001C0111" w:rsidP="001C0111">
            <w:pPr>
              <w:spacing w:before="60" w:after="60"/>
              <w:jc w:val="right"/>
              <w:rPr>
                <w:b/>
                <w:noProof/>
                <w:sz w:val="22"/>
              </w:rPr>
            </w:pPr>
            <w:r w:rsidRPr="0071228C">
              <w:rPr>
                <w:b/>
                <w:noProof/>
                <w:sz w:val="22"/>
              </w:rPr>
              <w:t>1,423</w:t>
            </w:r>
          </w:p>
        </w:tc>
        <w:tc>
          <w:tcPr>
            <w:tcW w:w="1080" w:type="dxa"/>
            <w:tcBorders>
              <w:top w:val="single" w:sz="12" w:space="0" w:color="auto"/>
              <w:left w:val="single" w:sz="2" w:space="0" w:color="auto"/>
              <w:bottom w:val="single" w:sz="12" w:space="0" w:color="auto"/>
              <w:right w:val="single" w:sz="2" w:space="0" w:color="auto"/>
            </w:tcBorders>
            <w:vAlign w:val="bottom"/>
          </w:tcPr>
          <w:p w14:paraId="7F088204" w14:textId="77777777" w:rsidR="001C0111" w:rsidRPr="0071228C" w:rsidRDefault="001C0111" w:rsidP="001C0111">
            <w:pPr>
              <w:spacing w:before="60" w:after="60"/>
              <w:jc w:val="center"/>
              <w:rPr>
                <w:b/>
                <w:noProof/>
                <w:sz w:val="22"/>
              </w:rPr>
            </w:pPr>
            <w:r w:rsidRPr="0071228C">
              <w:rPr>
                <w:b/>
                <w:noProof/>
                <w:sz w:val="22"/>
              </w:rPr>
              <w:t>1,451</w:t>
            </w:r>
          </w:p>
        </w:tc>
        <w:tc>
          <w:tcPr>
            <w:tcW w:w="1080" w:type="dxa"/>
            <w:tcBorders>
              <w:top w:val="single" w:sz="12" w:space="0" w:color="auto"/>
              <w:left w:val="single" w:sz="2" w:space="0" w:color="auto"/>
              <w:bottom w:val="single" w:sz="12" w:space="0" w:color="auto"/>
              <w:right w:val="single" w:sz="2" w:space="0" w:color="auto"/>
            </w:tcBorders>
            <w:vAlign w:val="bottom"/>
          </w:tcPr>
          <w:p w14:paraId="0470C0B4" w14:textId="77777777" w:rsidR="001C0111" w:rsidRPr="0071228C" w:rsidRDefault="001C0111" w:rsidP="001C0111">
            <w:pPr>
              <w:spacing w:before="60" w:after="60"/>
              <w:jc w:val="right"/>
              <w:rPr>
                <w:b/>
                <w:noProof/>
                <w:sz w:val="22"/>
              </w:rPr>
            </w:pPr>
            <w:r w:rsidRPr="0071228C">
              <w:rPr>
                <w:b/>
                <w:noProof/>
                <w:sz w:val="22"/>
              </w:rPr>
              <w:t>1,480</w:t>
            </w:r>
          </w:p>
        </w:tc>
        <w:tc>
          <w:tcPr>
            <w:tcW w:w="1080" w:type="dxa"/>
            <w:tcBorders>
              <w:top w:val="single" w:sz="12" w:space="0" w:color="auto"/>
              <w:left w:val="single" w:sz="2" w:space="0" w:color="auto"/>
              <w:bottom w:val="single" w:sz="12" w:space="0" w:color="auto"/>
              <w:right w:val="single" w:sz="2" w:space="0" w:color="auto"/>
            </w:tcBorders>
            <w:vAlign w:val="bottom"/>
          </w:tcPr>
          <w:p w14:paraId="749D6692" w14:textId="77777777" w:rsidR="001C0111" w:rsidRPr="0071228C" w:rsidRDefault="001C0111" w:rsidP="001C0111">
            <w:pPr>
              <w:spacing w:before="60" w:after="60"/>
              <w:jc w:val="right"/>
              <w:rPr>
                <w:b/>
                <w:noProof/>
                <w:sz w:val="22"/>
              </w:rPr>
            </w:pPr>
            <w:r w:rsidRPr="0071228C">
              <w:rPr>
                <w:b/>
                <w:noProof/>
                <w:sz w:val="22"/>
              </w:rPr>
              <w:t>5,052</w:t>
            </w:r>
          </w:p>
        </w:tc>
      </w:tr>
    </w:tbl>
    <w:p w14:paraId="7F562E82" w14:textId="77777777" w:rsidR="001C0111" w:rsidRPr="0071228C" w:rsidRDefault="001C0111" w:rsidP="001C0111">
      <w:pPr>
        <w:rPr>
          <w:noProof/>
          <w:u w:val="single"/>
          <w:lang w:eastAsia="en-GB"/>
        </w:rPr>
      </w:pPr>
    </w:p>
    <w:p w14:paraId="28433AA6" w14:textId="77777777" w:rsidR="001C0111" w:rsidRPr="0071228C" w:rsidRDefault="001C0111" w:rsidP="001C0111">
      <w:pPr>
        <w:rPr>
          <w:noProof/>
          <w:sz w:val="20"/>
        </w:rPr>
      </w:pPr>
      <w:r w:rsidRPr="0071228C">
        <w:rPr>
          <w:noProof/>
          <w:sz w:val="20"/>
        </w:rPr>
        <w:t>Wymagania dotyczące pracowników (EPC):</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3F68A327" w14:textId="77777777" w:rsidTr="00EE4772">
        <w:trPr>
          <w:trHeight w:val="585"/>
          <w:jc w:val="center"/>
        </w:trPr>
        <w:tc>
          <w:tcPr>
            <w:tcW w:w="1980" w:type="dxa"/>
          </w:tcPr>
          <w:p w14:paraId="362DAAE0" w14:textId="77777777" w:rsidR="001C0111" w:rsidRPr="0071228C" w:rsidRDefault="001C0111" w:rsidP="001C0111">
            <w:pPr>
              <w:spacing w:before="60" w:after="60"/>
              <w:rPr>
                <w:noProof/>
                <w:sz w:val="20"/>
                <w:lang w:eastAsia="en-GB"/>
              </w:rPr>
            </w:pPr>
          </w:p>
        </w:tc>
        <w:tc>
          <w:tcPr>
            <w:tcW w:w="1080" w:type="dxa"/>
            <w:vAlign w:val="center"/>
          </w:tcPr>
          <w:p w14:paraId="1101328A" w14:textId="77777777" w:rsidR="001C0111" w:rsidRPr="0071228C" w:rsidRDefault="001C0111" w:rsidP="001C0111">
            <w:pPr>
              <w:spacing w:before="60" w:after="60"/>
              <w:jc w:val="center"/>
              <w:rPr>
                <w:noProof/>
                <w:sz w:val="20"/>
              </w:rPr>
            </w:pPr>
            <w:r w:rsidRPr="0071228C">
              <w:rPr>
                <w:b/>
                <w:noProof/>
                <w:sz w:val="20"/>
              </w:rPr>
              <w:t>2024</w:t>
            </w:r>
          </w:p>
        </w:tc>
        <w:tc>
          <w:tcPr>
            <w:tcW w:w="1080" w:type="dxa"/>
            <w:vAlign w:val="center"/>
          </w:tcPr>
          <w:p w14:paraId="75FC7F78" w14:textId="77777777" w:rsidR="001C0111" w:rsidRPr="0071228C" w:rsidRDefault="001C0111" w:rsidP="001C0111">
            <w:pPr>
              <w:spacing w:before="60" w:after="60"/>
              <w:jc w:val="center"/>
              <w:rPr>
                <w:noProof/>
                <w:sz w:val="20"/>
              </w:rPr>
            </w:pPr>
            <w:r w:rsidRPr="0071228C">
              <w:rPr>
                <w:b/>
                <w:noProof/>
                <w:sz w:val="20"/>
              </w:rPr>
              <w:t>2025</w:t>
            </w:r>
          </w:p>
        </w:tc>
        <w:tc>
          <w:tcPr>
            <w:tcW w:w="1080" w:type="dxa"/>
            <w:vAlign w:val="center"/>
          </w:tcPr>
          <w:p w14:paraId="72B3064B" w14:textId="77777777" w:rsidR="001C0111" w:rsidRPr="0071228C" w:rsidRDefault="001C0111" w:rsidP="001C0111">
            <w:pPr>
              <w:spacing w:before="60" w:after="60"/>
              <w:jc w:val="center"/>
              <w:rPr>
                <w:noProof/>
                <w:sz w:val="20"/>
              </w:rPr>
            </w:pPr>
            <w:r w:rsidRPr="0071228C">
              <w:rPr>
                <w:b/>
                <w:noProof/>
                <w:sz w:val="20"/>
              </w:rPr>
              <w:t>2026</w:t>
            </w:r>
          </w:p>
        </w:tc>
        <w:tc>
          <w:tcPr>
            <w:tcW w:w="1080" w:type="dxa"/>
            <w:vAlign w:val="center"/>
          </w:tcPr>
          <w:p w14:paraId="59055412" w14:textId="77777777" w:rsidR="001C0111" w:rsidRPr="0071228C" w:rsidRDefault="001C0111" w:rsidP="001C0111">
            <w:pPr>
              <w:spacing w:before="60" w:after="60"/>
              <w:jc w:val="center"/>
              <w:rPr>
                <w:noProof/>
                <w:sz w:val="20"/>
              </w:rPr>
            </w:pPr>
            <w:r w:rsidRPr="0071228C">
              <w:rPr>
                <w:b/>
                <w:noProof/>
                <w:sz w:val="20"/>
              </w:rPr>
              <w:t>2027</w:t>
            </w:r>
          </w:p>
        </w:tc>
        <w:tc>
          <w:tcPr>
            <w:tcW w:w="1080" w:type="dxa"/>
            <w:vAlign w:val="center"/>
          </w:tcPr>
          <w:p w14:paraId="3C7714E0" w14:textId="77777777" w:rsidR="001C0111" w:rsidRPr="0071228C" w:rsidRDefault="001C0111" w:rsidP="001C0111">
            <w:pPr>
              <w:spacing w:before="60" w:after="60"/>
              <w:jc w:val="center"/>
              <w:rPr>
                <w:b/>
                <w:noProof/>
                <w:sz w:val="20"/>
              </w:rPr>
            </w:pPr>
            <w:r w:rsidRPr="0071228C">
              <w:rPr>
                <w:b/>
                <w:noProof/>
                <w:sz w:val="20"/>
              </w:rPr>
              <w:t>OGÓŁEM</w:t>
            </w:r>
          </w:p>
        </w:tc>
      </w:tr>
    </w:tbl>
    <w:p w14:paraId="2C47D77A" w14:textId="77777777" w:rsidR="001C0111" w:rsidRPr="0071228C"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71228C" w14:paraId="66DF30BB" w14:textId="77777777" w:rsidTr="00EE4772">
        <w:trPr>
          <w:trHeight w:val="585"/>
          <w:jc w:val="center"/>
        </w:trPr>
        <w:tc>
          <w:tcPr>
            <w:tcW w:w="1980" w:type="dxa"/>
            <w:shd w:val="clear" w:color="auto" w:fill="D9D9D9" w:themeFill="background1" w:themeFillShade="D9"/>
            <w:vAlign w:val="center"/>
          </w:tcPr>
          <w:p w14:paraId="5B2221A9" w14:textId="77777777" w:rsidR="001C0111" w:rsidRPr="0071228C" w:rsidRDefault="001C0111" w:rsidP="001C0111">
            <w:pPr>
              <w:spacing w:before="60" w:after="60"/>
              <w:jc w:val="center"/>
              <w:rPr>
                <w:noProof/>
              </w:rPr>
            </w:pPr>
            <w:r w:rsidRPr="0071228C">
              <w:rPr>
                <w:noProof/>
                <w:sz w:val="18"/>
              </w:rPr>
              <w:t>Pracownicy zatrudnieni na czas określony (grupy zaszeregowania AD)</w:t>
            </w:r>
          </w:p>
        </w:tc>
        <w:tc>
          <w:tcPr>
            <w:tcW w:w="1080" w:type="dxa"/>
            <w:vAlign w:val="center"/>
          </w:tcPr>
          <w:p w14:paraId="47722F07" w14:textId="77777777" w:rsidR="001C0111" w:rsidRPr="0071228C" w:rsidRDefault="001C0111" w:rsidP="001C0111">
            <w:pPr>
              <w:spacing w:before="60" w:after="60"/>
              <w:jc w:val="right"/>
              <w:rPr>
                <w:noProof/>
                <w:sz w:val="20"/>
              </w:rPr>
            </w:pPr>
            <w:r w:rsidRPr="0071228C">
              <w:rPr>
                <w:noProof/>
                <w:sz w:val="20"/>
              </w:rPr>
              <w:t>5</w:t>
            </w:r>
          </w:p>
        </w:tc>
        <w:tc>
          <w:tcPr>
            <w:tcW w:w="1080" w:type="dxa"/>
            <w:vAlign w:val="center"/>
          </w:tcPr>
          <w:p w14:paraId="02830932" w14:textId="77777777" w:rsidR="001C0111" w:rsidRPr="0071228C" w:rsidRDefault="001C0111" w:rsidP="001C0111">
            <w:pPr>
              <w:spacing w:before="60" w:after="60"/>
              <w:jc w:val="right"/>
              <w:rPr>
                <w:noProof/>
                <w:sz w:val="20"/>
              </w:rPr>
            </w:pPr>
            <w:r w:rsidRPr="0071228C">
              <w:rPr>
                <w:noProof/>
                <w:sz w:val="20"/>
              </w:rPr>
              <w:t>5</w:t>
            </w:r>
          </w:p>
        </w:tc>
        <w:tc>
          <w:tcPr>
            <w:tcW w:w="1080" w:type="dxa"/>
            <w:vAlign w:val="center"/>
          </w:tcPr>
          <w:p w14:paraId="78047AFC" w14:textId="77777777" w:rsidR="001C0111" w:rsidRPr="0071228C" w:rsidRDefault="001C0111" w:rsidP="001C0111">
            <w:pPr>
              <w:spacing w:before="60" w:after="60"/>
              <w:jc w:val="right"/>
              <w:rPr>
                <w:noProof/>
                <w:sz w:val="20"/>
              </w:rPr>
            </w:pPr>
            <w:r w:rsidRPr="0071228C">
              <w:rPr>
                <w:noProof/>
                <w:sz w:val="20"/>
              </w:rPr>
              <w:t>5</w:t>
            </w:r>
          </w:p>
        </w:tc>
        <w:tc>
          <w:tcPr>
            <w:tcW w:w="1080" w:type="dxa"/>
            <w:vAlign w:val="center"/>
          </w:tcPr>
          <w:p w14:paraId="5EEEFBC0" w14:textId="77777777" w:rsidR="001C0111" w:rsidRPr="0071228C" w:rsidRDefault="001C0111" w:rsidP="001C0111">
            <w:pPr>
              <w:spacing w:before="60" w:after="60"/>
              <w:jc w:val="right"/>
              <w:rPr>
                <w:noProof/>
                <w:sz w:val="20"/>
              </w:rPr>
            </w:pPr>
            <w:r w:rsidRPr="0071228C">
              <w:rPr>
                <w:noProof/>
                <w:sz w:val="20"/>
              </w:rPr>
              <w:t>5</w:t>
            </w:r>
          </w:p>
        </w:tc>
        <w:tc>
          <w:tcPr>
            <w:tcW w:w="1080" w:type="dxa"/>
            <w:vAlign w:val="center"/>
          </w:tcPr>
          <w:p w14:paraId="113CDC61" w14:textId="77777777" w:rsidR="001C0111" w:rsidRPr="0071228C" w:rsidRDefault="001C0111" w:rsidP="001C0111">
            <w:pPr>
              <w:spacing w:before="60" w:after="60"/>
              <w:jc w:val="right"/>
              <w:rPr>
                <w:b/>
                <w:noProof/>
                <w:sz w:val="20"/>
                <w:lang w:eastAsia="en-GB"/>
              </w:rPr>
            </w:pPr>
          </w:p>
        </w:tc>
      </w:tr>
      <w:tr w:rsidR="001C0111" w:rsidRPr="0071228C" w14:paraId="31DC4431" w14:textId="77777777" w:rsidTr="00EE4772">
        <w:trPr>
          <w:trHeight w:val="585"/>
          <w:jc w:val="center"/>
        </w:trPr>
        <w:tc>
          <w:tcPr>
            <w:tcW w:w="1980" w:type="dxa"/>
            <w:shd w:val="clear" w:color="auto" w:fill="BFBFBF" w:themeFill="background1" w:themeFillShade="BF"/>
            <w:vAlign w:val="center"/>
          </w:tcPr>
          <w:p w14:paraId="1B5D5851" w14:textId="77777777" w:rsidR="001C0111" w:rsidRPr="0071228C" w:rsidRDefault="001C0111" w:rsidP="001C0111">
            <w:pPr>
              <w:spacing w:before="60" w:after="60"/>
              <w:ind w:left="72"/>
              <w:rPr>
                <w:noProof/>
              </w:rPr>
            </w:pPr>
            <w:r w:rsidRPr="0071228C">
              <w:rPr>
                <w:noProof/>
                <w:sz w:val="20"/>
              </w:rPr>
              <w:t>Pracownicy zatrudnieni na czas określony (grupy zaszeregowania AST)</w:t>
            </w:r>
          </w:p>
        </w:tc>
        <w:tc>
          <w:tcPr>
            <w:tcW w:w="1080" w:type="dxa"/>
            <w:vAlign w:val="center"/>
          </w:tcPr>
          <w:p w14:paraId="6711E1DB" w14:textId="77777777" w:rsidR="001C0111" w:rsidRPr="0071228C" w:rsidRDefault="001C0111" w:rsidP="001C0111">
            <w:pPr>
              <w:spacing w:before="60" w:after="60"/>
              <w:jc w:val="right"/>
              <w:rPr>
                <w:noProof/>
                <w:sz w:val="20"/>
                <w:lang w:eastAsia="en-GB"/>
              </w:rPr>
            </w:pPr>
          </w:p>
        </w:tc>
        <w:tc>
          <w:tcPr>
            <w:tcW w:w="1080" w:type="dxa"/>
            <w:vAlign w:val="center"/>
          </w:tcPr>
          <w:p w14:paraId="341284DF" w14:textId="77777777" w:rsidR="001C0111" w:rsidRPr="0071228C" w:rsidRDefault="001C0111" w:rsidP="001C0111">
            <w:pPr>
              <w:spacing w:before="60" w:after="60"/>
              <w:jc w:val="right"/>
              <w:rPr>
                <w:noProof/>
                <w:sz w:val="20"/>
                <w:lang w:eastAsia="en-GB"/>
              </w:rPr>
            </w:pPr>
          </w:p>
        </w:tc>
        <w:tc>
          <w:tcPr>
            <w:tcW w:w="1080" w:type="dxa"/>
            <w:vAlign w:val="center"/>
          </w:tcPr>
          <w:p w14:paraId="45803195" w14:textId="77777777" w:rsidR="001C0111" w:rsidRPr="0071228C" w:rsidRDefault="001C0111" w:rsidP="001C0111">
            <w:pPr>
              <w:spacing w:before="60" w:after="60"/>
              <w:jc w:val="right"/>
              <w:rPr>
                <w:noProof/>
                <w:sz w:val="20"/>
                <w:lang w:eastAsia="en-GB"/>
              </w:rPr>
            </w:pPr>
          </w:p>
        </w:tc>
        <w:tc>
          <w:tcPr>
            <w:tcW w:w="1080" w:type="dxa"/>
            <w:vAlign w:val="center"/>
          </w:tcPr>
          <w:p w14:paraId="61FB0169" w14:textId="77777777" w:rsidR="001C0111" w:rsidRPr="0071228C" w:rsidRDefault="001C0111" w:rsidP="001C0111">
            <w:pPr>
              <w:spacing w:before="60" w:after="60"/>
              <w:jc w:val="right"/>
              <w:rPr>
                <w:noProof/>
                <w:sz w:val="20"/>
                <w:lang w:eastAsia="en-GB"/>
              </w:rPr>
            </w:pPr>
          </w:p>
        </w:tc>
        <w:tc>
          <w:tcPr>
            <w:tcW w:w="1080" w:type="dxa"/>
            <w:vAlign w:val="center"/>
          </w:tcPr>
          <w:p w14:paraId="757202A4" w14:textId="77777777" w:rsidR="001C0111" w:rsidRPr="0071228C" w:rsidRDefault="001C0111" w:rsidP="001C0111">
            <w:pPr>
              <w:spacing w:before="60" w:after="60"/>
              <w:jc w:val="right"/>
              <w:rPr>
                <w:b/>
                <w:noProof/>
                <w:sz w:val="20"/>
                <w:lang w:eastAsia="en-GB"/>
              </w:rPr>
            </w:pPr>
          </w:p>
        </w:tc>
      </w:tr>
      <w:tr w:rsidR="001C0111" w:rsidRPr="0071228C" w14:paraId="4F8DE103" w14:textId="77777777" w:rsidTr="00EE4772">
        <w:trPr>
          <w:trHeight w:val="585"/>
          <w:jc w:val="center"/>
        </w:trPr>
        <w:tc>
          <w:tcPr>
            <w:tcW w:w="1980" w:type="dxa"/>
            <w:shd w:val="clear" w:color="auto" w:fill="BFBFBF" w:themeFill="background1" w:themeFillShade="BF"/>
            <w:vAlign w:val="center"/>
          </w:tcPr>
          <w:p w14:paraId="6A30D3F4" w14:textId="77777777" w:rsidR="001C0111" w:rsidRPr="0071228C" w:rsidRDefault="001C0111" w:rsidP="001C0111">
            <w:pPr>
              <w:spacing w:before="60" w:after="60"/>
              <w:ind w:left="72"/>
              <w:rPr>
                <w:noProof/>
              </w:rPr>
            </w:pPr>
            <w:r w:rsidRPr="0071228C">
              <w:rPr>
                <w:noProof/>
                <w:sz w:val="20"/>
              </w:rPr>
              <w:t>Personel kontraktowy</w:t>
            </w:r>
          </w:p>
        </w:tc>
        <w:tc>
          <w:tcPr>
            <w:tcW w:w="1080" w:type="dxa"/>
            <w:shd w:val="clear" w:color="auto" w:fill="auto"/>
            <w:vAlign w:val="center"/>
          </w:tcPr>
          <w:p w14:paraId="6E4034C5" w14:textId="77777777" w:rsidR="001C0111" w:rsidRPr="0071228C" w:rsidRDefault="001C0111" w:rsidP="001C0111">
            <w:pPr>
              <w:spacing w:before="60" w:after="60"/>
              <w:jc w:val="right"/>
              <w:rPr>
                <w:noProof/>
                <w:sz w:val="20"/>
              </w:rPr>
            </w:pPr>
            <w:r w:rsidRPr="0071228C">
              <w:rPr>
                <w:noProof/>
                <w:sz w:val="20"/>
              </w:rPr>
              <w:t>3</w:t>
            </w:r>
          </w:p>
        </w:tc>
        <w:tc>
          <w:tcPr>
            <w:tcW w:w="1080" w:type="dxa"/>
            <w:shd w:val="clear" w:color="auto" w:fill="auto"/>
            <w:vAlign w:val="center"/>
          </w:tcPr>
          <w:p w14:paraId="30355072" w14:textId="77777777" w:rsidR="001C0111" w:rsidRPr="0071228C" w:rsidRDefault="001C0111" w:rsidP="001C0111">
            <w:pPr>
              <w:spacing w:before="60" w:after="60"/>
              <w:jc w:val="right"/>
              <w:rPr>
                <w:noProof/>
                <w:sz w:val="20"/>
              </w:rPr>
            </w:pPr>
            <w:r w:rsidRPr="0071228C">
              <w:rPr>
                <w:noProof/>
                <w:sz w:val="20"/>
              </w:rPr>
              <w:t>3</w:t>
            </w:r>
          </w:p>
        </w:tc>
        <w:tc>
          <w:tcPr>
            <w:tcW w:w="1080" w:type="dxa"/>
            <w:shd w:val="clear" w:color="auto" w:fill="auto"/>
            <w:vAlign w:val="center"/>
          </w:tcPr>
          <w:p w14:paraId="085BE807" w14:textId="77777777" w:rsidR="001C0111" w:rsidRPr="0071228C" w:rsidRDefault="001C0111" w:rsidP="001C0111">
            <w:pPr>
              <w:spacing w:before="60" w:after="60"/>
              <w:jc w:val="right"/>
              <w:rPr>
                <w:noProof/>
                <w:sz w:val="20"/>
              </w:rPr>
            </w:pPr>
            <w:r w:rsidRPr="0071228C">
              <w:rPr>
                <w:noProof/>
                <w:sz w:val="20"/>
              </w:rPr>
              <w:t>3</w:t>
            </w:r>
          </w:p>
        </w:tc>
        <w:tc>
          <w:tcPr>
            <w:tcW w:w="1080" w:type="dxa"/>
            <w:shd w:val="clear" w:color="auto" w:fill="auto"/>
            <w:vAlign w:val="center"/>
          </w:tcPr>
          <w:p w14:paraId="48E11A60" w14:textId="77777777" w:rsidR="001C0111" w:rsidRPr="0071228C" w:rsidRDefault="001C0111" w:rsidP="001C0111">
            <w:pPr>
              <w:spacing w:before="60" w:after="60"/>
              <w:jc w:val="right"/>
              <w:rPr>
                <w:noProof/>
                <w:sz w:val="20"/>
              </w:rPr>
            </w:pPr>
            <w:r w:rsidRPr="0071228C">
              <w:rPr>
                <w:noProof/>
                <w:sz w:val="20"/>
              </w:rPr>
              <w:t>3</w:t>
            </w:r>
          </w:p>
        </w:tc>
        <w:tc>
          <w:tcPr>
            <w:tcW w:w="1080" w:type="dxa"/>
            <w:shd w:val="clear" w:color="auto" w:fill="auto"/>
            <w:vAlign w:val="center"/>
          </w:tcPr>
          <w:p w14:paraId="7EBDB9CD" w14:textId="77777777" w:rsidR="001C0111" w:rsidRPr="0071228C" w:rsidRDefault="001C0111" w:rsidP="001C0111">
            <w:pPr>
              <w:spacing w:before="60" w:after="60"/>
              <w:jc w:val="right"/>
              <w:rPr>
                <w:b/>
                <w:noProof/>
                <w:sz w:val="20"/>
                <w:lang w:eastAsia="en-GB"/>
              </w:rPr>
            </w:pPr>
          </w:p>
        </w:tc>
      </w:tr>
      <w:tr w:rsidR="001C0111" w:rsidRPr="0071228C" w14:paraId="12D02200" w14:textId="77777777" w:rsidTr="00EE4772">
        <w:trPr>
          <w:trHeight w:val="585"/>
          <w:jc w:val="center"/>
        </w:trPr>
        <w:tc>
          <w:tcPr>
            <w:tcW w:w="1980" w:type="dxa"/>
            <w:shd w:val="clear" w:color="auto" w:fill="CCCCCC"/>
            <w:vAlign w:val="center"/>
          </w:tcPr>
          <w:p w14:paraId="10FE0D87" w14:textId="77777777" w:rsidR="001C0111" w:rsidRPr="0071228C" w:rsidRDefault="001C0111" w:rsidP="001C0111">
            <w:pPr>
              <w:spacing w:before="60" w:after="60"/>
              <w:jc w:val="center"/>
              <w:rPr>
                <w:noProof/>
              </w:rPr>
            </w:pPr>
            <w:r w:rsidRPr="0071228C">
              <w:rPr>
                <w:noProof/>
                <w:sz w:val="18"/>
              </w:rPr>
              <w:t>Oddelegowani eksperci krajowi</w:t>
            </w:r>
          </w:p>
        </w:tc>
        <w:tc>
          <w:tcPr>
            <w:tcW w:w="1080" w:type="dxa"/>
            <w:vAlign w:val="center"/>
          </w:tcPr>
          <w:p w14:paraId="7D59BAEC" w14:textId="77777777" w:rsidR="001C0111" w:rsidRPr="0071228C" w:rsidRDefault="001C0111" w:rsidP="001C0111">
            <w:pPr>
              <w:spacing w:before="60" w:after="60"/>
              <w:jc w:val="right"/>
              <w:rPr>
                <w:noProof/>
                <w:sz w:val="20"/>
                <w:lang w:eastAsia="en-GB"/>
              </w:rPr>
            </w:pPr>
          </w:p>
        </w:tc>
        <w:tc>
          <w:tcPr>
            <w:tcW w:w="1080" w:type="dxa"/>
            <w:vAlign w:val="center"/>
          </w:tcPr>
          <w:p w14:paraId="7664E97D" w14:textId="77777777" w:rsidR="001C0111" w:rsidRPr="0071228C" w:rsidRDefault="001C0111" w:rsidP="001C0111">
            <w:pPr>
              <w:spacing w:before="60" w:after="60"/>
              <w:jc w:val="right"/>
              <w:rPr>
                <w:noProof/>
                <w:sz w:val="20"/>
                <w:lang w:eastAsia="en-GB"/>
              </w:rPr>
            </w:pPr>
          </w:p>
        </w:tc>
        <w:tc>
          <w:tcPr>
            <w:tcW w:w="1080" w:type="dxa"/>
            <w:vAlign w:val="center"/>
          </w:tcPr>
          <w:p w14:paraId="185E670F" w14:textId="77777777" w:rsidR="001C0111" w:rsidRPr="0071228C" w:rsidRDefault="001C0111" w:rsidP="001C0111">
            <w:pPr>
              <w:spacing w:before="60" w:after="60"/>
              <w:jc w:val="right"/>
              <w:rPr>
                <w:noProof/>
                <w:sz w:val="20"/>
                <w:lang w:eastAsia="en-GB"/>
              </w:rPr>
            </w:pPr>
          </w:p>
        </w:tc>
        <w:tc>
          <w:tcPr>
            <w:tcW w:w="1080" w:type="dxa"/>
            <w:vAlign w:val="center"/>
          </w:tcPr>
          <w:p w14:paraId="78A46DA8" w14:textId="77777777" w:rsidR="001C0111" w:rsidRPr="0071228C" w:rsidRDefault="001C0111" w:rsidP="001C0111">
            <w:pPr>
              <w:spacing w:before="60" w:after="60"/>
              <w:jc w:val="right"/>
              <w:rPr>
                <w:noProof/>
                <w:sz w:val="20"/>
                <w:lang w:eastAsia="en-GB"/>
              </w:rPr>
            </w:pPr>
          </w:p>
        </w:tc>
        <w:tc>
          <w:tcPr>
            <w:tcW w:w="1080" w:type="dxa"/>
            <w:vAlign w:val="center"/>
          </w:tcPr>
          <w:p w14:paraId="570FC39C" w14:textId="77777777" w:rsidR="001C0111" w:rsidRPr="0071228C" w:rsidRDefault="001C0111" w:rsidP="001C0111">
            <w:pPr>
              <w:spacing w:before="60" w:after="60"/>
              <w:jc w:val="right"/>
              <w:rPr>
                <w:b/>
                <w:noProof/>
                <w:sz w:val="20"/>
                <w:lang w:eastAsia="en-GB"/>
              </w:rPr>
            </w:pPr>
          </w:p>
        </w:tc>
      </w:tr>
    </w:tbl>
    <w:p w14:paraId="55B503CF" w14:textId="77777777" w:rsidR="001C0111" w:rsidRPr="0071228C"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71228C" w14:paraId="350FAB34"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C6003AD" w14:textId="77777777" w:rsidR="001C0111" w:rsidRPr="0071228C" w:rsidRDefault="001C0111" w:rsidP="001C0111">
            <w:pPr>
              <w:spacing w:before="60" w:after="60"/>
              <w:jc w:val="center"/>
              <w:rPr>
                <w:noProof/>
                <w:sz w:val="20"/>
              </w:rPr>
            </w:pPr>
            <w:r w:rsidRPr="0071228C">
              <w:rPr>
                <w:b/>
                <w:noProof/>
                <w:sz w:val="20"/>
              </w:rPr>
              <w:t>OGÓŁEM</w:t>
            </w:r>
          </w:p>
        </w:tc>
        <w:tc>
          <w:tcPr>
            <w:tcW w:w="1080" w:type="dxa"/>
            <w:tcBorders>
              <w:top w:val="single" w:sz="12" w:space="0" w:color="auto"/>
              <w:left w:val="single" w:sz="2" w:space="0" w:color="auto"/>
              <w:bottom w:val="single" w:sz="12" w:space="0" w:color="auto"/>
              <w:right w:val="single" w:sz="2" w:space="0" w:color="auto"/>
            </w:tcBorders>
            <w:vAlign w:val="center"/>
          </w:tcPr>
          <w:p w14:paraId="2A79D7C5" w14:textId="77777777" w:rsidR="001C0111" w:rsidRPr="0071228C" w:rsidRDefault="001C0111" w:rsidP="001C0111">
            <w:pPr>
              <w:spacing w:before="60" w:after="60"/>
              <w:jc w:val="right"/>
              <w:rPr>
                <w:b/>
                <w:noProof/>
                <w:sz w:val="20"/>
              </w:rPr>
            </w:pPr>
            <w:r w:rsidRPr="0071228C">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1F5764D4" w14:textId="77777777" w:rsidR="001C0111" w:rsidRPr="0071228C" w:rsidRDefault="001C0111" w:rsidP="001C0111">
            <w:pPr>
              <w:spacing w:before="60" w:after="60"/>
              <w:jc w:val="right"/>
              <w:rPr>
                <w:b/>
                <w:noProof/>
                <w:sz w:val="20"/>
              </w:rPr>
            </w:pPr>
            <w:r w:rsidRPr="0071228C">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76C3DEB2" w14:textId="77777777" w:rsidR="001C0111" w:rsidRPr="0071228C" w:rsidRDefault="001C0111" w:rsidP="001C0111">
            <w:pPr>
              <w:spacing w:before="60" w:after="60"/>
              <w:jc w:val="right"/>
              <w:rPr>
                <w:b/>
                <w:noProof/>
                <w:sz w:val="20"/>
              </w:rPr>
            </w:pPr>
            <w:r w:rsidRPr="0071228C">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53435005" w14:textId="77777777" w:rsidR="001C0111" w:rsidRPr="0071228C" w:rsidRDefault="001C0111" w:rsidP="001C0111">
            <w:pPr>
              <w:spacing w:before="60" w:after="60"/>
              <w:jc w:val="right"/>
              <w:rPr>
                <w:b/>
                <w:noProof/>
                <w:sz w:val="20"/>
              </w:rPr>
            </w:pPr>
            <w:r w:rsidRPr="0071228C">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5861A54F" w14:textId="77777777" w:rsidR="001C0111" w:rsidRPr="0071228C" w:rsidRDefault="001C0111" w:rsidP="001C0111">
            <w:pPr>
              <w:spacing w:before="60" w:after="60"/>
              <w:jc w:val="right"/>
              <w:rPr>
                <w:b/>
                <w:noProof/>
                <w:sz w:val="20"/>
                <w:lang w:eastAsia="en-GB"/>
              </w:rPr>
            </w:pPr>
          </w:p>
        </w:tc>
      </w:tr>
    </w:tbl>
    <w:p w14:paraId="3527CC1F" w14:textId="77777777" w:rsidR="001C0111" w:rsidRPr="0071228C" w:rsidRDefault="001C0111" w:rsidP="001C0111">
      <w:pPr>
        <w:rPr>
          <w:noProof/>
          <w:highlight w:val="magenta"/>
          <w:u w:val="single"/>
          <w:lang w:eastAsia="en-GB"/>
        </w:rPr>
      </w:pPr>
    </w:p>
    <w:p w14:paraId="52CEA01F" w14:textId="77777777" w:rsidR="001C0111" w:rsidRPr="0071228C" w:rsidRDefault="001C0111" w:rsidP="001C0111">
      <w:pPr>
        <w:rPr>
          <w:noProof/>
          <w:highlight w:val="magenta"/>
          <w:u w:val="single"/>
          <w:lang w:eastAsia="en-GB"/>
        </w:rPr>
      </w:pPr>
    </w:p>
    <w:p w14:paraId="5BE19D73" w14:textId="43813395" w:rsidR="001C0111" w:rsidRPr="0071228C" w:rsidRDefault="001C0111" w:rsidP="002A2DB0">
      <w:pPr>
        <w:keepNext/>
        <w:outlineLvl w:val="3"/>
        <w:rPr>
          <w:rFonts w:eastAsiaTheme="majorEastAsia"/>
          <w:bCs/>
          <w:iCs/>
          <w:noProof/>
        </w:rPr>
      </w:pPr>
      <w:r w:rsidRPr="0071228C">
        <w:rPr>
          <w:noProof/>
        </w:rPr>
        <w:t>Szacunkowe zapotrzebowanie na środki administracyjne</w:t>
      </w:r>
      <w:r w:rsidR="00CC55C0" w:rsidRPr="0071228C">
        <w:rPr>
          <w:noProof/>
        </w:rPr>
        <w:t xml:space="preserve"> w</w:t>
      </w:r>
      <w:r w:rsidR="00CC55C0">
        <w:rPr>
          <w:noProof/>
        </w:rPr>
        <w:t> </w:t>
      </w:r>
      <w:r w:rsidR="00CC55C0" w:rsidRPr="0071228C">
        <w:rPr>
          <w:noProof/>
        </w:rPr>
        <w:t>Kom</w:t>
      </w:r>
      <w:r w:rsidRPr="0071228C">
        <w:rPr>
          <w:noProof/>
        </w:rPr>
        <w:t>isji</w:t>
      </w:r>
    </w:p>
    <w:p w14:paraId="79623CF6" w14:textId="77777777" w:rsidR="001C0111" w:rsidRPr="0071228C" w:rsidRDefault="001C0111" w:rsidP="002A2DB0">
      <w:pPr>
        <w:keepNext/>
        <w:outlineLvl w:val="3"/>
        <w:rPr>
          <w:rFonts w:eastAsiaTheme="majorEastAsia"/>
          <w:bCs/>
          <w:iCs/>
          <w:noProof/>
        </w:rPr>
      </w:pPr>
      <w:r w:rsidRPr="0071228C">
        <w:rPr>
          <w:noProof/>
        </w:rPr>
        <w:t>Podsumowanie szacunkowego wpływu na środki administracyjne</w:t>
      </w:r>
    </w:p>
    <w:p w14:paraId="48C990B1" w14:textId="6990B3AC" w:rsidR="001C0111" w:rsidRPr="0071228C" w:rsidRDefault="001C0111" w:rsidP="001C0111">
      <w:pPr>
        <w:ind w:left="1134"/>
        <w:rPr>
          <w:noProof/>
        </w:rPr>
      </w:pPr>
      <w:r w:rsidRPr="0071228C">
        <w:rPr>
          <w:i/>
          <w:noProof/>
        </w:rPr>
        <w:t xml:space="preserve"> </w:t>
      </w:r>
      <w:r w:rsidRPr="0071228C">
        <w:rPr>
          <w:rFonts w:ascii="Wingdings" w:hAnsi="Wingdings"/>
          <w:noProof/>
        </w:rPr>
        <w:t></w:t>
      </w:r>
      <w:r w:rsidRPr="0071228C">
        <w:rPr>
          <w:noProof/>
        </w:rPr>
        <w:tab/>
        <w:t>Wniosek/inicjatywa nie wiąże się</w:t>
      </w:r>
      <w:r w:rsidR="00CC55C0" w:rsidRPr="0071228C">
        <w:rPr>
          <w:noProof/>
        </w:rPr>
        <w:t xml:space="preserve"> z</w:t>
      </w:r>
      <w:r w:rsidR="00CC55C0">
        <w:rPr>
          <w:noProof/>
        </w:rPr>
        <w:t> </w:t>
      </w:r>
      <w:r w:rsidR="00CC55C0" w:rsidRPr="0071228C">
        <w:rPr>
          <w:noProof/>
        </w:rPr>
        <w:t>kon</w:t>
      </w:r>
      <w:r w:rsidRPr="0071228C">
        <w:rPr>
          <w:noProof/>
        </w:rPr>
        <w:t xml:space="preserve">iecznością wykorzystania środków administracyjnych </w:t>
      </w:r>
    </w:p>
    <w:p w14:paraId="77C0C2B8" w14:textId="3C29126F" w:rsidR="001C0111" w:rsidRPr="0071228C" w:rsidRDefault="001C0111" w:rsidP="001C0111">
      <w:pPr>
        <w:ind w:left="1134"/>
        <w:rPr>
          <w:noProof/>
        </w:rPr>
      </w:pPr>
      <w:r w:rsidRPr="0071228C">
        <w:rPr>
          <w:rFonts w:ascii="Wingdings" w:hAnsi="Wingdings"/>
          <w:noProof/>
        </w:rPr>
        <w:t></w:t>
      </w:r>
      <w:r w:rsidRPr="0071228C">
        <w:rPr>
          <w:noProof/>
        </w:rPr>
        <w:t xml:space="preserve"> Wniosek/inicjatywa wiąże się</w:t>
      </w:r>
      <w:r w:rsidR="00CC55C0" w:rsidRPr="0071228C">
        <w:rPr>
          <w:noProof/>
        </w:rPr>
        <w:t xml:space="preserve"> z</w:t>
      </w:r>
      <w:r w:rsidR="00CC55C0">
        <w:rPr>
          <w:noProof/>
        </w:rPr>
        <w:t> </w:t>
      </w:r>
      <w:r w:rsidR="00CC55C0" w:rsidRPr="0071228C">
        <w:rPr>
          <w:noProof/>
        </w:rPr>
        <w:t>kon</w:t>
      </w:r>
      <w:r w:rsidRPr="0071228C">
        <w:rPr>
          <w:noProof/>
        </w:rPr>
        <w:t>iecznością wykorzystania środków administracyjnych, jak określono poniżej:</w:t>
      </w:r>
    </w:p>
    <w:p w14:paraId="38FB06AE" w14:textId="77777777" w:rsidR="001C0111" w:rsidRPr="0071228C" w:rsidRDefault="001C0111" w:rsidP="001C0111">
      <w:pPr>
        <w:keepNext/>
        <w:ind w:left="1800"/>
        <w:outlineLvl w:val="3"/>
        <w:rPr>
          <w:rFonts w:eastAsiaTheme="majorEastAsia"/>
          <w:bCs/>
          <w:i/>
          <w:iCs/>
          <w:noProof/>
          <w:szCs w:val="24"/>
          <w:lang w:eastAsia="en-GB"/>
        </w:rPr>
      </w:pPr>
    </w:p>
    <w:p w14:paraId="113C022D" w14:textId="77777777" w:rsidR="001C0111" w:rsidRPr="0071228C" w:rsidRDefault="001C0111" w:rsidP="001C0111">
      <w:pPr>
        <w:jc w:val="right"/>
        <w:rPr>
          <w:noProof/>
          <w:sz w:val="20"/>
        </w:rPr>
      </w:pPr>
      <w:r w:rsidRPr="0071228C">
        <w:rPr>
          <w:noProof/>
          <w:sz w:val="20"/>
        </w:rPr>
        <w:t>w mln EUR (do trzech miejsc po przecinku)</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71228C" w14:paraId="5DB5BAB8" w14:textId="77777777" w:rsidTr="00EE4772">
        <w:trPr>
          <w:trHeight w:val="585"/>
        </w:trPr>
        <w:tc>
          <w:tcPr>
            <w:tcW w:w="1980" w:type="dxa"/>
          </w:tcPr>
          <w:p w14:paraId="462C3E55" w14:textId="77777777" w:rsidR="001C0111" w:rsidRPr="0071228C" w:rsidRDefault="001C0111" w:rsidP="001C0111">
            <w:pPr>
              <w:spacing w:before="60" w:after="60" w:line="200" w:lineRule="exact"/>
              <w:rPr>
                <w:noProof/>
                <w:sz w:val="16"/>
                <w:szCs w:val="16"/>
                <w:lang w:eastAsia="en-GB"/>
              </w:rPr>
            </w:pPr>
          </w:p>
        </w:tc>
        <w:tc>
          <w:tcPr>
            <w:tcW w:w="1080" w:type="dxa"/>
            <w:vAlign w:val="center"/>
          </w:tcPr>
          <w:p w14:paraId="2A600F62" w14:textId="77777777" w:rsidR="001C0111" w:rsidRPr="0071228C" w:rsidRDefault="001C0111" w:rsidP="001C0111">
            <w:pPr>
              <w:spacing w:before="60" w:after="60" w:line="200" w:lineRule="exact"/>
              <w:jc w:val="center"/>
              <w:rPr>
                <w:b/>
                <w:noProof/>
                <w:sz w:val="16"/>
                <w:szCs w:val="16"/>
              </w:rPr>
            </w:pPr>
            <w:r w:rsidRPr="0071228C">
              <w:rPr>
                <w:b/>
                <w:noProof/>
                <w:sz w:val="16"/>
              </w:rPr>
              <w:t>2023</w:t>
            </w:r>
          </w:p>
        </w:tc>
        <w:tc>
          <w:tcPr>
            <w:tcW w:w="1080" w:type="dxa"/>
            <w:vAlign w:val="center"/>
          </w:tcPr>
          <w:p w14:paraId="423AE789" w14:textId="77777777" w:rsidR="001C0111" w:rsidRPr="0071228C" w:rsidRDefault="001C0111" w:rsidP="001C0111">
            <w:pPr>
              <w:spacing w:before="60" w:after="60" w:line="200" w:lineRule="exact"/>
              <w:jc w:val="center"/>
              <w:rPr>
                <w:b/>
                <w:noProof/>
                <w:sz w:val="16"/>
                <w:szCs w:val="16"/>
              </w:rPr>
            </w:pPr>
            <w:r w:rsidRPr="0071228C">
              <w:rPr>
                <w:b/>
                <w:noProof/>
                <w:sz w:val="16"/>
              </w:rPr>
              <w:t>2024</w:t>
            </w:r>
          </w:p>
        </w:tc>
        <w:tc>
          <w:tcPr>
            <w:tcW w:w="1080" w:type="dxa"/>
            <w:vAlign w:val="center"/>
          </w:tcPr>
          <w:p w14:paraId="68D150CD" w14:textId="77777777" w:rsidR="001C0111" w:rsidRPr="0071228C" w:rsidRDefault="001C0111" w:rsidP="001C0111">
            <w:pPr>
              <w:spacing w:before="60" w:after="60" w:line="200" w:lineRule="exact"/>
              <w:jc w:val="center"/>
              <w:rPr>
                <w:b/>
                <w:noProof/>
                <w:sz w:val="16"/>
                <w:szCs w:val="16"/>
              </w:rPr>
            </w:pPr>
            <w:r w:rsidRPr="0071228C">
              <w:rPr>
                <w:b/>
                <w:noProof/>
                <w:sz w:val="16"/>
              </w:rPr>
              <w:t>2025</w:t>
            </w:r>
          </w:p>
        </w:tc>
        <w:tc>
          <w:tcPr>
            <w:tcW w:w="1080" w:type="dxa"/>
            <w:vAlign w:val="center"/>
          </w:tcPr>
          <w:p w14:paraId="4115C71A" w14:textId="77777777" w:rsidR="001C0111" w:rsidRPr="0071228C" w:rsidRDefault="001C0111" w:rsidP="001C0111">
            <w:pPr>
              <w:spacing w:before="60" w:after="60" w:line="200" w:lineRule="exact"/>
              <w:jc w:val="center"/>
              <w:rPr>
                <w:b/>
                <w:noProof/>
                <w:sz w:val="16"/>
                <w:szCs w:val="16"/>
              </w:rPr>
            </w:pPr>
            <w:r w:rsidRPr="0071228C">
              <w:rPr>
                <w:b/>
                <w:noProof/>
                <w:sz w:val="16"/>
              </w:rPr>
              <w:t>2026</w:t>
            </w:r>
          </w:p>
        </w:tc>
        <w:tc>
          <w:tcPr>
            <w:tcW w:w="1080" w:type="dxa"/>
            <w:vAlign w:val="center"/>
          </w:tcPr>
          <w:p w14:paraId="7B84093B" w14:textId="77777777" w:rsidR="001C0111" w:rsidRPr="0071228C" w:rsidRDefault="001C0111" w:rsidP="001C0111">
            <w:pPr>
              <w:spacing w:line="200" w:lineRule="exact"/>
              <w:jc w:val="center"/>
              <w:rPr>
                <w:b/>
                <w:noProof/>
                <w:sz w:val="16"/>
                <w:szCs w:val="16"/>
              </w:rPr>
            </w:pPr>
            <w:r w:rsidRPr="0071228C">
              <w:rPr>
                <w:b/>
                <w:noProof/>
                <w:sz w:val="16"/>
              </w:rPr>
              <w:t>2027 (i kolejne lata)</w:t>
            </w:r>
          </w:p>
        </w:tc>
        <w:tc>
          <w:tcPr>
            <w:tcW w:w="1080" w:type="dxa"/>
            <w:vAlign w:val="center"/>
          </w:tcPr>
          <w:p w14:paraId="13632601" w14:textId="77777777" w:rsidR="001C0111" w:rsidRPr="0071228C" w:rsidRDefault="001C0111" w:rsidP="001C0111">
            <w:pPr>
              <w:spacing w:before="60" w:after="60" w:line="200" w:lineRule="exact"/>
              <w:jc w:val="center"/>
              <w:rPr>
                <w:b/>
                <w:noProof/>
                <w:sz w:val="16"/>
                <w:szCs w:val="16"/>
              </w:rPr>
            </w:pPr>
            <w:r w:rsidRPr="0071228C">
              <w:rPr>
                <w:b/>
                <w:noProof/>
                <w:sz w:val="16"/>
              </w:rPr>
              <w:t>OGÓŁEM</w:t>
            </w:r>
          </w:p>
        </w:tc>
      </w:tr>
    </w:tbl>
    <w:p w14:paraId="1FC91431" w14:textId="77777777" w:rsidR="001C0111" w:rsidRPr="0071228C" w:rsidRDefault="001C0111" w:rsidP="001C0111">
      <w:pPr>
        <w:spacing w:line="200" w:lineRule="exact"/>
        <w:rPr>
          <w:noProof/>
          <w:sz w:val="16"/>
          <w:szCs w:val="16"/>
          <w:lang w:eastAsia="en-GB"/>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71228C" w14:paraId="32F2BF82" w14:textId="77777777" w:rsidTr="00EE4772">
        <w:trPr>
          <w:trHeight w:val="585"/>
        </w:trPr>
        <w:tc>
          <w:tcPr>
            <w:tcW w:w="1980" w:type="dxa"/>
            <w:shd w:val="clear" w:color="auto" w:fill="CCCCCC"/>
            <w:vAlign w:val="center"/>
          </w:tcPr>
          <w:p w14:paraId="00184C22" w14:textId="77777777" w:rsidR="001C0111" w:rsidRPr="0071228C" w:rsidRDefault="001C0111" w:rsidP="001C0111">
            <w:pPr>
              <w:spacing w:before="60" w:after="60" w:line="200" w:lineRule="exact"/>
              <w:jc w:val="center"/>
              <w:rPr>
                <w:b/>
                <w:noProof/>
                <w:sz w:val="16"/>
                <w:szCs w:val="16"/>
              </w:rPr>
            </w:pPr>
            <w:r w:rsidRPr="0071228C">
              <w:rPr>
                <w:b/>
                <w:noProof/>
                <w:sz w:val="16"/>
              </w:rPr>
              <w:t>DZIAŁ 7</w:t>
            </w:r>
            <w:r w:rsidRPr="0071228C">
              <w:rPr>
                <w:noProof/>
              </w:rPr>
              <w:t xml:space="preserve"> </w:t>
            </w:r>
            <w:r w:rsidRPr="0071228C">
              <w:rPr>
                <w:noProof/>
              </w:rPr>
              <w:br/>
            </w:r>
            <w:r w:rsidRPr="0071228C">
              <w:rPr>
                <w:b/>
                <w:noProof/>
                <w:sz w:val="16"/>
              </w:rPr>
              <w:t>wieloletnich ram finansowych</w:t>
            </w:r>
          </w:p>
        </w:tc>
        <w:tc>
          <w:tcPr>
            <w:tcW w:w="1080" w:type="dxa"/>
            <w:vAlign w:val="center"/>
          </w:tcPr>
          <w:p w14:paraId="3F2D6DE6"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4CDDD737"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7596251B"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1C1A6BA1"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3C9FCBD7"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595BD477" w14:textId="77777777" w:rsidR="001C0111" w:rsidRPr="0071228C" w:rsidRDefault="001C0111" w:rsidP="001C0111">
            <w:pPr>
              <w:spacing w:before="60" w:after="60" w:line="200" w:lineRule="exact"/>
              <w:jc w:val="right"/>
              <w:rPr>
                <w:noProof/>
                <w:sz w:val="16"/>
                <w:szCs w:val="16"/>
                <w:lang w:eastAsia="en-GB"/>
              </w:rPr>
            </w:pPr>
          </w:p>
        </w:tc>
      </w:tr>
      <w:tr w:rsidR="001C0111" w:rsidRPr="0071228C" w14:paraId="088823CC" w14:textId="77777777" w:rsidTr="00EE4772">
        <w:trPr>
          <w:trHeight w:val="585"/>
        </w:trPr>
        <w:tc>
          <w:tcPr>
            <w:tcW w:w="1980" w:type="dxa"/>
            <w:vAlign w:val="center"/>
          </w:tcPr>
          <w:p w14:paraId="25A9B5BF" w14:textId="77777777" w:rsidR="001C0111" w:rsidRPr="0071228C" w:rsidRDefault="001C0111" w:rsidP="001C0111">
            <w:pPr>
              <w:spacing w:before="60" w:after="60" w:line="200" w:lineRule="exact"/>
              <w:ind w:left="72"/>
              <w:jc w:val="left"/>
              <w:rPr>
                <w:noProof/>
                <w:sz w:val="16"/>
                <w:szCs w:val="16"/>
              </w:rPr>
            </w:pPr>
            <w:r w:rsidRPr="0071228C">
              <w:rPr>
                <w:noProof/>
                <w:sz w:val="16"/>
              </w:rPr>
              <w:t xml:space="preserve">Zasoby ludzkie </w:t>
            </w:r>
          </w:p>
        </w:tc>
        <w:tc>
          <w:tcPr>
            <w:tcW w:w="1080" w:type="dxa"/>
            <w:vAlign w:val="center"/>
          </w:tcPr>
          <w:p w14:paraId="7AAE19DA" w14:textId="77777777" w:rsidR="001C0111" w:rsidRPr="0071228C" w:rsidRDefault="001C0111" w:rsidP="001C0111">
            <w:pPr>
              <w:spacing w:before="60" w:after="60" w:line="200" w:lineRule="exact"/>
              <w:jc w:val="right"/>
              <w:rPr>
                <w:noProof/>
                <w:sz w:val="16"/>
                <w:szCs w:val="16"/>
                <w:lang w:eastAsia="en-GB"/>
              </w:rPr>
            </w:pPr>
          </w:p>
        </w:tc>
        <w:tc>
          <w:tcPr>
            <w:tcW w:w="1080" w:type="dxa"/>
            <w:vAlign w:val="bottom"/>
          </w:tcPr>
          <w:p w14:paraId="0422CC9D"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461065CC"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7E1E16E0"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6360926C"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0ADE2D9A" w14:textId="77777777" w:rsidR="001C0111" w:rsidRPr="0071228C" w:rsidRDefault="001C0111" w:rsidP="001C0111">
            <w:pPr>
              <w:spacing w:before="60" w:after="60" w:line="200" w:lineRule="exact"/>
              <w:jc w:val="right"/>
              <w:rPr>
                <w:noProof/>
                <w:sz w:val="16"/>
                <w:szCs w:val="16"/>
              </w:rPr>
            </w:pPr>
            <w:r w:rsidRPr="0071228C">
              <w:rPr>
                <w:b/>
                <w:noProof/>
                <w:color w:val="000000"/>
                <w:sz w:val="22"/>
              </w:rPr>
              <w:t>1,256</w:t>
            </w:r>
          </w:p>
        </w:tc>
      </w:tr>
      <w:tr w:rsidR="001C0111" w:rsidRPr="0071228C" w14:paraId="48E2AD40" w14:textId="77777777" w:rsidTr="00EE4772">
        <w:trPr>
          <w:trHeight w:val="585"/>
        </w:trPr>
        <w:tc>
          <w:tcPr>
            <w:tcW w:w="1980" w:type="dxa"/>
            <w:vAlign w:val="center"/>
          </w:tcPr>
          <w:p w14:paraId="69D1FB16" w14:textId="77777777" w:rsidR="001C0111" w:rsidRPr="0071228C" w:rsidRDefault="001C0111" w:rsidP="001C0111">
            <w:pPr>
              <w:spacing w:before="60" w:after="60" w:line="200" w:lineRule="exact"/>
              <w:ind w:left="72"/>
              <w:jc w:val="left"/>
              <w:rPr>
                <w:noProof/>
                <w:sz w:val="16"/>
                <w:szCs w:val="16"/>
              </w:rPr>
            </w:pPr>
            <w:r w:rsidRPr="0071228C">
              <w:rPr>
                <w:noProof/>
                <w:sz w:val="16"/>
              </w:rPr>
              <w:t xml:space="preserve">Pozostałe wydatki administracyjne </w:t>
            </w:r>
          </w:p>
        </w:tc>
        <w:tc>
          <w:tcPr>
            <w:tcW w:w="1080" w:type="dxa"/>
            <w:vAlign w:val="center"/>
          </w:tcPr>
          <w:p w14:paraId="379A5AC0"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379856D6"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6A481679"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6A930BC7"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2637B9BF"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42DD8FCE" w14:textId="77777777" w:rsidR="001C0111" w:rsidRPr="0071228C" w:rsidRDefault="001C0111" w:rsidP="001C0111">
            <w:pPr>
              <w:spacing w:before="60" w:after="60" w:line="200" w:lineRule="exact"/>
              <w:jc w:val="right"/>
              <w:rPr>
                <w:noProof/>
                <w:sz w:val="16"/>
                <w:szCs w:val="16"/>
                <w:lang w:eastAsia="en-GB"/>
              </w:rPr>
            </w:pPr>
          </w:p>
        </w:tc>
      </w:tr>
      <w:tr w:rsidR="001C0111" w:rsidRPr="0071228C" w14:paraId="2DD7655A" w14:textId="77777777" w:rsidTr="00EE4772">
        <w:trPr>
          <w:trHeight w:val="585"/>
        </w:trPr>
        <w:tc>
          <w:tcPr>
            <w:tcW w:w="1980" w:type="dxa"/>
            <w:shd w:val="clear" w:color="auto" w:fill="CCCCCC"/>
            <w:vAlign w:val="center"/>
          </w:tcPr>
          <w:p w14:paraId="3B1D3ACE" w14:textId="77777777" w:rsidR="001C0111" w:rsidRPr="0071228C" w:rsidRDefault="001C0111" w:rsidP="001C0111">
            <w:pPr>
              <w:spacing w:before="60" w:after="60" w:line="200" w:lineRule="exact"/>
              <w:jc w:val="center"/>
              <w:rPr>
                <w:b/>
                <w:noProof/>
                <w:sz w:val="16"/>
                <w:szCs w:val="16"/>
              </w:rPr>
            </w:pPr>
            <w:r w:rsidRPr="0071228C">
              <w:rPr>
                <w:b/>
                <w:noProof/>
                <w:sz w:val="16"/>
              </w:rPr>
              <w:t>Suma cząstkowa DZIAŁU 7</w:t>
            </w:r>
            <w:r w:rsidRPr="0071228C">
              <w:rPr>
                <w:noProof/>
              </w:rPr>
              <w:t xml:space="preserve"> </w:t>
            </w:r>
            <w:r w:rsidRPr="0071228C">
              <w:rPr>
                <w:noProof/>
              </w:rPr>
              <w:br/>
            </w:r>
            <w:r w:rsidRPr="0071228C">
              <w:rPr>
                <w:b/>
                <w:noProof/>
                <w:sz w:val="16"/>
              </w:rPr>
              <w:t xml:space="preserve">wieloletnich ram finansowych </w:t>
            </w:r>
          </w:p>
        </w:tc>
        <w:tc>
          <w:tcPr>
            <w:tcW w:w="1080" w:type="dxa"/>
            <w:vAlign w:val="center"/>
          </w:tcPr>
          <w:p w14:paraId="6B65C068" w14:textId="77777777" w:rsidR="001C0111" w:rsidRPr="0071228C" w:rsidRDefault="001C0111" w:rsidP="001C0111">
            <w:pPr>
              <w:spacing w:before="60" w:after="60" w:line="200" w:lineRule="exact"/>
              <w:jc w:val="right"/>
              <w:rPr>
                <w:noProof/>
                <w:sz w:val="16"/>
                <w:szCs w:val="16"/>
                <w:lang w:eastAsia="en-GB"/>
              </w:rPr>
            </w:pPr>
          </w:p>
        </w:tc>
        <w:tc>
          <w:tcPr>
            <w:tcW w:w="1080" w:type="dxa"/>
            <w:vAlign w:val="bottom"/>
          </w:tcPr>
          <w:p w14:paraId="3993523D"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63C6BCC2"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5A444D12"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094D8947" w14:textId="77777777" w:rsidR="001C0111" w:rsidRPr="0071228C" w:rsidRDefault="001C0111" w:rsidP="001C0111">
            <w:pPr>
              <w:spacing w:before="60" w:after="60" w:line="200" w:lineRule="exact"/>
              <w:jc w:val="right"/>
              <w:rPr>
                <w:noProof/>
                <w:sz w:val="16"/>
                <w:szCs w:val="16"/>
              </w:rPr>
            </w:pPr>
            <w:r w:rsidRPr="0071228C">
              <w:rPr>
                <w:noProof/>
                <w:color w:val="000000"/>
                <w:sz w:val="22"/>
              </w:rPr>
              <w:t>0,314</w:t>
            </w:r>
          </w:p>
        </w:tc>
        <w:tc>
          <w:tcPr>
            <w:tcW w:w="1080" w:type="dxa"/>
            <w:vAlign w:val="bottom"/>
          </w:tcPr>
          <w:p w14:paraId="7E98252F" w14:textId="77777777" w:rsidR="001C0111" w:rsidRPr="0071228C" w:rsidRDefault="001C0111" w:rsidP="001C0111">
            <w:pPr>
              <w:spacing w:before="60" w:after="60" w:line="200" w:lineRule="exact"/>
              <w:jc w:val="right"/>
              <w:rPr>
                <w:noProof/>
                <w:sz w:val="16"/>
                <w:szCs w:val="16"/>
              </w:rPr>
            </w:pPr>
            <w:r w:rsidRPr="0071228C">
              <w:rPr>
                <w:b/>
                <w:noProof/>
                <w:color w:val="000000"/>
                <w:sz w:val="22"/>
              </w:rPr>
              <w:t>1,256</w:t>
            </w:r>
          </w:p>
        </w:tc>
      </w:tr>
    </w:tbl>
    <w:p w14:paraId="3B57E91D" w14:textId="77777777" w:rsidR="001C0111" w:rsidRPr="0071228C" w:rsidRDefault="001C0111" w:rsidP="001C0111">
      <w:pPr>
        <w:spacing w:line="200" w:lineRule="exact"/>
        <w:rPr>
          <w:noProof/>
          <w:sz w:val="16"/>
          <w:szCs w:val="16"/>
          <w:lang w:eastAsia="en-GB"/>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71228C" w14:paraId="08A0118F" w14:textId="77777777" w:rsidTr="00EE4772">
        <w:trPr>
          <w:trHeight w:val="585"/>
        </w:trPr>
        <w:tc>
          <w:tcPr>
            <w:tcW w:w="1980" w:type="dxa"/>
            <w:shd w:val="clear" w:color="auto" w:fill="CCCCCC"/>
            <w:vAlign w:val="center"/>
          </w:tcPr>
          <w:p w14:paraId="3696D8F3" w14:textId="77777777" w:rsidR="001C0111" w:rsidRPr="0071228C" w:rsidRDefault="001C0111" w:rsidP="001C0111">
            <w:pPr>
              <w:spacing w:before="60" w:after="60" w:line="200" w:lineRule="exact"/>
              <w:jc w:val="center"/>
              <w:rPr>
                <w:noProof/>
                <w:sz w:val="16"/>
                <w:szCs w:val="16"/>
              </w:rPr>
            </w:pPr>
            <w:r w:rsidRPr="0071228C">
              <w:rPr>
                <w:b/>
                <w:noProof/>
                <w:sz w:val="16"/>
              </w:rPr>
              <w:t>Poza DZIAŁEM 7</w:t>
            </w:r>
            <w:r w:rsidRPr="0071228C">
              <w:rPr>
                <w:rStyle w:val="FootnoteReference"/>
                <w:noProof/>
              </w:rPr>
              <w:footnoteReference w:id="74"/>
            </w:r>
            <w:r w:rsidRPr="0071228C">
              <w:rPr>
                <w:noProof/>
              </w:rPr>
              <w:t xml:space="preserve"> </w:t>
            </w:r>
            <w:r w:rsidRPr="0071228C">
              <w:rPr>
                <w:noProof/>
              </w:rPr>
              <w:br/>
            </w:r>
            <w:r w:rsidRPr="0071228C">
              <w:rPr>
                <w:b/>
                <w:noProof/>
                <w:sz w:val="16"/>
              </w:rPr>
              <w:t xml:space="preserve">wieloletnich ram finansowych </w:t>
            </w:r>
          </w:p>
          <w:p w14:paraId="540DACD5" w14:textId="77777777" w:rsidR="001C0111" w:rsidRPr="0071228C" w:rsidRDefault="001C0111" w:rsidP="001C0111">
            <w:pPr>
              <w:spacing w:before="0" w:after="0" w:line="200" w:lineRule="exact"/>
              <w:jc w:val="center"/>
              <w:rPr>
                <w:b/>
                <w:noProof/>
                <w:sz w:val="16"/>
                <w:szCs w:val="16"/>
                <w:lang w:eastAsia="en-GB"/>
              </w:rPr>
            </w:pPr>
          </w:p>
        </w:tc>
        <w:tc>
          <w:tcPr>
            <w:tcW w:w="1080" w:type="dxa"/>
            <w:vAlign w:val="center"/>
          </w:tcPr>
          <w:p w14:paraId="2BAC36F4"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c>
          <w:tcPr>
            <w:tcW w:w="1080" w:type="dxa"/>
            <w:vAlign w:val="center"/>
          </w:tcPr>
          <w:p w14:paraId="08C504BD"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c>
          <w:tcPr>
            <w:tcW w:w="1080" w:type="dxa"/>
            <w:vAlign w:val="center"/>
          </w:tcPr>
          <w:p w14:paraId="09536ED3"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c>
          <w:tcPr>
            <w:tcW w:w="1080" w:type="dxa"/>
            <w:vAlign w:val="center"/>
          </w:tcPr>
          <w:p w14:paraId="60CF55EA"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c>
          <w:tcPr>
            <w:tcW w:w="1080" w:type="dxa"/>
            <w:vAlign w:val="center"/>
          </w:tcPr>
          <w:p w14:paraId="0D1FD3DE"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c>
          <w:tcPr>
            <w:tcW w:w="1080" w:type="dxa"/>
            <w:vAlign w:val="center"/>
          </w:tcPr>
          <w:p w14:paraId="190FA7AB" w14:textId="77777777" w:rsidR="001C0111" w:rsidRPr="0071228C" w:rsidRDefault="001C0111" w:rsidP="001C0111">
            <w:pPr>
              <w:spacing w:before="60" w:after="60" w:line="200" w:lineRule="exact"/>
              <w:jc w:val="right"/>
              <w:rPr>
                <w:noProof/>
                <w:sz w:val="16"/>
                <w:szCs w:val="16"/>
              </w:rPr>
            </w:pPr>
            <w:r w:rsidRPr="0071228C">
              <w:rPr>
                <w:noProof/>
                <w:sz w:val="16"/>
              </w:rPr>
              <w:t>Nie dotyczy</w:t>
            </w:r>
          </w:p>
        </w:tc>
      </w:tr>
      <w:tr w:rsidR="001C0111" w:rsidRPr="0071228C" w14:paraId="08479B50" w14:textId="77777777" w:rsidTr="00EE4772">
        <w:trPr>
          <w:trHeight w:val="585"/>
        </w:trPr>
        <w:tc>
          <w:tcPr>
            <w:tcW w:w="1980" w:type="dxa"/>
            <w:vAlign w:val="center"/>
          </w:tcPr>
          <w:p w14:paraId="7FCE4488" w14:textId="77777777" w:rsidR="001C0111" w:rsidRPr="0071228C" w:rsidRDefault="001C0111" w:rsidP="001C0111">
            <w:pPr>
              <w:spacing w:before="60" w:after="60" w:line="200" w:lineRule="exact"/>
              <w:ind w:left="72"/>
              <w:jc w:val="left"/>
              <w:rPr>
                <w:noProof/>
                <w:sz w:val="16"/>
                <w:szCs w:val="16"/>
              </w:rPr>
            </w:pPr>
            <w:r w:rsidRPr="0071228C">
              <w:rPr>
                <w:noProof/>
                <w:sz w:val="16"/>
              </w:rPr>
              <w:t xml:space="preserve">Zasoby ludzkie </w:t>
            </w:r>
          </w:p>
        </w:tc>
        <w:tc>
          <w:tcPr>
            <w:tcW w:w="1080" w:type="dxa"/>
            <w:vAlign w:val="center"/>
          </w:tcPr>
          <w:p w14:paraId="27280E58"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46BB000A"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0EFD50B5"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270DF7C3"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5DE6BCAB"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77E0DB3D" w14:textId="77777777" w:rsidR="001C0111" w:rsidRPr="0071228C" w:rsidRDefault="001C0111" w:rsidP="001C0111">
            <w:pPr>
              <w:spacing w:before="60" w:after="60" w:line="200" w:lineRule="exact"/>
              <w:jc w:val="right"/>
              <w:rPr>
                <w:noProof/>
                <w:sz w:val="16"/>
                <w:szCs w:val="16"/>
                <w:lang w:eastAsia="en-GB"/>
              </w:rPr>
            </w:pPr>
          </w:p>
        </w:tc>
      </w:tr>
      <w:tr w:rsidR="001C0111" w:rsidRPr="0071228C" w14:paraId="4A76FE66" w14:textId="77777777" w:rsidTr="00EE4772">
        <w:trPr>
          <w:trHeight w:val="585"/>
        </w:trPr>
        <w:tc>
          <w:tcPr>
            <w:tcW w:w="1980" w:type="dxa"/>
            <w:vAlign w:val="center"/>
          </w:tcPr>
          <w:p w14:paraId="3E1E121F" w14:textId="15250639" w:rsidR="001C0111" w:rsidRPr="0071228C" w:rsidRDefault="001C0111" w:rsidP="001C0111">
            <w:pPr>
              <w:spacing w:before="60" w:after="60" w:line="200" w:lineRule="exact"/>
              <w:ind w:left="72"/>
              <w:jc w:val="left"/>
              <w:rPr>
                <w:noProof/>
                <w:sz w:val="16"/>
                <w:szCs w:val="16"/>
              </w:rPr>
            </w:pPr>
            <w:r w:rsidRPr="0071228C">
              <w:rPr>
                <w:noProof/>
                <w:sz w:val="16"/>
              </w:rPr>
              <w:t>Pozostałe wydatk</w:t>
            </w:r>
            <w:r w:rsidRPr="00CC55C0">
              <w:rPr>
                <w:noProof/>
                <w:sz w:val="16"/>
              </w:rPr>
              <w:t>i</w:t>
            </w:r>
            <w:r w:rsidR="00CC55C0" w:rsidRPr="00CC55C0">
              <w:rPr>
                <w:noProof/>
                <w:sz w:val="16"/>
              </w:rPr>
              <w:t xml:space="preserve"> </w:t>
            </w:r>
            <w:r w:rsidRPr="00CC55C0">
              <w:rPr>
                <w:noProof/>
              </w:rPr>
              <w:br/>
            </w:r>
            <w:r w:rsidRPr="0071228C">
              <w:rPr>
                <w:noProof/>
                <w:sz w:val="16"/>
              </w:rPr>
              <w:t>o charakterze administracyjnym</w:t>
            </w:r>
          </w:p>
        </w:tc>
        <w:tc>
          <w:tcPr>
            <w:tcW w:w="1080" w:type="dxa"/>
            <w:vAlign w:val="center"/>
          </w:tcPr>
          <w:p w14:paraId="22AA02BC"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6F37A71B"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4512BB95"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7AB317DF"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43A7B08F" w14:textId="77777777" w:rsidR="001C0111" w:rsidRPr="0071228C" w:rsidRDefault="001C0111" w:rsidP="001C0111">
            <w:pPr>
              <w:spacing w:before="60" w:after="60" w:line="200" w:lineRule="exact"/>
              <w:jc w:val="right"/>
              <w:rPr>
                <w:noProof/>
                <w:sz w:val="16"/>
                <w:szCs w:val="16"/>
                <w:lang w:eastAsia="en-GB"/>
              </w:rPr>
            </w:pPr>
          </w:p>
        </w:tc>
        <w:tc>
          <w:tcPr>
            <w:tcW w:w="1080" w:type="dxa"/>
            <w:vAlign w:val="center"/>
          </w:tcPr>
          <w:p w14:paraId="132D432E" w14:textId="77777777" w:rsidR="001C0111" w:rsidRPr="0071228C" w:rsidRDefault="001C0111" w:rsidP="001C0111">
            <w:pPr>
              <w:spacing w:before="60" w:after="60" w:line="200" w:lineRule="exact"/>
              <w:jc w:val="right"/>
              <w:rPr>
                <w:noProof/>
                <w:sz w:val="16"/>
                <w:szCs w:val="16"/>
                <w:lang w:eastAsia="en-GB"/>
              </w:rPr>
            </w:pPr>
          </w:p>
        </w:tc>
      </w:tr>
      <w:tr w:rsidR="001C0111" w:rsidRPr="0071228C" w14:paraId="6CA2C1F0" w14:textId="77777777" w:rsidTr="00EE4772">
        <w:trPr>
          <w:trHeight w:val="585"/>
        </w:trPr>
        <w:tc>
          <w:tcPr>
            <w:tcW w:w="1980" w:type="dxa"/>
            <w:shd w:val="clear" w:color="auto" w:fill="CCCCCC"/>
            <w:vAlign w:val="center"/>
          </w:tcPr>
          <w:p w14:paraId="520A5BDB" w14:textId="024B5B14" w:rsidR="001C0111" w:rsidRPr="0071228C" w:rsidRDefault="001C0111" w:rsidP="001C0111">
            <w:pPr>
              <w:spacing w:before="60" w:after="60" w:line="200" w:lineRule="exact"/>
              <w:jc w:val="center"/>
              <w:rPr>
                <w:b/>
                <w:noProof/>
                <w:sz w:val="16"/>
                <w:szCs w:val="16"/>
              </w:rPr>
            </w:pPr>
            <w:r w:rsidRPr="0071228C">
              <w:rPr>
                <w:b/>
                <w:noProof/>
                <w:sz w:val="16"/>
              </w:rPr>
              <w:t>Suma cząstkow</w:t>
            </w:r>
            <w:r w:rsidRPr="00CC55C0">
              <w:rPr>
                <w:b/>
                <w:noProof/>
                <w:sz w:val="16"/>
              </w:rPr>
              <w:t>a</w:t>
            </w:r>
            <w:r w:rsidR="00CC55C0" w:rsidRPr="00CC55C0">
              <w:rPr>
                <w:b/>
                <w:noProof/>
                <w:sz w:val="16"/>
              </w:rPr>
              <w:t xml:space="preserve"> </w:t>
            </w:r>
            <w:r w:rsidRPr="00CC55C0">
              <w:rPr>
                <w:noProof/>
              </w:rPr>
              <w:br/>
            </w:r>
            <w:r w:rsidRPr="0071228C">
              <w:rPr>
                <w:b/>
                <w:noProof/>
                <w:sz w:val="16"/>
              </w:rPr>
              <w:t>poza DZIAŁEM 7</w:t>
            </w:r>
            <w:r w:rsidRPr="0071228C">
              <w:rPr>
                <w:noProof/>
              </w:rPr>
              <w:t xml:space="preserve"> </w:t>
            </w:r>
            <w:r w:rsidRPr="0071228C">
              <w:rPr>
                <w:noProof/>
              </w:rPr>
              <w:br/>
            </w:r>
            <w:r w:rsidRPr="0071228C">
              <w:rPr>
                <w:b/>
                <w:noProof/>
                <w:sz w:val="16"/>
              </w:rPr>
              <w:t xml:space="preserve">wieloletnich ram finansowych </w:t>
            </w:r>
          </w:p>
        </w:tc>
        <w:tc>
          <w:tcPr>
            <w:tcW w:w="1080" w:type="dxa"/>
            <w:vAlign w:val="center"/>
          </w:tcPr>
          <w:p w14:paraId="7272C15D"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c>
          <w:tcPr>
            <w:tcW w:w="1080" w:type="dxa"/>
            <w:vAlign w:val="center"/>
          </w:tcPr>
          <w:p w14:paraId="377100B3"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c>
          <w:tcPr>
            <w:tcW w:w="1080" w:type="dxa"/>
            <w:vAlign w:val="center"/>
          </w:tcPr>
          <w:p w14:paraId="0534ACDF"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c>
          <w:tcPr>
            <w:tcW w:w="1080" w:type="dxa"/>
            <w:vAlign w:val="center"/>
          </w:tcPr>
          <w:p w14:paraId="50D89252"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c>
          <w:tcPr>
            <w:tcW w:w="1080" w:type="dxa"/>
            <w:vAlign w:val="center"/>
          </w:tcPr>
          <w:p w14:paraId="1F722D2E"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c>
          <w:tcPr>
            <w:tcW w:w="1080" w:type="dxa"/>
            <w:vAlign w:val="center"/>
          </w:tcPr>
          <w:p w14:paraId="7A3C0BEF" w14:textId="77777777" w:rsidR="001C0111" w:rsidRPr="0071228C" w:rsidRDefault="001C0111" w:rsidP="001C0111">
            <w:pPr>
              <w:spacing w:before="60" w:after="60" w:line="200" w:lineRule="exact"/>
              <w:jc w:val="center"/>
              <w:rPr>
                <w:noProof/>
                <w:sz w:val="16"/>
                <w:szCs w:val="16"/>
              </w:rPr>
            </w:pPr>
            <w:r w:rsidRPr="0071228C">
              <w:rPr>
                <w:noProof/>
                <w:sz w:val="16"/>
              </w:rPr>
              <w:t>Nie dotyczy</w:t>
            </w:r>
          </w:p>
        </w:tc>
      </w:tr>
    </w:tbl>
    <w:p w14:paraId="3AF7069B" w14:textId="77777777" w:rsidR="001C0111" w:rsidRPr="0071228C" w:rsidRDefault="001C0111" w:rsidP="001C0111">
      <w:pPr>
        <w:spacing w:line="200" w:lineRule="exact"/>
        <w:rPr>
          <w:noProof/>
          <w:sz w:val="16"/>
          <w:szCs w:val="16"/>
          <w:lang w:eastAsia="en-GB"/>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1C0111" w:rsidRPr="0071228C" w14:paraId="7E5250CE" w14:textId="77777777" w:rsidTr="00EE477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1C529DF" w14:textId="77777777" w:rsidR="001C0111" w:rsidRPr="0071228C" w:rsidRDefault="001C0111" w:rsidP="001C0111">
            <w:pPr>
              <w:spacing w:before="60" w:after="60" w:line="200" w:lineRule="exact"/>
              <w:jc w:val="center"/>
              <w:rPr>
                <w:noProof/>
                <w:sz w:val="16"/>
                <w:szCs w:val="16"/>
              </w:rPr>
            </w:pPr>
            <w:r w:rsidRPr="0071228C">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tcPr>
          <w:p w14:paraId="73E42760" w14:textId="77777777" w:rsidR="001C0111" w:rsidRPr="0071228C" w:rsidRDefault="001C0111" w:rsidP="001C0111">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bottom"/>
          </w:tcPr>
          <w:p w14:paraId="12C78623" w14:textId="77777777" w:rsidR="001C0111" w:rsidRPr="0071228C" w:rsidRDefault="001C0111" w:rsidP="001C0111">
            <w:pPr>
              <w:spacing w:before="60" w:after="60" w:line="200" w:lineRule="exact"/>
              <w:jc w:val="right"/>
              <w:rPr>
                <w:b/>
                <w:noProof/>
                <w:sz w:val="16"/>
                <w:szCs w:val="16"/>
              </w:rPr>
            </w:pPr>
            <w:r w:rsidRPr="0071228C">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0B71B4B9" w14:textId="77777777" w:rsidR="001C0111" w:rsidRPr="0071228C" w:rsidRDefault="001C0111" w:rsidP="001C0111">
            <w:pPr>
              <w:spacing w:before="60" w:after="60" w:line="200" w:lineRule="exact"/>
              <w:jc w:val="right"/>
              <w:rPr>
                <w:b/>
                <w:noProof/>
                <w:sz w:val="16"/>
                <w:szCs w:val="16"/>
              </w:rPr>
            </w:pPr>
            <w:r w:rsidRPr="0071228C">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242EE60A" w14:textId="77777777" w:rsidR="001C0111" w:rsidRPr="0071228C" w:rsidRDefault="001C0111" w:rsidP="001C0111">
            <w:pPr>
              <w:spacing w:before="60" w:after="60" w:line="200" w:lineRule="exact"/>
              <w:jc w:val="right"/>
              <w:rPr>
                <w:b/>
                <w:noProof/>
                <w:sz w:val="16"/>
                <w:szCs w:val="16"/>
              </w:rPr>
            </w:pPr>
            <w:r w:rsidRPr="0071228C">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363BD664" w14:textId="77777777" w:rsidR="001C0111" w:rsidRPr="0071228C" w:rsidRDefault="001C0111" w:rsidP="001C0111">
            <w:pPr>
              <w:spacing w:before="60" w:after="60" w:line="200" w:lineRule="exact"/>
              <w:jc w:val="right"/>
              <w:rPr>
                <w:b/>
                <w:noProof/>
                <w:sz w:val="16"/>
                <w:szCs w:val="16"/>
              </w:rPr>
            </w:pPr>
            <w:r w:rsidRPr="0071228C">
              <w:rPr>
                <w:noProof/>
                <w:color w:val="000000"/>
                <w:sz w:val="22"/>
              </w:rPr>
              <w:t>0,314</w:t>
            </w:r>
          </w:p>
        </w:tc>
        <w:tc>
          <w:tcPr>
            <w:tcW w:w="1080" w:type="dxa"/>
            <w:tcBorders>
              <w:top w:val="single" w:sz="12" w:space="0" w:color="auto"/>
              <w:left w:val="single" w:sz="2" w:space="0" w:color="auto"/>
              <w:bottom w:val="single" w:sz="12" w:space="0" w:color="auto"/>
              <w:right w:val="single" w:sz="12" w:space="0" w:color="auto"/>
            </w:tcBorders>
            <w:vAlign w:val="bottom"/>
          </w:tcPr>
          <w:p w14:paraId="309C7C1E" w14:textId="77777777" w:rsidR="001C0111" w:rsidRPr="0071228C" w:rsidRDefault="001C0111" w:rsidP="001C0111">
            <w:pPr>
              <w:spacing w:before="60" w:after="60" w:line="200" w:lineRule="exact"/>
              <w:jc w:val="right"/>
              <w:rPr>
                <w:b/>
                <w:noProof/>
                <w:sz w:val="16"/>
                <w:szCs w:val="16"/>
              </w:rPr>
            </w:pPr>
            <w:r w:rsidRPr="0071228C">
              <w:rPr>
                <w:b/>
                <w:noProof/>
                <w:color w:val="000000"/>
                <w:sz w:val="22"/>
              </w:rPr>
              <w:t>1,256</w:t>
            </w:r>
          </w:p>
        </w:tc>
      </w:tr>
    </w:tbl>
    <w:p w14:paraId="36F2DABC" w14:textId="5E4A97DB" w:rsidR="001C0111" w:rsidRPr="0071228C" w:rsidRDefault="001C0111" w:rsidP="001C0111">
      <w:pPr>
        <w:rPr>
          <w:noProof/>
          <w:sz w:val="18"/>
        </w:rPr>
      </w:pPr>
      <w:r w:rsidRPr="0071228C">
        <w:rPr>
          <w:noProof/>
          <w:sz w:val="18"/>
        </w:rPr>
        <w:t>Potrzeby</w:t>
      </w:r>
      <w:r w:rsidR="00CC55C0" w:rsidRPr="0071228C">
        <w:rPr>
          <w:noProof/>
          <w:sz w:val="18"/>
        </w:rPr>
        <w:t xml:space="preserve"> w</w:t>
      </w:r>
      <w:r w:rsidR="00CC55C0">
        <w:rPr>
          <w:noProof/>
          <w:sz w:val="18"/>
        </w:rPr>
        <w:t> </w:t>
      </w:r>
      <w:r w:rsidR="00CC55C0" w:rsidRPr="0071228C">
        <w:rPr>
          <w:noProof/>
          <w:sz w:val="18"/>
        </w:rPr>
        <w:t>zak</w:t>
      </w:r>
      <w:r w:rsidRPr="0071228C">
        <w:rPr>
          <w:noProof/>
          <w:sz w:val="18"/>
        </w:rPr>
        <w:t>resie środków na zasoby ludzkie</w:t>
      </w:r>
      <w:r w:rsidR="00CC55C0" w:rsidRPr="0071228C">
        <w:rPr>
          <w:noProof/>
          <w:sz w:val="18"/>
        </w:rPr>
        <w:t xml:space="preserve"> i</w:t>
      </w:r>
      <w:r w:rsidR="00CC55C0">
        <w:rPr>
          <w:noProof/>
          <w:sz w:val="18"/>
        </w:rPr>
        <w:t> </w:t>
      </w:r>
      <w:r w:rsidR="00CC55C0" w:rsidRPr="0071228C">
        <w:rPr>
          <w:noProof/>
          <w:sz w:val="18"/>
        </w:rPr>
        <w:t>inn</w:t>
      </w:r>
      <w:r w:rsidRPr="0071228C">
        <w:rPr>
          <w:noProof/>
          <w:sz w:val="18"/>
        </w:rPr>
        <w:t>e wydatki</w:t>
      </w:r>
      <w:r w:rsidR="00CC55C0" w:rsidRPr="0071228C">
        <w:rPr>
          <w:noProof/>
          <w:sz w:val="18"/>
        </w:rPr>
        <w:t xml:space="preserve"> o</w:t>
      </w:r>
      <w:r w:rsidR="00CC55C0">
        <w:rPr>
          <w:noProof/>
          <w:sz w:val="18"/>
        </w:rPr>
        <w:t> </w:t>
      </w:r>
      <w:r w:rsidR="00CC55C0" w:rsidRPr="0071228C">
        <w:rPr>
          <w:noProof/>
          <w:sz w:val="18"/>
        </w:rPr>
        <w:t>cha</w:t>
      </w:r>
      <w:r w:rsidRPr="0071228C">
        <w:rPr>
          <w:noProof/>
          <w:sz w:val="18"/>
        </w:rPr>
        <w:t>rakterze administracyjnym zostaną pokryte</w:t>
      </w:r>
      <w:r w:rsidR="00CC55C0" w:rsidRPr="0071228C">
        <w:rPr>
          <w:noProof/>
          <w:sz w:val="18"/>
        </w:rPr>
        <w:t xml:space="preserve"> z</w:t>
      </w:r>
      <w:r w:rsidR="00CC55C0">
        <w:rPr>
          <w:noProof/>
          <w:sz w:val="18"/>
        </w:rPr>
        <w:t> </w:t>
      </w:r>
      <w:r w:rsidR="00CC55C0" w:rsidRPr="0071228C">
        <w:rPr>
          <w:noProof/>
          <w:sz w:val="18"/>
        </w:rPr>
        <w:t>zas</w:t>
      </w:r>
      <w:r w:rsidRPr="0071228C">
        <w:rPr>
          <w:noProof/>
          <w:sz w:val="18"/>
        </w:rPr>
        <w:t>obów dyrekcji generalnej już przydzielonych na zarządzanie tym działaniem lub przesuniętych</w:t>
      </w:r>
      <w:r w:rsidR="00CC55C0" w:rsidRPr="0071228C">
        <w:rPr>
          <w:noProof/>
          <w:sz w:val="18"/>
        </w:rPr>
        <w:t xml:space="preserve"> w</w:t>
      </w:r>
      <w:r w:rsidR="00CC55C0">
        <w:rPr>
          <w:noProof/>
          <w:sz w:val="18"/>
        </w:rPr>
        <w:t> </w:t>
      </w:r>
      <w:r w:rsidR="00CC55C0" w:rsidRPr="0071228C">
        <w:rPr>
          <w:noProof/>
          <w:sz w:val="18"/>
        </w:rPr>
        <w:t>ram</w:t>
      </w:r>
      <w:r w:rsidRPr="0071228C">
        <w:rPr>
          <w:noProof/>
          <w:sz w:val="18"/>
        </w:rPr>
        <w:t>ach dyrekcji generalnej, uzupełnionych</w:t>
      </w:r>
      <w:r w:rsidR="00CC55C0" w:rsidRPr="0071228C">
        <w:rPr>
          <w:noProof/>
          <w:sz w:val="18"/>
        </w:rPr>
        <w:t xml:space="preserve"> w</w:t>
      </w:r>
      <w:r w:rsidR="00CC55C0">
        <w:rPr>
          <w:noProof/>
          <w:sz w:val="18"/>
        </w:rPr>
        <w:t> </w:t>
      </w:r>
      <w:r w:rsidR="00CC55C0" w:rsidRPr="0071228C">
        <w:rPr>
          <w:noProof/>
          <w:sz w:val="18"/>
        </w:rPr>
        <w:t>raz</w:t>
      </w:r>
      <w:r w:rsidRPr="0071228C">
        <w:rPr>
          <w:noProof/>
          <w:sz w:val="18"/>
        </w:rPr>
        <w:t>ie potrzeby wszelkimi dodatkowymi zasobami, które mogą zostać przydzielone zarządzającej dyrekcji generalnej</w:t>
      </w:r>
      <w:r w:rsidR="00CC55C0" w:rsidRPr="0071228C">
        <w:rPr>
          <w:noProof/>
          <w:sz w:val="18"/>
        </w:rPr>
        <w:t xml:space="preserve"> w</w:t>
      </w:r>
      <w:r w:rsidR="00CC55C0">
        <w:rPr>
          <w:noProof/>
          <w:sz w:val="18"/>
        </w:rPr>
        <w:t> </w:t>
      </w:r>
      <w:r w:rsidR="00CC55C0" w:rsidRPr="0071228C">
        <w:rPr>
          <w:noProof/>
          <w:sz w:val="18"/>
        </w:rPr>
        <w:t>ram</w:t>
      </w:r>
      <w:r w:rsidRPr="0071228C">
        <w:rPr>
          <w:noProof/>
          <w:sz w:val="18"/>
        </w:rPr>
        <w:t>ach procedury rocznego przydziału środków oraz</w:t>
      </w:r>
      <w:r w:rsidR="00CC55C0" w:rsidRPr="0071228C">
        <w:rPr>
          <w:noProof/>
          <w:sz w:val="18"/>
        </w:rPr>
        <w:t xml:space="preserve"> w</w:t>
      </w:r>
      <w:r w:rsidR="00CC55C0">
        <w:rPr>
          <w:noProof/>
          <w:sz w:val="18"/>
        </w:rPr>
        <w:t> </w:t>
      </w:r>
      <w:r w:rsidR="00CC55C0" w:rsidRPr="0071228C">
        <w:rPr>
          <w:noProof/>
          <w:sz w:val="18"/>
        </w:rPr>
        <w:t>świ</w:t>
      </w:r>
      <w:r w:rsidRPr="0071228C">
        <w:rPr>
          <w:noProof/>
          <w:sz w:val="18"/>
        </w:rPr>
        <w:t>etle istniejących ograniczeń budżetowych.</w:t>
      </w:r>
    </w:p>
    <w:p w14:paraId="1DBE275B" w14:textId="77777777" w:rsidR="001C0111" w:rsidRPr="0071228C" w:rsidRDefault="001C0111" w:rsidP="002A2DB0">
      <w:pPr>
        <w:keepNext/>
        <w:outlineLvl w:val="3"/>
        <w:rPr>
          <w:rFonts w:eastAsiaTheme="majorEastAsia"/>
          <w:iCs/>
          <w:noProof/>
          <w:szCs w:val="24"/>
        </w:rPr>
      </w:pPr>
      <w:r w:rsidRPr="0071228C">
        <w:rPr>
          <w:noProof/>
        </w:rPr>
        <w:t xml:space="preserve">Szacowane zapotrzebowanie na zasoby ludzkie </w:t>
      </w:r>
    </w:p>
    <w:p w14:paraId="22F8855C" w14:textId="08FE2F99" w:rsidR="001C0111" w:rsidRPr="0071228C" w:rsidRDefault="001C0111" w:rsidP="002A2DB0">
      <w:pPr>
        <w:rPr>
          <w:noProof/>
        </w:rPr>
      </w:pPr>
      <w:r w:rsidRPr="0071228C">
        <w:rPr>
          <w:rFonts w:ascii="Wingdings" w:hAnsi="Wingdings"/>
          <w:noProof/>
        </w:rPr>
        <w:t></w:t>
      </w:r>
      <w:r w:rsidRPr="0071228C">
        <w:rPr>
          <w:noProof/>
        </w:rPr>
        <w:tab/>
        <w:t>Wniosek/inicjatywa nie wiąże się</w:t>
      </w:r>
      <w:r w:rsidR="00CC55C0" w:rsidRPr="0071228C">
        <w:rPr>
          <w:noProof/>
        </w:rPr>
        <w:t xml:space="preserve"> z</w:t>
      </w:r>
      <w:r w:rsidR="00CC55C0">
        <w:rPr>
          <w:noProof/>
        </w:rPr>
        <w:t> </w:t>
      </w:r>
      <w:r w:rsidR="00CC55C0" w:rsidRPr="0071228C">
        <w:rPr>
          <w:noProof/>
        </w:rPr>
        <w:t>kon</w:t>
      </w:r>
      <w:r w:rsidRPr="0071228C">
        <w:rPr>
          <w:noProof/>
        </w:rPr>
        <w:t xml:space="preserve">iecznością wykorzystania zasobów ludzkich. </w:t>
      </w:r>
    </w:p>
    <w:p w14:paraId="3320CFD9" w14:textId="23FAAAA9" w:rsidR="001C0111" w:rsidRPr="0071228C" w:rsidRDefault="001C0111" w:rsidP="002A2DB0">
      <w:pPr>
        <w:rPr>
          <w:noProof/>
        </w:rPr>
      </w:pPr>
      <w:r w:rsidRPr="0071228C">
        <w:rPr>
          <w:rFonts w:ascii="Wingdings" w:hAnsi="Wingdings"/>
          <w:noProof/>
        </w:rPr>
        <w:t></w:t>
      </w:r>
      <w:r w:rsidRPr="0071228C">
        <w:rPr>
          <w:noProof/>
        </w:rPr>
        <w:tab/>
        <w:t>Wniosek/inicjatywa wiąże się</w:t>
      </w:r>
      <w:r w:rsidR="00CC55C0" w:rsidRPr="0071228C">
        <w:rPr>
          <w:noProof/>
        </w:rPr>
        <w:t xml:space="preserve"> z</w:t>
      </w:r>
      <w:r w:rsidR="00CC55C0">
        <w:rPr>
          <w:noProof/>
        </w:rPr>
        <w:t> </w:t>
      </w:r>
      <w:r w:rsidR="00CC55C0" w:rsidRPr="0071228C">
        <w:rPr>
          <w:noProof/>
        </w:rPr>
        <w:t>kon</w:t>
      </w:r>
      <w:r w:rsidRPr="0071228C">
        <w:rPr>
          <w:noProof/>
        </w:rPr>
        <w:t>iecznością wykorzystania zasobów ludzkich, jak określono poniżej:</w:t>
      </w:r>
    </w:p>
    <w:p w14:paraId="0CD27EDE" w14:textId="77777777" w:rsidR="001C0111" w:rsidRPr="0071228C" w:rsidRDefault="001C0111" w:rsidP="001C0111">
      <w:pPr>
        <w:rPr>
          <w:noProof/>
          <w:sz w:val="18"/>
          <w:lang w:eastAsia="en-GB"/>
        </w:rPr>
      </w:pPr>
    </w:p>
    <w:p w14:paraId="0259C59F" w14:textId="77777777" w:rsidR="001C0111" w:rsidRPr="0071228C" w:rsidRDefault="001C0111" w:rsidP="001C0111">
      <w:pPr>
        <w:spacing w:after="60"/>
        <w:jc w:val="right"/>
        <w:rPr>
          <w:i/>
          <w:noProof/>
          <w:sz w:val="20"/>
          <w:lang w:eastAsia="en-GB"/>
        </w:rPr>
      </w:pPr>
    </w:p>
    <w:p w14:paraId="48FF165D" w14:textId="490CFA70" w:rsidR="001C0111" w:rsidRPr="0071228C" w:rsidRDefault="001C0111" w:rsidP="001C0111">
      <w:pPr>
        <w:spacing w:after="60"/>
        <w:jc w:val="right"/>
        <w:rPr>
          <w:i/>
          <w:noProof/>
          <w:sz w:val="20"/>
        </w:rPr>
      </w:pPr>
      <w:r w:rsidRPr="0071228C">
        <w:rPr>
          <w:i/>
          <w:noProof/>
          <w:sz w:val="20"/>
        </w:rPr>
        <w:t>Wartości szacunkowe należy wyrazić</w:t>
      </w:r>
      <w:r w:rsidR="00CC55C0" w:rsidRPr="0071228C">
        <w:rPr>
          <w:i/>
          <w:noProof/>
          <w:sz w:val="20"/>
        </w:rPr>
        <w:t xml:space="preserve"> w</w:t>
      </w:r>
      <w:r w:rsidR="00CC55C0">
        <w:rPr>
          <w:i/>
          <w:noProof/>
          <w:sz w:val="20"/>
        </w:rPr>
        <w:t> </w:t>
      </w:r>
      <w:r w:rsidR="00CC55C0" w:rsidRPr="0071228C">
        <w:rPr>
          <w:i/>
          <w:noProof/>
          <w:sz w:val="20"/>
        </w:rPr>
        <w:t>ekw</w:t>
      </w:r>
      <w:r w:rsidRPr="0071228C">
        <w:rPr>
          <w:i/>
          <w:noProof/>
          <w:sz w:val="20"/>
        </w:rPr>
        <w:t>iwalentach pełnego czasu pracy</w:t>
      </w:r>
    </w:p>
    <w:tbl>
      <w:tblPr>
        <w:tblW w:w="8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gridCol w:w="731"/>
      </w:tblGrid>
      <w:tr w:rsidR="001C0111" w:rsidRPr="0071228C" w14:paraId="7ADF7E2E" w14:textId="77777777" w:rsidTr="00EE4772">
        <w:trPr>
          <w:trHeight w:val="289"/>
          <w:jc w:val="center"/>
        </w:trPr>
        <w:tc>
          <w:tcPr>
            <w:tcW w:w="4754" w:type="dxa"/>
            <w:gridSpan w:val="2"/>
            <w:shd w:val="clear" w:color="auto" w:fill="auto"/>
          </w:tcPr>
          <w:p w14:paraId="7D09D110" w14:textId="77777777" w:rsidR="001C0111" w:rsidRPr="0071228C" w:rsidRDefault="001C0111" w:rsidP="001C0111">
            <w:pPr>
              <w:spacing w:before="40" w:after="40"/>
              <w:jc w:val="center"/>
              <w:rPr>
                <w:i/>
                <w:noProof/>
                <w:sz w:val="16"/>
                <w:szCs w:val="16"/>
                <w:lang w:eastAsia="en-GB"/>
              </w:rPr>
            </w:pPr>
          </w:p>
        </w:tc>
        <w:tc>
          <w:tcPr>
            <w:tcW w:w="731" w:type="dxa"/>
            <w:shd w:val="clear" w:color="auto" w:fill="auto"/>
            <w:vAlign w:val="center"/>
          </w:tcPr>
          <w:p w14:paraId="7CA65D80" w14:textId="77777777" w:rsidR="001C0111" w:rsidRPr="0071228C" w:rsidRDefault="001C0111" w:rsidP="001C0111">
            <w:pPr>
              <w:spacing w:before="20" w:after="20"/>
              <w:jc w:val="center"/>
              <w:rPr>
                <w:b/>
                <w:noProof/>
                <w:sz w:val="16"/>
                <w:szCs w:val="16"/>
              </w:rPr>
            </w:pPr>
            <w:r w:rsidRPr="0071228C">
              <w:rPr>
                <w:b/>
                <w:noProof/>
                <w:sz w:val="16"/>
              </w:rPr>
              <w:t>2023</w:t>
            </w:r>
          </w:p>
        </w:tc>
        <w:tc>
          <w:tcPr>
            <w:tcW w:w="731" w:type="dxa"/>
            <w:shd w:val="clear" w:color="auto" w:fill="auto"/>
            <w:vAlign w:val="center"/>
          </w:tcPr>
          <w:p w14:paraId="155E0019" w14:textId="77777777" w:rsidR="001C0111" w:rsidRPr="0071228C" w:rsidRDefault="001C0111" w:rsidP="001C0111">
            <w:pPr>
              <w:spacing w:before="20" w:after="20"/>
              <w:jc w:val="center"/>
              <w:rPr>
                <w:b/>
                <w:noProof/>
                <w:sz w:val="16"/>
                <w:szCs w:val="16"/>
              </w:rPr>
            </w:pPr>
            <w:r w:rsidRPr="0071228C">
              <w:rPr>
                <w:b/>
                <w:noProof/>
                <w:sz w:val="16"/>
              </w:rPr>
              <w:t>2024</w:t>
            </w:r>
          </w:p>
        </w:tc>
        <w:tc>
          <w:tcPr>
            <w:tcW w:w="731" w:type="dxa"/>
            <w:shd w:val="clear" w:color="auto" w:fill="auto"/>
            <w:vAlign w:val="center"/>
          </w:tcPr>
          <w:p w14:paraId="523677A7" w14:textId="77777777" w:rsidR="001C0111" w:rsidRPr="0071228C" w:rsidRDefault="001C0111" w:rsidP="001C0111">
            <w:pPr>
              <w:spacing w:before="20" w:after="20"/>
              <w:jc w:val="center"/>
              <w:rPr>
                <w:b/>
                <w:noProof/>
                <w:sz w:val="16"/>
                <w:szCs w:val="16"/>
              </w:rPr>
            </w:pPr>
            <w:r w:rsidRPr="0071228C">
              <w:rPr>
                <w:b/>
                <w:noProof/>
                <w:sz w:val="16"/>
              </w:rPr>
              <w:t>2025</w:t>
            </w:r>
          </w:p>
        </w:tc>
        <w:tc>
          <w:tcPr>
            <w:tcW w:w="731" w:type="dxa"/>
            <w:shd w:val="clear" w:color="auto" w:fill="auto"/>
            <w:vAlign w:val="center"/>
          </w:tcPr>
          <w:p w14:paraId="0E9920D5" w14:textId="77777777" w:rsidR="001C0111" w:rsidRPr="0071228C" w:rsidRDefault="001C0111" w:rsidP="001C0111">
            <w:pPr>
              <w:spacing w:before="20" w:after="20"/>
              <w:jc w:val="center"/>
              <w:rPr>
                <w:b/>
                <w:noProof/>
                <w:sz w:val="16"/>
                <w:szCs w:val="16"/>
              </w:rPr>
            </w:pPr>
            <w:r w:rsidRPr="0071228C">
              <w:rPr>
                <w:b/>
                <w:noProof/>
                <w:sz w:val="16"/>
              </w:rPr>
              <w:t>2026</w:t>
            </w:r>
          </w:p>
        </w:tc>
        <w:tc>
          <w:tcPr>
            <w:tcW w:w="731" w:type="dxa"/>
            <w:shd w:val="clear" w:color="auto" w:fill="auto"/>
            <w:vAlign w:val="center"/>
          </w:tcPr>
          <w:p w14:paraId="238D32B8" w14:textId="77777777" w:rsidR="001C0111" w:rsidRPr="0071228C" w:rsidRDefault="001C0111" w:rsidP="001C0111">
            <w:pPr>
              <w:jc w:val="center"/>
              <w:rPr>
                <w:b/>
                <w:noProof/>
                <w:sz w:val="16"/>
                <w:szCs w:val="16"/>
              </w:rPr>
            </w:pPr>
            <w:r w:rsidRPr="0071228C">
              <w:rPr>
                <w:b/>
                <w:noProof/>
                <w:sz w:val="16"/>
              </w:rPr>
              <w:t>2027 (i kolejne lata)</w:t>
            </w:r>
          </w:p>
        </w:tc>
      </w:tr>
      <w:tr w:rsidR="001C0111" w:rsidRPr="0071228C" w14:paraId="3A4BA30E" w14:textId="77777777" w:rsidTr="00EE4772">
        <w:trPr>
          <w:trHeight w:val="289"/>
          <w:jc w:val="center"/>
        </w:trPr>
        <w:tc>
          <w:tcPr>
            <w:tcW w:w="4754" w:type="dxa"/>
            <w:gridSpan w:val="2"/>
            <w:shd w:val="clear" w:color="auto" w:fill="auto"/>
            <w:vAlign w:val="center"/>
          </w:tcPr>
          <w:p w14:paraId="6AF89389" w14:textId="2C42D18F" w:rsidR="001C0111" w:rsidRPr="0071228C" w:rsidRDefault="001C0111" w:rsidP="001C0111">
            <w:pPr>
              <w:spacing w:beforeLines="20" w:before="48" w:afterLines="20" w:after="48"/>
              <w:ind w:left="134"/>
              <w:jc w:val="left"/>
              <w:rPr>
                <w:b/>
                <w:noProof/>
                <w:sz w:val="16"/>
                <w:szCs w:val="16"/>
              </w:rPr>
            </w:pPr>
            <w:r w:rsidRPr="0071228C">
              <w:rPr>
                <w:noProof/>
                <w:sz w:val="16"/>
              </w:rPr>
              <w:t>20 01 02 01</w:t>
            </w:r>
            <w:r w:rsidRPr="0071228C">
              <w:rPr>
                <w:rFonts w:ascii="Arial Narrow" w:hAnsi="Arial Narrow"/>
                <w:noProof/>
                <w:color w:val="000000"/>
                <w:sz w:val="20"/>
              </w:rPr>
              <w:t xml:space="preserve"> </w:t>
            </w:r>
            <w:r w:rsidRPr="0071228C">
              <w:rPr>
                <w:noProof/>
                <w:sz w:val="16"/>
              </w:rPr>
              <w:t>(w centrali</w:t>
            </w:r>
            <w:r w:rsidR="00CC55C0" w:rsidRPr="0071228C">
              <w:rPr>
                <w:noProof/>
                <w:sz w:val="16"/>
              </w:rPr>
              <w:t xml:space="preserve"> i</w:t>
            </w:r>
            <w:r w:rsidR="00CC55C0">
              <w:rPr>
                <w:noProof/>
                <w:sz w:val="16"/>
              </w:rPr>
              <w:t> </w:t>
            </w:r>
            <w:r w:rsidR="00CC55C0" w:rsidRPr="0071228C">
              <w:rPr>
                <w:noProof/>
                <w:sz w:val="16"/>
              </w:rPr>
              <w:t>w</w:t>
            </w:r>
            <w:r w:rsidR="00CC55C0">
              <w:rPr>
                <w:noProof/>
                <w:sz w:val="16"/>
              </w:rPr>
              <w:t> </w:t>
            </w:r>
            <w:r w:rsidR="00CC55C0" w:rsidRPr="0071228C">
              <w:rPr>
                <w:noProof/>
                <w:sz w:val="16"/>
              </w:rPr>
              <w:t>biu</w:t>
            </w:r>
            <w:r w:rsidRPr="0071228C">
              <w:rPr>
                <w:noProof/>
                <w:sz w:val="16"/>
              </w:rPr>
              <w:t>rach przedstawicielstw Komisji)</w:t>
            </w:r>
          </w:p>
        </w:tc>
        <w:tc>
          <w:tcPr>
            <w:tcW w:w="731" w:type="dxa"/>
            <w:shd w:val="clear" w:color="auto" w:fill="auto"/>
            <w:vAlign w:val="center"/>
          </w:tcPr>
          <w:p w14:paraId="5D40CD1A" w14:textId="77777777" w:rsidR="001C0111" w:rsidRPr="0071228C" w:rsidRDefault="001C0111" w:rsidP="001C0111">
            <w:pPr>
              <w:spacing w:beforeLines="20" w:before="48" w:afterLines="20" w:after="48"/>
              <w:jc w:val="center"/>
              <w:rPr>
                <w:noProof/>
                <w:sz w:val="16"/>
                <w:szCs w:val="16"/>
              </w:rPr>
            </w:pPr>
            <w:r w:rsidRPr="0071228C">
              <w:rPr>
                <w:noProof/>
                <w:sz w:val="16"/>
              </w:rPr>
              <w:t>2</w:t>
            </w:r>
          </w:p>
        </w:tc>
        <w:tc>
          <w:tcPr>
            <w:tcW w:w="731" w:type="dxa"/>
            <w:shd w:val="clear" w:color="auto" w:fill="auto"/>
            <w:vAlign w:val="center"/>
          </w:tcPr>
          <w:p w14:paraId="1A0952A9" w14:textId="77777777" w:rsidR="001C0111" w:rsidRPr="0071228C" w:rsidRDefault="001C0111" w:rsidP="001C0111">
            <w:pPr>
              <w:spacing w:beforeLines="20" w:before="48" w:afterLines="20" w:after="48"/>
              <w:jc w:val="center"/>
              <w:rPr>
                <w:noProof/>
                <w:sz w:val="16"/>
                <w:szCs w:val="16"/>
              </w:rPr>
            </w:pPr>
            <w:r w:rsidRPr="0071228C">
              <w:rPr>
                <w:noProof/>
                <w:sz w:val="16"/>
              </w:rPr>
              <w:t>2</w:t>
            </w:r>
          </w:p>
        </w:tc>
        <w:tc>
          <w:tcPr>
            <w:tcW w:w="731" w:type="dxa"/>
            <w:shd w:val="clear" w:color="auto" w:fill="auto"/>
            <w:vAlign w:val="center"/>
          </w:tcPr>
          <w:p w14:paraId="72B4ECAA" w14:textId="77777777" w:rsidR="001C0111" w:rsidRPr="0071228C" w:rsidRDefault="001C0111" w:rsidP="001C0111">
            <w:pPr>
              <w:spacing w:beforeLines="20" w:before="48" w:afterLines="20" w:after="48"/>
              <w:jc w:val="center"/>
              <w:rPr>
                <w:noProof/>
                <w:sz w:val="16"/>
                <w:szCs w:val="16"/>
              </w:rPr>
            </w:pPr>
            <w:r w:rsidRPr="0071228C">
              <w:rPr>
                <w:noProof/>
                <w:sz w:val="16"/>
              </w:rPr>
              <w:t>2</w:t>
            </w:r>
          </w:p>
        </w:tc>
        <w:tc>
          <w:tcPr>
            <w:tcW w:w="731" w:type="dxa"/>
            <w:shd w:val="clear" w:color="auto" w:fill="auto"/>
            <w:vAlign w:val="center"/>
          </w:tcPr>
          <w:p w14:paraId="21E83CB5" w14:textId="77777777" w:rsidR="001C0111" w:rsidRPr="0071228C" w:rsidRDefault="001C0111" w:rsidP="001C0111">
            <w:pPr>
              <w:spacing w:beforeLines="20" w:before="48" w:afterLines="20" w:after="48"/>
              <w:jc w:val="center"/>
              <w:rPr>
                <w:noProof/>
                <w:sz w:val="16"/>
                <w:szCs w:val="16"/>
              </w:rPr>
            </w:pPr>
            <w:r w:rsidRPr="0071228C">
              <w:rPr>
                <w:noProof/>
                <w:sz w:val="16"/>
              </w:rPr>
              <w:t>2</w:t>
            </w:r>
          </w:p>
        </w:tc>
        <w:tc>
          <w:tcPr>
            <w:tcW w:w="731" w:type="dxa"/>
            <w:shd w:val="clear" w:color="auto" w:fill="auto"/>
            <w:vAlign w:val="center"/>
          </w:tcPr>
          <w:p w14:paraId="656DA479" w14:textId="77777777" w:rsidR="001C0111" w:rsidRPr="0071228C" w:rsidRDefault="001C0111" w:rsidP="001C0111">
            <w:pPr>
              <w:spacing w:beforeLines="20" w:before="48" w:afterLines="20" w:after="48"/>
              <w:jc w:val="center"/>
              <w:rPr>
                <w:noProof/>
                <w:sz w:val="16"/>
                <w:szCs w:val="16"/>
              </w:rPr>
            </w:pPr>
            <w:r w:rsidRPr="0071228C">
              <w:rPr>
                <w:noProof/>
                <w:sz w:val="16"/>
              </w:rPr>
              <w:t>2</w:t>
            </w:r>
          </w:p>
        </w:tc>
      </w:tr>
      <w:tr w:rsidR="001C0111" w:rsidRPr="0071228C" w14:paraId="54C3B4A0" w14:textId="77777777" w:rsidTr="00EE4772">
        <w:trPr>
          <w:trHeight w:val="289"/>
          <w:jc w:val="center"/>
        </w:trPr>
        <w:tc>
          <w:tcPr>
            <w:tcW w:w="4754" w:type="dxa"/>
            <w:gridSpan w:val="2"/>
            <w:shd w:val="clear" w:color="auto" w:fill="auto"/>
            <w:vAlign w:val="center"/>
          </w:tcPr>
          <w:p w14:paraId="02BB158C" w14:textId="77777777" w:rsidR="001C0111" w:rsidRPr="0071228C" w:rsidRDefault="001C0111" w:rsidP="001C0111">
            <w:pPr>
              <w:spacing w:beforeLines="20" w:before="48" w:afterLines="20" w:after="48"/>
              <w:ind w:left="134"/>
              <w:jc w:val="left"/>
              <w:rPr>
                <w:noProof/>
                <w:sz w:val="16"/>
              </w:rPr>
            </w:pPr>
            <w:r w:rsidRPr="0071228C">
              <w:rPr>
                <w:noProof/>
                <w:sz w:val="16"/>
              </w:rPr>
              <w:t>20 01 02 03 (w delegaturach)</w:t>
            </w:r>
          </w:p>
        </w:tc>
        <w:tc>
          <w:tcPr>
            <w:tcW w:w="731" w:type="dxa"/>
            <w:shd w:val="clear" w:color="auto" w:fill="auto"/>
            <w:vAlign w:val="center"/>
          </w:tcPr>
          <w:p w14:paraId="5E365DF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6BEEEB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45D81514"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DAD881F"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54BB74C"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718C077F" w14:textId="77777777" w:rsidTr="00EE4772">
        <w:trPr>
          <w:trHeight w:val="289"/>
          <w:jc w:val="center"/>
        </w:trPr>
        <w:tc>
          <w:tcPr>
            <w:tcW w:w="4754" w:type="dxa"/>
            <w:gridSpan w:val="2"/>
            <w:shd w:val="clear" w:color="auto" w:fill="auto"/>
            <w:vAlign w:val="center"/>
          </w:tcPr>
          <w:p w14:paraId="72F54C0B" w14:textId="182F6CE0" w:rsidR="001C0111" w:rsidRPr="0071228C" w:rsidRDefault="001C0111" w:rsidP="001C0111">
            <w:pPr>
              <w:spacing w:beforeLines="20" w:before="48" w:afterLines="20" w:after="48"/>
              <w:ind w:left="134"/>
              <w:jc w:val="left"/>
              <w:rPr>
                <w:noProof/>
                <w:sz w:val="16"/>
                <w:szCs w:val="16"/>
              </w:rPr>
            </w:pPr>
            <w:r w:rsidRPr="0071228C">
              <w:rPr>
                <w:noProof/>
                <w:sz w:val="16"/>
              </w:rPr>
              <w:t>01 01 01 0</w:t>
            </w:r>
            <w:r w:rsidRPr="00CC55C0">
              <w:rPr>
                <w:noProof/>
                <w:sz w:val="16"/>
              </w:rPr>
              <w:t>1</w:t>
            </w:r>
            <w:r w:rsidR="00CC55C0" w:rsidRPr="00CC55C0">
              <w:rPr>
                <w:rFonts w:ascii="Arial Narrow" w:hAnsi="Arial Narrow"/>
                <w:noProof/>
                <w:color w:val="000000"/>
                <w:sz w:val="20"/>
              </w:rPr>
              <w:t xml:space="preserve"> </w:t>
            </w:r>
            <w:r w:rsidRPr="00CC55C0">
              <w:rPr>
                <w:noProof/>
                <w:sz w:val="16"/>
              </w:rPr>
              <w:t>(</w:t>
            </w:r>
            <w:r w:rsidRPr="0071228C">
              <w:rPr>
                <w:noProof/>
                <w:sz w:val="16"/>
              </w:rPr>
              <w:t>pośrednie badania naukowe)</w:t>
            </w:r>
          </w:p>
        </w:tc>
        <w:tc>
          <w:tcPr>
            <w:tcW w:w="731" w:type="dxa"/>
            <w:shd w:val="clear" w:color="auto" w:fill="auto"/>
            <w:vAlign w:val="center"/>
          </w:tcPr>
          <w:p w14:paraId="47732DBE"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8AEB3A8"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12F018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359AB06"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202D400"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7E7DEDC0" w14:textId="77777777" w:rsidTr="00EE4772">
        <w:trPr>
          <w:trHeight w:val="289"/>
          <w:jc w:val="center"/>
        </w:trPr>
        <w:tc>
          <w:tcPr>
            <w:tcW w:w="4754" w:type="dxa"/>
            <w:gridSpan w:val="2"/>
            <w:shd w:val="clear" w:color="auto" w:fill="auto"/>
            <w:vAlign w:val="center"/>
          </w:tcPr>
          <w:p w14:paraId="24088AF3" w14:textId="77777777" w:rsidR="001C0111" w:rsidRPr="0071228C" w:rsidRDefault="001C0111" w:rsidP="001C0111">
            <w:pPr>
              <w:spacing w:beforeLines="20" w:before="48" w:afterLines="20" w:after="48"/>
              <w:ind w:left="134"/>
              <w:jc w:val="left"/>
              <w:rPr>
                <w:noProof/>
                <w:sz w:val="16"/>
                <w:szCs w:val="16"/>
              </w:rPr>
            </w:pPr>
            <w:r w:rsidRPr="0071228C">
              <w:rPr>
                <w:noProof/>
                <w:sz w:val="16"/>
              </w:rPr>
              <w:t xml:space="preserve"> 01 01 01 11 (bezpośrednie badania naukowe)</w:t>
            </w:r>
          </w:p>
        </w:tc>
        <w:tc>
          <w:tcPr>
            <w:tcW w:w="731" w:type="dxa"/>
            <w:shd w:val="clear" w:color="auto" w:fill="auto"/>
            <w:vAlign w:val="center"/>
          </w:tcPr>
          <w:p w14:paraId="76C750D5"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775034C"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F0C67A1"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9F07057"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812A62C"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302BA53F" w14:textId="77777777" w:rsidTr="00EE4772">
        <w:trPr>
          <w:trHeight w:val="289"/>
          <w:jc w:val="center"/>
        </w:trPr>
        <w:tc>
          <w:tcPr>
            <w:tcW w:w="4754" w:type="dxa"/>
            <w:gridSpan w:val="2"/>
            <w:shd w:val="clear" w:color="auto" w:fill="auto"/>
            <w:vAlign w:val="center"/>
          </w:tcPr>
          <w:p w14:paraId="4016E40C" w14:textId="77777777" w:rsidR="001C0111" w:rsidRPr="0071228C" w:rsidRDefault="001C0111" w:rsidP="001C0111">
            <w:pPr>
              <w:spacing w:beforeLines="20" w:before="48" w:afterLines="20" w:after="48"/>
              <w:ind w:left="134"/>
              <w:jc w:val="left"/>
              <w:rPr>
                <w:noProof/>
                <w:sz w:val="16"/>
              </w:rPr>
            </w:pPr>
            <w:r w:rsidRPr="0071228C">
              <w:rPr>
                <w:noProof/>
                <w:sz w:val="16"/>
              </w:rPr>
              <w:t>Inna linia budżetowa (określić)</w:t>
            </w:r>
          </w:p>
        </w:tc>
        <w:tc>
          <w:tcPr>
            <w:tcW w:w="731" w:type="dxa"/>
            <w:shd w:val="clear" w:color="auto" w:fill="auto"/>
            <w:vAlign w:val="center"/>
          </w:tcPr>
          <w:p w14:paraId="49377F98"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126BEE3"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675EE0B"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53A0546"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DE909D9"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4F52BDC5" w14:textId="77777777" w:rsidTr="00EE4772">
        <w:trPr>
          <w:trHeight w:val="289"/>
          <w:jc w:val="center"/>
        </w:trPr>
        <w:tc>
          <w:tcPr>
            <w:tcW w:w="4754" w:type="dxa"/>
            <w:gridSpan w:val="2"/>
            <w:shd w:val="clear" w:color="auto" w:fill="auto"/>
            <w:vAlign w:val="center"/>
          </w:tcPr>
          <w:p w14:paraId="156F2C71" w14:textId="7F09C354" w:rsidR="001C0111" w:rsidRPr="0071228C" w:rsidRDefault="001C0111" w:rsidP="001C0111">
            <w:pPr>
              <w:spacing w:beforeLines="20" w:before="48" w:afterLines="20" w:after="48"/>
              <w:ind w:left="136"/>
              <w:jc w:val="left"/>
              <w:rPr>
                <w:b/>
                <w:noProof/>
                <w:sz w:val="16"/>
                <w:szCs w:val="16"/>
              </w:rPr>
            </w:pPr>
            <w:r w:rsidRPr="0071228C">
              <w:rPr>
                <w:noProof/>
                <w:sz w:val="16"/>
              </w:rPr>
              <w:t>20 02 01</w:t>
            </w:r>
            <w:r w:rsidRPr="0071228C">
              <w:rPr>
                <w:rFonts w:ascii="Arial Narrow" w:hAnsi="Arial Narrow"/>
                <w:noProof/>
                <w:color w:val="000000"/>
                <w:sz w:val="20"/>
              </w:rPr>
              <w:t xml:space="preserve"> </w:t>
            </w:r>
            <w:r w:rsidRPr="0071228C">
              <w:rPr>
                <w:noProof/>
                <w:sz w:val="16"/>
              </w:rPr>
              <w:t>(CA, SNE, INT</w:t>
            </w:r>
            <w:r w:rsidR="00CC55C0" w:rsidRPr="0071228C">
              <w:rPr>
                <w:noProof/>
                <w:sz w:val="16"/>
              </w:rPr>
              <w:t xml:space="preserve"> z</w:t>
            </w:r>
            <w:r w:rsidR="00CC55C0">
              <w:rPr>
                <w:noProof/>
                <w:sz w:val="16"/>
              </w:rPr>
              <w:t> </w:t>
            </w:r>
            <w:r w:rsidR="00CC55C0" w:rsidRPr="0071228C">
              <w:rPr>
                <w:noProof/>
                <w:sz w:val="16"/>
              </w:rPr>
              <w:t>glo</w:t>
            </w:r>
            <w:r w:rsidRPr="0071228C">
              <w:rPr>
                <w:noProof/>
                <w:sz w:val="16"/>
              </w:rPr>
              <w:t>balnej koperty finansowej)</w:t>
            </w:r>
          </w:p>
        </w:tc>
        <w:tc>
          <w:tcPr>
            <w:tcW w:w="731" w:type="dxa"/>
            <w:shd w:val="clear" w:color="auto" w:fill="auto"/>
            <w:vAlign w:val="center"/>
          </w:tcPr>
          <w:p w14:paraId="6508BA9F"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AEC6238"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980CCDE"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D404846"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621875D"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4A38CCC4" w14:textId="77777777" w:rsidTr="00EE4772">
        <w:trPr>
          <w:trHeight w:val="289"/>
          <w:jc w:val="center"/>
        </w:trPr>
        <w:tc>
          <w:tcPr>
            <w:tcW w:w="4754" w:type="dxa"/>
            <w:gridSpan w:val="2"/>
            <w:shd w:val="clear" w:color="auto" w:fill="auto"/>
            <w:vAlign w:val="center"/>
          </w:tcPr>
          <w:p w14:paraId="3447173E" w14:textId="68B75D4E" w:rsidR="001C0111" w:rsidRPr="0071228C" w:rsidRDefault="001C0111" w:rsidP="001C0111">
            <w:pPr>
              <w:spacing w:beforeLines="20" w:before="48" w:afterLines="20" w:after="48"/>
              <w:ind w:left="136"/>
              <w:jc w:val="left"/>
              <w:rPr>
                <w:noProof/>
                <w:sz w:val="16"/>
              </w:rPr>
            </w:pPr>
            <w:r w:rsidRPr="0071228C">
              <w:rPr>
                <w:noProof/>
                <w:sz w:val="16"/>
              </w:rPr>
              <w:t>20 02 03 (CA, LA, SNE, INT i JPD</w:t>
            </w:r>
            <w:r w:rsidR="00CC55C0" w:rsidRPr="0071228C">
              <w:rPr>
                <w:noProof/>
                <w:sz w:val="16"/>
              </w:rPr>
              <w:t xml:space="preserve"> w</w:t>
            </w:r>
            <w:r w:rsidR="00CC55C0">
              <w:rPr>
                <w:noProof/>
                <w:sz w:val="16"/>
              </w:rPr>
              <w:t> </w:t>
            </w:r>
            <w:r w:rsidR="00CC55C0" w:rsidRPr="0071228C">
              <w:rPr>
                <w:noProof/>
                <w:sz w:val="16"/>
              </w:rPr>
              <w:t>del</w:t>
            </w:r>
            <w:r w:rsidRPr="0071228C">
              <w:rPr>
                <w:noProof/>
                <w:sz w:val="16"/>
              </w:rPr>
              <w:t>egaturach)</w:t>
            </w:r>
          </w:p>
        </w:tc>
        <w:tc>
          <w:tcPr>
            <w:tcW w:w="731" w:type="dxa"/>
            <w:shd w:val="clear" w:color="auto" w:fill="auto"/>
            <w:vAlign w:val="center"/>
          </w:tcPr>
          <w:p w14:paraId="265375D9"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ADCD4E1"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4DFADC8"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41A96D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B189C82"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48008317" w14:textId="77777777" w:rsidTr="00EE4772">
        <w:trPr>
          <w:trHeight w:val="289"/>
          <w:jc w:val="center"/>
        </w:trPr>
        <w:tc>
          <w:tcPr>
            <w:tcW w:w="2376" w:type="dxa"/>
            <w:vMerge w:val="restart"/>
            <w:shd w:val="clear" w:color="auto" w:fill="auto"/>
            <w:vAlign w:val="center"/>
          </w:tcPr>
          <w:p w14:paraId="0014551F" w14:textId="0C2473D8" w:rsidR="001C0111" w:rsidRPr="0071228C" w:rsidRDefault="001C0111" w:rsidP="001C0111">
            <w:pPr>
              <w:spacing w:beforeLines="20" w:before="48" w:afterLines="20" w:after="48"/>
              <w:ind w:left="136"/>
              <w:jc w:val="left"/>
              <w:rPr>
                <w:b/>
                <w:noProof/>
                <w:sz w:val="16"/>
                <w:szCs w:val="16"/>
              </w:rPr>
            </w:pPr>
            <w:r w:rsidRPr="0071228C">
              <w:rPr>
                <w:b/>
                <w:noProof/>
                <w:sz w:val="16"/>
              </w:rPr>
              <w:t>XX</w:t>
            </w:r>
            <w:r w:rsidRPr="0071228C">
              <w:rPr>
                <w:noProof/>
                <w:sz w:val="16"/>
              </w:rPr>
              <w:t xml:space="preserve"> 0</w:t>
            </w:r>
            <w:r w:rsidRPr="00CC55C0">
              <w:rPr>
                <w:noProof/>
                <w:sz w:val="16"/>
              </w:rPr>
              <w:t>1</w:t>
            </w:r>
            <w:r w:rsidR="00CC55C0" w:rsidRPr="00CC55C0">
              <w:rPr>
                <w:noProof/>
                <w:sz w:val="16"/>
              </w:rPr>
              <w:t xml:space="preserve"> </w:t>
            </w:r>
            <w:r w:rsidRPr="00CC55C0">
              <w:rPr>
                <w:noProof/>
                <w:sz w:val="16"/>
              </w:rPr>
              <w:t>x</w:t>
            </w:r>
            <w:r w:rsidRPr="0071228C">
              <w:rPr>
                <w:noProof/>
                <w:sz w:val="16"/>
              </w:rPr>
              <w:t xml:space="preserve">x </w:t>
            </w:r>
            <w:r w:rsidRPr="0071228C">
              <w:rPr>
                <w:b/>
                <w:noProof/>
                <w:sz w:val="16"/>
              </w:rPr>
              <w:t>yy z</w:t>
            </w:r>
            <w:r w:rsidRPr="00CC55C0">
              <w:rPr>
                <w:b/>
                <w:noProof/>
                <w:sz w:val="16"/>
              </w:rPr>
              <w:t>z</w:t>
            </w:r>
            <w:r w:rsidR="00CC55C0" w:rsidRPr="00CC55C0">
              <w:rPr>
                <w:b/>
                <w:noProof/>
                <w:sz w:val="16"/>
              </w:rPr>
              <w:t xml:space="preserve"> </w:t>
            </w:r>
            <w:r w:rsidRPr="00CC55C0">
              <w:rPr>
                <w:rStyle w:val="FootnoteReference"/>
                <w:noProof/>
              </w:rPr>
              <w:footnoteReference w:id="75"/>
            </w:r>
          </w:p>
          <w:p w14:paraId="2712388A" w14:textId="77777777" w:rsidR="001C0111" w:rsidRPr="0071228C" w:rsidRDefault="001C0111" w:rsidP="001C0111">
            <w:pPr>
              <w:spacing w:beforeLines="20" w:before="48" w:afterLines="20" w:after="48"/>
              <w:ind w:left="136"/>
              <w:jc w:val="left"/>
              <w:rPr>
                <w:b/>
                <w:noProof/>
                <w:sz w:val="16"/>
                <w:szCs w:val="16"/>
                <w:lang w:eastAsia="en-GB"/>
              </w:rPr>
            </w:pPr>
          </w:p>
        </w:tc>
        <w:tc>
          <w:tcPr>
            <w:tcW w:w="2378" w:type="dxa"/>
            <w:shd w:val="clear" w:color="auto" w:fill="auto"/>
            <w:vAlign w:val="center"/>
          </w:tcPr>
          <w:p w14:paraId="010FDB68" w14:textId="3679BB36" w:rsidR="001C0111" w:rsidRPr="0071228C" w:rsidRDefault="001C0111" w:rsidP="001C0111">
            <w:pPr>
              <w:spacing w:beforeLines="20" w:before="48" w:afterLines="20" w:after="48"/>
              <w:ind w:left="136"/>
              <w:jc w:val="left"/>
              <w:rPr>
                <w:b/>
                <w:noProof/>
                <w:sz w:val="16"/>
                <w:szCs w:val="16"/>
              </w:rPr>
            </w:pPr>
            <w:r w:rsidRPr="0071228C">
              <w:rPr>
                <w:noProof/>
                <w:sz w:val="16"/>
              </w:rPr>
              <w:t>-</w:t>
            </w:r>
            <w:r w:rsidR="00CC55C0" w:rsidRPr="0071228C">
              <w:rPr>
                <w:noProof/>
                <w:sz w:val="16"/>
              </w:rPr>
              <w:t xml:space="preserve"> w</w:t>
            </w:r>
            <w:r w:rsidR="00CC55C0">
              <w:rPr>
                <w:noProof/>
                <w:sz w:val="16"/>
              </w:rPr>
              <w:t> </w:t>
            </w:r>
            <w:r w:rsidR="00CC55C0" w:rsidRPr="0071228C">
              <w:rPr>
                <w:noProof/>
                <w:sz w:val="16"/>
              </w:rPr>
              <w:t>cen</w:t>
            </w:r>
            <w:r w:rsidRPr="0071228C">
              <w:rPr>
                <w:noProof/>
                <w:sz w:val="16"/>
              </w:rPr>
              <w:t>trali</w:t>
            </w:r>
          </w:p>
          <w:p w14:paraId="5860DAA7" w14:textId="77777777" w:rsidR="001C0111" w:rsidRPr="0071228C" w:rsidRDefault="001C0111" w:rsidP="001C0111">
            <w:pPr>
              <w:spacing w:beforeLines="20" w:before="48" w:afterLines="20" w:after="48"/>
              <w:ind w:left="136"/>
              <w:jc w:val="left"/>
              <w:rPr>
                <w:b/>
                <w:noProof/>
                <w:sz w:val="16"/>
                <w:szCs w:val="16"/>
                <w:lang w:eastAsia="en-GB"/>
              </w:rPr>
            </w:pPr>
          </w:p>
        </w:tc>
        <w:tc>
          <w:tcPr>
            <w:tcW w:w="731" w:type="dxa"/>
            <w:shd w:val="clear" w:color="auto" w:fill="auto"/>
            <w:vAlign w:val="center"/>
          </w:tcPr>
          <w:p w14:paraId="16B12984" w14:textId="77777777" w:rsidR="001C0111" w:rsidRPr="0071228C" w:rsidRDefault="001C0111" w:rsidP="001C0111">
            <w:pPr>
              <w:spacing w:beforeLines="20" w:before="48" w:afterLines="20" w:after="48"/>
              <w:rPr>
                <w:noProof/>
                <w:sz w:val="16"/>
                <w:szCs w:val="16"/>
                <w:lang w:eastAsia="en-GB"/>
              </w:rPr>
            </w:pPr>
          </w:p>
        </w:tc>
        <w:tc>
          <w:tcPr>
            <w:tcW w:w="731" w:type="dxa"/>
            <w:shd w:val="clear" w:color="auto" w:fill="auto"/>
            <w:vAlign w:val="center"/>
          </w:tcPr>
          <w:p w14:paraId="25925AA9"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AACD796"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3D79FA9"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214EE24"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5920D3AF" w14:textId="77777777" w:rsidTr="00EE4772">
        <w:trPr>
          <w:trHeight w:val="289"/>
          <w:jc w:val="center"/>
        </w:trPr>
        <w:tc>
          <w:tcPr>
            <w:tcW w:w="2376" w:type="dxa"/>
            <w:vMerge/>
            <w:shd w:val="clear" w:color="auto" w:fill="auto"/>
            <w:vAlign w:val="center"/>
          </w:tcPr>
          <w:p w14:paraId="56B1E30B" w14:textId="77777777" w:rsidR="001C0111" w:rsidRPr="0071228C" w:rsidRDefault="001C0111" w:rsidP="001C0111">
            <w:pPr>
              <w:spacing w:beforeLines="20" w:before="48" w:afterLines="20" w:after="48"/>
              <w:ind w:left="136"/>
              <w:jc w:val="left"/>
              <w:rPr>
                <w:b/>
                <w:noProof/>
                <w:sz w:val="16"/>
                <w:szCs w:val="16"/>
                <w:lang w:eastAsia="en-GB"/>
              </w:rPr>
            </w:pPr>
          </w:p>
        </w:tc>
        <w:tc>
          <w:tcPr>
            <w:tcW w:w="2378" w:type="dxa"/>
            <w:shd w:val="clear" w:color="auto" w:fill="auto"/>
            <w:vAlign w:val="center"/>
          </w:tcPr>
          <w:p w14:paraId="01600719" w14:textId="60719BFF" w:rsidR="001C0111" w:rsidRPr="0071228C" w:rsidRDefault="001C0111" w:rsidP="001C0111">
            <w:pPr>
              <w:spacing w:beforeLines="20" w:before="48" w:afterLines="20" w:after="48"/>
              <w:ind w:left="136"/>
              <w:jc w:val="left"/>
              <w:rPr>
                <w:b/>
                <w:noProof/>
                <w:sz w:val="16"/>
                <w:szCs w:val="16"/>
              </w:rPr>
            </w:pPr>
            <w:r w:rsidRPr="0071228C">
              <w:rPr>
                <w:noProof/>
                <w:sz w:val="16"/>
              </w:rPr>
              <w:t>-</w:t>
            </w:r>
            <w:r w:rsidR="00CC55C0" w:rsidRPr="0071228C">
              <w:rPr>
                <w:noProof/>
                <w:sz w:val="16"/>
              </w:rPr>
              <w:t xml:space="preserve"> w</w:t>
            </w:r>
            <w:r w:rsidR="00CC55C0">
              <w:rPr>
                <w:noProof/>
                <w:sz w:val="16"/>
              </w:rPr>
              <w:t> </w:t>
            </w:r>
            <w:r w:rsidR="00CC55C0" w:rsidRPr="0071228C">
              <w:rPr>
                <w:noProof/>
                <w:sz w:val="16"/>
              </w:rPr>
              <w:t>del</w:t>
            </w:r>
            <w:r w:rsidRPr="0071228C">
              <w:rPr>
                <w:noProof/>
                <w:sz w:val="16"/>
              </w:rPr>
              <w:t xml:space="preserve">egaturach </w:t>
            </w:r>
          </w:p>
        </w:tc>
        <w:tc>
          <w:tcPr>
            <w:tcW w:w="731" w:type="dxa"/>
            <w:shd w:val="clear" w:color="auto" w:fill="auto"/>
            <w:vAlign w:val="center"/>
          </w:tcPr>
          <w:p w14:paraId="5BFD0559" w14:textId="77777777" w:rsidR="001C0111" w:rsidRPr="0071228C" w:rsidRDefault="001C0111" w:rsidP="001C0111">
            <w:pPr>
              <w:spacing w:beforeLines="20" w:before="48" w:afterLines="20" w:after="48"/>
              <w:rPr>
                <w:noProof/>
                <w:sz w:val="16"/>
                <w:szCs w:val="16"/>
                <w:lang w:eastAsia="en-GB"/>
              </w:rPr>
            </w:pPr>
          </w:p>
        </w:tc>
        <w:tc>
          <w:tcPr>
            <w:tcW w:w="731" w:type="dxa"/>
            <w:shd w:val="clear" w:color="auto" w:fill="auto"/>
            <w:vAlign w:val="center"/>
          </w:tcPr>
          <w:p w14:paraId="14C31B2D"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BF6453F"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1CB48B1"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EB0A116"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6A5E6DE5" w14:textId="77777777" w:rsidTr="00EE4772">
        <w:trPr>
          <w:trHeight w:val="289"/>
          <w:jc w:val="center"/>
        </w:trPr>
        <w:tc>
          <w:tcPr>
            <w:tcW w:w="4754" w:type="dxa"/>
            <w:gridSpan w:val="2"/>
            <w:shd w:val="clear" w:color="auto" w:fill="auto"/>
            <w:vAlign w:val="center"/>
          </w:tcPr>
          <w:p w14:paraId="5B65C2CE" w14:textId="77777777" w:rsidR="001C0111" w:rsidRPr="0071228C" w:rsidRDefault="001C0111" w:rsidP="001C0111">
            <w:pPr>
              <w:spacing w:beforeLines="20" w:before="48" w:afterLines="20" w:after="48"/>
              <w:ind w:left="136"/>
              <w:jc w:val="left"/>
              <w:rPr>
                <w:noProof/>
                <w:sz w:val="16"/>
                <w:szCs w:val="16"/>
              </w:rPr>
            </w:pPr>
            <w:r w:rsidRPr="0071228C">
              <w:rPr>
                <w:noProof/>
                <w:sz w:val="16"/>
              </w:rPr>
              <w:t>01 01 01 02</w:t>
            </w:r>
            <w:r w:rsidRPr="0071228C">
              <w:rPr>
                <w:rFonts w:ascii="Arial Narrow" w:hAnsi="Arial Narrow"/>
                <w:noProof/>
                <w:color w:val="000000"/>
                <w:sz w:val="20"/>
              </w:rPr>
              <w:t xml:space="preserve"> </w:t>
            </w:r>
            <w:r w:rsidRPr="0071228C">
              <w:rPr>
                <w:noProof/>
                <w:sz w:val="16"/>
              </w:rPr>
              <w:t>(CA, SNE, INT – pośrednie badania naukowe)</w:t>
            </w:r>
          </w:p>
        </w:tc>
        <w:tc>
          <w:tcPr>
            <w:tcW w:w="731" w:type="dxa"/>
            <w:shd w:val="clear" w:color="auto" w:fill="auto"/>
            <w:vAlign w:val="center"/>
          </w:tcPr>
          <w:p w14:paraId="69EF37B1"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9387FDB"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78DC66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5005E91"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A38A6A8"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3FE6512C" w14:textId="77777777" w:rsidTr="00EE4772">
        <w:trPr>
          <w:trHeight w:val="289"/>
          <w:jc w:val="center"/>
        </w:trPr>
        <w:tc>
          <w:tcPr>
            <w:tcW w:w="4754" w:type="dxa"/>
            <w:gridSpan w:val="2"/>
            <w:shd w:val="clear" w:color="auto" w:fill="auto"/>
            <w:vAlign w:val="center"/>
          </w:tcPr>
          <w:p w14:paraId="43AAD590" w14:textId="77777777" w:rsidR="001C0111" w:rsidRPr="0071228C" w:rsidRDefault="001C0111" w:rsidP="001C0111">
            <w:pPr>
              <w:spacing w:beforeLines="20" w:before="48" w:afterLines="20" w:after="48"/>
              <w:ind w:left="136"/>
              <w:jc w:val="left"/>
              <w:rPr>
                <w:noProof/>
                <w:color w:val="FF0000"/>
                <w:sz w:val="16"/>
                <w:szCs w:val="16"/>
              </w:rPr>
            </w:pPr>
            <w:r w:rsidRPr="0071228C">
              <w:rPr>
                <w:noProof/>
                <w:sz w:val="16"/>
              </w:rPr>
              <w:t xml:space="preserve"> 01 01 01 12 (CA, SNE, INT – bezpośrednie badania naukowe)</w:t>
            </w:r>
          </w:p>
        </w:tc>
        <w:tc>
          <w:tcPr>
            <w:tcW w:w="731" w:type="dxa"/>
            <w:shd w:val="clear" w:color="auto" w:fill="auto"/>
            <w:vAlign w:val="center"/>
          </w:tcPr>
          <w:p w14:paraId="0BCFDA5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FF7299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8029F35"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7A26D9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D527884"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7F13CE84" w14:textId="77777777" w:rsidTr="00EE4772">
        <w:trPr>
          <w:trHeight w:val="289"/>
          <w:jc w:val="center"/>
        </w:trPr>
        <w:tc>
          <w:tcPr>
            <w:tcW w:w="4754" w:type="dxa"/>
            <w:gridSpan w:val="2"/>
            <w:shd w:val="clear" w:color="auto" w:fill="auto"/>
            <w:vAlign w:val="center"/>
          </w:tcPr>
          <w:p w14:paraId="01C4CA13" w14:textId="77777777" w:rsidR="001C0111" w:rsidRPr="0071228C" w:rsidRDefault="001C0111" w:rsidP="001C0111">
            <w:pPr>
              <w:spacing w:beforeLines="20" w:before="48" w:afterLines="20" w:after="48"/>
              <w:ind w:left="136"/>
              <w:jc w:val="left"/>
              <w:rPr>
                <w:noProof/>
                <w:sz w:val="16"/>
              </w:rPr>
            </w:pPr>
            <w:r w:rsidRPr="0071228C">
              <w:rPr>
                <w:noProof/>
                <w:sz w:val="16"/>
              </w:rPr>
              <w:t>Inna linia budżetowa (określić)</w:t>
            </w:r>
          </w:p>
        </w:tc>
        <w:tc>
          <w:tcPr>
            <w:tcW w:w="731" w:type="dxa"/>
            <w:shd w:val="clear" w:color="auto" w:fill="auto"/>
            <w:vAlign w:val="center"/>
          </w:tcPr>
          <w:p w14:paraId="7588DA25"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E25B3D5"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770BCA2"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B016CEB" w14:textId="77777777" w:rsidR="001C0111" w:rsidRPr="0071228C"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0BC3395" w14:textId="77777777" w:rsidR="001C0111" w:rsidRPr="0071228C" w:rsidRDefault="001C0111" w:rsidP="001C0111">
            <w:pPr>
              <w:spacing w:beforeLines="20" w:before="48" w:afterLines="20" w:after="48"/>
              <w:jc w:val="center"/>
              <w:rPr>
                <w:noProof/>
                <w:sz w:val="16"/>
                <w:szCs w:val="16"/>
                <w:lang w:eastAsia="en-GB"/>
              </w:rPr>
            </w:pPr>
          </w:p>
        </w:tc>
      </w:tr>
      <w:tr w:rsidR="001C0111" w:rsidRPr="0071228C" w14:paraId="53AE276F" w14:textId="77777777" w:rsidTr="00EE4772">
        <w:trPr>
          <w:trHeight w:val="289"/>
          <w:jc w:val="center"/>
        </w:trPr>
        <w:tc>
          <w:tcPr>
            <w:tcW w:w="4754" w:type="dxa"/>
            <w:gridSpan w:val="2"/>
            <w:tcBorders>
              <w:top w:val="double" w:sz="4" w:space="0" w:color="auto"/>
            </w:tcBorders>
            <w:shd w:val="clear" w:color="auto" w:fill="auto"/>
            <w:vAlign w:val="center"/>
          </w:tcPr>
          <w:p w14:paraId="35E693AB" w14:textId="77777777" w:rsidR="001C0111" w:rsidRPr="0071228C" w:rsidRDefault="001C0111" w:rsidP="001C0111">
            <w:pPr>
              <w:spacing w:beforeLines="20" w:before="48" w:afterLines="20" w:after="48"/>
              <w:ind w:left="136"/>
              <w:jc w:val="left"/>
              <w:rPr>
                <w:noProof/>
                <w:sz w:val="16"/>
                <w:szCs w:val="16"/>
              </w:rPr>
            </w:pPr>
            <w:r w:rsidRPr="0071228C">
              <w:rPr>
                <w:b/>
                <w:noProof/>
                <w:sz w:val="16"/>
              </w:rPr>
              <w:t>OGÓŁEM</w:t>
            </w:r>
          </w:p>
        </w:tc>
        <w:tc>
          <w:tcPr>
            <w:tcW w:w="731" w:type="dxa"/>
            <w:tcBorders>
              <w:top w:val="double" w:sz="4" w:space="0" w:color="auto"/>
            </w:tcBorders>
            <w:shd w:val="clear" w:color="auto" w:fill="auto"/>
            <w:vAlign w:val="center"/>
          </w:tcPr>
          <w:p w14:paraId="69BBC862" w14:textId="77777777" w:rsidR="001C0111" w:rsidRPr="0071228C" w:rsidRDefault="001C0111" w:rsidP="001C0111">
            <w:pPr>
              <w:spacing w:beforeLines="20" w:before="48" w:afterLines="20" w:after="48"/>
              <w:jc w:val="center"/>
              <w:rPr>
                <w:b/>
                <w:noProof/>
                <w:sz w:val="16"/>
                <w:szCs w:val="16"/>
              </w:rPr>
            </w:pPr>
            <w:r w:rsidRPr="0071228C">
              <w:rPr>
                <w:noProof/>
                <w:sz w:val="16"/>
              </w:rPr>
              <w:t>2</w:t>
            </w:r>
          </w:p>
        </w:tc>
        <w:tc>
          <w:tcPr>
            <w:tcW w:w="731" w:type="dxa"/>
            <w:tcBorders>
              <w:top w:val="double" w:sz="4" w:space="0" w:color="auto"/>
            </w:tcBorders>
            <w:shd w:val="clear" w:color="auto" w:fill="auto"/>
            <w:vAlign w:val="center"/>
          </w:tcPr>
          <w:p w14:paraId="64033975" w14:textId="77777777" w:rsidR="001C0111" w:rsidRPr="0071228C" w:rsidRDefault="001C0111" w:rsidP="001C0111">
            <w:pPr>
              <w:spacing w:beforeLines="20" w:before="48" w:afterLines="20" w:after="48"/>
              <w:jc w:val="center"/>
              <w:rPr>
                <w:b/>
                <w:noProof/>
                <w:sz w:val="16"/>
                <w:szCs w:val="16"/>
              </w:rPr>
            </w:pPr>
            <w:r w:rsidRPr="0071228C">
              <w:rPr>
                <w:noProof/>
                <w:sz w:val="16"/>
              </w:rPr>
              <w:t>2</w:t>
            </w:r>
          </w:p>
        </w:tc>
        <w:tc>
          <w:tcPr>
            <w:tcW w:w="731" w:type="dxa"/>
            <w:tcBorders>
              <w:top w:val="double" w:sz="4" w:space="0" w:color="auto"/>
            </w:tcBorders>
            <w:shd w:val="clear" w:color="auto" w:fill="auto"/>
            <w:vAlign w:val="center"/>
          </w:tcPr>
          <w:p w14:paraId="6AC01FE2" w14:textId="77777777" w:rsidR="001C0111" w:rsidRPr="0071228C" w:rsidRDefault="001C0111" w:rsidP="001C0111">
            <w:pPr>
              <w:spacing w:beforeLines="20" w:before="48" w:afterLines="20" w:after="48"/>
              <w:jc w:val="center"/>
              <w:rPr>
                <w:b/>
                <w:noProof/>
                <w:sz w:val="16"/>
                <w:szCs w:val="16"/>
              </w:rPr>
            </w:pPr>
            <w:r w:rsidRPr="0071228C">
              <w:rPr>
                <w:noProof/>
                <w:sz w:val="16"/>
              </w:rPr>
              <w:t>2</w:t>
            </w:r>
          </w:p>
        </w:tc>
        <w:tc>
          <w:tcPr>
            <w:tcW w:w="731" w:type="dxa"/>
            <w:tcBorders>
              <w:top w:val="double" w:sz="4" w:space="0" w:color="auto"/>
            </w:tcBorders>
            <w:shd w:val="clear" w:color="auto" w:fill="auto"/>
            <w:vAlign w:val="center"/>
          </w:tcPr>
          <w:p w14:paraId="67940DE5" w14:textId="77777777" w:rsidR="001C0111" w:rsidRPr="0071228C" w:rsidRDefault="001C0111" w:rsidP="001C0111">
            <w:pPr>
              <w:spacing w:beforeLines="20" w:before="48" w:afterLines="20" w:after="48"/>
              <w:jc w:val="center"/>
              <w:rPr>
                <w:b/>
                <w:noProof/>
                <w:sz w:val="16"/>
                <w:szCs w:val="16"/>
              </w:rPr>
            </w:pPr>
            <w:r w:rsidRPr="0071228C">
              <w:rPr>
                <w:noProof/>
                <w:sz w:val="16"/>
              </w:rPr>
              <w:t>2</w:t>
            </w:r>
          </w:p>
        </w:tc>
        <w:tc>
          <w:tcPr>
            <w:tcW w:w="731" w:type="dxa"/>
            <w:tcBorders>
              <w:top w:val="double" w:sz="4" w:space="0" w:color="auto"/>
            </w:tcBorders>
            <w:shd w:val="clear" w:color="auto" w:fill="auto"/>
            <w:vAlign w:val="center"/>
          </w:tcPr>
          <w:p w14:paraId="35E60081" w14:textId="77777777" w:rsidR="001C0111" w:rsidRPr="0071228C" w:rsidRDefault="001C0111" w:rsidP="001C0111">
            <w:pPr>
              <w:spacing w:beforeLines="20" w:before="48" w:afterLines="20" w:after="48"/>
              <w:jc w:val="center"/>
              <w:rPr>
                <w:b/>
                <w:noProof/>
                <w:sz w:val="16"/>
                <w:szCs w:val="16"/>
              </w:rPr>
            </w:pPr>
            <w:r w:rsidRPr="0071228C">
              <w:rPr>
                <w:noProof/>
                <w:sz w:val="16"/>
              </w:rPr>
              <w:t>2</w:t>
            </w:r>
          </w:p>
        </w:tc>
      </w:tr>
    </w:tbl>
    <w:p w14:paraId="5B2BAD9B" w14:textId="58908AAB" w:rsidR="001C0111" w:rsidRPr="0071228C" w:rsidRDefault="001C0111" w:rsidP="001C0111">
      <w:pPr>
        <w:spacing w:before="60" w:after="60"/>
        <w:ind w:left="851"/>
        <w:rPr>
          <w:noProof/>
          <w:sz w:val="18"/>
          <w:szCs w:val="18"/>
        </w:rPr>
      </w:pPr>
      <w:r w:rsidRPr="0071228C">
        <w:rPr>
          <w:b/>
          <w:noProof/>
          <w:sz w:val="18"/>
        </w:rPr>
        <w:t>XX</w:t>
      </w:r>
      <w:r w:rsidRPr="0071228C">
        <w:rPr>
          <w:noProof/>
          <w:sz w:val="18"/>
        </w:rPr>
        <w:t xml:space="preserve"> oznacza odpowiedni obszar polityki lub odpowiedni tytuł</w:t>
      </w:r>
      <w:r w:rsidR="00CC55C0" w:rsidRPr="0071228C">
        <w:rPr>
          <w:noProof/>
          <w:sz w:val="18"/>
        </w:rPr>
        <w:t xml:space="preserve"> w</w:t>
      </w:r>
      <w:r w:rsidR="00CC55C0">
        <w:rPr>
          <w:noProof/>
          <w:sz w:val="18"/>
        </w:rPr>
        <w:t> </w:t>
      </w:r>
      <w:r w:rsidR="00CC55C0" w:rsidRPr="0071228C">
        <w:rPr>
          <w:noProof/>
          <w:sz w:val="18"/>
        </w:rPr>
        <w:t>bud</w:t>
      </w:r>
      <w:r w:rsidRPr="0071228C">
        <w:rPr>
          <w:noProof/>
          <w:sz w:val="18"/>
        </w:rPr>
        <w:t>żecie.</w:t>
      </w:r>
    </w:p>
    <w:p w14:paraId="35AFFCCF" w14:textId="3F01857C" w:rsidR="001C0111" w:rsidRPr="0071228C" w:rsidRDefault="001C0111" w:rsidP="001C0111">
      <w:pPr>
        <w:ind w:left="850"/>
        <w:rPr>
          <w:noProof/>
          <w:sz w:val="18"/>
          <w:szCs w:val="18"/>
        </w:rPr>
      </w:pPr>
      <w:r w:rsidRPr="0071228C">
        <w:rPr>
          <w:noProof/>
          <w:sz w:val="18"/>
        </w:rPr>
        <w:t>Potrzeby</w:t>
      </w:r>
      <w:r w:rsidR="00CC55C0" w:rsidRPr="0071228C">
        <w:rPr>
          <w:noProof/>
          <w:sz w:val="18"/>
        </w:rPr>
        <w:t xml:space="preserve"> w</w:t>
      </w:r>
      <w:r w:rsidR="00CC55C0">
        <w:rPr>
          <w:noProof/>
          <w:sz w:val="18"/>
        </w:rPr>
        <w:t> </w:t>
      </w:r>
      <w:r w:rsidR="00CC55C0" w:rsidRPr="0071228C">
        <w:rPr>
          <w:noProof/>
          <w:sz w:val="18"/>
        </w:rPr>
        <w:t>zak</w:t>
      </w:r>
      <w:r w:rsidRPr="0071228C">
        <w:rPr>
          <w:noProof/>
          <w:sz w:val="18"/>
        </w:rPr>
        <w:t>resie zasobów ludzkich zostaną pokryte</w:t>
      </w:r>
      <w:r w:rsidR="00CC55C0" w:rsidRPr="0071228C">
        <w:rPr>
          <w:noProof/>
          <w:sz w:val="18"/>
        </w:rPr>
        <w:t xml:space="preserve"> z</w:t>
      </w:r>
      <w:r w:rsidR="00CC55C0">
        <w:rPr>
          <w:noProof/>
          <w:sz w:val="18"/>
        </w:rPr>
        <w:t> </w:t>
      </w:r>
      <w:r w:rsidR="00CC55C0" w:rsidRPr="0071228C">
        <w:rPr>
          <w:noProof/>
          <w:sz w:val="18"/>
        </w:rPr>
        <w:t>zas</w:t>
      </w:r>
      <w:r w:rsidRPr="0071228C">
        <w:rPr>
          <w:noProof/>
          <w:sz w:val="18"/>
        </w:rPr>
        <w:t>obów dyrekcji generalnej już przydzielonych na zarządzanie tym działaniem lub przesuniętych</w:t>
      </w:r>
      <w:r w:rsidR="00CC55C0" w:rsidRPr="0071228C">
        <w:rPr>
          <w:noProof/>
          <w:sz w:val="18"/>
        </w:rPr>
        <w:t xml:space="preserve"> w</w:t>
      </w:r>
      <w:r w:rsidR="00CC55C0">
        <w:rPr>
          <w:noProof/>
          <w:sz w:val="18"/>
        </w:rPr>
        <w:t> </w:t>
      </w:r>
      <w:r w:rsidR="00CC55C0" w:rsidRPr="0071228C">
        <w:rPr>
          <w:noProof/>
          <w:sz w:val="18"/>
        </w:rPr>
        <w:t>ram</w:t>
      </w:r>
      <w:r w:rsidRPr="0071228C">
        <w:rPr>
          <w:noProof/>
          <w:sz w:val="18"/>
        </w:rPr>
        <w:t>ach dyrekcji generalnej, uzupełnionych</w:t>
      </w:r>
      <w:r w:rsidR="00CC55C0" w:rsidRPr="0071228C">
        <w:rPr>
          <w:noProof/>
          <w:sz w:val="18"/>
        </w:rPr>
        <w:t xml:space="preserve"> w</w:t>
      </w:r>
      <w:r w:rsidR="00CC55C0">
        <w:rPr>
          <w:noProof/>
          <w:sz w:val="18"/>
        </w:rPr>
        <w:t> </w:t>
      </w:r>
      <w:r w:rsidR="00CC55C0" w:rsidRPr="0071228C">
        <w:rPr>
          <w:noProof/>
          <w:sz w:val="18"/>
        </w:rPr>
        <w:t>raz</w:t>
      </w:r>
      <w:r w:rsidRPr="0071228C">
        <w:rPr>
          <w:noProof/>
          <w:sz w:val="18"/>
        </w:rPr>
        <w:t>ie potrzeby wszelkimi dodatkowymi zasobami, które mogą zostać przydzielone zarządzającej dyrekcji generalnej</w:t>
      </w:r>
      <w:r w:rsidR="00CC55C0" w:rsidRPr="0071228C">
        <w:rPr>
          <w:noProof/>
          <w:sz w:val="18"/>
        </w:rPr>
        <w:t xml:space="preserve"> w</w:t>
      </w:r>
      <w:r w:rsidR="00CC55C0">
        <w:rPr>
          <w:noProof/>
          <w:sz w:val="18"/>
        </w:rPr>
        <w:t> </w:t>
      </w:r>
      <w:r w:rsidR="00CC55C0" w:rsidRPr="0071228C">
        <w:rPr>
          <w:noProof/>
          <w:sz w:val="18"/>
        </w:rPr>
        <w:t>ram</w:t>
      </w:r>
      <w:r w:rsidRPr="0071228C">
        <w:rPr>
          <w:noProof/>
          <w:sz w:val="18"/>
        </w:rPr>
        <w:t>ach procedury rocznego przydziału środków oraz</w:t>
      </w:r>
      <w:r w:rsidR="00CC55C0" w:rsidRPr="0071228C">
        <w:rPr>
          <w:noProof/>
          <w:sz w:val="18"/>
        </w:rPr>
        <w:t xml:space="preserve"> w</w:t>
      </w:r>
      <w:r w:rsidR="00CC55C0">
        <w:rPr>
          <w:noProof/>
          <w:sz w:val="18"/>
        </w:rPr>
        <w:t> </w:t>
      </w:r>
      <w:r w:rsidR="00CC55C0" w:rsidRPr="0071228C">
        <w:rPr>
          <w:noProof/>
          <w:sz w:val="18"/>
        </w:rPr>
        <w:t>świ</w:t>
      </w:r>
      <w:r w:rsidRPr="0071228C">
        <w:rPr>
          <w:noProof/>
          <w:sz w:val="18"/>
        </w:rPr>
        <w:t>etle istniejących ograniczeń budżetowych.</w:t>
      </w:r>
    </w:p>
    <w:p w14:paraId="3B826173" w14:textId="77777777" w:rsidR="001C0111" w:rsidRPr="0071228C" w:rsidRDefault="001C0111" w:rsidP="001C0111">
      <w:pPr>
        <w:rPr>
          <w:noProof/>
          <w:sz w:val="20"/>
        </w:rPr>
      </w:pPr>
      <w:r w:rsidRPr="0071228C">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C0111" w:rsidRPr="0071228C" w14:paraId="26B3EFDF" w14:textId="77777777" w:rsidTr="00EE4772">
        <w:tc>
          <w:tcPr>
            <w:tcW w:w="3240" w:type="dxa"/>
          </w:tcPr>
          <w:p w14:paraId="13E140DD" w14:textId="7D83ADED" w:rsidR="001C0111" w:rsidRPr="0071228C" w:rsidRDefault="001C0111" w:rsidP="001C0111">
            <w:pPr>
              <w:rPr>
                <w:noProof/>
                <w:sz w:val="20"/>
              </w:rPr>
            </w:pPr>
            <w:r w:rsidRPr="0071228C">
              <w:rPr>
                <w:noProof/>
                <w:sz w:val="20"/>
              </w:rPr>
              <w:t>Urzędnicy</w:t>
            </w:r>
            <w:r w:rsidR="00CC55C0" w:rsidRPr="0071228C">
              <w:rPr>
                <w:noProof/>
                <w:sz w:val="20"/>
              </w:rPr>
              <w:t xml:space="preserve"> i</w:t>
            </w:r>
            <w:r w:rsidR="00CC55C0">
              <w:rPr>
                <w:noProof/>
                <w:sz w:val="20"/>
              </w:rPr>
              <w:t> </w:t>
            </w:r>
            <w:r w:rsidR="00CC55C0" w:rsidRPr="0071228C">
              <w:rPr>
                <w:noProof/>
                <w:sz w:val="20"/>
              </w:rPr>
              <w:t>pra</w:t>
            </w:r>
            <w:r w:rsidRPr="0071228C">
              <w:rPr>
                <w:noProof/>
                <w:sz w:val="20"/>
              </w:rPr>
              <w:t>cownicy zatrudnieni na czas określony</w:t>
            </w:r>
          </w:p>
        </w:tc>
        <w:tc>
          <w:tcPr>
            <w:tcW w:w="7200" w:type="dxa"/>
          </w:tcPr>
          <w:p w14:paraId="438207B8" w14:textId="43838A9D"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wykonawczych Komisji ustanawiających listy obserwacyjne nowych substancji zanieczyszczających wody powierzchniowe</w:t>
            </w:r>
            <w:r w:rsidR="00CC55C0" w:rsidRPr="0071228C">
              <w:rPr>
                <w:noProof/>
              </w:rPr>
              <w:t xml:space="preserve"> i</w:t>
            </w:r>
            <w:r w:rsidR="00CC55C0">
              <w:rPr>
                <w:noProof/>
              </w:rPr>
              <w:t> </w:t>
            </w:r>
            <w:r w:rsidR="00CC55C0" w:rsidRPr="0071228C">
              <w:rPr>
                <w:noProof/>
              </w:rPr>
              <w:t>pod</w:t>
            </w:r>
            <w:r w:rsidRPr="0071228C">
              <w:rPr>
                <w:noProof/>
              </w:rPr>
              <w:t>ziemne, które będą monitorowane</w:t>
            </w:r>
            <w:r w:rsidR="00CC55C0" w:rsidRPr="0071228C">
              <w:rPr>
                <w:noProof/>
              </w:rPr>
              <w:t xml:space="preserve"> w</w:t>
            </w:r>
            <w:r w:rsidR="00CC55C0">
              <w:rPr>
                <w:noProof/>
              </w:rPr>
              <w:t> </w:t>
            </w:r>
            <w:r w:rsidR="00CC55C0" w:rsidRPr="0071228C">
              <w:rPr>
                <w:noProof/>
              </w:rPr>
              <w:t>cel</w:t>
            </w:r>
            <w:r w:rsidRPr="0071228C">
              <w:rPr>
                <w:noProof/>
              </w:rPr>
              <w:t>u oceny potrzeby ustanowienia norm unijnych;</w:t>
            </w:r>
          </w:p>
          <w:p w14:paraId="6E6F08D7" w14:textId="4C8662EA" w:rsidR="001C0111" w:rsidRPr="00CC55C0"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delegowanych Komisji co sześć lat</w:t>
            </w:r>
            <w:r w:rsidR="00CC55C0" w:rsidRPr="0071228C">
              <w:rPr>
                <w:noProof/>
              </w:rPr>
              <w:t xml:space="preserve"> w</w:t>
            </w:r>
            <w:r w:rsidR="00CC55C0">
              <w:rPr>
                <w:noProof/>
              </w:rPr>
              <w:t> </w:t>
            </w:r>
            <w:r w:rsidR="00CC55C0" w:rsidRPr="0071228C">
              <w:rPr>
                <w:noProof/>
              </w:rPr>
              <w:t>cel</w:t>
            </w:r>
            <w:r w:rsidRPr="0071228C">
              <w:rPr>
                <w:noProof/>
              </w:rPr>
              <w:t>u dokonania przeglądu</w:t>
            </w:r>
            <w:r w:rsidR="00CC55C0" w:rsidRPr="0071228C">
              <w:rPr>
                <w:noProof/>
              </w:rPr>
              <w:t xml:space="preserve"> i</w:t>
            </w:r>
            <w:r w:rsidR="00CC55C0">
              <w:rPr>
                <w:noProof/>
              </w:rPr>
              <w:t> </w:t>
            </w:r>
            <w:r w:rsidR="00CC55C0" w:rsidRPr="0071228C">
              <w:rPr>
                <w:noProof/>
              </w:rPr>
              <w:t>akt</w:t>
            </w:r>
            <w:r w:rsidRPr="0071228C">
              <w:rPr>
                <w:noProof/>
              </w:rPr>
              <w:t>ualizacji wykazu zanieczyszczeń</w:t>
            </w:r>
            <w:r w:rsidR="00CC55C0" w:rsidRPr="0071228C">
              <w:rPr>
                <w:noProof/>
              </w:rPr>
              <w:t xml:space="preserve"> i</w:t>
            </w:r>
            <w:r w:rsidR="00CC55C0">
              <w:rPr>
                <w:noProof/>
              </w:rPr>
              <w:t> </w:t>
            </w:r>
            <w:r w:rsidR="00CC55C0" w:rsidRPr="0071228C">
              <w:rPr>
                <w:noProof/>
              </w:rPr>
              <w:t>odp</w:t>
            </w:r>
            <w:r w:rsidRPr="0071228C">
              <w:rPr>
                <w:noProof/>
              </w:rPr>
              <w:t>owiadających im norm unijnych, które należy uwzględnić</w:t>
            </w:r>
            <w:r w:rsidR="00CC55C0" w:rsidRPr="0071228C">
              <w:rPr>
                <w:noProof/>
              </w:rPr>
              <w:t xml:space="preserve"> w</w:t>
            </w:r>
            <w:r w:rsidR="00CC55C0">
              <w:rPr>
                <w:noProof/>
              </w:rPr>
              <w:t> </w:t>
            </w:r>
            <w:r w:rsidR="00CC55C0" w:rsidRPr="0071228C">
              <w:rPr>
                <w:noProof/>
              </w:rPr>
              <w:t>cel</w:t>
            </w:r>
            <w:r w:rsidRPr="0071228C">
              <w:rPr>
                <w:noProof/>
              </w:rPr>
              <w:t>u ochrony zdrowia ludzkiego</w:t>
            </w:r>
            <w:r w:rsidR="00CC55C0" w:rsidRPr="0071228C">
              <w:rPr>
                <w:noProof/>
              </w:rPr>
              <w:t xml:space="preserve"> i</w:t>
            </w:r>
            <w:r w:rsidR="00CC55C0">
              <w:rPr>
                <w:noProof/>
              </w:rPr>
              <w:t> </w:t>
            </w:r>
            <w:r w:rsidR="00CC55C0" w:rsidRPr="0071228C">
              <w:rPr>
                <w:noProof/>
              </w:rPr>
              <w:t>śro</w:t>
            </w:r>
            <w:r w:rsidRPr="0071228C">
              <w:rPr>
                <w:noProof/>
              </w:rPr>
              <w:t>dowiska</w:t>
            </w:r>
            <w:r w:rsidRPr="00CC55C0">
              <w:rPr>
                <w:noProof/>
              </w:rPr>
              <w:t>;</w:t>
            </w:r>
            <w:r w:rsidR="00CC55C0" w:rsidRPr="00CC55C0">
              <w:rPr>
                <w:noProof/>
              </w:rPr>
              <w:t xml:space="preserve"> </w:t>
            </w:r>
          </w:p>
          <w:p w14:paraId="34B308A2" w14:textId="268CB077" w:rsidR="001C0111" w:rsidRPr="0071228C" w:rsidRDefault="001C0111" w:rsidP="001C0111">
            <w:pPr>
              <w:tabs>
                <w:tab w:val="num" w:pos="1417"/>
              </w:tabs>
              <w:ind w:left="1417" w:hanging="567"/>
              <w:rPr>
                <w:noProof/>
              </w:rPr>
            </w:pPr>
            <w:r w:rsidRPr="0071228C">
              <w:rPr>
                <w:noProof/>
              </w:rPr>
              <w:t>podtrzymanie dialogu na temat gospodarki wodnej</w:t>
            </w:r>
            <w:r w:rsidR="00CC55C0" w:rsidRPr="0071228C">
              <w:rPr>
                <w:noProof/>
              </w:rPr>
              <w:t xml:space="preserve"> z</w:t>
            </w:r>
            <w:r w:rsidR="00CC55C0">
              <w:rPr>
                <w:noProof/>
              </w:rPr>
              <w:t> </w:t>
            </w:r>
            <w:r w:rsidR="00CC55C0" w:rsidRPr="0071228C">
              <w:rPr>
                <w:noProof/>
              </w:rPr>
              <w:t>pań</w:t>
            </w:r>
            <w:r w:rsidRPr="0071228C">
              <w:rPr>
                <w:noProof/>
              </w:rPr>
              <w:t>stwami członkowskimi, EEA i ECHA,</w:t>
            </w:r>
            <w:r w:rsidR="00CC55C0" w:rsidRPr="0071228C">
              <w:rPr>
                <w:noProof/>
              </w:rPr>
              <w:t xml:space="preserve"> w</w:t>
            </w:r>
            <w:r w:rsidR="00CC55C0">
              <w:rPr>
                <w:noProof/>
              </w:rPr>
              <w:t> </w:t>
            </w:r>
            <w:r w:rsidR="00CC55C0" w:rsidRPr="0071228C">
              <w:rPr>
                <w:noProof/>
              </w:rPr>
              <w:t>tym w</w:t>
            </w:r>
            <w:r w:rsidR="00CC55C0">
              <w:rPr>
                <w:noProof/>
              </w:rPr>
              <w:t> </w:t>
            </w:r>
            <w:r w:rsidR="00CC55C0" w:rsidRPr="0071228C">
              <w:rPr>
                <w:noProof/>
              </w:rPr>
              <w:t>ram</w:t>
            </w:r>
            <w:r w:rsidRPr="0071228C">
              <w:rPr>
                <w:noProof/>
              </w:rPr>
              <w:t>ach odpowiednich grup ekspertów</w:t>
            </w:r>
            <w:r w:rsidR="00CC55C0" w:rsidRPr="0071228C">
              <w:rPr>
                <w:noProof/>
              </w:rPr>
              <w:t xml:space="preserve"> i</w:t>
            </w:r>
            <w:r w:rsidR="00CC55C0">
              <w:rPr>
                <w:noProof/>
              </w:rPr>
              <w:t> </w:t>
            </w:r>
            <w:r w:rsidR="00CC55C0" w:rsidRPr="0071228C">
              <w:rPr>
                <w:noProof/>
              </w:rPr>
              <w:t>kom</w:t>
            </w:r>
            <w:r w:rsidRPr="0071228C">
              <w:rPr>
                <w:noProof/>
              </w:rPr>
              <w:t>itetów;</w:t>
            </w:r>
          </w:p>
          <w:p w14:paraId="535EF150" w14:textId="163B26ED"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dop</w:t>
            </w:r>
            <w:r w:rsidRPr="0071228C">
              <w:rPr>
                <w:noProof/>
              </w:rPr>
              <w:t>rowadzenie do przyjęcia nowych aktów wykonawczych Komisji</w:t>
            </w:r>
            <w:r w:rsidR="00CC55C0" w:rsidRPr="0071228C">
              <w:rPr>
                <w:noProof/>
              </w:rPr>
              <w:t xml:space="preserve"> i</w:t>
            </w:r>
            <w:r w:rsidR="00CC55C0">
              <w:rPr>
                <w:noProof/>
              </w:rPr>
              <w:t> </w:t>
            </w:r>
            <w:r w:rsidR="00CC55C0" w:rsidRPr="0071228C">
              <w:rPr>
                <w:noProof/>
              </w:rPr>
              <w:t>akt</w:t>
            </w:r>
            <w:r w:rsidRPr="0071228C">
              <w:rPr>
                <w:noProof/>
              </w:rPr>
              <w:t>ów delegowanych łączących się</w:t>
            </w:r>
            <w:r w:rsidR="00CC55C0" w:rsidRPr="0071228C">
              <w:rPr>
                <w:noProof/>
              </w:rPr>
              <w:t xml:space="preserve"> z</w:t>
            </w:r>
            <w:r w:rsidR="00CC55C0">
              <w:rPr>
                <w:noProof/>
              </w:rPr>
              <w:t> </w:t>
            </w:r>
            <w:r w:rsidR="00CC55C0" w:rsidRPr="0071228C">
              <w:rPr>
                <w:noProof/>
              </w:rPr>
              <w:t>wdr</w:t>
            </w:r>
            <w:r w:rsidRPr="0071228C">
              <w:rPr>
                <w:noProof/>
              </w:rPr>
              <w:t>ożeniem nowej dyrektywy</w:t>
            </w:r>
            <w:r w:rsidR="00CC55C0" w:rsidRPr="0071228C">
              <w:rPr>
                <w:noProof/>
              </w:rPr>
              <w:t xml:space="preserve"> w</w:t>
            </w:r>
            <w:r w:rsidR="00CC55C0">
              <w:rPr>
                <w:noProof/>
              </w:rPr>
              <w:t> </w:t>
            </w:r>
            <w:r w:rsidR="00CC55C0" w:rsidRPr="0071228C">
              <w:rPr>
                <w:noProof/>
              </w:rPr>
              <w:t>spr</w:t>
            </w:r>
            <w:r w:rsidRPr="0071228C">
              <w:rPr>
                <w:noProof/>
              </w:rPr>
              <w:t xml:space="preserve">awie jakości powietrza. </w:t>
            </w:r>
          </w:p>
          <w:p w14:paraId="7C5C6852" w14:textId="2F37F40F" w:rsidR="001C0111" w:rsidRPr="0071228C" w:rsidRDefault="001C0111" w:rsidP="001C0111">
            <w:pPr>
              <w:tabs>
                <w:tab w:val="num" w:pos="1417"/>
              </w:tabs>
              <w:ind w:left="1417" w:hanging="567"/>
              <w:rPr>
                <w:noProof/>
              </w:rPr>
            </w:pPr>
            <w:r w:rsidRPr="0071228C">
              <w:rPr>
                <w:noProof/>
              </w:rPr>
              <w:t>Wsparcie zespołu we wdrażaniu zmienionej dyrektywy</w:t>
            </w:r>
            <w:r w:rsidR="00CC55C0" w:rsidRPr="0071228C">
              <w:rPr>
                <w:noProof/>
              </w:rPr>
              <w:t xml:space="preserve"> w</w:t>
            </w:r>
            <w:r w:rsidR="00CC55C0">
              <w:rPr>
                <w:noProof/>
              </w:rPr>
              <w:t> </w:t>
            </w:r>
            <w:r w:rsidR="00CC55C0" w:rsidRPr="0071228C">
              <w:rPr>
                <w:noProof/>
              </w:rPr>
              <w:t>spr</w:t>
            </w:r>
            <w:r w:rsidRPr="0071228C">
              <w:rPr>
                <w:noProof/>
              </w:rPr>
              <w:t>awie jakości powietrza, zwłaszcza</w:t>
            </w:r>
            <w:r w:rsidR="00CC55C0" w:rsidRPr="0071228C">
              <w:rPr>
                <w:noProof/>
              </w:rPr>
              <w:t xml:space="preserve"> w</w:t>
            </w:r>
            <w:r w:rsidR="00CC55C0">
              <w:rPr>
                <w:noProof/>
              </w:rPr>
              <w:t> </w:t>
            </w:r>
            <w:r w:rsidR="00CC55C0" w:rsidRPr="0071228C">
              <w:rPr>
                <w:noProof/>
              </w:rPr>
              <w:t>zak</w:t>
            </w:r>
            <w:r w:rsidRPr="0071228C">
              <w:rPr>
                <w:noProof/>
              </w:rPr>
              <w:t>resie nowych przepisów wymagających zwiększonego zaangażowania właściwych organów.</w:t>
            </w:r>
          </w:p>
          <w:p w14:paraId="001AFEF7" w14:textId="218F60BA" w:rsidR="001C0111" w:rsidRPr="0071228C" w:rsidRDefault="001C0111" w:rsidP="001C0111">
            <w:pPr>
              <w:tabs>
                <w:tab w:val="num" w:pos="1417"/>
              </w:tabs>
              <w:ind w:left="1417" w:hanging="567"/>
              <w:rPr>
                <w:noProof/>
              </w:rPr>
            </w:pPr>
            <w:r w:rsidRPr="0071228C">
              <w:rPr>
                <w:noProof/>
              </w:rPr>
              <w:t>Przygotowanie</w:t>
            </w:r>
            <w:r w:rsidR="00CC55C0" w:rsidRPr="0071228C">
              <w:rPr>
                <w:noProof/>
              </w:rPr>
              <w:t xml:space="preserve"> i</w:t>
            </w:r>
            <w:r w:rsidR="00CC55C0">
              <w:rPr>
                <w:noProof/>
              </w:rPr>
              <w:t> </w:t>
            </w:r>
            <w:r w:rsidR="00CC55C0" w:rsidRPr="0071228C">
              <w:rPr>
                <w:noProof/>
              </w:rPr>
              <w:t>pro</w:t>
            </w:r>
            <w:r w:rsidRPr="0071228C">
              <w:rPr>
                <w:noProof/>
              </w:rPr>
              <w:t>wadzenie prac nad technicznymi wytycznymi wynikającymi ze zmian</w:t>
            </w:r>
            <w:r w:rsidR="00CC55C0" w:rsidRPr="0071228C">
              <w:rPr>
                <w:noProof/>
              </w:rPr>
              <w:t xml:space="preserve"> w</w:t>
            </w:r>
            <w:r w:rsidR="00CC55C0">
              <w:rPr>
                <w:noProof/>
              </w:rPr>
              <w:t> </w:t>
            </w:r>
            <w:r w:rsidR="00CC55C0" w:rsidRPr="0071228C">
              <w:rPr>
                <w:noProof/>
              </w:rPr>
              <w:t>zak</w:t>
            </w:r>
            <w:r w:rsidRPr="0071228C">
              <w:rPr>
                <w:noProof/>
              </w:rPr>
              <w:t>resie monitorowania, modelowania</w:t>
            </w:r>
            <w:r w:rsidR="00CC55C0" w:rsidRPr="0071228C">
              <w:rPr>
                <w:noProof/>
              </w:rPr>
              <w:t xml:space="preserve"> i</w:t>
            </w:r>
            <w:r w:rsidR="00CC55C0">
              <w:rPr>
                <w:noProof/>
              </w:rPr>
              <w:t> </w:t>
            </w:r>
            <w:r w:rsidR="00CC55C0" w:rsidRPr="0071228C">
              <w:rPr>
                <w:noProof/>
              </w:rPr>
              <w:t>pla</w:t>
            </w:r>
            <w:r w:rsidRPr="0071228C">
              <w:rPr>
                <w:noProof/>
              </w:rPr>
              <w:t>nów ochrony powietrza.</w:t>
            </w:r>
          </w:p>
        </w:tc>
      </w:tr>
      <w:tr w:rsidR="001C0111" w:rsidRPr="0071228C" w14:paraId="1B49B8B7" w14:textId="77777777" w:rsidTr="00EE4772">
        <w:tc>
          <w:tcPr>
            <w:tcW w:w="3240" w:type="dxa"/>
          </w:tcPr>
          <w:p w14:paraId="600602F2" w14:textId="77777777" w:rsidR="001C0111" w:rsidRPr="0071228C" w:rsidRDefault="001C0111" w:rsidP="001C0111">
            <w:pPr>
              <w:spacing w:before="60" w:after="60"/>
              <w:rPr>
                <w:noProof/>
                <w:sz w:val="20"/>
              </w:rPr>
            </w:pPr>
            <w:r w:rsidRPr="0071228C">
              <w:rPr>
                <w:noProof/>
                <w:sz w:val="20"/>
              </w:rPr>
              <w:t>Personel zewnętrzny</w:t>
            </w:r>
          </w:p>
        </w:tc>
        <w:tc>
          <w:tcPr>
            <w:tcW w:w="7200" w:type="dxa"/>
          </w:tcPr>
          <w:p w14:paraId="61ABEA55" w14:textId="77777777" w:rsidR="001C0111" w:rsidRPr="0071228C" w:rsidRDefault="001C0111" w:rsidP="001C0111">
            <w:pPr>
              <w:rPr>
                <w:noProof/>
                <w:sz w:val="20"/>
                <w:lang w:eastAsia="en-GB"/>
              </w:rPr>
            </w:pPr>
          </w:p>
        </w:tc>
      </w:tr>
    </w:tbl>
    <w:p w14:paraId="7640054A" w14:textId="77777777" w:rsidR="001C0111" w:rsidRPr="0071228C" w:rsidRDefault="001C0111" w:rsidP="001C0111">
      <w:pPr>
        <w:rPr>
          <w:noProof/>
          <w:lang w:eastAsia="en-GB"/>
        </w:rPr>
        <w:sectPr w:rsidR="001C0111" w:rsidRPr="0071228C" w:rsidSect="00E25B75">
          <w:headerReference w:type="default" r:id="rId21"/>
          <w:footerReference w:type="default" r:id="rId22"/>
          <w:headerReference w:type="first" r:id="rId23"/>
          <w:footerReference w:type="first" r:id="rId24"/>
          <w:footnotePr>
            <w:numRestart w:val="eachSect"/>
          </w:footnotePr>
          <w:pgSz w:w="11907" w:h="16840"/>
          <w:pgMar w:top="1134" w:right="1418" w:bottom="1134" w:left="1418" w:header="709" w:footer="709" w:gutter="0"/>
          <w:cols w:space="708"/>
          <w:docGrid w:linePitch="360"/>
        </w:sectPr>
      </w:pPr>
    </w:p>
    <w:p w14:paraId="1117ECA9" w14:textId="041174B0" w:rsidR="001C0111" w:rsidRPr="0071228C" w:rsidRDefault="001C0111" w:rsidP="002A2DB0">
      <w:pPr>
        <w:keepNext/>
        <w:outlineLvl w:val="2"/>
        <w:rPr>
          <w:rFonts w:eastAsiaTheme="majorEastAsia"/>
          <w:bCs/>
          <w:i/>
          <w:noProof/>
        </w:rPr>
      </w:pPr>
      <w:bookmarkStart w:id="63" w:name="_Toc514938056"/>
      <w:bookmarkStart w:id="64" w:name="_Toc520485055"/>
      <w:r w:rsidRPr="0071228C">
        <w:rPr>
          <w:i/>
          <w:noProof/>
        </w:rPr>
        <w:t>Zgodność</w:t>
      </w:r>
      <w:r w:rsidR="00CC55C0" w:rsidRPr="0071228C">
        <w:rPr>
          <w:i/>
          <w:noProof/>
        </w:rPr>
        <w:t xml:space="preserve"> z</w:t>
      </w:r>
      <w:r w:rsidR="00CC55C0">
        <w:rPr>
          <w:i/>
          <w:noProof/>
        </w:rPr>
        <w:t> </w:t>
      </w:r>
      <w:r w:rsidR="00CC55C0" w:rsidRPr="0071228C">
        <w:rPr>
          <w:i/>
          <w:noProof/>
        </w:rPr>
        <w:t>obo</w:t>
      </w:r>
      <w:r w:rsidRPr="0071228C">
        <w:rPr>
          <w:i/>
          <w:noProof/>
        </w:rPr>
        <w:t>wiązującymi wieloletnimi ramami finansowymi</w:t>
      </w:r>
      <w:bookmarkEnd w:id="63"/>
      <w:bookmarkEnd w:id="64"/>
      <w:r w:rsidRPr="0071228C">
        <w:rPr>
          <w:i/>
          <w:noProof/>
        </w:rPr>
        <w:t xml:space="preserve"> </w:t>
      </w:r>
    </w:p>
    <w:p w14:paraId="5DDEBDC6" w14:textId="77777777" w:rsidR="001C0111" w:rsidRPr="0071228C" w:rsidRDefault="001C0111" w:rsidP="001C0111">
      <w:pPr>
        <w:ind w:left="850"/>
        <w:rPr>
          <w:noProof/>
        </w:rPr>
      </w:pPr>
      <w:r w:rsidRPr="0071228C">
        <w:rPr>
          <w:noProof/>
        </w:rPr>
        <w:t>Wniosek/inicjatywa:</w:t>
      </w:r>
    </w:p>
    <w:p w14:paraId="45233F7A" w14:textId="4189B4FE" w:rsidR="001C0111" w:rsidRPr="0071228C" w:rsidRDefault="001C0111" w:rsidP="002A2DB0">
      <w:pPr>
        <w:rPr>
          <w:noProof/>
        </w:rPr>
      </w:pPr>
      <w:r w:rsidRPr="0071228C">
        <w:rPr>
          <w:rFonts w:ascii="Wingdings" w:hAnsi="Wingdings"/>
          <w:noProof/>
        </w:rPr>
        <w:t></w:t>
      </w:r>
      <w:r w:rsidRPr="0071228C">
        <w:rPr>
          <w:noProof/>
        </w:rPr>
        <w:tab/>
        <w:t>może zostać</w:t>
      </w:r>
      <w:r w:rsidR="00CC55C0" w:rsidRPr="0071228C">
        <w:rPr>
          <w:noProof/>
        </w:rPr>
        <w:t xml:space="preserve"> w</w:t>
      </w:r>
      <w:r w:rsidR="00CC55C0">
        <w:rPr>
          <w:noProof/>
        </w:rPr>
        <w:t> </w:t>
      </w:r>
      <w:r w:rsidR="00CC55C0" w:rsidRPr="0071228C">
        <w:rPr>
          <w:noProof/>
        </w:rPr>
        <w:t>peł</w:t>
      </w:r>
      <w:r w:rsidRPr="0071228C">
        <w:rPr>
          <w:noProof/>
        </w:rPr>
        <w:t>ni sfinansowany(a) przez przegrupowanie środków</w:t>
      </w:r>
      <w:r w:rsidR="00CC55C0" w:rsidRPr="0071228C">
        <w:rPr>
          <w:noProof/>
        </w:rPr>
        <w:t xml:space="preserve"> w</w:t>
      </w:r>
      <w:r w:rsidR="00CC55C0">
        <w:rPr>
          <w:noProof/>
        </w:rPr>
        <w:t> </w:t>
      </w:r>
      <w:r w:rsidR="00CC55C0" w:rsidRPr="0071228C">
        <w:rPr>
          <w:noProof/>
        </w:rPr>
        <w:t>ram</w:t>
      </w:r>
      <w:r w:rsidRPr="0071228C">
        <w:rPr>
          <w:noProof/>
        </w:rPr>
        <w:t>ach odpowiedniego działu wieloletnich ram finansowych (WRF).</w:t>
      </w:r>
    </w:p>
    <w:p w14:paraId="74471065" w14:textId="77777777" w:rsidR="001C0111" w:rsidRPr="0071228C" w:rsidRDefault="001C0111" w:rsidP="001C0111">
      <w:pPr>
        <w:ind w:left="1134"/>
        <w:rPr>
          <w:noProof/>
          <w:sz w:val="20"/>
        </w:rPr>
      </w:pPr>
      <w:r w:rsidRPr="0071228C">
        <w:rPr>
          <w:noProof/>
        </w:rPr>
        <w:t>Na potrzeby skompensowania wzrostu dotacji ECHA i EEA wykorzystane zostaną środki przydzielone na program LIFE (linia budżetowa 09.02.02).</w:t>
      </w:r>
    </w:p>
    <w:p w14:paraId="654CF42A" w14:textId="57C243E6" w:rsidR="001C0111" w:rsidRPr="0071228C" w:rsidRDefault="001C0111" w:rsidP="002A2DB0">
      <w:pPr>
        <w:rPr>
          <w:noProof/>
        </w:rPr>
      </w:pPr>
      <w:r w:rsidRPr="0071228C">
        <w:rPr>
          <w:rFonts w:ascii="Wingdings" w:hAnsi="Wingdings"/>
          <w:noProof/>
        </w:rPr>
        <w:t></w:t>
      </w:r>
      <w:r w:rsidRPr="0071228C">
        <w:rPr>
          <w:noProof/>
        </w:rPr>
        <w:tab/>
        <w:t>wymaga zastosowania nieprzydzielonego marginesu środków</w:t>
      </w:r>
      <w:r w:rsidR="00CC55C0" w:rsidRPr="0071228C">
        <w:rPr>
          <w:noProof/>
        </w:rPr>
        <w:t xml:space="preserve"> w</w:t>
      </w:r>
      <w:r w:rsidR="00CC55C0">
        <w:rPr>
          <w:noProof/>
        </w:rPr>
        <w:t> </w:t>
      </w:r>
      <w:r w:rsidR="00CC55C0" w:rsidRPr="0071228C">
        <w:rPr>
          <w:noProof/>
        </w:rPr>
        <w:t>ram</w:t>
      </w:r>
      <w:r w:rsidRPr="0071228C">
        <w:rPr>
          <w:noProof/>
        </w:rPr>
        <w:t>ach odpowiedniego działu WRF lub zastosowania specjalnych instrumentów zdefiniowanych</w:t>
      </w:r>
      <w:r w:rsidR="00CC55C0" w:rsidRPr="0071228C">
        <w:rPr>
          <w:noProof/>
        </w:rPr>
        <w:t xml:space="preserve"> w</w:t>
      </w:r>
      <w:r w:rsidR="00CC55C0">
        <w:rPr>
          <w:noProof/>
        </w:rPr>
        <w:t> </w:t>
      </w:r>
      <w:r w:rsidR="00CC55C0" w:rsidRPr="0071228C">
        <w:rPr>
          <w:noProof/>
        </w:rPr>
        <w:t>roz</w:t>
      </w:r>
      <w:r w:rsidRPr="0071228C">
        <w:rPr>
          <w:noProof/>
        </w:rPr>
        <w:t>porządzeniu</w:t>
      </w:r>
      <w:r w:rsidR="00CC55C0" w:rsidRPr="0071228C">
        <w:rPr>
          <w:noProof/>
        </w:rPr>
        <w:t xml:space="preserve"> w</w:t>
      </w:r>
      <w:r w:rsidR="00CC55C0">
        <w:rPr>
          <w:noProof/>
        </w:rPr>
        <w:t> </w:t>
      </w:r>
      <w:r w:rsidR="00CC55C0" w:rsidRPr="0071228C">
        <w:rPr>
          <w:noProof/>
        </w:rPr>
        <w:t>spr</w:t>
      </w:r>
      <w:r w:rsidRPr="0071228C">
        <w:rPr>
          <w:noProof/>
        </w:rPr>
        <w:t>awie WRF.</w:t>
      </w:r>
    </w:p>
    <w:p w14:paraId="543FEAAA" w14:textId="77777777" w:rsidR="001C0111" w:rsidRPr="0071228C" w:rsidRDefault="001C0111" w:rsidP="002A2DB0">
      <w:pPr>
        <w:rPr>
          <w:noProof/>
        </w:rPr>
      </w:pPr>
      <w:r w:rsidRPr="0071228C">
        <w:rPr>
          <w:rFonts w:ascii="Wingdings" w:hAnsi="Wingdings"/>
          <w:noProof/>
        </w:rPr>
        <w:t></w:t>
      </w:r>
      <w:r w:rsidRPr="0071228C">
        <w:rPr>
          <w:noProof/>
        </w:rPr>
        <w:tab/>
        <w:t>wymaga rewizji WRF.</w:t>
      </w:r>
    </w:p>
    <w:p w14:paraId="331A5BD1" w14:textId="706E7A10" w:rsidR="001C0111" w:rsidRPr="0071228C" w:rsidRDefault="001C0111" w:rsidP="002A2DB0">
      <w:pPr>
        <w:keepNext/>
        <w:outlineLvl w:val="2"/>
        <w:rPr>
          <w:rFonts w:eastAsiaTheme="majorEastAsia"/>
          <w:bCs/>
          <w:i/>
          <w:noProof/>
        </w:rPr>
      </w:pPr>
      <w:bookmarkStart w:id="65" w:name="_Toc514938058"/>
      <w:bookmarkStart w:id="66" w:name="_Toc520485056"/>
      <w:r w:rsidRPr="0071228C">
        <w:rPr>
          <w:i/>
          <w:noProof/>
        </w:rPr>
        <w:t>Udział osób trzecich</w:t>
      </w:r>
      <w:r w:rsidR="00CC55C0" w:rsidRPr="0071228C">
        <w:rPr>
          <w:i/>
          <w:noProof/>
        </w:rPr>
        <w:t xml:space="preserve"> w</w:t>
      </w:r>
      <w:r w:rsidR="00CC55C0">
        <w:rPr>
          <w:i/>
          <w:noProof/>
        </w:rPr>
        <w:t> </w:t>
      </w:r>
      <w:r w:rsidR="00CC55C0" w:rsidRPr="0071228C">
        <w:rPr>
          <w:i/>
          <w:noProof/>
        </w:rPr>
        <w:t>fin</w:t>
      </w:r>
      <w:r w:rsidRPr="0071228C">
        <w:rPr>
          <w:i/>
          <w:noProof/>
        </w:rPr>
        <w:t>ansowaniu</w:t>
      </w:r>
      <w:bookmarkEnd w:id="65"/>
      <w:bookmarkEnd w:id="66"/>
      <w:r w:rsidRPr="0071228C">
        <w:rPr>
          <w:i/>
          <w:noProof/>
        </w:rPr>
        <w:t xml:space="preserve"> </w:t>
      </w:r>
    </w:p>
    <w:p w14:paraId="15413586" w14:textId="77777777" w:rsidR="001C0111" w:rsidRPr="0071228C" w:rsidRDefault="001C0111" w:rsidP="001C0111">
      <w:pPr>
        <w:ind w:left="850"/>
        <w:rPr>
          <w:noProof/>
        </w:rPr>
      </w:pPr>
      <w:r w:rsidRPr="0071228C">
        <w:rPr>
          <w:noProof/>
        </w:rPr>
        <w:t>Wniosek/inicjatywa:</w:t>
      </w:r>
    </w:p>
    <w:p w14:paraId="01AF0BEF" w14:textId="77777777" w:rsidR="001C0111" w:rsidRPr="0071228C" w:rsidRDefault="001C0111" w:rsidP="002A2DB0">
      <w:pPr>
        <w:rPr>
          <w:noProof/>
        </w:rPr>
      </w:pPr>
      <w:r w:rsidRPr="0071228C">
        <w:rPr>
          <w:rFonts w:ascii="Wingdings" w:hAnsi="Wingdings"/>
          <w:noProof/>
        </w:rPr>
        <w:t></w:t>
      </w:r>
      <w:r w:rsidRPr="0071228C">
        <w:rPr>
          <w:noProof/>
        </w:rPr>
        <w:tab/>
        <w:t>nie przewiduje współfinansowania ze strony osób trzecich</w:t>
      </w:r>
    </w:p>
    <w:p w14:paraId="3369706B" w14:textId="1D6C01D0" w:rsidR="001C0111" w:rsidRPr="0071228C" w:rsidRDefault="001C0111" w:rsidP="002A2DB0">
      <w:pPr>
        <w:rPr>
          <w:noProof/>
        </w:rPr>
      </w:pPr>
      <w:r w:rsidRPr="0071228C">
        <w:rPr>
          <w:rFonts w:ascii="Wingdings" w:hAnsi="Wingdings"/>
          <w:noProof/>
        </w:rPr>
        <w:t></w:t>
      </w:r>
      <w:r w:rsidRPr="0071228C">
        <w:rPr>
          <w:noProof/>
        </w:rPr>
        <w:tab/>
        <w:t>przewiduje współfinansowanie ze strony osób trzecich szacowane zgodnie</w:t>
      </w:r>
      <w:r w:rsidR="00CC55C0" w:rsidRPr="0071228C">
        <w:rPr>
          <w:noProof/>
        </w:rPr>
        <w:t xml:space="preserve"> z</w:t>
      </w:r>
      <w:r w:rsidR="00CC55C0">
        <w:rPr>
          <w:noProof/>
        </w:rPr>
        <w:t> </w:t>
      </w:r>
      <w:r w:rsidR="00CC55C0" w:rsidRPr="0071228C">
        <w:rPr>
          <w:noProof/>
        </w:rPr>
        <w:t>pon</w:t>
      </w:r>
      <w:r w:rsidRPr="0071228C">
        <w:rPr>
          <w:noProof/>
        </w:rPr>
        <w:t>iższymi szacunkami:</w:t>
      </w:r>
    </w:p>
    <w:p w14:paraId="6F0A933C" w14:textId="54733642" w:rsidR="001C0111" w:rsidRPr="0071228C" w:rsidRDefault="001C0111" w:rsidP="001C0111">
      <w:pPr>
        <w:jc w:val="right"/>
        <w:rPr>
          <w:noProof/>
          <w:sz w:val="20"/>
        </w:rPr>
      </w:pPr>
      <w:r w:rsidRPr="0071228C">
        <w:rPr>
          <w:noProof/>
          <w:sz w:val="20"/>
        </w:rPr>
        <w:t>środki</w:t>
      </w:r>
      <w:r w:rsidR="00CC55C0" w:rsidRPr="0071228C">
        <w:rPr>
          <w:noProof/>
          <w:sz w:val="20"/>
        </w:rPr>
        <w:t xml:space="preserve"> w</w:t>
      </w:r>
      <w:r w:rsidR="00CC55C0">
        <w:rPr>
          <w:noProof/>
          <w:sz w:val="20"/>
        </w:rPr>
        <w:t> </w:t>
      </w:r>
      <w:r w:rsidR="00CC55C0" w:rsidRPr="0071228C">
        <w:rPr>
          <w:noProof/>
          <w:sz w:val="20"/>
        </w:rPr>
        <w:t>mln</w:t>
      </w:r>
      <w:r w:rsidRPr="0071228C">
        <w:rPr>
          <w:noProof/>
          <w:sz w:val="20"/>
        </w:rPr>
        <w:t xml:space="preserve">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C0111" w:rsidRPr="0071228C" w14:paraId="691740DC" w14:textId="77777777" w:rsidTr="00EE4772">
        <w:trPr>
          <w:cantSplit/>
        </w:trPr>
        <w:tc>
          <w:tcPr>
            <w:tcW w:w="2340" w:type="dxa"/>
          </w:tcPr>
          <w:p w14:paraId="03BF57E4" w14:textId="77777777" w:rsidR="001C0111" w:rsidRPr="0071228C" w:rsidRDefault="001C0111" w:rsidP="001C0111">
            <w:pPr>
              <w:spacing w:before="60" w:after="60"/>
              <w:rPr>
                <w:noProof/>
                <w:sz w:val="20"/>
                <w:lang w:eastAsia="en-GB"/>
              </w:rPr>
            </w:pPr>
          </w:p>
        </w:tc>
        <w:tc>
          <w:tcPr>
            <w:tcW w:w="964" w:type="dxa"/>
            <w:vAlign w:val="center"/>
          </w:tcPr>
          <w:p w14:paraId="5E9B794D" w14:textId="77777777" w:rsidR="001C0111" w:rsidRPr="0071228C" w:rsidRDefault="001C0111" w:rsidP="001C0111">
            <w:pPr>
              <w:jc w:val="center"/>
              <w:rPr>
                <w:noProof/>
                <w:sz w:val="20"/>
              </w:rPr>
            </w:pPr>
            <w:r w:rsidRPr="0071228C">
              <w:rPr>
                <w:noProof/>
                <w:sz w:val="20"/>
              </w:rPr>
              <w:t>Rok</w:t>
            </w:r>
            <w:r w:rsidRPr="0071228C">
              <w:rPr>
                <w:noProof/>
              </w:rPr>
              <w:t xml:space="preserve"> </w:t>
            </w:r>
            <w:r w:rsidRPr="0071228C">
              <w:rPr>
                <w:noProof/>
              </w:rPr>
              <w:br/>
            </w:r>
            <w:r w:rsidRPr="0071228C">
              <w:rPr>
                <w:b/>
                <w:noProof/>
                <w:sz w:val="20"/>
              </w:rPr>
              <w:t>N</w:t>
            </w:r>
            <w:r w:rsidRPr="0071228C">
              <w:rPr>
                <w:rStyle w:val="FootnoteReference"/>
                <w:noProof/>
              </w:rPr>
              <w:footnoteReference w:id="76"/>
            </w:r>
          </w:p>
        </w:tc>
        <w:tc>
          <w:tcPr>
            <w:tcW w:w="964" w:type="dxa"/>
            <w:vAlign w:val="center"/>
          </w:tcPr>
          <w:p w14:paraId="0D897703" w14:textId="77777777" w:rsidR="001C0111" w:rsidRPr="0071228C" w:rsidRDefault="001C0111" w:rsidP="001C0111">
            <w:pPr>
              <w:jc w:val="center"/>
              <w:rPr>
                <w:noProof/>
                <w:sz w:val="20"/>
              </w:rPr>
            </w:pPr>
            <w:r w:rsidRPr="0071228C">
              <w:rPr>
                <w:noProof/>
                <w:sz w:val="20"/>
              </w:rPr>
              <w:t>Rok</w:t>
            </w:r>
            <w:r w:rsidRPr="0071228C">
              <w:rPr>
                <w:noProof/>
              </w:rPr>
              <w:t xml:space="preserve"> </w:t>
            </w:r>
            <w:r w:rsidRPr="0071228C">
              <w:rPr>
                <w:noProof/>
              </w:rPr>
              <w:br/>
            </w:r>
            <w:r w:rsidRPr="0071228C">
              <w:rPr>
                <w:b/>
                <w:noProof/>
                <w:sz w:val="20"/>
              </w:rPr>
              <w:t>N+1</w:t>
            </w:r>
          </w:p>
        </w:tc>
        <w:tc>
          <w:tcPr>
            <w:tcW w:w="964" w:type="dxa"/>
            <w:vAlign w:val="center"/>
          </w:tcPr>
          <w:p w14:paraId="6DA7611D" w14:textId="77777777" w:rsidR="001C0111" w:rsidRPr="0071228C" w:rsidRDefault="001C0111" w:rsidP="001C0111">
            <w:pPr>
              <w:jc w:val="center"/>
              <w:rPr>
                <w:noProof/>
                <w:sz w:val="20"/>
              </w:rPr>
            </w:pPr>
            <w:r w:rsidRPr="0071228C">
              <w:rPr>
                <w:noProof/>
                <w:sz w:val="20"/>
              </w:rPr>
              <w:t>Rok</w:t>
            </w:r>
            <w:r w:rsidRPr="0071228C">
              <w:rPr>
                <w:noProof/>
              </w:rPr>
              <w:t xml:space="preserve"> </w:t>
            </w:r>
            <w:r w:rsidRPr="0071228C">
              <w:rPr>
                <w:noProof/>
              </w:rPr>
              <w:br/>
            </w:r>
            <w:r w:rsidRPr="0071228C">
              <w:rPr>
                <w:b/>
                <w:noProof/>
                <w:sz w:val="20"/>
              </w:rPr>
              <w:t>N+2</w:t>
            </w:r>
          </w:p>
        </w:tc>
        <w:tc>
          <w:tcPr>
            <w:tcW w:w="964" w:type="dxa"/>
            <w:vAlign w:val="center"/>
          </w:tcPr>
          <w:p w14:paraId="49458A20" w14:textId="77777777" w:rsidR="001C0111" w:rsidRPr="0071228C" w:rsidRDefault="001C0111" w:rsidP="001C0111">
            <w:pPr>
              <w:jc w:val="center"/>
              <w:rPr>
                <w:noProof/>
                <w:sz w:val="20"/>
              </w:rPr>
            </w:pPr>
            <w:r w:rsidRPr="0071228C">
              <w:rPr>
                <w:noProof/>
                <w:sz w:val="20"/>
              </w:rPr>
              <w:t>Rok</w:t>
            </w:r>
            <w:r w:rsidRPr="0071228C">
              <w:rPr>
                <w:noProof/>
              </w:rPr>
              <w:t xml:space="preserve"> </w:t>
            </w:r>
            <w:r w:rsidRPr="0071228C">
              <w:rPr>
                <w:noProof/>
              </w:rPr>
              <w:br/>
            </w:r>
            <w:r w:rsidRPr="0071228C">
              <w:rPr>
                <w:b/>
                <w:noProof/>
                <w:sz w:val="20"/>
              </w:rPr>
              <w:t>N+3</w:t>
            </w:r>
          </w:p>
        </w:tc>
        <w:tc>
          <w:tcPr>
            <w:tcW w:w="2892" w:type="dxa"/>
            <w:gridSpan w:val="3"/>
            <w:vAlign w:val="center"/>
          </w:tcPr>
          <w:p w14:paraId="0BD0B962" w14:textId="21C94E03" w:rsidR="001C0111" w:rsidRPr="0071228C" w:rsidRDefault="001C0111" w:rsidP="001C0111">
            <w:pPr>
              <w:jc w:val="center"/>
              <w:rPr>
                <w:b/>
                <w:noProof/>
                <w:sz w:val="20"/>
              </w:rPr>
            </w:pPr>
            <w:r w:rsidRPr="0071228C">
              <w:rPr>
                <w:noProof/>
                <w:sz w:val="20"/>
              </w:rPr>
              <w:t xml:space="preserve">Wprowadzić taką liczbę kolumn dla poszczególnych lat, jaka jest niezbędna, by odzwierciedlić cały okres wpływu (por. </w:t>
            </w:r>
            <w:r w:rsidRPr="00CC55C0">
              <w:rPr>
                <w:noProof/>
                <w:sz w:val="20"/>
              </w:rPr>
              <w:t>pkt</w:t>
            </w:r>
            <w:r w:rsidR="00CC55C0" w:rsidRPr="00CC55C0">
              <w:rPr>
                <w:noProof/>
                <w:sz w:val="20"/>
              </w:rPr>
              <w:t> </w:t>
            </w:r>
            <w:r w:rsidRPr="00CC55C0">
              <w:rPr>
                <w:noProof/>
                <w:sz w:val="20"/>
              </w:rPr>
              <w:t>1</w:t>
            </w:r>
            <w:r w:rsidRPr="0071228C">
              <w:rPr>
                <w:noProof/>
                <w:sz w:val="20"/>
              </w:rPr>
              <w:t>.6)</w:t>
            </w:r>
          </w:p>
        </w:tc>
        <w:tc>
          <w:tcPr>
            <w:tcW w:w="1158" w:type="dxa"/>
            <w:vAlign w:val="center"/>
          </w:tcPr>
          <w:p w14:paraId="61648A37" w14:textId="77777777" w:rsidR="001C0111" w:rsidRPr="0071228C" w:rsidRDefault="001C0111" w:rsidP="001C0111">
            <w:pPr>
              <w:spacing w:before="60" w:after="60"/>
              <w:jc w:val="center"/>
              <w:rPr>
                <w:noProof/>
                <w:sz w:val="20"/>
              </w:rPr>
            </w:pPr>
            <w:r w:rsidRPr="0071228C">
              <w:rPr>
                <w:noProof/>
                <w:sz w:val="20"/>
              </w:rPr>
              <w:t>Ogółem</w:t>
            </w:r>
          </w:p>
        </w:tc>
      </w:tr>
      <w:tr w:rsidR="001C0111" w:rsidRPr="0071228C" w14:paraId="5A97068C" w14:textId="77777777" w:rsidTr="00EE4772">
        <w:trPr>
          <w:cantSplit/>
        </w:trPr>
        <w:tc>
          <w:tcPr>
            <w:tcW w:w="2340" w:type="dxa"/>
          </w:tcPr>
          <w:p w14:paraId="3C2032CE" w14:textId="77777777" w:rsidR="001C0111" w:rsidRPr="0071228C" w:rsidRDefault="001C0111" w:rsidP="001C0111">
            <w:pPr>
              <w:rPr>
                <w:noProof/>
              </w:rPr>
            </w:pPr>
            <w:r w:rsidRPr="0071228C">
              <w:rPr>
                <w:noProof/>
                <w:sz w:val="20"/>
              </w:rPr>
              <w:t>Określić organ współfinansujący</w:t>
            </w:r>
            <w:r w:rsidRPr="0071228C">
              <w:rPr>
                <w:i/>
                <w:noProof/>
                <w:sz w:val="20"/>
              </w:rPr>
              <w:t xml:space="preserve"> </w:t>
            </w:r>
          </w:p>
        </w:tc>
        <w:tc>
          <w:tcPr>
            <w:tcW w:w="964" w:type="dxa"/>
            <w:vAlign w:val="center"/>
          </w:tcPr>
          <w:p w14:paraId="3A49DE7B" w14:textId="77777777" w:rsidR="001C0111" w:rsidRPr="0071228C" w:rsidRDefault="001C0111" w:rsidP="001C0111">
            <w:pPr>
              <w:spacing w:before="60" w:after="60"/>
              <w:jc w:val="center"/>
              <w:rPr>
                <w:noProof/>
                <w:sz w:val="20"/>
                <w:lang w:eastAsia="en-GB"/>
              </w:rPr>
            </w:pPr>
          </w:p>
        </w:tc>
        <w:tc>
          <w:tcPr>
            <w:tcW w:w="964" w:type="dxa"/>
            <w:vAlign w:val="center"/>
          </w:tcPr>
          <w:p w14:paraId="3EE8DFC3" w14:textId="77777777" w:rsidR="001C0111" w:rsidRPr="0071228C" w:rsidRDefault="001C0111" w:rsidP="001C0111">
            <w:pPr>
              <w:spacing w:before="60" w:after="60"/>
              <w:jc w:val="center"/>
              <w:rPr>
                <w:noProof/>
                <w:sz w:val="20"/>
                <w:lang w:eastAsia="en-GB"/>
              </w:rPr>
            </w:pPr>
          </w:p>
        </w:tc>
        <w:tc>
          <w:tcPr>
            <w:tcW w:w="964" w:type="dxa"/>
            <w:vAlign w:val="center"/>
          </w:tcPr>
          <w:p w14:paraId="06DD15D5" w14:textId="77777777" w:rsidR="001C0111" w:rsidRPr="0071228C" w:rsidRDefault="001C0111" w:rsidP="001C0111">
            <w:pPr>
              <w:spacing w:before="60" w:after="60"/>
              <w:jc w:val="center"/>
              <w:rPr>
                <w:noProof/>
                <w:sz w:val="20"/>
                <w:lang w:eastAsia="en-GB"/>
              </w:rPr>
            </w:pPr>
          </w:p>
        </w:tc>
        <w:tc>
          <w:tcPr>
            <w:tcW w:w="964" w:type="dxa"/>
            <w:vAlign w:val="center"/>
          </w:tcPr>
          <w:p w14:paraId="6A9B459F" w14:textId="77777777" w:rsidR="001C0111" w:rsidRPr="0071228C" w:rsidRDefault="001C0111" w:rsidP="001C0111">
            <w:pPr>
              <w:spacing w:before="60" w:after="60"/>
              <w:jc w:val="center"/>
              <w:rPr>
                <w:noProof/>
                <w:sz w:val="20"/>
                <w:lang w:eastAsia="en-GB"/>
              </w:rPr>
            </w:pPr>
          </w:p>
        </w:tc>
        <w:tc>
          <w:tcPr>
            <w:tcW w:w="964" w:type="dxa"/>
            <w:vAlign w:val="center"/>
          </w:tcPr>
          <w:p w14:paraId="61CADC45" w14:textId="77777777" w:rsidR="001C0111" w:rsidRPr="0071228C" w:rsidRDefault="001C0111" w:rsidP="001C0111">
            <w:pPr>
              <w:spacing w:before="60" w:after="60"/>
              <w:jc w:val="center"/>
              <w:rPr>
                <w:noProof/>
                <w:sz w:val="20"/>
                <w:lang w:eastAsia="en-GB"/>
              </w:rPr>
            </w:pPr>
          </w:p>
        </w:tc>
        <w:tc>
          <w:tcPr>
            <w:tcW w:w="964" w:type="dxa"/>
            <w:vAlign w:val="center"/>
          </w:tcPr>
          <w:p w14:paraId="3E713868" w14:textId="77777777" w:rsidR="001C0111" w:rsidRPr="0071228C" w:rsidRDefault="001C0111" w:rsidP="001C0111">
            <w:pPr>
              <w:spacing w:before="60" w:after="60"/>
              <w:jc w:val="center"/>
              <w:rPr>
                <w:noProof/>
                <w:sz w:val="20"/>
                <w:lang w:eastAsia="en-GB"/>
              </w:rPr>
            </w:pPr>
          </w:p>
        </w:tc>
        <w:tc>
          <w:tcPr>
            <w:tcW w:w="964" w:type="dxa"/>
            <w:vAlign w:val="center"/>
          </w:tcPr>
          <w:p w14:paraId="188DB27E" w14:textId="77777777" w:rsidR="001C0111" w:rsidRPr="0071228C" w:rsidRDefault="001C0111" w:rsidP="001C0111">
            <w:pPr>
              <w:spacing w:before="60" w:after="60"/>
              <w:jc w:val="center"/>
              <w:rPr>
                <w:noProof/>
                <w:sz w:val="20"/>
                <w:lang w:eastAsia="en-GB"/>
              </w:rPr>
            </w:pPr>
          </w:p>
        </w:tc>
        <w:tc>
          <w:tcPr>
            <w:tcW w:w="1158" w:type="dxa"/>
            <w:vAlign w:val="center"/>
          </w:tcPr>
          <w:p w14:paraId="0F0554E8" w14:textId="77777777" w:rsidR="001C0111" w:rsidRPr="0071228C" w:rsidRDefault="001C0111" w:rsidP="001C0111">
            <w:pPr>
              <w:spacing w:before="60" w:after="60"/>
              <w:jc w:val="center"/>
              <w:rPr>
                <w:noProof/>
                <w:sz w:val="20"/>
                <w:lang w:eastAsia="en-GB"/>
              </w:rPr>
            </w:pPr>
          </w:p>
        </w:tc>
      </w:tr>
      <w:tr w:rsidR="001C0111" w:rsidRPr="0071228C" w14:paraId="56AB7137" w14:textId="77777777" w:rsidTr="00EE4772">
        <w:trPr>
          <w:cantSplit/>
        </w:trPr>
        <w:tc>
          <w:tcPr>
            <w:tcW w:w="2340" w:type="dxa"/>
          </w:tcPr>
          <w:p w14:paraId="6EE30086" w14:textId="77777777" w:rsidR="001C0111" w:rsidRPr="0071228C" w:rsidRDefault="001C0111" w:rsidP="001C0111">
            <w:pPr>
              <w:spacing w:before="60" w:after="60"/>
              <w:jc w:val="left"/>
              <w:rPr>
                <w:noProof/>
                <w:sz w:val="20"/>
              </w:rPr>
            </w:pPr>
            <w:r w:rsidRPr="0071228C">
              <w:rPr>
                <w:noProof/>
                <w:sz w:val="20"/>
              </w:rPr>
              <w:t xml:space="preserve">OGÓŁEM środki objęte współfinansowaniem </w:t>
            </w:r>
          </w:p>
        </w:tc>
        <w:tc>
          <w:tcPr>
            <w:tcW w:w="964" w:type="dxa"/>
            <w:vAlign w:val="center"/>
          </w:tcPr>
          <w:p w14:paraId="15980274" w14:textId="77777777" w:rsidR="001C0111" w:rsidRPr="0071228C" w:rsidRDefault="001C0111" w:rsidP="001C0111">
            <w:pPr>
              <w:spacing w:before="60" w:after="60"/>
              <w:jc w:val="center"/>
              <w:rPr>
                <w:noProof/>
                <w:sz w:val="20"/>
                <w:lang w:eastAsia="en-GB"/>
              </w:rPr>
            </w:pPr>
          </w:p>
        </w:tc>
        <w:tc>
          <w:tcPr>
            <w:tcW w:w="964" w:type="dxa"/>
            <w:vAlign w:val="center"/>
          </w:tcPr>
          <w:p w14:paraId="03A2D3AB" w14:textId="77777777" w:rsidR="001C0111" w:rsidRPr="0071228C" w:rsidRDefault="001C0111" w:rsidP="001C0111">
            <w:pPr>
              <w:spacing w:before="60" w:after="60"/>
              <w:jc w:val="center"/>
              <w:rPr>
                <w:noProof/>
                <w:sz w:val="20"/>
                <w:lang w:eastAsia="en-GB"/>
              </w:rPr>
            </w:pPr>
          </w:p>
        </w:tc>
        <w:tc>
          <w:tcPr>
            <w:tcW w:w="964" w:type="dxa"/>
            <w:vAlign w:val="center"/>
          </w:tcPr>
          <w:p w14:paraId="189EEB17" w14:textId="77777777" w:rsidR="001C0111" w:rsidRPr="0071228C" w:rsidRDefault="001C0111" w:rsidP="001C0111">
            <w:pPr>
              <w:spacing w:before="60" w:after="60"/>
              <w:jc w:val="center"/>
              <w:rPr>
                <w:noProof/>
                <w:sz w:val="20"/>
                <w:lang w:eastAsia="en-GB"/>
              </w:rPr>
            </w:pPr>
          </w:p>
        </w:tc>
        <w:tc>
          <w:tcPr>
            <w:tcW w:w="964" w:type="dxa"/>
            <w:vAlign w:val="center"/>
          </w:tcPr>
          <w:p w14:paraId="23AD8C07" w14:textId="77777777" w:rsidR="001C0111" w:rsidRPr="0071228C" w:rsidRDefault="001C0111" w:rsidP="001C0111">
            <w:pPr>
              <w:spacing w:before="60" w:after="60"/>
              <w:jc w:val="center"/>
              <w:rPr>
                <w:noProof/>
                <w:sz w:val="20"/>
                <w:lang w:eastAsia="en-GB"/>
              </w:rPr>
            </w:pPr>
          </w:p>
        </w:tc>
        <w:tc>
          <w:tcPr>
            <w:tcW w:w="964" w:type="dxa"/>
            <w:vAlign w:val="center"/>
          </w:tcPr>
          <w:p w14:paraId="53E1A4A2" w14:textId="77777777" w:rsidR="001C0111" w:rsidRPr="0071228C" w:rsidRDefault="001C0111" w:rsidP="001C0111">
            <w:pPr>
              <w:spacing w:before="60" w:after="60"/>
              <w:jc w:val="center"/>
              <w:rPr>
                <w:noProof/>
                <w:sz w:val="20"/>
                <w:lang w:eastAsia="en-GB"/>
              </w:rPr>
            </w:pPr>
          </w:p>
        </w:tc>
        <w:tc>
          <w:tcPr>
            <w:tcW w:w="964" w:type="dxa"/>
            <w:vAlign w:val="center"/>
          </w:tcPr>
          <w:p w14:paraId="1275CE9E" w14:textId="77777777" w:rsidR="001C0111" w:rsidRPr="0071228C" w:rsidRDefault="001C0111" w:rsidP="001C0111">
            <w:pPr>
              <w:spacing w:before="60" w:after="60"/>
              <w:jc w:val="center"/>
              <w:rPr>
                <w:noProof/>
                <w:sz w:val="20"/>
                <w:lang w:eastAsia="en-GB"/>
              </w:rPr>
            </w:pPr>
          </w:p>
        </w:tc>
        <w:tc>
          <w:tcPr>
            <w:tcW w:w="964" w:type="dxa"/>
            <w:vAlign w:val="center"/>
          </w:tcPr>
          <w:p w14:paraId="4C844F3A" w14:textId="77777777" w:rsidR="001C0111" w:rsidRPr="0071228C" w:rsidRDefault="001C0111" w:rsidP="001C0111">
            <w:pPr>
              <w:spacing w:before="60" w:after="60"/>
              <w:jc w:val="center"/>
              <w:rPr>
                <w:noProof/>
                <w:sz w:val="20"/>
                <w:lang w:eastAsia="en-GB"/>
              </w:rPr>
            </w:pPr>
          </w:p>
        </w:tc>
        <w:tc>
          <w:tcPr>
            <w:tcW w:w="1158" w:type="dxa"/>
            <w:vAlign w:val="center"/>
          </w:tcPr>
          <w:p w14:paraId="0AE03705" w14:textId="77777777" w:rsidR="001C0111" w:rsidRPr="0071228C" w:rsidRDefault="001C0111" w:rsidP="001C0111">
            <w:pPr>
              <w:spacing w:before="60" w:after="60"/>
              <w:jc w:val="center"/>
              <w:rPr>
                <w:noProof/>
                <w:sz w:val="20"/>
                <w:lang w:eastAsia="en-GB"/>
              </w:rPr>
            </w:pPr>
          </w:p>
        </w:tc>
      </w:tr>
    </w:tbl>
    <w:p w14:paraId="0A231FE1" w14:textId="77777777" w:rsidR="001C0111" w:rsidRPr="0071228C" w:rsidRDefault="001C0111" w:rsidP="001C0111">
      <w:pPr>
        <w:rPr>
          <w:noProof/>
        </w:rPr>
      </w:pPr>
      <w:r w:rsidRPr="0071228C">
        <w:rPr>
          <w:noProof/>
        </w:rPr>
        <w:t xml:space="preserve"> </w:t>
      </w:r>
      <w:r w:rsidRPr="0071228C">
        <w:rPr>
          <w:noProof/>
        </w:rPr>
        <w:br/>
      </w:r>
    </w:p>
    <w:p w14:paraId="008AA680" w14:textId="77777777" w:rsidR="001C0111" w:rsidRPr="0071228C" w:rsidRDefault="001C0111" w:rsidP="002A2DB0">
      <w:pPr>
        <w:keepNext/>
        <w:outlineLvl w:val="1"/>
        <w:rPr>
          <w:rFonts w:eastAsiaTheme="majorEastAsia"/>
          <w:b/>
          <w:bCs/>
          <w:noProof/>
          <w:szCs w:val="26"/>
        </w:rPr>
      </w:pPr>
      <w:r w:rsidRPr="0071228C">
        <w:rPr>
          <w:noProof/>
        </w:rPr>
        <w:br w:type="page"/>
      </w:r>
      <w:bookmarkStart w:id="67" w:name="_Toc514938059"/>
      <w:bookmarkStart w:id="68" w:name="_Toc520485057"/>
      <w:r w:rsidRPr="0071228C">
        <w:rPr>
          <w:b/>
          <w:noProof/>
        </w:rPr>
        <w:t>Szacunkowy wpływ na dochody</w:t>
      </w:r>
      <w:bookmarkEnd w:id="67"/>
      <w:bookmarkEnd w:id="68"/>
      <w:r w:rsidRPr="0071228C">
        <w:rPr>
          <w:b/>
          <w:noProof/>
        </w:rPr>
        <w:t xml:space="preserve"> </w:t>
      </w:r>
    </w:p>
    <w:p w14:paraId="622232F9" w14:textId="77777777" w:rsidR="001C0111" w:rsidRPr="0071228C" w:rsidRDefault="001C0111" w:rsidP="002A2DB0">
      <w:pPr>
        <w:rPr>
          <w:noProof/>
        </w:rPr>
      </w:pPr>
      <w:r w:rsidRPr="0071228C">
        <w:rPr>
          <w:rFonts w:ascii="Wingdings" w:hAnsi="Wingdings"/>
          <w:noProof/>
        </w:rPr>
        <w:t></w:t>
      </w:r>
      <w:r w:rsidRPr="0071228C">
        <w:rPr>
          <w:noProof/>
        </w:rPr>
        <w:tab/>
        <w:t>Wniosek/inicjatywa nie ma wpływu finansowego na dochody</w:t>
      </w:r>
    </w:p>
    <w:p w14:paraId="550A5652" w14:textId="77777777" w:rsidR="001C0111" w:rsidRPr="0071228C" w:rsidRDefault="001C0111" w:rsidP="002A2DB0">
      <w:pPr>
        <w:rPr>
          <w:noProof/>
        </w:rPr>
      </w:pPr>
      <w:r w:rsidRPr="0071228C">
        <w:rPr>
          <w:rFonts w:ascii="Wingdings" w:hAnsi="Wingdings"/>
          <w:noProof/>
        </w:rPr>
        <w:t></w:t>
      </w:r>
      <w:r w:rsidRPr="0071228C">
        <w:rPr>
          <w:noProof/>
        </w:rPr>
        <w:tab/>
        <w:t>Wniosek/inicjatywa ma wpływ finansowy określony poniżej:</w:t>
      </w:r>
    </w:p>
    <w:p w14:paraId="089E6142" w14:textId="77777777" w:rsidR="001C0111" w:rsidRPr="0071228C" w:rsidRDefault="001C0111" w:rsidP="001C0111">
      <w:pPr>
        <w:numPr>
          <w:ilvl w:val="2"/>
          <w:numId w:val="0"/>
        </w:numPr>
        <w:tabs>
          <w:tab w:val="num" w:pos="1843"/>
        </w:tabs>
        <w:ind w:left="2126" w:hanging="709"/>
        <w:rPr>
          <w:noProof/>
        </w:rPr>
      </w:pPr>
      <w:r w:rsidRPr="0071228C">
        <w:rPr>
          <w:rFonts w:ascii="Wingdings" w:hAnsi="Wingdings"/>
          <w:noProof/>
        </w:rPr>
        <w:t></w:t>
      </w:r>
      <w:r w:rsidRPr="0071228C">
        <w:rPr>
          <w:noProof/>
        </w:rPr>
        <w:tab/>
        <w:t xml:space="preserve">wpływ na zasoby własne </w:t>
      </w:r>
    </w:p>
    <w:p w14:paraId="3F05CFCF" w14:textId="77777777" w:rsidR="001C0111" w:rsidRPr="0071228C" w:rsidRDefault="001C0111" w:rsidP="001C0111">
      <w:pPr>
        <w:numPr>
          <w:ilvl w:val="2"/>
          <w:numId w:val="0"/>
        </w:numPr>
        <w:tabs>
          <w:tab w:val="num" w:pos="1843"/>
        </w:tabs>
        <w:ind w:left="2126" w:hanging="709"/>
        <w:rPr>
          <w:noProof/>
        </w:rPr>
      </w:pPr>
      <w:r w:rsidRPr="0071228C">
        <w:rPr>
          <w:rFonts w:ascii="Wingdings" w:hAnsi="Wingdings"/>
          <w:noProof/>
        </w:rPr>
        <w:t></w:t>
      </w:r>
      <w:r w:rsidRPr="0071228C">
        <w:rPr>
          <w:noProof/>
        </w:rPr>
        <w:tab/>
        <w:t>wpływ na dochody inne</w:t>
      </w:r>
    </w:p>
    <w:p w14:paraId="5D01FFD4" w14:textId="77777777" w:rsidR="001C0111" w:rsidRPr="0071228C" w:rsidRDefault="001C0111" w:rsidP="001C0111">
      <w:pPr>
        <w:numPr>
          <w:ilvl w:val="2"/>
          <w:numId w:val="0"/>
        </w:numPr>
        <w:tabs>
          <w:tab w:val="num" w:pos="2126"/>
        </w:tabs>
        <w:ind w:left="2126" w:hanging="709"/>
        <w:rPr>
          <w:noProof/>
        </w:rPr>
      </w:pPr>
      <w:r w:rsidRPr="0071228C">
        <w:rPr>
          <w:noProof/>
        </w:rPr>
        <w:t>Wskazać, czy dochody są przypisane do linii budżetowej po stronie wydatków</w:t>
      </w:r>
      <w:r w:rsidRPr="0071228C">
        <w:rPr>
          <w:rFonts w:ascii="Wingdings" w:hAnsi="Wingdings"/>
          <w:noProof/>
        </w:rPr>
        <w:t></w:t>
      </w:r>
      <w:r w:rsidRPr="0071228C">
        <w:rPr>
          <w:noProof/>
        </w:rPr>
        <w:tab/>
      </w:r>
    </w:p>
    <w:p w14:paraId="30C05ABB" w14:textId="418C59AE" w:rsidR="001C0111" w:rsidRPr="0071228C" w:rsidRDefault="001C0111" w:rsidP="001C0111">
      <w:pPr>
        <w:ind w:left="4320"/>
        <w:rPr>
          <w:i/>
          <w:noProof/>
          <w:sz w:val="20"/>
        </w:rPr>
      </w:pPr>
      <w:r w:rsidRPr="0071228C">
        <w:rPr>
          <w:noProof/>
        </w:rPr>
        <w:t xml:space="preserve">    </w:t>
      </w:r>
      <w:r w:rsidR="00CC55C0" w:rsidRPr="0071228C">
        <w:rPr>
          <w:noProof/>
        </w:rPr>
        <w:t xml:space="preserve"> w</w:t>
      </w:r>
      <w:r w:rsidR="00CC55C0">
        <w:rPr>
          <w:noProof/>
        </w:rPr>
        <w:t> </w:t>
      </w:r>
      <w:r w:rsidR="00CC55C0" w:rsidRPr="0071228C">
        <w:rPr>
          <w:noProof/>
        </w:rPr>
        <w:t>mln</w:t>
      </w:r>
      <w:r w:rsidRPr="0071228C">
        <w:rPr>
          <w:noProof/>
        </w:rPr>
        <w:t xml:space="preserve">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1C0111" w:rsidRPr="0071228C" w14:paraId="11407E00" w14:textId="77777777" w:rsidTr="00EE4772">
        <w:trPr>
          <w:trHeight w:val="388"/>
        </w:trPr>
        <w:tc>
          <w:tcPr>
            <w:tcW w:w="2144" w:type="dxa"/>
            <w:vMerge w:val="restart"/>
            <w:vAlign w:val="center"/>
          </w:tcPr>
          <w:p w14:paraId="5E65954B" w14:textId="77777777" w:rsidR="001C0111" w:rsidRPr="0071228C" w:rsidRDefault="001C0111" w:rsidP="001C0111">
            <w:pPr>
              <w:spacing w:before="40" w:after="40"/>
              <w:rPr>
                <w:noProof/>
                <w:sz w:val="18"/>
              </w:rPr>
            </w:pPr>
            <w:r w:rsidRPr="0071228C">
              <w:rPr>
                <w:noProof/>
                <w:sz w:val="18"/>
              </w:rPr>
              <w:t>Linia budżetowa po stronie dochodów</w:t>
            </w:r>
          </w:p>
        </w:tc>
        <w:tc>
          <w:tcPr>
            <w:tcW w:w="1325" w:type="dxa"/>
            <w:vMerge w:val="restart"/>
            <w:vAlign w:val="center"/>
          </w:tcPr>
          <w:p w14:paraId="7A1D4485" w14:textId="0A14D366" w:rsidR="001C0111" w:rsidRPr="0071228C" w:rsidRDefault="001C0111" w:rsidP="001C0111">
            <w:pPr>
              <w:jc w:val="center"/>
              <w:rPr>
                <w:noProof/>
                <w:sz w:val="18"/>
              </w:rPr>
            </w:pPr>
            <w:r w:rsidRPr="0071228C">
              <w:rPr>
                <w:noProof/>
                <w:sz w:val="18"/>
              </w:rPr>
              <w:t>Środki zapisane</w:t>
            </w:r>
            <w:r w:rsidR="00CC55C0" w:rsidRPr="0071228C">
              <w:rPr>
                <w:noProof/>
                <w:sz w:val="18"/>
              </w:rPr>
              <w:t xml:space="preserve"> w</w:t>
            </w:r>
            <w:r w:rsidR="00CC55C0">
              <w:rPr>
                <w:noProof/>
                <w:sz w:val="18"/>
              </w:rPr>
              <w:t> </w:t>
            </w:r>
            <w:r w:rsidR="00CC55C0" w:rsidRPr="0071228C">
              <w:rPr>
                <w:noProof/>
                <w:sz w:val="18"/>
              </w:rPr>
              <w:t>bud</w:t>
            </w:r>
            <w:r w:rsidRPr="0071228C">
              <w:rPr>
                <w:noProof/>
                <w:sz w:val="18"/>
              </w:rPr>
              <w:t>żecie na bieżący rok budżetowy</w:t>
            </w:r>
          </w:p>
        </w:tc>
        <w:tc>
          <w:tcPr>
            <w:tcW w:w="7151" w:type="dxa"/>
            <w:gridSpan w:val="7"/>
            <w:vAlign w:val="center"/>
          </w:tcPr>
          <w:p w14:paraId="4FDAA032" w14:textId="77777777" w:rsidR="001C0111" w:rsidRPr="0071228C" w:rsidRDefault="001C0111" w:rsidP="001C0111">
            <w:pPr>
              <w:jc w:val="center"/>
              <w:rPr>
                <w:noProof/>
                <w:sz w:val="18"/>
              </w:rPr>
            </w:pPr>
            <w:r w:rsidRPr="0071228C">
              <w:rPr>
                <w:noProof/>
                <w:sz w:val="18"/>
              </w:rPr>
              <w:t>Wpływ wniosku/inicjatywy</w:t>
            </w:r>
            <w:r w:rsidRPr="0071228C">
              <w:rPr>
                <w:rStyle w:val="FootnoteReference"/>
                <w:noProof/>
              </w:rPr>
              <w:footnoteReference w:id="77"/>
            </w:r>
          </w:p>
        </w:tc>
      </w:tr>
      <w:tr w:rsidR="001C0111" w:rsidRPr="0071228C" w14:paraId="703EFF27" w14:textId="77777777" w:rsidTr="00EE4772">
        <w:trPr>
          <w:trHeight w:val="388"/>
        </w:trPr>
        <w:tc>
          <w:tcPr>
            <w:tcW w:w="2144" w:type="dxa"/>
            <w:vMerge/>
          </w:tcPr>
          <w:p w14:paraId="722E85B0" w14:textId="77777777" w:rsidR="001C0111" w:rsidRPr="0071228C" w:rsidRDefault="001C0111" w:rsidP="001C0111">
            <w:pPr>
              <w:spacing w:before="40" w:after="40"/>
              <w:rPr>
                <w:noProof/>
                <w:sz w:val="18"/>
                <w:lang w:eastAsia="en-GB"/>
              </w:rPr>
            </w:pPr>
          </w:p>
        </w:tc>
        <w:tc>
          <w:tcPr>
            <w:tcW w:w="1325" w:type="dxa"/>
            <w:vMerge/>
          </w:tcPr>
          <w:p w14:paraId="7DCB99E9" w14:textId="77777777" w:rsidR="001C0111" w:rsidRPr="0071228C" w:rsidRDefault="001C0111" w:rsidP="001C0111">
            <w:pPr>
              <w:spacing w:beforeLines="40" w:before="96" w:afterLines="40" w:after="96"/>
              <w:rPr>
                <w:i/>
                <w:noProof/>
                <w:sz w:val="18"/>
                <w:lang w:eastAsia="en-GB"/>
              </w:rPr>
            </w:pPr>
          </w:p>
        </w:tc>
        <w:tc>
          <w:tcPr>
            <w:tcW w:w="1031" w:type="dxa"/>
            <w:vAlign w:val="center"/>
          </w:tcPr>
          <w:p w14:paraId="06DC6BEB" w14:textId="77777777" w:rsidR="001C0111" w:rsidRPr="0071228C" w:rsidRDefault="001C0111" w:rsidP="001C0111">
            <w:pPr>
              <w:jc w:val="center"/>
              <w:rPr>
                <w:noProof/>
                <w:sz w:val="18"/>
              </w:rPr>
            </w:pPr>
            <w:r w:rsidRPr="0071228C">
              <w:rPr>
                <w:noProof/>
                <w:sz w:val="18"/>
              </w:rPr>
              <w:t>Rok</w:t>
            </w:r>
            <w:r w:rsidRPr="0071228C">
              <w:rPr>
                <w:noProof/>
              </w:rPr>
              <w:t xml:space="preserve"> </w:t>
            </w:r>
            <w:r w:rsidRPr="0071228C">
              <w:rPr>
                <w:noProof/>
              </w:rPr>
              <w:br/>
            </w:r>
            <w:r w:rsidRPr="0071228C">
              <w:rPr>
                <w:b/>
                <w:noProof/>
                <w:sz w:val="18"/>
              </w:rPr>
              <w:t>N</w:t>
            </w:r>
          </w:p>
        </w:tc>
        <w:tc>
          <w:tcPr>
            <w:tcW w:w="900" w:type="dxa"/>
            <w:vAlign w:val="center"/>
          </w:tcPr>
          <w:p w14:paraId="5124DBFB" w14:textId="77777777" w:rsidR="001C0111" w:rsidRPr="0071228C" w:rsidRDefault="001C0111" w:rsidP="001C0111">
            <w:pPr>
              <w:jc w:val="center"/>
              <w:rPr>
                <w:noProof/>
                <w:sz w:val="18"/>
              </w:rPr>
            </w:pPr>
            <w:r w:rsidRPr="0071228C">
              <w:rPr>
                <w:noProof/>
                <w:sz w:val="18"/>
              </w:rPr>
              <w:t>Rok</w:t>
            </w:r>
            <w:r w:rsidRPr="0071228C">
              <w:rPr>
                <w:noProof/>
              </w:rPr>
              <w:t xml:space="preserve"> </w:t>
            </w:r>
            <w:r w:rsidRPr="0071228C">
              <w:rPr>
                <w:noProof/>
              </w:rPr>
              <w:br/>
            </w:r>
            <w:r w:rsidRPr="0071228C">
              <w:rPr>
                <w:b/>
                <w:noProof/>
                <w:sz w:val="18"/>
              </w:rPr>
              <w:t>N+1</w:t>
            </w:r>
          </w:p>
        </w:tc>
        <w:tc>
          <w:tcPr>
            <w:tcW w:w="900" w:type="dxa"/>
            <w:vAlign w:val="center"/>
          </w:tcPr>
          <w:p w14:paraId="0E17FC36" w14:textId="77777777" w:rsidR="001C0111" w:rsidRPr="0071228C" w:rsidRDefault="001C0111" w:rsidP="001C0111">
            <w:pPr>
              <w:jc w:val="center"/>
              <w:rPr>
                <w:noProof/>
                <w:sz w:val="18"/>
              </w:rPr>
            </w:pPr>
            <w:r w:rsidRPr="0071228C">
              <w:rPr>
                <w:noProof/>
                <w:sz w:val="18"/>
              </w:rPr>
              <w:t>Rok</w:t>
            </w:r>
            <w:r w:rsidRPr="0071228C">
              <w:rPr>
                <w:noProof/>
              </w:rPr>
              <w:t xml:space="preserve"> </w:t>
            </w:r>
            <w:r w:rsidRPr="0071228C">
              <w:rPr>
                <w:noProof/>
              </w:rPr>
              <w:br/>
            </w:r>
            <w:r w:rsidRPr="0071228C">
              <w:rPr>
                <w:b/>
                <w:noProof/>
                <w:sz w:val="18"/>
              </w:rPr>
              <w:t>N+2</w:t>
            </w:r>
          </w:p>
        </w:tc>
        <w:tc>
          <w:tcPr>
            <w:tcW w:w="1080" w:type="dxa"/>
            <w:vAlign w:val="center"/>
          </w:tcPr>
          <w:p w14:paraId="493356CB" w14:textId="77777777" w:rsidR="001C0111" w:rsidRPr="0071228C" w:rsidRDefault="001C0111" w:rsidP="001C0111">
            <w:pPr>
              <w:jc w:val="center"/>
              <w:rPr>
                <w:noProof/>
                <w:sz w:val="18"/>
              </w:rPr>
            </w:pPr>
            <w:r w:rsidRPr="0071228C">
              <w:rPr>
                <w:noProof/>
                <w:sz w:val="18"/>
              </w:rPr>
              <w:t>Rok</w:t>
            </w:r>
            <w:r w:rsidRPr="0071228C">
              <w:rPr>
                <w:noProof/>
              </w:rPr>
              <w:t xml:space="preserve"> </w:t>
            </w:r>
            <w:r w:rsidRPr="0071228C">
              <w:rPr>
                <w:noProof/>
              </w:rPr>
              <w:br/>
            </w:r>
            <w:r w:rsidRPr="0071228C">
              <w:rPr>
                <w:b/>
                <w:noProof/>
                <w:sz w:val="18"/>
              </w:rPr>
              <w:t>N+3</w:t>
            </w:r>
          </w:p>
        </w:tc>
        <w:tc>
          <w:tcPr>
            <w:tcW w:w="3240" w:type="dxa"/>
            <w:gridSpan w:val="3"/>
            <w:vAlign w:val="center"/>
          </w:tcPr>
          <w:p w14:paraId="519585E8" w14:textId="3AD2911B" w:rsidR="001C0111" w:rsidRPr="0071228C" w:rsidRDefault="001C0111" w:rsidP="001C0111">
            <w:pPr>
              <w:jc w:val="center"/>
              <w:rPr>
                <w:b/>
                <w:noProof/>
                <w:sz w:val="18"/>
              </w:rPr>
            </w:pPr>
            <w:r w:rsidRPr="0071228C">
              <w:rPr>
                <w:noProof/>
                <w:sz w:val="18"/>
              </w:rPr>
              <w:t xml:space="preserve">Wprowadzić taką liczbę kolumn dla poszczególnych lat, jaka jest niezbędna, by odzwierciedlić cały okres wpływu (por. </w:t>
            </w:r>
            <w:r w:rsidRPr="00CC55C0">
              <w:rPr>
                <w:noProof/>
                <w:sz w:val="18"/>
              </w:rPr>
              <w:t>pkt</w:t>
            </w:r>
            <w:r w:rsidR="00CC55C0" w:rsidRPr="00CC55C0">
              <w:rPr>
                <w:noProof/>
                <w:sz w:val="18"/>
              </w:rPr>
              <w:t> </w:t>
            </w:r>
            <w:r w:rsidRPr="00CC55C0">
              <w:rPr>
                <w:noProof/>
                <w:sz w:val="18"/>
              </w:rPr>
              <w:t>1</w:t>
            </w:r>
            <w:r w:rsidRPr="0071228C">
              <w:rPr>
                <w:noProof/>
                <w:sz w:val="18"/>
              </w:rPr>
              <w:t>.6)</w:t>
            </w:r>
          </w:p>
        </w:tc>
      </w:tr>
      <w:tr w:rsidR="001C0111" w:rsidRPr="0071228C" w14:paraId="5E159D58" w14:textId="77777777" w:rsidTr="00EE4772">
        <w:trPr>
          <w:trHeight w:val="388"/>
        </w:trPr>
        <w:tc>
          <w:tcPr>
            <w:tcW w:w="2144" w:type="dxa"/>
            <w:vAlign w:val="center"/>
          </w:tcPr>
          <w:p w14:paraId="3BCF6E42" w14:textId="77777777" w:rsidR="001C0111" w:rsidRPr="0071228C" w:rsidRDefault="001C0111" w:rsidP="001C0111">
            <w:pPr>
              <w:spacing w:before="40" w:after="40"/>
              <w:rPr>
                <w:noProof/>
                <w:sz w:val="18"/>
              </w:rPr>
            </w:pPr>
            <w:r w:rsidRPr="0071228C">
              <w:rPr>
                <w:noProof/>
                <w:sz w:val="18"/>
              </w:rPr>
              <w:t>Artykuł …</w:t>
            </w:r>
          </w:p>
        </w:tc>
        <w:tc>
          <w:tcPr>
            <w:tcW w:w="1325" w:type="dxa"/>
          </w:tcPr>
          <w:p w14:paraId="1FC5B3D1" w14:textId="77777777" w:rsidR="001C0111" w:rsidRPr="0071228C" w:rsidRDefault="001C0111" w:rsidP="001C0111">
            <w:pPr>
              <w:spacing w:beforeLines="40" w:before="96" w:afterLines="40" w:after="96"/>
              <w:jc w:val="center"/>
              <w:rPr>
                <w:i/>
                <w:noProof/>
                <w:sz w:val="18"/>
                <w:lang w:eastAsia="en-GB"/>
              </w:rPr>
            </w:pPr>
          </w:p>
        </w:tc>
        <w:tc>
          <w:tcPr>
            <w:tcW w:w="1031" w:type="dxa"/>
          </w:tcPr>
          <w:p w14:paraId="7E902A98" w14:textId="77777777" w:rsidR="001C0111" w:rsidRPr="0071228C" w:rsidRDefault="001C0111" w:rsidP="001C0111">
            <w:pPr>
              <w:spacing w:beforeLines="40" w:before="96" w:afterLines="40" w:after="96"/>
              <w:jc w:val="center"/>
              <w:rPr>
                <w:noProof/>
                <w:sz w:val="18"/>
                <w:lang w:eastAsia="en-GB"/>
              </w:rPr>
            </w:pPr>
          </w:p>
        </w:tc>
        <w:tc>
          <w:tcPr>
            <w:tcW w:w="900" w:type="dxa"/>
          </w:tcPr>
          <w:p w14:paraId="7BBF08F8" w14:textId="77777777" w:rsidR="001C0111" w:rsidRPr="0071228C" w:rsidRDefault="001C0111" w:rsidP="001C0111">
            <w:pPr>
              <w:spacing w:beforeLines="40" w:before="96" w:afterLines="40" w:after="96"/>
              <w:jc w:val="center"/>
              <w:rPr>
                <w:noProof/>
                <w:sz w:val="18"/>
                <w:lang w:eastAsia="en-GB"/>
              </w:rPr>
            </w:pPr>
          </w:p>
        </w:tc>
        <w:tc>
          <w:tcPr>
            <w:tcW w:w="900" w:type="dxa"/>
          </w:tcPr>
          <w:p w14:paraId="6AC806C1" w14:textId="77777777" w:rsidR="001C0111" w:rsidRPr="0071228C" w:rsidRDefault="001C0111" w:rsidP="001C0111">
            <w:pPr>
              <w:spacing w:beforeLines="40" w:before="96" w:afterLines="40" w:after="96"/>
              <w:jc w:val="center"/>
              <w:rPr>
                <w:noProof/>
                <w:sz w:val="18"/>
                <w:lang w:eastAsia="en-GB"/>
              </w:rPr>
            </w:pPr>
          </w:p>
        </w:tc>
        <w:tc>
          <w:tcPr>
            <w:tcW w:w="1080" w:type="dxa"/>
          </w:tcPr>
          <w:p w14:paraId="16B81346" w14:textId="77777777" w:rsidR="001C0111" w:rsidRPr="0071228C" w:rsidRDefault="001C0111" w:rsidP="001C0111">
            <w:pPr>
              <w:spacing w:beforeLines="40" w:before="96" w:afterLines="40" w:after="96"/>
              <w:jc w:val="center"/>
              <w:rPr>
                <w:noProof/>
                <w:sz w:val="18"/>
                <w:lang w:eastAsia="en-GB"/>
              </w:rPr>
            </w:pPr>
          </w:p>
        </w:tc>
        <w:tc>
          <w:tcPr>
            <w:tcW w:w="1080" w:type="dxa"/>
          </w:tcPr>
          <w:p w14:paraId="2EC83355" w14:textId="77777777" w:rsidR="001C0111" w:rsidRPr="0071228C" w:rsidRDefault="001C0111" w:rsidP="001C0111">
            <w:pPr>
              <w:spacing w:beforeLines="40" w:before="96" w:afterLines="40" w:after="96"/>
              <w:jc w:val="center"/>
              <w:rPr>
                <w:noProof/>
                <w:sz w:val="18"/>
                <w:lang w:eastAsia="en-GB"/>
              </w:rPr>
            </w:pPr>
          </w:p>
        </w:tc>
        <w:tc>
          <w:tcPr>
            <w:tcW w:w="1080" w:type="dxa"/>
          </w:tcPr>
          <w:p w14:paraId="5166019E" w14:textId="77777777" w:rsidR="001C0111" w:rsidRPr="0071228C" w:rsidRDefault="001C0111" w:rsidP="001C0111">
            <w:pPr>
              <w:spacing w:beforeLines="40" w:before="96" w:afterLines="40" w:after="96"/>
              <w:jc w:val="center"/>
              <w:rPr>
                <w:noProof/>
                <w:sz w:val="18"/>
                <w:lang w:eastAsia="en-GB"/>
              </w:rPr>
            </w:pPr>
          </w:p>
        </w:tc>
        <w:tc>
          <w:tcPr>
            <w:tcW w:w="1080" w:type="dxa"/>
          </w:tcPr>
          <w:p w14:paraId="5158FE03" w14:textId="77777777" w:rsidR="001C0111" w:rsidRPr="0071228C" w:rsidRDefault="001C0111" w:rsidP="001C0111">
            <w:pPr>
              <w:spacing w:beforeLines="40" w:before="96" w:afterLines="40" w:after="96"/>
              <w:jc w:val="center"/>
              <w:rPr>
                <w:noProof/>
                <w:sz w:val="18"/>
                <w:lang w:eastAsia="en-GB"/>
              </w:rPr>
            </w:pPr>
          </w:p>
        </w:tc>
      </w:tr>
    </w:tbl>
    <w:p w14:paraId="7E421427" w14:textId="77777777" w:rsidR="001C0111" w:rsidRPr="0071228C" w:rsidRDefault="001C0111" w:rsidP="001C0111">
      <w:pPr>
        <w:ind w:left="850"/>
        <w:rPr>
          <w:noProof/>
          <w:sz w:val="20"/>
        </w:rPr>
      </w:pPr>
      <w:r w:rsidRPr="0071228C">
        <w:rPr>
          <w:noProof/>
          <w:sz w:val="20"/>
        </w:rPr>
        <w:t>W przypadku wpływu na dochody przeznaczone na określony cel należy wskazać linie budżetowe po stronie wydatków, które ten wpływ obejmie.</w:t>
      </w:r>
    </w:p>
    <w:p w14:paraId="480C1E8B"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color w:val="0000FF"/>
        </w:rPr>
        <w:t>[…]</w:t>
      </w:r>
    </w:p>
    <w:p w14:paraId="13FC9670" w14:textId="77777777" w:rsidR="001C0111" w:rsidRPr="0071228C" w:rsidRDefault="001C0111" w:rsidP="001C0111">
      <w:pPr>
        <w:ind w:left="850"/>
        <w:rPr>
          <w:noProof/>
          <w:sz w:val="20"/>
        </w:rPr>
      </w:pPr>
      <w:r w:rsidRPr="0071228C">
        <w:rPr>
          <w:noProof/>
          <w:sz w:val="20"/>
        </w:rPr>
        <w:t>Pozostałe uwagi (np. metoda/wzór użyte do obliczenia wpływu na dochody albo inne informacje).</w:t>
      </w:r>
    </w:p>
    <w:p w14:paraId="5C23F54B" w14:textId="77777777" w:rsidR="001C0111" w:rsidRPr="0071228C" w:rsidRDefault="001C0111" w:rsidP="001C0111">
      <w:pPr>
        <w:pBdr>
          <w:top w:val="single" w:sz="4" w:space="1" w:color="auto"/>
          <w:left w:val="single" w:sz="4" w:space="4" w:color="auto"/>
          <w:bottom w:val="single" w:sz="4" w:space="1" w:color="auto"/>
          <w:right w:val="single" w:sz="4" w:space="4" w:color="auto"/>
        </w:pBdr>
        <w:ind w:left="850"/>
        <w:rPr>
          <w:noProof/>
        </w:rPr>
      </w:pPr>
      <w:r w:rsidRPr="0071228C">
        <w:rPr>
          <w:noProof/>
          <w:color w:val="0000FF"/>
        </w:rPr>
        <w:t>[…]</w:t>
      </w:r>
    </w:p>
    <w:p w14:paraId="6A861755" w14:textId="77777777" w:rsidR="00231E72" w:rsidRPr="0071228C" w:rsidRDefault="00231E72" w:rsidP="005C4F36">
      <w:pPr>
        <w:jc w:val="center"/>
        <w:rPr>
          <w:noProof/>
        </w:rPr>
      </w:pPr>
    </w:p>
    <w:sectPr w:rsidR="00231E72" w:rsidRPr="0071228C" w:rsidSect="00E25B75">
      <w:footnotePr>
        <w:numRestart w:val="eachSect"/>
      </w:footnotePr>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D57C" w16cex:dateUtc="2022-10-05T08:05:00Z"/>
  <w16cex:commentExtensible w16cex:durableId="26E7D868" w16cex:dateUtc="2022-10-05T08:18:00Z"/>
  <w16cex:commentExtensible w16cex:durableId="26E7DA08" w16cex:dateUtc="2022-10-05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F0D80" w16cid:durableId="26E7D57C"/>
  <w16cid:commentId w16cid:paraId="70DCF06F" w16cid:durableId="26E1494E"/>
  <w16cid:commentId w16cid:paraId="5EC3F681" w16cid:durableId="26E1494F"/>
  <w16cid:commentId w16cid:paraId="631E98FC" w16cid:durableId="26E14951"/>
  <w16cid:commentId w16cid:paraId="4080C8DE" w16cid:durableId="26E14950"/>
  <w16cid:commentId w16cid:paraId="41A54BCD" w16cid:durableId="26E7D868"/>
  <w16cid:commentId w16cid:paraId="1207BD68" w16cid:durableId="26E7D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C861" w14:textId="77777777" w:rsidR="00CC55C0" w:rsidRDefault="00CC55C0" w:rsidP="0047629D">
      <w:pPr>
        <w:spacing w:before="0" w:after="0"/>
      </w:pPr>
      <w:r>
        <w:separator/>
      </w:r>
    </w:p>
  </w:endnote>
  <w:endnote w:type="continuationSeparator" w:id="0">
    <w:p w14:paraId="6599FD75" w14:textId="77777777" w:rsidR="00CC55C0" w:rsidRDefault="00CC55C0" w:rsidP="0047629D">
      <w:pPr>
        <w:spacing w:before="0" w:after="0"/>
      </w:pPr>
      <w:r>
        <w:continuationSeparator/>
      </w:r>
    </w:p>
  </w:endnote>
  <w:endnote w:type="continuationNotice" w:id="1">
    <w:p w14:paraId="34FAE29F" w14:textId="77777777" w:rsidR="00CC55C0" w:rsidRDefault="00CC55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___WRD_EMBED_SUB_178">
    <w:altName w:val="MS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31D3" w14:textId="7402F06C" w:rsidR="00CC55C0" w:rsidRPr="00E25B75" w:rsidRDefault="00E25B75" w:rsidP="00E25B75">
    <w:pPr>
      <w:pStyle w:val="Footer"/>
      <w:rPr>
        <w:rFonts w:ascii="Arial" w:hAnsi="Arial" w:cs="Arial"/>
        <w:b/>
        <w:sz w:val="48"/>
      </w:rPr>
    </w:pPr>
    <w:r w:rsidRPr="00E25B75">
      <w:rPr>
        <w:rFonts w:ascii="Arial" w:hAnsi="Arial" w:cs="Arial"/>
        <w:b/>
        <w:sz w:val="48"/>
      </w:rPr>
      <w:t>PL</w:t>
    </w:r>
    <w:r w:rsidRPr="00E25B75">
      <w:rPr>
        <w:rFonts w:ascii="Arial" w:hAnsi="Arial" w:cs="Arial"/>
        <w:b/>
        <w:sz w:val="48"/>
      </w:rPr>
      <w:tab/>
    </w:r>
    <w:r w:rsidRPr="00E25B75">
      <w:rPr>
        <w:rFonts w:ascii="Arial" w:hAnsi="Arial" w:cs="Arial"/>
        <w:b/>
        <w:sz w:val="48"/>
      </w:rPr>
      <w:tab/>
    </w:r>
    <w:r w:rsidRPr="00E25B75">
      <w:tab/>
    </w:r>
    <w:r w:rsidRPr="00E25B75">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55BD" w14:textId="38BEA6AC" w:rsidR="00E25B75" w:rsidRPr="00E25B75" w:rsidRDefault="00E25B75" w:rsidP="00E25B75">
    <w:pPr>
      <w:pStyle w:val="Footer"/>
      <w:rPr>
        <w:rFonts w:ascii="Arial" w:hAnsi="Arial" w:cs="Arial"/>
        <w:b/>
        <w:sz w:val="48"/>
      </w:rPr>
    </w:pPr>
    <w:r w:rsidRPr="00E25B75">
      <w:rPr>
        <w:rFonts w:ascii="Arial" w:hAnsi="Arial" w:cs="Arial"/>
        <w:b/>
        <w:sz w:val="48"/>
      </w:rPr>
      <w:t>PL</w:t>
    </w:r>
    <w:r w:rsidRPr="00E25B75">
      <w:rPr>
        <w:rFonts w:ascii="Arial" w:hAnsi="Arial" w:cs="Arial"/>
        <w:b/>
        <w:sz w:val="48"/>
      </w:rPr>
      <w:tab/>
    </w:r>
    <w:r>
      <w:fldChar w:fldCharType="begin"/>
    </w:r>
    <w:r>
      <w:instrText xml:space="preserve"> PAGE  \* MERGEFORMAT </w:instrText>
    </w:r>
    <w:r>
      <w:fldChar w:fldCharType="separate"/>
    </w:r>
    <w:r w:rsidR="00FD22FF">
      <w:rPr>
        <w:noProof/>
      </w:rPr>
      <w:t>54</w:t>
    </w:r>
    <w:r>
      <w:fldChar w:fldCharType="end"/>
    </w:r>
    <w:r>
      <w:tab/>
    </w:r>
    <w:r w:rsidRPr="00E25B75">
      <w:tab/>
    </w:r>
    <w:r w:rsidRPr="00E25B7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D27" w14:textId="77777777" w:rsidR="00E25B75" w:rsidRPr="00E25B75" w:rsidRDefault="00E25B75" w:rsidP="00E25B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4659" w14:textId="3D761B12" w:rsidR="00E25B75" w:rsidRPr="00E25B75" w:rsidRDefault="00E25B75" w:rsidP="00E25B75">
    <w:pPr>
      <w:pStyle w:val="FooterLandscape"/>
      <w:rPr>
        <w:rFonts w:ascii="Arial" w:hAnsi="Arial" w:cs="Arial"/>
        <w:b/>
        <w:sz w:val="48"/>
      </w:rPr>
    </w:pPr>
    <w:r w:rsidRPr="00E25B75">
      <w:rPr>
        <w:rFonts w:ascii="Arial" w:hAnsi="Arial" w:cs="Arial"/>
        <w:b/>
        <w:sz w:val="48"/>
      </w:rPr>
      <w:t>PL</w:t>
    </w:r>
    <w:r w:rsidRPr="00E25B7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25B75">
      <w:tab/>
    </w:r>
    <w:r w:rsidRPr="00E25B75">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313A" w14:textId="77777777" w:rsidR="00E25B75" w:rsidRPr="00E25B75" w:rsidRDefault="00E25B75" w:rsidP="00E25B7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6F91" w14:textId="0A9D053F" w:rsidR="00CC55C0" w:rsidRPr="00E25B75" w:rsidRDefault="00E25B75" w:rsidP="00E25B75">
    <w:pPr>
      <w:pStyle w:val="Footer"/>
      <w:rPr>
        <w:rFonts w:ascii="Arial" w:hAnsi="Arial" w:cs="Arial"/>
        <w:b/>
        <w:sz w:val="48"/>
      </w:rPr>
    </w:pPr>
    <w:r w:rsidRPr="00E25B75">
      <w:rPr>
        <w:rFonts w:ascii="Arial" w:hAnsi="Arial" w:cs="Arial"/>
        <w:b/>
        <w:sz w:val="48"/>
      </w:rPr>
      <w:t>PL</w:t>
    </w:r>
    <w:r w:rsidRPr="00E25B7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25B75">
      <w:tab/>
    </w:r>
    <w:r w:rsidRPr="00E25B75">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2195" w14:textId="77777777" w:rsidR="00E25B75" w:rsidRPr="00E25B75" w:rsidRDefault="00E25B75" w:rsidP="00E2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AE86" w14:textId="77777777" w:rsidR="00CC55C0" w:rsidRDefault="00CC55C0" w:rsidP="0047629D">
      <w:pPr>
        <w:spacing w:before="0" w:after="0"/>
      </w:pPr>
      <w:r>
        <w:separator/>
      </w:r>
    </w:p>
  </w:footnote>
  <w:footnote w:type="continuationSeparator" w:id="0">
    <w:p w14:paraId="156CC353" w14:textId="77777777" w:rsidR="00CC55C0" w:rsidRDefault="00CC55C0" w:rsidP="0047629D">
      <w:pPr>
        <w:spacing w:before="0" w:after="0"/>
      </w:pPr>
      <w:r>
        <w:continuationSeparator/>
      </w:r>
    </w:p>
  </w:footnote>
  <w:footnote w:type="continuationNotice" w:id="1">
    <w:p w14:paraId="4B952FFC" w14:textId="77777777" w:rsidR="00CC55C0" w:rsidRDefault="00CC55C0">
      <w:pPr>
        <w:spacing w:before="0" w:after="0"/>
      </w:pPr>
    </w:p>
  </w:footnote>
  <w:footnote w:id="2">
    <w:p w14:paraId="5B9C3CB1" w14:textId="5188B7B5" w:rsidR="00CC55C0" w:rsidRPr="00C200A3" w:rsidRDefault="00CC55C0" w:rsidP="005E4546">
      <w:pPr>
        <w:pStyle w:val="FootnoteText"/>
      </w:pPr>
      <w:r>
        <w:rPr>
          <w:rStyle w:val="FootnoteReference"/>
        </w:rPr>
        <w:footnoteRef/>
      </w:r>
      <w:r w:rsidRPr="00C200A3">
        <w:tab/>
        <w:t>Dyrektywa 2000/60/WE Parlamentu Europejskiego i</w:t>
      </w:r>
      <w:r>
        <w:t> </w:t>
      </w:r>
      <w:r w:rsidRPr="00C200A3">
        <w:t>Rady z</w:t>
      </w:r>
      <w:r>
        <w:t> </w:t>
      </w:r>
      <w:r w:rsidRPr="00C200A3">
        <w:t>dnia 23 października 2000 r. ustanawiająca ramy wspólnotowego działania w</w:t>
      </w:r>
      <w:r>
        <w:t> </w:t>
      </w:r>
      <w:r w:rsidRPr="00C200A3">
        <w:t>dziedzinie polityki wodnej (Dz.U. L 327 z</w:t>
      </w:r>
      <w:r>
        <w:t> </w:t>
      </w:r>
      <w:r w:rsidRPr="00C200A3">
        <w:t>22.12.2000, s. 1).</w:t>
      </w:r>
    </w:p>
  </w:footnote>
  <w:footnote w:id="3">
    <w:p w14:paraId="13D128B2" w14:textId="43E3A234" w:rsidR="00CC55C0" w:rsidRPr="00C200A3" w:rsidRDefault="00CC55C0" w:rsidP="005E4546">
      <w:pPr>
        <w:pStyle w:val="FootnoteText"/>
      </w:pPr>
      <w:r>
        <w:rPr>
          <w:rStyle w:val="FootnoteReference"/>
        </w:rPr>
        <w:footnoteRef/>
      </w:r>
      <w:r w:rsidRPr="00C200A3">
        <w:tab/>
        <w:t>Dyrektywa 2006/118/WE Parlamentu Europejskiego i</w:t>
      </w:r>
      <w:r>
        <w:t> </w:t>
      </w:r>
      <w:r w:rsidRPr="00C200A3">
        <w:t>Rady z</w:t>
      </w:r>
      <w:r>
        <w:t> </w:t>
      </w:r>
      <w:r w:rsidRPr="00C200A3">
        <w:t>dnia 12 grudnia 20</w:t>
      </w:r>
      <w:r w:rsidRPr="00CC55C0">
        <w:t>06 r.</w:t>
      </w:r>
      <w:r w:rsidRPr="00C200A3">
        <w:t xml:space="preserve"> w</w:t>
      </w:r>
      <w:r>
        <w:t> </w:t>
      </w:r>
      <w:r w:rsidRPr="00C200A3">
        <w:t>sprawie ochrony wód podziemnych przed zanieczyszczeniem i</w:t>
      </w:r>
      <w:r>
        <w:t> </w:t>
      </w:r>
      <w:r w:rsidRPr="00C200A3">
        <w:t>pogorszeniem ich stanu (Dz.U. L 372 z</w:t>
      </w:r>
      <w:r>
        <w:t> </w:t>
      </w:r>
      <w:r w:rsidRPr="00C200A3">
        <w:t>27.12.2006, s. 19).</w:t>
      </w:r>
    </w:p>
  </w:footnote>
  <w:footnote w:id="4">
    <w:p w14:paraId="5A12F8B3" w14:textId="112C1688" w:rsidR="00CC55C0" w:rsidRPr="00C200A3" w:rsidRDefault="00CC55C0" w:rsidP="005E4546">
      <w:pPr>
        <w:pStyle w:val="FootnoteText"/>
      </w:pPr>
      <w:r>
        <w:rPr>
          <w:rStyle w:val="FootnoteReference"/>
        </w:rPr>
        <w:footnoteRef/>
      </w:r>
      <w:r w:rsidRPr="00C200A3">
        <w:tab/>
        <w:t>Dyrektywa Parlamentu Europejskiego i</w:t>
      </w:r>
      <w:r>
        <w:t> </w:t>
      </w:r>
      <w:r w:rsidRPr="00C200A3">
        <w:t>Rady 2008/105/WE z</w:t>
      </w:r>
      <w:r>
        <w:t> </w:t>
      </w:r>
      <w:r w:rsidRPr="00C200A3">
        <w:t>dnia 16 grudnia 20</w:t>
      </w:r>
      <w:r w:rsidRPr="00CC55C0">
        <w:t>08 r.</w:t>
      </w:r>
      <w:r w:rsidRPr="00C200A3">
        <w:t xml:space="preserve"> w</w:t>
      </w:r>
      <w:r>
        <w:t> </w:t>
      </w:r>
      <w:r w:rsidRPr="00C200A3">
        <w:t>sprawie środowiskowych norm jakości w</w:t>
      </w:r>
      <w:r>
        <w:t> </w:t>
      </w:r>
      <w:r w:rsidRPr="00C200A3">
        <w:t>dziedzinie polityki wodnej, zmieniająca i</w:t>
      </w:r>
      <w:r>
        <w:t> </w:t>
      </w:r>
      <w:r w:rsidRPr="00C200A3">
        <w:t>w</w:t>
      </w:r>
      <w:r>
        <w:t> </w:t>
      </w:r>
      <w:r w:rsidRPr="00C200A3">
        <w:t>następstwie uchylająca dyrektywy Rady 82/176/EWG, 83/513/EWG, 84/156/EWG, 84/491/EWG i</w:t>
      </w:r>
      <w:r>
        <w:t> </w:t>
      </w:r>
      <w:r w:rsidRPr="00C200A3">
        <w:t>86/280/EWG oraz zmieniająca dyrektywę 2000/60/WE Parlamentu Europejskiego i</w:t>
      </w:r>
      <w:r>
        <w:t> </w:t>
      </w:r>
      <w:r w:rsidRPr="00C200A3">
        <w:t>Rady (Dz.U. L 348 z</w:t>
      </w:r>
      <w:r>
        <w:t> </w:t>
      </w:r>
      <w:r w:rsidRPr="00C200A3">
        <w:t>24.12.2008, s. 84);</w:t>
      </w:r>
    </w:p>
  </w:footnote>
  <w:footnote w:id="5">
    <w:p w14:paraId="24DBC22C" w14:textId="2426FBD2" w:rsidR="00CC55C0" w:rsidRPr="00C200A3" w:rsidRDefault="00CC55C0" w:rsidP="002C5E26">
      <w:pPr>
        <w:pStyle w:val="FootnoteText"/>
      </w:pPr>
      <w:r>
        <w:rPr>
          <w:rStyle w:val="FootnoteReference"/>
        </w:rPr>
        <w:footnoteRef/>
      </w:r>
      <w:r w:rsidRPr="00C200A3">
        <w:tab/>
        <w:t>Dyrektywa Rady 91/676/EWG z</w:t>
      </w:r>
      <w:r>
        <w:t> </w:t>
      </w:r>
      <w:r w:rsidRPr="00C200A3">
        <w:t>dnia 12 grudnia 19</w:t>
      </w:r>
      <w:r w:rsidRPr="00CC55C0">
        <w:t>91 r.</w:t>
      </w:r>
      <w:r w:rsidRPr="00C200A3">
        <w:t xml:space="preserve"> dotycząca ochrony wód przed zanieczyszczeniami powodowanymi przez azotany pochodzenia rolniczego (Dz.U. L 375 z</w:t>
      </w:r>
      <w:r>
        <w:t> </w:t>
      </w:r>
      <w:r w:rsidRPr="00C200A3">
        <w:t>31.12.1991, s. 1).</w:t>
      </w:r>
    </w:p>
  </w:footnote>
  <w:footnote w:id="6">
    <w:p w14:paraId="1DB4CEFA" w14:textId="0FA165EC" w:rsidR="00CC55C0" w:rsidRPr="00C200A3" w:rsidRDefault="00CC55C0">
      <w:pPr>
        <w:pStyle w:val="FootnoteText"/>
      </w:pPr>
      <w:r>
        <w:rPr>
          <w:rStyle w:val="FootnoteReference"/>
        </w:rPr>
        <w:footnoteRef/>
      </w:r>
      <w:r w:rsidRPr="00C200A3">
        <w:tab/>
        <w:t>Dyrektywa Parlamentu Europejskiego i</w:t>
      </w:r>
      <w:r>
        <w:t> </w:t>
      </w:r>
      <w:r w:rsidRPr="00C200A3">
        <w:t>Rady (UE) 2020/2184 z</w:t>
      </w:r>
      <w:r>
        <w:t> </w:t>
      </w:r>
      <w:r w:rsidRPr="00C200A3">
        <w:t>dnia 16 grudnia 20</w:t>
      </w:r>
      <w:r w:rsidRPr="00CC55C0">
        <w:t>20 r.</w:t>
      </w:r>
      <w:r w:rsidRPr="00C200A3">
        <w:t xml:space="preserve"> w</w:t>
      </w:r>
      <w:r>
        <w:t> </w:t>
      </w:r>
      <w:r w:rsidRPr="00C200A3">
        <w:t>sprawie jakości wody przeznaczonej do spożycia przez ludzi, Dz.U. L 435 z</w:t>
      </w:r>
      <w:r>
        <w:t> </w:t>
      </w:r>
      <w:r w:rsidRPr="00C200A3">
        <w:t>23.12.2020, s. 1.</w:t>
      </w:r>
    </w:p>
  </w:footnote>
  <w:footnote w:id="7">
    <w:p w14:paraId="3C75211D" w14:textId="7C2C7C2B" w:rsidR="00CC55C0" w:rsidRPr="00C200A3" w:rsidRDefault="00CC55C0">
      <w:pPr>
        <w:pStyle w:val="FootnoteText"/>
      </w:pPr>
      <w:r>
        <w:rPr>
          <w:rStyle w:val="FootnoteReference"/>
        </w:rPr>
        <w:footnoteRef/>
      </w:r>
      <w:r w:rsidRPr="00C200A3">
        <w:tab/>
        <w:t>Dyrektywa Rady 91/271/EWG z</w:t>
      </w:r>
      <w:r>
        <w:t> </w:t>
      </w:r>
      <w:r w:rsidRPr="00C200A3">
        <w:t>dnia 21 maja 1991 r. dotycząca oczyszczania ścieków komunalnych (Dz.U. L 135 z</w:t>
      </w:r>
      <w:r>
        <w:t> </w:t>
      </w:r>
      <w:r w:rsidRPr="00C200A3">
        <w:t>30.5.1991, s. 40).</w:t>
      </w:r>
    </w:p>
  </w:footnote>
  <w:footnote w:id="8">
    <w:p w14:paraId="74843CA2" w14:textId="3DE9DCCD" w:rsidR="00CC55C0" w:rsidRPr="00C200A3" w:rsidRDefault="00CC55C0">
      <w:pPr>
        <w:pStyle w:val="FootnoteText"/>
      </w:pPr>
      <w:r>
        <w:rPr>
          <w:rStyle w:val="FootnoteReference"/>
        </w:rPr>
        <w:footnoteRef/>
      </w:r>
      <w:r w:rsidRPr="00C200A3">
        <w:tab/>
        <w:t>Dyrektywa Parlamentu Europejskiego i</w:t>
      </w:r>
      <w:r>
        <w:t> </w:t>
      </w:r>
      <w:r w:rsidRPr="00C200A3">
        <w:t>Rady 2008/56/WE z</w:t>
      </w:r>
      <w:r>
        <w:t> </w:t>
      </w:r>
      <w:r w:rsidRPr="00C200A3">
        <w:t>dnia 17 czerwca 20</w:t>
      </w:r>
      <w:r w:rsidRPr="00CC55C0">
        <w:t>08 r.</w:t>
      </w:r>
      <w:r w:rsidRPr="00C200A3">
        <w:t xml:space="preserve"> ustanawiająca ramy działań Wspólnoty w</w:t>
      </w:r>
      <w:r>
        <w:t> </w:t>
      </w:r>
      <w:r w:rsidRPr="00C200A3">
        <w:t>dziedzinie polityki środowiska morskiego (Dz.U. L 164 z</w:t>
      </w:r>
      <w:r>
        <w:t> </w:t>
      </w:r>
      <w:r w:rsidRPr="00C200A3">
        <w:t>25.6.2008, s. 19).</w:t>
      </w:r>
    </w:p>
  </w:footnote>
  <w:footnote w:id="9">
    <w:p w14:paraId="101710A9" w14:textId="75D624B7" w:rsidR="00CC55C0" w:rsidRPr="00C200A3" w:rsidRDefault="00CC55C0">
      <w:pPr>
        <w:pStyle w:val="FootnoteText"/>
      </w:pPr>
      <w:r>
        <w:rPr>
          <w:rStyle w:val="FootnoteReference"/>
        </w:rPr>
        <w:footnoteRef/>
      </w:r>
      <w:r w:rsidRPr="00C200A3">
        <w:tab/>
        <w:t>Dyrektywa 2006/7/WE Parlamentu Europejskiego i</w:t>
      </w:r>
      <w:r>
        <w:t> </w:t>
      </w:r>
      <w:r w:rsidRPr="00C200A3">
        <w:t>Rady z</w:t>
      </w:r>
      <w:r>
        <w:t> </w:t>
      </w:r>
      <w:r w:rsidRPr="00C200A3">
        <w:t>dnia 15 lutego 20</w:t>
      </w:r>
      <w:r w:rsidRPr="00CC55C0">
        <w:t>06 r.</w:t>
      </w:r>
      <w:r w:rsidRPr="00C200A3">
        <w:t xml:space="preserve"> dotycząca zarządzania jakością wody w</w:t>
      </w:r>
      <w:r>
        <w:t> </w:t>
      </w:r>
      <w:r w:rsidRPr="00C200A3">
        <w:t>kąpieliskach i</w:t>
      </w:r>
      <w:r>
        <w:t> </w:t>
      </w:r>
      <w:r w:rsidRPr="00C200A3">
        <w:t>uchylająca dyrektywę 76/160/EWG (Dz.U. L 64 z</w:t>
      </w:r>
      <w:r>
        <w:t> </w:t>
      </w:r>
      <w:r w:rsidRPr="00C200A3">
        <w:t>4.3.2006, s. 37).</w:t>
      </w:r>
    </w:p>
  </w:footnote>
  <w:footnote w:id="10">
    <w:p w14:paraId="5FE6D5F8" w14:textId="7D72AA07" w:rsidR="00CC55C0" w:rsidRPr="00C200A3" w:rsidRDefault="00CC55C0">
      <w:pPr>
        <w:pStyle w:val="FootnoteText"/>
      </w:pPr>
      <w:r>
        <w:rPr>
          <w:rStyle w:val="FootnoteReference"/>
        </w:rPr>
        <w:footnoteRef/>
      </w:r>
      <w:r w:rsidRPr="00C200A3">
        <w:tab/>
        <w:t>Dyrektywa 2007/60/WE Parlamentu Europejskiego i</w:t>
      </w:r>
      <w:r>
        <w:t> </w:t>
      </w:r>
      <w:r w:rsidRPr="00C200A3">
        <w:t>Rady z</w:t>
      </w:r>
      <w:r>
        <w:t> </w:t>
      </w:r>
      <w:r w:rsidRPr="00C200A3">
        <w:t>dnia 23 października 2007 r. w</w:t>
      </w:r>
      <w:r>
        <w:t> </w:t>
      </w:r>
      <w:r w:rsidRPr="00C200A3">
        <w:t>sprawie oceny ryzyka powodziowego i</w:t>
      </w:r>
      <w:r>
        <w:t> </w:t>
      </w:r>
      <w:r w:rsidRPr="00C200A3">
        <w:t>zarządzania nim, Dz.U. L 288 z</w:t>
      </w:r>
      <w:r>
        <w:t> </w:t>
      </w:r>
      <w:r w:rsidRPr="00C200A3">
        <w:t>6.11.2007, s. 27.</w:t>
      </w:r>
    </w:p>
  </w:footnote>
  <w:footnote w:id="11">
    <w:p w14:paraId="35AB7C3D" w14:textId="0F78F4F6" w:rsidR="00CC55C0" w:rsidRPr="00C200A3" w:rsidRDefault="00CC55C0">
      <w:pPr>
        <w:pStyle w:val="FootnoteText"/>
      </w:pPr>
      <w:r>
        <w:rPr>
          <w:rStyle w:val="FootnoteReference"/>
        </w:rPr>
        <w:footnoteRef/>
      </w:r>
      <w:r w:rsidRPr="00C200A3">
        <w:tab/>
        <w:t>Dyrektywa Rady 91/676/EWG z</w:t>
      </w:r>
      <w:r>
        <w:t> </w:t>
      </w:r>
      <w:r w:rsidRPr="00C200A3">
        <w:t>dnia 12 grudnia 19</w:t>
      </w:r>
      <w:r w:rsidRPr="00CC55C0">
        <w:t>91 r.</w:t>
      </w:r>
      <w:r w:rsidRPr="00C200A3">
        <w:t xml:space="preserve"> dotycząca ochrony wód przed zanieczyszczeniami powodowanymi przez azotany pochodzenia rolniczego (Dz.U. L 375 z</w:t>
      </w:r>
      <w:r>
        <w:t> </w:t>
      </w:r>
      <w:r w:rsidRPr="00C200A3">
        <w:t>31.12.1991, s. 1).</w:t>
      </w:r>
    </w:p>
  </w:footnote>
  <w:footnote w:id="12">
    <w:p w14:paraId="0EC9EE47" w14:textId="555D29D6" w:rsidR="00CC55C0" w:rsidRPr="00C200A3" w:rsidRDefault="00CC55C0" w:rsidP="001A23F5">
      <w:pPr>
        <w:pStyle w:val="FootnoteText"/>
        <w:rPr>
          <w:sz w:val="18"/>
          <w:szCs w:val="18"/>
        </w:rPr>
      </w:pPr>
      <w:r>
        <w:rPr>
          <w:rStyle w:val="FootnoteReference"/>
        </w:rPr>
        <w:footnoteRef/>
      </w:r>
      <w:r w:rsidRPr="00C200A3">
        <w:tab/>
        <w:t xml:space="preserve">Art. 16 </w:t>
      </w:r>
      <w:r w:rsidRPr="00CC55C0">
        <w:t>ust. 4</w:t>
      </w:r>
      <w:r w:rsidRPr="00C200A3">
        <w:t xml:space="preserve"> i</w:t>
      </w:r>
      <w:r>
        <w:t> </w:t>
      </w:r>
      <w:r w:rsidRPr="00CC55C0">
        <w:t>art. 1</w:t>
      </w:r>
      <w:r w:rsidRPr="00C200A3">
        <w:t xml:space="preserve">6 </w:t>
      </w:r>
      <w:r w:rsidRPr="00CC55C0">
        <w:t>ust. 7</w:t>
      </w:r>
      <w:r w:rsidRPr="00C200A3">
        <w:t xml:space="preserve"> dyrektywy 2000/60/WE (ramowa dyrektywa wodna); Art. 7 dyrektywy 2008/105/WE (dyrektywa w</w:t>
      </w:r>
      <w:r>
        <w:t> </w:t>
      </w:r>
      <w:r w:rsidRPr="00C200A3">
        <w:t>sprawie środowiskowych norm jakości) i</w:t>
      </w:r>
      <w:r>
        <w:t> </w:t>
      </w:r>
      <w:r w:rsidRPr="00CC55C0">
        <w:t>art. 1</w:t>
      </w:r>
      <w:r w:rsidRPr="00C200A3">
        <w:t>0 dyrektywy 2006/118/WE (dyrektywa w</w:t>
      </w:r>
      <w:r>
        <w:t> </w:t>
      </w:r>
      <w:r w:rsidRPr="00C200A3">
        <w:t xml:space="preserve">sprawie wód podziemnych) </w:t>
      </w:r>
      <w:r w:rsidRPr="00C200A3">
        <w:rPr>
          <w:sz w:val="18"/>
        </w:rPr>
        <w:t>.</w:t>
      </w:r>
    </w:p>
  </w:footnote>
  <w:footnote w:id="13">
    <w:p w14:paraId="73C6E385" w14:textId="23AAC8EB" w:rsidR="00CC55C0" w:rsidRPr="00C200A3" w:rsidRDefault="00CC55C0" w:rsidP="002C5E26">
      <w:pPr>
        <w:pStyle w:val="FootnoteText"/>
      </w:pPr>
      <w:r>
        <w:rPr>
          <w:rStyle w:val="FootnoteReference"/>
        </w:rPr>
        <w:footnoteRef/>
      </w:r>
      <w:r w:rsidRPr="00C200A3">
        <w:tab/>
        <w:t>Dokument roboczy służb Komisji – Ocena adekwatności ramowej dyrektywy wodnej, dyrektywy w</w:t>
      </w:r>
      <w:r>
        <w:t> </w:t>
      </w:r>
      <w:r w:rsidRPr="00C200A3">
        <w:t>sprawie wód podziemnych, dyrektywy w</w:t>
      </w:r>
      <w:r>
        <w:t> </w:t>
      </w:r>
      <w:r w:rsidRPr="00C200A3">
        <w:t>sprawie środowiskowych norm jakości i</w:t>
      </w:r>
      <w:r>
        <w:t> </w:t>
      </w:r>
      <w:r w:rsidRPr="00C200A3">
        <w:t>dyrektywy powodziowej SWD(2019) 439 final.</w:t>
      </w:r>
    </w:p>
  </w:footnote>
  <w:footnote w:id="14">
    <w:p w14:paraId="30135B54" w14:textId="563880DA"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Unijna strategia na rzecz bioróżnorodności 2030 – Przywracanie przyrody do naszego życia, COM(2020) 380 final.</w:t>
      </w:r>
    </w:p>
  </w:footnote>
  <w:footnote w:id="15">
    <w:p w14:paraId="71A382A6" w14:textId="0B897CC8"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Droga do zdrowej planety dla wszystkich – Plan działania UE na rzecz eliminacji zanieczyszczeń wody, powietrza i</w:t>
      </w:r>
      <w:r>
        <w:t> </w:t>
      </w:r>
      <w:r w:rsidRPr="00C200A3">
        <w:t>gleby, COM(2021) 400 final.</w:t>
      </w:r>
    </w:p>
  </w:footnote>
  <w:footnote w:id="16">
    <w:p w14:paraId="28D8120B" w14:textId="110221D0" w:rsidR="00CC55C0" w:rsidRPr="00C200A3" w:rsidRDefault="00CC55C0">
      <w:pPr>
        <w:pStyle w:val="FootnoteText"/>
      </w:pPr>
      <w:r>
        <w:rPr>
          <w:rStyle w:val="FootnoteReference"/>
        </w:rPr>
        <w:footnoteRef/>
      </w:r>
      <w:r w:rsidRPr="00C200A3">
        <w:tab/>
        <w:t>Komunikat Komisji do Parlamentu Europejskiego, Rady Europejskiej, Rady, Europejskiego Komitetu Ekonomiczno-Społecznego i</w:t>
      </w:r>
      <w:r>
        <w:t> </w:t>
      </w:r>
      <w:r w:rsidRPr="00C200A3">
        <w:t>Komitetu Regionów, Europejski Zielony Ład, COM(2019) 640 final.</w:t>
      </w:r>
    </w:p>
  </w:footnote>
  <w:footnote w:id="17">
    <w:p w14:paraId="0438EDAB" w14:textId="53A1BADE" w:rsidR="00CC55C0" w:rsidRPr="00C200A3" w:rsidRDefault="00CC55C0" w:rsidP="009E51ED">
      <w:pPr>
        <w:pStyle w:val="FootnoteText"/>
      </w:pPr>
      <w:r>
        <w:rPr>
          <w:rStyle w:val="FootnoteReference"/>
        </w:rPr>
        <w:footnoteRef/>
      </w:r>
      <w:r w:rsidRPr="00C200A3">
        <w:tab/>
        <w:t>Rozporządzenie Parlamentu Europejskiego i</w:t>
      </w:r>
      <w:r>
        <w:t> </w:t>
      </w:r>
      <w:r w:rsidRPr="00C200A3">
        <w:t>Rady (UE) 2020/741 z</w:t>
      </w:r>
      <w:r>
        <w:t> </w:t>
      </w:r>
      <w:r w:rsidRPr="00C200A3">
        <w:t>dnia 25 maja 2020 r. w</w:t>
      </w:r>
      <w:r>
        <w:t> </w:t>
      </w:r>
      <w:r w:rsidRPr="00C200A3">
        <w:t>sprawie minimalnych wymogów dotyczących ponownego wykorzystania wody (Dz.U. L 177 z</w:t>
      </w:r>
      <w:r>
        <w:t> </w:t>
      </w:r>
      <w:r w:rsidRPr="00C200A3">
        <w:t>5.6.2020, s. 32).</w:t>
      </w:r>
    </w:p>
  </w:footnote>
  <w:footnote w:id="18">
    <w:p w14:paraId="1702590B" w14:textId="77777777" w:rsidR="00CC55C0" w:rsidRPr="00F61166" w:rsidRDefault="00CC55C0" w:rsidP="002522B4">
      <w:pPr>
        <w:pStyle w:val="FootnoteText"/>
        <w:ind w:left="426" w:hanging="426"/>
        <w:rPr>
          <w:lang w:val="en-US"/>
        </w:rPr>
      </w:pPr>
      <w:r>
        <w:rPr>
          <w:rStyle w:val="FootnoteReference"/>
        </w:rPr>
        <w:footnoteRef/>
      </w:r>
      <w:r w:rsidRPr="00F61166">
        <w:rPr>
          <w:lang w:val="en-US"/>
        </w:rPr>
        <w:tab/>
      </w:r>
      <w:r w:rsidRPr="00F61166">
        <w:rPr>
          <w:lang w:val="en-US"/>
        </w:rPr>
        <w:tab/>
        <w:t>COM(2022) 156 final/3 oraz COM(2022) 157 final.</w:t>
      </w:r>
    </w:p>
  </w:footnote>
  <w:footnote w:id="19">
    <w:p w14:paraId="501EBD02" w14:textId="32EDA068"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„od pola do stołu” na rzecz sprawiedliwego, zdrowego i</w:t>
      </w:r>
      <w:r>
        <w:t> </w:t>
      </w:r>
      <w:r w:rsidRPr="00C200A3">
        <w:t>przyjaznego dla środowiska systemu żywnościowego, COM(2020) 381 final.</w:t>
      </w:r>
    </w:p>
  </w:footnote>
  <w:footnote w:id="20">
    <w:p w14:paraId="4645D08A" w14:textId="77777777" w:rsidR="00CC55C0" w:rsidRPr="00C200A3" w:rsidRDefault="00CC55C0">
      <w:pPr>
        <w:pStyle w:val="FootnoteText"/>
      </w:pPr>
      <w:r>
        <w:rPr>
          <w:rStyle w:val="FootnoteReference"/>
        </w:rPr>
        <w:footnoteRef/>
      </w:r>
      <w:r w:rsidRPr="00C200A3">
        <w:tab/>
        <w:t>COM(2022) 305 final.</w:t>
      </w:r>
    </w:p>
  </w:footnote>
  <w:footnote w:id="21">
    <w:p w14:paraId="7F5E1DAA" w14:textId="623CBACF" w:rsidR="00CC55C0" w:rsidRPr="00C200A3" w:rsidRDefault="00CC55C0" w:rsidP="004353C2">
      <w:pPr>
        <w:pStyle w:val="FootnoteText"/>
      </w:pPr>
      <w:r>
        <w:rPr>
          <w:rStyle w:val="FootnoteReference"/>
        </w:rPr>
        <w:footnoteRef/>
      </w:r>
      <w:r w:rsidRPr="00C200A3">
        <w:tab/>
        <w:t>Rozporządzenie Parlamentu Europejskiego i</w:t>
      </w:r>
      <w:r>
        <w:t> </w:t>
      </w:r>
      <w:r w:rsidRPr="00C200A3">
        <w:t xml:space="preserve">Rady (WE) </w:t>
      </w:r>
      <w:r w:rsidRPr="00CC55C0">
        <w:t>nr 1</w:t>
      </w:r>
      <w:r w:rsidRPr="00C200A3">
        <w:t>107/2009 z</w:t>
      </w:r>
      <w:r>
        <w:t> </w:t>
      </w:r>
      <w:r w:rsidRPr="00C200A3">
        <w:t>dnia 21 października 20</w:t>
      </w:r>
      <w:r w:rsidRPr="00CC55C0">
        <w:t>09 r.</w:t>
      </w:r>
      <w:r w:rsidRPr="00C200A3">
        <w:t xml:space="preserve"> dotyczące wprowadzania do obrotu środków ochrony roślin i</w:t>
      </w:r>
      <w:r>
        <w:t> </w:t>
      </w:r>
      <w:r w:rsidRPr="00C200A3">
        <w:t>uchylające dyrektywy Rady 79/117/EWG i</w:t>
      </w:r>
      <w:r>
        <w:t> </w:t>
      </w:r>
      <w:r w:rsidRPr="00C200A3">
        <w:t>91/414/EWG (Dz.U. L 309 z</w:t>
      </w:r>
      <w:r>
        <w:t> </w:t>
      </w:r>
      <w:r w:rsidRPr="00C200A3">
        <w:t>24.11.2009, s. 1).</w:t>
      </w:r>
    </w:p>
  </w:footnote>
  <w:footnote w:id="22">
    <w:p w14:paraId="58A4F34D" w14:textId="5DE9CFA5"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Europejska strategia na rzecz tworzyw sztucznych w</w:t>
      </w:r>
      <w:r>
        <w:t> </w:t>
      </w:r>
      <w:r w:rsidRPr="00C200A3">
        <w:t>gospodarce o</w:t>
      </w:r>
      <w:r>
        <w:t> </w:t>
      </w:r>
      <w:r w:rsidRPr="00C200A3">
        <w:t>obiegu zamkniętym COM(2018) 028 final.</w:t>
      </w:r>
    </w:p>
  </w:footnote>
  <w:footnote w:id="23">
    <w:p w14:paraId="4B16A438" w14:textId="5EA26A9A" w:rsidR="00CC55C0" w:rsidRPr="00C200A3" w:rsidRDefault="00CC55C0" w:rsidP="004353C2">
      <w:pPr>
        <w:pStyle w:val="FootnoteText"/>
      </w:pPr>
      <w:r>
        <w:rPr>
          <w:rStyle w:val="FootnoteReference"/>
        </w:rPr>
        <w:footnoteRef/>
      </w:r>
      <w:r w:rsidRPr="00C200A3">
        <w:tab/>
        <w:t>Dyrektywa Parlamentu Europejskiego i</w:t>
      </w:r>
      <w:r>
        <w:t> </w:t>
      </w:r>
      <w:r w:rsidRPr="00C200A3">
        <w:t>Rady (UE) 2019/904 z</w:t>
      </w:r>
      <w:r>
        <w:t> </w:t>
      </w:r>
      <w:r w:rsidRPr="00C200A3">
        <w:t>dnia 5 czerwca 2019 r. w</w:t>
      </w:r>
      <w:r>
        <w:t> </w:t>
      </w:r>
      <w:r w:rsidRPr="00C200A3">
        <w:t>sprawie zmniejszenia wpływu niektórych produktów z</w:t>
      </w:r>
      <w:r>
        <w:t> </w:t>
      </w:r>
      <w:r w:rsidRPr="00C200A3">
        <w:t>tworzyw sztucznych na środowisko (Dz.U. L 155 z</w:t>
      </w:r>
      <w:r>
        <w:t> </w:t>
      </w:r>
      <w:r w:rsidRPr="00C200A3">
        <w:t>12.6.2019, s. 1).</w:t>
      </w:r>
    </w:p>
  </w:footnote>
  <w:footnote w:id="24">
    <w:p w14:paraId="3EA6CA9E" w14:textId="27C8E837" w:rsidR="00CC55C0" w:rsidRPr="00C200A3" w:rsidRDefault="00CC55C0" w:rsidP="004353C2">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Nowy plan działania UE dotyczący gospodarki o</w:t>
      </w:r>
      <w:r>
        <w:t> </w:t>
      </w:r>
      <w:r w:rsidRPr="00C200A3">
        <w:t>obiegu zamkniętym na rzecz czystszej i</w:t>
      </w:r>
      <w:r>
        <w:t> </w:t>
      </w:r>
      <w:r w:rsidRPr="00C200A3">
        <w:t>bardziej konkurencyjnej Europy, COM(2020) 98 final.</w:t>
      </w:r>
    </w:p>
  </w:footnote>
  <w:footnote w:id="25">
    <w:p w14:paraId="1FB7D3CF" w14:textId="5442C964" w:rsidR="00CC55C0" w:rsidRPr="00C200A3" w:rsidRDefault="00CC55C0" w:rsidP="001D0F42">
      <w:pPr>
        <w:pStyle w:val="FootnoteText"/>
      </w:pPr>
      <w:r>
        <w:rPr>
          <w:rStyle w:val="FootnoteReference"/>
        </w:rPr>
        <w:footnoteRef/>
      </w:r>
      <w:r w:rsidRPr="00C200A3">
        <w:tab/>
        <w:t>Dyrektywa Rady 86/278/EWG z</w:t>
      </w:r>
      <w:r>
        <w:t> </w:t>
      </w:r>
      <w:r w:rsidRPr="00C200A3">
        <w:t>dnia 12 czerwca 1986 r. w</w:t>
      </w:r>
      <w:r>
        <w:t> </w:t>
      </w:r>
      <w:r w:rsidRPr="00C200A3">
        <w:t>sprawie ochrony środowiska, w</w:t>
      </w:r>
      <w:r>
        <w:t> </w:t>
      </w:r>
      <w:r w:rsidRPr="00C200A3">
        <w:t>szczególności gleby, w</w:t>
      </w:r>
      <w:r>
        <w:t> </w:t>
      </w:r>
      <w:r w:rsidRPr="00C200A3">
        <w:t>przypadku wykorzystywania osadów ściekowych w</w:t>
      </w:r>
      <w:r>
        <w:t> </w:t>
      </w:r>
      <w:r w:rsidRPr="00C200A3">
        <w:t>rolnictwie (Dz.U. L 181 z</w:t>
      </w:r>
      <w:r>
        <w:t> </w:t>
      </w:r>
      <w:r w:rsidRPr="00C200A3">
        <w:t>4.7.1986, s. 6).</w:t>
      </w:r>
    </w:p>
  </w:footnote>
  <w:footnote w:id="26">
    <w:p w14:paraId="6A457FD1" w14:textId="6CDEA297"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w</w:t>
      </w:r>
      <w:r>
        <w:t> </w:t>
      </w:r>
      <w:r w:rsidRPr="00C200A3">
        <w:t>zakresie chemikaliów na rzecz zrównoważoności na rzecz nietoksycznego środowiska, COM(2020) 667 final.</w:t>
      </w:r>
    </w:p>
  </w:footnote>
  <w:footnote w:id="27">
    <w:p w14:paraId="07456A0B" w14:textId="595F56E9" w:rsidR="00CC55C0" w:rsidRPr="00C200A3" w:rsidRDefault="00CC55C0" w:rsidP="00EF2787">
      <w:pPr>
        <w:pStyle w:val="FootnoteText"/>
      </w:pPr>
      <w:r>
        <w:rPr>
          <w:rStyle w:val="FootnoteReference"/>
        </w:rPr>
        <w:footnoteRef/>
      </w:r>
      <w:r w:rsidRPr="00C200A3">
        <w:tab/>
        <w:t>Komunikat Komisji do Parlamentu Europejskiego, Rady i</w:t>
      </w:r>
      <w:r>
        <w:t> </w:t>
      </w:r>
      <w:r w:rsidRPr="00C200A3">
        <w:t>Europejskiego Komitetu Ekonomiczno-Społecznego – Strategiczne podejście Unii Europejskiej do substancji farmaceutycznych w</w:t>
      </w:r>
      <w:r>
        <w:t> </w:t>
      </w:r>
      <w:r w:rsidRPr="00C200A3">
        <w:t>środowisku COM(2019) 128 final.</w:t>
      </w:r>
    </w:p>
  </w:footnote>
  <w:footnote w:id="28">
    <w:p w14:paraId="0D01D7CE" w14:textId="585993C6" w:rsidR="00CC55C0" w:rsidRPr="00C200A3" w:rsidRDefault="00CC55C0" w:rsidP="00EF2787">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farmaceutyczna dla Europy, COM(2020) 761 final.</w:t>
      </w:r>
    </w:p>
  </w:footnote>
  <w:footnote w:id="29">
    <w:p w14:paraId="1AC0A8F8" w14:textId="3580BE5D" w:rsidR="00CC55C0" w:rsidRPr="00C200A3" w:rsidRDefault="00CC55C0">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Europejska strategia w</w:t>
      </w:r>
      <w:r>
        <w:t> </w:t>
      </w:r>
      <w:r w:rsidRPr="00C200A3">
        <w:t>zakresie danych, COM(2020) 66 final.</w:t>
      </w:r>
    </w:p>
  </w:footnote>
  <w:footnote w:id="30">
    <w:p w14:paraId="6C1EEF3C" w14:textId="55E32318" w:rsidR="00CC55C0" w:rsidRPr="00C200A3" w:rsidRDefault="00CC55C0" w:rsidP="00DA22EB">
      <w:pPr>
        <w:pStyle w:val="FootnoteText"/>
      </w:pPr>
      <w:r>
        <w:rPr>
          <w:rStyle w:val="FootnoteReference"/>
        </w:rPr>
        <w:footnoteRef/>
      </w:r>
      <w:r w:rsidRPr="00C200A3">
        <w:tab/>
        <w:t>Rozporządzenie (WE) nr 1907/2006 Parlamentu Europejskiego i</w:t>
      </w:r>
      <w:r>
        <w:t> </w:t>
      </w:r>
      <w:r w:rsidRPr="00C200A3">
        <w:t>Rady z</w:t>
      </w:r>
      <w:r>
        <w:t> </w:t>
      </w:r>
      <w:r w:rsidRPr="00C200A3">
        <w:t>dnia 18 grudnia 2006 r. w</w:t>
      </w:r>
      <w:r>
        <w:t> </w:t>
      </w:r>
      <w:r w:rsidRPr="00C200A3">
        <w:t>sprawie rejestracji, oceny, udzielania zezwoleń i</w:t>
      </w:r>
      <w:r>
        <w:t> </w:t>
      </w:r>
      <w:r w:rsidRPr="00C200A3">
        <w:t>stosowanych ograniczeń w</w:t>
      </w:r>
      <w:r>
        <w:t> </w:t>
      </w:r>
      <w:r w:rsidRPr="00C200A3">
        <w:t>zakresie chemikaliów (Dz.U. L 396 z</w:t>
      </w:r>
      <w:r>
        <w:t> </w:t>
      </w:r>
      <w:r w:rsidRPr="00C200A3">
        <w:t>30.12.2006, s. 1).</w:t>
      </w:r>
    </w:p>
  </w:footnote>
  <w:footnote w:id="31">
    <w:p w14:paraId="79CCB306" w14:textId="39EDA835" w:rsidR="00CC55C0" w:rsidRPr="00C200A3" w:rsidRDefault="00CC55C0">
      <w:pPr>
        <w:pStyle w:val="FootnoteText"/>
      </w:pPr>
      <w:r>
        <w:rPr>
          <w:rStyle w:val="FootnoteReference"/>
        </w:rPr>
        <w:footnoteRef/>
      </w:r>
      <w:r w:rsidRPr="00C200A3">
        <w:tab/>
        <w:t>Dokument roboczy służb Komisji w</w:t>
      </w:r>
      <w:r>
        <w:t> </w:t>
      </w:r>
      <w:r w:rsidRPr="00C200A3">
        <w:t>sprawie oceny adekwatności najważniejszych przepisów dotyczących chemikaliów (z wyjątkiem rozporządzenia REACH) oraz odpowiednich aspektów przepisów obowiązujących branże niższego szczebla, SWD(2019) 199 final.</w:t>
      </w:r>
    </w:p>
  </w:footnote>
  <w:footnote w:id="32">
    <w:p w14:paraId="3CFCF27A" w14:textId="77777777" w:rsidR="00CC55C0" w:rsidRPr="00C200A3" w:rsidRDefault="00CC55C0">
      <w:pPr>
        <w:pStyle w:val="FootnoteText"/>
      </w:pPr>
      <w:r>
        <w:rPr>
          <w:rStyle w:val="FootnoteReference"/>
        </w:rPr>
        <w:footnoteRef/>
      </w:r>
      <w:r w:rsidRPr="00C200A3">
        <w:tab/>
      </w:r>
      <w:hyperlink r:id="rId1" w:history="1">
        <w:r w:rsidRPr="00C200A3">
          <w:rPr>
            <w:color w:val="0000FF"/>
            <w:sz w:val="24"/>
            <w:u w:val="single"/>
          </w:rPr>
          <w:t>RDW – Biblioteka (europa.eu)</w:t>
        </w:r>
      </w:hyperlink>
    </w:p>
  </w:footnote>
  <w:footnote w:id="33">
    <w:p w14:paraId="4EEF118E" w14:textId="7E789777" w:rsidR="00CC55C0" w:rsidRPr="00C200A3" w:rsidRDefault="00CC55C0">
      <w:pPr>
        <w:pStyle w:val="FootnoteText"/>
      </w:pPr>
      <w:r>
        <w:rPr>
          <w:rStyle w:val="FootnoteReference"/>
        </w:rPr>
        <w:footnoteRef/>
      </w:r>
      <w:r w:rsidRPr="00C200A3">
        <w:tab/>
        <w:t>Ares(2022)4634431 z</w:t>
      </w:r>
      <w:r>
        <w:t> </w:t>
      </w:r>
      <w:r w:rsidRPr="00C200A3">
        <w:t>dnia 24 czerwca 20</w:t>
      </w:r>
      <w:r w:rsidRPr="00CC55C0">
        <w:t>22 r.</w:t>
      </w:r>
    </w:p>
  </w:footnote>
  <w:footnote w:id="34">
    <w:p w14:paraId="44814941" w14:textId="3748DA53" w:rsidR="00CC55C0" w:rsidRPr="00C200A3" w:rsidRDefault="00CC55C0" w:rsidP="005C4F36">
      <w:pPr>
        <w:pStyle w:val="FootnoteText"/>
      </w:pPr>
      <w:r>
        <w:rPr>
          <w:rStyle w:val="FootnoteReference"/>
        </w:rPr>
        <w:footnoteRef/>
      </w:r>
      <w:r w:rsidRPr="00C200A3">
        <w:tab/>
        <w:t>Dz.U. C  z , s. .</w:t>
      </w:r>
    </w:p>
  </w:footnote>
  <w:footnote w:id="35">
    <w:p w14:paraId="2EE42632" w14:textId="1BFEDF65" w:rsidR="00CC55C0" w:rsidRPr="00C200A3" w:rsidRDefault="00CC55C0" w:rsidP="005C4F36">
      <w:pPr>
        <w:pStyle w:val="FootnoteText"/>
      </w:pPr>
      <w:r>
        <w:rPr>
          <w:rStyle w:val="FootnoteReference"/>
        </w:rPr>
        <w:footnoteRef/>
      </w:r>
      <w:r w:rsidRPr="00C200A3">
        <w:tab/>
        <w:t>Dz.U. C  z , s. .</w:t>
      </w:r>
    </w:p>
  </w:footnote>
  <w:footnote w:id="36">
    <w:p w14:paraId="019A0F01" w14:textId="0E436E92" w:rsidR="00CC55C0" w:rsidRPr="00C200A3" w:rsidRDefault="00CC55C0" w:rsidP="003413A7">
      <w:pPr>
        <w:pStyle w:val="FootnoteText"/>
        <w:rPr>
          <w:i/>
        </w:rPr>
      </w:pPr>
      <w:r>
        <w:rPr>
          <w:rStyle w:val="FootnoteReference"/>
        </w:rPr>
        <w:footnoteRef/>
      </w:r>
      <w:r w:rsidRPr="00C200A3">
        <w:tab/>
        <w:t>Komunikat Komisji do Parlamentu Europejskiego, Rady Europejskiej, Rady, Europejskiego Komitetu Ekonomiczno-Społecznego i</w:t>
      </w:r>
      <w:r>
        <w:t> </w:t>
      </w:r>
      <w:r w:rsidRPr="00C200A3">
        <w:t xml:space="preserve">Komitetu Regionów, Europejski Zielony Ład, COM(2019) 640 final. </w:t>
      </w:r>
    </w:p>
  </w:footnote>
  <w:footnote w:id="37">
    <w:p w14:paraId="0E3E4DBE" w14:textId="1BF5BE95" w:rsidR="00CC55C0" w:rsidRPr="00C200A3" w:rsidRDefault="00CC55C0" w:rsidP="003413A7">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w</w:t>
      </w:r>
      <w:r>
        <w:t> </w:t>
      </w:r>
      <w:r w:rsidRPr="00C200A3">
        <w:t>zakresie chemikaliów na rzecz zrównoważoności na rzecz nietoksycznego środowiska, COM(2020) 667 final.</w:t>
      </w:r>
    </w:p>
  </w:footnote>
  <w:footnote w:id="38">
    <w:p w14:paraId="0739243B" w14:textId="71F1DDD5" w:rsidR="00CC55C0" w:rsidRPr="00C200A3" w:rsidRDefault="00CC55C0" w:rsidP="003413A7">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Droga do zdrowej planety dla wszystkich, Plan działania UE na rzecz eliminacji zanieczyszczeń wody, powietrza i</w:t>
      </w:r>
      <w:r>
        <w:t> </w:t>
      </w:r>
      <w:r w:rsidRPr="00C200A3">
        <w:t>gleby”, COM(2021) 400 final.</w:t>
      </w:r>
    </w:p>
  </w:footnote>
  <w:footnote w:id="39">
    <w:p w14:paraId="362F9EDF" w14:textId="660911E9" w:rsidR="00CC55C0" w:rsidRPr="00C200A3" w:rsidRDefault="00CC55C0" w:rsidP="00C6507C">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Europejska strategia na rzecz tworzyw sztucznych w</w:t>
      </w:r>
      <w:r>
        <w:t> </w:t>
      </w:r>
      <w:r w:rsidRPr="00C200A3">
        <w:t>gospodarce o</w:t>
      </w:r>
      <w:r>
        <w:t> </w:t>
      </w:r>
      <w:r w:rsidRPr="00C200A3">
        <w:t>obiegu zamkniętym COM(2018) 028 final.</w:t>
      </w:r>
    </w:p>
  </w:footnote>
  <w:footnote w:id="40">
    <w:p w14:paraId="5BEEB261" w14:textId="217CD13B" w:rsidR="00CC55C0" w:rsidRPr="00C200A3" w:rsidRDefault="00CC55C0" w:rsidP="00C6507C">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farmaceutyczna dla Europy, COM(2020) 761 final.</w:t>
      </w:r>
    </w:p>
  </w:footnote>
  <w:footnote w:id="41">
    <w:p w14:paraId="6F3E21D4" w14:textId="5F88F2FB" w:rsidR="00CC55C0" w:rsidRPr="00C200A3" w:rsidRDefault="00CC55C0" w:rsidP="003413A7">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Unijna strategia na rzecz bioróżnorodności 2030 – Przywracanie przyrody do naszego życia, COM(2020) 380 final.</w:t>
      </w:r>
    </w:p>
  </w:footnote>
  <w:footnote w:id="42">
    <w:p w14:paraId="3DA4C61D" w14:textId="5E981447" w:rsidR="00CC55C0" w:rsidRPr="00C200A3" w:rsidRDefault="00CC55C0" w:rsidP="003413A7">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„od pola do stołu” na rzecz sprawiedliwego, zdrowego i</w:t>
      </w:r>
      <w:r>
        <w:t> </w:t>
      </w:r>
      <w:r w:rsidRPr="00C200A3">
        <w:t>przyjaznego dla środowiska systemu żywnościowego, COM(2020)381 final.</w:t>
      </w:r>
    </w:p>
  </w:footnote>
  <w:footnote w:id="43">
    <w:p w14:paraId="7551295D" w14:textId="48B706F1" w:rsidR="00CC55C0" w:rsidRPr="00C200A3" w:rsidRDefault="00CC55C0" w:rsidP="00BF48D1">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Strategia UE na rzecz ochrony gleb 2030 – Korzyści ze zdrowych gleb dla ludzi, żywności, przyrody i</w:t>
      </w:r>
      <w:r>
        <w:t> </w:t>
      </w:r>
      <w:r w:rsidRPr="00C200A3">
        <w:t>klimatu, COM(2021) 699 final.</w:t>
      </w:r>
    </w:p>
  </w:footnote>
  <w:footnote w:id="44">
    <w:p w14:paraId="45ACC507" w14:textId="792D1B17" w:rsidR="00CC55C0" w:rsidRPr="00C200A3" w:rsidRDefault="00CC55C0" w:rsidP="00FE120D">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Kształtowanie cyfrowej przyszłości Europy,</w:t>
      </w:r>
    </w:p>
    <w:p w14:paraId="100F7B48" w14:textId="77777777" w:rsidR="00CC55C0" w:rsidRPr="00C200A3" w:rsidRDefault="00CC55C0" w:rsidP="00FE120D">
      <w:pPr>
        <w:pStyle w:val="FootnoteText"/>
      </w:pPr>
      <w:r w:rsidRPr="00C200A3">
        <w:t xml:space="preserve"> </w:t>
      </w:r>
      <w:r w:rsidRPr="00C200A3">
        <w:tab/>
        <w:t xml:space="preserve">COM(2020) 67 final. </w:t>
      </w:r>
    </w:p>
  </w:footnote>
  <w:footnote w:id="45">
    <w:p w14:paraId="3CF9358D" w14:textId="6C81EA3C" w:rsidR="00CC55C0" w:rsidRPr="00C200A3" w:rsidRDefault="00CC55C0" w:rsidP="00D935B6">
      <w:pPr>
        <w:pStyle w:val="FootnoteText"/>
      </w:pPr>
      <w:r>
        <w:rPr>
          <w:rStyle w:val="FootnoteReference"/>
        </w:rPr>
        <w:footnoteRef/>
      </w:r>
      <w:r w:rsidRPr="00C200A3">
        <w:tab/>
        <w:t>Komunikat Komisji do Parlamentu Europejskiego, Rady, Europejskiego Komitetu Ekonomiczno-Społecznego i</w:t>
      </w:r>
      <w:r>
        <w:t> </w:t>
      </w:r>
      <w:r w:rsidRPr="00C200A3">
        <w:t>Komitetu Regionów – Europejska strategia w</w:t>
      </w:r>
      <w:r>
        <w:t> </w:t>
      </w:r>
      <w:r w:rsidRPr="00C200A3">
        <w:t>zakresie danych, COM(2020) 66 final.</w:t>
      </w:r>
    </w:p>
  </w:footnote>
  <w:footnote w:id="46">
    <w:p w14:paraId="3F882522" w14:textId="765C82D9" w:rsidR="00CC55C0" w:rsidRPr="00C200A3" w:rsidRDefault="00CC55C0">
      <w:pPr>
        <w:pStyle w:val="FootnoteText"/>
      </w:pPr>
      <w:r>
        <w:rPr>
          <w:rStyle w:val="FootnoteReference"/>
        </w:rPr>
        <w:footnoteRef/>
      </w:r>
      <w:r w:rsidRPr="00C200A3">
        <w:tab/>
        <w:t>Dyrektywa 2000/60/WE Parlamentu Europejskiego i</w:t>
      </w:r>
      <w:r>
        <w:t> </w:t>
      </w:r>
      <w:r w:rsidRPr="00C200A3">
        <w:t>Rady z</w:t>
      </w:r>
      <w:r>
        <w:t> </w:t>
      </w:r>
      <w:r w:rsidRPr="00C200A3">
        <w:t>dnia 23 października 2000 r. ustanawiająca ramy wspólnotowego działania w</w:t>
      </w:r>
      <w:r>
        <w:t> </w:t>
      </w:r>
      <w:r w:rsidRPr="00C200A3">
        <w:t>dziedzinie polityki wodnej (Dz.U. L 327 z</w:t>
      </w:r>
      <w:r>
        <w:t> </w:t>
      </w:r>
      <w:r w:rsidRPr="00C200A3">
        <w:t>22.12.2000, s. 1).</w:t>
      </w:r>
    </w:p>
  </w:footnote>
  <w:footnote w:id="47">
    <w:p w14:paraId="65056B0E" w14:textId="0EDC84B8" w:rsidR="00CC55C0" w:rsidRPr="00C200A3" w:rsidRDefault="00CC55C0">
      <w:pPr>
        <w:pStyle w:val="FootnoteText"/>
      </w:pPr>
      <w:r>
        <w:rPr>
          <w:rStyle w:val="FootnoteReference"/>
        </w:rPr>
        <w:footnoteRef/>
      </w:r>
      <w:r w:rsidRPr="00C200A3">
        <w:tab/>
        <w:t>Dyrektywa Parlamentu Europejskiego i</w:t>
      </w:r>
      <w:r>
        <w:t> </w:t>
      </w:r>
      <w:r w:rsidRPr="00C200A3">
        <w:t>Rady 2008/105/WE z</w:t>
      </w:r>
      <w:r>
        <w:t> </w:t>
      </w:r>
      <w:r w:rsidRPr="00C200A3">
        <w:t>dnia 16 grudnia 20</w:t>
      </w:r>
      <w:r w:rsidRPr="00CC55C0">
        <w:t>08 r.</w:t>
      </w:r>
      <w:r w:rsidRPr="00C200A3">
        <w:t xml:space="preserve"> w</w:t>
      </w:r>
      <w:r>
        <w:t> </w:t>
      </w:r>
      <w:r w:rsidRPr="00C200A3">
        <w:t>sprawie środowiskowych norm jakości w</w:t>
      </w:r>
      <w:r>
        <w:t> </w:t>
      </w:r>
      <w:r w:rsidRPr="00C200A3">
        <w:t>dziedzinie polityki wodnej, zmieniająca i</w:t>
      </w:r>
      <w:r>
        <w:t> </w:t>
      </w:r>
      <w:r w:rsidRPr="00C200A3">
        <w:t>w</w:t>
      </w:r>
      <w:r>
        <w:t> </w:t>
      </w:r>
      <w:r w:rsidRPr="00C200A3">
        <w:t>następstwie uchylająca dyrektywy Rady 82/176/EWG, 83/513/EWG, 84/156/EWG, 84/491/EWG i</w:t>
      </w:r>
      <w:r>
        <w:t> </w:t>
      </w:r>
      <w:r w:rsidRPr="00C200A3">
        <w:t>86/280/EWG oraz zmieniająca dyrektywę 2000/60/WE Parlamentu Europejskiego i</w:t>
      </w:r>
      <w:r>
        <w:t> </w:t>
      </w:r>
      <w:r w:rsidRPr="00C200A3">
        <w:t>Rady (Dz.U. L 348 z</w:t>
      </w:r>
      <w:r>
        <w:t> </w:t>
      </w:r>
      <w:r w:rsidRPr="00C200A3">
        <w:t>24.12.2008, s. 84);</w:t>
      </w:r>
    </w:p>
  </w:footnote>
  <w:footnote w:id="48">
    <w:p w14:paraId="1BE8F2E5" w14:textId="6A1A1632" w:rsidR="00CC55C0" w:rsidRPr="00C200A3" w:rsidRDefault="00CC55C0">
      <w:pPr>
        <w:pStyle w:val="FootnoteText"/>
      </w:pPr>
      <w:r>
        <w:rPr>
          <w:rStyle w:val="FootnoteReference"/>
        </w:rPr>
        <w:footnoteRef/>
      </w:r>
      <w:r w:rsidRPr="00C200A3">
        <w:tab/>
        <w:t xml:space="preserve">Decyzja </w:t>
      </w:r>
      <w:r w:rsidRPr="00CC55C0">
        <w:t>nr 2</w:t>
      </w:r>
      <w:r w:rsidRPr="00C200A3">
        <w:t>455/2001/WE Parlamentu Europejskiego i</w:t>
      </w:r>
      <w:r>
        <w:t> </w:t>
      </w:r>
      <w:r w:rsidRPr="00C200A3">
        <w:t>Rady z</w:t>
      </w:r>
      <w:r>
        <w:t> </w:t>
      </w:r>
      <w:r w:rsidRPr="00C200A3">
        <w:t>dnia 20 listopada 2001 r. ustanawiająca wykaz priorytetowych substancji w</w:t>
      </w:r>
      <w:r>
        <w:t> </w:t>
      </w:r>
      <w:r w:rsidRPr="00C200A3">
        <w:t>dziedzinie polityki wodnej oraz zmieniająca dyrektywę 2000/60/WE (Dz.U. L 331 z</w:t>
      </w:r>
      <w:r>
        <w:t> </w:t>
      </w:r>
      <w:r w:rsidRPr="00C200A3">
        <w:t>15.12.2001, s. 1).</w:t>
      </w:r>
    </w:p>
  </w:footnote>
  <w:footnote w:id="49">
    <w:p w14:paraId="52BB09DE" w14:textId="3CE52454" w:rsidR="00CC55C0" w:rsidRPr="00C200A3" w:rsidRDefault="00CC55C0">
      <w:pPr>
        <w:pStyle w:val="FootnoteText"/>
      </w:pPr>
      <w:r>
        <w:rPr>
          <w:rStyle w:val="FootnoteReference"/>
        </w:rPr>
        <w:footnoteRef/>
      </w:r>
      <w:r w:rsidRPr="00C200A3">
        <w:tab/>
        <w:t>Dyrektywa 2006/118/WE Parlamentu Europejskiego i</w:t>
      </w:r>
      <w:r>
        <w:t> </w:t>
      </w:r>
      <w:r w:rsidRPr="00C200A3">
        <w:t>Rady z</w:t>
      </w:r>
      <w:r>
        <w:t> </w:t>
      </w:r>
      <w:r w:rsidRPr="00C200A3">
        <w:t>dnia 12 grudnia 20</w:t>
      </w:r>
      <w:r w:rsidRPr="00CC55C0">
        <w:t>06 r.</w:t>
      </w:r>
      <w:r w:rsidRPr="00C200A3">
        <w:t xml:space="preserve"> w</w:t>
      </w:r>
      <w:r>
        <w:t> </w:t>
      </w:r>
      <w:r w:rsidRPr="00C200A3">
        <w:t>sprawie ochrony wód podziemnych przed zanieczyszczeniem i</w:t>
      </w:r>
      <w:r>
        <w:t> </w:t>
      </w:r>
      <w:r w:rsidRPr="00C200A3">
        <w:t>pogorszeniem ich stanu (Dz.U. L 372 z</w:t>
      </w:r>
      <w:r>
        <w:t> </w:t>
      </w:r>
      <w:r w:rsidRPr="00C200A3">
        <w:t>27.12.2006, s. 19).</w:t>
      </w:r>
    </w:p>
  </w:footnote>
  <w:footnote w:id="50">
    <w:p w14:paraId="6C7658D8" w14:textId="7892C5F9" w:rsidR="00CC55C0" w:rsidRPr="00C200A3" w:rsidRDefault="00CC55C0" w:rsidP="00E3706C">
      <w:pPr>
        <w:pStyle w:val="FootnoteText"/>
      </w:pPr>
      <w:r>
        <w:rPr>
          <w:rStyle w:val="FootnoteReference"/>
        </w:rPr>
        <w:footnoteRef/>
      </w:r>
      <w:r w:rsidRPr="00C200A3">
        <w:tab/>
        <w:t xml:space="preserve">Rozporządzenie (WE) </w:t>
      </w:r>
      <w:r w:rsidRPr="00CC55C0">
        <w:t>nr 1</w:t>
      </w:r>
      <w:r w:rsidRPr="00C200A3">
        <w:t>907/2006 Parlamentu Europejskiego i</w:t>
      </w:r>
      <w:r>
        <w:t> </w:t>
      </w:r>
      <w:r w:rsidRPr="00C200A3">
        <w:t>Rady z</w:t>
      </w:r>
      <w:r>
        <w:t> </w:t>
      </w:r>
      <w:r w:rsidRPr="00C200A3">
        <w:t>dnia 18 grudnia 20</w:t>
      </w:r>
      <w:r w:rsidRPr="00CC55C0">
        <w:t>06 r.</w:t>
      </w:r>
      <w:r w:rsidRPr="00C200A3">
        <w:t xml:space="preserve"> w</w:t>
      </w:r>
      <w:r>
        <w:t> </w:t>
      </w:r>
      <w:r w:rsidRPr="00C200A3">
        <w:t>sprawie rejestracji, oceny, udzielania zezwoleń i</w:t>
      </w:r>
      <w:r>
        <w:t> </w:t>
      </w:r>
      <w:r w:rsidRPr="00C200A3">
        <w:t>stosowanych ograniczeń w</w:t>
      </w:r>
      <w:r>
        <w:t> </w:t>
      </w:r>
      <w:r w:rsidRPr="00C200A3">
        <w:t>zakresie chemikaliów (REACH) i</w:t>
      </w:r>
      <w:r>
        <w:t> </w:t>
      </w:r>
      <w:r w:rsidRPr="00C200A3">
        <w:t>utworzenia Europejskiej Agencji Chemikaliów (Dz.U. L 396 z</w:t>
      </w:r>
      <w:r>
        <w:t> </w:t>
      </w:r>
      <w:r w:rsidRPr="00C200A3">
        <w:t>30.12.2006, s. 1).</w:t>
      </w:r>
    </w:p>
  </w:footnote>
  <w:footnote w:id="51">
    <w:p w14:paraId="133B5673" w14:textId="7853F08A" w:rsidR="00CC55C0" w:rsidRPr="00C200A3" w:rsidRDefault="00CC55C0" w:rsidP="00E3706C">
      <w:pPr>
        <w:pStyle w:val="FootnoteText"/>
      </w:pPr>
      <w:r>
        <w:rPr>
          <w:rStyle w:val="FootnoteReference"/>
        </w:rPr>
        <w:footnoteRef/>
      </w:r>
      <w:r w:rsidRPr="00C200A3">
        <w:tab/>
        <w:t>Rozporządzenie Parlamentu Europejskiego i</w:t>
      </w:r>
      <w:r>
        <w:t> </w:t>
      </w:r>
      <w:r w:rsidRPr="00C200A3">
        <w:t xml:space="preserve">Rady (WE) </w:t>
      </w:r>
      <w:r w:rsidRPr="00CC55C0">
        <w:t>nr 1</w:t>
      </w:r>
      <w:r w:rsidRPr="00C200A3">
        <w:t>107/2009 z</w:t>
      </w:r>
      <w:r>
        <w:t> </w:t>
      </w:r>
      <w:r w:rsidRPr="00C200A3">
        <w:t>dnia 21 października 20</w:t>
      </w:r>
      <w:r w:rsidRPr="00CC55C0">
        <w:t>09 r.</w:t>
      </w:r>
      <w:r w:rsidRPr="00C200A3">
        <w:t xml:space="preserve"> dotyczące wprowadzania do obrotu środków ochrony roślin i</w:t>
      </w:r>
      <w:r>
        <w:t> </w:t>
      </w:r>
      <w:r w:rsidRPr="00C200A3">
        <w:t>uchylające dyrektywy Rady 79/117/EWG i</w:t>
      </w:r>
      <w:r>
        <w:t> </w:t>
      </w:r>
      <w:r w:rsidRPr="00C200A3">
        <w:t>91/414/EWG (Dz.U. L 309 z</w:t>
      </w:r>
      <w:r>
        <w:t> </w:t>
      </w:r>
      <w:r w:rsidRPr="00C200A3">
        <w:t>24.11.2009, s. 1).</w:t>
      </w:r>
    </w:p>
  </w:footnote>
  <w:footnote w:id="52">
    <w:p w14:paraId="6670368B" w14:textId="53E87874" w:rsidR="00CC55C0" w:rsidRPr="00C200A3" w:rsidRDefault="00CC55C0" w:rsidP="00E3706C">
      <w:pPr>
        <w:pStyle w:val="FootnoteText"/>
      </w:pPr>
      <w:r>
        <w:rPr>
          <w:rStyle w:val="FootnoteReference"/>
        </w:rPr>
        <w:footnoteRef/>
      </w:r>
      <w:r w:rsidRPr="00C200A3">
        <w:tab/>
        <w:t>Rozporządzenie Parlamentu Europejskiego i</w:t>
      </w:r>
      <w:r>
        <w:t> </w:t>
      </w:r>
      <w:r w:rsidRPr="00C200A3">
        <w:t xml:space="preserve">Rady (UE) </w:t>
      </w:r>
      <w:r w:rsidRPr="00CC55C0">
        <w:t>nr 5</w:t>
      </w:r>
      <w:r w:rsidRPr="00C200A3">
        <w:t>28/2012 z</w:t>
      </w:r>
      <w:r>
        <w:t> </w:t>
      </w:r>
      <w:r w:rsidRPr="00C200A3">
        <w:t>dnia 22 maja 20</w:t>
      </w:r>
      <w:r w:rsidRPr="00CC55C0">
        <w:t>12 r.</w:t>
      </w:r>
      <w:r w:rsidRPr="00C200A3">
        <w:t xml:space="preserve"> w</w:t>
      </w:r>
      <w:r>
        <w:t> </w:t>
      </w:r>
      <w:r w:rsidRPr="00C200A3">
        <w:t>sprawie udostępniania na rynku i</w:t>
      </w:r>
      <w:r>
        <w:t> </w:t>
      </w:r>
      <w:r w:rsidRPr="00C200A3">
        <w:t>stosowania produktów biobójczych (Dz.U. L 167 z</w:t>
      </w:r>
      <w:r>
        <w:t> </w:t>
      </w:r>
      <w:r w:rsidRPr="00C200A3">
        <w:t>27.6.2012, s. 1).</w:t>
      </w:r>
    </w:p>
  </w:footnote>
  <w:footnote w:id="53">
    <w:p w14:paraId="79E9583F" w14:textId="42614F80" w:rsidR="00CC55C0" w:rsidRPr="00C200A3" w:rsidRDefault="00CC55C0" w:rsidP="00E3706C">
      <w:pPr>
        <w:pStyle w:val="FootnoteText"/>
      </w:pPr>
      <w:r>
        <w:rPr>
          <w:rStyle w:val="FootnoteReference"/>
        </w:rPr>
        <w:footnoteRef/>
      </w:r>
      <w:r w:rsidRPr="00C200A3">
        <w:tab/>
        <w:t>Rozporządzenie Parlamentu Europejskiego i</w:t>
      </w:r>
      <w:r>
        <w:t> </w:t>
      </w:r>
      <w:r w:rsidRPr="00C200A3">
        <w:t>Rady (UE) 2019/6 z</w:t>
      </w:r>
      <w:r>
        <w:t> </w:t>
      </w:r>
      <w:r w:rsidRPr="00C200A3">
        <w:t>dnia 11 grudnia 2018 r. w</w:t>
      </w:r>
      <w:r>
        <w:t> </w:t>
      </w:r>
      <w:r w:rsidRPr="00C200A3">
        <w:t>sprawie weterynaryjnych produktów leczniczych i</w:t>
      </w:r>
      <w:r>
        <w:t> </w:t>
      </w:r>
      <w:r w:rsidRPr="00C200A3">
        <w:t>uchylające dyrektywę 2001/82/WE (Dz.U. L 4 z</w:t>
      </w:r>
      <w:r>
        <w:t> </w:t>
      </w:r>
      <w:r w:rsidRPr="00C200A3">
        <w:t>7.1.2019, s. 43).</w:t>
      </w:r>
    </w:p>
  </w:footnote>
  <w:footnote w:id="54">
    <w:p w14:paraId="07EB5C5B" w14:textId="49DAF882" w:rsidR="00CC55C0" w:rsidRPr="00C200A3" w:rsidRDefault="00CC55C0" w:rsidP="00E3706C">
      <w:pPr>
        <w:pStyle w:val="FootnoteText"/>
      </w:pPr>
      <w:r>
        <w:rPr>
          <w:rStyle w:val="FootnoteReference"/>
        </w:rPr>
        <w:footnoteRef/>
      </w:r>
      <w:r w:rsidRPr="00C200A3">
        <w:tab/>
        <w:t>Dyrektywa 2001/83/WE Parlamentu Europejskiego i</w:t>
      </w:r>
      <w:r>
        <w:t> </w:t>
      </w:r>
      <w:r w:rsidRPr="00C200A3">
        <w:t>Rady z</w:t>
      </w:r>
      <w:r>
        <w:t> </w:t>
      </w:r>
      <w:r w:rsidRPr="00C200A3">
        <w:t>dnia 6 listopada 20</w:t>
      </w:r>
      <w:r w:rsidRPr="00CC55C0">
        <w:t>01 r.</w:t>
      </w:r>
      <w:r w:rsidRPr="00C200A3">
        <w:t xml:space="preserve"> w</w:t>
      </w:r>
      <w:r>
        <w:t> </w:t>
      </w:r>
      <w:r w:rsidRPr="00C200A3">
        <w:t>sprawie wspólnotowego kodeksu odnoszącego się do produktów leczniczych stosowanych u</w:t>
      </w:r>
      <w:r>
        <w:t> </w:t>
      </w:r>
      <w:r w:rsidRPr="00C200A3">
        <w:t>ludzi (Dz.U. L 311 z 28.11.2001, s. 67).</w:t>
      </w:r>
    </w:p>
  </w:footnote>
  <w:footnote w:id="55">
    <w:p w14:paraId="6B42BF16" w14:textId="4D162C11" w:rsidR="00CC55C0" w:rsidRPr="00C200A3" w:rsidRDefault="00CC55C0" w:rsidP="00E3706C">
      <w:pPr>
        <w:pStyle w:val="FootnoteText"/>
      </w:pPr>
      <w:r>
        <w:rPr>
          <w:rStyle w:val="FootnoteReference"/>
        </w:rPr>
        <w:footnoteRef/>
      </w:r>
      <w:r w:rsidRPr="00C200A3">
        <w:tab/>
        <w:t>Dyrektywa Parlamentu Europejskiego i</w:t>
      </w:r>
      <w:r>
        <w:t> </w:t>
      </w:r>
      <w:r w:rsidRPr="00C200A3">
        <w:t>Rady 2009/128/WE z</w:t>
      </w:r>
      <w:r>
        <w:t> </w:t>
      </w:r>
      <w:r w:rsidRPr="00C200A3">
        <w:t>dnia 21 października 20</w:t>
      </w:r>
      <w:r w:rsidRPr="00CC55C0">
        <w:t>09 r.</w:t>
      </w:r>
      <w:r w:rsidRPr="00C200A3">
        <w:t xml:space="preserve"> ustanawiająca ramy wspólnotowego działania na rzecz zrównoważonego stosowania pestycydów (Dz.U. L 309 z</w:t>
      </w:r>
      <w:r>
        <w:t> </w:t>
      </w:r>
      <w:r w:rsidRPr="00C200A3">
        <w:t>24.11.2009, s. 71).</w:t>
      </w:r>
    </w:p>
  </w:footnote>
  <w:footnote w:id="56">
    <w:p w14:paraId="7AA99963" w14:textId="1FDAC6D9" w:rsidR="00CC55C0" w:rsidRPr="00C200A3" w:rsidRDefault="00CC55C0" w:rsidP="00E3706C">
      <w:pPr>
        <w:pStyle w:val="FootnoteText"/>
      </w:pPr>
      <w:r>
        <w:rPr>
          <w:rStyle w:val="FootnoteReference"/>
        </w:rPr>
        <w:footnoteRef/>
      </w:r>
      <w:r w:rsidRPr="00C200A3">
        <w:tab/>
        <w:t>Dyrektywa Parlamentu Europejskiego i</w:t>
      </w:r>
      <w:r>
        <w:t> </w:t>
      </w:r>
      <w:r w:rsidRPr="00C200A3">
        <w:t>Rady 2010/75/UE z</w:t>
      </w:r>
      <w:r>
        <w:t> </w:t>
      </w:r>
      <w:r w:rsidRPr="00C200A3">
        <w:t>dnia 24 listopada 20</w:t>
      </w:r>
      <w:r w:rsidRPr="00CC55C0">
        <w:t>10 r.</w:t>
      </w:r>
      <w:r w:rsidRPr="00C200A3">
        <w:t xml:space="preserve"> w</w:t>
      </w:r>
      <w:r>
        <w:t> </w:t>
      </w:r>
      <w:r w:rsidRPr="00C200A3">
        <w:t>sprawie emisji przemysłowych (zintegrowane zapobieganie zanieczyszczeniom i</w:t>
      </w:r>
      <w:r>
        <w:t> </w:t>
      </w:r>
      <w:r w:rsidRPr="00C200A3">
        <w:t>ich kontrola) (Dz.U. L 334 z</w:t>
      </w:r>
      <w:r>
        <w:t> </w:t>
      </w:r>
      <w:r w:rsidRPr="00C200A3">
        <w:t>17.12.2010, s. 17).</w:t>
      </w:r>
    </w:p>
  </w:footnote>
  <w:footnote w:id="57">
    <w:p w14:paraId="576E6878" w14:textId="1E93FCE9" w:rsidR="00CC55C0" w:rsidRPr="00C200A3" w:rsidRDefault="00CC55C0" w:rsidP="00E3706C">
      <w:pPr>
        <w:pStyle w:val="FootnoteText"/>
      </w:pPr>
      <w:r>
        <w:rPr>
          <w:rStyle w:val="FootnoteReference"/>
        </w:rPr>
        <w:footnoteRef/>
      </w:r>
      <w:r w:rsidRPr="00C200A3">
        <w:tab/>
        <w:t>Dyrektywa Rady 91/271/EWG z</w:t>
      </w:r>
      <w:r>
        <w:t> </w:t>
      </w:r>
      <w:r w:rsidRPr="00C200A3">
        <w:t>dnia 21 maja 1991 r. dotycząca oczyszczania ścieków komunalnych (Dz.U. L 135 z</w:t>
      </w:r>
      <w:r>
        <w:t> </w:t>
      </w:r>
      <w:r w:rsidRPr="00C200A3">
        <w:t>30.5.1991, s. 40).</w:t>
      </w:r>
    </w:p>
  </w:footnote>
  <w:footnote w:id="58">
    <w:p w14:paraId="41AAA706" w14:textId="5537FF86" w:rsidR="00CC55C0" w:rsidRPr="00C200A3" w:rsidRDefault="00CC55C0" w:rsidP="00C42577">
      <w:pPr>
        <w:pStyle w:val="FootnoteText"/>
      </w:pPr>
      <w:r>
        <w:rPr>
          <w:rStyle w:val="FootnoteReference"/>
        </w:rPr>
        <w:footnoteRef/>
      </w:r>
      <w:r w:rsidRPr="00C200A3">
        <w:tab/>
        <w:t>Dyrektywa Parlamentu Europejskiego i</w:t>
      </w:r>
      <w:r>
        <w:t> </w:t>
      </w:r>
      <w:r w:rsidRPr="00C200A3">
        <w:t>Rady (UE) 2020/2184 z</w:t>
      </w:r>
      <w:r>
        <w:t> </w:t>
      </w:r>
      <w:r w:rsidRPr="00C200A3">
        <w:t>dnia 16 grudnia 20</w:t>
      </w:r>
      <w:r w:rsidRPr="00CC55C0">
        <w:t>20 r.</w:t>
      </w:r>
      <w:r w:rsidRPr="00C200A3">
        <w:t xml:space="preserve"> w</w:t>
      </w:r>
      <w:r>
        <w:t> </w:t>
      </w:r>
      <w:r w:rsidRPr="00C200A3">
        <w:t>sprawie jakości wody przeznaczonej do spożycia przez ludzi (wersja przekształcona), (Dz.U. L 435 z</w:t>
      </w:r>
      <w:r>
        <w:t> </w:t>
      </w:r>
      <w:r w:rsidRPr="00C200A3">
        <w:t>23.12.2020, s. 1).</w:t>
      </w:r>
    </w:p>
  </w:footnote>
  <w:footnote w:id="59">
    <w:p w14:paraId="4AD66C71" w14:textId="0BF50760" w:rsidR="00CC55C0" w:rsidRPr="00C200A3" w:rsidRDefault="00CC55C0">
      <w:pPr>
        <w:pStyle w:val="FootnoteText"/>
      </w:pPr>
      <w:r>
        <w:rPr>
          <w:rStyle w:val="FootnoteReference"/>
        </w:rPr>
        <w:footnoteRef/>
      </w:r>
      <w:r w:rsidRPr="00C200A3">
        <w:tab/>
        <w:t>Dokument roboczy służb Komisji – Ocena adekwatności ramowej dyrektywy wodnej, dyrektywy w</w:t>
      </w:r>
      <w:r>
        <w:t> </w:t>
      </w:r>
      <w:r w:rsidRPr="00C200A3">
        <w:t>sprawie wód podziemnych, dyrektywy w</w:t>
      </w:r>
      <w:r>
        <w:t> </w:t>
      </w:r>
      <w:r w:rsidRPr="00C200A3">
        <w:t>sprawie środowiskowych norm jakości i</w:t>
      </w:r>
      <w:r>
        <w:t> </w:t>
      </w:r>
      <w:r w:rsidRPr="00C200A3">
        <w:t>dyrektywy powodziowej SWD(2019) 439 final.</w:t>
      </w:r>
    </w:p>
  </w:footnote>
  <w:footnote w:id="60">
    <w:p w14:paraId="062620BA" w14:textId="180E44BC" w:rsidR="00CC55C0" w:rsidRPr="00C200A3" w:rsidRDefault="00CC55C0" w:rsidP="00952FD2">
      <w:pPr>
        <w:pStyle w:val="FootnoteText"/>
      </w:pPr>
      <w:r>
        <w:rPr>
          <w:rStyle w:val="FootnoteReference"/>
        </w:rPr>
        <w:footnoteRef/>
      </w:r>
      <w:r w:rsidRPr="00C200A3">
        <w:tab/>
        <w:t>Dyrektywa 2007/2/WE Parlamentu Europejskiego i</w:t>
      </w:r>
      <w:r>
        <w:t> </w:t>
      </w:r>
      <w:r w:rsidRPr="00C200A3">
        <w:t>Rady z</w:t>
      </w:r>
      <w:r>
        <w:t> </w:t>
      </w:r>
      <w:r w:rsidRPr="00C200A3">
        <w:t>dnia 14 marca 2007 r. ustanawiająca infrastrukturę informacji przestrzennej we Wspólnocie Europejskiej (INSPIRE) (Dz.U. L 108 z</w:t>
      </w:r>
      <w:r>
        <w:t> </w:t>
      </w:r>
      <w:r w:rsidRPr="00C200A3">
        <w:t>25.4.2007, s. 1).</w:t>
      </w:r>
    </w:p>
  </w:footnote>
  <w:footnote w:id="61">
    <w:p w14:paraId="7FC22E8C" w14:textId="03E03E8A" w:rsidR="00CC55C0" w:rsidRPr="00C200A3" w:rsidRDefault="00CC55C0" w:rsidP="00674832">
      <w:pPr>
        <w:pStyle w:val="FootnoteText"/>
      </w:pPr>
      <w:r>
        <w:rPr>
          <w:rStyle w:val="FootnoteReference"/>
        </w:rPr>
        <w:footnoteRef/>
      </w:r>
      <w:r w:rsidRPr="00C200A3">
        <w:tab/>
        <w:t>Dyrektywa Parlamentu Europejskiego i</w:t>
      </w:r>
      <w:r>
        <w:t> </w:t>
      </w:r>
      <w:r w:rsidRPr="00C200A3">
        <w:t>Rady (UE) 2019/1024 z</w:t>
      </w:r>
      <w:r>
        <w:t> </w:t>
      </w:r>
      <w:r w:rsidRPr="00C200A3">
        <w:t>dnia 20 czerwca 20</w:t>
      </w:r>
      <w:r w:rsidRPr="00CC55C0">
        <w:t>19 r.</w:t>
      </w:r>
      <w:r w:rsidRPr="00C200A3">
        <w:t xml:space="preserve"> w</w:t>
      </w:r>
      <w:r>
        <w:t> </w:t>
      </w:r>
      <w:r w:rsidRPr="00C200A3">
        <w:t>sprawie otwartych danych i</w:t>
      </w:r>
      <w:r>
        <w:t> </w:t>
      </w:r>
      <w:r w:rsidRPr="00C200A3">
        <w:t>ponownego wykorzystywania informacji sektora publicznego (Dz.U. L 172 z</w:t>
      </w:r>
      <w:r>
        <w:t> </w:t>
      </w:r>
      <w:r w:rsidRPr="00C200A3">
        <w:t>26.6.2019, s. 56).</w:t>
      </w:r>
    </w:p>
  </w:footnote>
  <w:footnote w:id="62">
    <w:p w14:paraId="5780ACCA" w14:textId="3BABDBA1" w:rsidR="00CC55C0" w:rsidRPr="00C200A3" w:rsidRDefault="00CC55C0" w:rsidP="007E10DC">
      <w:pPr>
        <w:pStyle w:val="FootnoteText"/>
      </w:pPr>
      <w:r>
        <w:rPr>
          <w:rStyle w:val="FootnoteReference"/>
        </w:rPr>
        <w:footnoteRef/>
      </w:r>
      <w:r w:rsidRPr="00C200A3">
        <w:tab/>
        <w:t>Rozporządzenie (WE) nr 166/2006 Parlamentu Europejskiego i</w:t>
      </w:r>
      <w:r>
        <w:t> </w:t>
      </w:r>
      <w:r w:rsidRPr="00C200A3">
        <w:t>Rady z</w:t>
      </w:r>
      <w:r>
        <w:t> </w:t>
      </w:r>
      <w:r w:rsidRPr="00C200A3">
        <w:t>dnia 18 stycznia 2006 r. w</w:t>
      </w:r>
      <w:r>
        <w:t> </w:t>
      </w:r>
      <w:r w:rsidRPr="00C200A3">
        <w:t>sprawie ustanowienia Europejskiego Rejestru Uwalniania i</w:t>
      </w:r>
      <w:r>
        <w:t> </w:t>
      </w:r>
      <w:r w:rsidRPr="00C200A3">
        <w:t>Transferu Zanieczyszczeń i</w:t>
      </w:r>
      <w:r>
        <w:t> </w:t>
      </w:r>
      <w:r w:rsidRPr="00C200A3">
        <w:t>zmieniające dyrektywę Rady 91/689/EWG i</w:t>
      </w:r>
      <w:r>
        <w:t> </w:t>
      </w:r>
      <w:r w:rsidRPr="00C200A3">
        <w:t>96/61/WE (Dz.U. L 33 z</w:t>
      </w:r>
      <w:r>
        <w:t> </w:t>
      </w:r>
      <w:r w:rsidRPr="00C200A3">
        <w:t>4.2.2006, s. 1).</w:t>
      </w:r>
    </w:p>
  </w:footnote>
  <w:footnote w:id="63">
    <w:p w14:paraId="7E71AC01" w14:textId="05DF2503" w:rsidR="00CC55C0" w:rsidRPr="00C200A3" w:rsidRDefault="00CC55C0" w:rsidP="009B5F71">
      <w:pPr>
        <w:pStyle w:val="FootnoteText"/>
        <w:rPr>
          <w:i/>
        </w:rPr>
      </w:pPr>
      <w:r>
        <w:rPr>
          <w:rStyle w:val="FootnoteReference"/>
        </w:rPr>
        <w:footnoteRef/>
      </w:r>
      <w:r w:rsidRPr="00C200A3">
        <w:tab/>
        <w:t>Rozporządzenie Parlamentu Europejskiego i</w:t>
      </w:r>
      <w:r>
        <w:t> </w:t>
      </w:r>
      <w:r w:rsidRPr="00C200A3">
        <w:t xml:space="preserve">Rady (UE) </w:t>
      </w:r>
      <w:r w:rsidRPr="00CC55C0">
        <w:t>nr 1</w:t>
      </w:r>
      <w:r w:rsidRPr="00C200A3">
        <w:t>82/2011 z</w:t>
      </w:r>
      <w:r>
        <w:t> </w:t>
      </w:r>
      <w:r w:rsidRPr="00C200A3">
        <w:t>dnia 16 lutego 20</w:t>
      </w:r>
      <w:r w:rsidRPr="00CC55C0">
        <w:t>11 r.</w:t>
      </w:r>
      <w:r w:rsidRPr="00C200A3">
        <w:t xml:space="preserve"> ustanawiające przepisy i</w:t>
      </w:r>
      <w:r>
        <w:t> </w:t>
      </w:r>
      <w:r w:rsidRPr="00C200A3">
        <w:t>zasady ogólne dotyczące trybu kontroli przez państwa członkowskie wykonywania uprawnień wykonawczych przez Komisję (Dz.U. L 55 z</w:t>
      </w:r>
      <w:r>
        <w:t> </w:t>
      </w:r>
      <w:r w:rsidRPr="00C200A3">
        <w:t>28.2.2011, s. 13).</w:t>
      </w:r>
    </w:p>
  </w:footnote>
  <w:footnote w:id="64">
    <w:p w14:paraId="69E08E68" w14:textId="56A69451" w:rsidR="00CC55C0" w:rsidRPr="00C200A3" w:rsidRDefault="00CC55C0">
      <w:pPr>
        <w:pStyle w:val="FootnoteText"/>
      </w:pPr>
      <w:r w:rsidRPr="00C200A3">
        <w:rPr>
          <w:rStyle w:val="FootnoteReference"/>
        </w:rPr>
        <w:t>+</w:t>
      </w:r>
      <w:r w:rsidRPr="00C200A3">
        <w:tab/>
        <w:t>Urząd Publikacji: proszę wstawić w</w:t>
      </w:r>
      <w:r>
        <w:t> </w:t>
      </w:r>
      <w:r w:rsidRPr="00C200A3">
        <w:t>tekście numer rozporządzenia zawarty w</w:t>
      </w:r>
      <w:r>
        <w:t> </w:t>
      </w:r>
      <w:r w:rsidRPr="00C200A3">
        <w:t>dokumencie COM (2022) 157 oraz wstawić w</w:t>
      </w:r>
      <w:r>
        <w:t> </w:t>
      </w:r>
      <w:r w:rsidRPr="00C200A3">
        <w:t>przypisie numer, datę, tytuł tej dyrektywy i</w:t>
      </w:r>
      <w:r>
        <w:t> </w:t>
      </w:r>
      <w:r w:rsidRPr="00C200A3">
        <w:t>odniesienie do Dz.U.</w:t>
      </w:r>
    </w:p>
  </w:footnote>
  <w:footnote w:id="65">
    <w:p w14:paraId="2D0324C4" w14:textId="3E23DEBA" w:rsidR="00CC55C0" w:rsidRPr="00C200A3" w:rsidRDefault="00CC55C0">
      <w:pPr>
        <w:pStyle w:val="FootnoteText"/>
      </w:pPr>
      <w:r>
        <w:rPr>
          <w:rStyle w:val="FootnoteReference"/>
        </w:rPr>
        <w:footnoteRef/>
      </w:r>
      <w:r w:rsidRPr="00C200A3">
        <w:tab/>
        <w:t>Decyzja Parlamentu Europejskiego i</w:t>
      </w:r>
      <w:r>
        <w:t> </w:t>
      </w:r>
      <w:r w:rsidRPr="00C200A3">
        <w:t xml:space="preserve">Rady </w:t>
      </w:r>
      <w:r w:rsidRPr="00CC55C0">
        <w:t>nr 1</w:t>
      </w:r>
      <w:r w:rsidRPr="00C200A3">
        <w:t>313/2013/UE z</w:t>
      </w:r>
      <w:r>
        <w:t> </w:t>
      </w:r>
      <w:r w:rsidRPr="00C200A3">
        <w:t>dnia 17 grudnia 20</w:t>
      </w:r>
      <w:r w:rsidRPr="00CC55C0">
        <w:t>13 r.</w:t>
      </w:r>
      <w:r w:rsidRPr="00C200A3">
        <w:t xml:space="preserve"> w</w:t>
      </w:r>
      <w:r>
        <w:t> </w:t>
      </w:r>
      <w:r w:rsidRPr="00C200A3">
        <w:t>sprawie Unijnego Mechanizmu Ochrony Ludności (Dz.U. L 347 z</w:t>
      </w:r>
      <w:r>
        <w:t> </w:t>
      </w:r>
      <w:r w:rsidRPr="00C200A3">
        <w:t>20.12.2013, s. 924).</w:t>
      </w:r>
    </w:p>
  </w:footnote>
  <w:footnote w:id="66">
    <w:p w14:paraId="66C42949" w14:textId="382A6AEC" w:rsidR="00CC55C0" w:rsidRPr="00C200A3" w:rsidRDefault="00CC55C0" w:rsidP="00454B24">
      <w:pPr>
        <w:pStyle w:val="FootnoteText"/>
      </w:pPr>
      <w:r w:rsidRPr="00C200A3">
        <w:rPr>
          <w:rStyle w:val="FootnoteReference"/>
        </w:rPr>
        <w:t>+</w:t>
      </w:r>
      <w:r w:rsidRPr="00C200A3">
        <w:tab/>
        <w:t>Urząd Publikacji: proszę wstawić w</w:t>
      </w:r>
      <w:r>
        <w:t> </w:t>
      </w:r>
      <w:r w:rsidRPr="00C200A3">
        <w:t>tekście numer rozporządzenia zawarty w</w:t>
      </w:r>
      <w:r>
        <w:t> </w:t>
      </w:r>
      <w:r w:rsidRPr="00C200A3">
        <w:t>dokumencie COM (2022) 157</w:t>
      </w:r>
    </w:p>
    <w:p w14:paraId="601EF330" w14:textId="52987241" w:rsidR="00CC55C0" w:rsidRPr="00C200A3" w:rsidRDefault="00CC55C0" w:rsidP="00454B24">
      <w:pPr>
        <w:pStyle w:val="FootnoteText"/>
      </w:pPr>
      <w:r w:rsidRPr="00C200A3">
        <w:t>++          Urząd Publikacji: proszę wstawić w</w:t>
      </w:r>
      <w:r>
        <w:t> </w:t>
      </w:r>
      <w:r w:rsidRPr="00C200A3">
        <w:t>tekście numer rozporządzenia zawarty w</w:t>
      </w:r>
      <w:r>
        <w:t> </w:t>
      </w:r>
      <w:r w:rsidRPr="00C200A3">
        <w:t>dokumencie COM (2022) 157</w:t>
      </w:r>
    </w:p>
    <w:p w14:paraId="0E70B8E1" w14:textId="7A26AC5F" w:rsidR="00CC55C0" w:rsidRPr="00C200A3" w:rsidRDefault="00CC55C0" w:rsidP="00454B24">
      <w:pPr>
        <w:pStyle w:val="FootnoteText"/>
      </w:pPr>
      <w:r w:rsidRPr="00C200A3">
        <w:t>+++</w:t>
      </w:r>
      <w:r w:rsidRPr="00C200A3">
        <w:tab/>
        <w:t>Urząd Publikacji: proszę wstawić w</w:t>
      </w:r>
      <w:r>
        <w:t> </w:t>
      </w:r>
      <w:r w:rsidRPr="00C200A3">
        <w:t>tekście numer rozporządzenia zawarty w</w:t>
      </w:r>
      <w:r>
        <w:t> </w:t>
      </w:r>
      <w:r w:rsidRPr="00C200A3">
        <w:t>dokumencie COM (2022) 157</w:t>
      </w:r>
    </w:p>
  </w:footnote>
  <w:footnote w:id="67">
    <w:p w14:paraId="15713DAC" w14:textId="677B613A" w:rsidR="00CC55C0" w:rsidRPr="00C200A3" w:rsidRDefault="00CC55C0" w:rsidP="001C0111">
      <w:pPr>
        <w:pStyle w:val="FootnoteText"/>
        <w:rPr>
          <w:szCs w:val="24"/>
        </w:rPr>
      </w:pPr>
      <w:r>
        <w:rPr>
          <w:rStyle w:val="FootnoteReference"/>
        </w:rPr>
        <w:footnoteRef/>
      </w:r>
      <w:r w:rsidRPr="00C200A3">
        <w:tab/>
        <w:t>O którym mowa w</w:t>
      </w:r>
      <w:r>
        <w:t> </w:t>
      </w:r>
      <w:r w:rsidRPr="00CC55C0">
        <w:t>art. 5</w:t>
      </w:r>
      <w:r w:rsidRPr="00C200A3">
        <w:t xml:space="preserve">8 </w:t>
      </w:r>
      <w:r w:rsidRPr="00CC55C0">
        <w:t>ust. 2</w:t>
      </w:r>
      <w:r w:rsidRPr="00C200A3">
        <w:t xml:space="preserve"> </w:t>
      </w:r>
      <w:r w:rsidRPr="00CC55C0">
        <w:t>lit. a)</w:t>
      </w:r>
      <w:r w:rsidRPr="00C200A3">
        <w:t xml:space="preserve"> lub b) rozporządzenia finansowego.</w:t>
      </w:r>
    </w:p>
  </w:footnote>
  <w:footnote w:id="68">
    <w:p w14:paraId="3457B039" w14:textId="77777777" w:rsidR="00CC55C0" w:rsidRPr="00C200A3" w:rsidRDefault="00CC55C0" w:rsidP="001C0111">
      <w:pPr>
        <w:pStyle w:val="FootnoteText"/>
        <w:jc w:val="left"/>
        <w:rPr>
          <w:szCs w:val="24"/>
        </w:rPr>
      </w:pPr>
      <w:r>
        <w:rPr>
          <w:rStyle w:val="FootnoteReference"/>
        </w:rPr>
        <w:footnoteRef/>
      </w:r>
      <w:r w:rsidRPr="00C200A3">
        <w:tab/>
        <w:t xml:space="preserve">Wyjaśnienia dotyczące trybów zarządzania oraz odniesienia do rozporządzenia finansowego znajdują się na następującej stronie: </w:t>
      </w:r>
      <w:hyperlink r:id="rId2" w:history="1">
        <w:r w:rsidRPr="00C200A3">
          <w:rPr>
            <w:rStyle w:val="Hyperlink"/>
          </w:rPr>
          <w:t>https://myintracomm.ec.europa.eu/budgweb/EN/man/budgmanag/Pages/budgmanag.aspx</w:t>
        </w:r>
      </w:hyperlink>
      <w:r w:rsidRPr="00C200A3">
        <w:t xml:space="preserve"> </w:t>
      </w:r>
    </w:p>
  </w:footnote>
  <w:footnote w:id="69">
    <w:p w14:paraId="23105227" w14:textId="77777777" w:rsidR="00CC55C0" w:rsidRPr="00C200A3" w:rsidRDefault="00CC55C0" w:rsidP="001C0111">
      <w:pPr>
        <w:pStyle w:val="FootnoteText"/>
        <w:rPr>
          <w:szCs w:val="24"/>
        </w:rPr>
      </w:pPr>
      <w:r>
        <w:rPr>
          <w:rStyle w:val="FootnoteReference"/>
        </w:rPr>
        <w:footnoteRef/>
      </w:r>
      <w:r w:rsidRPr="00C200A3">
        <w:tab/>
        <w:t>Zróżn. = Środki zróżnicowane / Niezróżn. = Środki niezróżnicowane</w:t>
      </w:r>
    </w:p>
  </w:footnote>
  <w:footnote w:id="70">
    <w:p w14:paraId="442C54AB" w14:textId="77777777" w:rsidR="00CC55C0" w:rsidRPr="00C200A3" w:rsidRDefault="00CC55C0" w:rsidP="001C0111">
      <w:pPr>
        <w:pStyle w:val="FootnoteText"/>
        <w:rPr>
          <w:szCs w:val="24"/>
        </w:rPr>
      </w:pPr>
      <w:r>
        <w:rPr>
          <w:rStyle w:val="FootnoteReference"/>
        </w:rPr>
        <w:footnoteRef/>
      </w:r>
      <w:r w:rsidRPr="00C200A3">
        <w:tab/>
        <w:t xml:space="preserve">EFTA: Europejskie Stowarzyszenie Wolnego Handlu. </w:t>
      </w:r>
    </w:p>
  </w:footnote>
  <w:footnote w:id="71">
    <w:p w14:paraId="73B90E4B" w14:textId="1C1E45B7" w:rsidR="00CC55C0" w:rsidRPr="00C200A3" w:rsidRDefault="00CC55C0" w:rsidP="001C0111">
      <w:pPr>
        <w:pStyle w:val="FootnoteText"/>
        <w:rPr>
          <w:szCs w:val="24"/>
        </w:rPr>
      </w:pPr>
      <w:r>
        <w:rPr>
          <w:rStyle w:val="FootnoteReference"/>
        </w:rPr>
        <w:footnoteRef/>
      </w:r>
      <w:r w:rsidRPr="00C200A3">
        <w:tab/>
        <w:t>Kraje kandydujące oraz w</w:t>
      </w:r>
      <w:r>
        <w:t> </w:t>
      </w:r>
      <w:r w:rsidRPr="00C200A3">
        <w:t>stosownych przypadkach potencjalne kraje kandydujące Bałkanów Zachodnich.</w:t>
      </w:r>
    </w:p>
  </w:footnote>
  <w:footnote w:id="72">
    <w:p w14:paraId="1D663BD9" w14:textId="0A039924" w:rsidR="00CC55C0" w:rsidRPr="00C200A3" w:rsidRDefault="00CC55C0" w:rsidP="001C0111">
      <w:pPr>
        <w:pStyle w:val="FootnoteText"/>
        <w:rPr>
          <w:szCs w:val="24"/>
        </w:rPr>
      </w:pPr>
      <w:r>
        <w:rPr>
          <w:rStyle w:val="FootnoteReference"/>
        </w:rPr>
        <w:footnoteRef/>
      </w:r>
      <w:r w:rsidRPr="00C200A3">
        <w:tab/>
        <w:t>Produkty odnoszą się do produktów i</w:t>
      </w:r>
      <w:r>
        <w:t> </w:t>
      </w:r>
      <w:r w:rsidRPr="00C200A3">
        <w:t>usług, które zostaną zapewnione (np. liczba sfinansowanych wymian studentów, liczba kilometrów zbudowanych dróg itp.).</w:t>
      </w:r>
    </w:p>
  </w:footnote>
  <w:footnote w:id="73">
    <w:p w14:paraId="7612BD2F" w14:textId="3208A9E1" w:rsidR="00CC55C0" w:rsidRPr="00C200A3" w:rsidRDefault="00CC55C0" w:rsidP="001C0111">
      <w:pPr>
        <w:pStyle w:val="FootnoteText"/>
        <w:rPr>
          <w:szCs w:val="24"/>
        </w:rPr>
      </w:pPr>
      <w:r>
        <w:rPr>
          <w:rStyle w:val="FootnoteReference"/>
        </w:rPr>
        <w:footnoteRef/>
      </w:r>
      <w:r w:rsidRPr="00C200A3">
        <w:tab/>
        <w:t>Zgodnie z</w:t>
      </w:r>
      <w:r>
        <w:t> </w:t>
      </w:r>
      <w:r w:rsidRPr="00C200A3">
        <w:t>opisem w</w:t>
      </w:r>
      <w:r>
        <w:t> </w:t>
      </w:r>
      <w:r w:rsidRPr="00CC55C0">
        <w:t>pkt 1</w:t>
      </w:r>
      <w:r w:rsidRPr="00C200A3">
        <w:t xml:space="preserve">.4.2. „Cel(e) szczegółowy(e) …”. </w:t>
      </w:r>
    </w:p>
  </w:footnote>
  <w:footnote w:id="74">
    <w:p w14:paraId="47F0AD9C" w14:textId="77777777" w:rsidR="00CC55C0" w:rsidRPr="00C200A3" w:rsidRDefault="00CC55C0" w:rsidP="001C0111">
      <w:pPr>
        <w:pStyle w:val="FootnoteText"/>
        <w:rPr>
          <w:szCs w:val="24"/>
        </w:rPr>
      </w:pPr>
      <w:r>
        <w:rPr>
          <w:rStyle w:val="FootnoteReference"/>
        </w:rPr>
        <w:footnoteRef/>
      </w:r>
      <w:r w:rsidRPr="00C200A3">
        <w:tab/>
      </w:r>
      <w:r w:rsidRPr="00C200A3">
        <w:rPr>
          <w:sz w:val="18"/>
        </w:rPr>
        <w:t>Wsparcie techniczne lub administracyjne oraz wydatki na wsparcie realizacji programów lub działań UE (dawne linie „BA”), pośrednie badania naukowe, bezpośrednie badania naukowe.</w:t>
      </w:r>
    </w:p>
  </w:footnote>
  <w:footnote w:id="75">
    <w:p w14:paraId="7741051F" w14:textId="77777777" w:rsidR="00CC55C0" w:rsidRPr="00C200A3" w:rsidRDefault="00CC55C0" w:rsidP="001C0111">
      <w:pPr>
        <w:pStyle w:val="FootnoteText"/>
        <w:rPr>
          <w:szCs w:val="24"/>
        </w:rPr>
      </w:pPr>
      <w:r>
        <w:rPr>
          <w:rStyle w:val="FootnoteReference"/>
        </w:rPr>
        <w:footnoteRef/>
      </w:r>
      <w:r w:rsidRPr="00C200A3">
        <w:tab/>
        <w:t>W ramach podpułapu na personel zewnętrzny ze środków operacyjnych (dawne linie „BA”).</w:t>
      </w:r>
    </w:p>
  </w:footnote>
  <w:footnote w:id="76">
    <w:p w14:paraId="146E7318" w14:textId="04B6A146" w:rsidR="00CC55C0" w:rsidRPr="00C200A3" w:rsidRDefault="00CC55C0" w:rsidP="001C0111">
      <w:pPr>
        <w:pStyle w:val="FootnoteText"/>
      </w:pPr>
      <w:r>
        <w:rPr>
          <w:rStyle w:val="FootnoteReference"/>
        </w:rPr>
        <w:footnoteRef/>
      </w:r>
      <w:r w:rsidRPr="00C200A3">
        <w:tab/>
        <w:t>Rok N jest rokiem, w</w:t>
      </w:r>
      <w:r>
        <w:t> </w:t>
      </w:r>
      <w:r w:rsidRPr="00C200A3">
        <w:t>którym rozpoczyna się realizację wniosku/inicjatywy. „N” należy zastąpić oczekiwanym pierwszym rokiem realizacji (</w:t>
      </w:r>
      <w:r w:rsidRPr="00CC55C0">
        <w:t>np. 2</w:t>
      </w:r>
      <w:r w:rsidRPr="00C200A3">
        <w:t>021). Tak samo należy postąpić dla kolejnych lat.</w:t>
      </w:r>
    </w:p>
  </w:footnote>
  <w:footnote w:id="77">
    <w:p w14:paraId="6C422ADF" w14:textId="77777777" w:rsidR="00CC55C0" w:rsidRPr="00C200A3" w:rsidRDefault="00CC55C0" w:rsidP="001C0111">
      <w:pPr>
        <w:pStyle w:val="FootnoteText"/>
        <w:rPr>
          <w:szCs w:val="24"/>
        </w:rPr>
      </w:pPr>
      <w:r>
        <w:rPr>
          <w:rStyle w:val="FootnoteReference"/>
        </w:rPr>
        <w:footnoteRef/>
      </w:r>
      <w:r w:rsidRPr="00C200A3">
        <w:tab/>
        <w:t>W przypadku tradycyjnych zasobów własnych (opłaty celne, opłaty wyrównawcze od cukru) należy wskazać kwoty netto, tzn. kwoty brutto po odliczeniu 20 %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C39A" w14:textId="77777777" w:rsidR="00E25B75" w:rsidRPr="00E25B75" w:rsidRDefault="00E25B75" w:rsidP="00E25B7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1752" w14:textId="77777777" w:rsidR="00E25B75" w:rsidRPr="00E25B75" w:rsidRDefault="00E25B75" w:rsidP="00E25B7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2A2C" w14:textId="77777777" w:rsidR="00CC55C0" w:rsidRPr="00EB5854" w:rsidRDefault="00CC55C0" w:rsidP="00E25B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51D0" w14:textId="77777777" w:rsidR="00E25B75" w:rsidRPr="00E25B75" w:rsidRDefault="00E25B75" w:rsidP="00E2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BE61597"/>
    <w:multiLevelType w:val="hybridMultilevel"/>
    <w:tmpl w:val="D3BA0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643A6648"/>
    <w:name w:val="List Dash 3"/>
    <w:lvl w:ilvl="0">
      <w:start w:val="1"/>
      <w:numFmt w:val="decimal"/>
      <w:pStyle w:val="ListNumber1"/>
      <w:lvlText w:val="(%1)"/>
      <w:lvlJc w:val="left"/>
      <w:pPr>
        <w:tabs>
          <w:tab w:val="num" w:pos="1701"/>
        </w:tabs>
        <w:ind w:left="1701"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5E55678"/>
    <w:multiLevelType w:val="hybridMultilevel"/>
    <w:tmpl w:val="E6F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7E6347"/>
    <w:multiLevelType w:val="hybridMultilevel"/>
    <w:tmpl w:val="B2866D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538806B0"/>
    <w:name w:val="0.6719891"/>
    <w:lvl w:ilvl="0">
      <w:start w:val="1"/>
      <w:numFmt w:val="decimal"/>
      <w:lvlRestart w:val="0"/>
      <w:pStyle w:val="ListNumber"/>
      <w:lvlText w:val="(%1)"/>
      <w:lvlJc w:val="left"/>
      <w:pPr>
        <w:tabs>
          <w:tab w:val="num" w:pos="1276"/>
        </w:tabs>
        <w:ind w:left="1276"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27"/>
  </w:num>
  <w:num w:numId="5">
    <w:abstractNumId w:val="24"/>
  </w:num>
  <w:num w:numId="6">
    <w:abstractNumId w:val="28"/>
  </w:num>
  <w:num w:numId="7">
    <w:abstractNumId w:val="29"/>
  </w:num>
  <w:num w:numId="8">
    <w:abstractNumId w:val="2"/>
  </w:num>
  <w:num w:numId="9">
    <w:abstractNumId w:val="10"/>
  </w:num>
  <w:num w:numId="10">
    <w:abstractNumId w:val="3"/>
  </w:num>
  <w:num w:numId="11">
    <w:abstractNumId w:val="12"/>
  </w:num>
  <w:num w:numId="12">
    <w:abstractNumId w:val="9"/>
  </w:num>
  <w:num w:numId="13">
    <w:abstractNumId w:val="18"/>
  </w:num>
  <w:num w:numId="14">
    <w:abstractNumId w:val="1"/>
  </w:num>
  <w:num w:numId="15">
    <w:abstractNumId w:val="11"/>
  </w:num>
  <w:num w:numId="16">
    <w:abstractNumId w:val="30"/>
    <w:lvlOverride w:ilvl="0">
      <w:startOverride w:val="1"/>
    </w:lvlOverride>
  </w:num>
  <w:num w:numId="17">
    <w:abstractNumId w:val="13"/>
  </w:num>
  <w:num w:numId="18">
    <w:abstractNumId w:val="26"/>
    <w:lvlOverride w:ilvl="0">
      <w:startOverride w:val="1"/>
    </w:lvlOverride>
  </w:num>
  <w:num w:numId="19">
    <w:abstractNumId w:val="23"/>
  </w:num>
  <w:num w:numId="20">
    <w:abstractNumId w:val="14"/>
  </w:num>
  <w:num w:numId="21">
    <w:abstractNumId w:val="26"/>
  </w:num>
  <w:num w:numId="22">
    <w:abstractNumId w:val="7"/>
  </w:num>
  <w:num w:numId="23">
    <w:abstractNumId w:val="15"/>
  </w:num>
  <w:num w:numId="24">
    <w:abstractNumId w:val="16"/>
  </w:num>
  <w:num w:numId="25">
    <w:abstractNumId w:val="5"/>
  </w:num>
  <w:num w:numId="26">
    <w:abstractNumId w:val="25"/>
  </w:num>
  <w:num w:numId="27">
    <w:abstractNumId w:val="4"/>
  </w:num>
  <w:num w:numId="28">
    <w:abstractNumId w:val="17"/>
  </w:num>
  <w:num w:numId="29">
    <w:abstractNumId w:val="21"/>
  </w:num>
  <w:num w:numId="30">
    <w:abstractNumId w:val="22"/>
  </w:num>
  <w:num w:numId="31">
    <w:abstractNumId w:val="6"/>
  </w:num>
  <w:num w:numId="32">
    <w:abstractNumId w:val="19"/>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pl-PL"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1-17 16:50:39"/>
    <w:docVar w:name="DQCNUMB_1" w:val="10"/>
    <w:docVar w:name="DQCNUMB_2" w:val="11"/>
    <w:docVar w:name="DQCNUMB_3" w:val="560"/>
    <w:docVar w:name="DQCNUMB_4" w:val="561"/>
    <w:docVar w:name="DQCNUMB_5" w:val="56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C942636-32DF-47F5-A296-ADEDD5F2EA77"/>
    <w:docVar w:name="LW_COVERPAGE_TYPE" w:val="1"/>
    <w:docVar w:name="LW_CROSSREFERENCE" w:val="{SEC(2022) 540 final} - {SWD(2022) 540 final} - {SWD(2022) 543 final}"/>
    <w:docVar w:name="LW_DocType" w:val="COM"/>
    <w:docVar w:name="LW_EMISSION" w:val="26.10.2022"/>
    <w:docVar w:name="LW_EMISSION_ISODATE" w:val="2022-10-26"/>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44"/>
    <w:docVar w:name="LW_REF.II.NEW.CP_YEAR" w:val="2022"/>
    <w:docVar w:name="LW_REF.INST.NEW" w:val="COM"/>
    <w:docVar w:name="LW_REF.INST.NEW_ADOPTED" w:val="final"/>
    <w:docVar w:name="LW_REF.INST.NEW_TEXT" w:val="(2022)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ę 2000/60/WE ustanawiającą ramy wspólnotowego działania w dziedzinie polityki wodnej, dyrektywę 2006/118/WE w sprawie ochrony wód podziemnych przed zanieczyszczeniem i pogorszeniem ich stanu oraz dyrektywę 2008/105/WE w sprawie środowiskowych norm jakości w dziedzinie polityki wodnej"/>
    <w:docVar w:name="LW_TYPE.DOC.CP" w:val="DYREKTYWA PARLAMENTU EUROPEJSKIEGO I RADY"/>
    <w:docVar w:name="LwApiVersions" w:val="LW4CoDe 1.23.2.0; LW 8.0, Build 20211117"/>
  </w:docVars>
  <w:rsids>
    <w:rsidRoot w:val="0047629D"/>
    <w:rsid w:val="00000A07"/>
    <w:rsid w:val="00003114"/>
    <w:rsid w:val="00003C32"/>
    <w:rsid w:val="00004CA1"/>
    <w:rsid w:val="00005775"/>
    <w:rsid w:val="00005A72"/>
    <w:rsid w:val="00005F6E"/>
    <w:rsid w:val="00007363"/>
    <w:rsid w:val="00007629"/>
    <w:rsid w:val="00007766"/>
    <w:rsid w:val="00010962"/>
    <w:rsid w:val="00010A9A"/>
    <w:rsid w:val="000113E2"/>
    <w:rsid w:val="00011CDC"/>
    <w:rsid w:val="00012BDA"/>
    <w:rsid w:val="00013340"/>
    <w:rsid w:val="000136AA"/>
    <w:rsid w:val="0001385F"/>
    <w:rsid w:val="00015E6B"/>
    <w:rsid w:val="000162E5"/>
    <w:rsid w:val="00016AB9"/>
    <w:rsid w:val="000171B1"/>
    <w:rsid w:val="00017B15"/>
    <w:rsid w:val="00017D70"/>
    <w:rsid w:val="000203AA"/>
    <w:rsid w:val="00020ED3"/>
    <w:rsid w:val="00023E24"/>
    <w:rsid w:val="0002419D"/>
    <w:rsid w:val="0002427E"/>
    <w:rsid w:val="000242C0"/>
    <w:rsid w:val="00026EC4"/>
    <w:rsid w:val="000306B0"/>
    <w:rsid w:val="00030DC3"/>
    <w:rsid w:val="00030E85"/>
    <w:rsid w:val="00030F78"/>
    <w:rsid w:val="00031A7A"/>
    <w:rsid w:val="0003263F"/>
    <w:rsid w:val="000329DA"/>
    <w:rsid w:val="000332E9"/>
    <w:rsid w:val="000339E7"/>
    <w:rsid w:val="00033CEC"/>
    <w:rsid w:val="00034B1F"/>
    <w:rsid w:val="00035623"/>
    <w:rsid w:val="00037086"/>
    <w:rsid w:val="00037F16"/>
    <w:rsid w:val="00040205"/>
    <w:rsid w:val="0004181D"/>
    <w:rsid w:val="00042656"/>
    <w:rsid w:val="0004295C"/>
    <w:rsid w:val="000430C2"/>
    <w:rsid w:val="00043BF7"/>
    <w:rsid w:val="00044B04"/>
    <w:rsid w:val="00044D88"/>
    <w:rsid w:val="00044DBC"/>
    <w:rsid w:val="00044DD2"/>
    <w:rsid w:val="000466F9"/>
    <w:rsid w:val="00046C3E"/>
    <w:rsid w:val="0004768D"/>
    <w:rsid w:val="00050190"/>
    <w:rsid w:val="000503B2"/>
    <w:rsid w:val="00050925"/>
    <w:rsid w:val="00050BFF"/>
    <w:rsid w:val="00051578"/>
    <w:rsid w:val="00052C52"/>
    <w:rsid w:val="0005373D"/>
    <w:rsid w:val="000537A2"/>
    <w:rsid w:val="0005403E"/>
    <w:rsid w:val="000553AA"/>
    <w:rsid w:val="00056011"/>
    <w:rsid w:val="0005621C"/>
    <w:rsid w:val="00056D62"/>
    <w:rsid w:val="00056F4E"/>
    <w:rsid w:val="00057613"/>
    <w:rsid w:val="00057F2E"/>
    <w:rsid w:val="00061AAB"/>
    <w:rsid w:val="00061B4B"/>
    <w:rsid w:val="00063A5E"/>
    <w:rsid w:val="00064530"/>
    <w:rsid w:val="00064ADB"/>
    <w:rsid w:val="00065A43"/>
    <w:rsid w:val="000669EB"/>
    <w:rsid w:val="0006748C"/>
    <w:rsid w:val="000676BB"/>
    <w:rsid w:val="000729FD"/>
    <w:rsid w:val="00073122"/>
    <w:rsid w:val="000735B9"/>
    <w:rsid w:val="000751B0"/>
    <w:rsid w:val="00075892"/>
    <w:rsid w:val="000759A8"/>
    <w:rsid w:val="00075C5E"/>
    <w:rsid w:val="00076C4A"/>
    <w:rsid w:val="00080B2C"/>
    <w:rsid w:val="00080CA1"/>
    <w:rsid w:val="00081257"/>
    <w:rsid w:val="00082295"/>
    <w:rsid w:val="00085798"/>
    <w:rsid w:val="00085D30"/>
    <w:rsid w:val="000879D6"/>
    <w:rsid w:val="000909AF"/>
    <w:rsid w:val="00091A62"/>
    <w:rsid w:val="00092BDB"/>
    <w:rsid w:val="00093138"/>
    <w:rsid w:val="00093561"/>
    <w:rsid w:val="00093AF9"/>
    <w:rsid w:val="0009456C"/>
    <w:rsid w:val="00094939"/>
    <w:rsid w:val="00095578"/>
    <w:rsid w:val="00096124"/>
    <w:rsid w:val="00096997"/>
    <w:rsid w:val="00096FD7"/>
    <w:rsid w:val="00097CAA"/>
    <w:rsid w:val="000A0931"/>
    <w:rsid w:val="000A0A08"/>
    <w:rsid w:val="000A154F"/>
    <w:rsid w:val="000A1D8A"/>
    <w:rsid w:val="000A2A0D"/>
    <w:rsid w:val="000A3DAE"/>
    <w:rsid w:val="000A3E7E"/>
    <w:rsid w:val="000A56F9"/>
    <w:rsid w:val="000A5ED7"/>
    <w:rsid w:val="000A6BA2"/>
    <w:rsid w:val="000B2839"/>
    <w:rsid w:val="000B2D3E"/>
    <w:rsid w:val="000B3481"/>
    <w:rsid w:val="000B5DC5"/>
    <w:rsid w:val="000B6D15"/>
    <w:rsid w:val="000B6D56"/>
    <w:rsid w:val="000B7A7D"/>
    <w:rsid w:val="000B7C73"/>
    <w:rsid w:val="000C0A87"/>
    <w:rsid w:val="000C16E5"/>
    <w:rsid w:val="000C22E3"/>
    <w:rsid w:val="000C2605"/>
    <w:rsid w:val="000C2610"/>
    <w:rsid w:val="000C30FC"/>
    <w:rsid w:val="000C386F"/>
    <w:rsid w:val="000C3A4A"/>
    <w:rsid w:val="000C5566"/>
    <w:rsid w:val="000C6136"/>
    <w:rsid w:val="000C6344"/>
    <w:rsid w:val="000D0633"/>
    <w:rsid w:val="000D11F2"/>
    <w:rsid w:val="000D1533"/>
    <w:rsid w:val="000D2877"/>
    <w:rsid w:val="000D3201"/>
    <w:rsid w:val="000D3721"/>
    <w:rsid w:val="000D475A"/>
    <w:rsid w:val="000D4B47"/>
    <w:rsid w:val="000D57D4"/>
    <w:rsid w:val="000D5804"/>
    <w:rsid w:val="000D5F7E"/>
    <w:rsid w:val="000D65D4"/>
    <w:rsid w:val="000D6735"/>
    <w:rsid w:val="000D767D"/>
    <w:rsid w:val="000E1125"/>
    <w:rsid w:val="000E1180"/>
    <w:rsid w:val="000E39F2"/>
    <w:rsid w:val="000E4B5B"/>
    <w:rsid w:val="000E5BB7"/>
    <w:rsid w:val="000E5D0E"/>
    <w:rsid w:val="000E67AB"/>
    <w:rsid w:val="000E6892"/>
    <w:rsid w:val="000E6E27"/>
    <w:rsid w:val="000E6EC2"/>
    <w:rsid w:val="000F0F82"/>
    <w:rsid w:val="000F11FE"/>
    <w:rsid w:val="000F3452"/>
    <w:rsid w:val="000F3777"/>
    <w:rsid w:val="000F3AB5"/>
    <w:rsid w:val="000F3BCB"/>
    <w:rsid w:val="000F3DD5"/>
    <w:rsid w:val="00100B07"/>
    <w:rsid w:val="00101CDA"/>
    <w:rsid w:val="0010203D"/>
    <w:rsid w:val="001023CD"/>
    <w:rsid w:val="00102792"/>
    <w:rsid w:val="00102C4C"/>
    <w:rsid w:val="001035EF"/>
    <w:rsid w:val="00104BCA"/>
    <w:rsid w:val="001055D1"/>
    <w:rsid w:val="00105E40"/>
    <w:rsid w:val="00107E83"/>
    <w:rsid w:val="00110369"/>
    <w:rsid w:val="00110522"/>
    <w:rsid w:val="00110CA9"/>
    <w:rsid w:val="001125A5"/>
    <w:rsid w:val="00112982"/>
    <w:rsid w:val="00113258"/>
    <w:rsid w:val="00114857"/>
    <w:rsid w:val="001159B2"/>
    <w:rsid w:val="00120200"/>
    <w:rsid w:val="0012059B"/>
    <w:rsid w:val="00120905"/>
    <w:rsid w:val="00120B69"/>
    <w:rsid w:val="001210EA"/>
    <w:rsid w:val="0012302C"/>
    <w:rsid w:val="00123502"/>
    <w:rsid w:val="001239E6"/>
    <w:rsid w:val="00123B28"/>
    <w:rsid w:val="00123BCB"/>
    <w:rsid w:val="00126829"/>
    <w:rsid w:val="00126EDA"/>
    <w:rsid w:val="0013019E"/>
    <w:rsid w:val="001315B0"/>
    <w:rsid w:val="00131BB8"/>
    <w:rsid w:val="00131DFD"/>
    <w:rsid w:val="00131E07"/>
    <w:rsid w:val="00132ABC"/>
    <w:rsid w:val="00133164"/>
    <w:rsid w:val="00135039"/>
    <w:rsid w:val="0013709C"/>
    <w:rsid w:val="001414A9"/>
    <w:rsid w:val="00141965"/>
    <w:rsid w:val="00142865"/>
    <w:rsid w:val="00142A3E"/>
    <w:rsid w:val="00143175"/>
    <w:rsid w:val="001443E2"/>
    <w:rsid w:val="00144DB1"/>
    <w:rsid w:val="0014572C"/>
    <w:rsid w:val="00145762"/>
    <w:rsid w:val="00145DA6"/>
    <w:rsid w:val="00145F55"/>
    <w:rsid w:val="00146509"/>
    <w:rsid w:val="001478B6"/>
    <w:rsid w:val="00147A70"/>
    <w:rsid w:val="00151078"/>
    <w:rsid w:val="00151F5D"/>
    <w:rsid w:val="00152894"/>
    <w:rsid w:val="001537A1"/>
    <w:rsid w:val="001545D4"/>
    <w:rsid w:val="00154EED"/>
    <w:rsid w:val="001553E4"/>
    <w:rsid w:val="001634D6"/>
    <w:rsid w:val="00164B9B"/>
    <w:rsid w:val="00165CB1"/>
    <w:rsid w:val="00165EE9"/>
    <w:rsid w:val="001665FD"/>
    <w:rsid w:val="00166CFD"/>
    <w:rsid w:val="00166D81"/>
    <w:rsid w:val="00167143"/>
    <w:rsid w:val="00167F37"/>
    <w:rsid w:val="00167FDE"/>
    <w:rsid w:val="00171009"/>
    <w:rsid w:val="001710FD"/>
    <w:rsid w:val="001714DA"/>
    <w:rsid w:val="0017155B"/>
    <w:rsid w:val="00171D41"/>
    <w:rsid w:val="001727E1"/>
    <w:rsid w:val="001738ED"/>
    <w:rsid w:val="00175787"/>
    <w:rsid w:val="00175791"/>
    <w:rsid w:val="00175998"/>
    <w:rsid w:val="001759E7"/>
    <w:rsid w:val="00175C32"/>
    <w:rsid w:val="00176FFE"/>
    <w:rsid w:val="00177B79"/>
    <w:rsid w:val="001802AC"/>
    <w:rsid w:val="001808A5"/>
    <w:rsid w:val="00180E14"/>
    <w:rsid w:val="001824B7"/>
    <w:rsid w:val="00182EB1"/>
    <w:rsid w:val="00183822"/>
    <w:rsid w:val="00183DEA"/>
    <w:rsid w:val="00183E83"/>
    <w:rsid w:val="00187C46"/>
    <w:rsid w:val="00187E50"/>
    <w:rsid w:val="00191FB9"/>
    <w:rsid w:val="00192D08"/>
    <w:rsid w:val="001938C0"/>
    <w:rsid w:val="00195DA6"/>
    <w:rsid w:val="00195F3D"/>
    <w:rsid w:val="001A084F"/>
    <w:rsid w:val="001A0DE8"/>
    <w:rsid w:val="001A1029"/>
    <w:rsid w:val="001A123C"/>
    <w:rsid w:val="001A16EE"/>
    <w:rsid w:val="001A218E"/>
    <w:rsid w:val="001A23F5"/>
    <w:rsid w:val="001A2DDB"/>
    <w:rsid w:val="001A3B8D"/>
    <w:rsid w:val="001A4998"/>
    <w:rsid w:val="001A5662"/>
    <w:rsid w:val="001A5DE0"/>
    <w:rsid w:val="001B0D6C"/>
    <w:rsid w:val="001B1580"/>
    <w:rsid w:val="001B1B2A"/>
    <w:rsid w:val="001B3886"/>
    <w:rsid w:val="001B44F7"/>
    <w:rsid w:val="001B4A31"/>
    <w:rsid w:val="001B5758"/>
    <w:rsid w:val="001B5BBC"/>
    <w:rsid w:val="001B7139"/>
    <w:rsid w:val="001B775F"/>
    <w:rsid w:val="001C006E"/>
    <w:rsid w:val="001C0111"/>
    <w:rsid w:val="001C095A"/>
    <w:rsid w:val="001C1288"/>
    <w:rsid w:val="001C1660"/>
    <w:rsid w:val="001C1773"/>
    <w:rsid w:val="001C1E4E"/>
    <w:rsid w:val="001C2405"/>
    <w:rsid w:val="001C2906"/>
    <w:rsid w:val="001C299F"/>
    <w:rsid w:val="001C3281"/>
    <w:rsid w:val="001C3E98"/>
    <w:rsid w:val="001C403F"/>
    <w:rsid w:val="001C41F7"/>
    <w:rsid w:val="001C6932"/>
    <w:rsid w:val="001C6E6E"/>
    <w:rsid w:val="001D0F42"/>
    <w:rsid w:val="001D279A"/>
    <w:rsid w:val="001D350A"/>
    <w:rsid w:val="001D3D9E"/>
    <w:rsid w:val="001D461D"/>
    <w:rsid w:val="001D4DFA"/>
    <w:rsid w:val="001D58D7"/>
    <w:rsid w:val="001D6A9B"/>
    <w:rsid w:val="001D710A"/>
    <w:rsid w:val="001E0528"/>
    <w:rsid w:val="001E101F"/>
    <w:rsid w:val="001E131C"/>
    <w:rsid w:val="001E36E5"/>
    <w:rsid w:val="001E40B5"/>
    <w:rsid w:val="001E53D5"/>
    <w:rsid w:val="001E606D"/>
    <w:rsid w:val="001E67B2"/>
    <w:rsid w:val="001E7001"/>
    <w:rsid w:val="001E7DF4"/>
    <w:rsid w:val="001E7EB5"/>
    <w:rsid w:val="001F0462"/>
    <w:rsid w:val="001F0BA1"/>
    <w:rsid w:val="001F11B8"/>
    <w:rsid w:val="001F14FE"/>
    <w:rsid w:val="001F1D10"/>
    <w:rsid w:val="001F2B29"/>
    <w:rsid w:val="001F3805"/>
    <w:rsid w:val="001F3E40"/>
    <w:rsid w:val="001F3F33"/>
    <w:rsid w:val="001F46E1"/>
    <w:rsid w:val="001F486A"/>
    <w:rsid w:val="001F54EA"/>
    <w:rsid w:val="001F5D3F"/>
    <w:rsid w:val="001F77C4"/>
    <w:rsid w:val="001F78CE"/>
    <w:rsid w:val="002003A8"/>
    <w:rsid w:val="0020327C"/>
    <w:rsid w:val="002059AE"/>
    <w:rsid w:val="00205C2E"/>
    <w:rsid w:val="00206204"/>
    <w:rsid w:val="00206A62"/>
    <w:rsid w:val="00206B62"/>
    <w:rsid w:val="0020719C"/>
    <w:rsid w:val="00207B77"/>
    <w:rsid w:val="00207E7F"/>
    <w:rsid w:val="00207F91"/>
    <w:rsid w:val="00211237"/>
    <w:rsid w:val="00211A7E"/>
    <w:rsid w:val="0021342E"/>
    <w:rsid w:val="002138E7"/>
    <w:rsid w:val="00214E56"/>
    <w:rsid w:val="00215252"/>
    <w:rsid w:val="0021588B"/>
    <w:rsid w:val="00216BA7"/>
    <w:rsid w:val="00216C48"/>
    <w:rsid w:val="0021707F"/>
    <w:rsid w:val="00217D03"/>
    <w:rsid w:val="00217E6A"/>
    <w:rsid w:val="00220598"/>
    <w:rsid w:val="00220867"/>
    <w:rsid w:val="002218D5"/>
    <w:rsid w:val="0022429B"/>
    <w:rsid w:val="0022445A"/>
    <w:rsid w:val="00224E7E"/>
    <w:rsid w:val="0022527A"/>
    <w:rsid w:val="0022696D"/>
    <w:rsid w:val="002271E9"/>
    <w:rsid w:val="00227973"/>
    <w:rsid w:val="00230EE2"/>
    <w:rsid w:val="00231931"/>
    <w:rsid w:val="00231E72"/>
    <w:rsid w:val="00233013"/>
    <w:rsid w:val="0023310A"/>
    <w:rsid w:val="00233425"/>
    <w:rsid w:val="002348D2"/>
    <w:rsid w:val="00235C1C"/>
    <w:rsid w:val="00240E45"/>
    <w:rsid w:val="00241C8C"/>
    <w:rsid w:val="00244140"/>
    <w:rsid w:val="00244B40"/>
    <w:rsid w:val="0024539E"/>
    <w:rsid w:val="0024574A"/>
    <w:rsid w:val="0024727A"/>
    <w:rsid w:val="002474DA"/>
    <w:rsid w:val="002479D8"/>
    <w:rsid w:val="00247B65"/>
    <w:rsid w:val="00247CFF"/>
    <w:rsid w:val="00250192"/>
    <w:rsid w:val="002509CB"/>
    <w:rsid w:val="00251721"/>
    <w:rsid w:val="00251DBD"/>
    <w:rsid w:val="002522B4"/>
    <w:rsid w:val="00252C73"/>
    <w:rsid w:val="00252D4E"/>
    <w:rsid w:val="00252EFF"/>
    <w:rsid w:val="002530F1"/>
    <w:rsid w:val="00253AE7"/>
    <w:rsid w:val="00254119"/>
    <w:rsid w:val="00254A3E"/>
    <w:rsid w:val="00256A15"/>
    <w:rsid w:val="00256C04"/>
    <w:rsid w:val="00257B98"/>
    <w:rsid w:val="00257CFB"/>
    <w:rsid w:val="00260A00"/>
    <w:rsid w:val="00260C09"/>
    <w:rsid w:val="00260D4E"/>
    <w:rsid w:val="00261BD2"/>
    <w:rsid w:val="002627D3"/>
    <w:rsid w:val="00262C3F"/>
    <w:rsid w:val="0026318E"/>
    <w:rsid w:val="00263C00"/>
    <w:rsid w:val="00265147"/>
    <w:rsid w:val="0026519D"/>
    <w:rsid w:val="00266920"/>
    <w:rsid w:val="00266CF2"/>
    <w:rsid w:val="00271CA3"/>
    <w:rsid w:val="00272D92"/>
    <w:rsid w:val="002741A2"/>
    <w:rsid w:val="002744F0"/>
    <w:rsid w:val="002745A3"/>
    <w:rsid w:val="00274A6C"/>
    <w:rsid w:val="00274DEE"/>
    <w:rsid w:val="0027641F"/>
    <w:rsid w:val="00276D8E"/>
    <w:rsid w:val="00277FE5"/>
    <w:rsid w:val="00280282"/>
    <w:rsid w:val="00280FA9"/>
    <w:rsid w:val="002813A3"/>
    <w:rsid w:val="00281693"/>
    <w:rsid w:val="002821B9"/>
    <w:rsid w:val="002825F5"/>
    <w:rsid w:val="00282CB8"/>
    <w:rsid w:val="00285189"/>
    <w:rsid w:val="00285889"/>
    <w:rsid w:val="00286297"/>
    <w:rsid w:val="0028686B"/>
    <w:rsid w:val="00290AB6"/>
    <w:rsid w:val="002919EC"/>
    <w:rsid w:val="002921BA"/>
    <w:rsid w:val="002931A9"/>
    <w:rsid w:val="00293EFB"/>
    <w:rsid w:val="00294CE6"/>
    <w:rsid w:val="00295705"/>
    <w:rsid w:val="002959E8"/>
    <w:rsid w:val="00295DAD"/>
    <w:rsid w:val="00296C68"/>
    <w:rsid w:val="00297450"/>
    <w:rsid w:val="00297B7E"/>
    <w:rsid w:val="00297DA8"/>
    <w:rsid w:val="002A143E"/>
    <w:rsid w:val="002A242A"/>
    <w:rsid w:val="002A2C1A"/>
    <w:rsid w:val="002A2DB0"/>
    <w:rsid w:val="002A319B"/>
    <w:rsid w:val="002A34AF"/>
    <w:rsid w:val="002A3A98"/>
    <w:rsid w:val="002A53DB"/>
    <w:rsid w:val="002A647C"/>
    <w:rsid w:val="002A7A73"/>
    <w:rsid w:val="002B1759"/>
    <w:rsid w:val="002B1EB3"/>
    <w:rsid w:val="002B3EF5"/>
    <w:rsid w:val="002B5E55"/>
    <w:rsid w:val="002B642F"/>
    <w:rsid w:val="002B7922"/>
    <w:rsid w:val="002C141F"/>
    <w:rsid w:val="002C34CE"/>
    <w:rsid w:val="002C3D33"/>
    <w:rsid w:val="002C462B"/>
    <w:rsid w:val="002C5E26"/>
    <w:rsid w:val="002C7464"/>
    <w:rsid w:val="002D0617"/>
    <w:rsid w:val="002D1A39"/>
    <w:rsid w:val="002D1D01"/>
    <w:rsid w:val="002D208B"/>
    <w:rsid w:val="002D2963"/>
    <w:rsid w:val="002D38C8"/>
    <w:rsid w:val="002D4889"/>
    <w:rsid w:val="002D4B94"/>
    <w:rsid w:val="002D52D4"/>
    <w:rsid w:val="002D56EC"/>
    <w:rsid w:val="002D7AB5"/>
    <w:rsid w:val="002E0194"/>
    <w:rsid w:val="002E0703"/>
    <w:rsid w:val="002E0B07"/>
    <w:rsid w:val="002E1255"/>
    <w:rsid w:val="002E1F99"/>
    <w:rsid w:val="002E221F"/>
    <w:rsid w:val="002E2D48"/>
    <w:rsid w:val="002E2EBE"/>
    <w:rsid w:val="002E3172"/>
    <w:rsid w:val="002E42B6"/>
    <w:rsid w:val="002E47FB"/>
    <w:rsid w:val="002E4F6A"/>
    <w:rsid w:val="002E594F"/>
    <w:rsid w:val="002E5EAE"/>
    <w:rsid w:val="002E6C80"/>
    <w:rsid w:val="002E768E"/>
    <w:rsid w:val="002E771F"/>
    <w:rsid w:val="002F0893"/>
    <w:rsid w:val="002F3DA2"/>
    <w:rsid w:val="002F4C9F"/>
    <w:rsid w:val="002F6561"/>
    <w:rsid w:val="002F71F1"/>
    <w:rsid w:val="002F7B25"/>
    <w:rsid w:val="00300D5E"/>
    <w:rsid w:val="00301198"/>
    <w:rsid w:val="00302344"/>
    <w:rsid w:val="003023B8"/>
    <w:rsid w:val="00302ED8"/>
    <w:rsid w:val="00303FE7"/>
    <w:rsid w:val="00304DC7"/>
    <w:rsid w:val="00312B26"/>
    <w:rsid w:val="00312DEE"/>
    <w:rsid w:val="0031345E"/>
    <w:rsid w:val="00315C53"/>
    <w:rsid w:val="0031717F"/>
    <w:rsid w:val="00317AFC"/>
    <w:rsid w:val="00320788"/>
    <w:rsid w:val="00320CD5"/>
    <w:rsid w:val="0032115B"/>
    <w:rsid w:val="00321497"/>
    <w:rsid w:val="003217C0"/>
    <w:rsid w:val="00321B03"/>
    <w:rsid w:val="00323848"/>
    <w:rsid w:val="00323AB1"/>
    <w:rsid w:val="00323AB9"/>
    <w:rsid w:val="00323C41"/>
    <w:rsid w:val="00326B3A"/>
    <w:rsid w:val="00326CBC"/>
    <w:rsid w:val="00327BD4"/>
    <w:rsid w:val="00327CAD"/>
    <w:rsid w:val="00327F59"/>
    <w:rsid w:val="003306E3"/>
    <w:rsid w:val="003311DA"/>
    <w:rsid w:val="00334340"/>
    <w:rsid w:val="003349AE"/>
    <w:rsid w:val="00334F55"/>
    <w:rsid w:val="0033608D"/>
    <w:rsid w:val="003369CC"/>
    <w:rsid w:val="00336D76"/>
    <w:rsid w:val="00337FBA"/>
    <w:rsid w:val="003403D0"/>
    <w:rsid w:val="00340572"/>
    <w:rsid w:val="00340D92"/>
    <w:rsid w:val="0034110F"/>
    <w:rsid w:val="003413A7"/>
    <w:rsid w:val="00342156"/>
    <w:rsid w:val="00342AFA"/>
    <w:rsid w:val="00342D58"/>
    <w:rsid w:val="00344298"/>
    <w:rsid w:val="00344C97"/>
    <w:rsid w:val="003505D9"/>
    <w:rsid w:val="00351F3E"/>
    <w:rsid w:val="00352106"/>
    <w:rsid w:val="003525E9"/>
    <w:rsid w:val="0035356C"/>
    <w:rsid w:val="003539C2"/>
    <w:rsid w:val="003543FA"/>
    <w:rsid w:val="0035553C"/>
    <w:rsid w:val="003555D4"/>
    <w:rsid w:val="003558D6"/>
    <w:rsid w:val="003559E0"/>
    <w:rsid w:val="00355F9F"/>
    <w:rsid w:val="003573B3"/>
    <w:rsid w:val="00360685"/>
    <w:rsid w:val="00360D50"/>
    <w:rsid w:val="0036474B"/>
    <w:rsid w:val="00366933"/>
    <w:rsid w:val="0036702F"/>
    <w:rsid w:val="0036705D"/>
    <w:rsid w:val="00367148"/>
    <w:rsid w:val="003705DD"/>
    <w:rsid w:val="00370C27"/>
    <w:rsid w:val="00371549"/>
    <w:rsid w:val="003716E1"/>
    <w:rsid w:val="00371814"/>
    <w:rsid w:val="00371BBE"/>
    <w:rsid w:val="00372B49"/>
    <w:rsid w:val="00372E4E"/>
    <w:rsid w:val="00373805"/>
    <w:rsid w:val="00374F0F"/>
    <w:rsid w:val="00375511"/>
    <w:rsid w:val="0037578C"/>
    <w:rsid w:val="0037740E"/>
    <w:rsid w:val="0038083F"/>
    <w:rsid w:val="00383BB3"/>
    <w:rsid w:val="00384304"/>
    <w:rsid w:val="00384FD3"/>
    <w:rsid w:val="003852ED"/>
    <w:rsid w:val="00385782"/>
    <w:rsid w:val="00386272"/>
    <w:rsid w:val="003863D6"/>
    <w:rsid w:val="00386B0C"/>
    <w:rsid w:val="003877E3"/>
    <w:rsid w:val="00390B2A"/>
    <w:rsid w:val="00393152"/>
    <w:rsid w:val="003949A6"/>
    <w:rsid w:val="003959A3"/>
    <w:rsid w:val="00396ACD"/>
    <w:rsid w:val="00397C31"/>
    <w:rsid w:val="00397C5E"/>
    <w:rsid w:val="003A0681"/>
    <w:rsid w:val="003A124E"/>
    <w:rsid w:val="003A1436"/>
    <w:rsid w:val="003A1A7F"/>
    <w:rsid w:val="003A1D79"/>
    <w:rsid w:val="003A27DD"/>
    <w:rsid w:val="003A3043"/>
    <w:rsid w:val="003A3380"/>
    <w:rsid w:val="003A338E"/>
    <w:rsid w:val="003A3E8F"/>
    <w:rsid w:val="003A478C"/>
    <w:rsid w:val="003A5AEF"/>
    <w:rsid w:val="003A6670"/>
    <w:rsid w:val="003A7C8D"/>
    <w:rsid w:val="003A7F57"/>
    <w:rsid w:val="003B00B1"/>
    <w:rsid w:val="003B36E1"/>
    <w:rsid w:val="003B3D37"/>
    <w:rsid w:val="003B4317"/>
    <w:rsid w:val="003B6692"/>
    <w:rsid w:val="003B78E2"/>
    <w:rsid w:val="003B7969"/>
    <w:rsid w:val="003C0362"/>
    <w:rsid w:val="003C0F05"/>
    <w:rsid w:val="003C1F46"/>
    <w:rsid w:val="003C62A6"/>
    <w:rsid w:val="003D0E50"/>
    <w:rsid w:val="003D14B3"/>
    <w:rsid w:val="003D1D1F"/>
    <w:rsid w:val="003D1D52"/>
    <w:rsid w:val="003D231E"/>
    <w:rsid w:val="003D2594"/>
    <w:rsid w:val="003D2B03"/>
    <w:rsid w:val="003D5982"/>
    <w:rsid w:val="003D6CB4"/>
    <w:rsid w:val="003E0CFD"/>
    <w:rsid w:val="003E240E"/>
    <w:rsid w:val="003E291B"/>
    <w:rsid w:val="003E3FDA"/>
    <w:rsid w:val="003E4407"/>
    <w:rsid w:val="003E4EAF"/>
    <w:rsid w:val="003E5CD5"/>
    <w:rsid w:val="003E6DA0"/>
    <w:rsid w:val="003F090E"/>
    <w:rsid w:val="003F1714"/>
    <w:rsid w:val="003F30AA"/>
    <w:rsid w:val="003F3F7A"/>
    <w:rsid w:val="003F419D"/>
    <w:rsid w:val="003F487C"/>
    <w:rsid w:val="003F6716"/>
    <w:rsid w:val="003F68A3"/>
    <w:rsid w:val="00400097"/>
    <w:rsid w:val="00400125"/>
    <w:rsid w:val="00400744"/>
    <w:rsid w:val="00400F6E"/>
    <w:rsid w:val="00401AEE"/>
    <w:rsid w:val="00402294"/>
    <w:rsid w:val="00402D3A"/>
    <w:rsid w:val="00403AE9"/>
    <w:rsid w:val="004052B1"/>
    <w:rsid w:val="0040530A"/>
    <w:rsid w:val="004053CF"/>
    <w:rsid w:val="00407001"/>
    <w:rsid w:val="004075E0"/>
    <w:rsid w:val="004104E4"/>
    <w:rsid w:val="00410ECF"/>
    <w:rsid w:val="00411C3F"/>
    <w:rsid w:val="00412191"/>
    <w:rsid w:val="00413F52"/>
    <w:rsid w:val="00414C75"/>
    <w:rsid w:val="00415A0F"/>
    <w:rsid w:val="0041605F"/>
    <w:rsid w:val="00416A23"/>
    <w:rsid w:val="00420912"/>
    <w:rsid w:val="0042323C"/>
    <w:rsid w:val="0042354E"/>
    <w:rsid w:val="00424823"/>
    <w:rsid w:val="0042594E"/>
    <w:rsid w:val="00425CDF"/>
    <w:rsid w:val="00425E93"/>
    <w:rsid w:val="00430C57"/>
    <w:rsid w:val="00431F6E"/>
    <w:rsid w:val="00432412"/>
    <w:rsid w:val="00433B38"/>
    <w:rsid w:val="00434DB4"/>
    <w:rsid w:val="004353C2"/>
    <w:rsid w:val="00435A38"/>
    <w:rsid w:val="00435C38"/>
    <w:rsid w:val="00436307"/>
    <w:rsid w:val="0043769F"/>
    <w:rsid w:val="00437AA5"/>
    <w:rsid w:val="00437DAC"/>
    <w:rsid w:val="00437E25"/>
    <w:rsid w:val="004425AE"/>
    <w:rsid w:val="00443EB5"/>
    <w:rsid w:val="00444B97"/>
    <w:rsid w:val="004458EE"/>
    <w:rsid w:val="00446391"/>
    <w:rsid w:val="00446DCC"/>
    <w:rsid w:val="0044753B"/>
    <w:rsid w:val="004500C1"/>
    <w:rsid w:val="004513C3"/>
    <w:rsid w:val="00454B24"/>
    <w:rsid w:val="004552CD"/>
    <w:rsid w:val="004572CA"/>
    <w:rsid w:val="004573A8"/>
    <w:rsid w:val="00461110"/>
    <w:rsid w:val="00461C6C"/>
    <w:rsid w:val="00462548"/>
    <w:rsid w:val="004626D8"/>
    <w:rsid w:val="00463608"/>
    <w:rsid w:val="0046472E"/>
    <w:rsid w:val="00464D5D"/>
    <w:rsid w:val="00465DBA"/>
    <w:rsid w:val="00465F0B"/>
    <w:rsid w:val="00467A60"/>
    <w:rsid w:val="004704C5"/>
    <w:rsid w:val="00470FF8"/>
    <w:rsid w:val="00471009"/>
    <w:rsid w:val="004723CD"/>
    <w:rsid w:val="00472FBE"/>
    <w:rsid w:val="00473065"/>
    <w:rsid w:val="00473251"/>
    <w:rsid w:val="004749D9"/>
    <w:rsid w:val="004754A2"/>
    <w:rsid w:val="0047629D"/>
    <w:rsid w:val="004807FE"/>
    <w:rsid w:val="004835F1"/>
    <w:rsid w:val="004843EE"/>
    <w:rsid w:val="00484D2B"/>
    <w:rsid w:val="0048624E"/>
    <w:rsid w:val="004908A0"/>
    <w:rsid w:val="00491B6E"/>
    <w:rsid w:val="00492396"/>
    <w:rsid w:val="004932EA"/>
    <w:rsid w:val="00493588"/>
    <w:rsid w:val="00494507"/>
    <w:rsid w:val="00495518"/>
    <w:rsid w:val="0049685E"/>
    <w:rsid w:val="00497928"/>
    <w:rsid w:val="004A014A"/>
    <w:rsid w:val="004A0585"/>
    <w:rsid w:val="004A1CA9"/>
    <w:rsid w:val="004A48A5"/>
    <w:rsid w:val="004A5B50"/>
    <w:rsid w:val="004A7758"/>
    <w:rsid w:val="004A7E8C"/>
    <w:rsid w:val="004B1614"/>
    <w:rsid w:val="004B2F12"/>
    <w:rsid w:val="004B4149"/>
    <w:rsid w:val="004B4B5F"/>
    <w:rsid w:val="004B595D"/>
    <w:rsid w:val="004B5D13"/>
    <w:rsid w:val="004B5F1D"/>
    <w:rsid w:val="004B635A"/>
    <w:rsid w:val="004B730B"/>
    <w:rsid w:val="004C001F"/>
    <w:rsid w:val="004C238F"/>
    <w:rsid w:val="004C27EB"/>
    <w:rsid w:val="004C32ED"/>
    <w:rsid w:val="004C3841"/>
    <w:rsid w:val="004C3B1B"/>
    <w:rsid w:val="004C400E"/>
    <w:rsid w:val="004C43CC"/>
    <w:rsid w:val="004C47A8"/>
    <w:rsid w:val="004C638D"/>
    <w:rsid w:val="004C67F2"/>
    <w:rsid w:val="004C7356"/>
    <w:rsid w:val="004D23CA"/>
    <w:rsid w:val="004D3599"/>
    <w:rsid w:val="004D3B1A"/>
    <w:rsid w:val="004D3C4C"/>
    <w:rsid w:val="004D44D4"/>
    <w:rsid w:val="004D5912"/>
    <w:rsid w:val="004D5B0E"/>
    <w:rsid w:val="004D6C8B"/>
    <w:rsid w:val="004D78C0"/>
    <w:rsid w:val="004E06B1"/>
    <w:rsid w:val="004E09DC"/>
    <w:rsid w:val="004E0EF7"/>
    <w:rsid w:val="004E19F9"/>
    <w:rsid w:val="004E4B29"/>
    <w:rsid w:val="004E4D8E"/>
    <w:rsid w:val="004E5253"/>
    <w:rsid w:val="004E5B9A"/>
    <w:rsid w:val="004E6A32"/>
    <w:rsid w:val="004E6CF7"/>
    <w:rsid w:val="004E6DBD"/>
    <w:rsid w:val="004E708D"/>
    <w:rsid w:val="004F0A0B"/>
    <w:rsid w:val="004F10BA"/>
    <w:rsid w:val="004F14C0"/>
    <w:rsid w:val="004F67FE"/>
    <w:rsid w:val="004F68D9"/>
    <w:rsid w:val="00500001"/>
    <w:rsid w:val="00502C65"/>
    <w:rsid w:val="00502E68"/>
    <w:rsid w:val="00503611"/>
    <w:rsid w:val="005046E8"/>
    <w:rsid w:val="00504BDE"/>
    <w:rsid w:val="00506BDF"/>
    <w:rsid w:val="00506F46"/>
    <w:rsid w:val="00507FAF"/>
    <w:rsid w:val="00510B2B"/>
    <w:rsid w:val="00511B85"/>
    <w:rsid w:val="005121D7"/>
    <w:rsid w:val="00513818"/>
    <w:rsid w:val="005142AF"/>
    <w:rsid w:val="00515034"/>
    <w:rsid w:val="00515457"/>
    <w:rsid w:val="00516738"/>
    <w:rsid w:val="00516D15"/>
    <w:rsid w:val="00517205"/>
    <w:rsid w:val="00520987"/>
    <w:rsid w:val="00520AF5"/>
    <w:rsid w:val="005226CA"/>
    <w:rsid w:val="00523893"/>
    <w:rsid w:val="00523DC6"/>
    <w:rsid w:val="00523DD6"/>
    <w:rsid w:val="00523FCC"/>
    <w:rsid w:val="00524055"/>
    <w:rsid w:val="00524235"/>
    <w:rsid w:val="00524F12"/>
    <w:rsid w:val="00527532"/>
    <w:rsid w:val="00527EF5"/>
    <w:rsid w:val="0053029D"/>
    <w:rsid w:val="00530D0F"/>
    <w:rsid w:val="00531129"/>
    <w:rsid w:val="00531CC6"/>
    <w:rsid w:val="00532137"/>
    <w:rsid w:val="0053248A"/>
    <w:rsid w:val="00534E96"/>
    <w:rsid w:val="0053547E"/>
    <w:rsid w:val="00535B02"/>
    <w:rsid w:val="00535D36"/>
    <w:rsid w:val="0053668C"/>
    <w:rsid w:val="00536B00"/>
    <w:rsid w:val="00537AEB"/>
    <w:rsid w:val="00537B5D"/>
    <w:rsid w:val="00540633"/>
    <w:rsid w:val="00540A81"/>
    <w:rsid w:val="00542487"/>
    <w:rsid w:val="00542E52"/>
    <w:rsid w:val="00543424"/>
    <w:rsid w:val="005454EF"/>
    <w:rsid w:val="0054586A"/>
    <w:rsid w:val="00546BD7"/>
    <w:rsid w:val="005472DC"/>
    <w:rsid w:val="00551085"/>
    <w:rsid w:val="005514AF"/>
    <w:rsid w:val="00551AAE"/>
    <w:rsid w:val="00552B0A"/>
    <w:rsid w:val="00552D1D"/>
    <w:rsid w:val="0055438A"/>
    <w:rsid w:val="00555721"/>
    <w:rsid w:val="00556772"/>
    <w:rsid w:val="005569DB"/>
    <w:rsid w:val="00556A5F"/>
    <w:rsid w:val="005577B3"/>
    <w:rsid w:val="0056033B"/>
    <w:rsid w:val="0056237F"/>
    <w:rsid w:val="005623BA"/>
    <w:rsid w:val="0056303F"/>
    <w:rsid w:val="00565873"/>
    <w:rsid w:val="005659A4"/>
    <w:rsid w:val="005713A7"/>
    <w:rsid w:val="00573008"/>
    <w:rsid w:val="00573032"/>
    <w:rsid w:val="00573BCB"/>
    <w:rsid w:val="0057452B"/>
    <w:rsid w:val="0057530A"/>
    <w:rsid w:val="00576DB9"/>
    <w:rsid w:val="00576DC2"/>
    <w:rsid w:val="005775E3"/>
    <w:rsid w:val="005778F1"/>
    <w:rsid w:val="0057795F"/>
    <w:rsid w:val="0058045C"/>
    <w:rsid w:val="005810EF"/>
    <w:rsid w:val="00581FA5"/>
    <w:rsid w:val="00582810"/>
    <w:rsid w:val="00582B93"/>
    <w:rsid w:val="00583BA4"/>
    <w:rsid w:val="005869B1"/>
    <w:rsid w:val="0058726C"/>
    <w:rsid w:val="00587698"/>
    <w:rsid w:val="005879DC"/>
    <w:rsid w:val="0059173E"/>
    <w:rsid w:val="00591D57"/>
    <w:rsid w:val="00592E9F"/>
    <w:rsid w:val="00593C69"/>
    <w:rsid w:val="005941D9"/>
    <w:rsid w:val="00594A27"/>
    <w:rsid w:val="0059503D"/>
    <w:rsid w:val="00595528"/>
    <w:rsid w:val="00595540"/>
    <w:rsid w:val="00596EAA"/>
    <w:rsid w:val="0059743D"/>
    <w:rsid w:val="005A10F6"/>
    <w:rsid w:val="005A17C4"/>
    <w:rsid w:val="005A2CB1"/>
    <w:rsid w:val="005A2ED3"/>
    <w:rsid w:val="005A309F"/>
    <w:rsid w:val="005A47FD"/>
    <w:rsid w:val="005A57A8"/>
    <w:rsid w:val="005A6621"/>
    <w:rsid w:val="005A6CDC"/>
    <w:rsid w:val="005A6E5B"/>
    <w:rsid w:val="005A74E9"/>
    <w:rsid w:val="005B05BE"/>
    <w:rsid w:val="005B085F"/>
    <w:rsid w:val="005B25B7"/>
    <w:rsid w:val="005B44D4"/>
    <w:rsid w:val="005B5FA6"/>
    <w:rsid w:val="005B710D"/>
    <w:rsid w:val="005C17E4"/>
    <w:rsid w:val="005C211B"/>
    <w:rsid w:val="005C2895"/>
    <w:rsid w:val="005C35CB"/>
    <w:rsid w:val="005C37D4"/>
    <w:rsid w:val="005C3A3C"/>
    <w:rsid w:val="005C4F36"/>
    <w:rsid w:val="005C53E6"/>
    <w:rsid w:val="005C5453"/>
    <w:rsid w:val="005C6DD8"/>
    <w:rsid w:val="005C6EA8"/>
    <w:rsid w:val="005C6F65"/>
    <w:rsid w:val="005C7A72"/>
    <w:rsid w:val="005D039F"/>
    <w:rsid w:val="005D1669"/>
    <w:rsid w:val="005D1974"/>
    <w:rsid w:val="005D1D03"/>
    <w:rsid w:val="005D1F0F"/>
    <w:rsid w:val="005D27D7"/>
    <w:rsid w:val="005D282D"/>
    <w:rsid w:val="005D2837"/>
    <w:rsid w:val="005D2E50"/>
    <w:rsid w:val="005D3221"/>
    <w:rsid w:val="005D3CA1"/>
    <w:rsid w:val="005D3E18"/>
    <w:rsid w:val="005D4AC2"/>
    <w:rsid w:val="005D56E3"/>
    <w:rsid w:val="005D597B"/>
    <w:rsid w:val="005D5DBB"/>
    <w:rsid w:val="005D6832"/>
    <w:rsid w:val="005D6B17"/>
    <w:rsid w:val="005E05A8"/>
    <w:rsid w:val="005E0B89"/>
    <w:rsid w:val="005E0C35"/>
    <w:rsid w:val="005E11F7"/>
    <w:rsid w:val="005E138C"/>
    <w:rsid w:val="005E1637"/>
    <w:rsid w:val="005E16C7"/>
    <w:rsid w:val="005E1894"/>
    <w:rsid w:val="005E1E81"/>
    <w:rsid w:val="005E296F"/>
    <w:rsid w:val="005E37F8"/>
    <w:rsid w:val="005E3E59"/>
    <w:rsid w:val="005E4261"/>
    <w:rsid w:val="005E4546"/>
    <w:rsid w:val="005E4EDD"/>
    <w:rsid w:val="005E633A"/>
    <w:rsid w:val="005F0A7A"/>
    <w:rsid w:val="005F2DCC"/>
    <w:rsid w:val="005F54FC"/>
    <w:rsid w:val="005F5B18"/>
    <w:rsid w:val="005F6661"/>
    <w:rsid w:val="006000F9"/>
    <w:rsid w:val="006006B6"/>
    <w:rsid w:val="00601E87"/>
    <w:rsid w:val="006027D8"/>
    <w:rsid w:val="006038CC"/>
    <w:rsid w:val="00604671"/>
    <w:rsid w:val="0060473D"/>
    <w:rsid w:val="00605FF6"/>
    <w:rsid w:val="006069D7"/>
    <w:rsid w:val="006073B1"/>
    <w:rsid w:val="00610F5C"/>
    <w:rsid w:val="00611F0E"/>
    <w:rsid w:val="006131B6"/>
    <w:rsid w:val="00613BAA"/>
    <w:rsid w:val="00616C49"/>
    <w:rsid w:val="006204EA"/>
    <w:rsid w:val="0062143A"/>
    <w:rsid w:val="00621612"/>
    <w:rsid w:val="00622B7F"/>
    <w:rsid w:val="00623D18"/>
    <w:rsid w:val="00623FC7"/>
    <w:rsid w:val="006240EF"/>
    <w:rsid w:val="00624EC5"/>
    <w:rsid w:val="006258A2"/>
    <w:rsid w:val="006269B3"/>
    <w:rsid w:val="00626CEE"/>
    <w:rsid w:val="00630697"/>
    <w:rsid w:val="006311B7"/>
    <w:rsid w:val="00631466"/>
    <w:rsid w:val="006314AF"/>
    <w:rsid w:val="00631550"/>
    <w:rsid w:val="00631619"/>
    <w:rsid w:val="00632316"/>
    <w:rsid w:val="006326DD"/>
    <w:rsid w:val="0063294F"/>
    <w:rsid w:val="00634607"/>
    <w:rsid w:val="00636E82"/>
    <w:rsid w:val="00637E68"/>
    <w:rsid w:val="00640492"/>
    <w:rsid w:val="006405AA"/>
    <w:rsid w:val="006412D2"/>
    <w:rsid w:val="0064163A"/>
    <w:rsid w:val="006417E1"/>
    <w:rsid w:val="006422A0"/>
    <w:rsid w:val="00643C8B"/>
    <w:rsid w:val="006443F6"/>
    <w:rsid w:val="006445DE"/>
    <w:rsid w:val="0064596A"/>
    <w:rsid w:val="006470F4"/>
    <w:rsid w:val="00650DF6"/>
    <w:rsid w:val="00651299"/>
    <w:rsid w:val="006519E3"/>
    <w:rsid w:val="0065224D"/>
    <w:rsid w:val="006530FE"/>
    <w:rsid w:val="00653CE1"/>
    <w:rsid w:val="006546EB"/>
    <w:rsid w:val="00654DC8"/>
    <w:rsid w:val="006571AC"/>
    <w:rsid w:val="00660305"/>
    <w:rsid w:val="00662012"/>
    <w:rsid w:val="00662480"/>
    <w:rsid w:val="00662775"/>
    <w:rsid w:val="00662DB8"/>
    <w:rsid w:val="0066329D"/>
    <w:rsid w:val="00663424"/>
    <w:rsid w:val="00663902"/>
    <w:rsid w:val="00664E47"/>
    <w:rsid w:val="0066504C"/>
    <w:rsid w:val="006654AB"/>
    <w:rsid w:val="006674FD"/>
    <w:rsid w:val="00667587"/>
    <w:rsid w:val="00667A91"/>
    <w:rsid w:val="00667D32"/>
    <w:rsid w:val="00670680"/>
    <w:rsid w:val="00671242"/>
    <w:rsid w:val="00671F08"/>
    <w:rsid w:val="00672A6F"/>
    <w:rsid w:val="006734A3"/>
    <w:rsid w:val="00673775"/>
    <w:rsid w:val="0067390C"/>
    <w:rsid w:val="00673D25"/>
    <w:rsid w:val="00674832"/>
    <w:rsid w:val="00674DC4"/>
    <w:rsid w:val="00674EA1"/>
    <w:rsid w:val="00676DD4"/>
    <w:rsid w:val="00680051"/>
    <w:rsid w:val="0068043E"/>
    <w:rsid w:val="006811E5"/>
    <w:rsid w:val="006818F4"/>
    <w:rsid w:val="006825D3"/>
    <w:rsid w:val="00682821"/>
    <w:rsid w:val="006836C0"/>
    <w:rsid w:val="0068460E"/>
    <w:rsid w:val="00684807"/>
    <w:rsid w:val="00684FF3"/>
    <w:rsid w:val="00686745"/>
    <w:rsid w:val="00686B6E"/>
    <w:rsid w:val="00686BF2"/>
    <w:rsid w:val="00686D5E"/>
    <w:rsid w:val="00690896"/>
    <w:rsid w:val="00690A0B"/>
    <w:rsid w:val="00690D54"/>
    <w:rsid w:val="0069134F"/>
    <w:rsid w:val="00691D3F"/>
    <w:rsid w:val="00692393"/>
    <w:rsid w:val="006930FD"/>
    <w:rsid w:val="006938DE"/>
    <w:rsid w:val="00693AF5"/>
    <w:rsid w:val="00694763"/>
    <w:rsid w:val="00694AA8"/>
    <w:rsid w:val="00695269"/>
    <w:rsid w:val="006979B3"/>
    <w:rsid w:val="006A1D26"/>
    <w:rsid w:val="006A2C29"/>
    <w:rsid w:val="006A38D3"/>
    <w:rsid w:val="006A40EA"/>
    <w:rsid w:val="006A448D"/>
    <w:rsid w:val="006A4BC2"/>
    <w:rsid w:val="006A722E"/>
    <w:rsid w:val="006A761C"/>
    <w:rsid w:val="006A7945"/>
    <w:rsid w:val="006B15B2"/>
    <w:rsid w:val="006B1AA1"/>
    <w:rsid w:val="006B2571"/>
    <w:rsid w:val="006B3DB7"/>
    <w:rsid w:val="006B41B1"/>
    <w:rsid w:val="006B467A"/>
    <w:rsid w:val="006B604B"/>
    <w:rsid w:val="006B612E"/>
    <w:rsid w:val="006B69D1"/>
    <w:rsid w:val="006B7CB1"/>
    <w:rsid w:val="006C077F"/>
    <w:rsid w:val="006C158E"/>
    <w:rsid w:val="006C1B63"/>
    <w:rsid w:val="006C1D1E"/>
    <w:rsid w:val="006C1E3A"/>
    <w:rsid w:val="006C20EE"/>
    <w:rsid w:val="006C31D5"/>
    <w:rsid w:val="006C3294"/>
    <w:rsid w:val="006C5ECA"/>
    <w:rsid w:val="006C662D"/>
    <w:rsid w:val="006D0ECC"/>
    <w:rsid w:val="006D103E"/>
    <w:rsid w:val="006D1AE4"/>
    <w:rsid w:val="006D1D2D"/>
    <w:rsid w:val="006D2D99"/>
    <w:rsid w:val="006D48B8"/>
    <w:rsid w:val="006D5073"/>
    <w:rsid w:val="006D680B"/>
    <w:rsid w:val="006D6CD4"/>
    <w:rsid w:val="006D6F88"/>
    <w:rsid w:val="006E03A9"/>
    <w:rsid w:val="006E0790"/>
    <w:rsid w:val="006E35DC"/>
    <w:rsid w:val="006E390F"/>
    <w:rsid w:val="006E3E8C"/>
    <w:rsid w:val="006E43B1"/>
    <w:rsid w:val="006E484C"/>
    <w:rsid w:val="006E65E8"/>
    <w:rsid w:val="006E6E74"/>
    <w:rsid w:val="006E75D0"/>
    <w:rsid w:val="006F1176"/>
    <w:rsid w:val="006F232A"/>
    <w:rsid w:val="006F3426"/>
    <w:rsid w:val="006F3A14"/>
    <w:rsid w:val="006F3B72"/>
    <w:rsid w:val="006F3DD5"/>
    <w:rsid w:val="006F7B3F"/>
    <w:rsid w:val="006F7EFE"/>
    <w:rsid w:val="007009A3"/>
    <w:rsid w:val="00702DC2"/>
    <w:rsid w:val="00702F3D"/>
    <w:rsid w:val="00705531"/>
    <w:rsid w:val="00707136"/>
    <w:rsid w:val="00710390"/>
    <w:rsid w:val="00710D8D"/>
    <w:rsid w:val="007114E4"/>
    <w:rsid w:val="007115C6"/>
    <w:rsid w:val="007117E3"/>
    <w:rsid w:val="0071228C"/>
    <w:rsid w:val="007133AD"/>
    <w:rsid w:val="00713F50"/>
    <w:rsid w:val="007147AD"/>
    <w:rsid w:val="00715741"/>
    <w:rsid w:val="00716330"/>
    <w:rsid w:val="007169A9"/>
    <w:rsid w:val="00716B22"/>
    <w:rsid w:val="007170DC"/>
    <w:rsid w:val="00717390"/>
    <w:rsid w:val="0072013E"/>
    <w:rsid w:val="00720F54"/>
    <w:rsid w:val="007225D5"/>
    <w:rsid w:val="007228FD"/>
    <w:rsid w:val="00723071"/>
    <w:rsid w:val="00723BF5"/>
    <w:rsid w:val="007247A2"/>
    <w:rsid w:val="00724B2B"/>
    <w:rsid w:val="007251E5"/>
    <w:rsid w:val="00725411"/>
    <w:rsid w:val="007254D9"/>
    <w:rsid w:val="00725C97"/>
    <w:rsid w:val="00727453"/>
    <w:rsid w:val="007278B8"/>
    <w:rsid w:val="0073021B"/>
    <w:rsid w:val="00730558"/>
    <w:rsid w:val="00730DF2"/>
    <w:rsid w:val="00731038"/>
    <w:rsid w:val="00731173"/>
    <w:rsid w:val="007316FC"/>
    <w:rsid w:val="00731DBA"/>
    <w:rsid w:val="00732A71"/>
    <w:rsid w:val="00733DFE"/>
    <w:rsid w:val="007350F9"/>
    <w:rsid w:val="007358B3"/>
    <w:rsid w:val="00735EA3"/>
    <w:rsid w:val="00736A58"/>
    <w:rsid w:val="00736EA3"/>
    <w:rsid w:val="0074162A"/>
    <w:rsid w:val="007416FE"/>
    <w:rsid w:val="00742143"/>
    <w:rsid w:val="00743E5B"/>
    <w:rsid w:val="0074677A"/>
    <w:rsid w:val="00747A6C"/>
    <w:rsid w:val="00747DAF"/>
    <w:rsid w:val="007510FB"/>
    <w:rsid w:val="00751547"/>
    <w:rsid w:val="00751723"/>
    <w:rsid w:val="007518FB"/>
    <w:rsid w:val="00751FE0"/>
    <w:rsid w:val="007541E4"/>
    <w:rsid w:val="00754CC0"/>
    <w:rsid w:val="0075582D"/>
    <w:rsid w:val="00755919"/>
    <w:rsid w:val="00756E12"/>
    <w:rsid w:val="0075778A"/>
    <w:rsid w:val="007578F4"/>
    <w:rsid w:val="00757C88"/>
    <w:rsid w:val="0076083A"/>
    <w:rsid w:val="0076163B"/>
    <w:rsid w:val="0076188D"/>
    <w:rsid w:val="007665AD"/>
    <w:rsid w:val="0076660F"/>
    <w:rsid w:val="007667C7"/>
    <w:rsid w:val="007703AC"/>
    <w:rsid w:val="00770A97"/>
    <w:rsid w:val="0077192E"/>
    <w:rsid w:val="00771AEC"/>
    <w:rsid w:val="00771DB1"/>
    <w:rsid w:val="00773721"/>
    <w:rsid w:val="00773DC9"/>
    <w:rsid w:val="007741B0"/>
    <w:rsid w:val="0077425E"/>
    <w:rsid w:val="00774BE5"/>
    <w:rsid w:val="00775052"/>
    <w:rsid w:val="0077564C"/>
    <w:rsid w:val="00776311"/>
    <w:rsid w:val="007767F8"/>
    <w:rsid w:val="00777639"/>
    <w:rsid w:val="00777789"/>
    <w:rsid w:val="00777C83"/>
    <w:rsid w:val="00777F0A"/>
    <w:rsid w:val="007808A2"/>
    <w:rsid w:val="00780ADB"/>
    <w:rsid w:val="00780B31"/>
    <w:rsid w:val="00780B8E"/>
    <w:rsid w:val="00780E2A"/>
    <w:rsid w:val="00781E61"/>
    <w:rsid w:val="00781EF4"/>
    <w:rsid w:val="00781F4C"/>
    <w:rsid w:val="00781FE6"/>
    <w:rsid w:val="007823C0"/>
    <w:rsid w:val="00782F18"/>
    <w:rsid w:val="00782FBD"/>
    <w:rsid w:val="00783146"/>
    <w:rsid w:val="00783382"/>
    <w:rsid w:val="00783530"/>
    <w:rsid w:val="00783FE2"/>
    <w:rsid w:val="00786DF4"/>
    <w:rsid w:val="007875BE"/>
    <w:rsid w:val="00790680"/>
    <w:rsid w:val="00790D37"/>
    <w:rsid w:val="007928E0"/>
    <w:rsid w:val="00793235"/>
    <w:rsid w:val="00793BC6"/>
    <w:rsid w:val="00793F96"/>
    <w:rsid w:val="0079400A"/>
    <w:rsid w:val="00794D3D"/>
    <w:rsid w:val="00796170"/>
    <w:rsid w:val="00796585"/>
    <w:rsid w:val="0079670C"/>
    <w:rsid w:val="007971A3"/>
    <w:rsid w:val="0079782F"/>
    <w:rsid w:val="00797886"/>
    <w:rsid w:val="00797AD6"/>
    <w:rsid w:val="00797F30"/>
    <w:rsid w:val="00797FD8"/>
    <w:rsid w:val="007A09FE"/>
    <w:rsid w:val="007A2EA9"/>
    <w:rsid w:val="007A3FAD"/>
    <w:rsid w:val="007A4ADE"/>
    <w:rsid w:val="007A6516"/>
    <w:rsid w:val="007A69EE"/>
    <w:rsid w:val="007A70C4"/>
    <w:rsid w:val="007A73B7"/>
    <w:rsid w:val="007A7E61"/>
    <w:rsid w:val="007B053B"/>
    <w:rsid w:val="007B05F3"/>
    <w:rsid w:val="007B1A9E"/>
    <w:rsid w:val="007B2170"/>
    <w:rsid w:val="007B3993"/>
    <w:rsid w:val="007B5F27"/>
    <w:rsid w:val="007B6AA6"/>
    <w:rsid w:val="007C11A8"/>
    <w:rsid w:val="007C1785"/>
    <w:rsid w:val="007C220E"/>
    <w:rsid w:val="007C2A04"/>
    <w:rsid w:val="007C36D6"/>
    <w:rsid w:val="007C3942"/>
    <w:rsid w:val="007C5E2C"/>
    <w:rsid w:val="007D0085"/>
    <w:rsid w:val="007D00AB"/>
    <w:rsid w:val="007D0180"/>
    <w:rsid w:val="007D0861"/>
    <w:rsid w:val="007D24C6"/>
    <w:rsid w:val="007D2ACE"/>
    <w:rsid w:val="007D2D99"/>
    <w:rsid w:val="007D2FB7"/>
    <w:rsid w:val="007D4844"/>
    <w:rsid w:val="007D492D"/>
    <w:rsid w:val="007D6B1F"/>
    <w:rsid w:val="007D72A7"/>
    <w:rsid w:val="007D7C65"/>
    <w:rsid w:val="007E010B"/>
    <w:rsid w:val="007E08C5"/>
    <w:rsid w:val="007E09EB"/>
    <w:rsid w:val="007E10DC"/>
    <w:rsid w:val="007E1888"/>
    <w:rsid w:val="007E25A1"/>
    <w:rsid w:val="007E299C"/>
    <w:rsid w:val="007E4C34"/>
    <w:rsid w:val="007E6ADC"/>
    <w:rsid w:val="007E6EE2"/>
    <w:rsid w:val="007E7801"/>
    <w:rsid w:val="007E7EE0"/>
    <w:rsid w:val="007F01F0"/>
    <w:rsid w:val="007F375E"/>
    <w:rsid w:val="007F47C3"/>
    <w:rsid w:val="007F4E9D"/>
    <w:rsid w:val="007F4EF1"/>
    <w:rsid w:val="007F5044"/>
    <w:rsid w:val="007F5E12"/>
    <w:rsid w:val="007F7272"/>
    <w:rsid w:val="0080292B"/>
    <w:rsid w:val="00802FC2"/>
    <w:rsid w:val="008043E4"/>
    <w:rsid w:val="008045A9"/>
    <w:rsid w:val="008058FC"/>
    <w:rsid w:val="00805FF7"/>
    <w:rsid w:val="0080635E"/>
    <w:rsid w:val="00811B30"/>
    <w:rsid w:val="008121B0"/>
    <w:rsid w:val="008125EC"/>
    <w:rsid w:val="00815008"/>
    <w:rsid w:val="00816750"/>
    <w:rsid w:val="00816B81"/>
    <w:rsid w:val="00816F94"/>
    <w:rsid w:val="00817C15"/>
    <w:rsid w:val="008211B3"/>
    <w:rsid w:val="008232C8"/>
    <w:rsid w:val="00823BE8"/>
    <w:rsid w:val="00823C92"/>
    <w:rsid w:val="00823DD0"/>
    <w:rsid w:val="00823E81"/>
    <w:rsid w:val="008241F8"/>
    <w:rsid w:val="008245BD"/>
    <w:rsid w:val="008249EA"/>
    <w:rsid w:val="00825476"/>
    <w:rsid w:val="008265B6"/>
    <w:rsid w:val="00826ED3"/>
    <w:rsid w:val="008276CA"/>
    <w:rsid w:val="008277B9"/>
    <w:rsid w:val="00830829"/>
    <w:rsid w:val="00831B96"/>
    <w:rsid w:val="008342D8"/>
    <w:rsid w:val="008344F0"/>
    <w:rsid w:val="008350B3"/>
    <w:rsid w:val="0083562D"/>
    <w:rsid w:val="008366CC"/>
    <w:rsid w:val="00840C05"/>
    <w:rsid w:val="00840FDE"/>
    <w:rsid w:val="008421B0"/>
    <w:rsid w:val="00843431"/>
    <w:rsid w:val="00843E73"/>
    <w:rsid w:val="008440E7"/>
    <w:rsid w:val="008457C2"/>
    <w:rsid w:val="00845EEA"/>
    <w:rsid w:val="0084652B"/>
    <w:rsid w:val="00846795"/>
    <w:rsid w:val="0084689C"/>
    <w:rsid w:val="00846C88"/>
    <w:rsid w:val="0084710A"/>
    <w:rsid w:val="00847155"/>
    <w:rsid w:val="0084742E"/>
    <w:rsid w:val="008479D1"/>
    <w:rsid w:val="00847D1B"/>
    <w:rsid w:val="0085062A"/>
    <w:rsid w:val="00853CC9"/>
    <w:rsid w:val="00854215"/>
    <w:rsid w:val="00854716"/>
    <w:rsid w:val="00854F87"/>
    <w:rsid w:val="00855254"/>
    <w:rsid w:val="00855D07"/>
    <w:rsid w:val="00855D9B"/>
    <w:rsid w:val="00856AB6"/>
    <w:rsid w:val="00860006"/>
    <w:rsid w:val="0086030D"/>
    <w:rsid w:val="00862383"/>
    <w:rsid w:val="00862A2F"/>
    <w:rsid w:val="00863648"/>
    <w:rsid w:val="00863E61"/>
    <w:rsid w:val="008647DB"/>
    <w:rsid w:val="008677A7"/>
    <w:rsid w:val="0087078A"/>
    <w:rsid w:val="00870A8A"/>
    <w:rsid w:val="00870E2A"/>
    <w:rsid w:val="0087109D"/>
    <w:rsid w:val="00871144"/>
    <w:rsid w:val="00871908"/>
    <w:rsid w:val="008724A1"/>
    <w:rsid w:val="008731C2"/>
    <w:rsid w:val="008747EB"/>
    <w:rsid w:val="00875F52"/>
    <w:rsid w:val="00877254"/>
    <w:rsid w:val="0087728E"/>
    <w:rsid w:val="008803FC"/>
    <w:rsid w:val="00880943"/>
    <w:rsid w:val="00880C33"/>
    <w:rsid w:val="00881891"/>
    <w:rsid w:val="00882514"/>
    <w:rsid w:val="00883901"/>
    <w:rsid w:val="00884086"/>
    <w:rsid w:val="00884105"/>
    <w:rsid w:val="00884ACA"/>
    <w:rsid w:val="0088519F"/>
    <w:rsid w:val="008857F4"/>
    <w:rsid w:val="00886EA1"/>
    <w:rsid w:val="00887BDB"/>
    <w:rsid w:val="008905FA"/>
    <w:rsid w:val="0089257C"/>
    <w:rsid w:val="008934CF"/>
    <w:rsid w:val="00893657"/>
    <w:rsid w:val="00893B59"/>
    <w:rsid w:val="008940A5"/>
    <w:rsid w:val="0089412A"/>
    <w:rsid w:val="0089465E"/>
    <w:rsid w:val="00895028"/>
    <w:rsid w:val="008953A0"/>
    <w:rsid w:val="00897C22"/>
    <w:rsid w:val="008A0133"/>
    <w:rsid w:val="008A0516"/>
    <w:rsid w:val="008A05BD"/>
    <w:rsid w:val="008A0887"/>
    <w:rsid w:val="008A166C"/>
    <w:rsid w:val="008A1CFA"/>
    <w:rsid w:val="008A4C2B"/>
    <w:rsid w:val="008A6979"/>
    <w:rsid w:val="008A7721"/>
    <w:rsid w:val="008A7F85"/>
    <w:rsid w:val="008B30C7"/>
    <w:rsid w:val="008B36E6"/>
    <w:rsid w:val="008B4088"/>
    <w:rsid w:val="008B40E3"/>
    <w:rsid w:val="008B4581"/>
    <w:rsid w:val="008B4C85"/>
    <w:rsid w:val="008B6BC8"/>
    <w:rsid w:val="008B7260"/>
    <w:rsid w:val="008B788A"/>
    <w:rsid w:val="008C049B"/>
    <w:rsid w:val="008C1464"/>
    <w:rsid w:val="008C1DF9"/>
    <w:rsid w:val="008C1F74"/>
    <w:rsid w:val="008C1FC5"/>
    <w:rsid w:val="008C33C4"/>
    <w:rsid w:val="008C3418"/>
    <w:rsid w:val="008C41B7"/>
    <w:rsid w:val="008C5D53"/>
    <w:rsid w:val="008C6F3D"/>
    <w:rsid w:val="008D0444"/>
    <w:rsid w:val="008D062D"/>
    <w:rsid w:val="008D115B"/>
    <w:rsid w:val="008D1DFC"/>
    <w:rsid w:val="008D3A77"/>
    <w:rsid w:val="008D3AC6"/>
    <w:rsid w:val="008D4508"/>
    <w:rsid w:val="008D4CFD"/>
    <w:rsid w:val="008D603F"/>
    <w:rsid w:val="008D65B1"/>
    <w:rsid w:val="008D6D82"/>
    <w:rsid w:val="008D7F7C"/>
    <w:rsid w:val="008E18E0"/>
    <w:rsid w:val="008E2694"/>
    <w:rsid w:val="008E27DA"/>
    <w:rsid w:val="008E37CB"/>
    <w:rsid w:val="008E3E2F"/>
    <w:rsid w:val="008E5967"/>
    <w:rsid w:val="008E6037"/>
    <w:rsid w:val="008E78F2"/>
    <w:rsid w:val="008F079D"/>
    <w:rsid w:val="008F0CBC"/>
    <w:rsid w:val="008F22C7"/>
    <w:rsid w:val="008F2506"/>
    <w:rsid w:val="008F3329"/>
    <w:rsid w:val="008F5B8A"/>
    <w:rsid w:val="008F6145"/>
    <w:rsid w:val="008F739D"/>
    <w:rsid w:val="00901019"/>
    <w:rsid w:val="00901184"/>
    <w:rsid w:val="00902565"/>
    <w:rsid w:val="00902F16"/>
    <w:rsid w:val="00904A48"/>
    <w:rsid w:val="00905051"/>
    <w:rsid w:val="00905C2A"/>
    <w:rsid w:val="0090629D"/>
    <w:rsid w:val="00906446"/>
    <w:rsid w:val="0090742E"/>
    <w:rsid w:val="009112AB"/>
    <w:rsid w:val="00911F87"/>
    <w:rsid w:val="009128E5"/>
    <w:rsid w:val="009143ED"/>
    <w:rsid w:val="0091470D"/>
    <w:rsid w:val="009147C5"/>
    <w:rsid w:val="009173F6"/>
    <w:rsid w:val="009204E9"/>
    <w:rsid w:val="00920CF4"/>
    <w:rsid w:val="00921BE0"/>
    <w:rsid w:val="00922AC0"/>
    <w:rsid w:val="00922B37"/>
    <w:rsid w:val="00922D8F"/>
    <w:rsid w:val="00922E8B"/>
    <w:rsid w:val="00924137"/>
    <w:rsid w:val="009266DE"/>
    <w:rsid w:val="00926A18"/>
    <w:rsid w:val="00927640"/>
    <w:rsid w:val="00931416"/>
    <w:rsid w:val="009314A7"/>
    <w:rsid w:val="009326EA"/>
    <w:rsid w:val="00932E7C"/>
    <w:rsid w:val="009331A2"/>
    <w:rsid w:val="00934549"/>
    <w:rsid w:val="009345B0"/>
    <w:rsid w:val="0093476F"/>
    <w:rsid w:val="00934E15"/>
    <w:rsid w:val="00935859"/>
    <w:rsid w:val="00936342"/>
    <w:rsid w:val="009405A5"/>
    <w:rsid w:val="00940731"/>
    <w:rsid w:val="00941041"/>
    <w:rsid w:val="00941698"/>
    <w:rsid w:val="009418AB"/>
    <w:rsid w:val="00941ACF"/>
    <w:rsid w:val="00941AE5"/>
    <w:rsid w:val="00942A80"/>
    <w:rsid w:val="009431E3"/>
    <w:rsid w:val="009434F0"/>
    <w:rsid w:val="00943574"/>
    <w:rsid w:val="0094597A"/>
    <w:rsid w:val="0094629E"/>
    <w:rsid w:val="00946547"/>
    <w:rsid w:val="00947A53"/>
    <w:rsid w:val="00950FFD"/>
    <w:rsid w:val="00951750"/>
    <w:rsid w:val="0095192D"/>
    <w:rsid w:val="00951EBA"/>
    <w:rsid w:val="00951FE8"/>
    <w:rsid w:val="0095237B"/>
    <w:rsid w:val="0095241D"/>
    <w:rsid w:val="009527E3"/>
    <w:rsid w:val="00952DAA"/>
    <w:rsid w:val="00952F64"/>
    <w:rsid w:val="00952FD2"/>
    <w:rsid w:val="009537C3"/>
    <w:rsid w:val="00954313"/>
    <w:rsid w:val="00954C2C"/>
    <w:rsid w:val="009570CF"/>
    <w:rsid w:val="00957DEF"/>
    <w:rsid w:val="009606FB"/>
    <w:rsid w:val="00962F77"/>
    <w:rsid w:val="009647DD"/>
    <w:rsid w:val="00964A7F"/>
    <w:rsid w:val="00965854"/>
    <w:rsid w:val="0096597F"/>
    <w:rsid w:val="00965DE9"/>
    <w:rsid w:val="00965EB2"/>
    <w:rsid w:val="00965F65"/>
    <w:rsid w:val="009662E6"/>
    <w:rsid w:val="00966795"/>
    <w:rsid w:val="00967500"/>
    <w:rsid w:val="00967D25"/>
    <w:rsid w:val="0097013A"/>
    <w:rsid w:val="00970D01"/>
    <w:rsid w:val="0097104A"/>
    <w:rsid w:val="00971190"/>
    <w:rsid w:val="00972245"/>
    <w:rsid w:val="00976A05"/>
    <w:rsid w:val="00976B7F"/>
    <w:rsid w:val="00977A01"/>
    <w:rsid w:val="009805AF"/>
    <w:rsid w:val="00984210"/>
    <w:rsid w:val="009849D9"/>
    <w:rsid w:val="009853E3"/>
    <w:rsid w:val="009856AE"/>
    <w:rsid w:val="00987061"/>
    <w:rsid w:val="00987B47"/>
    <w:rsid w:val="00990102"/>
    <w:rsid w:val="0099053C"/>
    <w:rsid w:val="00990F44"/>
    <w:rsid w:val="00990FEF"/>
    <w:rsid w:val="0099154A"/>
    <w:rsid w:val="00992E87"/>
    <w:rsid w:val="009933B4"/>
    <w:rsid w:val="009940FB"/>
    <w:rsid w:val="009956AA"/>
    <w:rsid w:val="009957C5"/>
    <w:rsid w:val="0099757A"/>
    <w:rsid w:val="00997BC5"/>
    <w:rsid w:val="009A0FB2"/>
    <w:rsid w:val="009A11B9"/>
    <w:rsid w:val="009A19CE"/>
    <w:rsid w:val="009A200E"/>
    <w:rsid w:val="009A2678"/>
    <w:rsid w:val="009A2972"/>
    <w:rsid w:val="009A2B1B"/>
    <w:rsid w:val="009A2F9F"/>
    <w:rsid w:val="009A2FB8"/>
    <w:rsid w:val="009A3C66"/>
    <w:rsid w:val="009A4234"/>
    <w:rsid w:val="009A5970"/>
    <w:rsid w:val="009B01A6"/>
    <w:rsid w:val="009B040C"/>
    <w:rsid w:val="009B0ABA"/>
    <w:rsid w:val="009B0EDA"/>
    <w:rsid w:val="009B1AE9"/>
    <w:rsid w:val="009B2C6D"/>
    <w:rsid w:val="009B38C3"/>
    <w:rsid w:val="009B3DE5"/>
    <w:rsid w:val="009B5BED"/>
    <w:rsid w:val="009B5CD0"/>
    <w:rsid w:val="009B5F71"/>
    <w:rsid w:val="009C1961"/>
    <w:rsid w:val="009C2985"/>
    <w:rsid w:val="009C3F65"/>
    <w:rsid w:val="009C4B5E"/>
    <w:rsid w:val="009C4E24"/>
    <w:rsid w:val="009C4F0D"/>
    <w:rsid w:val="009C5058"/>
    <w:rsid w:val="009C6498"/>
    <w:rsid w:val="009C6F11"/>
    <w:rsid w:val="009C7820"/>
    <w:rsid w:val="009C7CEF"/>
    <w:rsid w:val="009D3606"/>
    <w:rsid w:val="009D392F"/>
    <w:rsid w:val="009D4140"/>
    <w:rsid w:val="009D640A"/>
    <w:rsid w:val="009D72F2"/>
    <w:rsid w:val="009D7841"/>
    <w:rsid w:val="009D7B18"/>
    <w:rsid w:val="009E0DB3"/>
    <w:rsid w:val="009E0EFE"/>
    <w:rsid w:val="009E177C"/>
    <w:rsid w:val="009E2921"/>
    <w:rsid w:val="009E35B6"/>
    <w:rsid w:val="009E39B1"/>
    <w:rsid w:val="009E48BA"/>
    <w:rsid w:val="009E49D7"/>
    <w:rsid w:val="009E51ED"/>
    <w:rsid w:val="009E530A"/>
    <w:rsid w:val="009E61CC"/>
    <w:rsid w:val="009E7902"/>
    <w:rsid w:val="009F2002"/>
    <w:rsid w:val="009F2FDC"/>
    <w:rsid w:val="009F40BF"/>
    <w:rsid w:val="009F4509"/>
    <w:rsid w:val="009F591F"/>
    <w:rsid w:val="009F5ED3"/>
    <w:rsid w:val="009F67C7"/>
    <w:rsid w:val="00A0117C"/>
    <w:rsid w:val="00A01865"/>
    <w:rsid w:val="00A01B68"/>
    <w:rsid w:val="00A060FD"/>
    <w:rsid w:val="00A07126"/>
    <w:rsid w:val="00A11004"/>
    <w:rsid w:val="00A12E9C"/>
    <w:rsid w:val="00A131EF"/>
    <w:rsid w:val="00A13F87"/>
    <w:rsid w:val="00A14DE0"/>
    <w:rsid w:val="00A174ED"/>
    <w:rsid w:val="00A17856"/>
    <w:rsid w:val="00A200CF"/>
    <w:rsid w:val="00A20696"/>
    <w:rsid w:val="00A23EDD"/>
    <w:rsid w:val="00A24497"/>
    <w:rsid w:val="00A25674"/>
    <w:rsid w:val="00A26D24"/>
    <w:rsid w:val="00A27185"/>
    <w:rsid w:val="00A27730"/>
    <w:rsid w:val="00A30689"/>
    <w:rsid w:val="00A30EFB"/>
    <w:rsid w:val="00A30FBF"/>
    <w:rsid w:val="00A364A0"/>
    <w:rsid w:val="00A36927"/>
    <w:rsid w:val="00A371FF"/>
    <w:rsid w:val="00A40AFE"/>
    <w:rsid w:val="00A41E49"/>
    <w:rsid w:val="00A4371F"/>
    <w:rsid w:val="00A45B72"/>
    <w:rsid w:val="00A45CB9"/>
    <w:rsid w:val="00A4667D"/>
    <w:rsid w:val="00A4684F"/>
    <w:rsid w:val="00A46BF3"/>
    <w:rsid w:val="00A47BC2"/>
    <w:rsid w:val="00A50267"/>
    <w:rsid w:val="00A510D9"/>
    <w:rsid w:val="00A519BB"/>
    <w:rsid w:val="00A521EB"/>
    <w:rsid w:val="00A52D43"/>
    <w:rsid w:val="00A53097"/>
    <w:rsid w:val="00A534A3"/>
    <w:rsid w:val="00A538E2"/>
    <w:rsid w:val="00A565C7"/>
    <w:rsid w:val="00A57D0D"/>
    <w:rsid w:val="00A60D3E"/>
    <w:rsid w:val="00A6170C"/>
    <w:rsid w:val="00A6196F"/>
    <w:rsid w:val="00A6292A"/>
    <w:rsid w:val="00A62A54"/>
    <w:rsid w:val="00A63E93"/>
    <w:rsid w:val="00A6470C"/>
    <w:rsid w:val="00A671E8"/>
    <w:rsid w:val="00A700FC"/>
    <w:rsid w:val="00A70475"/>
    <w:rsid w:val="00A707BD"/>
    <w:rsid w:val="00A71494"/>
    <w:rsid w:val="00A715B5"/>
    <w:rsid w:val="00A75C3D"/>
    <w:rsid w:val="00A761ED"/>
    <w:rsid w:val="00A77AD8"/>
    <w:rsid w:val="00A77C64"/>
    <w:rsid w:val="00A80194"/>
    <w:rsid w:val="00A81374"/>
    <w:rsid w:val="00A81EAA"/>
    <w:rsid w:val="00A84206"/>
    <w:rsid w:val="00A84A14"/>
    <w:rsid w:val="00A84BE6"/>
    <w:rsid w:val="00A8521C"/>
    <w:rsid w:val="00A92437"/>
    <w:rsid w:val="00A9281E"/>
    <w:rsid w:val="00A92A92"/>
    <w:rsid w:val="00A92CEC"/>
    <w:rsid w:val="00A933B1"/>
    <w:rsid w:val="00A942B8"/>
    <w:rsid w:val="00A94721"/>
    <w:rsid w:val="00A947D6"/>
    <w:rsid w:val="00A94F13"/>
    <w:rsid w:val="00A96875"/>
    <w:rsid w:val="00A96D28"/>
    <w:rsid w:val="00AA0067"/>
    <w:rsid w:val="00AA0290"/>
    <w:rsid w:val="00AA0600"/>
    <w:rsid w:val="00AA1721"/>
    <w:rsid w:val="00AA2250"/>
    <w:rsid w:val="00AA225C"/>
    <w:rsid w:val="00AA320A"/>
    <w:rsid w:val="00AA3615"/>
    <w:rsid w:val="00AA3A39"/>
    <w:rsid w:val="00AA4530"/>
    <w:rsid w:val="00AA4779"/>
    <w:rsid w:val="00AA4E33"/>
    <w:rsid w:val="00AA6A58"/>
    <w:rsid w:val="00AA6F1C"/>
    <w:rsid w:val="00AB09B4"/>
    <w:rsid w:val="00AB18B4"/>
    <w:rsid w:val="00AB3433"/>
    <w:rsid w:val="00AB34C6"/>
    <w:rsid w:val="00AB4EA2"/>
    <w:rsid w:val="00AB5915"/>
    <w:rsid w:val="00AB5A0D"/>
    <w:rsid w:val="00AB7297"/>
    <w:rsid w:val="00AB73C7"/>
    <w:rsid w:val="00AC1017"/>
    <w:rsid w:val="00AC2732"/>
    <w:rsid w:val="00AC2DCE"/>
    <w:rsid w:val="00AC31D0"/>
    <w:rsid w:val="00AC34E9"/>
    <w:rsid w:val="00AC3506"/>
    <w:rsid w:val="00AC51E5"/>
    <w:rsid w:val="00AC5AB9"/>
    <w:rsid w:val="00AC7B1A"/>
    <w:rsid w:val="00AC7DEA"/>
    <w:rsid w:val="00AD08E4"/>
    <w:rsid w:val="00AD14B3"/>
    <w:rsid w:val="00AD1E57"/>
    <w:rsid w:val="00AD251D"/>
    <w:rsid w:val="00AD2873"/>
    <w:rsid w:val="00AD2D8D"/>
    <w:rsid w:val="00AD2FD8"/>
    <w:rsid w:val="00AD3CC4"/>
    <w:rsid w:val="00AD45E6"/>
    <w:rsid w:val="00AD5661"/>
    <w:rsid w:val="00AD6E9D"/>
    <w:rsid w:val="00AD72DD"/>
    <w:rsid w:val="00AD7460"/>
    <w:rsid w:val="00AD7EA7"/>
    <w:rsid w:val="00AE035E"/>
    <w:rsid w:val="00AE05C1"/>
    <w:rsid w:val="00AE15DB"/>
    <w:rsid w:val="00AE25D6"/>
    <w:rsid w:val="00AE30A1"/>
    <w:rsid w:val="00AE3849"/>
    <w:rsid w:val="00AE4070"/>
    <w:rsid w:val="00AE48A5"/>
    <w:rsid w:val="00AE5670"/>
    <w:rsid w:val="00AE56B7"/>
    <w:rsid w:val="00AE7199"/>
    <w:rsid w:val="00AF0A49"/>
    <w:rsid w:val="00AF0A9F"/>
    <w:rsid w:val="00AF13F3"/>
    <w:rsid w:val="00AF1751"/>
    <w:rsid w:val="00AF2830"/>
    <w:rsid w:val="00AF2950"/>
    <w:rsid w:val="00AF2A87"/>
    <w:rsid w:val="00AF2B34"/>
    <w:rsid w:val="00AF2EE4"/>
    <w:rsid w:val="00AF3050"/>
    <w:rsid w:val="00AF33B6"/>
    <w:rsid w:val="00AF33CB"/>
    <w:rsid w:val="00AF3BD4"/>
    <w:rsid w:val="00AF5263"/>
    <w:rsid w:val="00AF610C"/>
    <w:rsid w:val="00AF6868"/>
    <w:rsid w:val="00AF7645"/>
    <w:rsid w:val="00AF7705"/>
    <w:rsid w:val="00AF7D83"/>
    <w:rsid w:val="00B000C3"/>
    <w:rsid w:val="00B01A21"/>
    <w:rsid w:val="00B01AB2"/>
    <w:rsid w:val="00B02149"/>
    <w:rsid w:val="00B03F56"/>
    <w:rsid w:val="00B04FEF"/>
    <w:rsid w:val="00B05FEC"/>
    <w:rsid w:val="00B074EB"/>
    <w:rsid w:val="00B07912"/>
    <w:rsid w:val="00B07D90"/>
    <w:rsid w:val="00B10CE1"/>
    <w:rsid w:val="00B11484"/>
    <w:rsid w:val="00B12656"/>
    <w:rsid w:val="00B13006"/>
    <w:rsid w:val="00B153B4"/>
    <w:rsid w:val="00B155C1"/>
    <w:rsid w:val="00B161DA"/>
    <w:rsid w:val="00B2088D"/>
    <w:rsid w:val="00B215FB"/>
    <w:rsid w:val="00B21BEF"/>
    <w:rsid w:val="00B21D4C"/>
    <w:rsid w:val="00B23082"/>
    <w:rsid w:val="00B23DCA"/>
    <w:rsid w:val="00B24D58"/>
    <w:rsid w:val="00B25656"/>
    <w:rsid w:val="00B27A17"/>
    <w:rsid w:val="00B30016"/>
    <w:rsid w:val="00B316F1"/>
    <w:rsid w:val="00B321C1"/>
    <w:rsid w:val="00B327A9"/>
    <w:rsid w:val="00B334EF"/>
    <w:rsid w:val="00B33721"/>
    <w:rsid w:val="00B344E9"/>
    <w:rsid w:val="00B3521C"/>
    <w:rsid w:val="00B3583B"/>
    <w:rsid w:val="00B36A47"/>
    <w:rsid w:val="00B36C9B"/>
    <w:rsid w:val="00B36CCC"/>
    <w:rsid w:val="00B40F61"/>
    <w:rsid w:val="00B43E57"/>
    <w:rsid w:val="00B47C2E"/>
    <w:rsid w:val="00B50509"/>
    <w:rsid w:val="00B50F11"/>
    <w:rsid w:val="00B51555"/>
    <w:rsid w:val="00B52BBD"/>
    <w:rsid w:val="00B53822"/>
    <w:rsid w:val="00B53F46"/>
    <w:rsid w:val="00B558A5"/>
    <w:rsid w:val="00B5787D"/>
    <w:rsid w:val="00B57A73"/>
    <w:rsid w:val="00B57DB1"/>
    <w:rsid w:val="00B61959"/>
    <w:rsid w:val="00B640E7"/>
    <w:rsid w:val="00B64C4C"/>
    <w:rsid w:val="00B64E21"/>
    <w:rsid w:val="00B64FD1"/>
    <w:rsid w:val="00B678B6"/>
    <w:rsid w:val="00B67A22"/>
    <w:rsid w:val="00B7238D"/>
    <w:rsid w:val="00B723BC"/>
    <w:rsid w:val="00B72464"/>
    <w:rsid w:val="00B727FC"/>
    <w:rsid w:val="00B72FB9"/>
    <w:rsid w:val="00B739EB"/>
    <w:rsid w:val="00B73AF7"/>
    <w:rsid w:val="00B74498"/>
    <w:rsid w:val="00B75A4A"/>
    <w:rsid w:val="00B7613E"/>
    <w:rsid w:val="00B76513"/>
    <w:rsid w:val="00B77111"/>
    <w:rsid w:val="00B7798A"/>
    <w:rsid w:val="00B77A21"/>
    <w:rsid w:val="00B81BE0"/>
    <w:rsid w:val="00B8356D"/>
    <w:rsid w:val="00B83CAF"/>
    <w:rsid w:val="00B84D4A"/>
    <w:rsid w:val="00B86505"/>
    <w:rsid w:val="00B867EE"/>
    <w:rsid w:val="00B87124"/>
    <w:rsid w:val="00B87236"/>
    <w:rsid w:val="00B8789F"/>
    <w:rsid w:val="00B90FED"/>
    <w:rsid w:val="00B9137C"/>
    <w:rsid w:val="00B91FDA"/>
    <w:rsid w:val="00B94E54"/>
    <w:rsid w:val="00B95207"/>
    <w:rsid w:val="00B95946"/>
    <w:rsid w:val="00B95B85"/>
    <w:rsid w:val="00B96DF7"/>
    <w:rsid w:val="00BA07AB"/>
    <w:rsid w:val="00BA0AE0"/>
    <w:rsid w:val="00BA4862"/>
    <w:rsid w:val="00BA4CA0"/>
    <w:rsid w:val="00BA5075"/>
    <w:rsid w:val="00BA517E"/>
    <w:rsid w:val="00BA589B"/>
    <w:rsid w:val="00BA6041"/>
    <w:rsid w:val="00BA609A"/>
    <w:rsid w:val="00BA60C2"/>
    <w:rsid w:val="00BA64AF"/>
    <w:rsid w:val="00BA6AF4"/>
    <w:rsid w:val="00BA7B14"/>
    <w:rsid w:val="00BB15C9"/>
    <w:rsid w:val="00BB2A44"/>
    <w:rsid w:val="00BB3299"/>
    <w:rsid w:val="00BB39B0"/>
    <w:rsid w:val="00BB45FA"/>
    <w:rsid w:val="00BB4AF5"/>
    <w:rsid w:val="00BB5BF2"/>
    <w:rsid w:val="00BB5C5D"/>
    <w:rsid w:val="00BB6E44"/>
    <w:rsid w:val="00BB747C"/>
    <w:rsid w:val="00BB7561"/>
    <w:rsid w:val="00BC0730"/>
    <w:rsid w:val="00BC2182"/>
    <w:rsid w:val="00BC23FC"/>
    <w:rsid w:val="00BC2E06"/>
    <w:rsid w:val="00BC4CFB"/>
    <w:rsid w:val="00BC6BFF"/>
    <w:rsid w:val="00BC6D7E"/>
    <w:rsid w:val="00BC7A7A"/>
    <w:rsid w:val="00BD04D2"/>
    <w:rsid w:val="00BD1776"/>
    <w:rsid w:val="00BD1CEE"/>
    <w:rsid w:val="00BD1FC3"/>
    <w:rsid w:val="00BD246D"/>
    <w:rsid w:val="00BD3E22"/>
    <w:rsid w:val="00BD62F6"/>
    <w:rsid w:val="00BD6780"/>
    <w:rsid w:val="00BD6E00"/>
    <w:rsid w:val="00BD7AF0"/>
    <w:rsid w:val="00BD7E30"/>
    <w:rsid w:val="00BE0263"/>
    <w:rsid w:val="00BE26F3"/>
    <w:rsid w:val="00BE2BF7"/>
    <w:rsid w:val="00BE500E"/>
    <w:rsid w:val="00BE587E"/>
    <w:rsid w:val="00BE6A2A"/>
    <w:rsid w:val="00BE6FDC"/>
    <w:rsid w:val="00BF0820"/>
    <w:rsid w:val="00BF1F31"/>
    <w:rsid w:val="00BF2CC8"/>
    <w:rsid w:val="00BF2FB0"/>
    <w:rsid w:val="00BF32B4"/>
    <w:rsid w:val="00BF48D1"/>
    <w:rsid w:val="00BF4CE7"/>
    <w:rsid w:val="00BF6C8D"/>
    <w:rsid w:val="00C01C34"/>
    <w:rsid w:val="00C0493E"/>
    <w:rsid w:val="00C04E70"/>
    <w:rsid w:val="00C04EB8"/>
    <w:rsid w:val="00C059FD"/>
    <w:rsid w:val="00C06886"/>
    <w:rsid w:val="00C07161"/>
    <w:rsid w:val="00C079ED"/>
    <w:rsid w:val="00C07B7F"/>
    <w:rsid w:val="00C10158"/>
    <w:rsid w:val="00C119CB"/>
    <w:rsid w:val="00C11E2B"/>
    <w:rsid w:val="00C11F7E"/>
    <w:rsid w:val="00C129DD"/>
    <w:rsid w:val="00C1330D"/>
    <w:rsid w:val="00C13311"/>
    <w:rsid w:val="00C150B9"/>
    <w:rsid w:val="00C15986"/>
    <w:rsid w:val="00C15A39"/>
    <w:rsid w:val="00C15F7D"/>
    <w:rsid w:val="00C16194"/>
    <w:rsid w:val="00C167C0"/>
    <w:rsid w:val="00C17DE0"/>
    <w:rsid w:val="00C200A3"/>
    <w:rsid w:val="00C21E35"/>
    <w:rsid w:val="00C22848"/>
    <w:rsid w:val="00C2300D"/>
    <w:rsid w:val="00C23A9B"/>
    <w:rsid w:val="00C23F99"/>
    <w:rsid w:val="00C24B05"/>
    <w:rsid w:val="00C24EB5"/>
    <w:rsid w:val="00C25FFD"/>
    <w:rsid w:val="00C277BB"/>
    <w:rsid w:val="00C30F9A"/>
    <w:rsid w:val="00C3190D"/>
    <w:rsid w:val="00C32708"/>
    <w:rsid w:val="00C32827"/>
    <w:rsid w:val="00C32ED4"/>
    <w:rsid w:val="00C336CC"/>
    <w:rsid w:val="00C341A4"/>
    <w:rsid w:val="00C34207"/>
    <w:rsid w:val="00C363A2"/>
    <w:rsid w:val="00C36838"/>
    <w:rsid w:val="00C3731F"/>
    <w:rsid w:val="00C40326"/>
    <w:rsid w:val="00C40A8F"/>
    <w:rsid w:val="00C41D33"/>
    <w:rsid w:val="00C41E4F"/>
    <w:rsid w:val="00C42457"/>
    <w:rsid w:val="00C42577"/>
    <w:rsid w:val="00C42980"/>
    <w:rsid w:val="00C42EFE"/>
    <w:rsid w:val="00C433AC"/>
    <w:rsid w:val="00C43576"/>
    <w:rsid w:val="00C43C7D"/>
    <w:rsid w:val="00C43D30"/>
    <w:rsid w:val="00C43F99"/>
    <w:rsid w:val="00C51489"/>
    <w:rsid w:val="00C51741"/>
    <w:rsid w:val="00C520F3"/>
    <w:rsid w:val="00C529CA"/>
    <w:rsid w:val="00C53809"/>
    <w:rsid w:val="00C53B0E"/>
    <w:rsid w:val="00C53C43"/>
    <w:rsid w:val="00C541AA"/>
    <w:rsid w:val="00C54457"/>
    <w:rsid w:val="00C548DC"/>
    <w:rsid w:val="00C576D7"/>
    <w:rsid w:val="00C57C25"/>
    <w:rsid w:val="00C6015C"/>
    <w:rsid w:val="00C604A2"/>
    <w:rsid w:val="00C60BAD"/>
    <w:rsid w:val="00C61CDB"/>
    <w:rsid w:val="00C631E4"/>
    <w:rsid w:val="00C635D0"/>
    <w:rsid w:val="00C63A3D"/>
    <w:rsid w:val="00C63E77"/>
    <w:rsid w:val="00C6507C"/>
    <w:rsid w:val="00C653BF"/>
    <w:rsid w:val="00C6592E"/>
    <w:rsid w:val="00C65FF7"/>
    <w:rsid w:val="00C666EB"/>
    <w:rsid w:val="00C71B72"/>
    <w:rsid w:val="00C72343"/>
    <w:rsid w:val="00C7243B"/>
    <w:rsid w:val="00C72544"/>
    <w:rsid w:val="00C72BE4"/>
    <w:rsid w:val="00C735A6"/>
    <w:rsid w:val="00C73A5A"/>
    <w:rsid w:val="00C73B05"/>
    <w:rsid w:val="00C73B3D"/>
    <w:rsid w:val="00C74597"/>
    <w:rsid w:val="00C74ABD"/>
    <w:rsid w:val="00C75CDF"/>
    <w:rsid w:val="00C76508"/>
    <w:rsid w:val="00C76C35"/>
    <w:rsid w:val="00C80D06"/>
    <w:rsid w:val="00C817CA"/>
    <w:rsid w:val="00C82606"/>
    <w:rsid w:val="00C83D27"/>
    <w:rsid w:val="00C84675"/>
    <w:rsid w:val="00C846A9"/>
    <w:rsid w:val="00C854BC"/>
    <w:rsid w:val="00C85BEF"/>
    <w:rsid w:val="00C8646C"/>
    <w:rsid w:val="00C86DA2"/>
    <w:rsid w:val="00C87F96"/>
    <w:rsid w:val="00C90464"/>
    <w:rsid w:val="00C91A50"/>
    <w:rsid w:val="00C91B03"/>
    <w:rsid w:val="00C922F3"/>
    <w:rsid w:val="00C93E38"/>
    <w:rsid w:val="00C93F01"/>
    <w:rsid w:val="00C94EA1"/>
    <w:rsid w:val="00C95293"/>
    <w:rsid w:val="00C96221"/>
    <w:rsid w:val="00C9656E"/>
    <w:rsid w:val="00CA02F7"/>
    <w:rsid w:val="00CA0335"/>
    <w:rsid w:val="00CA045B"/>
    <w:rsid w:val="00CA180B"/>
    <w:rsid w:val="00CA32B6"/>
    <w:rsid w:val="00CA32F1"/>
    <w:rsid w:val="00CA378B"/>
    <w:rsid w:val="00CA4375"/>
    <w:rsid w:val="00CA4AE8"/>
    <w:rsid w:val="00CA4E43"/>
    <w:rsid w:val="00CA555F"/>
    <w:rsid w:val="00CA5892"/>
    <w:rsid w:val="00CA5CEE"/>
    <w:rsid w:val="00CA63D0"/>
    <w:rsid w:val="00CA6975"/>
    <w:rsid w:val="00CA77F6"/>
    <w:rsid w:val="00CB0DB6"/>
    <w:rsid w:val="00CB0EC6"/>
    <w:rsid w:val="00CB2039"/>
    <w:rsid w:val="00CB2A64"/>
    <w:rsid w:val="00CB2A85"/>
    <w:rsid w:val="00CB3A0F"/>
    <w:rsid w:val="00CB3EB5"/>
    <w:rsid w:val="00CB40C3"/>
    <w:rsid w:val="00CB42F2"/>
    <w:rsid w:val="00CB6C4D"/>
    <w:rsid w:val="00CB7AB4"/>
    <w:rsid w:val="00CC1D13"/>
    <w:rsid w:val="00CC23E9"/>
    <w:rsid w:val="00CC316D"/>
    <w:rsid w:val="00CC34F2"/>
    <w:rsid w:val="00CC386A"/>
    <w:rsid w:val="00CC55C0"/>
    <w:rsid w:val="00CC65EF"/>
    <w:rsid w:val="00CC6853"/>
    <w:rsid w:val="00CD3F48"/>
    <w:rsid w:val="00CD47F5"/>
    <w:rsid w:val="00CD6040"/>
    <w:rsid w:val="00CD6529"/>
    <w:rsid w:val="00CD7821"/>
    <w:rsid w:val="00CE40B5"/>
    <w:rsid w:val="00CE4577"/>
    <w:rsid w:val="00CE4EAF"/>
    <w:rsid w:val="00CE53C1"/>
    <w:rsid w:val="00CE60D7"/>
    <w:rsid w:val="00CE661F"/>
    <w:rsid w:val="00CE677B"/>
    <w:rsid w:val="00CE72C9"/>
    <w:rsid w:val="00CF0C58"/>
    <w:rsid w:val="00CF1254"/>
    <w:rsid w:val="00CF12B3"/>
    <w:rsid w:val="00CF1BA4"/>
    <w:rsid w:val="00CF26E5"/>
    <w:rsid w:val="00CF2704"/>
    <w:rsid w:val="00CF4D3F"/>
    <w:rsid w:val="00CF5A53"/>
    <w:rsid w:val="00CF6652"/>
    <w:rsid w:val="00CF6A2E"/>
    <w:rsid w:val="00CF71C5"/>
    <w:rsid w:val="00CF7754"/>
    <w:rsid w:val="00CF7C03"/>
    <w:rsid w:val="00D0040E"/>
    <w:rsid w:val="00D01873"/>
    <w:rsid w:val="00D03004"/>
    <w:rsid w:val="00D03620"/>
    <w:rsid w:val="00D04B0F"/>
    <w:rsid w:val="00D0532F"/>
    <w:rsid w:val="00D058EE"/>
    <w:rsid w:val="00D06D85"/>
    <w:rsid w:val="00D06F89"/>
    <w:rsid w:val="00D07E87"/>
    <w:rsid w:val="00D10C48"/>
    <w:rsid w:val="00D12D5B"/>
    <w:rsid w:val="00D1379B"/>
    <w:rsid w:val="00D155DE"/>
    <w:rsid w:val="00D1644A"/>
    <w:rsid w:val="00D173C8"/>
    <w:rsid w:val="00D203CA"/>
    <w:rsid w:val="00D20860"/>
    <w:rsid w:val="00D212DB"/>
    <w:rsid w:val="00D21BF6"/>
    <w:rsid w:val="00D21E5D"/>
    <w:rsid w:val="00D2238D"/>
    <w:rsid w:val="00D22604"/>
    <w:rsid w:val="00D22B25"/>
    <w:rsid w:val="00D23F57"/>
    <w:rsid w:val="00D23FFC"/>
    <w:rsid w:val="00D2418F"/>
    <w:rsid w:val="00D24310"/>
    <w:rsid w:val="00D25BE9"/>
    <w:rsid w:val="00D26E13"/>
    <w:rsid w:val="00D30028"/>
    <w:rsid w:val="00D32AB2"/>
    <w:rsid w:val="00D33952"/>
    <w:rsid w:val="00D35212"/>
    <w:rsid w:val="00D35FDF"/>
    <w:rsid w:val="00D3655A"/>
    <w:rsid w:val="00D375F3"/>
    <w:rsid w:val="00D37C09"/>
    <w:rsid w:val="00D41045"/>
    <w:rsid w:val="00D41907"/>
    <w:rsid w:val="00D41CB4"/>
    <w:rsid w:val="00D41DAE"/>
    <w:rsid w:val="00D42937"/>
    <w:rsid w:val="00D42AF8"/>
    <w:rsid w:val="00D43F38"/>
    <w:rsid w:val="00D4406D"/>
    <w:rsid w:val="00D44480"/>
    <w:rsid w:val="00D4689D"/>
    <w:rsid w:val="00D4712B"/>
    <w:rsid w:val="00D47688"/>
    <w:rsid w:val="00D50A7E"/>
    <w:rsid w:val="00D50B74"/>
    <w:rsid w:val="00D50F4F"/>
    <w:rsid w:val="00D517F0"/>
    <w:rsid w:val="00D524B5"/>
    <w:rsid w:val="00D52E0C"/>
    <w:rsid w:val="00D531B6"/>
    <w:rsid w:val="00D54DDB"/>
    <w:rsid w:val="00D55045"/>
    <w:rsid w:val="00D5680F"/>
    <w:rsid w:val="00D56CF9"/>
    <w:rsid w:val="00D60F33"/>
    <w:rsid w:val="00D6185F"/>
    <w:rsid w:val="00D6190E"/>
    <w:rsid w:val="00D625A4"/>
    <w:rsid w:val="00D62CD6"/>
    <w:rsid w:val="00D6330A"/>
    <w:rsid w:val="00D64D62"/>
    <w:rsid w:val="00D64FC6"/>
    <w:rsid w:val="00D65389"/>
    <w:rsid w:val="00D65398"/>
    <w:rsid w:val="00D667DB"/>
    <w:rsid w:val="00D6787A"/>
    <w:rsid w:val="00D67977"/>
    <w:rsid w:val="00D702B0"/>
    <w:rsid w:val="00D70F64"/>
    <w:rsid w:val="00D711C4"/>
    <w:rsid w:val="00D7418F"/>
    <w:rsid w:val="00D7476B"/>
    <w:rsid w:val="00D75DD8"/>
    <w:rsid w:val="00D76065"/>
    <w:rsid w:val="00D760F6"/>
    <w:rsid w:val="00D7762E"/>
    <w:rsid w:val="00D776CB"/>
    <w:rsid w:val="00D7789A"/>
    <w:rsid w:val="00D8010D"/>
    <w:rsid w:val="00D8174A"/>
    <w:rsid w:val="00D81E02"/>
    <w:rsid w:val="00D82100"/>
    <w:rsid w:val="00D831F0"/>
    <w:rsid w:val="00D83631"/>
    <w:rsid w:val="00D84A8A"/>
    <w:rsid w:val="00D84BED"/>
    <w:rsid w:val="00D86058"/>
    <w:rsid w:val="00D87176"/>
    <w:rsid w:val="00D902AA"/>
    <w:rsid w:val="00D9062B"/>
    <w:rsid w:val="00D935B6"/>
    <w:rsid w:val="00D9459C"/>
    <w:rsid w:val="00D96E0F"/>
    <w:rsid w:val="00D97EF0"/>
    <w:rsid w:val="00DA0F4B"/>
    <w:rsid w:val="00DA22EB"/>
    <w:rsid w:val="00DA2ADD"/>
    <w:rsid w:val="00DA3D6E"/>
    <w:rsid w:val="00DA4B91"/>
    <w:rsid w:val="00DA4D7A"/>
    <w:rsid w:val="00DA4E49"/>
    <w:rsid w:val="00DA5216"/>
    <w:rsid w:val="00DA53D7"/>
    <w:rsid w:val="00DA58F5"/>
    <w:rsid w:val="00DB00D9"/>
    <w:rsid w:val="00DB0185"/>
    <w:rsid w:val="00DB0A7D"/>
    <w:rsid w:val="00DB1854"/>
    <w:rsid w:val="00DB22C6"/>
    <w:rsid w:val="00DB3214"/>
    <w:rsid w:val="00DB375C"/>
    <w:rsid w:val="00DB3DE8"/>
    <w:rsid w:val="00DB4B20"/>
    <w:rsid w:val="00DB5D64"/>
    <w:rsid w:val="00DB6116"/>
    <w:rsid w:val="00DB7D8F"/>
    <w:rsid w:val="00DC030C"/>
    <w:rsid w:val="00DC1F6A"/>
    <w:rsid w:val="00DC238E"/>
    <w:rsid w:val="00DC24D0"/>
    <w:rsid w:val="00DC272E"/>
    <w:rsid w:val="00DC356D"/>
    <w:rsid w:val="00DC3DB7"/>
    <w:rsid w:val="00DC4564"/>
    <w:rsid w:val="00DC466D"/>
    <w:rsid w:val="00DC5200"/>
    <w:rsid w:val="00DC6A35"/>
    <w:rsid w:val="00DC6C2D"/>
    <w:rsid w:val="00DC7723"/>
    <w:rsid w:val="00DC7766"/>
    <w:rsid w:val="00DC7B52"/>
    <w:rsid w:val="00DD0329"/>
    <w:rsid w:val="00DD039A"/>
    <w:rsid w:val="00DD0B8E"/>
    <w:rsid w:val="00DD0BF7"/>
    <w:rsid w:val="00DD116D"/>
    <w:rsid w:val="00DD1A64"/>
    <w:rsid w:val="00DD1BF9"/>
    <w:rsid w:val="00DD2A2C"/>
    <w:rsid w:val="00DD317F"/>
    <w:rsid w:val="00DD3769"/>
    <w:rsid w:val="00DD3FFC"/>
    <w:rsid w:val="00DD4143"/>
    <w:rsid w:val="00DD4F9F"/>
    <w:rsid w:val="00DD65B2"/>
    <w:rsid w:val="00DD6938"/>
    <w:rsid w:val="00DD6B83"/>
    <w:rsid w:val="00DE08DD"/>
    <w:rsid w:val="00DE0963"/>
    <w:rsid w:val="00DE18C9"/>
    <w:rsid w:val="00DE1CE8"/>
    <w:rsid w:val="00DE32C2"/>
    <w:rsid w:val="00DE3874"/>
    <w:rsid w:val="00DE4378"/>
    <w:rsid w:val="00DE4E65"/>
    <w:rsid w:val="00DE677A"/>
    <w:rsid w:val="00DE69A1"/>
    <w:rsid w:val="00DE7BA6"/>
    <w:rsid w:val="00DF0AD9"/>
    <w:rsid w:val="00DF18E1"/>
    <w:rsid w:val="00DF2075"/>
    <w:rsid w:val="00DF38A5"/>
    <w:rsid w:val="00DF4C1D"/>
    <w:rsid w:val="00DF4D37"/>
    <w:rsid w:val="00DF62A3"/>
    <w:rsid w:val="00DF6F9B"/>
    <w:rsid w:val="00DF7DC5"/>
    <w:rsid w:val="00E00C87"/>
    <w:rsid w:val="00E023FD"/>
    <w:rsid w:val="00E0357B"/>
    <w:rsid w:val="00E03FD4"/>
    <w:rsid w:val="00E0463B"/>
    <w:rsid w:val="00E04977"/>
    <w:rsid w:val="00E06FB2"/>
    <w:rsid w:val="00E06FD3"/>
    <w:rsid w:val="00E07235"/>
    <w:rsid w:val="00E07348"/>
    <w:rsid w:val="00E07544"/>
    <w:rsid w:val="00E079E8"/>
    <w:rsid w:val="00E10108"/>
    <w:rsid w:val="00E12E7F"/>
    <w:rsid w:val="00E13273"/>
    <w:rsid w:val="00E1393D"/>
    <w:rsid w:val="00E13F35"/>
    <w:rsid w:val="00E140A9"/>
    <w:rsid w:val="00E14BA3"/>
    <w:rsid w:val="00E1533B"/>
    <w:rsid w:val="00E15A8C"/>
    <w:rsid w:val="00E15C47"/>
    <w:rsid w:val="00E168E0"/>
    <w:rsid w:val="00E1707B"/>
    <w:rsid w:val="00E17205"/>
    <w:rsid w:val="00E175A4"/>
    <w:rsid w:val="00E1787C"/>
    <w:rsid w:val="00E20885"/>
    <w:rsid w:val="00E20D85"/>
    <w:rsid w:val="00E23C6E"/>
    <w:rsid w:val="00E241F3"/>
    <w:rsid w:val="00E25B75"/>
    <w:rsid w:val="00E26B4C"/>
    <w:rsid w:val="00E3092E"/>
    <w:rsid w:val="00E314C9"/>
    <w:rsid w:val="00E3362A"/>
    <w:rsid w:val="00E33C9F"/>
    <w:rsid w:val="00E36A47"/>
    <w:rsid w:val="00E3706C"/>
    <w:rsid w:val="00E37B10"/>
    <w:rsid w:val="00E40591"/>
    <w:rsid w:val="00E40681"/>
    <w:rsid w:val="00E40804"/>
    <w:rsid w:val="00E41622"/>
    <w:rsid w:val="00E41D59"/>
    <w:rsid w:val="00E431C7"/>
    <w:rsid w:val="00E4350B"/>
    <w:rsid w:val="00E43C46"/>
    <w:rsid w:val="00E43CCE"/>
    <w:rsid w:val="00E443B2"/>
    <w:rsid w:val="00E44B3F"/>
    <w:rsid w:val="00E456D1"/>
    <w:rsid w:val="00E469AE"/>
    <w:rsid w:val="00E46A9E"/>
    <w:rsid w:val="00E475E5"/>
    <w:rsid w:val="00E51B40"/>
    <w:rsid w:val="00E526BE"/>
    <w:rsid w:val="00E53515"/>
    <w:rsid w:val="00E53757"/>
    <w:rsid w:val="00E550AB"/>
    <w:rsid w:val="00E600D9"/>
    <w:rsid w:val="00E603A4"/>
    <w:rsid w:val="00E608FF"/>
    <w:rsid w:val="00E60D4A"/>
    <w:rsid w:val="00E61575"/>
    <w:rsid w:val="00E615F5"/>
    <w:rsid w:val="00E61D65"/>
    <w:rsid w:val="00E61FBC"/>
    <w:rsid w:val="00E61FFB"/>
    <w:rsid w:val="00E62A52"/>
    <w:rsid w:val="00E62FDE"/>
    <w:rsid w:val="00E63B58"/>
    <w:rsid w:val="00E64CEB"/>
    <w:rsid w:val="00E64E12"/>
    <w:rsid w:val="00E652C7"/>
    <w:rsid w:val="00E6669D"/>
    <w:rsid w:val="00E66D40"/>
    <w:rsid w:val="00E66E9F"/>
    <w:rsid w:val="00E67383"/>
    <w:rsid w:val="00E673A7"/>
    <w:rsid w:val="00E67D09"/>
    <w:rsid w:val="00E703A6"/>
    <w:rsid w:val="00E70601"/>
    <w:rsid w:val="00E70D23"/>
    <w:rsid w:val="00E711D3"/>
    <w:rsid w:val="00E73238"/>
    <w:rsid w:val="00E73BBD"/>
    <w:rsid w:val="00E73E3A"/>
    <w:rsid w:val="00E74747"/>
    <w:rsid w:val="00E749AF"/>
    <w:rsid w:val="00E74A76"/>
    <w:rsid w:val="00E7567E"/>
    <w:rsid w:val="00E756B3"/>
    <w:rsid w:val="00E77248"/>
    <w:rsid w:val="00E77B9C"/>
    <w:rsid w:val="00E80366"/>
    <w:rsid w:val="00E80732"/>
    <w:rsid w:val="00E8164C"/>
    <w:rsid w:val="00E81690"/>
    <w:rsid w:val="00E81E9D"/>
    <w:rsid w:val="00E83D7E"/>
    <w:rsid w:val="00E84E2A"/>
    <w:rsid w:val="00E84F30"/>
    <w:rsid w:val="00E85265"/>
    <w:rsid w:val="00E860BB"/>
    <w:rsid w:val="00E868E6"/>
    <w:rsid w:val="00E90314"/>
    <w:rsid w:val="00E90A12"/>
    <w:rsid w:val="00E91D61"/>
    <w:rsid w:val="00E93079"/>
    <w:rsid w:val="00E937D9"/>
    <w:rsid w:val="00E938D2"/>
    <w:rsid w:val="00E95FB0"/>
    <w:rsid w:val="00E96E16"/>
    <w:rsid w:val="00E979AB"/>
    <w:rsid w:val="00E97D5F"/>
    <w:rsid w:val="00EA0807"/>
    <w:rsid w:val="00EA14D1"/>
    <w:rsid w:val="00EA213E"/>
    <w:rsid w:val="00EA240B"/>
    <w:rsid w:val="00EA260B"/>
    <w:rsid w:val="00EA3F44"/>
    <w:rsid w:val="00EA473D"/>
    <w:rsid w:val="00EA5A7A"/>
    <w:rsid w:val="00EA7402"/>
    <w:rsid w:val="00EB0442"/>
    <w:rsid w:val="00EB0C80"/>
    <w:rsid w:val="00EB2A7B"/>
    <w:rsid w:val="00EB4143"/>
    <w:rsid w:val="00EB4296"/>
    <w:rsid w:val="00EB485B"/>
    <w:rsid w:val="00EB489A"/>
    <w:rsid w:val="00EB4A15"/>
    <w:rsid w:val="00EB5854"/>
    <w:rsid w:val="00EB6255"/>
    <w:rsid w:val="00EB660C"/>
    <w:rsid w:val="00EB6E2F"/>
    <w:rsid w:val="00EB78FE"/>
    <w:rsid w:val="00EC021B"/>
    <w:rsid w:val="00EC159C"/>
    <w:rsid w:val="00EC1621"/>
    <w:rsid w:val="00EC1DE0"/>
    <w:rsid w:val="00EC28E7"/>
    <w:rsid w:val="00EC2A1F"/>
    <w:rsid w:val="00EC2DF2"/>
    <w:rsid w:val="00EC36EB"/>
    <w:rsid w:val="00EC39BC"/>
    <w:rsid w:val="00EC456B"/>
    <w:rsid w:val="00EC4CE7"/>
    <w:rsid w:val="00EC5714"/>
    <w:rsid w:val="00EC5B93"/>
    <w:rsid w:val="00EC7B55"/>
    <w:rsid w:val="00ED0778"/>
    <w:rsid w:val="00ED1C99"/>
    <w:rsid w:val="00ED31B7"/>
    <w:rsid w:val="00ED4FAE"/>
    <w:rsid w:val="00ED6C8E"/>
    <w:rsid w:val="00ED7A54"/>
    <w:rsid w:val="00ED7B21"/>
    <w:rsid w:val="00ED7E4E"/>
    <w:rsid w:val="00EE140B"/>
    <w:rsid w:val="00EE1980"/>
    <w:rsid w:val="00EE2DEA"/>
    <w:rsid w:val="00EE35BE"/>
    <w:rsid w:val="00EE3A5A"/>
    <w:rsid w:val="00EE42DA"/>
    <w:rsid w:val="00EE4772"/>
    <w:rsid w:val="00EE492F"/>
    <w:rsid w:val="00EE52F6"/>
    <w:rsid w:val="00EE5E54"/>
    <w:rsid w:val="00EE6062"/>
    <w:rsid w:val="00EE60A2"/>
    <w:rsid w:val="00EE6432"/>
    <w:rsid w:val="00EE6F15"/>
    <w:rsid w:val="00EE756C"/>
    <w:rsid w:val="00EF2748"/>
    <w:rsid w:val="00EF2787"/>
    <w:rsid w:val="00EF2AB9"/>
    <w:rsid w:val="00EF33CE"/>
    <w:rsid w:val="00EF5BDA"/>
    <w:rsid w:val="00EF5C67"/>
    <w:rsid w:val="00EF6BA0"/>
    <w:rsid w:val="00EF7717"/>
    <w:rsid w:val="00EF7842"/>
    <w:rsid w:val="00F00025"/>
    <w:rsid w:val="00F00A53"/>
    <w:rsid w:val="00F00D10"/>
    <w:rsid w:val="00F0119E"/>
    <w:rsid w:val="00F01610"/>
    <w:rsid w:val="00F02603"/>
    <w:rsid w:val="00F03449"/>
    <w:rsid w:val="00F03AA9"/>
    <w:rsid w:val="00F03DB5"/>
    <w:rsid w:val="00F047FE"/>
    <w:rsid w:val="00F04CE4"/>
    <w:rsid w:val="00F06845"/>
    <w:rsid w:val="00F06FF5"/>
    <w:rsid w:val="00F07DA0"/>
    <w:rsid w:val="00F104D7"/>
    <w:rsid w:val="00F10F71"/>
    <w:rsid w:val="00F11C7E"/>
    <w:rsid w:val="00F11F1A"/>
    <w:rsid w:val="00F12435"/>
    <w:rsid w:val="00F12EC6"/>
    <w:rsid w:val="00F162C0"/>
    <w:rsid w:val="00F16598"/>
    <w:rsid w:val="00F16B26"/>
    <w:rsid w:val="00F2038A"/>
    <w:rsid w:val="00F21EE2"/>
    <w:rsid w:val="00F221F6"/>
    <w:rsid w:val="00F222BD"/>
    <w:rsid w:val="00F22535"/>
    <w:rsid w:val="00F23460"/>
    <w:rsid w:val="00F23B6D"/>
    <w:rsid w:val="00F23CB0"/>
    <w:rsid w:val="00F24A29"/>
    <w:rsid w:val="00F25488"/>
    <w:rsid w:val="00F27A7D"/>
    <w:rsid w:val="00F30347"/>
    <w:rsid w:val="00F32757"/>
    <w:rsid w:val="00F342B4"/>
    <w:rsid w:val="00F34A6C"/>
    <w:rsid w:val="00F34E40"/>
    <w:rsid w:val="00F35721"/>
    <w:rsid w:val="00F376D1"/>
    <w:rsid w:val="00F401D6"/>
    <w:rsid w:val="00F405C4"/>
    <w:rsid w:val="00F40CF7"/>
    <w:rsid w:val="00F428BB"/>
    <w:rsid w:val="00F434A2"/>
    <w:rsid w:val="00F43A3C"/>
    <w:rsid w:val="00F44440"/>
    <w:rsid w:val="00F44F98"/>
    <w:rsid w:val="00F46E31"/>
    <w:rsid w:val="00F46F6D"/>
    <w:rsid w:val="00F4735F"/>
    <w:rsid w:val="00F5159E"/>
    <w:rsid w:val="00F52F32"/>
    <w:rsid w:val="00F535A8"/>
    <w:rsid w:val="00F53FFA"/>
    <w:rsid w:val="00F55218"/>
    <w:rsid w:val="00F5570D"/>
    <w:rsid w:val="00F55F7C"/>
    <w:rsid w:val="00F56605"/>
    <w:rsid w:val="00F569D1"/>
    <w:rsid w:val="00F57B19"/>
    <w:rsid w:val="00F60330"/>
    <w:rsid w:val="00F61166"/>
    <w:rsid w:val="00F621BC"/>
    <w:rsid w:val="00F6233A"/>
    <w:rsid w:val="00F6411C"/>
    <w:rsid w:val="00F65007"/>
    <w:rsid w:val="00F67344"/>
    <w:rsid w:val="00F71E9E"/>
    <w:rsid w:val="00F71F49"/>
    <w:rsid w:val="00F72312"/>
    <w:rsid w:val="00F73306"/>
    <w:rsid w:val="00F73BA6"/>
    <w:rsid w:val="00F74113"/>
    <w:rsid w:val="00F7452A"/>
    <w:rsid w:val="00F756F5"/>
    <w:rsid w:val="00F76331"/>
    <w:rsid w:val="00F81C94"/>
    <w:rsid w:val="00F81EF4"/>
    <w:rsid w:val="00F851D0"/>
    <w:rsid w:val="00F8576E"/>
    <w:rsid w:val="00F85A62"/>
    <w:rsid w:val="00F85DE3"/>
    <w:rsid w:val="00F85FA3"/>
    <w:rsid w:val="00F86140"/>
    <w:rsid w:val="00F8649B"/>
    <w:rsid w:val="00F8780C"/>
    <w:rsid w:val="00F9077B"/>
    <w:rsid w:val="00F9081D"/>
    <w:rsid w:val="00F909EB"/>
    <w:rsid w:val="00F90D93"/>
    <w:rsid w:val="00F91DCF"/>
    <w:rsid w:val="00F9236C"/>
    <w:rsid w:val="00F931AA"/>
    <w:rsid w:val="00F94C5C"/>
    <w:rsid w:val="00F95EEA"/>
    <w:rsid w:val="00F96135"/>
    <w:rsid w:val="00F969B3"/>
    <w:rsid w:val="00F97AE5"/>
    <w:rsid w:val="00F97E6E"/>
    <w:rsid w:val="00FA082A"/>
    <w:rsid w:val="00FA169A"/>
    <w:rsid w:val="00FA20C6"/>
    <w:rsid w:val="00FA46F9"/>
    <w:rsid w:val="00FA4D3A"/>
    <w:rsid w:val="00FA5E0C"/>
    <w:rsid w:val="00FA6D86"/>
    <w:rsid w:val="00FA7305"/>
    <w:rsid w:val="00FA78BB"/>
    <w:rsid w:val="00FA7D6E"/>
    <w:rsid w:val="00FB0028"/>
    <w:rsid w:val="00FB080F"/>
    <w:rsid w:val="00FB08E9"/>
    <w:rsid w:val="00FB1AC2"/>
    <w:rsid w:val="00FB1C5D"/>
    <w:rsid w:val="00FB24D2"/>
    <w:rsid w:val="00FB2ADB"/>
    <w:rsid w:val="00FB454C"/>
    <w:rsid w:val="00FB6970"/>
    <w:rsid w:val="00FB6A0C"/>
    <w:rsid w:val="00FB6F0C"/>
    <w:rsid w:val="00FB7B4D"/>
    <w:rsid w:val="00FC186B"/>
    <w:rsid w:val="00FC21C6"/>
    <w:rsid w:val="00FC2396"/>
    <w:rsid w:val="00FC37E6"/>
    <w:rsid w:val="00FC3DE5"/>
    <w:rsid w:val="00FC3F20"/>
    <w:rsid w:val="00FC5CBF"/>
    <w:rsid w:val="00FC5DFE"/>
    <w:rsid w:val="00FD0564"/>
    <w:rsid w:val="00FD08CD"/>
    <w:rsid w:val="00FD21EC"/>
    <w:rsid w:val="00FD22FF"/>
    <w:rsid w:val="00FD3931"/>
    <w:rsid w:val="00FD3A86"/>
    <w:rsid w:val="00FD45D9"/>
    <w:rsid w:val="00FD620F"/>
    <w:rsid w:val="00FD659F"/>
    <w:rsid w:val="00FD706D"/>
    <w:rsid w:val="00FD731D"/>
    <w:rsid w:val="00FD7854"/>
    <w:rsid w:val="00FE120D"/>
    <w:rsid w:val="00FE1432"/>
    <w:rsid w:val="00FE1AD7"/>
    <w:rsid w:val="00FE32C1"/>
    <w:rsid w:val="00FE5712"/>
    <w:rsid w:val="00FE7A9D"/>
    <w:rsid w:val="00FF0A4C"/>
    <w:rsid w:val="00FF1162"/>
    <w:rsid w:val="00FF13EE"/>
    <w:rsid w:val="00FF1497"/>
    <w:rsid w:val="00FF40A0"/>
    <w:rsid w:val="00FF4749"/>
    <w:rsid w:val="00FF5F4D"/>
    <w:rsid w:val="00FF60BC"/>
    <w:rsid w:val="00FF611A"/>
    <w:rsid w:val="00FF643B"/>
    <w:rsid w:val="00FF6C6A"/>
    <w:rsid w:val="00FF77F2"/>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6CCC10"/>
  <w15:docId w15:val="{75C369F2-4B15-46E1-9DFB-62A1A1E8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paragraph" w:styleId="Heading8">
    <w:name w:val="heading 8"/>
    <w:basedOn w:val="Normal"/>
    <w:next w:val="Normal"/>
    <w:link w:val="Heading8Char"/>
    <w:uiPriority w:val="9"/>
    <w:unhideWhenUsed/>
    <w:qFormat/>
    <w:rsid w:val="001C0111"/>
    <w:pPr>
      <w:keepNext/>
      <w:keepLines/>
      <w:spacing w:before="40" w:after="0"/>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629D"/>
    <w:rPr>
      <w:color w:val="0000FF"/>
      <w:u w:val="single"/>
      <w:shd w:val="clear" w:color="auto" w:fill="auto"/>
    </w:rPr>
  </w:style>
  <w:style w:type="paragraph" w:styleId="ListBullet4">
    <w:name w:val="List Bullet 4"/>
    <w:basedOn w:val="Normal"/>
    <w:rsid w:val="0047629D"/>
    <w:pPr>
      <w:numPr>
        <w:numId w:val="2"/>
      </w:numPr>
    </w:pPr>
    <w:rPr>
      <w:rFonts w:eastAsia="Times New Roman"/>
      <w:lang w:eastAsia="de-DE"/>
    </w:rPr>
  </w:style>
  <w:style w:type="paragraph" w:styleId="ListNumber">
    <w:name w:val="List Number"/>
    <w:basedOn w:val="Normal"/>
    <w:rsid w:val="0047629D"/>
    <w:pPr>
      <w:numPr>
        <w:numId w:val="4"/>
      </w:numPr>
    </w:pPr>
    <w:rPr>
      <w:rFonts w:eastAsia="Times New Roman"/>
      <w:lang w:eastAsia="de-DE"/>
    </w:rPr>
  </w:style>
  <w:style w:type="paragraph" w:customStyle="1" w:styleId="ListBullet1">
    <w:name w:val="List Bullet 1"/>
    <w:basedOn w:val="Normal"/>
    <w:rsid w:val="0047629D"/>
    <w:pPr>
      <w:numPr>
        <w:numId w:val="1"/>
      </w:numPr>
    </w:pPr>
    <w:rPr>
      <w:rFonts w:eastAsia="Times New Roman"/>
      <w:lang w:eastAsia="de-DE"/>
    </w:rPr>
  </w:style>
  <w:style w:type="paragraph" w:customStyle="1" w:styleId="ListDash">
    <w:name w:val="List Dash"/>
    <w:basedOn w:val="Normal"/>
    <w:rsid w:val="0047629D"/>
    <w:pPr>
      <w:numPr>
        <w:numId w:val="3"/>
      </w:numPr>
    </w:pPr>
    <w:rPr>
      <w:rFonts w:eastAsia="Times New Roman"/>
      <w:lang w:eastAsia="de-DE"/>
    </w:rPr>
  </w:style>
  <w:style w:type="paragraph" w:customStyle="1" w:styleId="ListDash1">
    <w:name w:val="List Dash 1"/>
    <w:basedOn w:val="Normal"/>
    <w:rsid w:val="0047629D"/>
    <w:rPr>
      <w:rFonts w:eastAsia="Times New Roman"/>
      <w:lang w:eastAsia="de-DE"/>
    </w:rPr>
  </w:style>
  <w:style w:type="paragraph" w:customStyle="1" w:styleId="ListDash2">
    <w:name w:val="List Dash 2"/>
    <w:basedOn w:val="Normal"/>
    <w:rsid w:val="0047629D"/>
    <w:rPr>
      <w:rFonts w:eastAsia="Times New Roman"/>
      <w:lang w:eastAsia="de-DE"/>
    </w:rPr>
  </w:style>
  <w:style w:type="paragraph" w:customStyle="1" w:styleId="ListNumberLevel2">
    <w:name w:val="List Number (Level 2)"/>
    <w:basedOn w:val="Normal"/>
    <w:rsid w:val="0047629D"/>
    <w:pPr>
      <w:numPr>
        <w:ilvl w:val="1"/>
        <w:numId w:val="4"/>
      </w:numPr>
    </w:pPr>
    <w:rPr>
      <w:rFonts w:eastAsia="Times New Roman"/>
      <w:lang w:eastAsia="de-DE"/>
    </w:rPr>
  </w:style>
  <w:style w:type="paragraph" w:customStyle="1" w:styleId="ListNumberLevel3">
    <w:name w:val="List Number (Level 3)"/>
    <w:basedOn w:val="Normal"/>
    <w:rsid w:val="0047629D"/>
    <w:pPr>
      <w:numPr>
        <w:ilvl w:val="2"/>
        <w:numId w:val="4"/>
      </w:numPr>
    </w:pPr>
    <w:rPr>
      <w:rFonts w:eastAsia="Times New Roman"/>
      <w:lang w:eastAsia="de-DE"/>
    </w:rPr>
  </w:style>
  <w:style w:type="paragraph" w:customStyle="1" w:styleId="ListNumberLevel4">
    <w:name w:val="List Number (Level 4)"/>
    <w:basedOn w:val="Normal"/>
    <w:rsid w:val="0047629D"/>
    <w:pPr>
      <w:numPr>
        <w:ilvl w:val="3"/>
        <w:numId w:val="4"/>
      </w:numPr>
    </w:pPr>
    <w:rPr>
      <w:rFonts w:eastAsia="Times New Roman"/>
      <w:lang w:eastAsia="de-DE"/>
    </w:rPr>
  </w:style>
  <w:style w:type="table" w:styleId="TableGrid">
    <w:name w:val="Table Grid"/>
    <w:basedOn w:val="TableNormal"/>
    <w:rsid w:val="0047629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7629D"/>
    <w:pPr>
      <w:numPr>
        <w:numId w:val="5"/>
      </w:numPr>
    </w:pPr>
    <w:rPr>
      <w:rFonts w:eastAsia="Times New Roman"/>
      <w:lang w:eastAsia="en-GB"/>
    </w:rPr>
  </w:style>
  <w:style w:type="paragraph" w:styleId="ListBullet2">
    <w:name w:val="List Bullet 2"/>
    <w:basedOn w:val="Normal"/>
    <w:rsid w:val="0047629D"/>
    <w:pPr>
      <w:numPr>
        <w:numId w:val="6"/>
      </w:numPr>
    </w:pPr>
    <w:rPr>
      <w:rFonts w:eastAsia="Times New Roman"/>
      <w:lang w:eastAsia="en-GB"/>
    </w:rPr>
  </w:style>
  <w:style w:type="paragraph" w:styleId="ListBullet3">
    <w:name w:val="List Bullet 3"/>
    <w:basedOn w:val="Normal"/>
    <w:rsid w:val="0047629D"/>
    <w:pPr>
      <w:numPr>
        <w:numId w:val="7"/>
      </w:numPr>
    </w:pPr>
    <w:rPr>
      <w:rFonts w:eastAsia="Times New Roman"/>
      <w:lang w:eastAsia="en-GB"/>
    </w:rPr>
  </w:style>
  <w:style w:type="paragraph" w:styleId="ListNumber2">
    <w:name w:val="List Number 2"/>
    <w:basedOn w:val="Normal"/>
    <w:rsid w:val="0047629D"/>
    <w:pPr>
      <w:numPr>
        <w:numId w:val="11"/>
      </w:numPr>
    </w:pPr>
    <w:rPr>
      <w:rFonts w:eastAsia="Times New Roman"/>
      <w:lang w:eastAsia="en-GB"/>
    </w:rPr>
  </w:style>
  <w:style w:type="paragraph" w:styleId="ListNumber3">
    <w:name w:val="List Number 3"/>
    <w:basedOn w:val="Normal"/>
    <w:rsid w:val="0047629D"/>
    <w:pPr>
      <w:numPr>
        <w:numId w:val="12"/>
      </w:numPr>
    </w:pPr>
    <w:rPr>
      <w:rFonts w:eastAsia="Times New Roman"/>
      <w:lang w:eastAsia="en-GB"/>
    </w:rPr>
  </w:style>
  <w:style w:type="paragraph" w:styleId="ListNumber4">
    <w:name w:val="List Number 4"/>
    <w:basedOn w:val="Normal"/>
    <w:rsid w:val="0047629D"/>
    <w:pPr>
      <w:numPr>
        <w:numId w:val="13"/>
      </w:numPr>
    </w:pPr>
    <w:rPr>
      <w:rFonts w:eastAsia="Times New Roman"/>
      <w:lang w:eastAsia="en-GB"/>
    </w:rPr>
  </w:style>
  <w:style w:type="paragraph" w:customStyle="1" w:styleId="ListDash3">
    <w:name w:val="List Dash 3"/>
    <w:basedOn w:val="Normal"/>
    <w:rsid w:val="0047629D"/>
    <w:pPr>
      <w:numPr>
        <w:numId w:val="8"/>
      </w:numPr>
    </w:pPr>
    <w:rPr>
      <w:rFonts w:eastAsia="Times New Roman"/>
      <w:lang w:eastAsia="en-GB"/>
    </w:rPr>
  </w:style>
  <w:style w:type="paragraph" w:customStyle="1" w:styleId="ListDash4">
    <w:name w:val="List Dash 4"/>
    <w:basedOn w:val="Normal"/>
    <w:rsid w:val="0047629D"/>
    <w:pPr>
      <w:numPr>
        <w:numId w:val="9"/>
      </w:numPr>
    </w:pPr>
    <w:rPr>
      <w:rFonts w:eastAsia="Times New Roman"/>
      <w:lang w:eastAsia="en-GB"/>
    </w:rPr>
  </w:style>
  <w:style w:type="paragraph" w:customStyle="1" w:styleId="ListNumber1">
    <w:name w:val="List Number 1"/>
    <w:basedOn w:val="Text1"/>
    <w:rsid w:val="0047629D"/>
    <w:pPr>
      <w:numPr>
        <w:numId w:val="10"/>
      </w:numPr>
    </w:pPr>
    <w:rPr>
      <w:rFonts w:eastAsia="Times New Roman"/>
      <w:lang w:eastAsia="en-GB"/>
    </w:rPr>
  </w:style>
  <w:style w:type="paragraph" w:customStyle="1" w:styleId="ListNumber1Level2">
    <w:name w:val="List Number 1 (Level 2)"/>
    <w:basedOn w:val="Text1"/>
    <w:rsid w:val="0047629D"/>
    <w:pPr>
      <w:numPr>
        <w:ilvl w:val="1"/>
        <w:numId w:val="10"/>
      </w:numPr>
    </w:pPr>
    <w:rPr>
      <w:rFonts w:eastAsia="Times New Roman"/>
      <w:lang w:eastAsia="en-GB"/>
    </w:rPr>
  </w:style>
  <w:style w:type="paragraph" w:customStyle="1" w:styleId="ListNumber2Level2">
    <w:name w:val="List Number 2 (Level 2)"/>
    <w:basedOn w:val="Text2"/>
    <w:rsid w:val="0047629D"/>
    <w:pPr>
      <w:numPr>
        <w:ilvl w:val="1"/>
        <w:numId w:val="11"/>
      </w:numPr>
    </w:pPr>
    <w:rPr>
      <w:rFonts w:eastAsia="Times New Roman"/>
      <w:lang w:eastAsia="en-GB"/>
    </w:rPr>
  </w:style>
  <w:style w:type="paragraph" w:customStyle="1" w:styleId="ListNumber3Level2">
    <w:name w:val="List Number 3 (Level 2)"/>
    <w:basedOn w:val="Text3"/>
    <w:rsid w:val="0047629D"/>
    <w:pPr>
      <w:numPr>
        <w:ilvl w:val="1"/>
        <w:numId w:val="12"/>
      </w:numPr>
    </w:pPr>
    <w:rPr>
      <w:rFonts w:eastAsia="Times New Roman"/>
      <w:lang w:eastAsia="en-GB"/>
    </w:rPr>
  </w:style>
  <w:style w:type="paragraph" w:customStyle="1" w:styleId="ListNumber4Level2">
    <w:name w:val="List Number 4 (Level 2)"/>
    <w:basedOn w:val="Text4"/>
    <w:rsid w:val="0047629D"/>
    <w:pPr>
      <w:numPr>
        <w:ilvl w:val="1"/>
        <w:numId w:val="13"/>
      </w:numPr>
    </w:pPr>
    <w:rPr>
      <w:rFonts w:eastAsia="Times New Roman"/>
      <w:lang w:eastAsia="en-GB"/>
    </w:rPr>
  </w:style>
  <w:style w:type="paragraph" w:customStyle="1" w:styleId="ListNumber1Level3">
    <w:name w:val="List Number 1 (Level 3)"/>
    <w:basedOn w:val="Text1"/>
    <w:rsid w:val="0047629D"/>
    <w:pPr>
      <w:numPr>
        <w:ilvl w:val="2"/>
        <w:numId w:val="10"/>
      </w:numPr>
    </w:pPr>
    <w:rPr>
      <w:rFonts w:eastAsia="Times New Roman"/>
      <w:lang w:eastAsia="en-GB"/>
    </w:rPr>
  </w:style>
  <w:style w:type="paragraph" w:customStyle="1" w:styleId="ListNumber2Level3">
    <w:name w:val="List Number 2 (Level 3)"/>
    <w:basedOn w:val="Text2"/>
    <w:rsid w:val="0047629D"/>
    <w:pPr>
      <w:numPr>
        <w:ilvl w:val="2"/>
        <w:numId w:val="11"/>
      </w:numPr>
    </w:pPr>
    <w:rPr>
      <w:rFonts w:eastAsia="Times New Roman"/>
      <w:lang w:eastAsia="en-GB"/>
    </w:rPr>
  </w:style>
  <w:style w:type="paragraph" w:customStyle="1" w:styleId="ListNumber3Level3">
    <w:name w:val="List Number 3 (Level 3)"/>
    <w:basedOn w:val="Text3"/>
    <w:rsid w:val="0047629D"/>
    <w:pPr>
      <w:numPr>
        <w:ilvl w:val="2"/>
        <w:numId w:val="12"/>
      </w:numPr>
    </w:pPr>
    <w:rPr>
      <w:rFonts w:eastAsia="Times New Roman"/>
      <w:lang w:eastAsia="en-GB"/>
    </w:rPr>
  </w:style>
  <w:style w:type="paragraph" w:customStyle="1" w:styleId="ListNumber4Level3">
    <w:name w:val="List Number 4 (Level 3)"/>
    <w:basedOn w:val="Text4"/>
    <w:rsid w:val="0047629D"/>
    <w:pPr>
      <w:numPr>
        <w:ilvl w:val="2"/>
        <w:numId w:val="13"/>
      </w:numPr>
    </w:pPr>
    <w:rPr>
      <w:rFonts w:eastAsia="Times New Roman"/>
      <w:lang w:eastAsia="en-GB"/>
    </w:rPr>
  </w:style>
  <w:style w:type="paragraph" w:customStyle="1" w:styleId="ListNumber1Level4">
    <w:name w:val="List Number 1 (Level 4)"/>
    <w:basedOn w:val="Text1"/>
    <w:rsid w:val="0047629D"/>
    <w:pPr>
      <w:numPr>
        <w:ilvl w:val="3"/>
        <w:numId w:val="10"/>
      </w:numPr>
    </w:pPr>
    <w:rPr>
      <w:rFonts w:eastAsia="Times New Roman"/>
      <w:lang w:eastAsia="en-GB"/>
    </w:rPr>
  </w:style>
  <w:style w:type="paragraph" w:customStyle="1" w:styleId="ListNumber2Level4">
    <w:name w:val="List Number 2 (Level 4)"/>
    <w:basedOn w:val="Text2"/>
    <w:rsid w:val="0047629D"/>
    <w:pPr>
      <w:numPr>
        <w:ilvl w:val="3"/>
        <w:numId w:val="11"/>
      </w:numPr>
    </w:pPr>
    <w:rPr>
      <w:rFonts w:eastAsia="Times New Roman"/>
      <w:lang w:eastAsia="en-GB"/>
    </w:rPr>
  </w:style>
  <w:style w:type="paragraph" w:customStyle="1" w:styleId="ListNumber3Level4">
    <w:name w:val="List Number 3 (Level 4)"/>
    <w:basedOn w:val="Text3"/>
    <w:rsid w:val="0047629D"/>
    <w:pPr>
      <w:numPr>
        <w:ilvl w:val="3"/>
        <w:numId w:val="12"/>
      </w:numPr>
    </w:pPr>
    <w:rPr>
      <w:rFonts w:eastAsia="Times New Roman"/>
      <w:lang w:eastAsia="en-GB"/>
    </w:rPr>
  </w:style>
  <w:style w:type="paragraph" w:customStyle="1" w:styleId="ListNumber4Level4">
    <w:name w:val="List Number 4 (Level 4)"/>
    <w:basedOn w:val="Text4"/>
    <w:rsid w:val="0047629D"/>
    <w:pPr>
      <w:numPr>
        <w:ilvl w:val="3"/>
        <w:numId w:val="13"/>
      </w:numPr>
    </w:pPr>
    <w:rPr>
      <w:rFonts w:eastAsia="Times New Roman"/>
      <w:lang w:eastAsia="en-GB"/>
    </w:rPr>
  </w:style>
  <w:style w:type="paragraph" w:customStyle="1" w:styleId="Annexetitreacte">
    <w:name w:val="Annexe titre (acte)"/>
    <w:basedOn w:val="Normal"/>
    <w:next w:val="Normal"/>
    <w:rsid w:val="0047629D"/>
    <w:pPr>
      <w:jc w:val="center"/>
    </w:pPr>
    <w:rPr>
      <w:rFonts w:eastAsia="Times New Roman"/>
      <w:b/>
      <w:u w:val="single"/>
      <w:lang w:eastAsia="en-GB"/>
    </w:rPr>
  </w:style>
  <w:style w:type="paragraph" w:customStyle="1" w:styleId="Annexetitreexposglobal">
    <w:name w:val="Annexe titre (exposé global)"/>
    <w:basedOn w:val="Normal"/>
    <w:next w:val="Normal"/>
    <w:rsid w:val="0047629D"/>
    <w:pPr>
      <w:jc w:val="center"/>
    </w:pPr>
    <w:rPr>
      <w:rFonts w:eastAsia="Times New Roman"/>
      <w:b/>
      <w:u w:val="single"/>
      <w:lang w:eastAsia="en-GB"/>
    </w:rPr>
  </w:style>
  <w:style w:type="paragraph" w:customStyle="1" w:styleId="Annexetitrefichefinacte">
    <w:name w:val="Annexe titre (fiche fin. acte)"/>
    <w:basedOn w:val="Normal"/>
    <w:next w:val="Normal"/>
    <w:rsid w:val="0047629D"/>
    <w:pPr>
      <w:jc w:val="center"/>
    </w:pPr>
    <w:rPr>
      <w:rFonts w:eastAsia="Times New Roman"/>
      <w:b/>
      <w:u w:val="single"/>
      <w:lang w:eastAsia="en-GB"/>
    </w:rPr>
  </w:style>
  <w:style w:type="paragraph" w:customStyle="1" w:styleId="Annexetitrefichefinglobale">
    <w:name w:val="Annexe titre (fiche fin. globale)"/>
    <w:basedOn w:val="Normal"/>
    <w:next w:val="Normal"/>
    <w:rsid w:val="0047629D"/>
    <w:pPr>
      <w:jc w:val="center"/>
    </w:pPr>
    <w:rPr>
      <w:rFonts w:eastAsia="Times New Roman"/>
      <w:b/>
      <w:u w:val="single"/>
      <w:lang w:eastAsia="en-GB"/>
    </w:rPr>
  </w:style>
  <w:style w:type="paragraph" w:customStyle="1" w:styleId="Annexetitreglobale">
    <w:name w:val="Annexe titre (globale)"/>
    <w:basedOn w:val="Normal"/>
    <w:next w:val="Normal"/>
    <w:rsid w:val="0047629D"/>
    <w:pPr>
      <w:jc w:val="center"/>
    </w:pPr>
    <w:rPr>
      <w:rFonts w:eastAsia="Times New Roman"/>
      <w:b/>
      <w:u w:val="single"/>
      <w:lang w:eastAsia="en-GB"/>
    </w:rPr>
  </w:style>
  <w:style w:type="paragraph" w:customStyle="1" w:styleId="Exposdesmotifstitreglobal">
    <w:name w:val="Exposé des motifs titre (global)"/>
    <w:basedOn w:val="Normal"/>
    <w:next w:val="Normal"/>
    <w:rsid w:val="0047629D"/>
    <w:pPr>
      <w:jc w:val="center"/>
    </w:pPr>
    <w:rPr>
      <w:rFonts w:eastAsia="Times New Roman"/>
      <w:b/>
      <w:u w:val="single"/>
      <w:lang w:eastAsia="en-GB"/>
    </w:rPr>
  </w:style>
  <w:style w:type="paragraph" w:customStyle="1" w:styleId="Langueoriginale">
    <w:name w:val="Langue originale"/>
    <w:basedOn w:val="Normal"/>
    <w:rsid w:val="0047629D"/>
    <w:pPr>
      <w:spacing w:before="360"/>
      <w:jc w:val="center"/>
    </w:pPr>
    <w:rPr>
      <w:rFonts w:eastAsia="Times New Roman"/>
      <w:caps/>
      <w:lang w:eastAsia="en-GB"/>
    </w:rPr>
  </w:style>
  <w:style w:type="paragraph" w:customStyle="1" w:styleId="Phrasefinale">
    <w:name w:val="Phrase finale"/>
    <w:basedOn w:val="Normal"/>
    <w:next w:val="Normal"/>
    <w:rsid w:val="0047629D"/>
    <w:pPr>
      <w:spacing w:before="360" w:after="0"/>
      <w:jc w:val="center"/>
    </w:pPr>
    <w:rPr>
      <w:rFonts w:eastAsia="Times New Roman"/>
      <w:lang w:eastAsia="en-GB"/>
    </w:rPr>
  </w:style>
  <w:style w:type="paragraph" w:customStyle="1" w:styleId="Prliminairetitre">
    <w:name w:val="Préliminaire titre"/>
    <w:basedOn w:val="Normal"/>
    <w:next w:val="Normal"/>
    <w:rsid w:val="0047629D"/>
    <w:pPr>
      <w:spacing w:before="360" w:after="360"/>
      <w:jc w:val="center"/>
    </w:pPr>
    <w:rPr>
      <w:rFonts w:eastAsia="Times New Roman"/>
      <w:b/>
      <w:lang w:eastAsia="en-GB"/>
    </w:rPr>
  </w:style>
  <w:style w:type="paragraph" w:customStyle="1" w:styleId="Prliminairetype">
    <w:name w:val="Préliminaire type"/>
    <w:basedOn w:val="Normal"/>
    <w:next w:val="Normal"/>
    <w:rsid w:val="0047629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7629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7629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7629D"/>
    <w:pPr>
      <w:spacing w:before="0" w:after="0"/>
      <w:ind w:left="5103"/>
      <w:jc w:val="left"/>
    </w:pPr>
    <w:rPr>
      <w:rFonts w:eastAsia="Times New Roman"/>
      <w:lang w:eastAsia="en-GB"/>
    </w:rPr>
  </w:style>
  <w:style w:type="paragraph" w:customStyle="1" w:styleId="Sous-titreobjetprliminaire">
    <w:name w:val="Sous-titre objet (préliminaire)"/>
    <w:basedOn w:val="Normal"/>
    <w:rsid w:val="0047629D"/>
    <w:pPr>
      <w:spacing w:before="0" w:after="0"/>
      <w:jc w:val="center"/>
    </w:pPr>
    <w:rPr>
      <w:rFonts w:eastAsia="Times New Roman"/>
      <w:b/>
      <w:lang w:eastAsia="en-GB"/>
    </w:rPr>
  </w:style>
  <w:style w:type="paragraph" w:customStyle="1" w:styleId="Statutprliminaire">
    <w:name w:val="Statut (préliminaire)"/>
    <w:basedOn w:val="Normal"/>
    <w:next w:val="Normal"/>
    <w:rsid w:val="0047629D"/>
    <w:pPr>
      <w:spacing w:before="360" w:after="0"/>
      <w:jc w:val="center"/>
    </w:pPr>
    <w:rPr>
      <w:rFonts w:eastAsia="Times New Roman"/>
      <w:lang w:eastAsia="en-GB"/>
    </w:rPr>
  </w:style>
  <w:style w:type="paragraph" w:customStyle="1" w:styleId="Titreobjetprliminaire">
    <w:name w:val="Titre objet (préliminaire)"/>
    <w:basedOn w:val="Normal"/>
    <w:next w:val="Normal"/>
    <w:rsid w:val="0047629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7629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7629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7629D"/>
    <w:pPr>
      <w:jc w:val="center"/>
    </w:pPr>
    <w:rPr>
      <w:rFonts w:eastAsia="Times New Roman"/>
      <w:b/>
      <w:u w:val="single"/>
      <w:lang w:eastAsia="en-GB"/>
    </w:rPr>
  </w:style>
  <w:style w:type="paragraph" w:customStyle="1" w:styleId="Fichefinanciretravailtitre">
    <w:name w:val="Fiche financière (travail) titre"/>
    <w:basedOn w:val="Normal"/>
    <w:next w:val="Normal"/>
    <w:rsid w:val="0047629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7629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7629D"/>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7629D"/>
    <w:pPr>
      <w:jc w:val="center"/>
    </w:pPr>
    <w:rPr>
      <w:rFonts w:eastAsia="Times New Roman"/>
      <w:b/>
      <w:u w:val="single"/>
      <w:lang w:eastAsia="en-GB"/>
    </w:rPr>
  </w:style>
  <w:style w:type="character" w:styleId="CommentReference">
    <w:name w:val="annotation reference"/>
    <w:rsid w:val="0047629D"/>
    <w:rPr>
      <w:rFonts w:cs="Times New Roman"/>
      <w:sz w:val="16"/>
      <w:szCs w:val="16"/>
    </w:rPr>
  </w:style>
  <w:style w:type="paragraph" w:styleId="CommentText">
    <w:name w:val="annotation text"/>
    <w:aliases w:val="Char2"/>
    <w:basedOn w:val="Normal"/>
    <w:link w:val="CommentTextChar"/>
    <w:qFormat/>
    <w:rsid w:val="0047629D"/>
    <w:rPr>
      <w:rFonts w:eastAsia="Times New Roman"/>
      <w:sz w:val="20"/>
      <w:szCs w:val="20"/>
      <w:lang w:eastAsia="en-GB"/>
    </w:rPr>
  </w:style>
  <w:style w:type="character" w:customStyle="1" w:styleId="CommentTextChar">
    <w:name w:val="Comment Text Char"/>
    <w:aliases w:val="Char2 Char"/>
    <w:basedOn w:val="DefaultParagraphFont"/>
    <w:link w:val="CommentText"/>
    <w:rsid w:val="0047629D"/>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47629D"/>
    <w:rPr>
      <w:b/>
      <w:bCs/>
    </w:rPr>
  </w:style>
  <w:style w:type="character" w:customStyle="1" w:styleId="CommentSubjectChar">
    <w:name w:val="Comment Subject Char"/>
    <w:basedOn w:val="CommentTextChar"/>
    <w:link w:val="CommentSubject"/>
    <w:rsid w:val="0047629D"/>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47629D"/>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7629D"/>
    <w:rPr>
      <w:rFonts w:ascii="Tahoma" w:eastAsia="Times New Roman" w:hAnsi="Tahoma" w:cs="Tahoma"/>
      <w:sz w:val="16"/>
      <w:szCs w:val="16"/>
      <w:lang w:val="pl-PL" w:eastAsia="en-GB"/>
    </w:rPr>
  </w:style>
  <w:style w:type="paragraph" w:styleId="Caption">
    <w:name w:val="caption"/>
    <w:basedOn w:val="Normal"/>
    <w:next w:val="Normal"/>
    <w:qFormat/>
    <w:rsid w:val="0047629D"/>
    <w:rPr>
      <w:rFonts w:eastAsia="Times New Roman"/>
      <w:b/>
      <w:bCs/>
      <w:sz w:val="20"/>
      <w:szCs w:val="20"/>
      <w:lang w:eastAsia="en-GB"/>
    </w:rPr>
  </w:style>
  <w:style w:type="paragraph" w:styleId="TableofFigures">
    <w:name w:val="table of figures"/>
    <w:basedOn w:val="Normal"/>
    <w:next w:val="Normal"/>
    <w:rsid w:val="0047629D"/>
    <w:rPr>
      <w:rFonts w:eastAsia="Times New Roman"/>
      <w:lang w:eastAsia="en-GB"/>
    </w:rPr>
  </w:style>
  <w:style w:type="character" w:styleId="PageNumber">
    <w:name w:val="page number"/>
    <w:rsid w:val="0047629D"/>
  </w:style>
  <w:style w:type="character" w:customStyle="1" w:styleId="tw4winMark">
    <w:name w:val="tw4winMark"/>
    <w:rsid w:val="0047629D"/>
    <w:rPr>
      <w:vanish/>
      <w:color w:val="800080"/>
      <w:vertAlign w:val="subscript"/>
    </w:rPr>
  </w:style>
  <w:style w:type="character" w:styleId="FollowedHyperlink">
    <w:name w:val="FollowedHyperlink"/>
    <w:rsid w:val="0047629D"/>
    <w:rPr>
      <w:color w:val="800080"/>
      <w:u w:val="single"/>
    </w:rPr>
  </w:style>
  <w:style w:type="paragraph" w:customStyle="1" w:styleId="Sous-titreobjet">
    <w:name w:val="Sous-titre objet"/>
    <w:basedOn w:val="Normal"/>
    <w:rsid w:val="0047629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7629D"/>
  </w:style>
  <w:style w:type="paragraph" w:styleId="Revision">
    <w:name w:val="Revision"/>
    <w:hidden/>
    <w:uiPriority w:val="99"/>
    <w:semiHidden/>
    <w:rsid w:val="0047629D"/>
    <w:rPr>
      <w:rFonts w:ascii="Calibri" w:eastAsia="Calibri" w:hAnsi="Calibri" w:cs="Times New Roman"/>
      <w:sz w:val="24"/>
      <w:lang w:eastAsia="en-GB"/>
    </w:rPr>
  </w:style>
  <w:style w:type="paragraph" w:customStyle="1" w:styleId="FooterCoverPage">
    <w:name w:val="Footer Cover Page"/>
    <w:basedOn w:val="Normal"/>
    <w:link w:val="FooterCoverPageChar"/>
    <w:rsid w:val="0047629D"/>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7629D"/>
    <w:rPr>
      <w:rFonts w:ascii="Times New Roman" w:hAnsi="Times New Roman" w:cs="Times New Roman"/>
      <w:b/>
      <w:sz w:val="28"/>
      <w:lang w:val="pl-PL"/>
    </w:rPr>
  </w:style>
  <w:style w:type="character" w:customStyle="1" w:styleId="FooterCoverPageChar">
    <w:name w:val="Footer Cover Page Char"/>
    <w:link w:val="FooterCoverPage"/>
    <w:rsid w:val="0047629D"/>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47629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7629D"/>
    <w:rPr>
      <w:rFonts w:ascii="Times New Roman" w:eastAsia="Calibri" w:hAnsi="Times New Roman" w:cs="Times New Roman"/>
      <w:sz w:val="24"/>
      <w:lang w:val="pl-PL" w:eastAsia="en-GB"/>
    </w:rPr>
  </w:style>
  <w:style w:type="paragraph" w:styleId="ListParagraph">
    <w:name w:val="List Paragraph"/>
    <w:basedOn w:val="Normal"/>
    <w:uiPriority w:val="34"/>
    <w:qFormat/>
    <w:rsid w:val="00EE492F"/>
    <w:pPr>
      <w:ind w:left="720"/>
      <w:contextualSpacing/>
    </w:pPr>
  </w:style>
  <w:style w:type="paragraph" w:customStyle="1" w:styleId="Default">
    <w:name w:val="Default"/>
    <w:rsid w:val="002821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11">
    <w:name w:val="Table 11"/>
    <w:basedOn w:val="TableNormal"/>
    <w:uiPriority w:val="99"/>
    <w:rsid w:val="002821B9"/>
    <w:pPr>
      <w:spacing w:after="0" w:line="240" w:lineRule="auto"/>
      <w:jc w:val="center"/>
    </w:pPr>
    <w:rPr>
      <w:rFonts w:ascii="Trebuchet MS" w:hAnsi="Trebuchet MS"/>
      <w:sz w:val="16"/>
      <w:szCs w:val="20"/>
      <w:lang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paragraph" w:customStyle="1" w:styleId="foonote">
    <w:name w:val="foonote"/>
    <w:basedOn w:val="FootnoteText"/>
    <w:link w:val="foonoteChar"/>
    <w:qFormat/>
    <w:rsid w:val="00BE0263"/>
    <w:pPr>
      <w:ind w:left="0" w:firstLine="0"/>
      <w:jc w:val="left"/>
    </w:pPr>
    <w:rPr>
      <w:rFonts w:eastAsia="Calibri"/>
      <w:sz w:val="16"/>
      <w:szCs w:val="16"/>
    </w:rPr>
  </w:style>
  <w:style w:type="character" w:customStyle="1" w:styleId="foonoteChar">
    <w:name w:val="foonote Char"/>
    <w:basedOn w:val="DefaultParagraphFont"/>
    <w:link w:val="foonote"/>
    <w:rsid w:val="00BE0263"/>
    <w:rPr>
      <w:rFonts w:ascii="Times New Roman" w:eastAsia="Calibri" w:hAnsi="Times New Roman" w:cs="Times New Roman"/>
      <w:sz w:val="16"/>
      <w:szCs w:val="16"/>
    </w:rPr>
  </w:style>
  <w:style w:type="table" w:customStyle="1" w:styleId="TableGrid1">
    <w:name w:val="Table Grid1"/>
    <w:basedOn w:val="TableNormal"/>
    <w:next w:val="TableGrid"/>
    <w:rsid w:val="00BE0263"/>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1E72"/>
    <w:rPr>
      <w:color w:val="605E5C"/>
      <w:shd w:val="clear" w:color="auto" w:fill="E1DFDD"/>
    </w:rPr>
  </w:style>
  <w:style w:type="numbering" w:customStyle="1" w:styleId="NoList1">
    <w:name w:val="No List1"/>
    <w:next w:val="NoList"/>
    <w:uiPriority w:val="99"/>
    <w:semiHidden/>
    <w:unhideWhenUsed/>
    <w:rsid w:val="004723CD"/>
  </w:style>
  <w:style w:type="table" w:customStyle="1" w:styleId="TableGrid2">
    <w:name w:val="Table Grid2"/>
    <w:basedOn w:val="TableNormal"/>
    <w:next w:val="TableGrid"/>
    <w:rsid w:val="004723C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1">
    <w:name w:val="Table 111"/>
    <w:basedOn w:val="TableNormal"/>
    <w:uiPriority w:val="99"/>
    <w:rsid w:val="004723CD"/>
    <w:pPr>
      <w:spacing w:after="0" w:line="240" w:lineRule="auto"/>
      <w:jc w:val="center"/>
    </w:pPr>
    <w:rPr>
      <w:rFonts w:ascii="Trebuchet MS" w:hAnsi="Trebuchet MS"/>
      <w:sz w:val="16"/>
      <w:szCs w:val="20"/>
      <w:lang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1">
    <w:name w:val="Table Grid11"/>
    <w:basedOn w:val="TableNormal"/>
    <w:next w:val="TableGrid"/>
    <w:rsid w:val="004723C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1C0111"/>
    <w:rPr>
      <w:rFonts w:asciiTheme="majorHAnsi" w:eastAsiaTheme="majorEastAsia" w:hAnsiTheme="majorHAnsi" w:cstheme="majorBidi"/>
      <w:color w:val="272727" w:themeColor="text1" w:themeTint="D8"/>
      <w:sz w:val="21"/>
      <w:szCs w:val="21"/>
      <w:lang w:val="pl-PL" w:eastAsia="en-GB"/>
    </w:rPr>
  </w:style>
  <w:style w:type="numbering" w:customStyle="1" w:styleId="NoList2">
    <w:name w:val="No List2"/>
    <w:next w:val="NoList"/>
    <w:uiPriority w:val="99"/>
    <w:semiHidden/>
    <w:unhideWhenUsed/>
    <w:rsid w:val="001C0111"/>
  </w:style>
  <w:style w:type="character" w:customStyle="1" w:styleId="normaltextrun">
    <w:name w:val="normaltextrun"/>
    <w:basedOn w:val="DefaultParagraphFont"/>
    <w:rsid w:val="001C0111"/>
  </w:style>
  <w:style w:type="paragraph" w:styleId="List2">
    <w:name w:val="List 2"/>
    <w:basedOn w:val="Normal"/>
    <w:uiPriority w:val="99"/>
    <w:unhideWhenUsed/>
    <w:rsid w:val="001C0111"/>
    <w:pPr>
      <w:ind w:left="566" w:hanging="283"/>
      <w:contextualSpacing/>
    </w:pPr>
    <w:rPr>
      <w:lang w:eastAsia="en-GB"/>
    </w:rPr>
  </w:style>
  <w:style w:type="paragraph" w:styleId="Title">
    <w:name w:val="Title"/>
    <w:basedOn w:val="Normal"/>
    <w:next w:val="Normal"/>
    <w:link w:val="TitleChar"/>
    <w:uiPriority w:val="10"/>
    <w:qFormat/>
    <w:rsid w:val="001C0111"/>
    <w:pPr>
      <w:spacing w:before="0"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C0111"/>
    <w:rPr>
      <w:rFonts w:asciiTheme="majorHAnsi" w:eastAsiaTheme="majorEastAsia" w:hAnsiTheme="majorHAnsi" w:cstheme="majorBidi"/>
      <w:spacing w:val="-10"/>
      <w:kern w:val="28"/>
      <w:sz w:val="56"/>
      <w:szCs w:val="56"/>
      <w:lang w:val="pl-PL" w:eastAsia="en-GB"/>
    </w:rPr>
  </w:style>
  <w:style w:type="paragraph" w:styleId="BodyText">
    <w:name w:val="Body Text"/>
    <w:basedOn w:val="Normal"/>
    <w:link w:val="BodyTextChar"/>
    <w:uiPriority w:val="99"/>
    <w:unhideWhenUsed/>
    <w:rsid w:val="001C0111"/>
    <w:rPr>
      <w:lang w:eastAsia="en-GB"/>
    </w:rPr>
  </w:style>
  <w:style w:type="character" w:customStyle="1" w:styleId="BodyTextChar">
    <w:name w:val="Body Text Char"/>
    <w:basedOn w:val="DefaultParagraphFont"/>
    <w:link w:val="BodyText"/>
    <w:uiPriority w:val="99"/>
    <w:rsid w:val="001C0111"/>
    <w:rPr>
      <w:rFonts w:ascii="Times New Roman" w:hAnsi="Times New Roman" w:cs="Times New Roman"/>
      <w:sz w:val="24"/>
      <w:lang w:val="pl-PL" w:eastAsia="en-GB"/>
    </w:rPr>
  </w:style>
  <w:style w:type="paragraph" w:styleId="BodyTextIndent">
    <w:name w:val="Body Text Indent"/>
    <w:basedOn w:val="Normal"/>
    <w:link w:val="BodyTextIndentChar"/>
    <w:uiPriority w:val="99"/>
    <w:unhideWhenUsed/>
    <w:rsid w:val="001C0111"/>
    <w:pPr>
      <w:ind w:left="283"/>
    </w:pPr>
    <w:rPr>
      <w:lang w:eastAsia="en-GB"/>
    </w:rPr>
  </w:style>
  <w:style w:type="character" w:customStyle="1" w:styleId="BodyTextIndentChar">
    <w:name w:val="Body Text Indent Char"/>
    <w:basedOn w:val="DefaultParagraphFont"/>
    <w:link w:val="BodyTextIndent"/>
    <w:uiPriority w:val="99"/>
    <w:rsid w:val="001C0111"/>
    <w:rPr>
      <w:rFonts w:ascii="Times New Roman" w:hAnsi="Times New Roman" w:cs="Times New Roman"/>
      <w:sz w:val="24"/>
      <w:lang w:val="pl-PL" w:eastAsia="en-GB"/>
    </w:rPr>
  </w:style>
  <w:style w:type="paragraph" w:styleId="BodyTextFirstIndent2">
    <w:name w:val="Body Text First Indent 2"/>
    <w:basedOn w:val="BodyTextIndent"/>
    <w:link w:val="BodyTextFirstIndent2Char"/>
    <w:uiPriority w:val="99"/>
    <w:unhideWhenUsed/>
    <w:rsid w:val="001C0111"/>
    <w:pPr>
      <w:ind w:left="360" w:firstLine="360"/>
    </w:pPr>
  </w:style>
  <w:style w:type="character" w:customStyle="1" w:styleId="BodyTextFirstIndent2Char">
    <w:name w:val="Body Text First Indent 2 Char"/>
    <w:basedOn w:val="BodyTextIndentChar"/>
    <w:link w:val="BodyTextFirstIndent2"/>
    <w:uiPriority w:val="99"/>
    <w:rsid w:val="001C0111"/>
    <w:rPr>
      <w:rFonts w:ascii="Times New Roman" w:hAnsi="Times New Roman" w:cs="Times New Roman"/>
      <w:sz w:val="24"/>
      <w:lang w:val="pl-PL" w:eastAsia="en-GB"/>
    </w:rPr>
  </w:style>
  <w:style w:type="character" w:customStyle="1" w:styleId="UnresolvedMention">
    <w:name w:val="Unresolved Mention"/>
    <w:basedOn w:val="DefaultParagraphFont"/>
    <w:uiPriority w:val="99"/>
    <w:semiHidden/>
    <w:unhideWhenUsed/>
    <w:rsid w:val="001C0111"/>
    <w:rPr>
      <w:color w:val="605E5C"/>
      <w:shd w:val="clear" w:color="auto" w:fill="E1DFDD"/>
    </w:rPr>
  </w:style>
  <w:style w:type="character" w:styleId="LineNumber">
    <w:name w:val="line number"/>
    <w:basedOn w:val="DefaultParagraphFont"/>
    <w:uiPriority w:val="99"/>
    <w:semiHidden/>
    <w:unhideWhenUsed/>
    <w:rsid w:val="00EB4A15"/>
  </w:style>
  <w:style w:type="paragraph" w:styleId="Header">
    <w:name w:val="header"/>
    <w:basedOn w:val="Normal"/>
    <w:link w:val="HeaderChar"/>
    <w:uiPriority w:val="99"/>
    <w:unhideWhenUsed/>
    <w:rsid w:val="00E25B75"/>
    <w:pPr>
      <w:tabs>
        <w:tab w:val="center" w:pos="4535"/>
        <w:tab w:val="right" w:pos="9071"/>
      </w:tabs>
      <w:spacing w:before="0"/>
    </w:pPr>
  </w:style>
  <w:style w:type="character" w:customStyle="1" w:styleId="HeaderChar">
    <w:name w:val="Header Char"/>
    <w:basedOn w:val="DefaultParagraphFont"/>
    <w:link w:val="Header"/>
    <w:uiPriority w:val="99"/>
    <w:rsid w:val="00E25B75"/>
    <w:rPr>
      <w:rFonts w:ascii="Times New Roman" w:hAnsi="Times New Roman" w:cs="Times New Roman"/>
      <w:sz w:val="24"/>
      <w:lang w:val="pl-PL"/>
    </w:rPr>
  </w:style>
  <w:style w:type="paragraph" w:styleId="Footer">
    <w:name w:val="footer"/>
    <w:basedOn w:val="Normal"/>
    <w:link w:val="FooterChar"/>
    <w:uiPriority w:val="99"/>
    <w:unhideWhenUsed/>
    <w:rsid w:val="00E25B7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25B75"/>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25B75"/>
    <w:pPr>
      <w:tabs>
        <w:tab w:val="center" w:pos="7285"/>
        <w:tab w:val="right" w:pos="14003"/>
      </w:tabs>
      <w:spacing w:before="0"/>
    </w:pPr>
  </w:style>
  <w:style w:type="paragraph" w:customStyle="1" w:styleId="FooterLandscape">
    <w:name w:val="FooterLandscape"/>
    <w:basedOn w:val="Normal"/>
    <w:rsid w:val="00E25B7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25B7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25B75"/>
    <w:pPr>
      <w:spacing w:before="0"/>
      <w:jc w:val="right"/>
    </w:pPr>
    <w:rPr>
      <w:sz w:val="28"/>
    </w:rPr>
  </w:style>
  <w:style w:type="paragraph" w:customStyle="1" w:styleId="FooterSensitivity">
    <w:name w:val="Footer Sensitivity"/>
    <w:basedOn w:val="Normal"/>
    <w:rsid w:val="00E25B7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34E9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09572">
      <w:bodyDiv w:val="1"/>
      <w:marLeft w:val="0"/>
      <w:marRight w:val="0"/>
      <w:marTop w:val="0"/>
      <w:marBottom w:val="0"/>
      <w:divBdr>
        <w:top w:val="none" w:sz="0" w:space="0" w:color="auto"/>
        <w:left w:val="none" w:sz="0" w:space="0" w:color="auto"/>
        <w:bottom w:val="none" w:sz="0" w:space="0" w:color="auto"/>
        <w:right w:val="none" w:sz="0" w:space="0" w:color="auto"/>
      </w:divBdr>
    </w:div>
    <w:div w:id="20872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1-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56"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circabc.europa.eu/ui/group/9ab5926d-bed4-4322-9aa7-9964bbe8312d/library/3eaafe7c-0857-47d4-a896-8022df48d3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DocumentLanguage xmlns="13a9b140-5058-467c-a988-17cc8299bf60">EN</EC_Collab_DocumentLanguage>
    <EC_Collab_Reference xmlns="13a9b140-5058-467c-a988-17cc8299b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8391-98AE-4066-B907-9B45DDA5A559}">
  <ds:schemaRefs>
    <ds:schemaRef ds:uri="http://schemas.microsoft.com/office/2006/metadata/properties"/>
    <ds:schemaRef ds:uri="http://schemas.microsoft.com/office/infopath/2007/PartnerControls"/>
    <ds:schemaRef ds:uri="http://schemas.microsoft.com/sharepoint/v3/fields"/>
    <ds:schemaRef ds:uri="13a9b140-5058-467c-a988-17cc8299bf60"/>
  </ds:schemaRefs>
</ds:datastoreItem>
</file>

<file path=customXml/itemProps2.xml><?xml version="1.0" encoding="utf-8"?>
<ds:datastoreItem xmlns:ds="http://schemas.openxmlformats.org/officeDocument/2006/customXml" ds:itemID="{6057967C-DBDE-4027-865F-CAA96F6B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36103-F325-4E00-85E5-8EB7CE265788}">
  <ds:schemaRefs>
    <ds:schemaRef ds:uri="http://schemas.microsoft.com/sharepoint/v3/contenttype/forms"/>
  </ds:schemaRefs>
</ds:datastoreItem>
</file>

<file path=customXml/itemProps4.xml><?xml version="1.0" encoding="utf-8"?>
<ds:datastoreItem xmlns:ds="http://schemas.openxmlformats.org/officeDocument/2006/customXml" ds:itemID="{85EC4B60-2D73-447A-A41D-7CFDB517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42</TotalTime>
  <Pages>91</Pages>
  <Words>29043</Words>
  <Characters>196622</Characters>
  <Application>Microsoft Office Word</Application>
  <DocSecurity>0</DocSecurity>
  <Lines>4468</Lines>
  <Paragraphs>1556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cp:lastPrinted>2022-10-19T12:35:00Z</cp:lastPrinted>
  <dcterms:created xsi:type="dcterms:W3CDTF">2022-10-25T10:35:00Z</dcterms:created>
  <dcterms:modified xsi:type="dcterms:W3CDTF">2023-01-17T15:50:00Z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2022-06-01T09:43:36Z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0c0ab33c-dc82-43c7-a362-a3fd34c7cb32</vt:lpwstr>
  </property>
  <property fmtid="{D5CDD505-2E9C-101B-9397-08002B2CF9AE}" pid="16" name="MSIP_Label_6bd9ddd1-4d20-43f6-abfa-fc3c07406f94_ContentBits">
    <vt:lpwstr>0</vt:lpwstr>
  </property>
  <property fmtid="{D5CDD505-2E9C-101B-9397-08002B2CF9AE}" pid="17" name="_DocHome">
    <vt:i4>1791714374</vt:i4>
  </property>
  <property fmtid="{D5CDD505-2E9C-101B-9397-08002B2CF9AE}" pid="18" name="ContentTypeId">
    <vt:lpwstr>0x010100258AA79CEB83498886A3A08681123250004EE8C8EE09F49B46AF0F503B2185EF16</vt:lpwstr>
  </property>
  <property fmtid="{D5CDD505-2E9C-101B-9397-08002B2CF9AE}" pid="19" name="DQCStatus">
    <vt:lpwstr>Green (DQC version 03)</vt:lpwstr>
  </property>
</Properties>
</file>