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65" w:rsidRPr="009E5F03" w:rsidRDefault="00841019" w:rsidP="0084101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4B77DFD8-D156-4A4B-ADB9-30A473C47177" style="width:455.25pt;height:414pt">
            <v:imagedata r:id="rId8" o:title=""/>
          </v:shape>
        </w:pict>
      </w:r>
    </w:p>
    <w:p w:rsidR="00515465" w:rsidRPr="009E5F03" w:rsidRDefault="00515465" w:rsidP="00515465">
      <w:pPr>
        <w:rPr>
          <w:noProof/>
        </w:rPr>
        <w:sectPr w:rsidR="00515465" w:rsidRPr="009E5F03" w:rsidSect="0084101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7630F" w:rsidRPr="009E5F03" w:rsidRDefault="0027630F" w:rsidP="0027630F">
      <w:pPr>
        <w:pStyle w:val="CRSeparator"/>
        <w:rPr>
          <w:noProof/>
        </w:rPr>
      </w:pPr>
      <w:bookmarkStart w:id="0" w:name="_GoBack"/>
      <w:bookmarkEnd w:id="0"/>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91/271/EOK (προσαρμοσμένο)</w:t>
      </w: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515465" w:rsidRPr="009E5F03" w:rsidRDefault="00515465" w:rsidP="00515465">
      <w:pPr>
        <w:pStyle w:val="Annexetitre"/>
        <w:rPr>
          <w:noProof/>
        </w:rPr>
      </w:pPr>
      <w:r w:rsidRPr="009E5F03">
        <w:rPr>
          <w:noProof/>
        </w:rPr>
        <w:t>ΠΑΡΑΡΤΗΜΑ 1</w:t>
      </w:r>
    </w:p>
    <w:p w:rsidR="008370E1" w:rsidRPr="009E5F03" w:rsidRDefault="00652D16" w:rsidP="008370E1">
      <w:pPr>
        <w:pStyle w:val="NormalCentered"/>
        <w:rPr>
          <w:b/>
          <w:bCs/>
          <w:noProof/>
        </w:rPr>
      </w:pPr>
      <w:r>
        <w:rPr>
          <w:b/>
          <w:noProof/>
        </w:rPr>
        <w:t>ΑΠΑΙΤΗΣΕΙΣ ΓΙΑ ΤΑ ΑΣΤΙΚΑ ΛΥΜΑΤΑ</w:t>
      </w:r>
    </w:p>
    <w:p w:rsidR="008370E1" w:rsidRPr="009E5F03" w:rsidRDefault="008370E1" w:rsidP="008370E1">
      <w:pPr>
        <w:pStyle w:val="ManualHeading1"/>
        <w:ind w:left="851" w:hanging="851"/>
        <w:rPr>
          <w:noProof/>
        </w:rPr>
      </w:pPr>
      <w:r w:rsidRPr="009E5F03">
        <w:rPr>
          <w:noProof/>
        </w:rPr>
        <w:t>Α.</w:t>
      </w:r>
      <w:r w:rsidRPr="009E5F03">
        <w:rPr>
          <w:noProof/>
        </w:rPr>
        <w:tab/>
      </w:r>
      <w:r w:rsidRPr="009E5F03">
        <w:rPr>
          <w:i/>
          <w:noProof/>
        </w:rPr>
        <w:t>Αποχετευτικά δίκτυα</w:t>
      </w:r>
      <w:r w:rsidRPr="009E5F03">
        <w:rPr>
          <w:rStyle w:val="CRRefonteDeleted"/>
          <w:noProof/>
          <w:highlight w:val="lightGray"/>
          <w:vertAlign w:val="superscript"/>
        </w:rPr>
        <w:footnoteReference w:id="1"/>
      </w:r>
    </w:p>
    <w:p w:rsidR="008370E1" w:rsidRPr="009E5F03" w:rsidRDefault="008370E1" w:rsidP="008370E1">
      <w:pPr>
        <w:rPr>
          <w:noProof/>
        </w:rPr>
      </w:pPr>
      <w:r w:rsidRPr="009E5F03">
        <w:rPr>
          <w:noProof/>
        </w:rPr>
        <w:t>Τα αποχετευτικά δίκτυα πρέπει να λαμβάνουν υπόψη τις απαιτήσεις της επεξεργασίας των λυμάτων.</w:t>
      </w:r>
    </w:p>
    <w:p w:rsidR="008370E1" w:rsidRPr="009E5F03" w:rsidRDefault="008370E1" w:rsidP="008370E1">
      <w:pPr>
        <w:rPr>
          <w:noProof/>
        </w:rPr>
      </w:pPr>
      <w:r w:rsidRPr="009E5F03">
        <w:rPr>
          <w:noProof/>
        </w:rPr>
        <w:t>Ο σχεδιασμός, η κατασκευή και η συντήρηση των αποχετευτικών δικτύων πρέπει να διενεργούνται σύμφωνα με τις καλύτερες τεχνικές γνώσεις, που δεν συνεπάγονται υπερβολικό κόστος, ιδίως όσον αφορά:</w:t>
      </w:r>
    </w:p>
    <w:p w:rsidR="008370E1" w:rsidRPr="009E5F03" w:rsidRDefault="008370E1" w:rsidP="00AF500B">
      <w:pPr>
        <w:pStyle w:val="Tiret0"/>
        <w:numPr>
          <w:ilvl w:val="0"/>
          <w:numId w:val="17"/>
        </w:numPr>
        <w:autoSpaceDE w:val="0"/>
        <w:autoSpaceDN w:val="0"/>
        <w:ind w:left="851" w:hanging="851"/>
        <w:rPr>
          <w:noProof/>
        </w:rPr>
      </w:pPr>
      <w:r w:rsidRPr="009E5F03">
        <w:rPr>
          <w:noProof/>
        </w:rPr>
        <w:t>τον όγκο και τα χαρακτηριστικά των αστικών λυμάτων,</w:t>
      </w:r>
    </w:p>
    <w:p w:rsidR="008370E1" w:rsidRPr="009E5F03" w:rsidRDefault="008370E1" w:rsidP="00AF500B">
      <w:pPr>
        <w:pStyle w:val="Tiret0"/>
        <w:numPr>
          <w:ilvl w:val="0"/>
          <w:numId w:val="17"/>
        </w:numPr>
        <w:autoSpaceDE w:val="0"/>
        <w:autoSpaceDN w:val="0"/>
        <w:ind w:left="851" w:hanging="851"/>
        <w:rPr>
          <w:noProof/>
        </w:rPr>
      </w:pPr>
      <w:r w:rsidRPr="009E5F03">
        <w:rPr>
          <w:noProof/>
        </w:rPr>
        <w:t>την πρόληψη διαρροών,</w:t>
      </w:r>
    </w:p>
    <w:p w:rsidR="008370E1" w:rsidRPr="009E5F03" w:rsidRDefault="008370E1" w:rsidP="00AF500B">
      <w:pPr>
        <w:pStyle w:val="Tiret0"/>
        <w:numPr>
          <w:ilvl w:val="0"/>
          <w:numId w:val="17"/>
        </w:numPr>
        <w:autoSpaceDE w:val="0"/>
        <w:autoSpaceDN w:val="0"/>
        <w:ind w:left="851" w:hanging="851"/>
        <w:rPr>
          <w:noProof/>
        </w:rPr>
      </w:pPr>
      <w:r w:rsidRPr="009E5F03">
        <w:rPr>
          <w:noProof/>
        </w:rPr>
        <w:t>τον περιορισμό της ρύπανσης των υδάτων υποδοχής λόγω υπερχειλίσεων από νεροποντές.</w:t>
      </w:r>
    </w:p>
    <w:p w:rsidR="008370E1" w:rsidRPr="009E5F03" w:rsidRDefault="008370E1" w:rsidP="008370E1">
      <w:pPr>
        <w:pStyle w:val="ManualHeading1"/>
        <w:ind w:left="851" w:hanging="851"/>
        <w:rPr>
          <w:noProof/>
        </w:rPr>
      </w:pPr>
      <w:r w:rsidRPr="009E5F03">
        <w:rPr>
          <w:noProof/>
        </w:rPr>
        <w:t>Β.</w:t>
      </w:r>
      <w:r w:rsidRPr="009E5F03">
        <w:rPr>
          <w:noProof/>
        </w:rPr>
        <w:tab/>
      </w:r>
      <w:r w:rsidRPr="009E5F03">
        <w:rPr>
          <w:i/>
          <w:noProof/>
        </w:rPr>
        <w:t>Απόρριψη από σταθμούς επεξεργασίας αστικών λυμάτων στα ύδατα υποδοχής</w:t>
      </w:r>
      <w:r w:rsidRPr="009E5F03">
        <w:rPr>
          <w:rStyle w:val="CRRefonteDeleted"/>
          <w:noProof/>
          <w:highlight w:val="lightGray"/>
          <w:vertAlign w:val="superscript"/>
        </w:rPr>
        <w:footnoteReference w:id="2"/>
      </w:r>
    </w:p>
    <w:p w:rsidR="008370E1" w:rsidRPr="009E5F03" w:rsidRDefault="008370E1" w:rsidP="008370E1">
      <w:pPr>
        <w:rPr>
          <w:noProof/>
        </w:rPr>
      </w:pPr>
      <w:r w:rsidRPr="009E5F03">
        <w:rPr>
          <w:noProof/>
        </w:rPr>
        <w:t>1.</w:t>
      </w:r>
      <w:r w:rsidRPr="009E5F03">
        <w:rPr>
          <w:noProof/>
        </w:rPr>
        <w:tab/>
        <w:t>Ο σχεδιασμός ή η μετασκευή των σταθμών επεξεργασίας λυμάτων γίνεται έτσι ώστε να μπορούν να λαμβάνονται αντιπροσωπευτικά δείγματα των εισερχομένων και των επεξεργασμένων λυμάτων προτού απορριφθούν στα ύδατα υποδοχής.</w:t>
      </w:r>
    </w:p>
    <w:p w:rsidR="008370E1" w:rsidRPr="009E5F03" w:rsidRDefault="008370E1" w:rsidP="008370E1">
      <w:pPr>
        <w:rPr>
          <w:noProof/>
        </w:rPr>
      </w:pPr>
      <w:r w:rsidRPr="009E5F03">
        <w:rPr>
          <w:noProof/>
        </w:rPr>
        <w:t>2.</w:t>
      </w:r>
      <w:r w:rsidRPr="009E5F03">
        <w:rPr>
          <w:noProof/>
        </w:rPr>
        <w:tab/>
        <w:t xml:space="preserve">Οι απορρίψεις από σταθμούς επεξεργασίας αστικών λυμάτων, οι οποίες υποβάλλονται σε επεξεργασία, σύμφωνα με τα άρθρα </w:t>
      </w:r>
      <w:r w:rsidRPr="009E5F03">
        <w:rPr>
          <w:rStyle w:val="CRMinorChangeAdded"/>
          <w:noProof/>
        </w:rPr>
        <w:t>6,</w:t>
      </w:r>
      <w:r w:rsidRPr="009E5F03">
        <w:rPr>
          <w:rStyle w:val="CRMinorChangeDeleted"/>
          <w:noProof/>
        </w:rPr>
        <w:t>4</w:t>
      </w:r>
      <w:r w:rsidRPr="009E5F03">
        <w:rPr>
          <w:noProof/>
        </w:rPr>
        <w:t xml:space="preserve"> </w:t>
      </w:r>
      <w:r w:rsidRPr="009E5F03">
        <w:rPr>
          <w:rStyle w:val="CRDeleted"/>
          <w:noProof/>
        </w:rPr>
        <w:t>και</w:t>
      </w:r>
      <w:r w:rsidRPr="009E5F03">
        <w:rPr>
          <w:noProof/>
        </w:rPr>
        <w:t xml:space="preserve"> </w:t>
      </w:r>
      <w:r w:rsidRPr="009E5F03">
        <w:rPr>
          <w:rStyle w:val="CRMinorChangeAdded"/>
          <w:noProof/>
        </w:rPr>
        <w:t>7</w:t>
      </w:r>
      <w:r w:rsidRPr="009E5F03">
        <w:rPr>
          <w:rStyle w:val="CRMinorChangeDeleted"/>
          <w:noProof/>
        </w:rPr>
        <w:t>5</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και 8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w:t>
      </w:r>
      <w:r w:rsidRPr="009E5F03">
        <w:rPr>
          <w:rStyle w:val="CRMinorChangeDeleted"/>
          <w:noProof/>
        </w:rPr>
        <w:t>της παρούσας οδηγίας</w:t>
      </w:r>
      <w:r w:rsidRPr="009E5F03">
        <w:rPr>
          <w:noProof/>
        </w:rPr>
        <w:t>, πρέπει να πληρούν τις απαιτήσεις που παρατίθενται στον πίνακα 1.</w:t>
      </w:r>
    </w:p>
    <w:p w:rsidR="008370E1" w:rsidRPr="009E5F03" w:rsidRDefault="008370E1" w:rsidP="008370E1">
      <w:pPr>
        <w:rPr>
          <w:noProof/>
        </w:rPr>
      </w:pPr>
      <w:r w:rsidRPr="009E5F03">
        <w:rPr>
          <w:noProof/>
        </w:rPr>
        <w:t>3.</w:t>
      </w:r>
      <w:r w:rsidRPr="009E5F03">
        <w:rPr>
          <w:noProof/>
        </w:rPr>
        <w:tab/>
        <w:t xml:space="preserve">Επιπλέον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8A5652">
        <w:rPr>
          <w:noProof/>
        </w:rPr>
        <w:t> </w:t>
      </w:r>
      <w:r w:rsidRPr="009E5F03">
        <w:rPr>
          <w:noProof/>
        </w:rPr>
        <w:t>των απαιτήσεων του σημείου</w:t>
      </w:r>
      <w:r w:rsidR="00CE18C9">
        <w:rPr>
          <w:noProof/>
        </w:rPr>
        <w:t> </w:t>
      </w:r>
      <w:r w:rsidRPr="009E5F03">
        <w:rPr>
          <w:noProof/>
        </w:rPr>
        <w:t>2</w:t>
      </w:r>
      <w:r w:rsidR="008A5652">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οι απορρίψεις από σταθμούς επεξεργασίας αστικών λυμάτων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8A5652">
        <w:rPr>
          <w:noProof/>
        </w:rPr>
        <w:t> </w:t>
      </w:r>
      <w:r w:rsidRPr="009E5F03">
        <w:rPr>
          <w:noProof/>
        </w:rPr>
        <w:t>που αναφέρονται στο άρθρο</w:t>
      </w:r>
      <w:r w:rsidR="00CE18C9">
        <w:rPr>
          <w:noProof/>
        </w:rPr>
        <w:t> </w:t>
      </w:r>
      <w:r w:rsidRPr="009E5F03">
        <w:rPr>
          <w:noProof/>
        </w:rPr>
        <w:t>7 παράγραφοι</w:t>
      </w:r>
      <w:r w:rsidR="00CE18C9">
        <w:rPr>
          <w:noProof/>
        </w:rPr>
        <w:t> </w:t>
      </w:r>
      <w:r w:rsidRPr="009E5F03">
        <w:rPr>
          <w:noProof/>
        </w:rPr>
        <w:t>1 και</w:t>
      </w:r>
      <w:r w:rsidR="00CE18C9">
        <w:rPr>
          <w:noProof/>
        </w:rPr>
        <w:t> </w:t>
      </w:r>
      <w:r w:rsidRPr="009E5F03">
        <w:rPr>
          <w:noProof/>
        </w:rPr>
        <w:t>3 και στο άρθρο</w:t>
      </w:r>
      <w:r w:rsidR="00CE18C9">
        <w:rPr>
          <w:noProof/>
        </w:rPr>
        <w:t> </w:t>
      </w:r>
      <w:r w:rsidRPr="009E5F03">
        <w:rPr>
          <w:noProof/>
        </w:rPr>
        <w:t>8, σύμφωνα με τα εν λόγω άρθρα</w:t>
      </w:r>
      <w:r w:rsidR="008A5652">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w:t>
      </w:r>
      <w:r w:rsidRPr="009E5F03">
        <w:rPr>
          <w:rStyle w:val="CRDeleted"/>
          <w:noProof/>
        </w:rPr>
        <w:t>προς τις ευαίσθητες περιοχές όπου παρουσιάζεται ευτροφισμός, όπως προσδιορίζονται στο παράρτημα II σημείο Α στοιχείο α)</w:t>
      </w:r>
      <w:r w:rsidRPr="009E5F03">
        <w:rPr>
          <w:noProof/>
        </w:rPr>
        <w:t>, πρέπει να πληρούν τις απαιτήσεις που παρατίθενται στον πίνακα</w:t>
      </w:r>
      <w:r w:rsidR="00336462">
        <w:rPr>
          <w:noProof/>
        </w:rPr>
        <w:t> </w:t>
      </w:r>
      <w:r w:rsidRPr="009E5F03">
        <w:rPr>
          <w:noProof/>
        </w:rPr>
        <w:t>2 του παρόντος παραρτήματος.</w:t>
      </w:r>
    </w:p>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rPr>
          <w:noProof/>
          <w:highlight w:val="lightGray"/>
        </w:rPr>
      </w:pPr>
      <w:r w:rsidRPr="009E5F03">
        <w:rPr>
          <w:noProof/>
          <w:highlight w:val="lightGray"/>
        </w:rPr>
        <w:t>4. Οι απορρίψεις από την επεξεργασία αστικών λυμάτων που αναφέρεται στο άρθρο 8 παράγραφος 1 και περιλαμβάνεται στον κατάλογο που αναφέρεται στο άρθρο 8 παράγραφος 2 πληρούν, επιπλέον των απαιτήσεων που αναφέρονται στα σημεία 2 και 3, τις απαιτήσεις του πίνακα 3.</w:t>
      </w:r>
    </w:p>
    <w:p w:rsidR="008370E1" w:rsidRPr="009E5F03" w:rsidRDefault="008370E1" w:rsidP="008370E1">
      <w:pPr>
        <w:rPr>
          <w:noProof/>
        </w:rPr>
      </w:pPr>
      <w:r w:rsidRPr="009E5F03">
        <w:rPr>
          <w:noProof/>
          <w:highlight w:val="lightGray"/>
        </w:rPr>
        <w:t>5. Οι άδειες για απορρίψεις από σταθμούς επεξεργασίας αστικών λυμάτων που χρησιμοποιούν πλαστικά βιομέσα περιλαμβάνουν την υποχρέωση διαρκούς παρακολούθησης και πρόληψης κάθε ακούσιας ελευθέρωσης βιομέσων στο περιβάλλον.</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91/271/EOK (προσαρμοσμένο)</w:t>
      </w:r>
    </w:p>
    <w:p w:rsidR="008370E1" w:rsidRPr="009E5F03" w:rsidRDefault="008370E1" w:rsidP="008370E1">
      <w:pPr>
        <w:pStyle w:val="CRReference"/>
        <w:rPr>
          <w:rStyle w:val="CRMinorChangeAdded"/>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8370E1" w:rsidRPr="009E5F03" w:rsidRDefault="008370E1" w:rsidP="008370E1">
      <w:pPr>
        <w:rPr>
          <w:noProof/>
        </w:rPr>
      </w:pPr>
      <w:r w:rsidRPr="009E5F03">
        <w:rPr>
          <w:rStyle w:val="CRMinorChangeAdded"/>
          <w:noProof/>
        </w:rPr>
        <w:t>6</w:t>
      </w:r>
      <w:r w:rsidRPr="009E5F03">
        <w:rPr>
          <w:rStyle w:val="CRMinorChangeDeleted"/>
          <w:noProof/>
        </w:rPr>
        <w:t>4</w:t>
      </w:r>
      <w:r w:rsidRPr="009E5F03">
        <w:rPr>
          <w:noProof/>
        </w:rPr>
        <w:t>.</w:t>
      </w:r>
      <w:r w:rsidRPr="009E5F03">
        <w:rPr>
          <w:noProof/>
        </w:rPr>
        <w:tab/>
        <w:t xml:space="preserve">Όπου </w:t>
      </w:r>
      <w:r w:rsidRPr="009E5F03">
        <w:rPr>
          <w:rStyle w:val="CRDeleted"/>
          <w:noProof/>
        </w:rPr>
        <w:t>πρέπει</w:t>
      </w:r>
      <w:r w:rsidRPr="009E5F03">
        <w:rPr>
          <w:noProof/>
        </w:rPr>
        <w:t xml:space="preserve">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AE7A65">
        <w:rPr>
          <w:noProof/>
        </w:rPr>
        <w:t> </w:t>
      </w:r>
      <w:r w:rsidRPr="009E5F03">
        <w:rPr>
          <w:noProof/>
        </w:rPr>
        <w:t>χρειάζεται</w:t>
      </w:r>
      <w:r w:rsidR="00AE7A65">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να διασφαλίζεται ότι τα ύδατα υποδοχής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AE7A65">
        <w:rPr>
          <w:noProof/>
        </w:rPr>
        <w:t> </w:t>
      </w:r>
      <w:r w:rsidRPr="009E5F03">
        <w:rPr>
          <w:noProof/>
        </w:rPr>
        <w:t>ικανοποιούν τις απαιτήσεις που καθορίζονται στις οδηγίες 2000/60/ΕΚ, 2008/56/ΕΚ, 2008/105/ΕΚ και 2006/7/ΕΚ</w:t>
      </w:r>
      <w:r w:rsidR="00AE7A65">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w:t>
      </w:r>
      <w:r w:rsidRPr="009E5F03">
        <w:rPr>
          <w:rStyle w:val="CRDeleted"/>
          <w:noProof/>
        </w:rPr>
        <w:t>ανταποκρίνονται σε τυχόν άλλες σχετικές οδηγίες</w:t>
      </w:r>
      <w:r w:rsidRPr="009E5F03">
        <w:rPr>
          <w:noProof/>
        </w:rPr>
        <w:t xml:space="preserve">, ισχύουν αυστηρότερες απαιτήσεις από όσες παρατίθενται στους πίνακες 1, </w:t>
      </w:r>
      <w:r w:rsidRPr="009E5F03">
        <w:rPr>
          <w:rStyle w:val="CRDeleted"/>
          <w:noProof/>
        </w:rPr>
        <w:t>ή/και</w:t>
      </w:r>
      <w:r w:rsidRPr="009E5F03">
        <w:rPr>
          <w:noProof/>
        </w:rPr>
        <w:t xml:space="preserve"> 2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και 3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w:t>
      </w:r>
    </w:p>
    <w:p w:rsidR="008370E1" w:rsidRPr="009E5F03" w:rsidRDefault="008370E1" w:rsidP="008370E1">
      <w:pPr>
        <w:rPr>
          <w:noProof/>
        </w:rPr>
      </w:pPr>
      <w:r w:rsidRPr="009E5F03">
        <w:rPr>
          <w:rStyle w:val="CRMinorChangeAdded"/>
          <w:noProof/>
        </w:rPr>
        <w:t>7</w:t>
      </w:r>
      <w:r w:rsidRPr="009E5F03">
        <w:rPr>
          <w:rStyle w:val="CRMinorChangeDeleted"/>
          <w:noProof/>
        </w:rPr>
        <w:t>5</w:t>
      </w:r>
      <w:r w:rsidRPr="009E5F03">
        <w:rPr>
          <w:noProof/>
        </w:rPr>
        <w:t>.</w:t>
      </w:r>
      <w:r w:rsidRPr="009E5F03">
        <w:rPr>
          <w:noProof/>
        </w:rPr>
        <w:tab/>
        <w:t>Τα σημεία απόρριψης των αστικών λυμάτων επιλέγονται ώστε να μειώνονται στο ελάχιστο δυνατόν οι επιπτώσεις στα ύδατα υποδοχής.</w:t>
      </w:r>
    </w:p>
    <w:p w:rsidR="008370E1" w:rsidRPr="009E5F03" w:rsidRDefault="008370E1" w:rsidP="008370E1">
      <w:pPr>
        <w:pStyle w:val="ManualHeading1"/>
        <w:ind w:left="851" w:hanging="851"/>
        <w:rPr>
          <w:noProof/>
        </w:rPr>
      </w:pPr>
      <w:r w:rsidRPr="009E5F03">
        <w:rPr>
          <w:noProof/>
        </w:rPr>
        <w:t>Γ.</w:t>
      </w:r>
      <w:r w:rsidRPr="009E5F03">
        <w:rPr>
          <w:noProof/>
        </w:rPr>
        <w:tab/>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smallCaps w:val="0"/>
          <w:noProof/>
        </w:rPr>
        <w:t>Ö</w:t>
      </w:r>
      <w:r w:rsidRPr="009E5F03">
        <w:rPr>
          <w:noProof/>
        </w:rPr>
        <w:fldChar w:fldCharType="end"/>
      </w:r>
      <w:r w:rsidR="00336462">
        <w:rPr>
          <w:noProof/>
        </w:rPr>
        <w:t> </w:t>
      </w:r>
      <w:r w:rsidRPr="009E5F03">
        <w:rPr>
          <w:i/>
          <w:noProof/>
        </w:rPr>
        <w:t>Ειδικές άδειες για την απόρριψη μη οικιακών λυμάτων</w:t>
      </w:r>
      <w:r w:rsidR="00336462">
        <w:rPr>
          <w:i/>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smallCaps w:val="0"/>
          <w:noProof/>
        </w:rPr>
        <w:t>Õ</w:t>
      </w:r>
      <w:r w:rsidRPr="009E5F03">
        <w:rPr>
          <w:noProof/>
        </w:rPr>
        <w:fldChar w:fldCharType="end"/>
      </w:r>
      <w:r w:rsidRPr="009E5F03">
        <w:rPr>
          <w:i/>
          <w:noProof/>
        </w:rPr>
        <w:t xml:space="preserve"> </w:t>
      </w:r>
      <w:r w:rsidRPr="009E5F03">
        <w:rPr>
          <w:rStyle w:val="CRDeleted"/>
          <w:i/>
          <w:noProof/>
        </w:rPr>
        <w:t>Βιομηχανικά λύματα</w:t>
      </w:r>
    </w:p>
    <w:p w:rsidR="008370E1" w:rsidRPr="009E5F03" w:rsidRDefault="008370E1" w:rsidP="008370E1">
      <w:pPr>
        <w:rPr>
          <w:rStyle w:val="CRRefonteDeleted"/>
          <w:noProof/>
          <w:highlight w:val="lightGray"/>
        </w:rPr>
      </w:pPr>
      <w:r w:rsidRPr="009E5F03">
        <w:rPr>
          <w:rStyle w:val="CRRefonteDeleted"/>
          <w:noProof/>
          <w:highlight w:val="lightGray"/>
        </w:rPr>
        <w:t>Τα βιομηχανικά λύματα που διοχετεύονται σε αποχετευτικά δίκτυα και σταθμούς επεξεργασίας αστικών λυμάτων πρέπει να υποβάλλονται στην απαιτούμενη προκαταρκτική επεξεργασία, ώστε:</w:t>
      </w:r>
    </w:p>
    <w:p w:rsidR="008370E1" w:rsidRPr="009E5F03" w:rsidRDefault="008370E1" w:rsidP="00AF500B">
      <w:pPr>
        <w:pStyle w:val="Tiret0"/>
        <w:numPr>
          <w:ilvl w:val="0"/>
          <w:numId w:val="17"/>
        </w:numPr>
        <w:autoSpaceDE w:val="0"/>
        <w:autoSpaceDN w:val="0"/>
        <w:ind w:left="851" w:hanging="851"/>
        <w:rPr>
          <w:rStyle w:val="CRRefonteDeleted"/>
          <w:noProof/>
          <w:highlight w:val="lightGray"/>
        </w:rPr>
      </w:pPr>
      <w:r w:rsidRPr="009E5F03">
        <w:rPr>
          <w:rStyle w:val="CRRefonteDeleted"/>
          <w:noProof/>
          <w:highlight w:val="lightGray"/>
        </w:rPr>
        <w:t>να προστατεύεται η υγεία του προσωπικού που εργάζεται στα αποχετευτικά δίκτυα και τους σταθμούς επεξεργασίας,</w:t>
      </w:r>
    </w:p>
    <w:p w:rsidR="008370E1" w:rsidRPr="009E5F03" w:rsidRDefault="008370E1" w:rsidP="00AF500B">
      <w:pPr>
        <w:pStyle w:val="Tiret0"/>
        <w:numPr>
          <w:ilvl w:val="0"/>
          <w:numId w:val="17"/>
        </w:numPr>
        <w:autoSpaceDE w:val="0"/>
        <w:autoSpaceDN w:val="0"/>
        <w:ind w:left="851" w:hanging="851"/>
        <w:rPr>
          <w:rStyle w:val="CRRefonteDeleted"/>
          <w:noProof/>
          <w:highlight w:val="lightGray"/>
        </w:rPr>
      </w:pPr>
      <w:r w:rsidRPr="009E5F03">
        <w:rPr>
          <w:rStyle w:val="CRRefonteDeleted"/>
          <w:noProof/>
          <w:highlight w:val="lightGray"/>
        </w:rPr>
        <w:t>να εξασφαλίζεται ότι δεν προκαλείται ζημία στα αποχετευτικά δίκτυα, τους σταθμούς επεξεργασίας λυμάτων και το συναφή εξοπλισμό,</w:t>
      </w:r>
    </w:p>
    <w:p w:rsidR="008370E1" w:rsidRPr="009E5F03" w:rsidRDefault="008370E1" w:rsidP="00AF500B">
      <w:pPr>
        <w:pStyle w:val="Tiret0"/>
        <w:numPr>
          <w:ilvl w:val="0"/>
          <w:numId w:val="17"/>
        </w:numPr>
        <w:autoSpaceDE w:val="0"/>
        <w:autoSpaceDN w:val="0"/>
        <w:ind w:left="851" w:hanging="851"/>
        <w:rPr>
          <w:rStyle w:val="CRRefonteDeleted"/>
          <w:noProof/>
          <w:highlight w:val="lightGray"/>
        </w:rPr>
      </w:pPr>
      <w:r w:rsidRPr="009E5F03">
        <w:rPr>
          <w:rStyle w:val="CRRefonteDeleted"/>
          <w:noProof/>
          <w:highlight w:val="lightGray"/>
        </w:rPr>
        <w:t>να εξασφαλίζεται ότι δεν εμποδίζεται η λειτουργία του σταθμού επεξεργασίας λυμάτων και η επεξεργασία της λυματολάσπης,</w:t>
      </w:r>
    </w:p>
    <w:p w:rsidR="008370E1" w:rsidRPr="009E5F03" w:rsidRDefault="008370E1" w:rsidP="00AF500B">
      <w:pPr>
        <w:pStyle w:val="Tiret0"/>
        <w:numPr>
          <w:ilvl w:val="0"/>
          <w:numId w:val="17"/>
        </w:numPr>
        <w:autoSpaceDE w:val="0"/>
        <w:autoSpaceDN w:val="0"/>
        <w:ind w:left="851" w:hanging="851"/>
        <w:rPr>
          <w:rStyle w:val="CRRefonteDeleted"/>
          <w:noProof/>
          <w:highlight w:val="lightGray"/>
        </w:rPr>
      </w:pPr>
      <w:r w:rsidRPr="009E5F03">
        <w:rPr>
          <w:rStyle w:val="CRRefonteDeleted"/>
          <w:noProof/>
          <w:highlight w:val="lightGray"/>
        </w:rPr>
        <w:t>να ελέγχεται ότι οι απορρίψεις από τους σταθμούς επεξεργασίας δεν επηρεάζουν αρνητικά το περιβάλλον και δεν εμποδίζουν τα ύδατα υποδοχής να πληρούν τις απαιτήσεις άλλων κοινοτικών οδηγιών,</w:t>
      </w:r>
    </w:p>
    <w:p w:rsidR="008370E1" w:rsidRPr="009E5F03" w:rsidRDefault="008370E1" w:rsidP="00AF500B">
      <w:pPr>
        <w:pStyle w:val="Tiret0"/>
        <w:numPr>
          <w:ilvl w:val="0"/>
          <w:numId w:val="17"/>
        </w:numPr>
        <w:autoSpaceDE w:val="0"/>
        <w:autoSpaceDN w:val="0"/>
        <w:ind w:left="851" w:hanging="851"/>
        <w:rPr>
          <w:rStyle w:val="CRRefonteDeleted"/>
          <w:noProof/>
          <w:highlight w:val="lightGray"/>
        </w:rPr>
      </w:pPr>
      <w:r w:rsidRPr="009E5F03">
        <w:rPr>
          <w:rStyle w:val="CRRefonteDeleted"/>
          <w:noProof/>
          <w:highlight w:val="lightGray"/>
        </w:rPr>
        <w:t>να εξασφαλίζεται η διάθεση της λυματολάσπης με ασφαλή και περιβαλλοντικά αποδεκτό τρόπο.</w:t>
      </w:r>
    </w:p>
    <w:p w:rsidR="008370E1" w:rsidRPr="009E5F03" w:rsidRDefault="008370E1" w:rsidP="008370E1">
      <w:pPr>
        <w:pStyle w:val="CRSeparator"/>
        <w:rPr>
          <w:rStyle w:val="CRRefonteDeleted"/>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rPr>
          <w:noProof/>
          <w:highlight w:val="lightGray"/>
        </w:rPr>
      </w:pPr>
      <w:r w:rsidRPr="009E5F03">
        <w:rPr>
          <w:noProof/>
          <w:highlight w:val="lightGray"/>
        </w:rPr>
        <w:t>1. Η ειδική άδεια που αναφέρεται στο άρθρο 14 εξασφαλίζει τα ακόλουθα:</w:t>
      </w:r>
    </w:p>
    <w:p w:rsidR="008370E1" w:rsidRPr="009E5F03" w:rsidRDefault="00AE7A65" w:rsidP="00AE7A65">
      <w:pPr>
        <w:pStyle w:val="Point1"/>
        <w:rPr>
          <w:noProof/>
          <w:highlight w:val="lightGray"/>
        </w:rPr>
      </w:pPr>
      <w:r>
        <w:rPr>
          <w:noProof/>
          <w:highlight w:val="lightGray"/>
        </w:rPr>
        <w:t>α)</w:t>
      </w:r>
      <w:r w:rsidRPr="00AE7A65">
        <w:rPr>
          <w:noProof/>
          <w:highlight w:val="lightGray"/>
        </w:rPr>
        <w:tab/>
      </w:r>
      <w:r w:rsidR="008370E1" w:rsidRPr="009E5F03">
        <w:rPr>
          <w:noProof/>
          <w:highlight w:val="lightGray"/>
        </w:rPr>
        <w:t>οι ρυπαρές ουσίες που περιέχονται στα μη οικιακά λύματα δεν βλάπτουν τη λειτουργία της μονάδας επεξεργασίας λυμάτων, δεν φθείρουν τα δίκτυα αποχέτευσης, τις μονάδες επεξεργασίας λυμάτων και τον σχετικό εξοπλισμό και δεν εμποδίζουν την επαναχρησιμοποίηση των επεξεργασμένων υδάτων και την ανάκτηση της ιλύος·</w:t>
      </w:r>
    </w:p>
    <w:p w:rsidR="008370E1" w:rsidRPr="009E5F03" w:rsidRDefault="00AE7A65" w:rsidP="00AE7A65">
      <w:pPr>
        <w:pStyle w:val="Point1"/>
        <w:rPr>
          <w:noProof/>
          <w:highlight w:val="lightGray"/>
        </w:rPr>
      </w:pPr>
      <w:r>
        <w:rPr>
          <w:noProof/>
          <w:highlight w:val="lightGray"/>
        </w:rPr>
        <w:t>β)</w:t>
      </w:r>
      <w:r w:rsidRPr="00AE7A65">
        <w:rPr>
          <w:noProof/>
          <w:highlight w:val="lightGray"/>
        </w:rPr>
        <w:tab/>
      </w:r>
      <w:r w:rsidR="008370E1" w:rsidRPr="009E5F03">
        <w:rPr>
          <w:noProof/>
          <w:highlight w:val="lightGray"/>
        </w:rPr>
        <w:t>οι ρυπαρές ουσίες που περιέχονται στα μη οικιακά λύματα δεν βλάπτουν την υγεία του προσωπικού που εργάζεται στα αποχετευτικά δίκτυα και στους σταθμούς επεξεργασίας αστικών λυμάτων·</w:t>
      </w:r>
    </w:p>
    <w:p w:rsidR="008370E1" w:rsidRPr="009E5F03" w:rsidRDefault="00AE7A65" w:rsidP="00AE7A65">
      <w:pPr>
        <w:pStyle w:val="Point1"/>
        <w:rPr>
          <w:noProof/>
          <w:highlight w:val="lightGray"/>
        </w:rPr>
      </w:pPr>
      <w:r>
        <w:rPr>
          <w:noProof/>
          <w:highlight w:val="lightGray"/>
        </w:rPr>
        <w:t>γ)</w:t>
      </w:r>
      <w:r w:rsidRPr="00AE7A65">
        <w:rPr>
          <w:noProof/>
          <w:highlight w:val="lightGray"/>
        </w:rPr>
        <w:tab/>
      </w:r>
      <w:r w:rsidR="008370E1" w:rsidRPr="009E5F03">
        <w:rPr>
          <w:noProof/>
          <w:highlight w:val="lightGray"/>
        </w:rPr>
        <w:t>οι ρυπαρές ουσίες που περιέχονται στα μη οικιακά λύματα μπορούν να μειωθούν στον σταθμό επεξεργασίας αστικών λυμάτων·</w:t>
      </w:r>
    </w:p>
    <w:p w:rsidR="008370E1" w:rsidRPr="009E5F03" w:rsidRDefault="00AE7A65" w:rsidP="00AE7A65">
      <w:pPr>
        <w:pStyle w:val="Point1"/>
        <w:rPr>
          <w:noProof/>
          <w:highlight w:val="lightGray"/>
        </w:rPr>
      </w:pPr>
      <w:r>
        <w:rPr>
          <w:noProof/>
          <w:highlight w:val="lightGray"/>
        </w:rPr>
        <w:t>δ)</w:t>
      </w:r>
      <w:r w:rsidRPr="00AE7A65">
        <w:rPr>
          <w:noProof/>
          <w:highlight w:val="lightGray"/>
        </w:rPr>
        <w:tab/>
      </w:r>
      <w:r w:rsidR="008370E1" w:rsidRPr="009E5F03">
        <w:rPr>
          <w:noProof/>
          <w:highlight w:val="lightGray"/>
        </w:rPr>
        <w:t>όταν ένας σταθμός επεξεργασίας αστικών λυμάτων επεξεργάζεται απορρίψεις από εγκατάσταση που διαθέτει την άδεια που αναφέρεται στο άρθρο 4 της οδηγίας 2010/75/ΕΕ, το φορτίο ρύπων από τις απορρίψεις της εν λόγω μονάδας δεν υπερβαίνει το φορτίο ρύπων που θα απορριπτόταν εάν οι απορρίψεις ελευθερώνονταν απευθείας από την εγκατάσταση και συμμορφώνονταν με τις οριακές τιμές εκπομπών που καθορίζονται σύμφωνα με το άρθρο 15 παράγραφος 3 της εν λόγω οδηγίας και τυχόν πρόσθετα μέτρα που ελήφθησαν σύμφωνα με το άρθρο 18 της εν λόγω οδηγίας·</w:t>
      </w:r>
    </w:p>
    <w:p w:rsidR="008370E1" w:rsidRPr="009E5F03" w:rsidRDefault="00AE7A65" w:rsidP="00AE7A65">
      <w:pPr>
        <w:pStyle w:val="Point1"/>
        <w:rPr>
          <w:noProof/>
          <w:highlight w:val="lightGray"/>
        </w:rPr>
      </w:pPr>
      <w:r>
        <w:rPr>
          <w:noProof/>
          <w:highlight w:val="lightGray"/>
        </w:rPr>
        <w:t>ε)</w:t>
      </w:r>
      <w:r w:rsidRPr="00AE7A65">
        <w:rPr>
          <w:noProof/>
          <w:highlight w:val="lightGray"/>
        </w:rPr>
        <w:tab/>
      </w:r>
      <w:r w:rsidR="008370E1" w:rsidRPr="009E5F03">
        <w:rPr>
          <w:noProof/>
          <w:highlight w:val="lightGray"/>
        </w:rPr>
        <w:t>το φορτίο ρύπων στην απόρριψη από τον σταθμό επεξεργασίας αστικών λυμάτων δεν υποβαθμίζει την καλή οικολογική κατάσταση ή δυναμικό ή την καλή χημική κατάσταση του υδάτινου αποδέκτη και δεν εμποδίζει τον εν λόγω αποδέκτη να επιτύχει τέτοια κατάσταση, σύμφωνα με τους στόχους που ορίζονται στο άρθρο 4 της οδηγίας 2000/60/ΕΚ.</w:t>
      </w:r>
    </w:p>
    <w:p w:rsidR="008370E1" w:rsidRPr="009E5F03" w:rsidRDefault="008370E1" w:rsidP="008370E1">
      <w:pPr>
        <w:rPr>
          <w:noProof/>
        </w:rPr>
      </w:pPr>
      <w:r w:rsidRPr="009E5F03">
        <w:rPr>
          <w:noProof/>
          <w:highlight w:val="lightGray"/>
        </w:rPr>
        <w:t xml:space="preserve">2. Η ειδική άδεια περιλαμβάνει παράρτημα, στο οποίο τεκμηριώνεται η εκπλήρωση όλων των προϋποθέσεων που ορίζονται στο σημείο 1. Οι όροι των ειδικών αδειών επικαιροποιούνται στις περιπτώσεις όπου τα χαρακτηριστικά των μη οικιακών λυμάτων, του σταθμού επεξεργασίας αστικών λυμάτων ή του υδάτινου αποδέκτη μεταβάλλονται σημαντικά, ώστε να διασφαλίζεται ότι εξακολουθούν να πληρούνται οι εν λόγω όροι. </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91/271/EOK (προσαρμοσμένο)</w:t>
      </w: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8370E1" w:rsidRPr="009E5F03" w:rsidRDefault="008370E1" w:rsidP="008370E1">
      <w:pPr>
        <w:pStyle w:val="ManualHeading1"/>
        <w:ind w:left="851" w:hanging="851"/>
        <w:rPr>
          <w:noProof/>
        </w:rPr>
      </w:pPr>
      <w:r w:rsidRPr="009E5F03">
        <w:rPr>
          <w:noProof/>
        </w:rPr>
        <w:t>Δ.</w:t>
      </w:r>
      <w:r w:rsidRPr="009E5F03">
        <w:rPr>
          <w:noProof/>
        </w:rPr>
        <w:tab/>
      </w:r>
      <w:r w:rsidRPr="009E5F03">
        <w:rPr>
          <w:i/>
          <w:noProof/>
        </w:rPr>
        <w:t xml:space="preserve">Μέθοδοι </w:t>
      </w:r>
      <w:r w:rsidRPr="009E5F03">
        <w:rPr>
          <w:rStyle w:val="CRDeleted"/>
          <w:i/>
          <w:noProof/>
        </w:rPr>
        <w:t>αναφοράς</w:t>
      </w:r>
      <w:r w:rsidRPr="009E5F03">
        <w:rPr>
          <w:i/>
          <w:noProof/>
        </w:rPr>
        <w:t xml:space="preserve"> για την παρακολούθηση και την αξιολόγηση των αποτελεσμάτων</w:t>
      </w:r>
    </w:p>
    <w:p w:rsidR="008370E1" w:rsidRPr="009E5F03" w:rsidRDefault="008370E1" w:rsidP="008370E1">
      <w:pPr>
        <w:rPr>
          <w:noProof/>
        </w:rPr>
      </w:pPr>
      <w:r w:rsidRPr="009E5F03">
        <w:rPr>
          <w:noProof/>
        </w:rPr>
        <w:t>1.</w:t>
      </w:r>
      <w:r w:rsidRPr="009E5F03">
        <w:rPr>
          <w:noProof/>
        </w:rPr>
        <w:tab/>
        <w:t xml:space="preserve">Τα κράτη μέλη φροντίζουν ώστε η μέθοδος παρακολούθησης που εφαρμόζεται να ανταποκρίνεται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AE7A65">
        <w:rPr>
          <w:noProof/>
        </w:rPr>
        <w:t> </w:t>
      </w:r>
      <w:r w:rsidRPr="009E5F03">
        <w:rPr>
          <w:noProof/>
        </w:rPr>
        <w:t>στις απαιτήσεις που ορίζονται στα σημεία 2 έως 4</w:t>
      </w:r>
      <w:r w:rsidR="00AE7A65">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w:t>
      </w:r>
      <w:r w:rsidRPr="009E5F03">
        <w:rPr>
          <w:rStyle w:val="CRDeleted"/>
          <w:noProof/>
        </w:rPr>
        <w:t>τουλάχιστον στο επίπεδο απαιτήσεων που περιγράφεται κατωτέρω</w:t>
      </w:r>
      <w:r w:rsidRPr="009E5F03">
        <w:rPr>
          <w:noProof/>
        </w:rPr>
        <w:t>.</w:t>
      </w:r>
    </w:p>
    <w:p w:rsidR="008370E1" w:rsidRPr="009E5F03" w:rsidRDefault="008370E1" w:rsidP="008370E1">
      <w:pPr>
        <w:rPr>
          <w:noProof/>
        </w:rPr>
      </w:pPr>
      <w:r w:rsidRPr="009E5F03">
        <w:rPr>
          <w:noProof/>
        </w:rPr>
        <w:t>Είναι δυνατό να χρησιμοποιούνται εναλλακτικά και άλλες μέθοδοι, διαφορετικές από εκείνες που αναφέρονται στα σημεία 2, 3 και 4, υπό την προϋπόθεση ότι οι εν λόγω μέθοδοι αποδεδειγμένα παράγουν ισοδύναμα αποτελέσματα.</w:t>
      </w:r>
    </w:p>
    <w:p w:rsidR="008370E1" w:rsidRPr="009E5F03" w:rsidRDefault="008370E1" w:rsidP="008370E1">
      <w:pPr>
        <w:rPr>
          <w:noProof/>
        </w:rPr>
      </w:pPr>
      <w:r w:rsidRPr="009E5F03">
        <w:rPr>
          <w:noProof/>
        </w:rPr>
        <w:t xml:space="preserve">Τα κράτη μέλη παρέχουν στην Επιτροπή όλες τις χρήσιμες πληροφορίες σχετικά με την εφαρμοζόμενη μέθοδο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AE7A65">
        <w:rPr>
          <w:noProof/>
        </w:rPr>
        <w:t> </w:t>
      </w:r>
      <w:r w:rsidRPr="009E5F03">
        <w:rPr>
          <w:noProof/>
        </w:rPr>
        <w:t>παρακολούθησης</w:t>
      </w:r>
      <w:r w:rsidR="00AE7A65">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 </w:t>
      </w:r>
      <w:r w:rsidRPr="009E5F03">
        <w:rPr>
          <w:rStyle w:val="CRRefonteDeleted"/>
          <w:noProof/>
          <w:highlight w:val="lightGray"/>
        </w:rPr>
        <w:t>Αν η Επιτροπή κρίνει ότι δεν πληρούνται οι προϋποθέσεις των σημείων 2, 3 και 4, υποβάλλει στο Συμβούλιο τις δέουσες προτάσεις.</w:t>
      </w:r>
    </w:p>
    <w:p w:rsidR="008370E1" w:rsidRPr="009E5F03" w:rsidRDefault="008370E1" w:rsidP="008370E1">
      <w:pPr>
        <w:rPr>
          <w:noProof/>
        </w:rPr>
      </w:pPr>
      <w:r w:rsidRPr="009E5F03">
        <w:rPr>
          <w:noProof/>
        </w:rPr>
        <w:t>2.</w:t>
      </w:r>
      <w:r w:rsidRPr="009E5F03">
        <w:rPr>
          <w:noProof/>
        </w:rPr>
        <w:tab/>
        <w:t>Εικοσιτετράωρα δείγματα ανάλογα προς τη ροή ή βασισμένα στη χρονική διάρκεια συλλέγονται στο ίδιο, σαφώς καθορισμένο σημείο της εξόδου και, εφόσον χρειάζεται, της εισόδου του σταθμού επεξεργασίας</w:t>
      </w:r>
      <w:r w:rsidR="00AE7A65">
        <w:rPr>
          <w:noProof/>
        </w:rPr>
        <w:t xml:space="preserve">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AE7A65">
        <w:rPr>
          <w:noProof/>
        </w:rPr>
        <w:t> </w:t>
      </w:r>
      <w:r w:rsidRPr="009E5F03">
        <w:rPr>
          <w:noProof/>
        </w:rPr>
        <w:t>αστικών λυμάτων</w:t>
      </w:r>
      <w:r w:rsidR="00AE7A65">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w:t>
      </w:r>
      <w:r w:rsidRPr="009E5F03">
        <w:rPr>
          <w:rStyle w:val="CRRefonteDeleted"/>
          <w:noProof/>
          <w:highlight w:val="lightGray"/>
        </w:rPr>
        <w:t>, ώστε να ελέγχεται κατά πόσον τα εξερχόμενα λύματα πληρούν τις απαιτήσεις απόρριψης που ορίζονται στην παρούσα οδηγία</w:t>
      </w:r>
      <w:r w:rsidRPr="009E5F03">
        <w:rPr>
          <w:noProof/>
        </w:rPr>
        <w:t>.</w:t>
      </w:r>
      <w:r w:rsidR="00AE7A65">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Ωστόσο, τα δείγματα χρονικής βάσης που χρησιμοποιούνται για την παρακολούθηση των μικρορύπων πρέπει να είναι δείγματα 48ώρου.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p w:rsidR="008370E1" w:rsidRPr="009E5F03" w:rsidRDefault="008370E1" w:rsidP="008370E1">
      <w:pPr>
        <w:rPr>
          <w:noProof/>
        </w:rPr>
      </w:pPr>
      <w:r w:rsidRPr="009E5F03">
        <w:rPr>
          <w:noProof/>
        </w:rPr>
        <w:t xml:space="preserve">Εφαρμόζονται κατάλληλες διεθνείς εργαστηριακές πρακτικές με στόχο τη μείωση στο ελάχιστο της </w:t>
      </w:r>
      <w:r w:rsidRPr="009E5F03">
        <w:rPr>
          <w:rStyle w:val="CRMinorChangeDeleted"/>
          <w:noProof/>
        </w:rPr>
        <w:t>αποικοδομήσεως</w:t>
      </w:r>
      <w:r w:rsidRPr="009E5F03">
        <w:rPr>
          <w:noProof/>
        </w:rPr>
        <w:t xml:space="preserve"> </w:t>
      </w:r>
      <w:r w:rsidR="00CF5BC3">
        <w:rPr>
          <w:rStyle w:val="CRMinorChangeAdded"/>
          <w:noProof/>
        </w:rPr>
        <w:t>αλλοίωσης</w:t>
      </w:r>
      <w:r w:rsidRPr="009E5F03">
        <w:rPr>
          <w:noProof/>
        </w:rPr>
        <w:t xml:space="preserve"> των δειγμάτων μεταξύ συλλογής και ανάλυσης.</w:t>
      </w:r>
    </w:p>
    <w:p w:rsidR="008370E1" w:rsidRPr="009E5F03" w:rsidRDefault="008370E1" w:rsidP="008370E1">
      <w:pPr>
        <w:rPr>
          <w:noProof/>
        </w:rPr>
      </w:pPr>
      <w:r w:rsidRPr="009E5F03">
        <w:rPr>
          <w:noProof/>
        </w:rPr>
        <w:t>3.</w:t>
      </w:r>
      <w:r w:rsidRPr="009E5F03">
        <w:rPr>
          <w:noProof/>
        </w:rPr>
        <w:tab/>
        <w:t>Ο ελάχιστος ετήσιος αριθμός δειγμάτων καθορίζεται ανάλογα με το μέγεθος του σταθμού επεξεργασίας και συλλέγεται σε τακτά χρονικά διαστήματα κατά τη διάρκεια του έτους:</w:t>
      </w:r>
    </w:p>
    <w:tbl>
      <w:tblPr>
        <w:tblW w:w="0" w:type="auto"/>
        <w:tblLayout w:type="fixed"/>
        <w:tblLook w:val="0000" w:firstRow="0" w:lastRow="0" w:firstColumn="0" w:lastColumn="0" w:noHBand="0" w:noVBand="0"/>
      </w:tblPr>
      <w:tblGrid>
        <w:gridCol w:w="2322"/>
        <w:gridCol w:w="6964"/>
      </w:tblGrid>
      <w:tr w:rsidR="008370E1" w:rsidRPr="009E5F03" w:rsidTr="00E02907">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rPr>
            </w:pPr>
            <w:r w:rsidRPr="009E5F03">
              <w:rPr>
                <w:rStyle w:val="CRRefonteDeleted"/>
                <w:noProof/>
                <w:highlight w:val="lightGray"/>
              </w:rPr>
              <w:t>2000</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1000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 9</w:t>
            </w:r>
            <w:r w:rsidR="002A69D3">
              <w:rPr>
                <w:noProof/>
              </w:rPr>
              <w:t> </w:t>
            </w:r>
            <w:r w:rsidRPr="009E5F03">
              <w:rPr>
                <w:noProof/>
              </w:rPr>
              <w:t>999</w:t>
            </w:r>
            <w:r w:rsidR="002A69D3">
              <w:rPr>
                <w:noProof/>
              </w:rPr>
              <w:t> </w:t>
            </w:r>
            <w:r w:rsidRPr="009E5F03">
              <w:rPr>
                <w:noProof/>
              </w:rPr>
              <w:t>ι.π.:</w:t>
            </w:r>
          </w:p>
        </w:tc>
        <w:tc>
          <w:tcPr>
            <w:tcW w:w="6964"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rStyle w:val="CRRefonteDeleted"/>
                <w:noProof/>
                <w:highlight w:val="lightGray"/>
              </w:rPr>
            </w:pPr>
            <w:r w:rsidRPr="009E5F03">
              <w:rPr>
                <w:rStyle w:val="CRRefonteDeleted"/>
                <w:noProof/>
                <w:highlight w:val="lightGray"/>
              </w:rPr>
              <w:t>12 δείγματα τον πρώτο χρόνο.</w:t>
            </w:r>
          </w:p>
          <w:p w:rsidR="008370E1" w:rsidRPr="009E5F03" w:rsidRDefault="008370E1" w:rsidP="00E02907">
            <w:pPr>
              <w:pStyle w:val="NormalLeft"/>
              <w:rPr>
                <w:noProof/>
              </w:rPr>
            </w:pPr>
            <w:r w:rsidRPr="009E5F03">
              <w:rPr>
                <w:rStyle w:val="CRRefonteDeleted"/>
                <w:noProof/>
                <w:highlight w:val="lightGray"/>
              </w:rPr>
              <w:t>4 δείγματα τα επόμενα χρόνια εφόσον αποδειχθεί ότι τον πρώτο χρόνο το νερό πληροί τις διατάξεις της παρούσας οδηγίας· εάν ένα από τα 4 δείγματα δεν είναι ικανοποιητικό, τον επόμενο χρόνο πρέπει να λαμβάνονται 12 δείγματα</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Ένα δείγμα μην</w:t>
            </w:r>
            <w:r w:rsidR="00CF5BC3">
              <w:rPr>
                <w:noProof/>
                <w:highlight w:val="lightGray"/>
              </w:rPr>
              <w:t>ι</w:t>
            </w:r>
            <w:r w:rsidRPr="009E5F03">
              <w:rPr>
                <w:noProof/>
                <w:highlight w:val="lightGray"/>
              </w:rPr>
              <w:t>αίως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r>
      <w:tr w:rsidR="008370E1" w:rsidRPr="009E5F03" w:rsidTr="00E02907">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10 000 — 49 999 ι.π.:</w:t>
            </w:r>
          </w:p>
        </w:tc>
        <w:tc>
          <w:tcPr>
            <w:tcW w:w="6964"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Δύο δείγματα μην</w:t>
            </w:r>
            <w:r w:rsidR="00CF5BC3">
              <w:rPr>
                <w:noProof/>
                <w:highlight w:val="lightGray"/>
              </w:rPr>
              <w:t>ι</w:t>
            </w:r>
            <w:r w:rsidRPr="009E5F03">
              <w:rPr>
                <w:noProof/>
                <w:highlight w:val="lightGray"/>
              </w:rPr>
              <w:t xml:space="preserve">αίως  </w:t>
            </w:r>
          </w:p>
          <w:p w:rsidR="008370E1" w:rsidRPr="009E5F03" w:rsidRDefault="008370E1" w:rsidP="00CF5BC3">
            <w:pPr>
              <w:pStyle w:val="NormalLeft"/>
              <w:rPr>
                <w:noProof/>
              </w:rPr>
            </w:pPr>
            <w:r w:rsidRPr="009E5F03">
              <w:rPr>
                <w:noProof/>
                <w:highlight w:val="lightGray"/>
              </w:rPr>
              <w:t>Για μικρορύπους, ένα δείγμα μηνιαίως</w:t>
            </w:r>
            <w:r w:rsidR="00CF5BC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w:t>
            </w:r>
            <w:r w:rsidRPr="009E5F03">
              <w:rPr>
                <w:rStyle w:val="CRRefonteDeleted"/>
                <w:noProof/>
                <w:highlight w:val="lightGray"/>
              </w:rPr>
              <w:t>12 δείγματα</w:t>
            </w:r>
          </w:p>
        </w:tc>
      </w:tr>
      <w:tr w:rsidR="008370E1" w:rsidRPr="009E5F03" w:rsidTr="00E02907">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CF5BC3">
            <w:pPr>
              <w:pStyle w:val="NormalLeft"/>
              <w:rPr>
                <w:noProof/>
              </w:rPr>
            </w:pPr>
            <w:r w:rsidRPr="009E5F03">
              <w:rPr>
                <w:rStyle w:val="CRRefonteDeleted"/>
                <w:noProof/>
                <w:highlight w:val="lightGray"/>
              </w:rPr>
              <w:t>άνω των</w:t>
            </w:r>
            <w:r w:rsidRPr="009E5F03">
              <w:rPr>
                <w:noProof/>
              </w:rPr>
              <w:t xml:space="preserve"> 50 000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CF5BC3">
              <w:rPr>
                <w:noProof/>
                <w:highlight w:val="lightGray"/>
              </w:rPr>
              <w:t> </w:t>
            </w:r>
            <w:r w:rsidRPr="009E5F03">
              <w:rPr>
                <w:noProof/>
                <w:highlight w:val="lightGray"/>
              </w:rPr>
              <w:t>— 99 999</w:t>
            </w:r>
            <w:r w:rsidR="00CF5BC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ι.π.:</w:t>
            </w:r>
          </w:p>
        </w:tc>
        <w:tc>
          <w:tcPr>
            <w:tcW w:w="6964"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CF5BC3">
              <w:rPr>
                <w:noProof/>
                <w:highlight w:val="lightGray"/>
              </w:rPr>
              <w:t> Ένα δείγμα εβδομαδιαίως</w:t>
            </w:r>
          </w:p>
          <w:p w:rsidR="008370E1" w:rsidRPr="009E5F03" w:rsidRDefault="008370E1" w:rsidP="00CF5BC3">
            <w:pPr>
              <w:pStyle w:val="NormalLeft"/>
              <w:rPr>
                <w:noProof/>
              </w:rPr>
            </w:pPr>
            <w:r w:rsidRPr="009E5F03">
              <w:rPr>
                <w:noProof/>
                <w:highlight w:val="lightGray"/>
              </w:rPr>
              <w:t>Για μικρορύπους, δύο δείγματα εβδομαδιαίως</w:t>
            </w:r>
            <w:r w:rsidR="00CF5BC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w:t>
            </w:r>
            <w:r w:rsidRPr="009E5F03">
              <w:rPr>
                <w:rStyle w:val="CRRefonteDeleted"/>
                <w:noProof/>
                <w:highlight w:val="lightGray"/>
              </w:rPr>
              <w:t>24 δείγματα</w:t>
            </w:r>
          </w:p>
        </w:tc>
      </w:tr>
      <w:tr w:rsidR="008370E1" w:rsidRPr="009E5F03" w:rsidTr="00E02907">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άνω των 100 000</w:t>
            </w:r>
            <w:r w:rsidR="002A69D3">
              <w:rPr>
                <w:noProof/>
                <w:highlight w:val="lightGray"/>
              </w:rPr>
              <w:t> </w:t>
            </w:r>
            <w:r w:rsidRPr="009E5F03">
              <w:rPr>
                <w:noProof/>
                <w:highlight w:val="lightGray"/>
              </w:rPr>
              <w:t>ι.π.: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6964"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CF5BC3">
              <w:rPr>
                <w:noProof/>
                <w:highlight w:val="lightGray"/>
              </w:rPr>
              <w:t> Ένα δείγμα ημερησίως</w:t>
            </w:r>
          </w:p>
          <w:p w:rsidR="008370E1" w:rsidRPr="009E5F03" w:rsidRDefault="008370E1" w:rsidP="00CF5BC3">
            <w:pPr>
              <w:pStyle w:val="NormalLeft"/>
              <w:rPr>
                <w:noProof/>
              </w:rPr>
            </w:pPr>
            <w:r w:rsidRPr="009E5F03">
              <w:rPr>
                <w:noProof/>
                <w:highlight w:val="lightGray"/>
              </w:rPr>
              <w:t>Για μικρορύπους, δύο δείγματα εβδομαδιαίως</w:t>
            </w:r>
            <w:r w:rsidR="00CF5BC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r>
    </w:tbl>
    <w:p w:rsidR="008370E1" w:rsidRPr="009E5F03" w:rsidRDefault="008370E1" w:rsidP="008370E1">
      <w:pPr>
        <w:rPr>
          <w:noProof/>
        </w:rPr>
      </w:pPr>
    </w:p>
    <w:p w:rsidR="008370E1" w:rsidRPr="009E5F03" w:rsidRDefault="008370E1" w:rsidP="008370E1">
      <w:pPr>
        <w:rPr>
          <w:noProof/>
        </w:rPr>
      </w:pPr>
      <w:r w:rsidRPr="009E5F03">
        <w:rPr>
          <w:noProof/>
        </w:rPr>
        <w:t>4.</w:t>
      </w:r>
      <w:r w:rsidRPr="009E5F03">
        <w:rPr>
          <w:noProof/>
        </w:rPr>
        <w:tab/>
        <w:t>Τα επεξεργαζόμενα λύματα θεωρείται ότι ανταποκρίνονται στις σχετικές παραμέτρους εάν, για καθεμία σχετική παράμετρο χωριστά, τα δείγματα δείχνουν ότι τα εν λόγω λύματα ανταποκρίνονται στη σχετική τιμή της παραμέτρου ως εξής:</w:t>
      </w:r>
    </w:p>
    <w:p w:rsidR="008370E1" w:rsidRPr="009E5F03" w:rsidRDefault="008370E1" w:rsidP="008370E1">
      <w:pPr>
        <w:pStyle w:val="Point0"/>
        <w:rPr>
          <w:noProof/>
        </w:rPr>
      </w:pPr>
      <w:r w:rsidRPr="009E5F03">
        <w:rPr>
          <w:noProof/>
        </w:rPr>
        <w:tab/>
        <w:t>α)</w:t>
      </w:r>
      <w:r w:rsidRPr="009E5F03">
        <w:rPr>
          <w:noProof/>
        </w:rPr>
        <w:tab/>
        <w:t xml:space="preserve">για τις παραμέτρους που ορίζονται στον πίνακα 1 </w:t>
      </w:r>
      <w:r w:rsidRPr="009E5F03">
        <w:rPr>
          <w:rStyle w:val="CRRefonteDeleted"/>
          <w:noProof/>
          <w:highlight w:val="lightGray"/>
        </w:rPr>
        <w:t>και στο άρθρο 2 σημείο 7</w:t>
      </w:r>
      <w:r w:rsidRPr="009E5F03">
        <w:rPr>
          <w:noProof/>
        </w:rPr>
        <w:t>, ο ανώτατος αριθμός δειγμάτων ο οποίος επιτρέπεται να μην συμφωνεί με τις απαιτήσεις για τις συγκεντρώσεις ή/και τα ποσοστά μείωσης</w:t>
      </w:r>
      <w:r w:rsidRPr="009E5F03">
        <w:rPr>
          <w:rStyle w:val="CRRefonteDeleted"/>
          <w:noProof/>
          <w:highlight w:val="lightGray"/>
        </w:rPr>
        <w:t xml:space="preserve"> του πίνακα 1 και του άρθρου 2 σημείο 7</w:t>
      </w:r>
      <w:r w:rsidRPr="009E5F03">
        <w:rPr>
          <w:noProof/>
        </w:rPr>
        <w:t xml:space="preserve">, καθορίζεται στον πίνακα </w:t>
      </w:r>
      <w:r w:rsidRPr="009E5F03">
        <w:rPr>
          <w:rStyle w:val="CRMinorChangeAdded"/>
          <w:noProof/>
        </w:rPr>
        <w:t>4</w:t>
      </w:r>
      <w:r w:rsidRPr="009E5F03">
        <w:rPr>
          <w:rStyle w:val="CRMinorChangeDeleted"/>
          <w:noProof/>
        </w:rPr>
        <w:t>3</w:t>
      </w:r>
      <w:r w:rsidRPr="009E5F03">
        <w:rPr>
          <w:noProof/>
        </w:rPr>
        <w:t>·</w:t>
      </w:r>
    </w:p>
    <w:p w:rsidR="008370E1" w:rsidRPr="009E5F03" w:rsidRDefault="008370E1" w:rsidP="008370E1">
      <w:pPr>
        <w:pStyle w:val="Point0"/>
        <w:rPr>
          <w:noProof/>
        </w:rPr>
      </w:pPr>
      <w:r w:rsidRPr="009E5F03">
        <w:rPr>
          <w:noProof/>
        </w:rPr>
        <w:tab/>
        <w:t>β)</w:t>
      </w:r>
      <w:r w:rsidRPr="009E5F03">
        <w:rPr>
          <w:noProof/>
        </w:rPr>
        <w:tab/>
        <w:t>για τις παραμέτρους του πίνακα όσον αφορά τις συγκεντρώσεις, τα εκτός ορίων δείγματα τα οποία λαμβάνονται υπό κανονικές συνθήκες λειτουργίας δεν πρέπει να αποκλίνουν από τις τιμές των παραμέτρων περισσότερο από 100</w:t>
      </w:r>
      <w:r w:rsidR="002A69D3">
        <w:rPr>
          <w:noProof/>
        </w:rPr>
        <w:t> </w:t>
      </w:r>
      <w:r w:rsidRPr="009E5F03">
        <w:rPr>
          <w:noProof/>
        </w:rPr>
        <w:t>%</w:t>
      </w:r>
      <w:r w:rsidRPr="009E5F03">
        <w:rPr>
          <w:rStyle w:val="CRMinorChangeAdded"/>
          <w:noProof/>
        </w:rPr>
        <w:t>,</w:t>
      </w:r>
      <w:r w:rsidRPr="009E5F03">
        <w:rPr>
          <w:rStyle w:val="CRMinorChangeDeleted"/>
          <w:noProof/>
        </w:rPr>
        <w:t>.</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εκτός από την παράμετρο των ολικών αιωρούμενων στερεών, για την οποία επιτρέπονται αποκλίσεις από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w:t>
      </w:r>
      <w:r w:rsidRPr="009E5F03">
        <w:rPr>
          <w:rStyle w:val="CRRefonteDeleted"/>
          <w:noProof/>
          <w:highlight w:val="lightGray"/>
        </w:rPr>
        <w:t>Για</w:t>
      </w:r>
      <w:r w:rsidRPr="009E5F03">
        <w:rPr>
          <w:noProof/>
        </w:rPr>
        <w:t xml:space="preserve"> τις οριακές τιμές </w:t>
      </w:r>
      <w:r w:rsidRPr="009E5F03">
        <w:rPr>
          <w:rStyle w:val="CRRefonteDeleted"/>
          <w:noProof/>
          <w:highlight w:val="lightGray"/>
        </w:rPr>
        <w:t>συγκέντρωσης που αφορούν τα ολικά αιωρούμενα στερεά, είναι δυνατόν δεκτές αποκλίσεις</w:t>
      </w:r>
      <w:r w:rsidRPr="009E5F03">
        <w:rPr>
          <w:noProof/>
        </w:rPr>
        <w:t xml:space="preserve"> μέχρι 150</w:t>
      </w:r>
      <w:r w:rsidR="002A69D3">
        <w:rPr>
          <w:noProof/>
        </w:rPr>
        <w:t> </w:t>
      </w:r>
      <w:r w:rsidRPr="009E5F03">
        <w:rPr>
          <w:noProof/>
        </w:rPr>
        <w:t>%·</w:t>
      </w:r>
    </w:p>
    <w:p w:rsidR="008370E1" w:rsidRPr="009E5F03" w:rsidRDefault="008370E1" w:rsidP="008370E1">
      <w:pPr>
        <w:pStyle w:val="Point0"/>
        <w:rPr>
          <w:noProof/>
        </w:rPr>
      </w:pPr>
      <w:r w:rsidRPr="009E5F03">
        <w:rPr>
          <w:noProof/>
        </w:rPr>
        <w:tab/>
        <w:t>γ)</w:t>
      </w:r>
      <w:r w:rsidRPr="009E5F03">
        <w:rPr>
          <w:noProof/>
        </w:rPr>
        <w:tab/>
        <w:t xml:space="preserve">για τις παραμέτρους που αναφέρονται στον πίνακα 2, ο ετήσιος μέσος όρος των τιμών των δειγμάτων για κάθε παράμετρο </w:t>
      </w:r>
      <w:r w:rsidRPr="009E5F03">
        <w:rPr>
          <w:rStyle w:val="CRRefonteDeleted"/>
          <w:noProof/>
          <w:highlight w:val="lightGray"/>
        </w:rPr>
        <w:t>δεν πρέπει να υπερβαίνει</w:t>
      </w:r>
      <w:r w:rsidRPr="009E5F03">
        <w:rPr>
          <w:noProof/>
        </w:rPr>
        <w:t xml:space="preserve">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2A69D3">
        <w:rPr>
          <w:noProof/>
        </w:rPr>
        <w:t> </w:t>
      </w:r>
      <w:r w:rsidRPr="009E5F03">
        <w:rPr>
          <w:noProof/>
        </w:rPr>
        <w:t>συμμορφώνεται με</w:t>
      </w:r>
      <w:r w:rsidR="002A69D3">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τις σχετικές οριακές τιμές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2A69D3">
        <w:rPr>
          <w:noProof/>
        </w:rPr>
        <w:t> </w:t>
      </w:r>
      <w:r w:rsidRPr="009E5F03">
        <w:rPr>
          <w:noProof/>
        </w:rPr>
        <w:t>που καθορίζονται στον εν λόγω πίνακα</w:t>
      </w:r>
      <w:r w:rsidR="002A69D3">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Αναλόγως των τοπικών συνθηκών, εφαρμόζεται η μία ή και οι δύο παράμετροι. Εφαρμόζεται η τιμή συγκέντρωσης ή το ποσοστό μείωσης·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pStyle w:val="Point0"/>
        <w:ind w:firstLine="0"/>
        <w:rPr>
          <w:noProof/>
        </w:rPr>
      </w:pPr>
      <w:r w:rsidRPr="009E5F03">
        <w:rPr>
          <w:noProof/>
          <w:highlight w:val="lightGray"/>
        </w:rPr>
        <w:t>δ) για τις παραμέτρους που αναφέρονται στον πίνακα 3, όλα τα λαμβανόμενα δείγματα συμμορφώνονται με τις οριακές τιμές παραμέτρων που καθορίζονται στον εν λόγω πίνακα.</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91/271/ΕΟΚ</w:t>
      </w: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8370E1" w:rsidRPr="009E5F03" w:rsidRDefault="008370E1" w:rsidP="008370E1">
      <w:pPr>
        <w:rPr>
          <w:noProof/>
        </w:rPr>
      </w:pPr>
      <w:r w:rsidRPr="009E5F03">
        <w:rPr>
          <w:noProof/>
        </w:rPr>
        <w:t>5.</w:t>
      </w:r>
      <w:r w:rsidRPr="009E5F03">
        <w:rPr>
          <w:noProof/>
        </w:rPr>
        <w:tab/>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Τα δείγματα λαμβάνονται έτσι ώστε να αποτυπώνουν τη ρύπανση σε συνθήκες ανομβρίας.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Οι ακραίες τιμές για την ποιότητα των εν λόγω λυμάτων δεν λαμβάνονται υπόψη, εφόσον οφείλονται σε ασυνήθεις καταστάσεις </w:t>
      </w:r>
      <w:r w:rsidRPr="009E5F03">
        <w:rPr>
          <w:rStyle w:val="CRRefonteDeleted"/>
          <w:noProof/>
          <w:highlight w:val="lightGray"/>
        </w:rPr>
        <w:t>, όπως π.χ. νεροποντή</w:t>
      </w:r>
      <w:r w:rsidRPr="009E5F03">
        <w:rPr>
          <w:noProof/>
        </w:rPr>
        <w:t xml:space="preserve"> </w:t>
      </w:r>
      <w:r w:rsidRPr="002A69D3">
        <w:rPr>
          <w:rStyle w:val="CRMinorChangeAdded"/>
          <w:noProof/>
        </w:rPr>
        <w:t>λόγω νεροποντής</w:t>
      </w:r>
      <w:r w:rsidRPr="009E5F03">
        <w:rPr>
          <w:noProof/>
        </w:rPr>
        <w:t>.</w:t>
      </w:r>
    </w:p>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rPr>
          <w:noProof/>
        </w:rPr>
      </w:pPr>
      <w:r w:rsidRPr="009E5F03">
        <w:rPr>
          <w:noProof/>
          <w:highlight w:val="lightGray"/>
        </w:rPr>
        <w:t>6. Οι αναλύσεις που αφορούν απορρίψεις από τελμάτωση διεξάγονται σε διηθημένα δείγματα. Ωστόσο, η συγκέντρωση των ολικών αιωρούμενων στερεών σε μη διηθημένα δείγματα υδάτων από τέτοιες απορρίψεις δεν πρέπει να υπερβαίνει τα 150 mg/l.</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91/271/EOK (προσαρμοσμένο)</w:t>
      </w: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2A69D3" w:rsidRDefault="002A69D3">
      <w:pPr>
        <w:rPr>
          <w:noProof/>
        </w:rPr>
      </w:pPr>
    </w:p>
    <w:tbl>
      <w:tblPr>
        <w:tblW w:w="0" w:type="auto"/>
        <w:tblLayout w:type="fixed"/>
        <w:tblLook w:val="0000" w:firstRow="0" w:lastRow="0" w:firstColumn="0" w:lastColumn="0" w:noHBand="0" w:noVBand="0"/>
      </w:tblPr>
      <w:tblGrid>
        <w:gridCol w:w="1857"/>
        <w:gridCol w:w="2322"/>
        <w:gridCol w:w="1857"/>
        <w:gridCol w:w="3250"/>
      </w:tblGrid>
      <w:tr w:rsidR="008370E1" w:rsidRPr="009E5F03" w:rsidTr="00E02907">
        <w:tc>
          <w:tcPr>
            <w:tcW w:w="9286" w:type="dxa"/>
            <w:gridSpan w:val="4"/>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Πίνακας 1:</w:t>
            </w:r>
            <w:r w:rsidRPr="009E5F03">
              <w:rPr>
                <w:noProof/>
              </w:rPr>
              <w:tab/>
              <w:t xml:space="preserve">Απαιτήσεις για απορρίψεις από σταθμούς επεξεργασίας αστικών λυμάτων που διέπονται από </w:t>
            </w:r>
            <w:r w:rsidRPr="009E5F03">
              <w:rPr>
                <w:rStyle w:val="CRMinorChangeAdded"/>
                <w:noProof/>
              </w:rPr>
              <w:t>το άρθρο 6</w:t>
            </w:r>
            <w:r w:rsidRPr="009E5F03">
              <w:rPr>
                <w:noProof/>
              </w:rPr>
              <w:t xml:space="preserve"> </w:t>
            </w:r>
            <w:r w:rsidRPr="009E5F03">
              <w:rPr>
                <w:rStyle w:val="CRRefonteDeleted"/>
                <w:noProof/>
                <w:highlight w:val="lightGray"/>
              </w:rPr>
              <w:t>τα άρθρα 4 και 5</w:t>
            </w:r>
            <w:r w:rsidRPr="009E5F03">
              <w:rPr>
                <w:noProof/>
              </w:rPr>
              <w:t xml:space="preserve"> της παρούσας οδηγίας. Εφαρμόζεται η τιμή συγκέντρωσης ή το ποσοστό μείωσης.</w:t>
            </w:r>
          </w:p>
        </w:tc>
      </w:tr>
      <w:tr w:rsidR="008370E1" w:rsidRPr="009E5F03" w:rsidTr="00E02907">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Παράμετροι</w:t>
            </w:r>
          </w:p>
        </w:tc>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Συγκέντρωση</w:t>
            </w:r>
          </w:p>
        </w:tc>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Ελάχιστη εκατοστιαία μείωση</w:t>
            </w:r>
            <w:r w:rsidRPr="009E5F03">
              <w:rPr>
                <w:rStyle w:val="FootnoteReference"/>
                <w:noProof/>
              </w:rPr>
              <w:footnoteReference w:id="3"/>
            </w:r>
          </w:p>
        </w:tc>
        <w:tc>
          <w:tcPr>
            <w:tcW w:w="3250"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Μέθοδοι μέτρησης αναφοράς</w:t>
            </w:r>
          </w:p>
        </w:tc>
      </w:tr>
      <w:tr w:rsidR="008370E1" w:rsidRPr="009E5F03" w:rsidTr="00E02907">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rPr>
            </w:pPr>
            <w:r w:rsidRPr="009E5F03">
              <w:rPr>
                <w:rStyle w:val="CRMinorChangeDeleted"/>
                <w:noProof/>
              </w:rPr>
              <w:t>Βιομηχανικές</w:t>
            </w:r>
            <w:r w:rsidRPr="009E5F03">
              <w:rPr>
                <w:noProof/>
              </w:rPr>
              <w:t xml:space="preserve"> </w:t>
            </w:r>
            <w:r w:rsidRPr="009E5F03">
              <w:rPr>
                <w:rStyle w:val="CRMinorChangeAdded"/>
                <w:noProof/>
              </w:rPr>
              <w:t>Βιοχημικές</w:t>
            </w:r>
            <w:r w:rsidRPr="009E5F03">
              <w:rPr>
                <w:noProof/>
              </w:rPr>
              <w:t xml:space="preserve"> ανάγκες σε οξυγόνο (BOD5 στους 20</w:t>
            </w:r>
            <w:r w:rsidR="002A69D3">
              <w:rPr>
                <w:noProof/>
              </w:rPr>
              <w:t> </w:t>
            </w:r>
            <w:r w:rsidRPr="009E5F03">
              <w:rPr>
                <w:noProof/>
              </w:rPr>
              <w:t>°C) χωρίς νιτροποίηση</w:t>
            </w:r>
            <w:r w:rsidRPr="009E5F03">
              <w:rPr>
                <w:rStyle w:val="CRRefonteDeleted"/>
                <w:noProof/>
                <w:highlight w:val="lightGray"/>
                <w:vertAlign w:val="superscript"/>
              </w:rPr>
              <w:footnoteReference w:id="4"/>
            </w:r>
            <w:r w:rsidRPr="009E5F03">
              <w:rPr>
                <w:noProof/>
                <w:vertAlign w:val="superscript"/>
              </w:rPr>
              <w:t xml:space="preserve">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2A69D3">
              <w:rPr>
                <w:noProof/>
              </w:rPr>
              <w:t> </w:t>
            </w:r>
            <w:r w:rsidRPr="009E5F03">
              <w:rPr>
                <w:noProof/>
              </w:rPr>
              <w:t>(βλ. σημείωση 1)</w:t>
            </w:r>
            <w:r w:rsidR="002A69D3">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25 mg/l O</w:t>
            </w:r>
            <w:r w:rsidRPr="009E5F03">
              <w:rPr>
                <w:noProof/>
                <w:vertAlign w:val="subscript"/>
              </w:rPr>
              <w:t>2</w:t>
            </w:r>
          </w:p>
        </w:tc>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70–90</w:t>
            </w:r>
          </w:p>
          <w:p w:rsidR="008370E1" w:rsidRPr="009E5F03" w:rsidRDefault="008370E1" w:rsidP="00E02907">
            <w:pPr>
              <w:pStyle w:val="NormalLeft"/>
              <w:rPr>
                <w:noProof/>
              </w:rPr>
            </w:pPr>
            <w:r w:rsidRPr="009E5F03">
              <w:rPr>
                <w:noProof/>
              </w:rPr>
              <w:t>40 δυνάμει άρθρου 4 παράγραφος 2</w:t>
            </w:r>
          </w:p>
        </w:tc>
        <w:tc>
          <w:tcPr>
            <w:tcW w:w="3250"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Ομοιογενοποιημένο, αδιήθητο, ακατακάθιστο δείγμα, προσδιορισμός του διαλελυμένου οξυγόνου πριν και μετά πενθήμερη επώαση στους 20 °C ± 1 °C, σε απόλυτο σκότος. Προσθήκη παρεμποδιστή της νιτροποίησης</w:t>
            </w:r>
          </w:p>
        </w:tc>
      </w:tr>
      <w:tr w:rsidR="008370E1" w:rsidRPr="009E5F03" w:rsidTr="00E02907">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rPr>
            </w:pPr>
            <w:r w:rsidRPr="009E5F03">
              <w:rPr>
                <w:noProof/>
              </w:rPr>
              <w:t xml:space="preserve">Χημικές ανάγκες σε οξυγόνο (COD)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2A69D3">
              <w:rPr>
                <w:noProof/>
              </w:rPr>
              <w:t> </w:t>
            </w:r>
            <w:r w:rsidRPr="009E5F03">
              <w:rPr>
                <w:noProof/>
              </w:rPr>
              <w:t>(βλ. σημείωση 2)</w:t>
            </w:r>
            <w:r w:rsidR="002A69D3">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125 mg/l O</w:t>
            </w:r>
            <w:r w:rsidRPr="009E5F03">
              <w:rPr>
                <w:noProof/>
                <w:vertAlign w:val="subscript"/>
              </w:rPr>
              <w:t>2</w:t>
            </w:r>
          </w:p>
        </w:tc>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75</w:t>
            </w:r>
          </w:p>
        </w:tc>
        <w:tc>
          <w:tcPr>
            <w:tcW w:w="3250"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Ομοιογενοποιημένο, αδιήθητο, ακατακάθιστο δείγμα. Διχρωμικό κάλιο</w:t>
            </w:r>
          </w:p>
        </w:tc>
      </w:tr>
      <w:tr w:rsidR="008370E1" w:rsidRPr="009E5F03" w:rsidTr="00E02907">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2A69D3">
              <w:rPr>
                <w:noProof/>
                <w:highlight w:val="lightGray"/>
              </w:rPr>
              <w:t> </w:t>
            </w:r>
            <w:r w:rsidRPr="009E5F03">
              <w:rPr>
                <w:noProof/>
                <w:highlight w:val="lightGray"/>
              </w:rPr>
              <w:t>Ολικός οργανικός άνθρακας (βλ. σημείωση 2)</w:t>
            </w:r>
            <w:r w:rsidR="002A69D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2A69D3">
              <w:rPr>
                <w:noProof/>
                <w:highlight w:val="lightGray"/>
              </w:rPr>
              <w:t> </w:t>
            </w:r>
            <w:r w:rsidRPr="009E5F03">
              <w:rPr>
                <w:noProof/>
                <w:highlight w:val="lightGray"/>
              </w:rPr>
              <w:t>37 mg/l</w:t>
            </w:r>
            <w:r w:rsidR="002A69D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2A69D3">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2A69D3">
              <w:rPr>
                <w:noProof/>
                <w:highlight w:val="lightGray"/>
              </w:rPr>
              <w:t> </w:t>
            </w:r>
            <w:r w:rsidRPr="009E5F03">
              <w:rPr>
                <w:noProof/>
                <w:highlight w:val="lightGray"/>
              </w:rPr>
              <w:t>75</w:t>
            </w:r>
            <w:r w:rsidR="002A69D3">
              <w:rPr>
                <w:noProof/>
                <w:highlight w:val="lightGray"/>
              </w:rPr>
              <w:t>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3250"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highlight w:val="lightGray"/>
              </w:rPr>
            </w:pP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EN 1484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r>
      <w:tr w:rsidR="008370E1" w:rsidRPr="009E5F03" w:rsidTr="00E02907">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Ολικά αιωρούμενα στερεά</w:t>
            </w:r>
          </w:p>
        </w:tc>
        <w:tc>
          <w:tcPr>
            <w:tcW w:w="2322"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35 mg/l</w:t>
            </w:r>
            <w:r w:rsidRPr="009E5F03">
              <w:rPr>
                <w:rStyle w:val="CRRefonteDeleted"/>
                <w:noProof/>
                <w:highlight w:val="lightGray"/>
                <w:vertAlign w:val="superscript"/>
              </w:rPr>
              <w:footnoteReference w:id="5"/>
            </w:r>
            <w:r w:rsidRPr="009E5F03">
              <w:rPr>
                <w:noProof/>
              </w:rPr>
              <w:t xml:space="preserve">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350AD0">
              <w:rPr>
                <w:noProof/>
              </w:rPr>
              <w:t> </w:t>
            </w:r>
            <w:r w:rsidRPr="009E5F03">
              <w:rPr>
                <w:noProof/>
              </w:rPr>
              <w:t>(βλ. σημείωση</w:t>
            </w:r>
            <w:r w:rsidR="00350AD0">
              <w:rPr>
                <w:noProof/>
              </w:rPr>
              <w:t> </w:t>
            </w:r>
            <w:r w:rsidRPr="009E5F03">
              <w:rPr>
                <w:noProof/>
              </w:rPr>
              <w:t>3)</w:t>
            </w:r>
            <w:r w:rsidR="00350AD0">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p>
          <w:p w:rsidR="008370E1" w:rsidRPr="009E5F03" w:rsidRDefault="008370E1" w:rsidP="00E02907">
            <w:pPr>
              <w:pStyle w:val="NormalLeft"/>
              <w:rPr>
                <w:rStyle w:val="CRRefonteDeleted"/>
                <w:noProof/>
                <w:highlight w:val="lightGray"/>
              </w:rPr>
            </w:pPr>
            <w:r w:rsidRPr="009E5F03">
              <w:rPr>
                <w:rStyle w:val="CRRefonteDeleted"/>
                <w:noProof/>
                <w:highlight w:val="lightGray"/>
              </w:rPr>
              <w:t>35 δυνάμει άρθρου 4 παράγραφος 2 (άνω των 10000 ι.π.)</w:t>
            </w:r>
          </w:p>
          <w:p w:rsidR="008370E1" w:rsidRPr="009E5F03" w:rsidRDefault="008370E1" w:rsidP="00E02907">
            <w:pPr>
              <w:pStyle w:val="NormalLeft"/>
              <w:rPr>
                <w:noProof/>
              </w:rPr>
            </w:pPr>
            <w:r w:rsidRPr="009E5F03">
              <w:rPr>
                <w:rStyle w:val="CRRefonteDeleted"/>
                <w:noProof/>
                <w:highlight w:val="lightGray"/>
              </w:rPr>
              <w:t>60 δυνάμει άρθρου 4 παράγραφος 2 (2000-10000 ι.π.)</w:t>
            </w:r>
          </w:p>
        </w:tc>
        <w:tc>
          <w:tcPr>
            <w:tcW w:w="18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90</w:t>
            </w:r>
            <w:r w:rsidRPr="009E5F03">
              <w:rPr>
                <w:rStyle w:val="CRRefonteDeleted"/>
                <w:noProof/>
                <w:highlight w:val="lightGray"/>
                <w:vertAlign w:val="superscript"/>
              </w:rPr>
              <w:footnoteReference w:id="6"/>
            </w:r>
            <w:r w:rsidRPr="009E5F03">
              <w:rPr>
                <w:noProof/>
              </w:rPr>
              <w:t xml:space="preserve">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350AD0">
              <w:rPr>
                <w:noProof/>
              </w:rPr>
              <w:t> </w:t>
            </w:r>
            <w:r w:rsidRPr="009E5F03">
              <w:rPr>
                <w:noProof/>
              </w:rPr>
              <w:t>(βλ. σημείωση</w:t>
            </w:r>
            <w:r w:rsidR="00350AD0">
              <w:rPr>
                <w:noProof/>
              </w:rPr>
              <w:t> </w:t>
            </w:r>
            <w:r w:rsidRPr="009E5F03">
              <w:rPr>
                <w:noProof/>
              </w:rPr>
              <w:t>3)</w:t>
            </w:r>
            <w:r w:rsidR="00350AD0">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p>
          <w:p w:rsidR="008370E1" w:rsidRPr="009E5F03" w:rsidRDefault="008370E1" w:rsidP="00E02907">
            <w:pPr>
              <w:pStyle w:val="NormalLeft"/>
              <w:rPr>
                <w:rStyle w:val="CRRefonteDeleted"/>
                <w:noProof/>
                <w:highlight w:val="lightGray"/>
              </w:rPr>
            </w:pPr>
            <w:r w:rsidRPr="009E5F03">
              <w:rPr>
                <w:rStyle w:val="CRRefonteDeleted"/>
                <w:noProof/>
                <w:highlight w:val="lightGray"/>
              </w:rPr>
              <w:t>90 δυνάμει άρθρου 4 παράγραφος 2 (άνω των 10000 ι.π.)</w:t>
            </w:r>
          </w:p>
          <w:p w:rsidR="008370E1" w:rsidRPr="009E5F03" w:rsidRDefault="008370E1" w:rsidP="00E02907">
            <w:pPr>
              <w:pStyle w:val="NormalLeft"/>
              <w:rPr>
                <w:noProof/>
              </w:rPr>
            </w:pPr>
            <w:r w:rsidRPr="009E5F03">
              <w:rPr>
                <w:rStyle w:val="CRRefonteDeleted"/>
                <w:noProof/>
                <w:highlight w:val="lightGray"/>
              </w:rPr>
              <w:t>70 δυνάμει άρθρου 4 παράγραφος 2 (2000-10000 ι.π.)</w:t>
            </w:r>
          </w:p>
        </w:tc>
        <w:tc>
          <w:tcPr>
            <w:tcW w:w="3250" w:type="dxa"/>
            <w:tcBorders>
              <w:top w:val="single" w:sz="2" w:space="0" w:color="auto"/>
              <w:left w:val="single" w:sz="2" w:space="0" w:color="auto"/>
              <w:bottom w:val="single" w:sz="2" w:space="0" w:color="auto"/>
              <w:right w:val="single" w:sz="2" w:space="0" w:color="auto"/>
            </w:tcBorders>
          </w:tcPr>
          <w:p w:rsidR="008370E1" w:rsidRPr="009E5F03" w:rsidRDefault="008370E1" w:rsidP="00AF500B">
            <w:pPr>
              <w:pStyle w:val="Tiret0"/>
              <w:numPr>
                <w:ilvl w:val="0"/>
                <w:numId w:val="17"/>
              </w:numPr>
              <w:autoSpaceDE w:val="0"/>
              <w:autoSpaceDN w:val="0"/>
              <w:ind w:left="851" w:hanging="851"/>
              <w:jc w:val="left"/>
              <w:rPr>
                <w:noProof/>
              </w:rPr>
            </w:pPr>
            <w:r w:rsidRPr="009E5F03">
              <w:rPr>
                <w:noProof/>
              </w:rPr>
              <w:t>Διήθηση αντιπροσωπευτικού δείγματος μέσω φίλτρου μεμβράνης των 0,45</w:t>
            </w:r>
            <w:r w:rsidR="00350AD0">
              <w:rPr>
                <w:noProof/>
              </w:rPr>
              <w:t> </w:t>
            </w:r>
            <w:r w:rsidRPr="009E5F03">
              <w:rPr>
                <w:noProof/>
              </w:rPr>
              <w:t>μm. Ξήρανση σε θερμοκρασία 105</w:t>
            </w:r>
            <w:r w:rsidR="00350AD0">
              <w:rPr>
                <w:noProof/>
              </w:rPr>
              <w:t> </w:t>
            </w:r>
            <w:r w:rsidRPr="009E5F03">
              <w:rPr>
                <w:noProof/>
              </w:rPr>
              <w:t>°C και ζύγιση.</w:t>
            </w:r>
          </w:p>
          <w:p w:rsidR="008370E1" w:rsidRPr="009E5F03" w:rsidRDefault="008370E1" w:rsidP="00AF500B">
            <w:pPr>
              <w:pStyle w:val="Tiret0"/>
              <w:numPr>
                <w:ilvl w:val="0"/>
                <w:numId w:val="17"/>
              </w:numPr>
              <w:autoSpaceDE w:val="0"/>
              <w:autoSpaceDN w:val="0"/>
              <w:ind w:left="851" w:hanging="851"/>
              <w:jc w:val="left"/>
              <w:rPr>
                <w:noProof/>
              </w:rPr>
            </w:pPr>
            <w:r w:rsidRPr="009E5F03">
              <w:rPr>
                <w:noProof/>
              </w:rPr>
              <w:t>Φυγοκέντρηση αντιπροσωπευτικού δείγματος (επί 5</w:t>
            </w:r>
            <w:r w:rsidR="00350AD0">
              <w:rPr>
                <w:noProof/>
              </w:rPr>
              <w:t> </w:t>
            </w:r>
            <w:r w:rsidRPr="009E5F03">
              <w:rPr>
                <w:noProof/>
              </w:rPr>
              <w:t>τουλάχιστον λεπτά, με μέση επιτάχυνση 2800-3200</w:t>
            </w:r>
            <w:r w:rsidR="00350AD0">
              <w:rPr>
                <w:noProof/>
              </w:rPr>
              <w:t> </w:t>
            </w:r>
            <w:r w:rsidRPr="009E5F03">
              <w:rPr>
                <w:noProof/>
              </w:rPr>
              <w:t>g). Ξήρανση σε θερμοκρασία 105</w:t>
            </w:r>
            <w:r w:rsidR="00350AD0">
              <w:rPr>
                <w:noProof/>
              </w:rPr>
              <w:t> </w:t>
            </w:r>
            <w:r w:rsidRPr="009E5F03">
              <w:rPr>
                <w:noProof/>
              </w:rPr>
              <w:t>°C και ζύγιση.</w:t>
            </w:r>
          </w:p>
        </w:tc>
      </w:tr>
    </w:tbl>
    <w:p w:rsidR="008370E1" w:rsidRPr="009E5F03" w:rsidRDefault="008370E1" w:rsidP="008370E1">
      <w:pPr>
        <w:rPr>
          <w:noProof/>
        </w:rPr>
        <w:sectPr w:rsidR="008370E1" w:rsidRPr="009E5F03" w:rsidSect="00841019">
          <w:footerReference w:type="default" r:id="rId15"/>
          <w:footerReference w:type="first" r:id="rId16"/>
          <w:footnotePr>
            <w:numRestart w:val="eachSect"/>
          </w:footnotePr>
          <w:pgSz w:w="11906" w:h="16838"/>
          <w:pgMar w:top="1134" w:right="1418" w:bottom="1134" w:left="1418" w:header="709" w:footer="709" w:gutter="0"/>
          <w:pgNumType w:start="5"/>
          <w:cols w:space="709"/>
          <w:docGrid w:linePitch="326"/>
        </w:sectPr>
      </w:pPr>
    </w:p>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rPr>
          <w:noProof/>
          <w:highlight w:val="lightGray"/>
        </w:rPr>
      </w:pPr>
      <w:r w:rsidRPr="009E5F03">
        <w:rPr>
          <w:noProof/>
          <w:highlight w:val="lightGray"/>
        </w:rPr>
        <w:t>Σημείωση 1: Η παράμετρος αυτή μπορεί να αντικατασταθεί από άλλη: ολικός οργανικός άνθρακας (TOC) ή ολικές ανάγκες σε οξυγόνο (TOD) αν μπορεί να ευρεθεί σχέση μεταξύ του BOD5 και της υποκατάστατης παραμέτρου.</w:t>
      </w:r>
    </w:p>
    <w:p w:rsidR="008370E1" w:rsidRPr="009E5F03" w:rsidRDefault="008370E1" w:rsidP="008370E1">
      <w:pPr>
        <w:rPr>
          <w:noProof/>
          <w:highlight w:val="lightGray"/>
        </w:rPr>
      </w:pPr>
      <w:r w:rsidRPr="009E5F03">
        <w:rPr>
          <w:noProof/>
          <w:highlight w:val="lightGray"/>
        </w:rPr>
        <w:t>Σημείωση 2: Τα κράτη μέλη μετρούν είτε τις χημικές ανάγκες σε οξυγόνο (COD) είτε τον ολικό οργανικό άνθρακα.</w:t>
      </w:r>
    </w:p>
    <w:p w:rsidR="008370E1" w:rsidRPr="009E5F03" w:rsidRDefault="008370E1" w:rsidP="008370E1">
      <w:pPr>
        <w:rPr>
          <w:noProof/>
        </w:rPr>
      </w:pPr>
      <w:r w:rsidRPr="009E5F03">
        <w:rPr>
          <w:noProof/>
          <w:highlight w:val="lightGray"/>
        </w:rPr>
        <w:t>Σημείωση 3: Η απαίτηση αυτή είναι προαιρετική.</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91/271/ΕΟΚ</w:t>
      </w:r>
    </w:p>
    <w:p w:rsidR="008370E1" w:rsidRPr="009E5F03" w:rsidRDefault="008370E1" w:rsidP="008370E1">
      <w:pPr>
        <w:rPr>
          <w:noProof/>
          <w:highlight w:val="lightGray"/>
        </w:rPr>
      </w:pPr>
      <w:r w:rsidRPr="009E5F03">
        <w:rPr>
          <w:rStyle w:val="CRRefonteDeleted"/>
          <w:noProof/>
          <w:highlight w:val="lightGray"/>
        </w:rPr>
        <w:t>Οι αναλύσεις που αφορούν απορρίψεις από τελμάτωση διεξάγονται σε διηθημένα δείγματα. Ωστόσο, η συγκέντρωση του συνόλου των αιωρούμενων στερεών σε αδιήθητα δείγματα υδάτων δεν πρέπει να υπερβαίνει τα 150 mg/l.</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xml:space="preserve"> 98/15/ΕΚ άρθρο 1 και παράρτημα (προσαρμοσμένο)</w:t>
      </w:r>
    </w:p>
    <w:p w:rsidR="008370E1" w:rsidRPr="009E5F03" w:rsidRDefault="008370E1" w:rsidP="008370E1">
      <w:pPr>
        <w:pStyle w:val="CRReference"/>
        <w:rPr>
          <w:noProof/>
        </w:rPr>
      </w:pPr>
      <w:r w:rsidRPr="009E5F03">
        <w:rPr>
          <w:noProof/>
        </w:rPr>
        <w:fldChar w:fldCharType="begin"/>
      </w:r>
      <w:r w:rsidRPr="009E5F03">
        <w:rPr>
          <w:noProof/>
        </w:rPr>
        <w:instrText xml:space="preserve"> QUOTE "è" </w:instrText>
      </w:r>
      <w:r w:rsidRPr="009E5F03">
        <w:rPr>
          <w:noProof/>
        </w:rPr>
        <w:fldChar w:fldCharType="separate"/>
      </w:r>
      <w:r w:rsidRPr="009E5F03">
        <w:rPr>
          <w:rStyle w:val="CRMarker"/>
          <w:noProof/>
        </w:rPr>
        <w:t>è</w:t>
      </w:r>
      <w:r w:rsidRPr="009E5F03">
        <w:rPr>
          <w:noProof/>
        </w:rPr>
        <w:fldChar w:fldCharType="end"/>
      </w:r>
      <w:r w:rsidRPr="009E5F03">
        <w:rPr>
          <w:rStyle w:val="CRRefNum"/>
          <w:noProof/>
        </w:rPr>
        <w:t>1</w:t>
      </w:r>
      <w:r w:rsidRPr="009E5F03">
        <w:rPr>
          <w:noProof/>
        </w:rPr>
        <w:t> 98/15/ΕΚ άρθρο 1 και παράρτημα, τροποποιημένο από διορθωτικό, EE L 189 της 17.7.2015, σ. 41</w:t>
      </w:r>
    </w:p>
    <w:p w:rsidR="008370E1" w:rsidRPr="009E5F03" w:rsidRDefault="008370E1" w:rsidP="008370E1">
      <w:pPr>
        <w:pStyle w:val="CRReference"/>
        <w:rPr>
          <w:noProof/>
        </w:rPr>
      </w:pPr>
      <w:r w:rsidRPr="009E5F03">
        <w:rPr>
          <w:noProof/>
        </w:rPr>
        <w:fldChar w:fldCharType="begin"/>
      </w:r>
      <w:r w:rsidRPr="009E5F03">
        <w:rPr>
          <w:noProof/>
        </w:rPr>
        <w:instrText xml:space="preserve"> QUOTE "è" </w:instrText>
      </w:r>
      <w:r w:rsidRPr="009E5F03">
        <w:rPr>
          <w:noProof/>
        </w:rPr>
        <w:fldChar w:fldCharType="separate"/>
      </w:r>
      <w:r w:rsidRPr="009E5F03">
        <w:rPr>
          <w:rStyle w:val="CRMarker"/>
          <w:noProof/>
        </w:rPr>
        <w:t>è</w:t>
      </w:r>
      <w:r w:rsidRPr="009E5F03">
        <w:rPr>
          <w:noProof/>
        </w:rPr>
        <w:fldChar w:fldCharType="end"/>
      </w:r>
      <w:r w:rsidRPr="009E5F03">
        <w:rPr>
          <w:rStyle w:val="CRRefNum"/>
          <w:noProof/>
        </w:rPr>
        <w:t>2</w:t>
      </w:r>
      <w:r w:rsidRPr="009E5F03">
        <w:rPr>
          <w:noProof/>
        </w:rPr>
        <w:t> 98/15/ΕΚ άρθρο 1 και παράρτημα, τροποποιημένο από διορθωτικό, EE L 139 της 2.6.1999, σ. 34</w:t>
      </w: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8370E1" w:rsidRPr="009E5F03" w:rsidRDefault="008370E1" w:rsidP="008370E1">
      <w:pPr>
        <w:rPr>
          <w:noProof/>
        </w:rPr>
      </w:pPr>
      <w:r w:rsidRPr="009E5F03">
        <w:rPr>
          <w:b/>
          <w:noProof/>
        </w:rPr>
        <w:t>Πίνακας 2:</w:t>
      </w:r>
    </w:p>
    <w:p w:rsidR="008370E1" w:rsidRDefault="008370E1" w:rsidP="008370E1">
      <w:pPr>
        <w:pStyle w:val="Point0"/>
        <w:rPr>
          <w:noProof/>
        </w:rPr>
      </w:pPr>
      <w:r w:rsidRPr="009E5F03">
        <w:rPr>
          <w:noProof/>
        </w:rPr>
        <w:tab/>
      </w:r>
      <w:r w:rsidRPr="009E5F03">
        <w:rPr>
          <w:noProof/>
        </w:rPr>
        <w:fldChar w:fldCharType="begin"/>
      </w:r>
      <w:r w:rsidRPr="009E5F03">
        <w:rPr>
          <w:noProof/>
        </w:rPr>
        <w:instrText xml:space="preserve"> QUOTE "è" </w:instrText>
      </w:r>
      <w:r w:rsidRPr="009E5F03">
        <w:rPr>
          <w:noProof/>
        </w:rPr>
        <w:fldChar w:fldCharType="separate"/>
      </w:r>
      <w:r w:rsidRPr="009E5F03">
        <w:rPr>
          <w:rStyle w:val="CRMarker"/>
          <w:noProof/>
        </w:rPr>
        <w:t>è</w:t>
      </w:r>
      <w:r w:rsidRPr="009E5F03">
        <w:rPr>
          <w:noProof/>
        </w:rPr>
        <w:fldChar w:fldCharType="end"/>
      </w:r>
      <w:r w:rsidRPr="009E5F03">
        <w:rPr>
          <w:rStyle w:val="CRRefNum"/>
          <w:noProof/>
        </w:rPr>
        <w:t>1</w:t>
      </w:r>
      <w:r w:rsidRPr="009E5F03">
        <w:rPr>
          <w:noProof/>
        </w:rPr>
        <w:t xml:space="preserve"> Απαιτήσεις για </w:t>
      </w: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350AD0">
        <w:rPr>
          <w:noProof/>
        </w:rPr>
        <w:t> </w:t>
      </w:r>
      <w:r w:rsidRPr="009E5F03">
        <w:rPr>
          <w:noProof/>
        </w:rPr>
        <w:t>την τριτοβάθμια επεξεργασία απορρίψεων</w:t>
      </w:r>
      <w:r w:rsidR="00350AD0">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r w:rsidRPr="009E5F03">
        <w:rPr>
          <w:noProof/>
        </w:rPr>
        <w:t xml:space="preserve"> από σταθμούς επεξεργασίας αστικών λυμάτων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που αναφέρονται στο άρθρο</w:t>
      </w:r>
      <w:r w:rsidR="00350AD0">
        <w:rPr>
          <w:noProof/>
          <w:highlight w:val="lightGray"/>
        </w:rPr>
        <w:t> </w:t>
      </w:r>
      <w:r w:rsidRPr="009E5F03">
        <w:rPr>
          <w:noProof/>
          <w:highlight w:val="lightGray"/>
        </w:rPr>
        <w:t>7 παράγραφοι</w:t>
      </w:r>
      <w:r w:rsidR="00350AD0">
        <w:rPr>
          <w:noProof/>
          <w:highlight w:val="lightGray"/>
        </w:rPr>
        <w:t> </w:t>
      </w:r>
      <w:r w:rsidRPr="009E5F03">
        <w:rPr>
          <w:noProof/>
          <w:highlight w:val="lightGray"/>
        </w:rPr>
        <w:t>1 και</w:t>
      </w:r>
      <w:r w:rsidR="00350AD0">
        <w:rPr>
          <w:noProof/>
          <w:highlight w:val="lightGray"/>
        </w:rPr>
        <w:t> </w:t>
      </w:r>
      <w:r w:rsidRPr="009E5F03">
        <w:rPr>
          <w:noProof/>
          <w:highlight w:val="lightGray"/>
        </w:rPr>
        <w:t>3 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w:t>
      </w:r>
      <w:r w:rsidRPr="009E5F03">
        <w:rPr>
          <w:rStyle w:val="CRRefonteDeleted"/>
          <w:noProof/>
          <w:highlight w:val="lightGray"/>
        </w:rPr>
        <w:t>σε ευαίσθητες περιοχές όπου παρουσιάζεται ευτροφισμός, όπως προσδιορίζονται στο παράρτημα ΙΙ σημείο Α. α)</w:t>
      </w:r>
      <w:r w:rsidRPr="009E5F03">
        <w:rPr>
          <w:noProof/>
        </w:rPr>
        <w:t>. </w:t>
      </w:r>
      <w:r w:rsidRPr="009E5F03">
        <w:rPr>
          <w:noProof/>
        </w:rPr>
        <w:fldChar w:fldCharType="begin"/>
      </w:r>
      <w:r w:rsidRPr="009E5F03">
        <w:rPr>
          <w:noProof/>
        </w:rPr>
        <w:instrText xml:space="preserve"> QUOTE "ç" </w:instrText>
      </w:r>
      <w:r w:rsidRPr="009E5F03">
        <w:rPr>
          <w:noProof/>
        </w:rPr>
        <w:fldChar w:fldCharType="separate"/>
      </w:r>
      <w:r w:rsidRPr="009E5F03">
        <w:rPr>
          <w:rStyle w:val="CRMarker"/>
          <w:noProof/>
        </w:rPr>
        <w:t>ç</w:t>
      </w:r>
      <w:r w:rsidRPr="009E5F03">
        <w:rPr>
          <w:noProof/>
        </w:rPr>
        <w:fldChar w:fldCharType="end"/>
      </w:r>
      <w:r w:rsidRPr="009E5F03">
        <w:rPr>
          <w:noProof/>
        </w:rPr>
        <w:t xml:space="preserve"> Αναλόγως των τοπικών συνθηκών, εφαρμόζεται η μία ή και οι δύο παράμετροι. Εφαρμόζεται η τιμή συγκέντρωσης ή το ποσοστό μείωσης.</w:t>
      </w:r>
    </w:p>
    <w:p w:rsidR="00350AD0" w:rsidRPr="009E5F03" w:rsidRDefault="00350AD0" w:rsidP="008370E1">
      <w:pPr>
        <w:pStyle w:val="Point0"/>
        <w:rPr>
          <w:noProof/>
        </w:rPr>
      </w:pPr>
    </w:p>
    <w:tbl>
      <w:tblPr>
        <w:tblW w:w="0" w:type="auto"/>
        <w:tblLayout w:type="fixed"/>
        <w:tblLook w:val="0000" w:firstRow="0" w:lastRow="0" w:firstColumn="0" w:lastColumn="0" w:noHBand="0" w:noVBand="0"/>
      </w:tblPr>
      <w:tblGrid>
        <w:gridCol w:w="1764"/>
        <w:gridCol w:w="45"/>
        <w:gridCol w:w="2370"/>
        <w:gridCol w:w="40"/>
        <w:gridCol w:w="2374"/>
        <w:gridCol w:w="36"/>
        <w:gridCol w:w="2657"/>
      </w:tblGrid>
      <w:tr w:rsidR="008370E1" w:rsidRPr="009E5F03" w:rsidTr="00B418F8">
        <w:tc>
          <w:tcPr>
            <w:tcW w:w="1809" w:type="dxa"/>
            <w:gridSpan w:val="2"/>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Παράμετροι</w:t>
            </w:r>
          </w:p>
        </w:tc>
        <w:tc>
          <w:tcPr>
            <w:tcW w:w="2410" w:type="dxa"/>
            <w:gridSpan w:val="2"/>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Συγκέντρωση</w:t>
            </w:r>
          </w:p>
        </w:tc>
        <w:tc>
          <w:tcPr>
            <w:tcW w:w="2410" w:type="dxa"/>
            <w:gridSpan w:val="2"/>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Ελάχιστη εκατοστιαία μείωση</w:t>
            </w:r>
            <w:r w:rsidRPr="009E5F03">
              <w:rPr>
                <w:rStyle w:val="FootnoteReference"/>
                <w:noProof/>
              </w:rPr>
              <w:footnoteReference w:id="7"/>
            </w:r>
          </w:p>
          <w:p w:rsidR="008370E1" w:rsidRPr="009E5F03" w:rsidRDefault="008370E1" w:rsidP="00350AD0">
            <w:pPr>
              <w:pStyle w:val="NormalCentered"/>
              <w:rPr>
                <w:noProof/>
              </w:rPr>
            </w:pP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350AD0">
              <w:rPr>
                <w:noProof/>
              </w:rPr>
              <w:t> </w:t>
            </w:r>
            <w:r w:rsidRPr="009E5F03">
              <w:rPr>
                <w:noProof/>
              </w:rPr>
              <w:t>(</w:t>
            </w:r>
            <w:r w:rsidR="00350AD0">
              <w:rPr>
                <w:noProof/>
              </w:rPr>
              <w:t>β</w:t>
            </w:r>
            <w:r w:rsidRPr="009E5F03">
              <w:rPr>
                <w:noProof/>
              </w:rPr>
              <w:t>λ. σημείωση</w:t>
            </w:r>
            <w:r w:rsidR="00350AD0">
              <w:rPr>
                <w:noProof/>
              </w:rPr>
              <w:t> </w:t>
            </w:r>
            <w:r w:rsidRPr="009E5F03">
              <w:rPr>
                <w:noProof/>
              </w:rPr>
              <w:t>1)</w:t>
            </w:r>
            <w:r w:rsidR="00350AD0">
              <w:rPr>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p>
        </w:tc>
        <w:tc>
          <w:tcPr>
            <w:tcW w:w="2657"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Μέθοδος μέτρησης αναφοράς</w:t>
            </w:r>
          </w:p>
        </w:tc>
      </w:tr>
      <w:tr w:rsidR="008370E1" w:rsidRPr="009E5F03" w:rsidTr="00E02907">
        <w:trPr>
          <w:trHeight w:val="1570"/>
        </w:trPr>
        <w:tc>
          <w:tcPr>
            <w:tcW w:w="1764"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Ολικός φωσφόρος</w:t>
            </w:r>
          </w:p>
        </w:tc>
        <w:tc>
          <w:tcPr>
            <w:tcW w:w="2415" w:type="dxa"/>
            <w:gridSpan w:val="2"/>
            <w:tcBorders>
              <w:top w:val="single" w:sz="2" w:space="0" w:color="auto"/>
              <w:left w:val="single" w:sz="2" w:space="0" w:color="auto"/>
              <w:right w:val="single" w:sz="2" w:space="0" w:color="auto"/>
            </w:tcBorders>
          </w:tcPr>
          <w:p w:rsidR="008370E1" w:rsidRPr="009E5F03" w:rsidRDefault="008370E1" w:rsidP="00E02907">
            <w:pPr>
              <w:pStyle w:val="NormalLeft"/>
              <w:rPr>
                <w:noProof/>
              </w:rPr>
            </w:pPr>
            <w:r w:rsidRPr="009E5F03">
              <w:rPr>
                <w:noProof/>
              </w:rPr>
              <w:fldChar w:fldCharType="begin"/>
            </w:r>
            <w:r w:rsidRPr="009E5F03">
              <w:rPr>
                <w:noProof/>
              </w:rPr>
              <w:instrText xml:space="preserve"> QUOTE "è" </w:instrText>
            </w:r>
            <w:r w:rsidRPr="009E5F03">
              <w:rPr>
                <w:noProof/>
              </w:rPr>
              <w:fldChar w:fldCharType="separate"/>
            </w:r>
            <w:r w:rsidRPr="009E5F03">
              <w:rPr>
                <w:rStyle w:val="CRMarker"/>
                <w:noProof/>
              </w:rPr>
              <w:t>è</w:t>
            </w:r>
            <w:r w:rsidRPr="009E5F03">
              <w:rPr>
                <w:noProof/>
              </w:rPr>
              <w:fldChar w:fldCharType="end"/>
            </w:r>
            <w:r w:rsidRPr="009E5F03">
              <w:rPr>
                <w:rStyle w:val="CRRefNum"/>
                <w:noProof/>
              </w:rPr>
              <w:t>2</w:t>
            </w:r>
            <w:r w:rsidR="00350AD0">
              <w:rPr>
                <w:noProof/>
              </w:rPr>
              <w:t> </w:t>
            </w:r>
            <w:r w:rsidRPr="009E5F03">
              <w:rPr>
                <w:rStyle w:val="CRRefonteDeleted"/>
                <w:noProof/>
                <w:highlight w:val="lightGray"/>
              </w:rPr>
              <w:t>2 mg/l (10 000 - 100 000 ι.π.)</w:t>
            </w:r>
            <w:r w:rsidR="00350AD0">
              <w:rPr>
                <w:noProof/>
              </w:rPr>
              <w:t> </w:t>
            </w:r>
            <w:r w:rsidRPr="009E5F03">
              <w:rPr>
                <w:noProof/>
              </w:rPr>
              <w:fldChar w:fldCharType="begin"/>
            </w:r>
            <w:r w:rsidRPr="009E5F03">
              <w:rPr>
                <w:noProof/>
              </w:rPr>
              <w:instrText xml:space="preserve"> QUOTE "ç" </w:instrText>
            </w:r>
            <w:r w:rsidRPr="009E5F03">
              <w:rPr>
                <w:noProof/>
              </w:rPr>
              <w:fldChar w:fldCharType="separate"/>
            </w:r>
            <w:r w:rsidRPr="009E5F03">
              <w:rPr>
                <w:rStyle w:val="CRMarker"/>
                <w:noProof/>
              </w:rPr>
              <w:t>ç</w:t>
            </w:r>
            <w:r w:rsidRPr="009E5F03">
              <w:rPr>
                <w:noProof/>
              </w:rPr>
              <w:fldChar w:fldCharType="end"/>
            </w:r>
          </w:p>
          <w:p w:rsidR="008370E1" w:rsidRPr="009E5F03" w:rsidRDefault="008370E1" w:rsidP="00E02907">
            <w:pPr>
              <w:pStyle w:val="NormalLeft"/>
              <w:rPr>
                <w:noProof/>
              </w:rPr>
            </w:pPr>
            <w:r w:rsidRPr="009E5F03">
              <w:rPr>
                <w:rStyle w:val="CRRefonteDeleted"/>
                <w:noProof/>
                <w:highlight w:val="lightGray"/>
              </w:rPr>
              <w:t>1 mg/l (άνω των 100000 ι.π.)</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0,5 mg/L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2414" w:type="dxa"/>
            <w:gridSpan w:val="2"/>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rStyle w:val="CRRefonteDeleted"/>
                <w:noProof/>
                <w:highlight w:val="lightGray"/>
              </w:rPr>
              <w:t>80</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90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2693" w:type="dxa"/>
            <w:gridSpan w:val="2"/>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Φασματοφωτομετρία μοριακής απορρόφησης</w:t>
            </w:r>
          </w:p>
        </w:tc>
      </w:tr>
      <w:tr w:rsidR="008370E1" w:rsidRPr="009E5F03" w:rsidTr="00E02907">
        <w:trPr>
          <w:trHeight w:val="1440"/>
        </w:trPr>
        <w:tc>
          <w:tcPr>
            <w:tcW w:w="1764" w:type="dxa"/>
            <w:tcBorders>
              <w:top w:val="single" w:sz="2" w:space="0" w:color="auto"/>
              <w:left w:val="single" w:sz="2" w:space="0" w:color="auto"/>
              <w:right w:val="single" w:sz="2" w:space="0" w:color="auto"/>
            </w:tcBorders>
          </w:tcPr>
          <w:p w:rsidR="008370E1" w:rsidRPr="009E5F03" w:rsidRDefault="008370E1" w:rsidP="00E02907">
            <w:pPr>
              <w:pStyle w:val="NormalLeft"/>
              <w:rPr>
                <w:noProof/>
              </w:rPr>
            </w:pPr>
            <w:r w:rsidRPr="009E5F03">
              <w:rPr>
                <w:noProof/>
              </w:rPr>
              <w:t>Ολικό άζωτο</w:t>
            </w:r>
            <w:r w:rsidRPr="009E5F03">
              <w:rPr>
                <w:rStyle w:val="CRRefonteDeleted"/>
                <w:noProof/>
                <w:highlight w:val="lightGray"/>
                <w:vertAlign w:val="superscript"/>
              </w:rPr>
              <w:footnoteReference w:id="8"/>
            </w:r>
          </w:p>
        </w:tc>
        <w:tc>
          <w:tcPr>
            <w:tcW w:w="2415" w:type="dxa"/>
            <w:gridSpan w:val="2"/>
            <w:tcBorders>
              <w:top w:val="single" w:sz="2" w:space="0" w:color="auto"/>
              <w:left w:val="single" w:sz="2" w:space="0" w:color="auto"/>
              <w:right w:val="single" w:sz="2" w:space="0" w:color="auto"/>
            </w:tcBorders>
          </w:tcPr>
          <w:p w:rsidR="008370E1" w:rsidRPr="009E5F03" w:rsidRDefault="008370E1" w:rsidP="00E02907">
            <w:pPr>
              <w:pStyle w:val="NormalLeft"/>
              <w:rPr>
                <w:rStyle w:val="CRRefonteDeleted"/>
                <w:noProof/>
                <w:highlight w:val="lightGray"/>
              </w:rPr>
            </w:pPr>
            <w:r w:rsidRPr="009E5F03">
              <w:rPr>
                <w:rStyle w:val="CRRefonteDeleted"/>
                <w:noProof/>
                <w:highlight w:val="lightGray"/>
              </w:rPr>
              <w:t>15 mg/l (10 000 - 100 000 ι.π.)</w:t>
            </w:r>
            <w:r w:rsidRPr="009E5F03">
              <w:rPr>
                <w:rStyle w:val="CRRefonteDeleted"/>
                <w:noProof/>
                <w:highlight w:val="lightGray"/>
                <w:vertAlign w:val="superscript"/>
              </w:rPr>
              <w:footnoteReference w:id="9"/>
            </w:r>
          </w:p>
          <w:p w:rsidR="008370E1" w:rsidRPr="009E5F03" w:rsidRDefault="008370E1" w:rsidP="00E02907">
            <w:pPr>
              <w:pStyle w:val="NormalLeft"/>
              <w:rPr>
                <w:noProof/>
              </w:rPr>
            </w:pPr>
            <w:r w:rsidRPr="009E5F03">
              <w:rPr>
                <w:rStyle w:val="CRRefonteDeleted"/>
                <w:noProof/>
                <w:highlight w:val="lightGray"/>
              </w:rPr>
              <w:t>10 mg/l (άνω των 100 000 ι.π.)</w:t>
            </w:r>
            <w:r w:rsidRPr="009E5F03">
              <w:rPr>
                <w:rStyle w:val="CRRefonteDeleted"/>
                <w:noProof/>
                <w:highlight w:val="lightGray"/>
                <w:vertAlign w:val="superscript"/>
              </w:rPr>
              <w:footnoteReference w:id="10"/>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6 mg/L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2414" w:type="dxa"/>
            <w:gridSpan w:val="2"/>
            <w:tcBorders>
              <w:top w:val="single" w:sz="2" w:space="0" w:color="auto"/>
              <w:left w:val="single" w:sz="2" w:space="0" w:color="auto"/>
              <w:right w:val="single" w:sz="2" w:space="0" w:color="auto"/>
            </w:tcBorders>
          </w:tcPr>
          <w:p w:rsidR="008370E1" w:rsidRPr="009E5F03" w:rsidRDefault="008370E1" w:rsidP="00E02907">
            <w:pPr>
              <w:pStyle w:val="NormalLeft"/>
              <w:rPr>
                <w:noProof/>
              </w:rPr>
            </w:pPr>
            <w:r w:rsidRPr="009E5F03">
              <w:rPr>
                <w:rStyle w:val="CRRefonteDeleted"/>
                <w:noProof/>
                <w:highlight w:val="lightGray"/>
              </w:rPr>
              <w:t>70-80</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85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p>
        </w:tc>
        <w:tc>
          <w:tcPr>
            <w:tcW w:w="2693" w:type="dxa"/>
            <w:gridSpan w:val="2"/>
            <w:tcBorders>
              <w:top w:val="single" w:sz="2" w:space="0" w:color="auto"/>
              <w:left w:val="single" w:sz="2" w:space="0" w:color="auto"/>
              <w:right w:val="single" w:sz="2" w:space="0" w:color="auto"/>
            </w:tcBorders>
          </w:tcPr>
          <w:p w:rsidR="008370E1" w:rsidRPr="009E5F03" w:rsidRDefault="008370E1" w:rsidP="00E02907">
            <w:pPr>
              <w:pStyle w:val="NormalLeft"/>
              <w:rPr>
                <w:noProof/>
              </w:rPr>
            </w:pPr>
            <w:r w:rsidRPr="009E5F03">
              <w:rPr>
                <w:noProof/>
              </w:rPr>
              <w:t>Φασματοφωτομετρία μοριακής απορρόφησης</w:t>
            </w:r>
          </w:p>
        </w:tc>
      </w:tr>
    </w:tbl>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rPr>
          <w:noProof/>
          <w:highlight w:val="lightGray"/>
        </w:rPr>
      </w:pPr>
      <w:r w:rsidRPr="009E5F03">
        <w:rPr>
          <w:noProof/>
          <w:highlight w:val="lightGray"/>
        </w:rPr>
        <w:t>Σημείωση 1: Η φυσική κατακράτηση αζώτου δεν λαμβάνεται υπόψη κατά τον υπολογισμό της ελάχιστης εκατοστιαίας μείωσης.</w:t>
      </w:r>
    </w:p>
    <w:p w:rsidR="00F05361" w:rsidRDefault="00F05361" w:rsidP="008370E1">
      <w:pPr>
        <w:rPr>
          <w:noProof/>
        </w:rPr>
      </w:pPr>
    </w:p>
    <w:p w:rsidR="008370E1" w:rsidRPr="009E5F03" w:rsidRDefault="008370E1" w:rsidP="008370E1">
      <w:pPr>
        <w:rPr>
          <w:noProof/>
          <w:highlight w:val="lightGray"/>
        </w:rPr>
      </w:pPr>
      <w:r w:rsidRPr="009E5F03">
        <w:rPr>
          <w:noProof/>
          <w:highlight w:val="lightGray"/>
        </w:rPr>
        <w:t>Πίνακας 3: Απαιτήσεις για την τεταρτοβάθμια επεξεργασία απορρίψεων από σταθμούς επεξεργασίας αστικών λυμάτων που αναφέρονται στο άρθρο 8 παράγραφοι 1 και 3.</w:t>
      </w:r>
    </w:p>
    <w:p w:rsidR="008370E1" w:rsidRPr="009E5F03" w:rsidRDefault="008370E1" w:rsidP="008370E1">
      <w:pPr>
        <w:rPr>
          <w:noProof/>
          <w:highlight w:val="lightGray"/>
        </w:rPr>
      </w:pPr>
    </w:p>
    <w:tbl>
      <w:tblPr>
        <w:tblStyle w:val="TableGrid"/>
        <w:tblW w:w="0" w:type="auto"/>
        <w:tblLook w:val="04A0" w:firstRow="1" w:lastRow="0" w:firstColumn="1" w:lastColumn="0" w:noHBand="0" w:noVBand="1"/>
      </w:tblPr>
      <w:tblGrid>
        <w:gridCol w:w="4643"/>
        <w:gridCol w:w="4643"/>
      </w:tblGrid>
      <w:tr w:rsidR="008370E1" w:rsidRPr="009E5F03" w:rsidTr="00F05361">
        <w:tc>
          <w:tcPr>
            <w:tcW w:w="4643" w:type="dxa"/>
          </w:tcPr>
          <w:p w:rsidR="008370E1" w:rsidRPr="009E5F03" w:rsidRDefault="008370E1" w:rsidP="00E02907">
            <w:pPr>
              <w:rPr>
                <w:b/>
                <w:noProof/>
                <w:highlight w:val="lightGray"/>
              </w:rPr>
            </w:pPr>
            <w:r w:rsidRPr="009E5F03">
              <w:rPr>
                <w:b/>
                <w:noProof/>
                <w:highlight w:val="lightGray"/>
              </w:rPr>
              <w:t xml:space="preserve">Δείκτες </w:t>
            </w:r>
          </w:p>
        </w:tc>
        <w:tc>
          <w:tcPr>
            <w:tcW w:w="4643" w:type="dxa"/>
            <w:tcBorders>
              <w:bottom w:val="single" w:sz="4" w:space="0" w:color="auto"/>
            </w:tcBorders>
          </w:tcPr>
          <w:p w:rsidR="008370E1" w:rsidRPr="009E5F03" w:rsidRDefault="008370E1" w:rsidP="00E02907">
            <w:pPr>
              <w:rPr>
                <w:b/>
                <w:noProof/>
                <w:highlight w:val="lightGray"/>
              </w:rPr>
            </w:pPr>
            <w:r w:rsidRPr="009E5F03">
              <w:rPr>
                <w:b/>
                <w:noProof/>
                <w:highlight w:val="lightGray"/>
              </w:rPr>
              <w:t xml:space="preserve">Ελάχιστη εκατοστιαία απομάκρυνση </w:t>
            </w:r>
          </w:p>
        </w:tc>
      </w:tr>
      <w:tr w:rsidR="008370E1" w:rsidRPr="009E5F03" w:rsidTr="00F05361">
        <w:trPr>
          <w:trHeight w:val="1107"/>
        </w:trPr>
        <w:tc>
          <w:tcPr>
            <w:tcW w:w="4643" w:type="dxa"/>
          </w:tcPr>
          <w:p w:rsidR="008370E1" w:rsidRPr="009E5F03" w:rsidRDefault="008370E1" w:rsidP="00E02907">
            <w:pPr>
              <w:rPr>
                <w:noProof/>
                <w:highlight w:val="lightGray"/>
              </w:rPr>
            </w:pPr>
          </w:p>
          <w:p w:rsidR="008370E1" w:rsidRPr="009E5F03" w:rsidRDefault="008370E1" w:rsidP="00E02907">
            <w:pPr>
              <w:rPr>
                <w:noProof/>
                <w:highlight w:val="lightGray"/>
              </w:rPr>
            </w:pPr>
            <w:r w:rsidRPr="009E5F03">
              <w:rPr>
                <w:noProof/>
                <w:highlight w:val="lightGray"/>
              </w:rPr>
              <w:t>Ουσίες που ρυπαίνουν τα ύδατα ακόμη και σε χαμηλές συγκεντρώσεις (βλ. σημείωση 1)</w:t>
            </w:r>
          </w:p>
          <w:p w:rsidR="008370E1" w:rsidRPr="009E5F03" w:rsidRDefault="008370E1" w:rsidP="00E02907">
            <w:pPr>
              <w:rPr>
                <w:noProof/>
                <w:highlight w:val="lightGray"/>
              </w:rPr>
            </w:pPr>
          </w:p>
        </w:tc>
        <w:tc>
          <w:tcPr>
            <w:tcW w:w="4643" w:type="dxa"/>
            <w:tcBorders>
              <w:bottom w:val="single" w:sz="4" w:space="0" w:color="auto"/>
            </w:tcBorders>
          </w:tcPr>
          <w:p w:rsidR="008370E1" w:rsidRPr="009E5F03" w:rsidRDefault="008370E1" w:rsidP="00E02907">
            <w:pPr>
              <w:rPr>
                <w:noProof/>
                <w:highlight w:val="lightGray"/>
              </w:rPr>
            </w:pPr>
          </w:p>
          <w:p w:rsidR="008370E1" w:rsidRPr="009E5F03" w:rsidRDefault="008370E1" w:rsidP="00E02907">
            <w:pPr>
              <w:rPr>
                <w:noProof/>
                <w:highlight w:val="lightGray"/>
              </w:rPr>
            </w:pPr>
            <w:r w:rsidRPr="009E5F03">
              <w:rPr>
                <w:noProof/>
                <w:highlight w:val="lightGray"/>
              </w:rPr>
              <w:t>80 % (βλ. σημείωση 2)</w:t>
            </w:r>
          </w:p>
        </w:tc>
      </w:tr>
    </w:tbl>
    <w:p w:rsidR="008370E1" w:rsidRPr="009E5F03" w:rsidRDefault="008370E1" w:rsidP="008370E1">
      <w:pPr>
        <w:rPr>
          <w:noProof/>
          <w:highlight w:val="lightGray"/>
        </w:rPr>
      </w:pPr>
      <w:r w:rsidRPr="009E5F03">
        <w:rPr>
          <w:noProof/>
          <w:highlight w:val="lightGray"/>
        </w:rPr>
        <w:t>Σημείωση 1: Μετράται η συγκέντρωση των οργανικών ουσιών που αναφέρονται στα στοιχεία</w:t>
      </w:r>
      <w:r w:rsidR="00F05361">
        <w:rPr>
          <w:noProof/>
          <w:highlight w:val="lightGray"/>
        </w:rPr>
        <w:t> </w:t>
      </w:r>
      <w:r w:rsidRPr="009E5F03">
        <w:rPr>
          <w:noProof/>
          <w:highlight w:val="lightGray"/>
        </w:rPr>
        <w:t xml:space="preserve">α) και β). </w:t>
      </w:r>
    </w:p>
    <w:p w:rsidR="008370E1" w:rsidRPr="009E5F03" w:rsidRDefault="008370E1" w:rsidP="008370E1">
      <w:pPr>
        <w:rPr>
          <w:noProof/>
          <w:highlight w:val="lightGray"/>
        </w:rPr>
      </w:pPr>
      <w:r w:rsidRPr="009E5F03">
        <w:rPr>
          <w:noProof/>
          <w:highlight w:val="lightGray"/>
        </w:rPr>
        <w:t>α)</w:t>
      </w:r>
      <w:r w:rsidRPr="009E5F03">
        <w:rPr>
          <w:noProof/>
        </w:rPr>
        <w:tab/>
      </w:r>
      <w:r w:rsidRPr="009E5F03">
        <w:rPr>
          <w:noProof/>
          <w:highlight w:val="lightGray"/>
        </w:rPr>
        <w:t>Κατηγορία 1 (ουσίες των οποίων η επεξεργασία είναι πολύ εύκολη):</w:t>
      </w:r>
    </w:p>
    <w:p w:rsidR="008370E1" w:rsidRPr="009E5F03" w:rsidRDefault="008370E1" w:rsidP="00AE5513">
      <w:pPr>
        <w:pStyle w:val="Text1"/>
        <w:rPr>
          <w:noProof/>
          <w:highlight w:val="lightGray"/>
        </w:rPr>
      </w:pPr>
      <w:r w:rsidRPr="009E5F03">
        <w:rPr>
          <w:noProof/>
          <w:highlight w:val="lightGray"/>
        </w:rPr>
        <w:t>i) αμισουλπρίδη (αριθ. CAS 71675-85-9),</w:t>
      </w:r>
    </w:p>
    <w:p w:rsidR="008370E1" w:rsidRPr="009E5F03" w:rsidRDefault="008370E1" w:rsidP="00AE5513">
      <w:pPr>
        <w:pStyle w:val="Text1"/>
        <w:rPr>
          <w:noProof/>
          <w:highlight w:val="lightGray"/>
        </w:rPr>
      </w:pPr>
      <w:r w:rsidRPr="009E5F03">
        <w:rPr>
          <w:noProof/>
          <w:highlight w:val="lightGray"/>
        </w:rPr>
        <w:t>ii) καρβαμαζεπίνη (αριθ. CAS 298-46-4),</w:t>
      </w:r>
    </w:p>
    <w:p w:rsidR="008370E1" w:rsidRPr="009E5F03" w:rsidRDefault="008370E1" w:rsidP="00AE5513">
      <w:pPr>
        <w:pStyle w:val="Text1"/>
        <w:rPr>
          <w:noProof/>
          <w:highlight w:val="lightGray"/>
        </w:rPr>
      </w:pPr>
      <w:r w:rsidRPr="009E5F03">
        <w:rPr>
          <w:noProof/>
          <w:highlight w:val="lightGray"/>
        </w:rPr>
        <w:t>iii) σιταλοπράμη (αριθ. CAS 59729-33-8),</w:t>
      </w:r>
    </w:p>
    <w:p w:rsidR="008370E1" w:rsidRPr="009E5F03" w:rsidRDefault="008370E1" w:rsidP="00AE5513">
      <w:pPr>
        <w:pStyle w:val="Text1"/>
        <w:rPr>
          <w:noProof/>
          <w:highlight w:val="lightGray"/>
        </w:rPr>
      </w:pPr>
      <w:r w:rsidRPr="009E5F03">
        <w:rPr>
          <w:noProof/>
          <w:highlight w:val="lightGray"/>
        </w:rPr>
        <w:t>iv) κλαριθρομυκίνη (αριθ. CAS 81103-11-9),</w:t>
      </w:r>
    </w:p>
    <w:p w:rsidR="008370E1" w:rsidRPr="009E5F03" w:rsidRDefault="008370E1" w:rsidP="00AE5513">
      <w:pPr>
        <w:pStyle w:val="Text1"/>
        <w:rPr>
          <w:noProof/>
          <w:highlight w:val="lightGray"/>
        </w:rPr>
      </w:pPr>
      <w:r w:rsidRPr="009E5F03">
        <w:rPr>
          <w:noProof/>
          <w:highlight w:val="lightGray"/>
        </w:rPr>
        <w:t>v) δικλοφενάκη (αριθ. CAS 15307-86-5),</w:t>
      </w:r>
    </w:p>
    <w:p w:rsidR="008370E1" w:rsidRPr="009E5F03" w:rsidRDefault="008370E1" w:rsidP="00AE5513">
      <w:pPr>
        <w:pStyle w:val="Text1"/>
        <w:rPr>
          <w:noProof/>
          <w:highlight w:val="lightGray"/>
        </w:rPr>
      </w:pPr>
      <w:r w:rsidRPr="009E5F03">
        <w:rPr>
          <w:noProof/>
          <w:highlight w:val="lightGray"/>
        </w:rPr>
        <w:t>vi) υδροχλωροθειαζίδη (αριθ. CAS 58-93-5),</w:t>
      </w:r>
    </w:p>
    <w:p w:rsidR="008370E1" w:rsidRPr="009E5F03" w:rsidRDefault="008370E1" w:rsidP="00AE5513">
      <w:pPr>
        <w:pStyle w:val="Text1"/>
        <w:rPr>
          <w:noProof/>
          <w:highlight w:val="lightGray"/>
        </w:rPr>
      </w:pPr>
      <w:r w:rsidRPr="009E5F03">
        <w:rPr>
          <w:noProof/>
          <w:highlight w:val="lightGray"/>
        </w:rPr>
        <w:t>vii) μετοπρολόλη (αριθ. CAS 37350-58-6),</w:t>
      </w:r>
    </w:p>
    <w:p w:rsidR="008370E1" w:rsidRPr="009E5F03" w:rsidRDefault="008370E1" w:rsidP="00AE5513">
      <w:pPr>
        <w:pStyle w:val="Text1"/>
        <w:rPr>
          <w:noProof/>
          <w:highlight w:val="lightGray"/>
        </w:rPr>
      </w:pPr>
      <w:r w:rsidRPr="009E5F03">
        <w:rPr>
          <w:noProof/>
          <w:highlight w:val="lightGray"/>
        </w:rPr>
        <w:t>viii) βενλαφαξίνη (αριθ. CAS 93413-69-5),</w:t>
      </w:r>
    </w:p>
    <w:p w:rsidR="008370E1" w:rsidRPr="009E5F03" w:rsidRDefault="008370E1" w:rsidP="008370E1">
      <w:pPr>
        <w:rPr>
          <w:noProof/>
          <w:highlight w:val="lightGray"/>
        </w:rPr>
      </w:pPr>
      <w:r w:rsidRPr="009E5F03">
        <w:rPr>
          <w:noProof/>
          <w:highlight w:val="lightGray"/>
        </w:rPr>
        <w:t xml:space="preserve">β) Κατηγορία 2 (ουσίες των οποίων η </w:t>
      </w:r>
      <w:r w:rsidR="00F05361">
        <w:rPr>
          <w:noProof/>
          <w:highlight w:val="lightGray"/>
        </w:rPr>
        <w:t>απομάκρυνση</w:t>
      </w:r>
      <w:r w:rsidRPr="009E5F03">
        <w:rPr>
          <w:noProof/>
          <w:highlight w:val="lightGray"/>
        </w:rPr>
        <w:t xml:space="preserve"> είναι εύκολη):</w:t>
      </w:r>
    </w:p>
    <w:p w:rsidR="008370E1" w:rsidRPr="009E5F03" w:rsidRDefault="008370E1" w:rsidP="00AE5513">
      <w:pPr>
        <w:pStyle w:val="Text1"/>
        <w:rPr>
          <w:noProof/>
          <w:highlight w:val="lightGray"/>
        </w:rPr>
      </w:pPr>
      <w:r w:rsidRPr="009E5F03">
        <w:rPr>
          <w:noProof/>
          <w:highlight w:val="lightGray"/>
        </w:rPr>
        <w:t>i) βενζοτριαζόλιο (αριθ. CAS 95-14-7),</w:t>
      </w:r>
    </w:p>
    <w:p w:rsidR="008370E1" w:rsidRPr="009E5F03" w:rsidRDefault="008370E1" w:rsidP="00AE5513">
      <w:pPr>
        <w:pStyle w:val="Text1"/>
        <w:rPr>
          <w:noProof/>
          <w:highlight w:val="lightGray"/>
        </w:rPr>
      </w:pPr>
      <w:r w:rsidRPr="009E5F03">
        <w:rPr>
          <w:noProof/>
          <w:highlight w:val="lightGray"/>
        </w:rPr>
        <w:t>ii) κανδεσαρτάνη (αριθ. CAS 139481-59-7),</w:t>
      </w:r>
    </w:p>
    <w:p w:rsidR="008370E1" w:rsidRPr="009E5F03" w:rsidRDefault="008370E1" w:rsidP="00AE5513">
      <w:pPr>
        <w:pStyle w:val="Text1"/>
        <w:rPr>
          <w:noProof/>
          <w:highlight w:val="lightGray"/>
        </w:rPr>
      </w:pPr>
      <w:r w:rsidRPr="009E5F03">
        <w:rPr>
          <w:noProof/>
          <w:highlight w:val="lightGray"/>
        </w:rPr>
        <w:t>iii) ιρβεσαρτάνη (αριθ. CAS 138402-11-6),</w:t>
      </w:r>
    </w:p>
    <w:p w:rsidR="008370E1" w:rsidRPr="009E5F03" w:rsidRDefault="008370E1" w:rsidP="00AE5513">
      <w:pPr>
        <w:pStyle w:val="Text1"/>
        <w:rPr>
          <w:noProof/>
          <w:highlight w:val="lightGray"/>
        </w:rPr>
      </w:pPr>
      <w:r w:rsidRPr="009E5F03">
        <w:rPr>
          <w:noProof/>
          <w:highlight w:val="lightGray"/>
        </w:rPr>
        <w:t>iv) μείγμα 4</w:t>
      </w:r>
      <w:r w:rsidR="00F05361">
        <w:rPr>
          <w:noProof/>
          <w:highlight w:val="lightGray"/>
        </w:rPr>
        <w:noBreakHyphen/>
      </w:r>
      <w:r w:rsidRPr="009E5F03">
        <w:rPr>
          <w:noProof/>
          <w:highlight w:val="lightGray"/>
        </w:rPr>
        <w:t>μεθυλοβενζοτριαζολίου (αριθ. CAS 29878-31-7) και 6</w:t>
      </w:r>
      <w:r w:rsidR="00F05361">
        <w:rPr>
          <w:noProof/>
          <w:highlight w:val="lightGray"/>
        </w:rPr>
        <w:noBreakHyphen/>
      </w:r>
      <w:r w:rsidRPr="009E5F03">
        <w:rPr>
          <w:noProof/>
          <w:highlight w:val="lightGray"/>
        </w:rPr>
        <w:t>μεθυλοβενζοτριαζολίου (αριθ. CAS 136-85-6).</w:t>
      </w:r>
    </w:p>
    <w:p w:rsidR="008370E1" w:rsidRPr="009E5F03" w:rsidRDefault="008370E1" w:rsidP="008370E1">
      <w:pPr>
        <w:rPr>
          <w:noProof/>
        </w:rPr>
      </w:pPr>
      <w:r w:rsidRPr="009E5F03">
        <w:rPr>
          <w:noProof/>
          <w:highlight w:val="lightGray"/>
        </w:rPr>
        <w:t>Σημείωση 2: Υπολογίζεται το ποσοστό απομάκρυνσης για τουλάχιστον έξι ουσίες. Ο αριθμός των ουσιών της κατηγορίας 1 είναι διπλάσιος από τον αριθμό των ουσιών της κατηγορίας 2. Εάν οι ουσίες που μπορούν να μετρηθούν σε επαρκή συγκέντρωση είναι λιγότερες από έξι, η αρμόδια αρχή ορίζει άλλες ουσίες για τον υπολογισμό του ελάχιστου ποσοστού απομάκρυνσης όταν αυτό είναι αναγκαίο. Χρησιμοποιείται ο μέσος όρος των ποσοστών απομάκρυνσης όλων των ουσιών που περιλαμβάνονται στον υπολογισμό, προκειμένου να διαπιστωθεί κατά πόσον έχει επιτευχθεί το απαιτούμενο ελάχι</w:t>
      </w:r>
      <w:r w:rsidR="002C2D1F">
        <w:rPr>
          <w:noProof/>
          <w:highlight w:val="lightGray"/>
        </w:rPr>
        <w:t>στο ποσοστό απομάκρυνσης 80 %.</w:t>
      </w:r>
    </w:p>
    <w:p w:rsidR="008370E1" w:rsidRPr="009E5F03" w:rsidRDefault="008370E1" w:rsidP="008370E1">
      <w:pPr>
        <w:rPr>
          <w:noProof/>
        </w:rPr>
      </w:pP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xml:space="preserve"> 91/271/ΕΟΚ </w:t>
      </w:r>
    </w:p>
    <w:tbl>
      <w:tblPr>
        <w:tblW w:w="0" w:type="auto"/>
        <w:tblLayout w:type="fixed"/>
        <w:tblLook w:val="0000" w:firstRow="0" w:lastRow="0" w:firstColumn="0" w:lastColumn="0" w:noHBand="0" w:noVBand="0"/>
      </w:tblPr>
      <w:tblGrid>
        <w:gridCol w:w="4503"/>
        <w:gridCol w:w="4783"/>
      </w:tblGrid>
      <w:tr w:rsidR="008370E1" w:rsidRPr="009E5F03" w:rsidTr="00E02907">
        <w:tc>
          <w:tcPr>
            <w:tcW w:w="9286" w:type="dxa"/>
            <w:gridSpan w:val="2"/>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 xml:space="preserve">Πίνακας </w:t>
            </w:r>
            <w:r w:rsidRPr="009E5F03">
              <w:rPr>
                <w:rStyle w:val="CRMinorChangeAdded"/>
                <w:noProof/>
              </w:rPr>
              <w:t>4</w:t>
            </w:r>
            <w:r w:rsidRPr="009E5F03">
              <w:rPr>
                <w:rStyle w:val="CRMinorChangeDeleted"/>
                <w:noProof/>
              </w:rPr>
              <w:t>3</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Αριθμός δειγμάτων που λαμβάνονται κατά τη διάρκεια οποιουδήποτε έτους</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Centered"/>
              <w:rPr>
                <w:noProof/>
              </w:rPr>
            </w:pPr>
            <w:r w:rsidRPr="009E5F03">
              <w:rPr>
                <w:noProof/>
              </w:rPr>
              <w:t>Ανώτατος επιτρεπτός αριθμός δειγμάτων που αποκλίνουν</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4–7</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8–16</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17–28</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3</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29–40</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4</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41–53</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5</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54–67</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6</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68–81</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7</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82–95</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8</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96–110</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9</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111–125</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10</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126–140</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11</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141–155</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12</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156–171</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13</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172–187</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14</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188–203</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15</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204–219</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16</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220–235</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17</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236–251</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18</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252–268</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19</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269–284</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20</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285–300</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21</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301–317</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22</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318–334</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23</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335–350</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24</w:t>
            </w:r>
          </w:p>
        </w:tc>
      </w:tr>
      <w:tr w:rsidR="008370E1" w:rsidRPr="009E5F03" w:rsidTr="002C2D1F">
        <w:tc>
          <w:tcPr>
            <w:tcW w:w="450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351–365</w:t>
            </w:r>
          </w:p>
        </w:tc>
        <w:tc>
          <w:tcPr>
            <w:tcW w:w="4783" w:type="dxa"/>
            <w:tcBorders>
              <w:top w:val="single" w:sz="2" w:space="0" w:color="auto"/>
              <w:left w:val="single" w:sz="2" w:space="0" w:color="auto"/>
              <w:bottom w:val="single" w:sz="2" w:space="0" w:color="auto"/>
              <w:right w:val="single" w:sz="2" w:space="0" w:color="auto"/>
            </w:tcBorders>
          </w:tcPr>
          <w:p w:rsidR="008370E1" w:rsidRPr="009E5F03" w:rsidRDefault="008370E1" w:rsidP="00E02907">
            <w:pPr>
              <w:pStyle w:val="NormalLeft"/>
              <w:rPr>
                <w:noProof/>
              </w:rPr>
            </w:pPr>
            <w:r w:rsidRPr="009E5F03">
              <w:rPr>
                <w:noProof/>
              </w:rPr>
              <w:t>25</w:t>
            </w:r>
          </w:p>
        </w:tc>
      </w:tr>
    </w:tbl>
    <w:p w:rsidR="00515465" w:rsidRPr="009E5F03" w:rsidRDefault="00515465" w:rsidP="00515465">
      <w:pPr>
        <w:rPr>
          <w:noProof/>
        </w:rPr>
        <w:sectPr w:rsidR="00515465" w:rsidRPr="009E5F03" w:rsidSect="00841019">
          <w:pgSz w:w="11907" w:h="16839"/>
          <w:pgMar w:top="1134" w:right="1417" w:bottom="1134" w:left="1417" w:header="709" w:footer="709" w:gutter="0"/>
          <w:cols w:space="720"/>
          <w:docGrid w:linePitch="360"/>
        </w:sectPr>
      </w:pPr>
    </w:p>
    <w:p w:rsidR="0027630F" w:rsidRPr="009E5F03" w:rsidRDefault="0027630F" w:rsidP="0027630F">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91/271/EOK (προσαρμοσμένο)</w:t>
      </w:r>
    </w:p>
    <w:p w:rsidR="00515465" w:rsidRPr="009E5F03" w:rsidRDefault="00515465" w:rsidP="00515465">
      <w:pPr>
        <w:pStyle w:val="Annexetitre"/>
        <w:rPr>
          <w:noProof/>
        </w:rPr>
      </w:pPr>
      <w:r w:rsidRPr="009E5F03">
        <w:rPr>
          <w:noProof/>
        </w:rPr>
        <w:t>ΠΑΡΑΡΤΗΜΑ 2</w:t>
      </w:r>
    </w:p>
    <w:p w:rsidR="008370E1" w:rsidRPr="009E5F03" w:rsidRDefault="008370E1" w:rsidP="008370E1">
      <w:pPr>
        <w:pStyle w:val="NormalCentered"/>
        <w:rPr>
          <w:b/>
          <w:bCs/>
          <w:noProof/>
        </w:rPr>
      </w:pPr>
      <w:r w:rsidRPr="009E5F03">
        <w:rPr>
          <w:noProof/>
        </w:rPr>
        <w:fldChar w:fldCharType="begin"/>
      </w:r>
      <w:r w:rsidRPr="009E5F03">
        <w:rPr>
          <w:noProof/>
        </w:rPr>
        <w:instrText xml:space="preserve"> QUOTE "Ö" </w:instrText>
      </w:r>
      <w:r w:rsidRPr="009E5F03">
        <w:rPr>
          <w:noProof/>
        </w:rPr>
        <w:fldChar w:fldCharType="separate"/>
      </w:r>
      <w:r w:rsidRPr="009E5F03">
        <w:rPr>
          <w:rStyle w:val="CRMarker"/>
          <w:noProof/>
        </w:rPr>
        <w:t>Ö</w:t>
      </w:r>
      <w:r w:rsidRPr="009E5F03">
        <w:rPr>
          <w:noProof/>
        </w:rPr>
        <w:fldChar w:fldCharType="end"/>
      </w:r>
      <w:r w:rsidR="002C2D1F">
        <w:rPr>
          <w:noProof/>
        </w:rPr>
        <w:t> </w:t>
      </w:r>
      <w:r w:rsidRPr="009E5F03">
        <w:rPr>
          <w:b/>
          <w:noProof/>
        </w:rPr>
        <w:t>ΠΕΡΙΟΧΕΣ ΕΥΑΙΣΘΗΤΕΣ ΣΤΟΝ ΕΥΤΡΟΦΙΣΜΟ</w:t>
      </w:r>
      <w:r w:rsidR="002C2D1F">
        <w:rPr>
          <w:b/>
          <w:noProof/>
        </w:rPr>
        <w:t> </w:t>
      </w:r>
      <w:r w:rsidRPr="009E5F03">
        <w:rPr>
          <w:noProof/>
        </w:rPr>
        <w:fldChar w:fldCharType="begin"/>
      </w:r>
      <w:r w:rsidRPr="009E5F03">
        <w:rPr>
          <w:noProof/>
        </w:rPr>
        <w:instrText xml:space="preserve"> QUOTE "Õ" </w:instrText>
      </w:r>
      <w:r w:rsidRPr="009E5F03">
        <w:rPr>
          <w:noProof/>
        </w:rPr>
        <w:fldChar w:fldCharType="separate"/>
      </w:r>
      <w:r w:rsidRPr="009E5F03">
        <w:rPr>
          <w:rStyle w:val="CRMarker"/>
          <w:noProof/>
        </w:rPr>
        <w:t>Õ</w:t>
      </w:r>
      <w:r w:rsidRPr="009E5F03">
        <w:rPr>
          <w:noProof/>
        </w:rPr>
        <w:fldChar w:fldCharType="end"/>
      </w:r>
    </w:p>
    <w:p w:rsidR="008370E1" w:rsidRPr="009E5F03" w:rsidRDefault="008370E1" w:rsidP="008370E1">
      <w:pPr>
        <w:pStyle w:val="NormalCentered"/>
        <w:rPr>
          <w:b/>
          <w:bCs/>
          <w:noProof/>
        </w:rPr>
      </w:pPr>
      <w:r w:rsidRPr="009E5F03">
        <w:rPr>
          <w:rStyle w:val="CRDeleted"/>
          <w:b/>
          <w:noProof/>
        </w:rPr>
        <w:t>ΚΡΙΤΗΡΙΑ ΠΡΟΣΔΙΟΡΙΣΜΟΥ ΕΥΑΙΣΘΗΤΩΝ ΚΑΙ ΛΙΓΟΤΕΡΟ ΕΥΑΙΣΘΗΤΩΝ ΠΕΡΙΟΧΩΝ</w:t>
      </w:r>
    </w:p>
    <w:p w:rsidR="008370E1" w:rsidRPr="009E5F03" w:rsidRDefault="008370E1" w:rsidP="008370E1">
      <w:pPr>
        <w:pStyle w:val="ManualHeading1"/>
        <w:ind w:left="851" w:hanging="851"/>
        <w:rPr>
          <w:rStyle w:val="CRDeleted"/>
          <w:i/>
          <w:noProof/>
        </w:rPr>
      </w:pPr>
      <w:r w:rsidRPr="009E5F03">
        <w:rPr>
          <w:rStyle w:val="CRDeleted"/>
          <w:noProof/>
        </w:rPr>
        <w:t>Α.</w:t>
      </w:r>
      <w:r w:rsidRPr="009E5F03">
        <w:rPr>
          <w:noProof/>
        </w:rPr>
        <w:tab/>
      </w:r>
      <w:r w:rsidRPr="009E5F03">
        <w:rPr>
          <w:rStyle w:val="CRDeleted"/>
          <w:i/>
          <w:noProof/>
        </w:rPr>
        <w:t>Ευαίσθητες περιοχές</w:t>
      </w:r>
    </w:p>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rPr>
          <w:noProof/>
        </w:rPr>
      </w:pPr>
      <w:r w:rsidRPr="009E5F03">
        <w:rPr>
          <w:noProof/>
          <w:highlight w:val="lightGray"/>
        </w:rPr>
        <w:t>1. Περιοχές που βρίσκονται στις λεκάνες απορροής της Βαλτικής Θάλασσας, του Εύξεινου Πόντου, τμημάτων της Βόρειας Θάλασσας που χαρακτηρίζονται ευαίσθητα στον ευτροφισμό βάσει της οδηγίας 2008/56/ΕΚ και τμημάτων της Αδριατικής Θάλασσας που χαρακτηρίζονται ευαίσθητα στον ευτροφισμό βάσει της οδηγίας 2008/56/ΕΚ·</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xml:space="preserve"> 91/271/ΕΟΚ </w:t>
      </w:r>
    </w:p>
    <w:p w:rsidR="008370E1" w:rsidRPr="009E5F03" w:rsidRDefault="008370E1" w:rsidP="008370E1">
      <w:pPr>
        <w:pStyle w:val="CRReference"/>
        <w:rPr>
          <w:rStyle w:val="CRRefonteDeleted"/>
          <w:noProof/>
          <w:highlight w:val="lightGray"/>
        </w:rPr>
      </w:pPr>
      <w:r w:rsidRPr="009E5F03">
        <w:rPr>
          <w:noProof/>
          <w:highlight w:val="lightGray"/>
        </w:rPr>
        <w:fldChar w:fldCharType="begin"/>
      </w:r>
      <w:r w:rsidRPr="009E5F03">
        <w:rPr>
          <w:noProof/>
          <w:highlight w:val="lightGray"/>
        </w:rPr>
        <w:instrText xml:space="preserve"> QUOTE "ð" </w:instrText>
      </w:r>
      <w:r w:rsidRPr="009E5F03">
        <w:rPr>
          <w:noProof/>
          <w:highlight w:val="lightGray"/>
        </w:rPr>
        <w:fldChar w:fldCharType="separate"/>
      </w:r>
      <w:r w:rsidRPr="009E5F03">
        <w:rPr>
          <w:rStyle w:val="CRMarker"/>
          <w:noProof/>
          <w:highlight w:val="lightGray"/>
        </w:rPr>
        <w:t>ð</w:t>
      </w:r>
      <w:r w:rsidRPr="009E5F03">
        <w:rPr>
          <w:noProof/>
          <w:highlight w:val="lightGray"/>
        </w:rPr>
        <w:fldChar w:fldCharType="end"/>
      </w:r>
      <w:r w:rsidRPr="009E5F03">
        <w:rPr>
          <w:noProof/>
          <w:highlight w:val="lightGray"/>
        </w:rPr>
        <w:t> νέο</w:t>
      </w:r>
    </w:p>
    <w:p w:rsidR="008370E1" w:rsidRPr="009E5F03" w:rsidRDefault="008370E1" w:rsidP="008370E1">
      <w:pPr>
        <w:rPr>
          <w:noProof/>
          <w:highlight w:val="lightGray"/>
        </w:rPr>
      </w:pPr>
      <w:r w:rsidRPr="009E5F03">
        <w:rPr>
          <w:rStyle w:val="CRRefonteDeleted"/>
          <w:noProof/>
          <w:highlight w:val="lightGray"/>
        </w:rPr>
        <w:t>Μια υδάτινη μάζα χαρακτηρίζεται ως ευαίσθητη περιοχή, αν εμπίπτει σε μία από τις εξής ομάδες:</w:t>
      </w:r>
    </w:p>
    <w:p w:rsidR="008370E1" w:rsidRPr="009E5F03" w:rsidRDefault="008370E1" w:rsidP="008370E1">
      <w:pPr>
        <w:pStyle w:val="Point0"/>
        <w:rPr>
          <w:noProof/>
        </w:rPr>
      </w:pPr>
      <w:r w:rsidRPr="009E5F03">
        <w:rPr>
          <w:rStyle w:val="CRMinorChangeAdded"/>
          <w:noProof/>
        </w:rPr>
        <w:t>2.</w:t>
      </w:r>
      <w:r w:rsidRPr="009E5F03">
        <w:rPr>
          <w:rStyle w:val="CRMinorChangeDeleted"/>
          <w:noProof/>
        </w:rPr>
        <w:t>α)</w:t>
      </w:r>
      <w:r w:rsidRPr="009E5F03">
        <w:rPr>
          <w:noProof/>
        </w:rPr>
        <w:tab/>
      </w:r>
      <w:r w:rsidRPr="009E5F03">
        <w:rPr>
          <w:rStyle w:val="CRMinorChangeAdded"/>
          <w:noProof/>
        </w:rPr>
        <w:t>Φ</w:t>
      </w:r>
      <w:r w:rsidRPr="009E5F03">
        <w:rPr>
          <w:rStyle w:val="CRMinorChangeDeleted"/>
          <w:noProof/>
        </w:rPr>
        <w:t>φ</w:t>
      </w:r>
      <w:r w:rsidRPr="009E5F03">
        <w:rPr>
          <w:noProof/>
        </w:rPr>
        <w:t xml:space="preserve">υσικές λίμνες γλυκών υδάτων, </w:t>
      </w:r>
      <w:r w:rsidRPr="009E5F03">
        <w:rPr>
          <w:rStyle w:val="CRMinorChangeAdded"/>
          <w:noProof/>
        </w:rPr>
        <w:t>άλλα υ</w:t>
      </w:r>
      <w:r w:rsidR="004F0724">
        <w:rPr>
          <w:rStyle w:val="CRMinorChangeAdded"/>
          <w:noProof/>
        </w:rPr>
        <w:t>δατικά συστήματα γλυκών υδάτων,</w:t>
      </w:r>
      <w:r w:rsidRPr="009E5F03">
        <w:rPr>
          <w:noProof/>
        </w:rPr>
        <w:t xml:space="preserve"> εκβολές ποταμών και παράκτια ύδατα όπου παρουσιάζεται ευτροφισμός ή όπου μπορεί, στο εγγύς μέλλον, να παρουσιαστεί ευτροφισμός αν δεν ληφθούν προστατευτικά μέτρα.</w:t>
      </w:r>
    </w:p>
    <w:p w:rsidR="008370E1" w:rsidRPr="009E5F03" w:rsidRDefault="008370E1" w:rsidP="008370E1">
      <w:pPr>
        <w:pStyle w:val="Point0"/>
        <w:rPr>
          <w:noProof/>
        </w:rPr>
      </w:pPr>
      <w:r w:rsidRPr="009E5F03">
        <w:rPr>
          <w:noProof/>
        </w:rPr>
        <w:t xml:space="preserve">Όταν εξετάζεται ποια θρεπτικά συστατικά πρέπει να μειωθούν με περαιτέρω επεξεργασία, </w:t>
      </w:r>
      <w:r w:rsidRPr="009E5F03">
        <w:rPr>
          <w:rStyle w:val="CRRefonteDeleted"/>
          <w:noProof/>
          <w:highlight w:val="lightGray"/>
        </w:rPr>
        <w:t>μπορούν να</w:t>
      </w:r>
      <w:r w:rsidRPr="009E5F03">
        <w:rPr>
          <w:noProof/>
        </w:rPr>
        <w:t xml:space="preserve"> λαμβάνονται υπόψη τα εξής στοιχεία:</w:t>
      </w:r>
    </w:p>
    <w:p w:rsidR="008370E1" w:rsidRPr="009E5F03" w:rsidRDefault="008370E1" w:rsidP="008370E1">
      <w:pPr>
        <w:pStyle w:val="Point1"/>
        <w:rPr>
          <w:noProof/>
        </w:rPr>
      </w:pPr>
      <w:r w:rsidRPr="009E5F03">
        <w:rPr>
          <w:noProof/>
        </w:rPr>
        <w:tab/>
      </w:r>
      <w:r w:rsidRPr="009E5F03">
        <w:rPr>
          <w:rStyle w:val="CRMinorChangeAdded"/>
          <w:noProof/>
        </w:rPr>
        <w:t>α</w:t>
      </w:r>
      <w:r w:rsidRPr="009E5F03">
        <w:rPr>
          <w:rStyle w:val="CRMinorChangeDeleted"/>
          <w:noProof/>
        </w:rPr>
        <w:t>i</w:t>
      </w:r>
      <w:r w:rsidRPr="009E5F03">
        <w:rPr>
          <w:noProof/>
        </w:rPr>
        <w:t>)</w:t>
      </w:r>
      <w:r w:rsidRPr="009E5F03">
        <w:rPr>
          <w:noProof/>
        </w:rPr>
        <w:tab/>
        <w:t>λίμνες και ρεύματα τα οποία καταλήγουν σε λίμνες/ταμιευτήρες/κλειστούς όρμους που διαπιστώνεται ότι έχουν ασθενή εναλλαγή ύδατος, οπότε μπορεί να συμβεί συσσώρευση. Στις περιοχές αυτές, η επεξεργασία πρέπει να περιλαμβάνει την αφαίρεση του φωσφόρου, εκτός εάν μπορεί να αποδειχθεί ότι η αφαίρεση δεν θα επηρεάσει το επίπεδο ευτροφισμού. Όπου πραγματοποιούνται απορρίψεις από μεγάλους οικισμούς, μπορεί επίσης να εξεταστεί η αφαίρεση του αζώτου,</w:t>
      </w:r>
    </w:p>
    <w:p w:rsidR="008370E1" w:rsidRPr="009E5F03" w:rsidRDefault="008370E1" w:rsidP="008370E1">
      <w:pPr>
        <w:pStyle w:val="Point1"/>
        <w:rPr>
          <w:noProof/>
        </w:rPr>
      </w:pPr>
      <w:r w:rsidRPr="009E5F03">
        <w:rPr>
          <w:noProof/>
        </w:rPr>
        <w:tab/>
      </w:r>
      <w:r w:rsidRPr="009E5F03">
        <w:rPr>
          <w:rStyle w:val="CRMinorChangeAdded"/>
          <w:noProof/>
        </w:rPr>
        <w:t>β</w:t>
      </w:r>
      <w:r w:rsidRPr="009E5F03">
        <w:rPr>
          <w:rStyle w:val="CRMinorChangeDeleted"/>
          <w:noProof/>
        </w:rPr>
        <w:t>ii</w:t>
      </w:r>
      <w:r w:rsidRPr="009E5F03">
        <w:rPr>
          <w:noProof/>
        </w:rPr>
        <w:t>)</w:t>
      </w:r>
      <w:r w:rsidRPr="009E5F03">
        <w:rPr>
          <w:noProof/>
        </w:rPr>
        <w:tab/>
        <w:t>εκβολές ποταμών, όρμοι και άλλα παράκτια ύδατα που διαπιστώνεται ότι έχουν ασθενή εναλλαγή ύδατος ή που δέχονται μεγάλες ποσότητες θρεπτικών συστατικών. Οι απορρίψεις από μικρούς οικισμούς συνήθως είναι δευτερεύουσας σημασίας στις περιοχές αυτές, αλλά, για τους μεγάλους οικισμούς, η επεξεργασία πρέπει να περιλαμβάνει την αφαίρεση του φωσφόρου ή/και του αζώτου, εκτός αν μπορεί να αποδειχθεί ότι η αφαίρεση αυτή δεν θα επηρεάσει το επίπεδο ευτροφισμού·</w:t>
      </w:r>
    </w:p>
    <w:p w:rsidR="008370E1" w:rsidRPr="009E5F03" w:rsidRDefault="008370E1" w:rsidP="008370E1">
      <w:pPr>
        <w:pStyle w:val="Point0"/>
        <w:rPr>
          <w:noProof/>
        </w:rPr>
      </w:pPr>
      <w:r w:rsidRPr="009E5F03">
        <w:rPr>
          <w:rStyle w:val="CRMinorChangeAdded"/>
          <w:noProof/>
        </w:rPr>
        <w:t>3.</w:t>
      </w:r>
      <w:r w:rsidRPr="009E5F03">
        <w:rPr>
          <w:rStyle w:val="CRMinorChangeDeleted"/>
          <w:noProof/>
        </w:rPr>
        <w:t>β)</w:t>
      </w:r>
      <w:r w:rsidRPr="009E5F03">
        <w:rPr>
          <w:noProof/>
        </w:rPr>
        <w:tab/>
      </w:r>
      <w:r w:rsidRPr="009E5F03">
        <w:rPr>
          <w:rStyle w:val="CRMinorChangeAdded"/>
          <w:noProof/>
        </w:rPr>
        <w:t>Ε</w:t>
      </w:r>
      <w:r w:rsidRPr="009E5F03">
        <w:rPr>
          <w:rStyle w:val="CRMinorChangeDeleted"/>
          <w:noProof/>
        </w:rPr>
        <w:t>ε</w:t>
      </w:r>
      <w:r w:rsidRPr="009E5F03">
        <w:rPr>
          <w:noProof/>
        </w:rPr>
        <w:t xml:space="preserve">πιφανειακά γλυκά ύδατα προοριζόμενα για την άντληση πόσιμου νερού τα οποία θα μπορούσαν να περιέχουν νιτρικά ιόντα σε συγκέντρωση μεγαλύτερη από εκείνη που προβλέπουν οι συναφείς διατάξεις της οδηγίας </w:t>
      </w:r>
      <w:r w:rsidRPr="009E5F03">
        <w:rPr>
          <w:rStyle w:val="CRMinorChangeAdded"/>
          <w:noProof/>
        </w:rPr>
        <w:t>(ΕΕ) 2020/2184</w:t>
      </w:r>
      <w:r w:rsidRPr="009E5F03">
        <w:rPr>
          <w:noProof/>
        </w:rPr>
        <w:t xml:space="preserve"> </w:t>
      </w:r>
      <w:r w:rsidRPr="009E5F03">
        <w:rPr>
          <w:rStyle w:val="CRMinorChangeDeleted"/>
          <w:noProof/>
        </w:rPr>
        <w:t>75/440/ΕΟΚ του Συμβουλίου της 16ης Ιουνίου 1975 περί της απαιτούμενης ποιότητος των υδάτων επιφανείας που προορίζονται για την παραγωγή ποσίμου ύδατος στα κράτη μέλη</w:t>
      </w:r>
      <w:r w:rsidRPr="009E5F03">
        <w:rPr>
          <w:rStyle w:val="CRMinorChangeDeleted"/>
          <w:noProof/>
          <w:vertAlign w:val="superscript"/>
        </w:rPr>
        <w:footnoteReference w:id="11"/>
      </w:r>
      <w:r w:rsidRPr="009E5F03">
        <w:rPr>
          <w:noProof/>
        </w:rPr>
        <w:t xml:space="preserve"> αν δεν ληφθούν προστατευτικά μέτρα·</w:t>
      </w:r>
    </w:p>
    <w:p w:rsidR="008370E1" w:rsidRPr="009E5F03" w:rsidRDefault="008370E1" w:rsidP="008370E1">
      <w:pPr>
        <w:pStyle w:val="Point0"/>
        <w:rPr>
          <w:noProof/>
        </w:rPr>
      </w:pPr>
      <w:r w:rsidRPr="009E5F03">
        <w:rPr>
          <w:rStyle w:val="CRMinorChangeAdded"/>
          <w:noProof/>
        </w:rPr>
        <w:t>4.</w:t>
      </w:r>
      <w:r w:rsidRPr="009E5F03">
        <w:rPr>
          <w:rStyle w:val="CRMinorChangeDeleted"/>
          <w:noProof/>
        </w:rPr>
        <w:t>γ)</w:t>
      </w:r>
      <w:r w:rsidRPr="009E5F03">
        <w:rPr>
          <w:noProof/>
        </w:rPr>
        <w:tab/>
      </w:r>
      <w:r w:rsidRPr="009E5F03">
        <w:rPr>
          <w:rStyle w:val="CRMinorChangeAdded"/>
          <w:noProof/>
        </w:rPr>
        <w:t>Π</w:t>
      </w:r>
      <w:r w:rsidRPr="009E5F03">
        <w:rPr>
          <w:rStyle w:val="CRMinorChangeDeleted"/>
          <w:noProof/>
        </w:rPr>
        <w:t>π</w:t>
      </w:r>
      <w:r w:rsidRPr="009E5F03">
        <w:rPr>
          <w:noProof/>
        </w:rPr>
        <w:t xml:space="preserve">εριοχές όπου περαιτέρω επεξεργασία από την προδιαγραφόμενη στο άρθρο </w:t>
      </w:r>
      <w:r w:rsidRPr="009E5F03">
        <w:rPr>
          <w:rStyle w:val="CRRefonteDeleted"/>
          <w:noProof/>
          <w:highlight w:val="lightGray"/>
        </w:rPr>
        <w:t>4</w:t>
      </w:r>
      <w:r w:rsidRPr="009E5F03">
        <w:rPr>
          <w:noProof/>
        </w:rPr>
        <w:t xml:space="preserve">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Pr="009E5F03">
        <w:rPr>
          <w:noProof/>
          <w:highlight w:val="lightGray"/>
        </w:rPr>
        <w:t> 7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της παρούσας οδηγίας είναι αναγκαία, για </w:t>
      </w:r>
      <w:r w:rsidRPr="009459D7">
        <w:rPr>
          <w:noProof/>
          <w:highlight w:val="lightGray"/>
        </w:rPr>
        <w:fldChar w:fldCharType="begin"/>
      </w:r>
      <w:r w:rsidRPr="009459D7">
        <w:rPr>
          <w:noProof/>
          <w:highlight w:val="lightGray"/>
        </w:rPr>
        <w:instrText xml:space="preserve"> QUOTE "ð" </w:instrText>
      </w:r>
      <w:r w:rsidRPr="009459D7">
        <w:rPr>
          <w:noProof/>
          <w:highlight w:val="lightGray"/>
        </w:rPr>
        <w:fldChar w:fldCharType="separate"/>
      </w:r>
      <w:r w:rsidRPr="009459D7">
        <w:rPr>
          <w:rStyle w:val="CRMarker"/>
          <w:noProof/>
          <w:highlight w:val="lightGray"/>
        </w:rPr>
        <w:t>ð</w:t>
      </w:r>
      <w:r w:rsidRPr="009459D7">
        <w:rPr>
          <w:noProof/>
          <w:highlight w:val="lightGray"/>
        </w:rPr>
        <w:fldChar w:fldCharType="end"/>
      </w:r>
      <w:r w:rsidR="004F0724">
        <w:rPr>
          <w:noProof/>
          <w:highlight w:val="lightGray"/>
        </w:rPr>
        <w:t> </w:t>
      </w:r>
      <w:r w:rsidRPr="009E5F03">
        <w:rPr>
          <w:noProof/>
          <w:highlight w:val="lightGray"/>
        </w:rPr>
        <w:t>τη συμμόρφωση με άλλες νομικές πράξεις της Ένωσης στον τομέα του περιβάλλοντος, συμπεριλαμβανομένων, ιδίως, των υδατικών συστημάτων που καλύπτονται από την οδηγία 2000/60/ΕΚ και διατρέχουν τον κίνδυνο να χάσουν ή να μην επιτύχουν καλή οικολογική κατάσταση ή δυναμικό </w:t>
      </w:r>
      <w:r w:rsidRPr="009E5F03">
        <w:rPr>
          <w:noProof/>
          <w:highlight w:val="lightGray"/>
        </w:rPr>
        <w:fldChar w:fldCharType="begin"/>
      </w:r>
      <w:r w:rsidRPr="009E5F03">
        <w:rPr>
          <w:noProof/>
          <w:highlight w:val="lightGray"/>
        </w:rPr>
        <w:instrText xml:space="preserve"> QUOTE "ï" </w:instrText>
      </w:r>
      <w:r w:rsidRPr="009E5F03">
        <w:rPr>
          <w:noProof/>
          <w:highlight w:val="lightGray"/>
        </w:rPr>
        <w:fldChar w:fldCharType="separate"/>
      </w:r>
      <w:r w:rsidRPr="009E5F03">
        <w:rPr>
          <w:rStyle w:val="CRMarker"/>
          <w:noProof/>
          <w:highlight w:val="lightGray"/>
        </w:rPr>
        <w:t>ï</w:t>
      </w:r>
      <w:r w:rsidRPr="009E5F03">
        <w:rPr>
          <w:noProof/>
          <w:highlight w:val="lightGray"/>
        </w:rPr>
        <w:fldChar w:fldCharType="end"/>
      </w:r>
      <w:r w:rsidRPr="009E5F03">
        <w:rPr>
          <w:noProof/>
        </w:rPr>
        <w:t xml:space="preserve"> </w:t>
      </w:r>
      <w:r w:rsidRPr="009E5F03">
        <w:rPr>
          <w:rStyle w:val="CRRefonteDeleted"/>
          <w:noProof/>
          <w:highlight w:val="lightGray"/>
        </w:rPr>
        <w:t>την τήρηση των οδηγιών του Συμβουλίου</w:t>
      </w:r>
      <w:r w:rsidRPr="009E5F03">
        <w:rPr>
          <w:noProof/>
        </w:rPr>
        <w:t>.</w:t>
      </w:r>
    </w:p>
    <w:p w:rsidR="008370E1" w:rsidRPr="009E5F03" w:rsidRDefault="008370E1" w:rsidP="008370E1">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8370E1" w:rsidRPr="009E5F03" w:rsidRDefault="008370E1" w:rsidP="008370E1">
      <w:pPr>
        <w:pStyle w:val="Point0"/>
        <w:rPr>
          <w:noProof/>
        </w:rPr>
      </w:pPr>
      <w:r w:rsidRPr="009E5F03">
        <w:rPr>
          <w:noProof/>
          <w:highlight w:val="lightGray"/>
        </w:rPr>
        <w:t xml:space="preserve">5. </w:t>
      </w:r>
      <w:r w:rsidR="004F0724">
        <w:rPr>
          <w:noProof/>
          <w:highlight w:val="lightGray"/>
        </w:rPr>
        <w:tab/>
      </w:r>
      <w:r w:rsidRPr="009E5F03">
        <w:rPr>
          <w:noProof/>
          <w:highlight w:val="lightGray"/>
        </w:rPr>
        <w:t xml:space="preserve">Κάθε άλλη περιοχή η οποία θεωρείται από τα κράτη μέλη ότι είναι ευαίσθητη στον ευτροφισμό. </w:t>
      </w:r>
    </w:p>
    <w:p w:rsidR="008370E1" w:rsidRPr="009E5F03" w:rsidRDefault="008370E1" w:rsidP="008370E1">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xml:space="preserve"> 91/271/ΕΟΚ </w:t>
      </w:r>
    </w:p>
    <w:p w:rsidR="008370E1" w:rsidRPr="009E5F03" w:rsidRDefault="008370E1" w:rsidP="008370E1">
      <w:pPr>
        <w:pStyle w:val="ManualHeading1"/>
        <w:tabs>
          <w:tab w:val="clear" w:pos="850"/>
          <w:tab w:val="left" w:pos="720"/>
        </w:tabs>
        <w:rPr>
          <w:rStyle w:val="CRRefonteDeleted"/>
          <w:noProof/>
          <w:highlight w:val="lightGray"/>
        </w:rPr>
      </w:pPr>
      <w:r w:rsidRPr="009E5F03">
        <w:rPr>
          <w:rStyle w:val="CRRefonteDeleted"/>
          <w:noProof/>
          <w:highlight w:val="lightGray"/>
        </w:rPr>
        <w:t>Β.</w:t>
      </w:r>
      <w:r w:rsidRPr="009E5F03">
        <w:rPr>
          <w:noProof/>
        </w:rPr>
        <w:tab/>
      </w:r>
      <w:r w:rsidRPr="009E5F03">
        <w:rPr>
          <w:rStyle w:val="CRRefonteDeleted"/>
          <w:i/>
          <w:noProof/>
          <w:highlight w:val="lightGray"/>
        </w:rPr>
        <w:t>Λιγότερο ευαίσθητες περιοχές</w:t>
      </w:r>
    </w:p>
    <w:p w:rsidR="008370E1" w:rsidRPr="009E5F03" w:rsidRDefault="008370E1" w:rsidP="008370E1">
      <w:pPr>
        <w:rPr>
          <w:rStyle w:val="CRRefonteDeleted"/>
          <w:noProof/>
          <w:highlight w:val="lightGray"/>
        </w:rPr>
      </w:pPr>
      <w:r w:rsidRPr="009E5F03">
        <w:rPr>
          <w:rStyle w:val="CRRefonteDeleted"/>
          <w:noProof/>
          <w:highlight w:val="lightGray"/>
        </w:rPr>
        <w:t>Μια θαλάσσια υδάτινη μάζα ή περιοχή μπορεί να χαρακτηρίζεται ως λιγότερο ευαίσθητη περιοχή αν τα απορριπτόμενα λύματα δεν θίγουν το περιβάλλον λόγω της μορφολογίας, της υδρολογίας ή των ειδικών υδραυλικών συνθηκών που επικρατούν στην περιοχή αυτή.</w:t>
      </w:r>
    </w:p>
    <w:p w:rsidR="008370E1" w:rsidRPr="009E5F03" w:rsidRDefault="008370E1" w:rsidP="008370E1">
      <w:pPr>
        <w:rPr>
          <w:rStyle w:val="CRRefonteDeleted"/>
          <w:noProof/>
          <w:highlight w:val="lightGray"/>
        </w:rPr>
      </w:pPr>
      <w:r w:rsidRPr="009E5F03">
        <w:rPr>
          <w:rStyle w:val="CRRefonteDeleted"/>
          <w:noProof/>
          <w:highlight w:val="lightGray"/>
        </w:rPr>
        <w:t>Κατά τον προσδιορισμό των λιγότερο ευαίσθητων περιοχών, τα κράτη μέλη λαμβάνουν υπόψη τον κίνδυνο μεταφοράς του απορριπτόμενου φορτίου σε γειτονικές περιοχές, όπου μπορεί να επηρεάσει δυσμενώς το περιβάλλον. Τα κράτη μέλη αναγνωρίζουν τις ευαίσθητες περιοχές που υπάρχουν εκτός της εθνικής τους δικαιοδοσίας.</w:t>
      </w:r>
    </w:p>
    <w:p w:rsidR="008370E1" w:rsidRPr="009E5F03" w:rsidRDefault="008370E1" w:rsidP="008370E1">
      <w:pPr>
        <w:rPr>
          <w:rStyle w:val="CRRefonteDeleted"/>
          <w:noProof/>
          <w:highlight w:val="lightGray"/>
        </w:rPr>
      </w:pPr>
      <w:r w:rsidRPr="009E5F03">
        <w:rPr>
          <w:rStyle w:val="CRRefonteDeleted"/>
          <w:noProof/>
          <w:highlight w:val="lightGray"/>
        </w:rPr>
        <w:t>Κατά τον προσδιορισμό των λιγότερο ευαίσθητων περιοχών, πρέπει να λαμβάνονται υπόψη τα εξής στοιχεία:</w:t>
      </w:r>
    </w:p>
    <w:p w:rsidR="008370E1" w:rsidRPr="009E5F03" w:rsidRDefault="008370E1" w:rsidP="008370E1">
      <w:pPr>
        <w:rPr>
          <w:rStyle w:val="CRRefonteDeleted"/>
          <w:noProof/>
          <w:highlight w:val="lightGray"/>
        </w:rPr>
      </w:pPr>
      <w:r w:rsidRPr="009E5F03">
        <w:rPr>
          <w:rStyle w:val="CRRefonteDeleted"/>
          <w:noProof/>
          <w:highlight w:val="lightGray"/>
        </w:rPr>
        <w:t>Ανοικτοί όρμοι, εκβολές ποταμών και άλλα παράκτια ύδατα με καλή εναλλαγή ύδατος και στά οποία δεν παρουσιάζεται ευτροφισμός ή εξάντληση οξυγόνου ή στα οποία θεωρείται απίθανο να παρουσιαστεί ευτροφισμός ή εξάντληση οξυγόνου εξαιτίας της απόρριψης αστικών λυμάτων.</w:t>
      </w:r>
    </w:p>
    <w:p w:rsidR="00515465" w:rsidRPr="009E5F03" w:rsidRDefault="00515465" w:rsidP="00515465">
      <w:pPr>
        <w:rPr>
          <w:noProof/>
        </w:rPr>
      </w:pPr>
    </w:p>
    <w:p w:rsidR="00515465" w:rsidRPr="009E5F03" w:rsidRDefault="00515465" w:rsidP="00515465">
      <w:pPr>
        <w:pStyle w:val="Point0"/>
        <w:rPr>
          <w:noProof/>
        </w:rPr>
      </w:pPr>
      <w:r w:rsidRPr="009E5F03">
        <w:rPr>
          <w:noProof/>
        </w:rPr>
        <w:t xml:space="preserve"> </w:t>
      </w:r>
    </w:p>
    <w:p w:rsidR="00515465" w:rsidRPr="009E5F03" w:rsidRDefault="00515465" w:rsidP="00515465">
      <w:pPr>
        <w:rPr>
          <w:noProof/>
        </w:rPr>
        <w:sectPr w:rsidR="00515465" w:rsidRPr="009E5F03" w:rsidSect="00841019">
          <w:pgSz w:w="11907" w:h="16839"/>
          <w:pgMar w:top="1134" w:right="1417" w:bottom="1134" w:left="1417" w:header="709" w:footer="709" w:gutter="0"/>
          <w:cols w:space="720"/>
          <w:docGrid w:linePitch="360"/>
        </w:sectPr>
      </w:pPr>
    </w:p>
    <w:p w:rsidR="0027630F" w:rsidRPr="009E5F03" w:rsidRDefault="0027630F" w:rsidP="0027630F">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515465" w:rsidRPr="009E5F03" w:rsidRDefault="00515465" w:rsidP="00515465">
      <w:pPr>
        <w:pStyle w:val="Annexetitre"/>
        <w:rPr>
          <w:noProof/>
          <w:highlight w:val="lightGray"/>
        </w:rPr>
      </w:pPr>
      <w:r w:rsidRPr="009E5F03">
        <w:rPr>
          <w:noProof/>
          <w:highlight w:val="lightGray"/>
        </w:rPr>
        <w:t>ΠΑΡΑΡΤΗΜΑ 3</w:t>
      </w:r>
    </w:p>
    <w:p w:rsidR="008370E1" w:rsidRPr="009E5F03" w:rsidRDefault="008370E1" w:rsidP="008370E1">
      <w:pPr>
        <w:adjustRightInd w:val="0"/>
        <w:spacing w:before="0" w:after="0"/>
        <w:jc w:val="center"/>
        <w:rPr>
          <w:b/>
          <w:noProof/>
          <w:highlight w:val="lightGray"/>
        </w:rPr>
      </w:pPr>
      <w:r w:rsidRPr="009E5F03">
        <w:rPr>
          <w:b/>
          <w:noProof/>
          <w:highlight w:val="lightGray"/>
        </w:rPr>
        <w:t>ΚΑΤΑΛΟΓΟΣ ΠΡΟΪΟΝΤΩΝ ΠΟΥ ΚΑΛΥΠΤΟΝΤΑΙ ΑΠΟ ΣΥΣΤΗΜΑ ΔΙΕΥ</w:t>
      </w:r>
      <w:r w:rsidR="004F0724">
        <w:rPr>
          <w:b/>
          <w:noProof/>
          <w:highlight w:val="lightGray"/>
        </w:rPr>
        <w:t>ΡΥΜΕΝΗΣ ΕΥΘΥΝΗΣ ΤΟΥ ΠΑΡΑΓΩΓΟΥ</w:t>
      </w:r>
    </w:p>
    <w:p w:rsidR="008370E1" w:rsidRPr="009E5F03" w:rsidRDefault="008370E1" w:rsidP="008370E1">
      <w:pPr>
        <w:adjustRightInd w:val="0"/>
        <w:spacing w:before="0" w:after="0"/>
        <w:jc w:val="center"/>
        <w:rPr>
          <w:noProof/>
          <w:highlight w:val="lightGray"/>
        </w:rPr>
      </w:pPr>
    </w:p>
    <w:p w:rsidR="008370E1" w:rsidRPr="009E5F03" w:rsidRDefault="008370E1" w:rsidP="008370E1">
      <w:pPr>
        <w:rPr>
          <w:noProof/>
          <w:szCs w:val="24"/>
          <w:highlight w:val="lightGray"/>
        </w:rPr>
      </w:pPr>
      <w:r w:rsidRPr="009E5F03">
        <w:rPr>
          <w:noProof/>
          <w:highlight w:val="lightGray"/>
        </w:rPr>
        <w:t>1. Φάρμακα για ανθρώπινη χρήση που εμπίπτουν στο πεδίο εφαρμογής της οδηγίας</w:t>
      </w:r>
      <w:r w:rsidR="004F0724">
        <w:rPr>
          <w:noProof/>
          <w:highlight w:val="lightGray"/>
        </w:rPr>
        <w:t> </w:t>
      </w:r>
      <w:r w:rsidRPr="009E5F03">
        <w:rPr>
          <w:noProof/>
          <w:highlight w:val="lightGray"/>
        </w:rPr>
        <w:t>2001/83/ΕΚ του Ευρωπαϊκού Κοινοβουλίου και του Συμβουλίου</w:t>
      </w:r>
      <w:r w:rsidRPr="009E5F03">
        <w:rPr>
          <w:rStyle w:val="FootnoteReference"/>
          <w:noProof/>
          <w:highlight w:val="lightGray"/>
        </w:rPr>
        <w:footnoteReference w:id="12"/>
      </w:r>
      <w:r w:rsidRPr="009E5F03">
        <w:rPr>
          <w:noProof/>
          <w:highlight w:val="lightGray"/>
        </w:rPr>
        <w:t xml:space="preserve">. </w:t>
      </w:r>
    </w:p>
    <w:p w:rsidR="008370E1" w:rsidRPr="009E5F03" w:rsidRDefault="008370E1" w:rsidP="008370E1">
      <w:pPr>
        <w:rPr>
          <w:noProof/>
        </w:rPr>
      </w:pPr>
      <w:r w:rsidRPr="009E5F03">
        <w:rPr>
          <w:noProof/>
          <w:highlight w:val="lightGray"/>
        </w:rPr>
        <w:t>2. Καλλυντικά προϊόντα που εμπίπτουν στο πεδίο εφαρμογής του κανονισμού (ΕΚ) αριθ. 1223/2009 του Ευρωπαϊκού Κοινοβουλίου και του Συμβουλίου, της 30ής Νοεμβρίου 2009, για τα καλλυντικά προϊόντα</w:t>
      </w:r>
      <w:r w:rsidRPr="009E5F03">
        <w:rPr>
          <w:rStyle w:val="FootnoteReference"/>
          <w:noProof/>
          <w:highlight w:val="lightGray"/>
        </w:rPr>
        <w:footnoteReference w:id="13"/>
      </w:r>
      <w:r w:rsidRPr="009E5F03">
        <w:rPr>
          <w:noProof/>
          <w:highlight w:val="lightGray"/>
        </w:rPr>
        <w:t>.</w:t>
      </w:r>
    </w:p>
    <w:p w:rsidR="00515465" w:rsidRPr="009E5F03" w:rsidRDefault="00515465" w:rsidP="00515465">
      <w:pPr>
        <w:rPr>
          <w:noProof/>
        </w:rPr>
      </w:pPr>
    </w:p>
    <w:p w:rsidR="008370E1" w:rsidRPr="009E5F03" w:rsidRDefault="008370E1" w:rsidP="00515465">
      <w:pPr>
        <w:rPr>
          <w:b/>
          <w:noProof/>
        </w:rPr>
        <w:sectPr w:rsidR="008370E1" w:rsidRPr="009E5F03" w:rsidSect="00841019">
          <w:pgSz w:w="11906" w:h="16838"/>
          <w:pgMar w:top="1134" w:right="1418" w:bottom="1134" w:left="1418" w:header="709" w:footer="709" w:gutter="0"/>
          <w:cols w:space="709"/>
          <w:docGrid w:linePitch="326"/>
        </w:sectPr>
      </w:pPr>
    </w:p>
    <w:p w:rsidR="0027630F" w:rsidRPr="009E5F03" w:rsidRDefault="0027630F" w:rsidP="0027630F">
      <w:pPr>
        <w:pStyle w:val="CRSeparator"/>
        <w:rPr>
          <w:noProof/>
        </w:rPr>
      </w:pPr>
    </w:p>
    <w:p w:rsidR="00515465" w:rsidRPr="009E5F03" w:rsidRDefault="008370E1" w:rsidP="008370E1">
      <w:pPr>
        <w:pStyle w:val="CRReference"/>
        <w:rPr>
          <w:noProof/>
        </w:rPr>
      </w:pPr>
      <w:r w:rsidRPr="009E5F03">
        <w:rPr>
          <w:noProof/>
        </w:rPr>
        <w:fldChar w:fldCharType="begin"/>
      </w:r>
      <w:r w:rsidRPr="009E5F03">
        <w:rPr>
          <w:noProof/>
        </w:rPr>
        <w:instrText xml:space="preserve"> QUOTE "ê" </w:instrText>
      </w:r>
      <w:r w:rsidRPr="009E5F03">
        <w:rPr>
          <w:noProof/>
        </w:rPr>
        <w:fldChar w:fldCharType="separate"/>
      </w:r>
      <w:r w:rsidRPr="009E5F03">
        <w:rPr>
          <w:rStyle w:val="CRMarker"/>
          <w:noProof/>
        </w:rPr>
        <w:t>ê</w:t>
      </w:r>
      <w:r w:rsidRPr="009E5F03">
        <w:rPr>
          <w:noProof/>
        </w:rPr>
        <w:fldChar w:fldCharType="end"/>
      </w:r>
      <w:r w:rsidRPr="009E5F03">
        <w:rPr>
          <w:noProof/>
        </w:rPr>
        <w:t xml:space="preserve"> 91/271/ΕΟΚ </w:t>
      </w:r>
    </w:p>
    <w:p w:rsidR="00515465" w:rsidRPr="009E5F03" w:rsidRDefault="00515465" w:rsidP="00515465">
      <w:pPr>
        <w:pStyle w:val="Annexetitre"/>
        <w:rPr>
          <w:noProof/>
        </w:rPr>
      </w:pPr>
      <w:r w:rsidRPr="009E5F03">
        <w:rPr>
          <w:noProof/>
        </w:rPr>
        <w:t>ΠΑΡΑΡΤΗΜΑ 4</w:t>
      </w:r>
    </w:p>
    <w:p w:rsidR="00515465" w:rsidRPr="009E5F03" w:rsidRDefault="00515465" w:rsidP="00515465">
      <w:pPr>
        <w:pStyle w:val="NormalCentered"/>
        <w:rPr>
          <w:b/>
          <w:bCs/>
          <w:noProof/>
        </w:rPr>
      </w:pPr>
      <w:r w:rsidRPr="009E5F03">
        <w:rPr>
          <w:b/>
          <w:noProof/>
        </w:rPr>
        <w:t>ΒΙΟΜΗΧΑΝΙΚΟΙ ΤΟΜΕΙΣ</w:t>
      </w:r>
    </w:p>
    <w:p w:rsidR="00515465" w:rsidRPr="009E5F03" w:rsidRDefault="00515465" w:rsidP="00515465">
      <w:pPr>
        <w:rPr>
          <w:noProof/>
        </w:rPr>
      </w:pPr>
      <w:r w:rsidRPr="009E5F03">
        <w:rPr>
          <w:noProof/>
        </w:rPr>
        <w:t>1.</w:t>
      </w:r>
      <w:r w:rsidRPr="009E5F03">
        <w:rPr>
          <w:noProof/>
        </w:rPr>
        <w:tab/>
        <w:t>Επεξεργασία του γάλακτος</w:t>
      </w:r>
    </w:p>
    <w:p w:rsidR="00515465" w:rsidRPr="009E5F03" w:rsidRDefault="00515465" w:rsidP="00515465">
      <w:pPr>
        <w:rPr>
          <w:noProof/>
        </w:rPr>
      </w:pPr>
      <w:r w:rsidRPr="009E5F03">
        <w:rPr>
          <w:noProof/>
        </w:rPr>
        <w:t>2.</w:t>
      </w:r>
      <w:r w:rsidRPr="009E5F03">
        <w:rPr>
          <w:noProof/>
        </w:rPr>
        <w:tab/>
        <w:t>Παραγωγή οπωροκηπευτικών προϊόντων</w:t>
      </w:r>
    </w:p>
    <w:p w:rsidR="00515465" w:rsidRPr="009E5F03" w:rsidRDefault="00515465" w:rsidP="00515465">
      <w:pPr>
        <w:rPr>
          <w:noProof/>
        </w:rPr>
      </w:pPr>
      <w:r w:rsidRPr="009E5F03">
        <w:rPr>
          <w:noProof/>
        </w:rPr>
        <w:t>3.</w:t>
      </w:r>
      <w:r w:rsidRPr="009E5F03">
        <w:rPr>
          <w:noProof/>
        </w:rPr>
        <w:tab/>
        <w:t>Παραγωγή και εμφιάλωση μη αλκοολούχων ποτών</w:t>
      </w:r>
    </w:p>
    <w:p w:rsidR="00515465" w:rsidRPr="009E5F03" w:rsidRDefault="00515465" w:rsidP="00515465">
      <w:pPr>
        <w:rPr>
          <w:noProof/>
        </w:rPr>
      </w:pPr>
      <w:r w:rsidRPr="009E5F03">
        <w:rPr>
          <w:noProof/>
        </w:rPr>
        <w:t>4.</w:t>
      </w:r>
      <w:r w:rsidRPr="009E5F03">
        <w:rPr>
          <w:noProof/>
        </w:rPr>
        <w:tab/>
        <w:t>Μεταποίηση γεωμήλων</w:t>
      </w:r>
    </w:p>
    <w:p w:rsidR="00515465" w:rsidRPr="009E5F03" w:rsidRDefault="00515465" w:rsidP="00515465">
      <w:pPr>
        <w:rPr>
          <w:noProof/>
        </w:rPr>
      </w:pPr>
      <w:r w:rsidRPr="009E5F03">
        <w:rPr>
          <w:noProof/>
        </w:rPr>
        <w:t>5.</w:t>
      </w:r>
      <w:r w:rsidRPr="009E5F03">
        <w:rPr>
          <w:noProof/>
        </w:rPr>
        <w:tab/>
        <w:t>Βιομηχανία κρέατος</w:t>
      </w:r>
    </w:p>
    <w:p w:rsidR="00515465" w:rsidRPr="009E5F03" w:rsidRDefault="00515465" w:rsidP="00515465">
      <w:pPr>
        <w:rPr>
          <w:noProof/>
        </w:rPr>
      </w:pPr>
      <w:r w:rsidRPr="009E5F03">
        <w:rPr>
          <w:noProof/>
        </w:rPr>
        <w:t>6.</w:t>
      </w:r>
      <w:r w:rsidRPr="009E5F03">
        <w:rPr>
          <w:noProof/>
        </w:rPr>
        <w:tab/>
        <w:t>Ζυθοποιία</w:t>
      </w:r>
    </w:p>
    <w:p w:rsidR="00515465" w:rsidRPr="009E5F03" w:rsidRDefault="00515465" w:rsidP="00515465">
      <w:pPr>
        <w:rPr>
          <w:noProof/>
        </w:rPr>
      </w:pPr>
      <w:r w:rsidRPr="009E5F03">
        <w:rPr>
          <w:noProof/>
        </w:rPr>
        <w:t>7.</w:t>
      </w:r>
      <w:r w:rsidRPr="009E5F03">
        <w:rPr>
          <w:noProof/>
        </w:rPr>
        <w:tab/>
        <w:t>Παραγωγή αλκοόλης και αλκοολούχων ποτών</w:t>
      </w:r>
    </w:p>
    <w:p w:rsidR="00515465" w:rsidRPr="009E5F03" w:rsidRDefault="00515465" w:rsidP="00515465">
      <w:pPr>
        <w:rPr>
          <w:noProof/>
        </w:rPr>
      </w:pPr>
      <w:r w:rsidRPr="009E5F03">
        <w:rPr>
          <w:noProof/>
        </w:rPr>
        <w:t>8.</w:t>
      </w:r>
      <w:r w:rsidRPr="009E5F03">
        <w:rPr>
          <w:noProof/>
        </w:rPr>
        <w:tab/>
        <w:t>Παραγωγή ζωοτροφών από φυτικά προϊόντα</w:t>
      </w:r>
    </w:p>
    <w:p w:rsidR="00515465" w:rsidRPr="009E5F03" w:rsidRDefault="00515465" w:rsidP="00515465">
      <w:pPr>
        <w:rPr>
          <w:noProof/>
        </w:rPr>
      </w:pPr>
      <w:r w:rsidRPr="009E5F03">
        <w:rPr>
          <w:noProof/>
        </w:rPr>
        <w:t>9.</w:t>
      </w:r>
      <w:r w:rsidRPr="009E5F03">
        <w:rPr>
          <w:noProof/>
        </w:rPr>
        <w:tab/>
        <w:t>Παραγωγή ζελατίνας και κόλλας από δέρματα και οστά ζώων</w:t>
      </w:r>
    </w:p>
    <w:p w:rsidR="00515465" w:rsidRPr="009E5F03" w:rsidRDefault="00515465" w:rsidP="00515465">
      <w:pPr>
        <w:rPr>
          <w:noProof/>
        </w:rPr>
      </w:pPr>
      <w:r w:rsidRPr="009E5F03">
        <w:rPr>
          <w:noProof/>
        </w:rPr>
        <w:t>10.</w:t>
      </w:r>
      <w:r w:rsidRPr="009E5F03">
        <w:rPr>
          <w:noProof/>
        </w:rPr>
        <w:tab/>
        <w:t>Μονάδες παραγωγής βύνης</w:t>
      </w:r>
    </w:p>
    <w:p w:rsidR="00515465" w:rsidRPr="009E5F03" w:rsidRDefault="00515465" w:rsidP="00515465">
      <w:pPr>
        <w:rPr>
          <w:noProof/>
        </w:rPr>
      </w:pPr>
      <w:r w:rsidRPr="009E5F03">
        <w:rPr>
          <w:noProof/>
        </w:rPr>
        <w:t>11.</w:t>
      </w:r>
      <w:r w:rsidRPr="009E5F03">
        <w:rPr>
          <w:noProof/>
        </w:rPr>
        <w:tab/>
        <w:t>Μεταποιητική βιομηχανία ιχθύων</w:t>
      </w:r>
    </w:p>
    <w:p w:rsidR="00515465" w:rsidRPr="009E5F03" w:rsidRDefault="00515465" w:rsidP="00515465">
      <w:pPr>
        <w:rPr>
          <w:noProof/>
        </w:rPr>
      </w:pPr>
    </w:p>
    <w:p w:rsidR="00515465" w:rsidRPr="009E5F03" w:rsidRDefault="00515465" w:rsidP="00515465">
      <w:pPr>
        <w:rPr>
          <w:noProof/>
        </w:rPr>
      </w:pPr>
    </w:p>
    <w:p w:rsidR="00515465" w:rsidRPr="009E5F03" w:rsidRDefault="00515465" w:rsidP="00515465">
      <w:pPr>
        <w:rPr>
          <w:noProof/>
        </w:rPr>
        <w:sectPr w:rsidR="00515465" w:rsidRPr="009E5F03" w:rsidSect="00841019">
          <w:pgSz w:w="11907" w:h="16839"/>
          <w:pgMar w:top="1134" w:right="1417" w:bottom="1134" w:left="1417" w:header="709" w:footer="709" w:gutter="0"/>
          <w:cols w:space="720"/>
          <w:docGrid w:linePitch="360"/>
        </w:sectPr>
      </w:pPr>
    </w:p>
    <w:p w:rsidR="0027630F" w:rsidRPr="009E5F03" w:rsidRDefault="0027630F" w:rsidP="0027630F">
      <w:pPr>
        <w:pStyle w:val="CRSeparator"/>
        <w:rPr>
          <w:noProof/>
        </w:rPr>
      </w:pPr>
    </w:p>
    <w:p w:rsidR="008370E1" w:rsidRPr="009E5F03" w:rsidRDefault="008370E1" w:rsidP="008370E1">
      <w:pPr>
        <w:pStyle w:val="CRReference"/>
        <w:rPr>
          <w:noProof/>
          <w:highlight w:val="lightGray"/>
        </w:rPr>
      </w:pPr>
      <w:r w:rsidRPr="009E5F03">
        <w:rPr>
          <w:noProof/>
          <w:highlight w:val="lightGray"/>
        </w:rPr>
        <w:fldChar w:fldCharType="begin"/>
      </w:r>
      <w:r w:rsidRPr="009E5F03">
        <w:rPr>
          <w:noProof/>
          <w:highlight w:val="lightGray"/>
        </w:rPr>
        <w:instrText xml:space="preserve"> QUOTE "ò" </w:instrText>
      </w:r>
      <w:r w:rsidRPr="009E5F03">
        <w:rPr>
          <w:noProof/>
          <w:highlight w:val="lightGray"/>
        </w:rPr>
        <w:fldChar w:fldCharType="separate"/>
      </w:r>
      <w:r w:rsidRPr="009E5F03">
        <w:rPr>
          <w:rStyle w:val="CRMarker"/>
          <w:noProof/>
          <w:highlight w:val="lightGray"/>
        </w:rPr>
        <w:t>ò</w:t>
      </w:r>
      <w:r w:rsidRPr="009E5F03">
        <w:rPr>
          <w:noProof/>
          <w:highlight w:val="lightGray"/>
        </w:rPr>
        <w:fldChar w:fldCharType="end"/>
      </w:r>
      <w:r w:rsidRPr="009E5F03">
        <w:rPr>
          <w:noProof/>
          <w:highlight w:val="lightGray"/>
        </w:rPr>
        <w:t> νέο</w:t>
      </w:r>
    </w:p>
    <w:p w:rsidR="00515465" w:rsidRPr="009E5F03" w:rsidRDefault="00515465" w:rsidP="00515465">
      <w:pPr>
        <w:pStyle w:val="Annexetitre"/>
        <w:rPr>
          <w:noProof/>
          <w:highlight w:val="lightGray"/>
        </w:rPr>
      </w:pPr>
      <w:r w:rsidRPr="009E5F03">
        <w:rPr>
          <w:noProof/>
          <w:highlight w:val="lightGray"/>
        </w:rPr>
        <w:t>ΠΑΡΑΡΤΗΜΑ 5</w:t>
      </w:r>
    </w:p>
    <w:p w:rsidR="008370E1" w:rsidRPr="009E5F03" w:rsidRDefault="008370E1" w:rsidP="008370E1">
      <w:pPr>
        <w:pStyle w:val="NormalCentered"/>
        <w:rPr>
          <w:b/>
          <w:bCs/>
          <w:noProof/>
          <w:highlight w:val="lightGray"/>
        </w:rPr>
      </w:pPr>
      <w:r w:rsidRPr="009E5F03">
        <w:rPr>
          <w:b/>
          <w:noProof/>
          <w:highlight w:val="lightGray"/>
        </w:rPr>
        <w:t xml:space="preserve">ΠΕΡΙΕΧΟΜΕΝΟ ΤΩΝ ΟΛΟΚΛΗΡΩΜΕΝΩΝ ΣΧΕΔΙΩΝ ΔΙΑΧΕΙΡΙΣΗΣ ΑΣΤΙΚΩΝ ΛΥΜΑΤΩΝ </w:t>
      </w:r>
    </w:p>
    <w:p w:rsidR="008370E1" w:rsidRPr="009E5F03" w:rsidRDefault="008370E1" w:rsidP="008370E1">
      <w:pPr>
        <w:rPr>
          <w:noProof/>
          <w:highlight w:val="lightGray"/>
        </w:rPr>
      </w:pPr>
      <w:r w:rsidRPr="009E5F03">
        <w:rPr>
          <w:noProof/>
          <w:highlight w:val="lightGray"/>
        </w:rPr>
        <w:t xml:space="preserve">1. Ανάλυση της αρχικής κατάστασης της </w:t>
      </w:r>
      <w:r w:rsidR="005A713E">
        <w:rPr>
          <w:noProof/>
          <w:highlight w:val="lightGray"/>
        </w:rPr>
        <w:t xml:space="preserve">εξυπηρετούμενης </w:t>
      </w:r>
      <w:r w:rsidRPr="009E5F03">
        <w:rPr>
          <w:noProof/>
          <w:highlight w:val="lightGray"/>
        </w:rPr>
        <w:t xml:space="preserve">περιοχής του σταθμού επεξεργασίας αστικών λυμάτων του οικείου οικισμού, η οποία περιλαμβάνει τουλάχιστον τα ακόλουθα: </w:t>
      </w:r>
    </w:p>
    <w:p w:rsidR="008370E1" w:rsidRPr="009E5F03" w:rsidRDefault="008370E1" w:rsidP="008370E1">
      <w:pPr>
        <w:pStyle w:val="Text2"/>
        <w:ind w:left="720"/>
        <w:rPr>
          <w:noProof/>
          <w:highlight w:val="lightGray"/>
        </w:rPr>
      </w:pPr>
      <w:r w:rsidRPr="009E5F03">
        <w:rPr>
          <w:noProof/>
          <w:highlight w:val="lightGray"/>
        </w:rPr>
        <w:t>α) λεπτομερή περιγραφή του δικτύου συστημάτων αποχέτευσης, της χωρητικότητας παραμονής αστικών λυμάτων και αστικών απορροών του εν λόγω δικτύου και της υφιστάμενης δυναμικότητας επεξεργασίας αστικών λυμάτων σε περίπτωση βροχόπτωσης·</w:t>
      </w:r>
    </w:p>
    <w:p w:rsidR="008370E1" w:rsidRPr="009E5F03" w:rsidRDefault="008370E1" w:rsidP="008370E1">
      <w:pPr>
        <w:pStyle w:val="Text2"/>
        <w:ind w:left="720"/>
        <w:rPr>
          <w:noProof/>
          <w:highlight w:val="lightGray"/>
        </w:rPr>
      </w:pPr>
      <w:r w:rsidRPr="009E5F03">
        <w:rPr>
          <w:noProof/>
          <w:highlight w:val="lightGray"/>
        </w:rPr>
        <w:t>β) δυναμική ανάλυση των ροών αστικών απορροών και αστικών λυμάτων σε περίπτωση βροχόπτωσης, βασισμένη σε μοντέλα υδρολογίας, υδραυλικής και ποιότητας των υδάτων που λαμβάνουν υπόψη τις πιο πρόσφατες κλιματικές προβλέψεις και περιλαμβάνουν εκτίμηση των φορτίων ρύπανσης που ελευθερώνονται στους υδάτινους απο</w:t>
      </w:r>
      <w:r w:rsidR="000504B9">
        <w:rPr>
          <w:noProof/>
          <w:highlight w:val="lightGray"/>
        </w:rPr>
        <w:t>δέκτες σε περίπτωση βροχόπτωσης.</w:t>
      </w:r>
    </w:p>
    <w:p w:rsidR="008370E1" w:rsidRPr="009E5F03" w:rsidRDefault="008370E1" w:rsidP="008370E1">
      <w:pPr>
        <w:rPr>
          <w:noProof/>
          <w:highlight w:val="lightGray"/>
        </w:rPr>
      </w:pPr>
      <w:r w:rsidRPr="009E5F03">
        <w:rPr>
          <w:noProof/>
          <w:highlight w:val="lightGray"/>
        </w:rPr>
        <w:t xml:space="preserve">2. Στόχοι για τη μείωση της ρύπανσης από υπερχειλίσεις υδάτων λόγω νεροποντής και από αστικές απορροές, συμπεριλαμβανομένων των ακόλουθων: </w:t>
      </w:r>
    </w:p>
    <w:p w:rsidR="008370E1" w:rsidRPr="009E5F03" w:rsidRDefault="008370E1" w:rsidP="008370E1">
      <w:pPr>
        <w:pStyle w:val="Text2"/>
        <w:ind w:left="720"/>
        <w:rPr>
          <w:noProof/>
          <w:highlight w:val="lightGray"/>
        </w:rPr>
      </w:pPr>
      <w:r w:rsidRPr="009E5F03">
        <w:rPr>
          <w:noProof/>
          <w:highlight w:val="lightGray"/>
        </w:rPr>
        <w:t xml:space="preserve">α) ενδεικτικό στόχο ότι η υπερχείλιση υδάτων </w:t>
      </w:r>
      <w:r w:rsidR="005A713E">
        <w:rPr>
          <w:noProof/>
          <w:highlight w:val="lightGray"/>
        </w:rPr>
        <w:t xml:space="preserve">λόγω </w:t>
      </w:r>
      <w:r w:rsidRPr="009E5F03">
        <w:rPr>
          <w:noProof/>
          <w:highlight w:val="lightGray"/>
        </w:rPr>
        <w:t xml:space="preserve">νεροποντής δεν θα αντιπροσωπεύει περισσότερο από το 1 % του ετήσιου συλλεγόμενου φορτίου αστικών λυμάτων, υπολογιζόμενου σε συνθήκες ανομβρίας. </w:t>
      </w:r>
    </w:p>
    <w:p w:rsidR="008370E1" w:rsidRPr="009E5F03" w:rsidRDefault="008370E1" w:rsidP="008370E1">
      <w:pPr>
        <w:pStyle w:val="Text2"/>
        <w:ind w:left="720"/>
        <w:rPr>
          <w:noProof/>
          <w:highlight w:val="lightGray"/>
        </w:rPr>
      </w:pPr>
      <w:r w:rsidRPr="009E5F03">
        <w:rPr>
          <w:noProof/>
          <w:highlight w:val="lightGray"/>
        </w:rPr>
        <w:t>Ο ενδεικτικός αυτός στόχος επιτυγχάνεται μέχρι:</w:t>
      </w:r>
    </w:p>
    <w:p w:rsidR="008370E1" w:rsidRPr="009E5F03" w:rsidRDefault="008370E1" w:rsidP="008370E1">
      <w:pPr>
        <w:pStyle w:val="Text4"/>
        <w:ind w:left="1440"/>
        <w:rPr>
          <w:noProof/>
          <w:highlight w:val="lightGray"/>
        </w:rPr>
      </w:pPr>
      <w:r w:rsidRPr="009E5F03">
        <w:rPr>
          <w:noProof/>
          <w:highlight w:val="lightGray"/>
        </w:rPr>
        <w:t>i) τις 31 Δεκεμβρίου 2035 για όλους τους οικισμούς με ι.π. 100 000 και άνω·</w:t>
      </w:r>
    </w:p>
    <w:p w:rsidR="008370E1" w:rsidRPr="009E5F03" w:rsidRDefault="008370E1" w:rsidP="008370E1">
      <w:pPr>
        <w:pStyle w:val="Text4"/>
        <w:ind w:left="1440"/>
        <w:rPr>
          <w:noProof/>
          <w:highlight w:val="lightGray"/>
        </w:rPr>
      </w:pPr>
      <w:r w:rsidRPr="009E5F03">
        <w:rPr>
          <w:noProof/>
          <w:highlight w:val="lightGray"/>
        </w:rPr>
        <w:t>ii) τις 31 Δεκεμβρίου 2040 για τους οικισμούς με ι.π. 10 000 και άνω που προσδιορίζονται σύμφωνα με το άρθρο 5 παράγραφος 2·</w:t>
      </w:r>
    </w:p>
    <w:p w:rsidR="008370E1" w:rsidRPr="009E5F03" w:rsidRDefault="008370E1" w:rsidP="008370E1">
      <w:pPr>
        <w:pStyle w:val="Text2"/>
        <w:ind w:left="720"/>
        <w:rPr>
          <w:noProof/>
          <w:highlight w:val="lightGray"/>
        </w:rPr>
      </w:pPr>
      <w:r w:rsidRPr="009E5F03">
        <w:rPr>
          <w:noProof/>
          <w:highlight w:val="lightGray"/>
        </w:rPr>
        <w:t>β) προοδευτική εξάλειψη των μη επεξεργασμένων απορρίψεων αστικών απορροών μέσω χωριστών αποχετευτικών δικτύων, εκτός εάν μπορεί να αποδειχθεί ότι οι απορρίψεις αυτές δεν έχουν δυσμενείς επιπτώσεις στην π</w:t>
      </w:r>
      <w:r w:rsidR="000504B9">
        <w:rPr>
          <w:noProof/>
          <w:highlight w:val="lightGray"/>
        </w:rPr>
        <w:t>οιότητα των υδάτινων αποδεκτών</w:t>
      </w:r>
      <w:r w:rsidR="00BD1216">
        <w:rPr>
          <w:noProof/>
          <w:highlight w:val="lightGray"/>
        </w:rPr>
        <w:t>.</w:t>
      </w:r>
    </w:p>
    <w:p w:rsidR="008370E1" w:rsidRPr="009E5F03" w:rsidRDefault="008370E1" w:rsidP="008370E1">
      <w:pPr>
        <w:rPr>
          <w:noProof/>
          <w:highlight w:val="lightGray"/>
        </w:rPr>
      </w:pPr>
      <w:r w:rsidRPr="009E5F03">
        <w:rPr>
          <w:noProof/>
          <w:highlight w:val="lightGray"/>
        </w:rPr>
        <w:t>3. Μέτρα που πρέπει να ληφθούν για την επίτευξη των στόχων που αναφέρονται στο σημείο</w:t>
      </w:r>
      <w:r w:rsidR="00BD1216">
        <w:rPr>
          <w:noProof/>
          <w:highlight w:val="lightGray"/>
        </w:rPr>
        <w:t> </w:t>
      </w:r>
      <w:r w:rsidRPr="009E5F03">
        <w:rPr>
          <w:noProof/>
          <w:highlight w:val="lightGray"/>
        </w:rPr>
        <w:t>2, συνοδευόμενα από σαφή προσδιορισμό των εμπλεκόμενων φορέων και των ευθυνών τους στην υλοποίηση του ολοκληρωμένου σχεδίου.</w:t>
      </w:r>
    </w:p>
    <w:p w:rsidR="008370E1" w:rsidRPr="009E5F03" w:rsidRDefault="008370E1" w:rsidP="008370E1">
      <w:pPr>
        <w:rPr>
          <w:noProof/>
          <w:highlight w:val="lightGray"/>
        </w:rPr>
      </w:pPr>
      <w:r w:rsidRPr="009E5F03">
        <w:rPr>
          <w:noProof/>
          <w:highlight w:val="lightGray"/>
        </w:rPr>
        <w:t xml:space="preserve">4. Κατά την </w:t>
      </w:r>
      <w:r w:rsidR="00A62B73">
        <w:rPr>
          <w:noProof/>
          <w:highlight w:val="lightGray"/>
        </w:rPr>
        <w:t>επιλογή</w:t>
      </w:r>
      <w:r w:rsidRPr="009E5F03">
        <w:rPr>
          <w:noProof/>
          <w:highlight w:val="lightGray"/>
        </w:rPr>
        <w:t xml:space="preserve"> των μέτρων που πρέπει να ληφθούν σύμφωνα με το σημείο</w:t>
      </w:r>
      <w:r w:rsidR="00A62B73">
        <w:rPr>
          <w:noProof/>
          <w:highlight w:val="lightGray"/>
        </w:rPr>
        <w:t> </w:t>
      </w:r>
      <w:r w:rsidRPr="009E5F03">
        <w:rPr>
          <w:noProof/>
          <w:highlight w:val="lightGray"/>
        </w:rPr>
        <w:t>3, τα κράτη μέλη διασφαλίζουν ότι οι αρμόδιες αρχές τους εξετάζουν τουλάχιστον τα ακόλουθα:</w:t>
      </w:r>
    </w:p>
    <w:p w:rsidR="008370E1" w:rsidRPr="009E5F03" w:rsidRDefault="008370E1" w:rsidP="008370E1">
      <w:pPr>
        <w:pStyle w:val="Text1"/>
        <w:rPr>
          <w:noProof/>
          <w:highlight w:val="lightGray"/>
        </w:rPr>
      </w:pPr>
      <w:r w:rsidRPr="009E5F03">
        <w:rPr>
          <w:noProof/>
          <w:highlight w:val="lightGray"/>
        </w:rPr>
        <w:t>α) πρώτον, προληπτικά μέτρα που αποσκοπούν στην αποφυγή της εισόδου μη ρυπασμένων όμβριων υδάτων στα αποχετευτικά δίκτυα, μεταξύ αυτών μέτρα που προάγουν τη φυσική συγκράτηση ή την αξιοποίηση των όμβριων υδάτων, και μέτρα για την αύξηση των χώρων πρασίνου ή τον περιορισμό των αδιαπέραστων επιφανειών στους οικισμούς·</w:t>
      </w:r>
    </w:p>
    <w:p w:rsidR="008370E1" w:rsidRPr="009E5F03" w:rsidRDefault="008370E1" w:rsidP="008370E1">
      <w:pPr>
        <w:pStyle w:val="Text1"/>
        <w:rPr>
          <w:noProof/>
          <w:highlight w:val="lightGray"/>
        </w:rPr>
      </w:pPr>
      <w:r w:rsidRPr="009E5F03">
        <w:rPr>
          <w:noProof/>
          <w:highlight w:val="lightGray"/>
        </w:rPr>
        <w:t xml:space="preserve">β) δεύτερον, μέτρα για την καλύτερη διαχείριση και βελτιστοποίηση της χρήσης των υφιστάμενων υποδομών, συμπεριλαμβανομένων των δικτύων αποχέτευσης, των χώρων παραμονής και των σταθμών επεξεργασίας αστικών λυμάτων, με στόχο να διασφαλιστεί η συλλογή και η επεξεργασία των ρυπασμένων όμβριων υδάτων και η ελαχιστοποίηση των απορρίψεων μη επεξεργασμένων αστικών λυμάτων σε υδάτινους αποδέκτες· </w:t>
      </w:r>
    </w:p>
    <w:p w:rsidR="00515465" w:rsidRPr="009E5F03" w:rsidRDefault="008370E1" w:rsidP="00A62B73">
      <w:pPr>
        <w:ind w:left="851"/>
        <w:rPr>
          <w:noProof/>
        </w:rPr>
      </w:pPr>
      <w:r w:rsidRPr="009E5F03">
        <w:rPr>
          <w:noProof/>
          <w:highlight w:val="lightGray"/>
        </w:rPr>
        <w:t>γ) τέλος, όπου είναι αναγκαίο για την επίτευξη των στόχων που αναφέρονται στο σημείο</w:t>
      </w:r>
      <w:r w:rsidR="00A62B73">
        <w:rPr>
          <w:noProof/>
          <w:highlight w:val="lightGray"/>
        </w:rPr>
        <w:t> </w:t>
      </w:r>
      <w:r w:rsidRPr="009E5F03">
        <w:rPr>
          <w:noProof/>
          <w:highlight w:val="lightGray"/>
        </w:rPr>
        <w:t xml:space="preserve">2, πρόσθετα μέτρα μετριασμού, συμπεριλαμβανομένης της προσαρμογής </w:t>
      </w:r>
      <w:r w:rsidR="00A62B73">
        <w:rPr>
          <w:noProof/>
          <w:highlight w:val="lightGray"/>
        </w:rPr>
        <w:t xml:space="preserve">των υποδομών </w:t>
      </w:r>
      <w:r w:rsidRPr="009E5F03">
        <w:rPr>
          <w:noProof/>
          <w:highlight w:val="lightGray"/>
        </w:rPr>
        <w:t xml:space="preserve">για τη συλλογή, την παραμονή και την επεξεργασία αστικών λυμάτων ή της δημιουργίας νέων υποδομών με προτεραιότητα σε πράσινες υποδομές, όπως οι τάφροι με βλάστηση, οι υγρότοποι επεξεργασίας και οι λιμνοδεξαμενές </w:t>
      </w:r>
      <w:r w:rsidR="00A62B73">
        <w:rPr>
          <w:noProof/>
          <w:highlight w:val="lightGray"/>
        </w:rPr>
        <w:t>παραμονής</w:t>
      </w:r>
      <w:r w:rsidRPr="009E5F03">
        <w:rPr>
          <w:noProof/>
          <w:highlight w:val="lightGray"/>
        </w:rPr>
        <w:t xml:space="preserve"> που έχουν σχεδιαστεί για τη στήριξη της βιοποικιλότητας. Κατά περίπτωση, εξετάζεται το ενδεχόμενο επαναχρησιμοποίησης των υδάτων στο πλαίσιο της ανάπτυξης των ολοκληρωμένων σχεδίων διαχείρισης αστικών λυμάτων που αναφέρονται στο άρθρο 5.</w:t>
      </w:r>
    </w:p>
    <w:p w:rsidR="008370E1" w:rsidRPr="009E5F03" w:rsidRDefault="008370E1" w:rsidP="008370E1">
      <w:pPr>
        <w:rPr>
          <w:noProof/>
          <w:highlight w:val="lightGray"/>
        </w:rPr>
      </w:pPr>
      <w:r w:rsidRPr="009E5F03">
        <w:rPr>
          <w:noProof/>
        </w:rPr>
        <w:br w:type="page"/>
      </w:r>
    </w:p>
    <w:p w:rsidR="008370E1" w:rsidRPr="009E5F03" w:rsidRDefault="008370E1" w:rsidP="008370E1">
      <w:pPr>
        <w:rPr>
          <w:noProof/>
        </w:rPr>
      </w:pPr>
    </w:p>
    <w:p w:rsidR="00515465" w:rsidRPr="009E5F03" w:rsidRDefault="00515465" w:rsidP="00515465">
      <w:pPr>
        <w:pStyle w:val="Annexetitre"/>
        <w:rPr>
          <w:noProof/>
          <w:highlight w:val="lightGray"/>
        </w:rPr>
      </w:pPr>
      <w:r w:rsidRPr="009E5F03">
        <w:rPr>
          <w:noProof/>
          <w:highlight w:val="lightGray"/>
        </w:rPr>
        <w:t>ΠΑΡΑΡΤΗΜΑ 6</w:t>
      </w:r>
    </w:p>
    <w:p w:rsidR="008370E1" w:rsidRPr="009E5F03" w:rsidRDefault="008370E1" w:rsidP="008370E1">
      <w:pPr>
        <w:pStyle w:val="Annexetitreacte"/>
        <w:rPr>
          <w:noProof/>
          <w:highlight w:val="lightGray"/>
        </w:rPr>
      </w:pPr>
      <w:r w:rsidRPr="009E5F03">
        <w:rPr>
          <w:noProof/>
          <w:highlight w:val="lightGray"/>
        </w:rPr>
        <w:t>ΕΝΗΜΕΡΩΣΗ ΤΟΥ ΚΟΙΝΟΥ</w:t>
      </w:r>
    </w:p>
    <w:p w:rsidR="008370E1" w:rsidRPr="009E5F03" w:rsidRDefault="008370E1" w:rsidP="008370E1">
      <w:pPr>
        <w:rPr>
          <w:noProof/>
          <w:highlight w:val="lightGray"/>
        </w:rPr>
      </w:pPr>
      <w:r w:rsidRPr="009E5F03">
        <w:rPr>
          <w:noProof/>
          <w:highlight w:val="lightGray"/>
        </w:rPr>
        <w:t xml:space="preserve">1) </w:t>
      </w:r>
      <w:r w:rsidR="0056728F">
        <w:rPr>
          <w:noProof/>
          <w:highlight w:val="lightGray"/>
        </w:rPr>
        <w:t>Υπόδειξη της</w:t>
      </w:r>
      <w:r w:rsidRPr="009E5F03">
        <w:rPr>
          <w:noProof/>
          <w:highlight w:val="lightGray"/>
        </w:rPr>
        <w:t xml:space="preserve"> αρμόδια</w:t>
      </w:r>
      <w:r w:rsidR="0056728F">
        <w:rPr>
          <w:noProof/>
          <w:highlight w:val="lightGray"/>
        </w:rPr>
        <w:t>ς</w:t>
      </w:r>
      <w:r w:rsidRPr="009E5F03">
        <w:rPr>
          <w:noProof/>
          <w:highlight w:val="lightGray"/>
        </w:rPr>
        <w:t xml:space="preserve"> αρχή</w:t>
      </w:r>
      <w:r w:rsidR="0056728F">
        <w:rPr>
          <w:noProof/>
          <w:highlight w:val="lightGray"/>
        </w:rPr>
        <w:t>ς</w:t>
      </w:r>
      <w:r w:rsidRPr="009E5F03">
        <w:rPr>
          <w:noProof/>
          <w:highlight w:val="lightGray"/>
        </w:rPr>
        <w:t xml:space="preserve"> και </w:t>
      </w:r>
      <w:r w:rsidR="0056728F">
        <w:rPr>
          <w:noProof/>
          <w:highlight w:val="lightGray"/>
        </w:rPr>
        <w:t>των φορέων διαχείρισης</w:t>
      </w:r>
      <w:r w:rsidRPr="009E5F03">
        <w:rPr>
          <w:noProof/>
          <w:highlight w:val="lightGray"/>
        </w:rPr>
        <w:t xml:space="preserve"> που είναι υπεύθυνοι για τις υπηρεσίες συλλογής και επεξεργασίας αστικών λυμάτων, με πληροφορίες σχετικά με την ιδιοκτησιακή δομή των φορέων </w:t>
      </w:r>
      <w:r w:rsidR="0056728F">
        <w:rPr>
          <w:noProof/>
          <w:highlight w:val="lightGray"/>
        </w:rPr>
        <w:t>διαχείρισης</w:t>
      </w:r>
      <w:r w:rsidR="0056728F" w:rsidRPr="009E5F03">
        <w:rPr>
          <w:noProof/>
          <w:highlight w:val="lightGray"/>
        </w:rPr>
        <w:t xml:space="preserve"> </w:t>
      </w:r>
      <w:r w:rsidRPr="009E5F03">
        <w:rPr>
          <w:noProof/>
          <w:highlight w:val="lightGray"/>
        </w:rPr>
        <w:t>και τα στοιχεία επικοινωνίας τους.</w:t>
      </w:r>
    </w:p>
    <w:p w:rsidR="008370E1" w:rsidRPr="009E5F03" w:rsidRDefault="008370E1" w:rsidP="008370E1">
      <w:pPr>
        <w:rPr>
          <w:noProof/>
          <w:highlight w:val="lightGray"/>
        </w:rPr>
      </w:pPr>
      <w:r w:rsidRPr="009E5F03">
        <w:rPr>
          <w:noProof/>
          <w:highlight w:val="lightGray"/>
        </w:rPr>
        <w:t xml:space="preserve">2) Το συνολικό φορτίο αστικών λυμάτων που παράγεται στον οικισμό, εκφρασμένο σε ισοδύναμα πληθυσμού (ι.π.), με λεπτομέρειες σχετικά με το μερίδιο του εν λόγω φορτίου (σε %) το οποίο: </w:t>
      </w:r>
    </w:p>
    <w:p w:rsidR="008370E1" w:rsidRPr="009E5F03" w:rsidRDefault="008370E1" w:rsidP="008370E1">
      <w:pPr>
        <w:pStyle w:val="Text1"/>
        <w:rPr>
          <w:noProof/>
          <w:highlight w:val="lightGray"/>
        </w:rPr>
      </w:pPr>
      <w:r w:rsidRPr="009E5F03">
        <w:rPr>
          <w:noProof/>
          <w:highlight w:val="lightGray"/>
        </w:rPr>
        <w:t xml:space="preserve">α) συλλέγεται και υφίσταται επεξεργασία σε σταθμούς επεξεργασίας αστικών λυμάτων· </w:t>
      </w:r>
    </w:p>
    <w:p w:rsidR="008370E1" w:rsidRPr="009E5F03" w:rsidRDefault="008370E1" w:rsidP="008370E1">
      <w:pPr>
        <w:pStyle w:val="Text1"/>
        <w:rPr>
          <w:noProof/>
          <w:highlight w:val="lightGray"/>
        </w:rPr>
      </w:pPr>
      <w:r w:rsidRPr="009E5F03">
        <w:rPr>
          <w:noProof/>
          <w:highlight w:val="lightGray"/>
        </w:rPr>
        <w:t xml:space="preserve">β) υφίσταται επεξεργασία από καταχωρισμένα μεμονωμένα συστήματα· </w:t>
      </w:r>
    </w:p>
    <w:p w:rsidR="008370E1" w:rsidRPr="009E5F03" w:rsidRDefault="008370E1" w:rsidP="008370E1">
      <w:pPr>
        <w:pStyle w:val="Text1"/>
        <w:rPr>
          <w:noProof/>
          <w:highlight w:val="lightGray"/>
        </w:rPr>
      </w:pPr>
      <w:r w:rsidRPr="009E5F03">
        <w:rPr>
          <w:noProof/>
          <w:highlight w:val="lightGray"/>
        </w:rPr>
        <w:t>γ) δεν συλλέγεται ούτε υφίσταται επεξεργασία.</w:t>
      </w:r>
    </w:p>
    <w:p w:rsidR="008370E1" w:rsidRPr="009E5F03" w:rsidRDefault="008370E1" w:rsidP="008370E1">
      <w:pPr>
        <w:rPr>
          <w:noProof/>
          <w:highlight w:val="lightGray"/>
        </w:rPr>
      </w:pPr>
      <w:r w:rsidRPr="009E5F03">
        <w:rPr>
          <w:noProof/>
          <w:highlight w:val="lightGray"/>
        </w:rPr>
        <w:t xml:space="preserve">3) Κατά περίπτωση, παράθεση των λόγων για τους οποίους ένα ορισμένο φορτίο αστικών λυμάτων δεν συλλέγεται ή δεν υφίσταται επεξεργασία. </w:t>
      </w:r>
    </w:p>
    <w:p w:rsidR="008370E1" w:rsidRPr="009E5F03" w:rsidRDefault="008370E1" w:rsidP="008370E1">
      <w:pPr>
        <w:rPr>
          <w:noProof/>
          <w:highlight w:val="lightGray"/>
        </w:rPr>
      </w:pPr>
      <w:r w:rsidRPr="009E5F03">
        <w:rPr>
          <w:noProof/>
          <w:highlight w:val="lightGray"/>
        </w:rPr>
        <w:t>4) Πληροφορίες σχετικά με την ποιότητα των αστικών λυμάτων που απορρίπτονται από τον οικισμό σε κάθε υδάτινο αποδέκτη, με τα ακόλουθα στοιχεία:</w:t>
      </w:r>
    </w:p>
    <w:p w:rsidR="008370E1" w:rsidRPr="009E5F03" w:rsidRDefault="008370E1" w:rsidP="008370E1">
      <w:pPr>
        <w:pStyle w:val="Text1"/>
        <w:rPr>
          <w:noProof/>
          <w:highlight w:val="lightGray"/>
        </w:rPr>
      </w:pPr>
      <w:r w:rsidRPr="009E5F03">
        <w:rPr>
          <w:noProof/>
          <w:highlight w:val="lightGray"/>
        </w:rPr>
        <w:t>α) ετήσιες μέσες συγκεντρώσεις και φορτίο ρύπων που καλύπτονται από το άρθρο 21, τα οποία εκλύονται από κάθε σταθμό επεξεργασίας αστικών λυμάτων·</w:t>
      </w:r>
    </w:p>
    <w:p w:rsidR="008370E1" w:rsidRPr="009E5F03" w:rsidRDefault="008370E1" w:rsidP="008370E1">
      <w:pPr>
        <w:pStyle w:val="Text1"/>
        <w:rPr>
          <w:noProof/>
          <w:highlight w:val="lightGray"/>
        </w:rPr>
      </w:pPr>
      <w:r w:rsidRPr="009E5F03">
        <w:rPr>
          <w:noProof/>
          <w:highlight w:val="lightGray"/>
        </w:rPr>
        <w:t>β) εκτίμηση του φορτίου των απορρίψεων από μεμονωμένα συστήματα για τις παραμέτρους που αναφέρονται στους πίνα</w:t>
      </w:r>
      <w:r w:rsidR="0056728F">
        <w:rPr>
          <w:noProof/>
          <w:highlight w:val="lightGray"/>
        </w:rPr>
        <w:t>κες 1 και 2 του παραρτήματος I·</w:t>
      </w:r>
    </w:p>
    <w:p w:rsidR="008370E1" w:rsidRPr="009E5F03" w:rsidRDefault="008370E1" w:rsidP="008370E1">
      <w:pPr>
        <w:pStyle w:val="Text1"/>
        <w:rPr>
          <w:noProof/>
          <w:highlight w:val="lightGray"/>
        </w:rPr>
      </w:pPr>
      <w:r w:rsidRPr="009E5F03">
        <w:rPr>
          <w:noProof/>
          <w:highlight w:val="lightGray"/>
        </w:rPr>
        <w:t>γ) εκτίμηση του φορτίου των απορρίψεων από συνδυασμένα και χωριστά αποχετευτικά δίκτυα για τις αστικές απορροές και τις υπερχειλίσεις λόγω νεροποντής, για τις παραμέτρους που αναφέρονται στους πίνακες</w:t>
      </w:r>
      <w:r w:rsidR="0056728F">
        <w:rPr>
          <w:noProof/>
          <w:highlight w:val="lightGray"/>
        </w:rPr>
        <w:t> </w:t>
      </w:r>
      <w:r w:rsidRPr="009E5F03">
        <w:rPr>
          <w:noProof/>
          <w:highlight w:val="lightGray"/>
        </w:rPr>
        <w:t>1 και</w:t>
      </w:r>
      <w:r w:rsidR="0056728F">
        <w:rPr>
          <w:noProof/>
          <w:highlight w:val="lightGray"/>
        </w:rPr>
        <w:t> </w:t>
      </w:r>
      <w:r w:rsidRPr="009E5F03">
        <w:rPr>
          <w:noProof/>
          <w:highlight w:val="lightGray"/>
        </w:rPr>
        <w:t>2 του παραρτήματος</w:t>
      </w:r>
      <w:r w:rsidR="0056728F">
        <w:rPr>
          <w:noProof/>
          <w:highlight w:val="lightGray"/>
        </w:rPr>
        <w:t> </w:t>
      </w:r>
      <w:r w:rsidRPr="009E5F03">
        <w:rPr>
          <w:noProof/>
          <w:highlight w:val="lightGray"/>
        </w:rPr>
        <w:t>I.</w:t>
      </w:r>
    </w:p>
    <w:p w:rsidR="008370E1" w:rsidRPr="009E5F03" w:rsidRDefault="008370E1" w:rsidP="008370E1">
      <w:pPr>
        <w:rPr>
          <w:noProof/>
          <w:highlight w:val="lightGray"/>
        </w:rPr>
      </w:pPr>
      <w:r w:rsidRPr="009E5F03">
        <w:rPr>
          <w:noProof/>
          <w:highlight w:val="lightGray"/>
        </w:rPr>
        <w:t>5) Συνολικές ετήσιες επενδυτικές δαπάνες και συνολικές ετήσιες λειτουργικές δαπάνες, με διάκριση μεταξύ των δαπανών συλλογής και επεξεργασίας, των συνολικών ετήσιων δαπανών που αφορούν το προσωπικό, την ενέργεια, τα αναλώσιμα, τις διοικητικές και άλλες δαπάνες, καθώς και των μέσων ετήσιων επενδυτικών και λειτουργικών δαπανών ανά νοικοκυριό και ανά κυβικό μέτρο αστικών λυμάτων που συλλέγονται και υφίστανται επεξεργασία.</w:t>
      </w:r>
    </w:p>
    <w:p w:rsidR="008370E1" w:rsidRPr="009E5F03" w:rsidRDefault="008370E1" w:rsidP="008370E1">
      <w:pPr>
        <w:rPr>
          <w:noProof/>
          <w:highlight w:val="lightGray"/>
        </w:rPr>
      </w:pPr>
      <w:r w:rsidRPr="009E5F03">
        <w:rPr>
          <w:noProof/>
          <w:highlight w:val="lightGray"/>
        </w:rPr>
        <w:t>6) Πληροφορίες σχετικά με τον τρόπο κάλυψης των δαπανών που αναφέρονται στο σημείο</w:t>
      </w:r>
      <w:r w:rsidR="0056728F">
        <w:rPr>
          <w:noProof/>
          <w:highlight w:val="lightGray"/>
        </w:rPr>
        <w:t> </w:t>
      </w:r>
      <w:r w:rsidRPr="009E5F03">
        <w:rPr>
          <w:noProof/>
          <w:highlight w:val="lightGray"/>
        </w:rPr>
        <w:t xml:space="preserve">5 και, όταν οι δαπάνες ανακτώνται μέσω συστήματος τελών, πληροφορίες σχετικά με τη διάρθρωση του τιμολογίου ανά κυβικό μέτρο αστικών λυμάτων που συλλέγονται και υφίστανται επεξεργασία, είτε ανά κυβικό μέτρο αστικών λυμάτων που συλλέγονται και υφίστανται επεξεργασία είτε ανά κυβικό μέτρο παρεχόμενου νερού, συμπεριλαμβανομένων των πάγιων και μεταβλητών δαπανών και της κατανομής των δαπανών για τη συλλογή, την επεξεργασία, </w:t>
      </w:r>
      <w:r w:rsidR="0056728F">
        <w:rPr>
          <w:noProof/>
          <w:highlight w:val="lightGray"/>
        </w:rPr>
        <w:t>τη διοίκηση και άλλες δαπάνες.</w:t>
      </w:r>
    </w:p>
    <w:p w:rsidR="008370E1" w:rsidRPr="009E5F03" w:rsidRDefault="008370E1" w:rsidP="008370E1">
      <w:pPr>
        <w:rPr>
          <w:noProof/>
          <w:highlight w:val="lightGray"/>
        </w:rPr>
      </w:pPr>
      <w:r w:rsidRPr="009E5F03">
        <w:rPr>
          <w:noProof/>
          <w:highlight w:val="lightGray"/>
        </w:rPr>
        <w:t>7) Επενδυτικά σχέδια για υποδομές συλλογής και επεξεργασίας αστικών λυμάτων σε επίπεδο οικισμού, με τις προβλεπόμενες επιπτώσεις στα τιμολόγια υπηρεσιών αποχέτευσης αστικών λυμάτων και τα επιδιωκόμενα οικονομικά και κοινωνικά οφέλη.</w:t>
      </w:r>
    </w:p>
    <w:p w:rsidR="008370E1" w:rsidRPr="009E5F03" w:rsidRDefault="008370E1" w:rsidP="008370E1">
      <w:pPr>
        <w:rPr>
          <w:noProof/>
          <w:highlight w:val="lightGray"/>
        </w:rPr>
      </w:pPr>
      <w:r w:rsidRPr="009E5F03">
        <w:rPr>
          <w:noProof/>
          <w:highlight w:val="lightGray"/>
        </w:rPr>
        <w:t>8) Για κάθε σταθμό επεξεργασίας αστικών λυμάτων του οικισμού:</w:t>
      </w:r>
    </w:p>
    <w:p w:rsidR="008370E1" w:rsidRPr="009E5F03" w:rsidRDefault="008370E1" w:rsidP="008370E1">
      <w:pPr>
        <w:pStyle w:val="Text1"/>
        <w:rPr>
          <w:noProof/>
          <w:highlight w:val="lightGray"/>
        </w:rPr>
      </w:pPr>
      <w:r w:rsidRPr="009E5F03">
        <w:rPr>
          <w:noProof/>
          <w:highlight w:val="lightGray"/>
        </w:rPr>
        <w:t>α) το συνολικό φορτίο (σε ι.π.) που υφίσταται επεξεργασία και η ενέργεια που απαιτείται για την επεξεργασία των αστικών λυμάτων (σε kWh συνολικά και ανά κυβικό μέτρο)·</w:t>
      </w:r>
    </w:p>
    <w:p w:rsidR="008370E1" w:rsidRPr="009E5F03" w:rsidRDefault="008370E1" w:rsidP="008370E1">
      <w:pPr>
        <w:pStyle w:val="Text1"/>
        <w:rPr>
          <w:noProof/>
          <w:highlight w:val="lightGray"/>
        </w:rPr>
      </w:pPr>
      <w:r w:rsidRPr="009E5F03">
        <w:rPr>
          <w:noProof/>
          <w:highlight w:val="lightGray"/>
        </w:rPr>
        <w:t>β) το σύνολο της παραγόμενης ανανεώσιμης ενέργειας (GWh/έτος) για κάθε έτος, συμπεριλαμβανομένης της κατανομής ανά πηγή ενέργειας·</w:t>
      </w:r>
    </w:p>
    <w:p w:rsidR="008370E1" w:rsidRPr="009E5F03" w:rsidRDefault="008370E1" w:rsidP="008370E1">
      <w:pPr>
        <w:pStyle w:val="Text1"/>
        <w:rPr>
          <w:noProof/>
          <w:highlight w:val="lightGray"/>
        </w:rPr>
      </w:pPr>
      <w:r w:rsidRPr="009E5F03">
        <w:rPr>
          <w:noProof/>
          <w:highlight w:val="lightGray"/>
        </w:rPr>
        <w:t>γ) τους τόνους ισοδυνάμου CO</w:t>
      </w:r>
      <w:r w:rsidRPr="009E5F03">
        <w:rPr>
          <w:noProof/>
          <w:highlight w:val="lightGray"/>
          <w:vertAlign w:val="subscript"/>
        </w:rPr>
        <w:t>2</w:t>
      </w:r>
      <w:r w:rsidRPr="009E5F03">
        <w:rPr>
          <w:noProof/>
          <w:highlight w:val="lightGray"/>
        </w:rPr>
        <w:t xml:space="preserve"> που παράγονται ή αποφεύγονται ετησίως λόγω της λειτουργίας της μονάδας επεξεργασίας αστικών λυμάτων.</w:t>
      </w:r>
    </w:p>
    <w:p w:rsidR="008370E1" w:rsidRPr="009E5F03" w:rsidRDefault="008370E1" w:rsidP="008370E1">
      <w:pPr>
        <w:pStyle w:val="Text1"/>
        <w:ind w:left="0"/>
        <w:rPr>
          <w:noProof/>
          <w:highlight w:val="lightGray"/>
        </w:rPr>
      </w:pPr>
      <w:r w:rsidRPr="009E5F03">
        <w:rPr>
          <w:noProof/>
          <w:highlight w:val="lightGray"/>
        </w:rPr>
        <w:t>9) Συνολικές εκπομπές αερίων θερμοκηπίου (σε τόνους ισοδυνάμου CO</w:t>
      </w:r>
      <w:r w:rsidRPr="009E5F03">
        <w:rPr>
          <w:noProof/>
          <w:highlight w:val="lightGray"/>
          <w:vertAlign w:val="subscript"/>
        </w:rPr>
        <w:t>2</w:t>
      </w:r>
      <w:r w:rsidRPr="009E5F03">
        <w:rPr>
          <w:noProof/>
          <w:highlight w:val="lightGray"/>
        </w:rPr>
        <w:t>) που παράγονται ή αποφεύγονται ετησίως από τη λειτουργία υποδομών συλλογής και επεξεργασίας αστικών λυμάτων σε κάθε οικισμό και, εφόσον υπάρχουν, συνολικές εκπομπές αερίων θερμοκηπίου (σε τόνους ισοδυνάμου CO</w:t>
      </w:r>
      <w:r w:rsidRPr="009E5F03">
        <w:rPr>
          <w:noProof/>
          <w:highlight w:val="lightGray"/>
          <w:vertAlign w:val="subscript"/>
        </w:rPr>
        <w:t>2</w:t>
      </w:r>
      <w:r w:rsidRPr="009E5F03">
        <w:rPr>
          <w:noProof/>
          <w:highlight w:val="lightGray"/>
        </w:rPr>
        <w:t>) που παρήχθησαν κατά την κατασκευή των εν λόγω υποδομών.</w:t>
      </w:r>
    </w:p>
    <w:p w:rsidR="008370E1" w:rsidRPr="009E5F03" w:rsidRDefault="008370E1" w:rsidP="008370E1">
      <w:pPr>
        <w:rPr>
          <w:noProof/>
        </w:rPr>
      </w:pPr>
      <w:r w:rsidRPr="009E5F03">
        <w:rPr>
          <w:noProof/>
          <w:highlight w:val="lightGray"/>
        </w:rPr>
        <w:t xml:space="preserve">10) Συνοπτική παρουσίαση της φύσης και των στατιστικών στοιχείων που αφορούν τις καταγγελίες και τις απαντήσεις που έδωσαν οι φορείς </w:t>
      </w:r>
      <w:r w:rsidR="0056728F">
        <w:rPr>
          <w:noProof/>
          <w:highlight w:val="lightGray"/>
        </w:rPr>
        <w:t>διαχείρισης</w:t>
      </w:r>
      <w:r w:rsidRPr="009E5F03">
        <w:rPr>
          <w:noProof/>
          <w:highlight w:val="lightGray"/>
        </w:rPr>
        <w:t xml:space="preserve"> σταθμών επεξεργασίας αστικών λυμάτων για θέματα που εμπίπτουν στο πεδίο εφαρμογής της παρούσας οδηγίας. </w:t>
      </w:r>
    </w:p>
    <w:p w:rsidR="00515465" w:rsidRPr="009E5F03" w:rsidRDefault="00515465" w:rsidP="00515465">
      <w:pPr>
        <w:rPr>
          <w:noProof/>
        </w:rPr>
      </w:pPr>
    </w:p>
    <w:p w:rsidR="00515465" w:rsidRPr="009E5F03" w:rsidRDefault="00515465" w:rsidP="00515465">
      <w:pPr>
        <w:rPr>
          <w:noProof/>
        </w:rPr>
      </w:pPr>
    </w:p>
    <w:p w:rsidR="00515465" w:rsidRPr="009E5F03" w:rsidRDefault="00515465" w:rsidP="00515465">
      <w:pPr>
        <w:rPr>
          <w:noProof/>
        </w:rPr>
        <w:sectPr w:rsidR="00515465" w:rsidRPr="009E5F03" w:rsidSect="00841019">
          <w:pgSz w:w="11907" w:h="16839"/>
          <w:pgMar w:top="1134" w:right="1417" w:bottom="1134" w:left="1417" w:header="709" w:footer="709" w:gutter="0"/>
          <w:cols w:space="720"/>
          <w:docGrid w:linePitch="360"/>
        </w:sectPr>
      </w:pPr>
    </w:p>
    <w:p w:rsidR="0027630F" w:rsidRPr="009E5F03" w:rsidRDefault="0027630F" w:rsidP="0027630F">
      <w:pPr>
        <w:pStyle w:val="CRSeparator"/>
        <w:rPr>
          <w:noProof/>
        </w:rPr>
      </w:pPr>
    </w:p>
    <w:p w:rsidR="008370E1" w:rsidRPr="009E5F03" w:rsidRDefault="008370E1" w:rsidP="008370E1">
      <w:pPr>
        <w:pStyle w:val="CRReference"/>
        <w:rPr>
          <w:noProof/>
        </w:rPr>
      </w:pPr>
      <w:r w:rsidRPr="009E5F03">
        <w:rPr>
          <w:noProof/>
        </w:rPr>
        <w:fldChar w:fldCharType="begin"/>
      </w:r>
      <w:r w:rsidRPr="009E5F03">
        <w:rPr>
          <w:noProof/>
        </w:rPr>
        <w:instrText xml:space="preserve"> QUOTE "é" </w:instrText>
      </w:r>
      <w:r w:rsidRPr="009E5F03">
        <w:rPr>
          <w:noProof/>
        </w:rPr>
        <w:fldChar w:fldCharType="separate"/>
      </w:r>
      <w:r w:rsidRPr="009E5F03">
        <w:rPr>
          <w:rStyle w:val="CRMarker"/>
          <w:noProof/>
        </w:rPr>
        <w:t>é</w:t>
      </w:r>
      <w:r w:rsidRPr="009E5F03">
        <w:rPr>
          <w:noProof/>
        </w:rPr>
        <w:fldChar w:fldCharType="end"/>
      </w:r>
    </w:p>
    <w:p w:rsidR="00515465" w:rsidRPr="009E5F03" w:rsidRDefault="00515465" w:rsidP="00515465">
      <w:pPr>
        <w:pStyle w:val="Annexetitre"/>
        <w:rPr>
          <w:noProof/>
        </w:rPr>
      </w:pPr>
      <w:r w:rsidRPr="009E5F03">
        <w:rPr>
          <w:noProof/>
        </w:rPr>
        <w:t>ΠΑΡΑΡΤΗΜΑ 7</w:t>
      </w:r>
    </w:p>
    <w:p w:rsidR="008370E1" w:rsidRPr="009E5F03" w:rsidRDefault="008370E1" w:rsidP="008370E1">
      <w:pPr>
        <w:tabs>
          <w:tab w:val="right" w:pos="9600"/>
        </w:tabs>
        <w:suppressAutoHyphens/>
        <w:spacing w:before="0" w:after="240"/>
        <w:jc w:val="center"/>
        <w:rPr>
          <w:rFonts w:eastAsia="Times New Roman"/>
          <w:noProof/>
          <w:szCs w:val="20"/>
        </w:rPr>
      </w:pPr>
      <w:r w:rsidRPr="009E5F03">
        <w:rPr>
          <w:noProof/>
        </w:rPr>
        <w:t>Μέρος A</w:t>
      </w:r>
    </w:p>
    <w:p w:rsidR="008370E1" w:rsidRPr="009E5F03" w:rsidRDefault="008370E1" w:rsidP="008370E1">
      <w:pPr>
        <w:tabs>
          <w:tab w:val="left" w:pos="-720"/>
          <w:tab w:val="center" w:pos="7344"/>
        </w:tabs>
        <w:suppressAutoHyphens/>
        <w:spacing w:before="0" w:after="240"/>
        <w:jc w:val="center"/>
        <w:rPr>
          <w:rFonts w:eastAsia="Times New Roman"/>
          <w:noProof/>
          <w:szCs w:val="20"/>
        </w:rPr>
      </w:pPr>
      <w:r w:rsidRPr="009E5F03">
        <w:rPr>
          <w:noProof/>
        </w:rPr>
        <w:t xml:space="preserve">Καταργούμενη οδηγία </w:t>
      </w:r>
      <w:r w:rsidRPr="009E5F03">
        <w:rPr>
          <w:noProof/>
        </w:rPr>
        <w:br/>
        <w:t xml:space="preserve">με κατάλογο των διαδοχικών τροποποιήσεών της </w:t>
      </w:r>
      <w:r w:rsidRPr="009E5F03">
        <w:rPr>
          <w:noProof/>
        </w:rPr>
        <w:br/>
        <w:t>(αναφέρεται στο άρθρο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9"/>
      </w:tblGrid>
      <w:tr w:rsidR="008370E1" w:rsidRPr="009E5F03" w:rsidTr="00E02907">
        <w:trPr>
          <w:jc w:val="center"/>
        </w:trPr>
        <w:tc>
          <w:tcPr>
            <w:tcW w:w="4658" w:type="dxa"/>
          </w:tcPr>
          <w:p w:rsidR="008370E1" w:rsidRPr="009E5F03" w:rsidRDefault="008370E1" w:rsidP="00E02907">
            <w:pPr>
              <w:tabs>
                <w:tab w:val="right" w:pos="9600"/>
              </w:tabs>
              <w:suppressAutoHyphens/>
              <w:spacing w:before="0" w:after="240"/>
              <w:ind w:left="284"/>
              <w:jc w:val="left"/>
              <w:rPr>
                <w:rFonts w:eastAsia="Times New Roman"/>
                <w:noProof/>
                <w:szCs w:val="20"/>
              </w:rPr>
            </w:pPr>
            <w:r w:rsidRPr="009E5F03">
              <w:rPr>
                <w:noProof/>
              </w:rPr>
              <w:t xml:space="preserve">Οδηγία 91/271/ΕΟΚ του Συμβουλίου </w:t>
            </w:r>
            <w:r w:rsidRPr="009E5F03">
              <w:rPr>
                <w:noProof/>
              </w:rPr>
              <w:br/>
              <w:t>(ΕΕ L 135 της 30.5.1991, σ. 40)</w:t>
            </w:r>
          </w:p>
        </w:tc>
        <w:tc>
          <w:tcPr>
            <w:tcW w:w="4629" w:type="dxa"/>
          </w:tcPr>
          <w:p w:rsidR="008370E1" w:rsidRPr="009E5F03" w:rsidRDefault="008370E1" w:rsidP="00E02907">
            <w:pPr>
              <w:tabs>
                <w:tab w:val="right" w:pos="9600"/>
              </w:tabs>
              <w:suppressAutoHyphens/>
              <w:spacing w:before="0" w:after="240"/>
              <w:ind w:left="176"/>
              <w:jc w:val="left"/>
              <w:rPr>
                <w:rFonts w:eastAsia="Times New Roman"/>
                <w:noProof/>
                <w:szCs w:val="20"/>
              </w:rPr>
            </w:pPr>
          </w:p>
        </w:tc>
      </w:tr>
      <w:tr w:rsidR="008370E1" w:rsidRPr="009E5F03" w:rsidTr="00E02907">
        <w:trPr>
          <w:jc w:val="center"/>
        </w:trPr>
        <w:tc>
          <w:tcPr>
            <w:tcW w:w="4658" w:type="dxa"/>
          </w:tcPr>
          <w:p w:rsidR="008370E1" w:rsidRPr="009E5F03" w:rsidRDefault="008370E1" w:rsidP="00E02907">
            <w:pPr>
              <w:tabs>
                <w:tab w:val="right" w:pos="9600"/>
              </w:tabs>
              <w:suppressAutoHyphens/>
              <w:spacing w:before="0" w:after="240"/>
              <w:ind w:left="709"/>
              <w:jc w:val="left"/>
              <w:rPr>
                <w:rFonts w:eastAsia="Times New Roman"/>
                <w:noProof/>
                <w:szCs w:val="20"/>
              </w:rPr>
            </w:pPr>
            <w:r w:rsidRPr="009E5F03">
              <w:rPr>
                <w:noProof/>
              </w:rPr>
              <w:t xml:space="preserve">Οδηγία 98/15/ΕΚ της Επιτροπής </w:t>
            </w:r>
            <w:r w:rsidRPr="009E5F03">
              <w:rPr>
                <w:noProof/>
              </w:rPr>
              <w:br/>
              <w:t>(ΕΕ L 67 της 7.3.1998, σ. 29)</w:t>
            </w:r>
          </w:p>
        </w:tc>
        <w:tc>
          <w:tcPr>
            <w:tcW w:w="4629" w:type="dxa"/>
          </w:tcPr>
          <w:p w:rsidR="008370E1" w:rsidRPr="009E5F03" w:rsidRDefault="008370E1" w:rsidP="00E02907">
            <w:pPr>
              <w:tabs>
                <w:tab w:val="right" w:pos="9600"/>
              </w:tabs>
              <w:suppressAutoHyphens/>
              <w:spacing w:before="0" w:after="240"/>
              <w:ind w:left="165"/>
              <w:jc w:val="left"/>
              <w:rPr>
                <w:rFonts w:eastAsia="Times New Roman"/>
                <w:noProof/>
                <w:szCs w:val="20"/>
              </w:rPr>
            </w:pPr>
          </w:p>
        </w:tc>
      </w:tr>
      <w:tr w:rsidR="008370E1" w:rsidRPr="009E5F03" w:rsidTr="00E02907">
        <w:trPr>
          <w:jc w:val="center"/>
        </w:trPr>
        <w:tc>
          <w:tcPr>
            <w:tcW w:w="4658" w:type="dxa"/>
          </w:tcPr>
          <w:p w:rsidR="008370E1" w:rsidRPr="009E5F03" w:rsidRDefault="008370E1" w:rsidP="00E02907">
            <w:pPr>
              <w:tabs>
                <w:tab w:val="right" w:pos="9600"/>
              </w:tabs>
              <w:suppressAutoHyphens/>
              <w:spacing w:before="0" w:after="240"/>
              <w:ind w:left="709"/>
              <w:jc w:val="left"/>
              <w:rPr>
                <w:rFonts w:eastAsia="Times New Roman"/>
                <w:noProof/>
                <w:szCs w:val="20"/>
              </w:rPr>
            </w:pPr>
            <w:r w:rsidRPr="009E5F03">
              <w:rPr>
                <w:noProof/>
              </w:rPr>
              <w:t xml:space="preserve">Κανονισμός (ΕΚ) αριθ. 1882/2003 του Ευρωπαϊκού Κοινοβουλίου και του Συμβουλίου </w:t>
            </w:r>
            <w:r w:rsidRPr="009E5F03">
              <w:rPr>
                <w:noProof/>
              </w:rPr>
              <w:br/>
              <w:t>(ΕΕ L 284 της 31.10.2003, σ. 1)</w:t>
            </w:r>
          </w:p>
        </w:tc>
        <w:tc>
          <w:tcPr>
            <w:tcW w:w="4629" w:type="dxa"/>
          </w:tcPr>
          <w:p w:rsidR="008370E1" w:rsidRPr="009E5F03" w:rsidRDefault="008370E1" w:rsidP="00E02907">
            <w:pPr>
              <w:tabs>
                <w:tab w:val="right" w:pos="9600"/>
              </w:tabs>
              <w:suppressAutoHyphens/>
              <w:spacing w:before="0" w:after="240"/>
              <w:ind w:left="165"/>
              <w:jc w:val="left"/>
              <w:rPr>
                <w:rFonts w:eastAsia="Times New Roman"/>
                <w:noProof/>
                <w:szCs w:val="20"/>
              </w:rPr>
            </w:pPr>
            <w:r w:rsidRPr="009E5F03">
              <w:rPr>
                <w:noProof/>
              </w:rPr>
              <w:t>μόνο το παράρτημα III σημείο 21</w:t>
            </w:r>
          </w:p>
        </w:tc>
      </w:tr>
      <w:tr w:rsidR="008370E1" w:rsidRPr="009E5F03" w:rsidTr="00E02907">
        <w:trPr>
          <w:jc w:val="center"/>
        </w:trPr>
        <w:tc>
          <w:tcPr>
            <w:tcW w:w="4658" w:type="dxa"/>
          </w:tcPr>
          <w:p w:rsidR="008370E1" w:rsidRPr="009E5F03" w:rsidRDefault="008370E1" w:rsidP="00E02907">
            <w:pPr>
              <w:tabs>
                <w:tab w:val="right" w:pos="9600"/>
              </w:tabs>
              <w:suppressAutoHyphens/>
              <w:spacing w:before="0" w:after="240"/>
              <w:ind w:left="709"/>
              <w:jc w:val="left"/>
              <w:rPr>
                <w:rFonts w:eastAsia="Times New Roman"/>
                <w:noProof/>
                <w:szCs w:val="20"/>
              </w:rPr>
            </w:pPr>
            <w:r w:rsidRPr="009E5F03">
              <w:rPr>
                <w:noProof/>
              </w:rPr>
              <w:t xml:space="preserve">Κανονισμός (ΕΚ) αριθ. 1137/2008 του Ευρωπαϊκού Κοινοβουλίου και του Συμβουλίου </w:t>
            </w:r>
            <w:r w:rsidRPr="009E5F03">
              <w:rPr>
                <w:noProof/>
              </w:rPr>
              <w:br/>
              <w:t>(ΕΕ L 311 της 21.11.2008, σ. 1)</w:t>
            </w:r>
          </w:p>
        </w:tc>
        <w:tc>
          <w:tcPr>
            <w:tcW w:w="4629" w:type="dxa"/>
          </w:tcPr>
          <w:p w:rsidR="008370E1" w:rsidRPr="009E5F03" w:rsidRDefault="0056728F" w:rsidP="0056728F">
            <w:pPr>
              <w:tabs>
                <w:tab w:val="right" w:pos="9600"/>
              </w:tabs>
              <w:suppressAutoHyphens/>
              <w:spacing w:before="0" w:after="240"/>
              <w:ind w:left="165"/>
              <w:jc w:val="left"/>
              <w:rPr>
                <w:rFonts w:eastAsia="Times New Roman"/>
                <w:noProof/>
              </w:rPr>
            </w:pPr>
            <w:r>
              <w:rPr>
                <w:noProof/>
              </w:rPr>
              <w:t>μ</w:t>
            </w:r>
            <w:r w:rsidR="008370E1" w:rsidRPr="009E5F03">
              <w:rPr>
                <w:noProof/>
              </w:rPr>
              <w:t>όνον το παράρτημα, σημείο 4</w:t>
            </w:r>
            <w:r>
              <w:rPr>
                <w:noProof/>
              </w:rPr>
              <w:t>.</w:t>
            </w:r>
            <w:r w:rsidR="008370E1" w:rsidRPr="009E5F03">
              <w:rPr>
                <w:noProof/>
              </w:rPr>
              <w:t>2</w:t>
            </w:r>
          </w:p>
        </w:tc>
      </w:tr>
      <w:tr w:rsidR="008370E1" w:rsidRPr="009E5F03" w:rsidTr="00E02907">
        <w:trPr>
          <w:jc w:val="center"/>
        </w:trPr>
        <w:tc>
          <w:tcPr>
            <w:tcW w:w="4658" w:type="dxa"/>
          </w:tcPr>
          <w:p w:rsidR="008370E1" w:rsidRPr="009E5F03" w:rsidRDefault="008370E1" w:rsidP="00E02907">
            <w:pPr>
              <w:tabs>
                <w:tab w:val="right" w:pos="9600"/>
              </w:tabs>
              <w:suppressAutoHyphens/>
              <w:spacing w:before="0" w:after="240"/>
              <w:ind w:left="709"/>
              <w:jc w:val="left"/>
              <w:rPr>
                <w:rFonts w:eastAsia="Times New Roman"/>
                <w:noProof/>
                <w:szCs w:val="20"/>
              </w:rPr>
            </w:pPr>
            <w:r w:rsidRPr="009E5F03">
              <w:rPr>
                <w:noProof/>
              </w:rPr>
              <w:t xml:space="preserve">Οδηγία 2013/64/ΕΕ του Συμβουλίου </w:t>
            </w:r>
            <w:r w:rsidRPr="009E5F03">
              <w:rPr>
                <w:noProof/>
              </w:rPr>
              <w:br/>
              <w:t>(ΕΕ L 353 της 28.12.2013, σ. 8)</w:t>
            </w:r>
          </w:p>
        </w:tc>
        <w:tc>
          <w:tcPr>
            <w:tcW w:w="4629" w:type="dxa"/>
          </w:tcPr>
          <w:p w:rsidR="008370E1" w:rsidRPr="009E5F03" w:rsidRDefault="008370E1" w:rsidP="00E02907">
            <w:pPr>
              <w:tabs>
                <w:tab w:val="right" w:pos="9600"/>
              </w:tabs>
              <w:suppressAutoHyphens/>
              <w:spacing w:before="0" w:after="240"/>
              <w:ind w:left="165"/>
              <w:jc w:val="left"/>
              <w:rPr>
                <w:rFonts w:eastAsia="Times New Roman"/>
                <w:noProof/>
              </w:rPr>
            </w:pPr>
            <w:r w:rsidRPr="009E5F03">
              <w:rPr>
                <w:noProof/>
              </w:rPr>
              <w:t>μόνο το άρθρο 1</w:t>
            </w:r>
          </w:p>
        </w:tc>
      </w:tr>
    </w:tbl>
    <w:p w:rsidR="008370E1" w:rsidRPr="009E5F03" w:rsidRDefault="008370E1" w:rsidP="008370E1">
      <w:pPr>
        <w:keepNext/>
        <w:tabs>
          <w:tab w:val="right" w:pos="9600"/>
        </w:tabs>
        <w:suppressAutoHyphens/>
        <w:spacing w:before="0" w:after="240"/>
        <w:jc w:val="center"/>
        <w:outlineLvl w:val="0"/>
        <w:rPr>
          <w:rFonts w:eastAsia="Times New Roman"/>
          <w:noProof/>
          <w:szCs w:val="20"/>
        </w:rPr>
      </w:pPr>
      <w:r w:rsidRPr="009E5F03">
        <w:rPr>
          <w:noProof/>
        </w:rPr>
        <w:t>Μέρος Β</w:t>
      </w:r>
    </w:p>
    <w:p w:rsidR="008370E1" w:rsidRPr="009E5F03" w:rsidRDefault="008370E1" w:rsidP="008370E1">
      <w:pPr>
        <w:widowControl w:val="0"/>
        <w:spacing w:before="0" w:after="240"/>
        <w:jc w:val="center"/>
        <w:rPr>
          <w:rFonts w:eastAsia="Times New Roman"/>
          <w:noProof/>
        </w:rPr>
      </w:pPr>
      <w:r w:rsidRPr="009E5F03">
        <w:rPr>
          <w:noProof/>
        </w:rPr>
        <w:t>Προθεσμίες μεταφοράς στο εθνικό δίκαιο</w:t>
      </w:r>
    </w:p>
    <w:tbl>
      <w:tblPr>
        <w:tblW w:w="0" w:type="auto"/>
        <w:jc w:val="center"/>
        <w:tblLook w:val="01E0" w:firstRow="1" w:lastRow="1" w:firstColumn="1" w:lastColumn="1" w:noHBand="0" w:noVBand="0"/>
      </w:tblPr>
      <w:tblGrid>
        <w:gridCol w:w="2810"/>
        <w:gridCol w:w="3376"/>
      </w:tblGrid>
      <w:tr w:rsidR="008370E1" w:rsidRPr="009E5F03" w:rsidTr="0056728F">
        <w:trPr>
          <w:jc w:val="center"/>
        </w:trPr>
        <w:tc>
          <w:tcPr>
            <w:tcW w:w="2810" w:type="dxa"/>
            <w:tcBorders>
              <w:top w:val="single" w:sz="4" w:space="0" w:color="auto"/>
              <w:bottom w:val="single" w:sz="4" w:space="0" w:color="auto"/>
              <w:right w:val="single" w:sz="4" w:space="0" w:color="auto"/>
            </w:tcBorders>
          </w:tcPr>
          <w:p w:rsidR="008370E1" w:rsidRPr="009E5F03" w:rsidRDefault="008370E1" w:rsidP="00E02907">
            <w:pPr>
              <w:widowControl w:val="0"/>
              <w:tabs>
                <w:tab w:val="right" w:pos="9600"/>
              </w:tabs>
              <w:suppressAutoHyphens/>
              <w:jc w:val="center"/>
              <w:rPr>
                <w:rFonts w:eastAsia="Times New Roman"/>
                <w:noProof/>
              </w:rPr>
            </w:pPr>
            <w:r w:rsidRPr="009E5F03">
              <w:rPr>
                <w:noProof/>
              </w:rPr>
              <w:t>Οδηγία</w:t>
            </w:r>
          </w:p>
        </w:tc>
        <w:tc>
          <w:tcPr>
            <w:tcW w:w="3376" w:type="dxa"/>
            <w:tcBorders>
              <w:top w:val="single" w:sz="4" w:space="0" w:color="auto"/>
              <w:left w:val="single" w:sz="4" w:space="0" w:color="auto"/>
              <w:bottom w:val="single" w:sz="4" w:space="0" w:color="auto"/>
            </w:tcBorders>
          </w:tcPr>
          <w:p w:rsidR="008370E1" w:rsidRPr="009E5F03" w:rsidRDefault="008370E1" w:rsidP="00E02907">
            <w:pPr>
              <w:widowControl w:val="0"/>
              <w:tabs>
                <w:tab w:val="right" w:pos="9600"/>
              </w:tabs>
              <w:suppressAutoHyphens/>
              <w:jc w:val="center"/>
              <w:rPr>
                <w:rFonts w:eastAsia="Times New Roman"/>
                <w:noProof/>
              </w:rPr>
            </w:pPr>
            <w:r w:rsidRPr="009E5F03">
              <w:rPr>
                <w:noProof/>
              </w:rPr>
              <w:t>Λήξη προθεσμίας μεταφοράς στο εθνικό δίκαιο</w:t>
            </w:r>
          </w:p>
        </w:tc>
      </w:tr>
      <w:tr w:rsidR="008370E1" w:rsidRPr="009E5F03" w:rsidTr="0056728F">
        <w:trPr>
          <w:jc w:val="center"/>
        </w:trPr>
        <w:tc>
          <w:tcPr>
            <w:tcW w:w="2810" w:type="dxa"/>
            <w:tcBorders>
              <w:right w:val="single" w:sz="4" w:space="0" w:color="auto"/>
            </w:tcBorders>
          </w:tcPr>
          <w:p w:rsidR="008370E1" w:rsidRPr="009E5F03" w:rsidRDefault="008370E1" w:rsidP="00E02907">
            <w:pPr>
              <w:widowControl w:val="0"/>
              <w:tabs>
                <w:tab w:val="right" w:pos="9600"/>
              </w:tabs>
              <w:suppressAutoHyphens/>
              <w:jc w:val="center"/>
              <w:rPr>
                <w:rFonts w:eastAsia="Times New Roman"/>
                <w:noProof/>
              </w:rPr>
            </w:pPr>
            <w:r w:rsidRPr="009E5F03">
              <w:rPr>
                <w:noProof/>
              </w:rPr>
              <w:t>91/271/ΕΚ</w:t>
            </w:r>
          </w:p>
        </w:tc>
        <w:tc>
          <w:tcPr>
            <w:tcW w:w="3376" w:type="dxa"/>
            <w:tcBorders>
              <w:left w:val="single" w:sz="4" w:space="0" w:color="auto"/>
            </w:tcBorders>
          </w:tcPr>
          <w:p w:rsidR="008370E1" w:rsidRPr="009E5F03" w:rsidRDefault="008370E1" w:rsidP="00E02907">
            <w:pPr>
              <w:widowControl w:val="0"/>
              <w:tabs>
                <w:tab w:val="right" w:pos="9600"/>
              </w:tabs>
              <w:suppressAutoHyphens/>
              <w:jc w:val="center"/>
              <w:rPr>
                <w:rFonts w:eastAsia="Times New Roman"/>
                <w:noProof/>
              </w:rPr>
            </w:pPr>
            <w:r w:rsidRPr="009E5F03">
              <w:rPr>
                <w:noProof/>
              </w:rPr>
              <w:t>30 Ιουνίου 1993</w:t>
            </w:r>
          </w:p>
        </w:tc>
      </w:tr>
      <w:tr w:rsidR="008370E1" w:rsidRPr="009E5F03" w:rsidTr="0056728F">
        <w:trPr>
          <w:jc w:val="center"/>
        </w:trPr>
        <w:tc>
          <w:tcPr>
            <w:tcW w:w="2810" w:type="dxa"/>
            <w:tcBorders>
              <w:right w:val="single" w:sz="4" w:space="0" w:color="auto"/>
            </w:tcBorders>
          </w:tcPr>
          <w:p w:rsidR="008370E1" w:rsidRPr="009E5F03" w:rsidRDefault="008370E1" w:rsidP="00E02907">
            <w:pPr>
              <w:widowControl w:val="0"/>
              <w:tabs>
                <w:tab w:val="right" w:pos="9600"/>
              </w:tabs>
              <w:suppressAutoHyphens/>
              <w:jc w:val="center"/>
              <w:rPr>
                <w:noProof/>
              </w:rPr>
            </w:pPr>
            <w:r w:rsidRPr="009E5F03">
              <w:rPr>
                <w:noProof/>
                <w:shd w:val="clear" w:color="auto" w:fill="FFFFFF"/>
              </w:rPr>
              <w:t>98/15/ΕΚ</w:t>
            </w:r>
          </w:p>
        </w:tc>
        <w:tc>
          <w:tcPr>
            <w:tcW w:w="3376" w:type="dxa"/>
            <w:tcBorders>
              <w:left w:val="single" w:sz="4" w:space="0" w:color="auto"/>
            </w:tcBorders>
          </w:tcPr>
          <w:p w:rsidR="008370E1" w:rsidRPr="009E5F03" w:rsidRDefault="008370E1" w:rsidP="00E02907">
            <w:pPr>
              <w:widowControl w:val="0"/>
              <w:tabs>
                <w:tab w:val="right" w:pos="9600"/>
              </w:tabs>
              <w:suppressAutoHyphens/>
              <w:jc w:val="center"/>
              <w:rPr>
                <w:noProof/>
              </w:rPr>
            </w:pPr>
            <w:r w:rsidRPr="009E5F03">
              <w:rPr>
                <w:noProof/>
                <w:shd w:val="clear" w:color="auto" w:fill="FFFFFF"/>
              </w:rPr>
              <w:t>30 Σεπτεμβρίου 1998</w:t>
            </w:r>
          </w:p>
        </w:tc>
      </w:tr>
      <w:tr w:rsidR="008370E1" w:rsidRPr="009E5F03" w:rsidTr="0056728F">
        <w:trPr>
          <w:jc w:val="center"/>
        </w:trPr>
        <w:tc>
          <w:tcPr>
            <w:tcW w:w="2810" w:type="dxa"/>
            <w:tcBorders>
              <w:right w:val="single" w:sz="4" w:space="0" w:color="auto"/>
            </w:tcBorders>
          </w:tcPr>
          <w:p w:rsidR="008370E1" w:rsidRPr="009E5F03" w:rsidRDefault="008370E1" w:rsidP="00E02907">
            <w:pPr>
              <w:widowControl w:val="0"/>
              <w:tabs>
                <w:tab w:val="right" w:pos="9600"/>
              </w:tabs>
              <w:suppressAutoHyphens/>
              <w:jc w:val="center"/>
              <w:rPr>
                <w:noProof/>
                <w:shd w:val="clear" w:color="auto" w:fill="FFFFFF"/>
              </w:rPr>
            </w:pPr>
            <w:r w:rsidRPr="009E5F03">
              <w:rPr>
                <w:noProof/>
              </w:rPr>
              <w:t>2013/64/ΕΕ</w:t>
            </w:r>
          </w:p>
        </w:tc>
        <w:tc>
          <w:tcPr>
            <w:tcW w:w="3376" w:type="dxa"/>
            <w:tcBorders>
              <w:left w:val="single" w:sz="4" w:space="0" w:color="auto"/>
            </w:tcBorders>
          </w:tcPr>
          <w:p w:rsidR="008370E1" w:rsidRPr="009E5F03" w:rsidRDefault="008370E1" w:rsidP="0056728F">
            <w:pPr>
              <w:widowControl w:val="0"/>
              <w:tabs>
                <w:tab w:val="right" w:pos="9600"/>
              </w:tabs>
              <w:suppressAutoHyphens/>
              <w:jc w:val="center"/>
              <w:rPr>
                <w:noProof/>
                <w:shd w:val="clear" w:color="auto" w:fill="FFFFFF"/>
              </w:rPr>
            </w:pPr>
            <w:r w:rsidRPr="009E5F03">
              <w:rPr>
                <w:noProof/>
                <w:shd w:val="clear" w:color="auto" w:fill="FFFFFF"/>
              </w:rPr>
              <w:t>31 Δεκεμβρίου 2018 για το άρθρο</w:t>
            </w:r>
            <w:r w:rsidR="0056728F">
              <w:rPr>
                <w:noProof/>
                <w:shd w:val="clear" w:color="auto" w:fill="FFFFFF"/>
              </w:rPr>
              <w:t> </w:t>
            </w:r>
            <w:r w:rsidRPr="009E5F03">
              <w:rPr>
                <w:noProof/>
                <w:shd w:val="clear" w:color="auto" w:fill="FFFFFF"/>
              </w:rPr>
              <w:t>1 παράγραφοι</w:t>
            </w:r>
            <w:r w:rsidR="0056728F">
              <w:rPr>
                <w:noProof/>
                <w:shd w:val="clear" w:color="auto" w:fill="FFFFFF"/>
              </w:rPr>
              <w:t> </w:t>
            </w:r>
            <w:r w:rsidRPr="009E5F03">
              <w:rPr>
                <w:noProof/>
                <w:shd w:val="clear" w:color="auto" w:fill="FFFFFF"/>
              </w:rPr>
              <w:t>1, 2 και</w:t>
            </w:r>
            <w:r w:rsidR="0056728F">
              <w:rPr>
                <w:noProof/>
                <w:shd w:val="clear" w:color="auto" w:fill="FFFFFF"/>
              </w:rPr>
              <w:t> </w:t>
            </w:r>
            <w:r w:rsidRPr="009E5F03">
              <w:rPr>
                <w:noProof/>
                <w:shd w:val="clear" w:color="auto" w:fill="FFFFFF"/>
              </w:rPr>
              <w:t>3</w:t>
            </w:r>
            <w:r w:rsidRPr="009E5F03">
              <w:rPr>
                <w:noProof/>
              </w:rPr>
              <w:t xml:space="preserve"> </w:t>
            </w:r>
            <w:r w:rsidRPr="009E5F03">
              <w:rPr>
                <w:noProof/>
              </w:rPr>
              <w:br/>
            </w:r>
            <w:r w:rsidRPr="009E5F03">
              <w:rPr>
                <w:noProof/>
                <w:shd w:val="clear" w:color="auto" w:fill="FFFFFF"/>
              </w:rPr>
              <w:t>30 Ιουνίου 2014 για το άρθρο</w:t>
            </w:r>
            <w:r w:rsidR="0056728F">
              <w:rPr>
                <w:noProof/>
                <w:shd w:val="clear" w:color="auto" w:fill="FFFFFF"/>
              </w:rPr>
              <w:t> </w:t>
            </w:r>
            <w:r w:rsidRPr="009E5F03">
              <w:rPr>
                <w:noProof/>
                <w:shd w:val="clear" w:color="auto" w:fill="FFFFFF"/>
              </w:rPr>
              <w:t>1 παράγραφος</w:t>
            </w:r>
            <w:r w:rsidR="0056728F">
              <w:rPr>
                <w:noProof/>
                <w:shd w:val="clear" w:color="auto" w:fill="FFFFFF"/>
              </w:rPr>
              <w:t> </w:t>
            </w:r>
            <w:r w:rsidRPr="009E5F03">
              <w:rPr>
                <w:noProof/>
                <w:shd w:val="clear" w:color="auto" w:fill="FFFFFF"/>
              </w:rPr>
              <w:t>5 στοιχείο</w:t>
            </w:r>
            <w:r w:rsidR="0056728F">
              <w:rPr>
                <w:noProof/>
                <w:shd w:val="clear" w:color="auto" w:fill="FFFFFF"/>
              </w:rPr>
              <w:t> </w:t>
            </w:r>
            <w:r w:rsidRPr="009E5F03">
              <w:rPr>
                <w:noProof/>
                <w:shd w:val="clear" w:color="auto" w:fill="FFFFFF"/>
              </w:rPr>
              <w:t>α)</w:t>
            </w:r>
            <w:r w:rsidRPr="009E5F03">
              <w:rPr>
                <w:noProof/>
              </w:rPr>
              <w:t xml:space="preserve"> </w:t>
            </w:r>
            <w:r w:rsidRPr="009E5F03">
              <w:rPr>
                <w:noProof/>
              </w:rPr>
              <w:br/>
            </w:r>
            <w:r w:rsidRPr="009E5F03">
              <w:rPr>
                <w:noProof/>
                <w:shd w:val="clear" w:color="auto" w:fill="FFFFFF"/>
              </w:rPr>
              <w:t>31 Δεκεμβρίου 2014 για το άρθρο 1 παράγραφος 5 στοιχείο</w:t>
            </w:r>
            <w:r w:rsidR="0056728F">
              <w:rPr>
                <w:noProof/>
                <w:shd w:val="clear" w:color="auto" w:fill="FFFFFF"/>
              </w:rPr>
              <w:t> </w:t>
            </w:r>
            <w:r w:rsidRPr="009E5F03">
              <w:rPr>
                <w:noProof/>
                <w:shd w:val="clear" w:color="auto" w:fill="FFFFFF"/>
              </w:rPr>
              <w:t>β)</w:t>
            </w:r>
          </w:p>
        </w:tc>
      </w:tr>
    </w:tbl>
    <w:p w:rsidR="00515465" w:rsidRPr="009E5F03" w:rsidRDefault="008370E1" w:rsidP="00515465">
      <w:pPr>
        <w:rPr>
          <w:noProof/>
        </w:rPr>
      </w:pPr>
      <w:r w:rsidRPr="009E5F03">
        <w:rPr>
          <w:noProof/>
        </w:rPr>
        <w:t>____________</w:t>
      </w:r>
    </w:p>
    <w:p w:rsidR="00515465" w:rsidRPr="009E5F03" w:rsidRDefault="00515465" w:rsidP="00515465">
      <w:pPr>
        <w:rPr>
          <w:noProof/>
        </w:rPr>
      </w:pPr>
    </w:p>
    <w:p w:rsidR="00515465" w:rsidRPr="009E5F03" w:rsidRDefault="00515465" w:rsidP="00515465">
      <w:pPr>
        <w:rPr>
          <w:noProof/>
        </w:rPr>
        <w:sectPr w:rsidR="00515465" w:rsidRPr="009E5F03" w:rsidSect="00841019">
          <w:pgSz w:w="11907" w:h="16839"/>
          <w:pgMar w:top="1134" w:right="1417" w:bottom="1134" w:left="1417" w:header="709" w:footer="709" w:gutter="0"/>
          <w:cols w:space="720"/>
          <w:docGrid w:linePitch="360"/>
        </w:sectPr>
      </w:pPr>
    </w:p>
    <w:p w:rsidR="00515465" w:rsidRPr="009E5F03" w:rsidRDefault="00515465" w:rsidP="00515465">
      <w:pPr>
        <w:pStyle w:val="Annexetitre"/>
        <w:rPr>
          <w:noProof/>
        </w:rPr>
      </w:pPr>
      <w:r w:rsidRPr="009E5F03">
        <w:rPr>
          <w:noProof/>
        </w:rPr>
        <w:t>ΠΑΡΑΡΤΗΜΑ 8</w:t>
      </w:r>
    </w:p>
    <w:p w:rsidR="008370E1" w:rsidRPr="009E5F03" w:rsidRDefault="008370E1" w:rsidP="008370E1">
      <w:pPr>
        <w:keepNext/>
        <w:spacing w:before="360"/>
        <w:jc w:val="center"/>
        <w:outlineLvl w:val="0"/>
        <w:rPr>
          <w:rFonts w:eastAsia="Times New Roman"/>
          <w:b/>
          <w:smallCaps/>
          <w:noProof/>
          <w:szCs w:val="20"/>
        </w:rPr>
      </w:pPr>
      <w:r w:rsidRPr="009E5F03">
        <w:rPr>
          <w:b/>
          <w:smallCaps/>
          <w:noProof/>
        </w:rPr>
        <w:t>Πίνακας αντιστοιχίας</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rsidR="008370E1" w:rsidRPr="009E5F03" w:rsidTr="00E02907">
        <w:tc>
          <w:tcPr>
            <w:tcW w:w="4674" w:type="dxa"/>
            <w:tcBorders>
              <w:left w:val="nil"/>
            </w:tcBorders>
          </w:tcPr>
          <w:p w:rsidR="008370E1" w:rsidRPr="009E5F03" w:rsidRDefault="008370E1" w:rsidP="00E02907">
            <w:pPr>
              <w:jc w:val="center"/>
              <w:rPr>
                <w:rFonts w:eastAsia="Times New Roman"/>
                <w:noProof/>
              </w:rPr>
            </w:pPr>
            <w:r w:rsidRPr="009E5F03">
              <w:rPr>
                <w:noProof/>
              </w:rPr>
              <w:t>Οδηγία 91/271/ΕΚ</w:t>
            </w:r>
          </w:p>
        </w:tc>
        <w:tc>
          <w:tcPr>
            <w:tcW w:w="4674" w:type="dxa"/>
            <w:tcBorders>
              <w:right w:val="nil"/>
            </w:tcBorders>
          </w:tcPr>
          <w:p w:rsidR="008370E1" w:rsidRPr="009E5F03" w:rsidRDefault="008370E1" w:rsidP="00E02907">
            <w:pPr>
              <w:jc w:val="center"/>
              <w:rPr>
                <w:rFonts w:eastAsia="Times New Roman"/>
                <w:noProof/>
              </w:rPr>
            </w:pPr>
            <w:r w:rsidRPr="009E5F03">
              <w:rPr>
                <w:noProof/>
              </w:rPr>
              <w:t>Παρούσα οδηγία</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Άρθρο 1</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1</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Άρθρο 2 εισαγωγική φράση</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2 εισαγωγική φράση</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Άρθρο 2 σημεία 1 έως 4</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2 σημεία 1 έως 4</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2 σημεία 5 και 6</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Άρθρο 2 σημείο 5</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2 σημείο 7</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2 σημεία 8 και 9</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Άρθρο 2 σημείο 6</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Άρθρο 2 σημείο 10</w:t>
            </w:r>
          </w:p>
        </w:tc>
      </w:tr>
      <w:tr w:rsidR="008370E1" w:rsidRPr="009E5F03" w:rsidTr="00E02907">
        <w:tc>
          <w:tcPr>
            <w:tcW w:w="4674" w:type="dxa"/>
            <w:tcBorders>
              <w:top w:val="nil"/>
              <w:left w:val="nil"/>
              <w:bottom w:val="nil"/>
            </w:tcBorders>
          </w:tcPr>
          <w:p w:rsidR="008370E1" w:rsidRPr="009E5F03" w:rsidRDefault="00E02907" w:rsidP="00E02907">
            <w:pPr>
              <w:jc w:val="left"/>
              <w:rPr>
                <w:rFonts w:eastAsia="Times New Roman"/>
                <w:noProof/>
              </w:rPr>
            </w:pPr>
            <w:r w:rsidRPr="009E5F03">
              <w:rPr>
                <w:noProof/>
              </w:rPr>
              <w:t>Άρθρο 2 σημείο 8</w:t>
            </w:r>
          </w:p>
          <w:p w:rsidR="00E02907" w:rsidRPr="009E5F03" w:rsidRDefault="00E02907" w:rsidP="00E02907">
            <w:pPr>
              <w:jc w:val="left"/>
              <w:rPr>
                <w:rFonts w:eastAsia="Times New Roman"/>
                <w:noProof/>
              </w:rPr>
            </w:pPr>
            <w:r w:rsidRPr="009E5F03">
              <w:rPr>
                <w:noProof/>
              </w:rPr>
              <w:t>–</w:t>
            </w:r>
          </w:p>
          <w:p w:rsidR="00E02907" w:rsidRPr="009E5F03" w:rsidRDefault="00E02907" w:rsidP="00E02907">
            <w:pPr>
              <w:jc w:val="left"/>
              <w:rPr>
                <w:rFonts w:eastAsia="Times New Roman"/>
                <w:noProof/>
              </w:rPr>
            </w:pPr>
            <w:r w:rsidRPr="009E5F03">
              <w:rPr>
                <w:noProof/>
              </w:rPr>
              <w:t>Άρθρο 2 σημείο 10</w:t>
            </w:r>
          </w:p>
          <w:p w:rsidR="00E02907" w:rsidRPr="009E5F03" w:rsidRDefault="00E02907" w:rsidP="00E02907">
            <w:pPr>
              <w:jc w:val="left"/>
              <w:rPr>
                <w:rFonts w:eastAsia="Times New Roman"/>
                <w:noProof/>
              </w:rPr>
            </w:pPr>
            <w:r w:rsidRPr="009E5F03">
              <w:rPr>
                <w:noProof/>
              </w:rPr>
              <w:t>Άρθρο 2 σημείο 11</w:t>
            </w:r>
          </w:p>
          <w:p w:rsidR="00E02907" w:rsidRPr="009E5F03" w:rsidRDefault="00E02907" w:rsidP="00E02907">
            <w:pPr>
              <w:jc w:val="left"/>
              <w:rPr>
                <w:rFonts w:eastAsia="Times New Roman"/>
                <w:noProof/>
              </w:rPr>
            </w:pPr>
            <w:r w:rsidRPr="009E5F03">
              <w:rPr>
                <w:noProof/>
              </w:rPr>
              <w:t>–</w:t>
            </w:r>
          </w:p>
          <w:p w:rsidR="00E02907" w:rsidRPr="009E5F03" w:rsidRDefault="00E02907" w:rsidP="00E02907">
            <w:pPr>
              <w:jc w:val="left"/>
              <w:rPr>
                <w:rFonts w:eastAsia="Times New Roman"/>
                <w:noProof/>
              </w:rPr>
            </w:pPr>
            <w:r w:rsidRPr="009E5F03">
              <w:rPr>
                <w:noProof/>
              </w:rPr>
              <w:t>Άρθρο 3 παράγραφος 1</w:t>
            </w:r>
          </w:p>
          <w:p w:rsidR="00E02907" w:rsidRPr="009E5F03" w:rsidRDefault="00E02907" w:rsidP="00E02907">
            <w:pPr>
              <w:jc w:val="left"/>
              <w:rPr>
                <w:rFonts w:eastAsia="Times New Roman"/>
                <w:noProof/>
              </w:rPr>
            </w:pPr>
            <w:r w:rsidRPr="009E5F03">
              <w:rPr>
                <w:noProof/>
              </w:rPr>
              <w:t>–</w:t>
            </w:r>
          </w:p>
          <w:p w:rsidR="00E02907" w:rsidRPr="009E5F03" w:rsidRDefault="00E02907" w:rsidP="00E02907">
            <w:pPr>
              <w:jc w:val="left"/>
              <w:rPr>
                <w:rFonts w:eastAsia="Times New Roman"/>
                <w:noProof/>
              </w:rPr>
            </w:pPr>
            <w:r w:rsidRPr="009E5F03">
              <w:rPr>
                <w:noProof/>
              </w:rPr>
              <w:t>Άρθρο 3 παράγραφος 2</w:t>
            </w:r>
          </w:p>
          <w:p w:rsidR="00E02907" w:rsidRPr="009E5F03" w:rsidRDefault="00E02907" w:rsidP="00E02907">
            <w:pPr>
              <w:jc w:val="left"/>
              <w:rPr>
                <w:rFonts w:eastAsia="Times New Roman"/>
                <w:noProof/>
              </w:rPr>
            </w:pPr>
            <w:r w:rsidRPr="009E5F03">
              <w:rPr>
                <w:noProof/>
              </w:rPr>
              <w:t>Άρθρο 3 παράγραφος 1 τρίτο εδάφιο</w:t>
            </w:r>
          </w:p>
          <w:p w:rsidR="00E02907" w:rsidRPr="009E5F03" w:rsidRDefault="00E02907"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Άρθρο 4 παράγραφος 1</w:t>
            </w:r>
          </w:p>
          <w:p w:rsidR="00CB0053" w:rsidRPr="009E5F03" w:rsidRDefault="00CB0053"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w:t>
            </w:r>
          </w:p>
          <w:p w:rsidR="00CB0053" w:rsidRPr="009E5F03" w:rsidRDefault="00CB0053" w:rsidP="00E02907">
            <w:pPr>
              <w:jc w:val="left"/>
              <w:rPr>
                <w:rFonts w:eastAsia="Times New Roman"/>
                <w:noProof/>
              </w:rPr>
            </w:pPr>
            <w:r w:rsidRPr="009E5F03">
              <w:rPr>
                <w:noProof/>
              </w:rPr>
              <w:t>Άρθρο 4 παράγραφος 4</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Άρθρο 5 παράγραφος 2</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Άρθρο 5 παράγραφος 4</w:t>
            </w:r>
          </w:p>
          <w:p w:rsidR="00A31F0A" w:rsidRPr="009E5F03" w:rsidRDefault="00A31F0A" w:rsidP="00E02907">
            <w:pPr>
              <w:jc w:val="left"/>
              <w:rPr>
                <w:rFonts w:eastAsia="Times New Roman"/>
                <w:noProof/>
              </w:rPr>
            </w:pPr>
            <w:r w:rsidRPr="009E5F03">
              <w:rPr>
                <w:noProof/>
              </w:rPr>
              <w:t>Άρθρο 5 παράγραφος 5</w:t>
            </w:r>
          </w:p>
          <w:p w:rsidR="00A31F0A" w:rsidRPr="009E5F03" w:rsidRDefault="00A31F0A" w:rsidP="00E02907">
            <w:pPr>
              <w:jc w:val="left"/>
              <w:rPr>
                <w:rFonts w:eastAsia="Times New Roman"/>
                <w:noProof/>
              </w:rPr>
            </w:pPr>
            <w:r w:rsidRPr="009E5F03">
              <w:rPr>
                <w:noProof/>
              </w:rPr>
              <w:t>Άρθρο 5 παράγραφος 7</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Άρθρο 9</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Άρθρο 10</w:t>
            </w:r>
          </w:p>
          <w:p w:rsidR="00A31F0A" w:rsidRPr="009E5F03" w:rsidRDefault="00A31F0A" w:rsidP="00E02907">
            <w:pPr>
              <w:jc w:val="left"/>
              <w:rPr>
                <w:rFonts w:eastAsia="Times New Roman"/>
                <w:noProof/>
              </w:rPr>
            </w:pPr>
            <w:r w:rsidRPr="009E5F03">
              <w:rPr>
                <w:noProof/>
              </w:rPr>
              <w:t>Άρθρο 11 παράγραφος 1</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w:t>
            </w:r>
          </w:p>
          <w:p w:rsidR="00A31F0A" w:rsidRPr="009E5F03" w:rsidRDefault="00A31F0A" w:rsidP="00E02907">
            <w:pPr>
              <w:jc w:val="left"/>
              <w:rPr>
                <w:rFonts w:eastAsia="Times New Roman"/>
                <w:noProof/>
              </w:rPr>
            </w:pPr>
            <w:r w:rsidRPr="009E5F03">
              <w:rPr>
                <w:noProof/>
              </w:rPr>
              <w:t>Άρθρο 11 παράγραφος 3</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Άρθρο 12 παράγραφος 2</w:t>
            </w:r>
          </w:p>
          <w:p w:rsidR="00D04ED3" w:rsidRPr="009E5F03" w:rsidRDefault="00D04ED3" w:rsidP="00E02907">
            <w:pPr>
              <w:jc w:val="left"/>
              <w:rPr>
                <w:rFonts w:eastAsia="Times New Roman"/>
                <w:noProof/>
              </w:rPr>
            </w:pPr>
            <w:r w:rsidRPr="009E5F03">
              <w:rPr>
                <w:noProof/>
              </w:rPr>
              <w:t>Άρθρο 12 παράγραφος 3</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Άρθρο 15 παράγραφος 1</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Άρθρο 17 παράγραφος 1</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Άρθρο 18</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D04ED3" w:rsidRPr="009E5F03" w:rsidRDefault="00D04ED3" w:rsidP="00E02907">
            <w:pPr>
              <w:jc w:val="left"/>
              <w:rPr>
                <w:rFonts w:eastAsia="Times New Roman"/>
                <w:noProof/>
              </w:rPr>
            </w:pPr>
            <w:r w:rsidRPr="009E5F03">
              <w:rPr>
                <w:noProof/>
              </w:rPr>
              <w:t>–</w:t>
            </w:r>
          </w:p>
          <w:p w:rsidR="00396BEA" w:rsidRPr="009E5F03" w:rsidRDefault="00396BEA" w:rsidP="00E02907">
            <w:pPr>
              <w:jc w:val="left"/>
              <w:rPr>
                <w:rFonts w:eastAsia="Times New Roman"/>
                <w:noProof/>
              </w:rPr>
            </w:pPr>
            <w:r w:rsidRPr="009E5F03">
              <w:rPr>
                <w:noProof/>
              </w:rPr>
              <w:t>Άρθρο 19</w:t>
            </w:r>
          </w:p>
          <w:p w:rsidR="00396BEA" w:rsidRPr="009E5F03" w:rsidRDefault="00396BEA" w:rsidP="00E02907">
            <w:pPr>
              <w:jc w:val="left"/>
              <w:rPr>
                <w:rFonts w:eastAsia="Times New Roman"/>
                <w:noProof/>
              </w:rPr>
            </w:pPr>
            <w:r w:rsidRPr="009E5F03">
              <w:rPr>
                <w:noProof/>
              </w:rPr>
              <w:t>–</w:t>
            </w:r>
          </w:p>
          <w:p w:rsidR="00396BEA" w:rsidRPr="009E5F03" w:rsidRDefault="00396BEA" w:rsidP="00E02907">
            <w:pPr>
              <w:jc w:val="left"/>
              <w:rPr>
                <w:rFonts w:eastAsia="Times New Roman"/>
                <w:noProof/>
              </w:rPr>
            </w:pPr>
            <w:r w:rsidRPr="009E5F03">
              <w:rPr>
                <w:noProof/>
              </w:rPr>
              <w:t>Άρθρο 20</w:t>
            </w:r>
          </w:p>
        </w:tc>
        <w:tc>
          <w:tcPr>
            <w:tcW w:w="4674" w:type="dxa"/>
            <w:tcBorders>
              <w:top w:val="nil"/>
              <w:bottom w:val="nil"/>
              <w:right w:val="nil"/>
            </w:tcBorders>
          </w:tcPr>
          <w:p w:rsidR="008370E1" w:rsidRPr="009E5F03" w:rsidRDefault="00E02907" w:rsidP="00E02907">
            <w:pPr>
              <w:jc w:val="left"/>
              <w:rPr>
                <w:rFonts w:eastAsia="Times New Roman"/>
                <w:noProof/>
              </w:rPr>
            </w:pPr>
            <w:r w:rsidRPr="009E5F03">
              <w:rPr>
                <w:noProof/>
              </w:rPr>
              <w:t>Άρθρο 2 σημείο 11</w:t>
            </w:r>
          </w:p>
          <w:p w:rsidR="00E02907" w:rsidRPr="009E5F03" w:rsidRDefault="00E02907" w:rsidP="00E02907">
            <w:pPr>
              <w:jc w:val="left"/>
              <w:rPr>
                <w:rFonts w:eastAsia="Times New Roman"/>
                <w:noProof/>
              </w:rPr>
            </w:pPr>
            <w:r w:rsidRPr="009E5F03">
              <w:rPr>
                <w:noProof/>
              </w:rPr>
              <w:t>Άρθρο 2 σημεία 12 και 13</w:t>
            </w:r>
          </w:p>
          <w:p w:rsidR="00E02907" w:rsidRPr="009E5F03" w:rsidRDefault="00E02907" w:rsidP="00E02907">
            <w:pPr>
              <w:jc w:val="left"/>
              <w:rPr>
                <w:rFonts w:eastAsia="Times New Roman"/>
                <w:noProof/>
              </w:rPr>
            </w:pPr>
            <w:r w:rsidRPr="009E5F03">
              <w:rPr>
                <w:noProof/>
              </w:rPr>
              <w:t>Άρθρο 2 σημείο 14</w:t>
            </w:r>
          </w:p>
          <w:p w:rsidR="00E02907" w:rsidRPr="009E5F03" w:rsidRDefault="00E02907" w:rsidP="00E02907">
            <w:pPr>
              <w:jc w:val="left"/>
              <w:rPr>
                <w:rFonts w:eastAsia="Times New Roman"/>
                <w:noProof/>
              </w:rPr>
            </w:pPr>
            <w:r w:rsidRPr="009E5F03">
              <w:rPr>
                <w:noProof/>
              </w:rPr>
              <w:t>Άρθρο 2 σημείο 15</w:t>
            </w:r>
          </w:p>
          <w:p w:rsidR="00E02907" w:rsidRPr="009E5F03" w:rsidRDefault="00E02907" w:rsidP="00E02907">
            <w:pPr>
              <w:jc w:val="left"/>
              <w:rPr>
                <w:rFonts w:eastAsia="Times New Roman"/>
                <w:noProof/>
              </w:rPr>
            </w:pPr>
            <w:r w:rsidRPr="009E5F03">
              <w:rPr>
                <w:noProof/>
              </w:rPr>
              <w:t>Άρθρο 2 σημεία 16 έως 23</w:t>
            </w:r>
          </w:p>
          <w:p w:rsidR="00E02907" w:rsidRPr="009E5F03" w:rsidRDefault="00E02907" w:rsidP="00E02907">
            <w:pPr>
              <w:jc w:val="left"/>
              <w:rPr>
                <w:rFonts w:eastAsia="Times New Roman"/>
                <w:noProof/>
              </w:rPr>
            </w:pPr>
            <w:r w:rsidRPr="009E5F03">
              <w:rPr>
                <w:noProof/>
              </w:rPr>
              <w:t>Άρθρο 3 παράγραφος 1</w:t>
            </w:r>
          </w:p>
          <w:p w:rsidR="00E02907" w:rsidRPr="009E5F03" w:rsidRDefault="00E02907" w:rsidP="00E02907">
            <w:pPr>
              <w:jc w:val="left"/>
              <w:rPr>
                <w:rFonts w:eastAsia="Times New Roman"/>
                <w:noProof/>
              </w:rPr>
            </w:pPr>
            <w:r w:rsidRPr="009E5F03">
              <w:rPr>
                <w:noProof/>
              </w:rPr>
              <w:t>Άρθρο 3 παράγραφος 2</w:t>
            </w:r>
          </w:p>
          <w:p w:rsidR="00E02907" w:rsidRPr="009E5F03" w:rsidRDefault="00E02907" w:rsidP="00E02907">
            <w:pPr>
              <w:jc w:val="left"/>
              <w:rPr>
                <w:rFonts w:eastAsia="Times New Roman"/>
                <w:noProof/>
              </w:rPr>
            </w:pPr>
            <w:r w:rsidRPr="009E5F03">
              <w:rPr>
                <w:noProof/>
              </w:rPr>
              <w:t>Άρθρο 3 παράγραφος 3</w:t>
            </w:r>
          </w:p>
          <w:p w:rsidR="00E02907" w:rsidRPr="009E5F03" w:rsidRDefault="00E02907" w:rsidP="00E02907">
            <w:pPr>
              <w:jc w:val="left"/>
              <w:rPr>
                <w:rFonts w:eastAsia="Times New Roman"/>
                <w:noProof/>
              </w:rPr>
            </w:pPr>
            <w:r w:rsidRPr="009E5F03">
              <w:rPr>
                <w:noProof/>
              </w:rPr>
              <w:t>Άρθρο 4 παράγραφος 1</w:t>
            </w:r>
          </w:p>
          <w:p w:rsidR="00E02907" w:rsidRPr="009E5F03" w:rsidRDefault="00E02907" w:rsidP="00E02907">
            <w:pPr>
              <w:jc w:val="left"/>
              <w:rPr>
                <w:rFonts w:eastAsia="Times New Roman"/>
                <w:noProof/>
              </w:rPr>
            </w:pPr>
            <w:r w:rsidRPr="009E5F03">
              <w:rPr>
                <w:noProof/>
              </w:rPr>
              <w:t>Άρθρο 4 παράγραφος 2</w:t>
            </w:r>
          </w:p>
          <w:p w:rsidR="00E02907" w:rsidRPr="009E5F03" w:rsidRDefault="00E02907" w:rsidP="00E02907">
            <w:pPr>
              <w:jc w:val="left"/>
              <w:rPr>
                <w:rFonts w:eastAsia="Times New Roman"/>
                <w:noProof/>
              </w:rPr>
            </w:pPr>
            <w:r w:rsidRPr="009E5F03">
              <w:rPr>
                <w:noProof/>
              </w:rPr>
              <w:t>Άρθρο 4 παράγραφος 3</w:t>
            </w:r>
          </w:p>
          <w:p w:rsidR="00E02907" w:rsidRPr="009E5F03" w:rsidRDefault="00E02907" w:rsidP="00E02907">
            <w:pPr>
              <w:jc w:val="left"/>
              <w:rPr>
                <w:rFonts w:eastAsia="Times New Roman"/>
                <w:noProof/>
              </w:rPr>
            </w:pPr>
            <w:r w:rsidRPr="009E5F03">
              <w:rPr>
                <w:noProof/>
              </w:rPr>
              <w:t>Άρθρο 4 παράγραφος 4</w:t>
            </w:r>
          </w:p>
          <w:p w:rsidR="00E02907" w:rsidRPr="009E5F03" w:rsidRDefault="00E02907" w:rsidP="00E02907">
            <w:pPr>
              <w:jc w:val="left"/>
              <w:rPr>
                <w:rFonts w:eastAsia="Times New Roman"/>
                <w:noProof/>
              </w:rPr>
            </w:pPr>
            <w:r w:rsidRPr="009E5F03">
              <w:rPr>
                <w:noProof/>
              </w:rPr>
              <w:t>Άρθρο 4 παράγραφος 5</w:t>
            </w:r>
          </w:p>
          <w:p w:rsidR="00CB0053" w:rsidRPr="009E5F03" w:rsidRDefault="00CB0053" w:rsidP="00E02907">
            <w:pPr>
              <w:jc w:val="left"/>
              <w:rPr>
                <w:rFonts w:eastAsia="Times New Roman"/>
                <w:noProof/>
              </w:rPr>
            </w:pPr>
            <w:r w:rsidRPr="009E5F03">
              <w:rPr>
                <w:noProof/>
              </w:rPr>
              <w:t>Άρθρο 5</w:t>
            </w:r>
          </w:p>
          <w:p w:rsidR="00CB0053" w:rsidRPr="009E5F03" w:rsidRDefault="00CB0053" w:rsidP="00E02907">
            <w:pPr>
              <w:jc w:val="left"/>
              <w:rPr>
                <w:rFonts w:eastAsia="Times New Roman"/>
                <w:noProof/>
              </w:rPr>
            </w:pPr>
            <w:r w:rsidRPr="009E5F03">
              <w:rPr>
                <w:noProof/>
              </w:rPr>
              <w:t>Άρθρο 6 παράγραφος 1</w:t>
            </w:r>
          </w:p>
          <w:p w:rsidR="00CB0053" w:rsidRPr="009E5F03" w:rsidRDefault="00CB0053" w:rsidP="00E02907">
            <w:pPr>
              <w:jc w:val="left"/>
              <w:rPr>
                <w:rFonts w:eastAsia="Times New Roman"/>
                <w:noProof/>
              </w:rPr>
            </w:pPr>
            <w:r w:rsidRPr="009E5F03">
              <w:rPr>
                <w:noProof/>
              </w:rPr>
              <w:t>Άρθρο 6 παράγραφος 2</w:t>
            </w:r>
          </w:p>
          <w:p w:rsidR="00CB0053" w:rsidRPr="009E5F03" w:rsidRDefault="00CB0053" w:rsidP="00E02907">
            <w:pPr>
              <w:jc w:val="left"/>
              <w:rPr>
                <w:rFonts w:eastAsia="Times New Roman"/>
                <w:noProof/>
              </w:rPr>
            </w:pPr>
            <w:r w:rsidRPr="009E5F03">
              <w:rPr>
                <w:noProof/>
              </w:rPr>
              <w:t>Άρθρο 6 παράγραφος 3</w:t>
            </w:r>
          </w:p>
          <w:p w:rsidR="00CB0053" w:rsidRPr="009E5F03" w:rsidRDefault="00CB0053" w:rsidP="00E02907">
            <w:pPr>
              <w:jc w:val="left"/>
              <w:rPr>
                <w:rFonts w:eastAsia="Times New Roman"/>
                <w:noProof/>
              </w:rPr>
            </w:pPr>
            <w:r w:rsidRPr="009E5F03">
              <w:rPr>
                <w:noProof/>
              </w:rPr>
              <w:t>Άρθρο 6 παράγραφος 4</w:t>
            </w:r>
          </w:p>
          <w:p w:rsidR="00CB0053" w:rsidRPr="009E5F03" w:rsidRDefault="00CB0053" w:rsidP="00E02907">
            <w:pPr>
              <w:jc w:val="left"/>
              <w:rPr>
                <w:rFonts w:eastAsia="Times New Roman"/>
                <w:noProof/>
              </w:rPr>
            </w:pPr>
            <w:r w:rsidRPr="009E5F03">
              <w:rPr>
                <w:noProof/>
              </w:rPr>
              <w:t>Άρθρο 7 παράγραφος 1</w:t>
            </w:r>
          </w:p>
          <w:p w:rsidR="00A31F0A" w:rsidRPr="009E5F03" w:rsidRDefault="00A31F0A" w:rsidP="00E02907">
            <w:pPr>
              <w:jc w:val="left"/>
              <w:rPr>
                <w:rFonts w:eastAsia="Times New Roman"/>
                <w:noProof/>
              </w:rPr>
            </w:pPr>
            <w:r w:rsidRPr="009E5F03">
              <w:rPr>
                <w:noProof/>
              </w:rPr>
              <w:t>Άρθρο 7 παράγραφος 2</w:t>
            </w:r>
          </w:p>
          <w:p w:rsidR="00A31F0A" w:rsidRPr="009E5F03" w:rsidRDefault="00A31F0A" w:rsidP="00E02907">
            <w:pPr>
              <w:jc w:val="left"/>
              <w:rPr>
                <w:rFonts w:eastAsia="Times New Roman"/>
                <w:noProof/>
              </w:rPr>
            </w:pPr>
            <w:r w:rsidRPr="009E5F03">
              <w:rPr>
                <w:noProof/>
              </w:rPr>
              <w:t>Άρθρο 7 παράγραφος 3</w:t>
            </w:r>
          </w:p>
          <w:p w:rsidR="00A31F0A" w:rsidRPr="009E5F03" w:rsidRDefault="00A31F0A" w:rsidP="00E02907">
            <w:pPr>
              <w:jc w:val="left"/>
              <w:rPr>
                <w:rFonts w:eastAsia="Times New Roman"/>
                <w:noProof/>
              </w:rPr>
            </w:pPr>
            <w:r w:rsidRPr="009E5F03">
              <w:rPr>
                <w:noProof/>
              </w:rPr>
              <w:t>Άρθρο 7 παράγραφος 4</w:t>
            </w:r>
          </w:p>
          <w:p w:rsidR="00A31F0A" w:rsidRPr="009E5F03" w:rsidRDefault="00A31F0A" w:rsidP="00E02907">
            <w:pPr>
              <w:jc w:val="left"/>
              <w:rPr>
                <w:rFonts w:eastAsia="Times New Roman"/>
                <w:noProof/>
              </w:rPr>
            </w:pPr>
            <w:r w:rsidRPr="009E5F03">
              <w:rPr>
                <w:noProof/>
              </w:rPr>
              <w:t>Άρθρο 7 παράγραφος 5</w:t>
            </w:r>
          </w:p>
          <w:p w:rsidR="00A31F0A" w:rsidRPr="009E5F03" w:rsidRDefault="00A31F0A" w:rsidP="00E02907">
            <w:pPr>
              <w:jc w:val="left"/>
              <w:rPr>
                <w:rFonts w:eastAsia="Times New Roman"/>
                <w:noProof/>
              </w:rPr>
            </w:pPr>
            <w:r w:rsidRPr="009E5F03">
              <w:rPr>
                <w:noProof/>
              </w:rPr>
              <w:t>Άρθρο 7 παράγραφος 6</w:t>
            </w:r>
          </w:p>
          <w:p w:rsidR="00A31F0A" w:rsidRPr="009E5F03" w:rsidRDefault="00A31F0A" w:rsidP="00E02907">
            <w:pPr>
              <w:jc w:val="left"/>
              <w:rPr>
                <w:rFonts w:eastAsia="Times New Roman"/>
                <w:noProof/>
              </w:rPr>
            </w:pPr>
            <w:r w:rsidRPr="009E5F03">
              <w:rPr>
                <w:noProof/>
              </w:rPr>
              <w:t>Άρθρο 7 παράγραφος 7</w:t>
            </w:r>
          </w:p>
          <w:p w:rsidR="00A31F0A" w:rsidRPr="009E5F03" w:rsidRDefault="00A31F0A" w:rsidP="00E02907">
            <w:pPr>
              <w:jc w:val="left"/>
              <w:rPr>
                <w:rFonts w:eastAsia="Times New Roman"/>
                <w:noProof/>
              </w:rPr>
            </w:pPr>
            <w:r w:rsidRPr="009E5F03">
              <w:rPr>
                <w:noProof/>
              </w:rPr>
              <w:t>Άρθρο 8</w:t>
            </w:r>
          </w:p>
          <w:p w:rsidR="00A31F0A" w:rsidRPr="009E5F03" w:rsidRDefault="00A31F0A" w:rsidP="00E02907">
            <w:pPr>
              <w:jc w:val="left"/>
              <w:rPr>
                <w:rFonts w:eastAsia="Times New Roman"/>
                <w:noProof/>
              </w:rPr>
            </w:pPr>
            <w:r w:rsidRPr="009E5F03">
              <w:rPr>
                <w:noProof/>
              </w:rPr>
              <w:t>Άρθρο 9</w:t>
            </w:r>
          </w:p>
          <w:p w:rsidR="00A31F0A" w:rsidRPr="009E5F03" w:rsidRDefault="00A31F0A" w:rsidP="00E02907">
            <w:pPr>
              <w:jc w:val="left"/>
              <w:rPr>
                <w:rFonts w:eastAsia="Times New Roman"/>
                <w:noProof/>
              </w:rPr>
            </w:pPr>
            <w:r w:rsidRPr="009E5F03">
              <w:rPr>
                <w:noProof/>
              </w:rPr>
              <w:t>Άρθρο 10</w:t>
            </w:r>
          </w:p>
          <w:p w:rsidR="00A31F0A" w:rsidRPr="009E5F03" w:rsidRDefault="00A31F0A" w:rsidP="00E02907">
            <w:pPr>
              <w:jc w:val="left"/>
              <w:rPr>
                <w:rFonts w:eastAsia="Times New Roman"/>
                <w:noProof/>
              </w:rPr>
            </w:pPr>
            <w:r w:rsidRPr="009E5F03">
              <w:rPr>
                <w:noProof/>
              </w:rPr>
              <w:t>Άρθρο 11</w:t>
            </w:r>
          </w:p>
          <w:p w:rsidR="00A31F0A" w:rsidRPr="009E5F03" w:rsidRDefault="00A31F0A" w:rsidP="00E02907">
            <w:pPr>
              <w:jc w:val="left"/>
              <w:rPr>
                <w:rFonts w:eastAsia="Times New Roman"/>
                <w:noProof/>
              </w:rPr>
            </w:pPr>
            <w:r w:rsidRPr="009E5F03">
              <w:rPr>
                <w:noProof/>
              </w:rPr>
              <w:t>Άρθρο 12 παράγραφος 1</w:t>
            </w:r>
          </w:p>
          <w:p w:rsidR="00A31F0A" w:rsidRPr="009E5F03" w:rsidRDefault="00A31F0A" w:rsidP="00E02907">
            <w:pPr>
              <w:jc w:val="left"/>
              <w:rPr>
                <w:rFonts w:eastAsia="Times New Roman"/>
                <w:noProof/>
              </w:rPr>
            </w:pPr>
            <w:r w:rsidRPr="009E5F03">
              <w:rPr>
                <w:noProof/>
              </w:rPr>
              <w:t>Άρθρο 12 παράγραφος 2</w:t>
            </w:r>
          </w:p>
          <w:p w:rsidR="00A31F0A" w:rsidRPr="009E5F03" w:rsidRDefault="00A31F0A" w:rsidP="00E02907">
            <w:pPr>
              <w:jc w:val="left"/>
              <w:rPr>
                <w:rFonts w:eastAsia="Times New Roman"/>
                <w:noProof/>
              </w:rPr>
            </w:pPr>
            <w:r w:rsidRPr="009E5F03">
              <w:rPr>
                <w:noProof/>
              </w:rPr>
              <w:t>Άρθρο 13</w:t>
            </w:r>
          </w:p>
          <w:p w:rsidR="00A31F0A" w:rsidRPr="009E5F03" w:rsidRDefault="00A31F0A" w:rsidP="00E02907">
            <w:pPr>
              <w:jc w:val="left"/>
              <w:rPr>
                <w:rFonts w:eastAsia="Times New Roman"/>
                <w:noProof/>
              </w:rPr>
            </w:pPr>
            <w:r w:rsidRPr="009E5F03">
              <w:rPr>
                <w:noProof/>
              </w:rPr>
              <w:t>Άρθρο 14 παράγραφος 1</w:t>
            </w:r>
          </w:p>
          <w:p w:rsidR="00A31F0A" w:rsidRPr="009E5F03" w:rsidRDefault="00A31F0A" w:rsidP="00E02907">
            <w:pPr>
              <w:jc w:val="left"/>
              <w:rPr>
                <w:rFonts w:eastAsia="Times New Roman"/>
                <w:noProof/>
              </w:rPr>
            </w:pPr>
            <w:r w:rsidRPr="009E5F03">
              <w:rPr>
                <w:noProof/>
              </w:rPr>
              <w:t>Άρθρο 14 παράγραφος 2</w:t>
            </w:r>
          </w:p>
          <w:p w:rsidR="00A31F0A" w:rsidRPr="009E5F03" w:rsidRDefault="00A31F0A" w:rsidP="00E02907">
            <w:pPr>
              <w:jc w:val="left"/>
              <w:rPr>
                <w:rFonts w:eastAsia="Times New Roman"/>
                <w:noProof/>
              </w:rPr>
            </w:pPr>
            <w:r w:rsidRPr="009E5F03">
              <w:rPr>
                <w:noProof/>
              </w:rPr>
              <w:t>Άρθρο 14 παράγραφος 3</w:t>
            </w:r>
          </w:p>
          <w:p w:rsidR="00A31F0A" w:rsidRPr="009E5F03" w:rsidRDefault="00A31F0A" w:rsidP="00E02907">
            <w:pPr>
              <w:jc w:val="left"/>
              <w:rPr>
                <w:rFonts w:eastAsia="Times New Roman"/>
                <w:noProof/>
              </w:rPr>
            </w:pPr>
            <w:r w:rsidRPr="009E5F03">
              <w:rPr>
                <w:noProof/>
              </w:rPr>
              <w:t>Άρθρο 14 παράγραφος 4</w:t>
            </w:r>
          </w:p>
          <w:p w:rsidR="00D04ED3" w:rsidRPr="009E5F03" w:rsidRDefault="00D04ED3" w:rsidP="00E02907">
            <w:pPr>
              <w:jc w:val="left"/>
              <w:rPr>
                <w:rFonts w:eastAsia="Times New Roman"/>
                <w:noProof/>
              </w:rPr>
            </w:pPr>
            <w:r w:rsidRPr="009E5F03">
              <w:rPr>
                <w:noProof/>
              </w:rPr>
              <w:t>Άρθρο 15 παράγραφος 1</w:t>
            </w:r>
          </w:p>
          <w:p w:rsidR="00D04ED3" w:rsidRPr="009E5F03" w:rsidRDefault="00D04ED3" w:rsidP="00E02907">
            <w:pPr>
              <w:jc w:val="left"/>
              <w:rPr>
                <w:rFonts w:eastAsia="Times New Roman"/>
                <w:noProof/>
              </w:rPr>
            </w:pPr>
            <w:r w:rsidRPr="009E5F03">
              <w:rPr>
                <w:noProof/>
              </w:rPr>
              <w:t>Άρθρο 15 παράγραφος 2</w:t>
            </w:r>
          </w:p>
          <w:p w:rsidR="00D04ED3" w:rsidRPr="009E5F03" w:rsidRDefault="00D04ED3" w:rsidP="00E02907">
            <w:pPr>
              <w:jc w:val="left"/>
              <w:rPr>
                <w:rFonts w:eastAsia="Times New Roman"/>
                <w:noProof/>
              </w:rPr>
            </w:pPr>
            <w:r w:rsidRPr="009E5F03">
              <w:rPr>
                <w:noProof/>
              </w:rPr>
              <w:t>Άρθρο 15 παράγραφος 3</w:t>
            </w:r>
          </w:p>
          <w:p w:rsidR="00D04ED3" w:rsidRPr="009E5F03" w:rsidRDefault="00D04ED3" w:rsidP="00E02907">
            <w:pPr>
              <w:jc w:val="left"/>
              <w:rPr>
                <w:rFonts w:eastAsia="Times New Roman"/>
                <w:noProof/>
              </w:rPr>
            </w:pPr>
            <w:r w:rsidRPr="009E5F03">
              <w:rPr>
                <w:noProof/>
              </w:rPr>
              <w:t>Άρθρο 16</w:t>
            </w:r>
          </w:p>
          <w:p w:rsidR="00D04ED3" w:rsidRPr="009E5F03" w:rsidRDefault="00D04ED3" w:rsidP="00E02907">
            <w:pPr>
              <w:jc w:val="left"/>
              <w:rPr>
                <w:rFonts w:eastAsia="Times New Roman"/>
                <w:noProof/>
              </w:rPr>
            </w:pPr>
            <w:r w:rsidRPr="009E5F03">
              <w:rPr>
                <w:noProof/>
              </w:rPr>
              <w:t>Άρθρο 17</w:t>
            </w:r>
          </w:p>
          <w:p w:rsidR="00D04ED3" w:rsidRPr="009E5F03" w:rsidRDefault="00D04ED3" w:rsidP="00E02907">
            <w:pPr>
              <w:jc w:val="left"/>
              <w:rPr>
                <w:rFonts w:eastAsia="Times New Roman"/>
                <w:noProof/>
              </w:rPr>
            </w:pPr>
            <w:r w:rsidRPr="009E5F03">
              <w:rPr>
                <w:noProof/>
              </w:rPr>
              <w:t>Άρθρο 18</w:t>
            </w:r>
          </w:p>
          <w:p w:rsidR="00D04ED3" w:rsidRPr="009E5F03" w:rsidRDefault="00D04ED3" w:rsidP="00E02907">
            <w:pPr>
              <w:jc w:val="left"/>
              <w:rPr>
                <w:rFonts w:eastAsia="Times New Roman"/>
                <w:noProof/>
              </w:rPr>
            </w:pPr>
            <w:r w:rsidRPr="009E5F03">
              <w:rPr>
                <w:noProof/>
              </w:rPr>
              <w:t>Άρθρο 19</w:t>
            </w:r>
          </w:p>
          <w:p w:rsidR="00D04ED3" w:rsidRPr="009E5F03" w:rsidRDefault="00D04ED3" w:rsidP="00E02907">
            <w:pPr>
              <w:jc w:val="left"/>
              <w:rPr>
                <w:rFonts w:eastAsia="Times New Roman"/>
                <w:noProof/>
              </w:rPr>
            </w:pPr>
            <w:r w:rsidRPr="009E5F03">
              <w:rPr>
                <w:noProof/>
              </w:rPr>
              <w:t>Άρθρο 20</w:t>
            </w:r>
          </w:p>
          <w:p w:rsidR="00D04ED3" w:rsidRPr="009E5F03" w:rsidRDefault="00D04ED3" w:rsidP="00E02907">
            <w:pPr>
              <w:jc w:val="left"/>
              <w:rPr>
                <w:rFonts w:eastAsia="Times New Roman"/>
                <w:noProof/>
              </w:rPr>
            </w:pPr>
            <w:r w:rsidRPr="009E5F03">
              <w:rPr>
                <w:noProof/>
              </w:rPr>
              <w:t>Άρθρο 21 παράγραφος 1</w:t>
            </w:r>
          </w:p>
          <w:p w:rsidR="00D04ED3" w:rsidRPr="009E5F03" w:rsidRDefault="00D04ED3" w:rsidP="00E02907">
            <w:pPr>
              <w:jc w:val="left"/>
              <w:rPr>
                <w:rFonts w:eastAsia="Times New Roman"/>
                <w:noProof/>
              </w:rPr>
            </w:pPr>
            <w:r w:rsidRPr="009E5F03">
              <w:rPr>
                <w:noProof/>
              </w:rPr>
              <w:t>Άρθρο 21 παράγραφος 2</w:t>
            </w:r>
          </w:p>
          <w:p w:rsidR="00D04ED3" w:rsidRPr="009E5F03" w:rsidRDefault="00D04ED3" w:rsidP="00E02907">
            <w:pPr>
              <w:jc w:val="left"/>
              <w:rPr>
                <w:rFonts w:eastAsia="Times New Roman"/>
                <w:noProof/>
              </w:rPr>
            </w:pPr>
            <w:r w:rsidRPr="009E5F03">
              <w:rPr>
                <w:noProof/>
              </w:rPr>
              <w:t>Άρθρο 21 παράγραφος 3</w:t>
            </w:r>
          </w:p>
          <w:p w:rsidR="00D04ED3" w:rsidRPr="009E5F03" w:rsidRDefault="00D04ED3" w:rsidP="00E02907">
            <w:pPr>
              <w:jc w:val="left"/>
              <w:rPr>
                <w:rFonts w:eastAsia="Times New Roman"/>
                <w:noProof/>
              </w:rPr>
            </w:pPr>
            <w:r w:rsidRPr="009E5F03">
              <w:rPr>
                <w:noProof/>
              </w:rPr>
              <w:t>Άρθρο 22</w:t>
            </w:r>
          </w:p>
          <w:p w:rsidR="00D04ED3" w:rsidRPr="009E5F03" w:rsidRDefault="00D04ED3" w:rsidP="00E02907">
            <w:pPr>
              <w:jc w:val="left"/>
              <w:rPr>
                <w:rFonts w:eastAsia="Times New Roman"/>
                <w:noProof/>
              </w:rPr>
            </w:pPr>
            <w:r w:rsidRPr="009E5F03">
              <w:rPr>
                <w:noProof/>
              </w:rPr>
              <w:t>Άρθρο 23 παράγραφος 1</w:t>
            </w:r>
          </w:p>
          <w:p w:rsidR="00D04ED3" w:rsidRPr="009E5F03" w:rsidRDefault="00D04ED3" w:rsidP="00E02907">
            <w:pPr>
              <w:jc w:val="left"/>
              <w:rPr>
                <w:rFonts w:eastAsia="Times New Roman"/>
                <w:noProof/>
              </w:rPr>
            </w:pPr>
            <w:r w:rsidRPr="009E5F03">
              <w:rPr>
                <w:noProof/>
              </w:rPr>
              <w:t>Άρθρο 23 παράγραφος 2</w:t>
            </w:r>
          </w:p>
          <w:p w:rsidR="00D04ED3" w:rsidRPr="009E5F03" w:rsidRDefault="00D04ED3" w:rsidP="00E02907">
            <w:pPr>
              <w:jc w:val="left"/>
              <w:rPr>
                <w:rFonts w:eastAsia="Times New Roman"/>
                <w:noProof/>
              </w:rPr>
            </w:pPr>
            <w:r w:rsidRPr="009E5F03">
              <w:rPr>
                <w:noProof/>
              </w:rPr>
              <w:t>Άρθρο 23 παράγραφος 3</w:t>
            </w:r>
          </w:p>
          <w:p w:rsidR="00D04ED3" w:rsidRPr="009E5F03" w:rsidRDefault="00D04ED3" w:rsidP="00E02907">
            <w:pPr>
              <w:jc w:val="left"/>
              <w:rPr>
                <w:rFonts w:eastAsia="Times New Roman"/>
                <w:noProof/>
              </w:rPr>
            </w:pPr>
            <w:r w:rsidRPr="009E5F03">
              <w:rPr>
                <w:noProof/>
              </w:rPr>
              <w:t>Άρθρο 23 παράγραφος 4</w:t>
            </w:r>
          </w:p>
          <w:p w:rsidR="00D04ED3" w:rsidRPr="009E5F03" w:rsidRDefault="00D04ED3" w:rsidP="00E02907">
            <w:pPr>
              <w:jc w:val="left"/>
              <w:rPr>
                <w:rFonts w:eastAsia="Times New Roman"/>
                <w:noProof/>
              </w:rPr>
            </w:pPr>
            <w:r w:rsidRPr="009E5F03">
              <w:rPr>
                <w:noProof/>
              </w:rPr>
              <w:t>Άρθρο 24</w:t>
            </w:r>
          </w:p>
          <w:p w:rsidR="00D04ED3" w:rsidRPr="009E5F03" w:rsidRDefault="00D04ED3" w:rsidP="00E02907">
            <w:pPr>
              <w:jc w:val="left"/>
              <w:rPr>
                <w:rFonts w:eastAsia="Times New Roman"/>
                <w:noProof/>
              </w:rPr>
            </w:pPr>
            <w:r w:rsidRPr="009E5F03">
              <w:rPr>
                <w:noProof/>
              </w:rPr>
              <w:t>Άρθρο 25</w:t>
            </w:r>
          </w:p>
          <w:p w:rsidR="00D04ED3" w:rsidRPr="009E5F03" w:rsidRDefault="00D04ED3" w:rsidP="00E02907">
            <w:pPr>
              <w:jc w:val="left"/>
              <w:rPr>
                <w:rFonts w:eastAsia="Times New Roman"/>
                <w:noProof/>
              </w:rPr>
            </w:pPr>
            <w:r w:rsidRPr="009E5F03">
              <w:rPr>
                <w:noProof/>
              </w:rPr>
              <w:t>Άρθρο 26</w:t>
            </w:r>
          </w:p>
          <w:p w:rsidR="00D04ED3" w:rsidRPr="009E5F03" w:rsidRDefault="00D04ED3" w:rsidP="00E02907">
            <w:pPr>
              <w:jc w:val="left"/>
              <w:rPr>
                <w:rFonts w:eastAsia="Times New Roman"/>
                <w:noProof/>
              </w:rPr>
            </w:pPr>
            <w:r w:rsidRPr="009E5F03">
              <w:rPr>
                <w:noProof/>
              </w:rPr>
              <w:t>Άρθρο 27</w:t>
            </w:r>
          </w:p>
          <w:p w:rsidR="00D04ED3" w:rsidRPr="009E5F03" w:rsidRDefault="00D04ED3" w:rsidP="00E02907">
            <w:pPr>
              <w:jc w:val="left"/>
              <w:rPr>
                <w:rFonts w:eastAsia="Times New Roman"/>
                <w:noProof/>
              </w:rPr>
            </w:pPr>
            <w:r w:rsidRPr="009E5F03">
              <w:rPr>
                <w:noProof/>
              </w:rPr>
              <w:t>Άρθρο 28</w:t>
            </w:r>
          </w:p>
          <w:p w:rsidR="00D04ED3" w:rsidRPr="009E5F03" w:rsidRDefault="00D04ED3" w:rsidP="00E02907">
            <w:pPr>
              <w:jc w:val="left"/>
              <w:rPr>
                <w:rFonts w:eastAsia="Times New Roman"/>
                <w:noProof/>
              </w:rPr>
            </w:pPr>
            <w:r w:rsidRPr="009E5F03">
              <w:rPr>
                <w:noProof/>
              </w:rPr>
              <w:t>Άρθρο 29</w:t>
            </w:r>
          </w:p>
          <w:p w:rsidR="00D04ED3" w:rsidRPr="009E5F03" w:rsidRDefault="00D04ED3" w:rsidP="00E02907">
            <w:pPr>
              <w:jc w:val="left"/>
              <w:rPr>
                <w:rFonts w:eastAsia="Times New Roman"/>
                <w:noProof/>
              </w:rPr>
            </w:pPr>
            <w:r w:rsidRPr="009E5F03">
              <w:rPr>
                <w:noProof/>
              </w:rPr>
              <w:t>Άρθρο 30</w:t>
            </w:r>
          </w:p>
          <w:p w:rsidR="00D04ED3" w:rsidRPr="009E5F03" w:rsidRDefault="00D04ED3" w:rsidP="00E02907">
            <w:pPr>
              <w:jc w:val="left"/>
              <w:rPr>
                <w:rFonts w:eastAsia="Times New Roman"/>
                <w:noProof/>
              </w:rPr>
            </w:pPr>
            <w:r w:rsidRPr="009E5F03">
              <w:rPr>
                <w:noProof/>
              </w:rPr>
              <w:t>Άρθρο 31</w:t>
            </w:r>
          </w:p>
          <w:p w:rsidR="00D04ED3" w:rsidRPr="009E5F03" w:rsidRDefault="00D04ED3" w:rsidP="00E02907">
            <w:pPr>
              <w:jc w:val="left"/>
              <w:rPr>
                <w:rFonts w:eastAsia="Times New Roman"/>
                <w:noProof/>
              </w:rPr>
            </w:pPr>
            <w:r w:rsidRPr="009E5F03">
              <w:rPr>
                <w:noProof/>
              </w:rPr>
              <w:t>Άρθρο 32</w:t>
            </w:r>
          </w:p>
          <w:p w:rsidR="00D04ED3" w:rsidRPr="009E5F03" w:rsidRDefault="00D04ED3" w:rsidP="00E02907">
            <w:pPr>
              <w:jc w:val="left"/>
              <w:rPr>
                <w:rFonts w:eastAsia="Times New Roman"/>
                <w:noProof/>
              </w:rPr>
            </w:pPr>
            <w:r w:rsidRPr="009E5F03">
              <w:rPr>
                <w:noProof/>
              </w:rPr>
              <w:t>Άρθρο 33</w:t>
            </w:r>
          </w:p>
          <w:p w:rsidR="00D04ED3" w:rsidRPr="009E5F03" w:rsidRDefault="00D04ED3" w:rsidP="00E02907">
            <w:pPr>
              <w:jc w:val="left"/>
              <w:rPr>
                <w:rFonts w:eastAsia="Times New Roman"/>
                <w:noProof/>
              </w:rPr>
            </w:pPr>
            <w:r w:rsidRPr="009E5F03">
              <w:rPr>
                <w:noProof/>
              </w:rPr>
              <w:t>Άρθρο 34</w:t>
            </w:r>
          </w:p>
          <w:p w:rsidR="00D04ED3" w:rsidRPr="009E5F03" w:rsidRDefault="00D04ED3" w:rsidP="00E02907">
            <w:pPr>
              <w:jc w:val="left"/>
              <w:rPr>
                <w:rFonts w:eastAsia="Times New Roman"/>
                <w:noProof/>
              </w:rPr>
            </w:pPr>
            <w:r w:rsidRPr="009E5F03">
              <w:rPr>
                <w:noProof/>
              </w:rPr>
              <w:t>Άρθρο 35</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Παράρτημα I</w:t>
            </w:r>
          </w:p>
          <w:p w:rsidR="002C226B" w:rsidRPr="009E5F03" w:rsidRDefault="002C226B" w:rsidP="00E02907">
            <w:pPr>
              <w:jc w:val="left"/>
              <w:rPr>
                <w:rFonts w:eastAsia="Times New Roman"/>
                <w:noProof/>
              </w:rPr>
            </w:pPr>
            <w:r w:rsidRPr="009E5F03">
              <w:rPr>
                <w:noProof/>
              </w:rPr>
              <w:t>Παράρτημα I (Β)</w:t>
            </w:r>
          </w:p>
          <w:p w:rsidR="002C226B" w:rsidRPr="009E5F03" w:rsidRDefault="002C226B" w:rsidP="00E02907">
            <w:pPr>
              <w:jc w:val="left"/>
              <w:rPr>
                <w:rFonts w:eastAsia="Times New Roman"/>
                <w:noProof/>
              </w:rPr>
            </w:pPr>
            <w:r w:rsidRPr="009E5F03">
              <w:rPr>
                <w:noProof/>
              </w:rPr>
              <w:t>Παράρτημα Ι (Γ)</w:t>
            </w:r>
          </w:p>
          <w:p w:rsidR="002C226B" w:rsidRPr="009E5F03" w:rsidRDefault="002C226B" w:rsidP="00E02907">
            <w:pPr>
              <w:jc w:val="left"/>
              <w:rPr>
                <w:rFonts w:eastAsia="Times New Roman"/>
                <w:noProof/>
              </w:rPr>
            </w:pPr>
            <w:r w:rsidRPr="009E5F03">
              <w:rPr>
                <w:noProof/>
              </w:rPr>
              <w:t>Παράρτημα Ι (Δ)</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Ι (Α)</w:t>
            </w:r>
          </w:p>
          <w:p w:rsidR="002C226B" w:rsidRPr="009E5F03" w:rsidRDefault="002C226B" w:rsidP="00E02907">
            <w:pPr>
              <w:jc w:val="left"/>
              <w:rPr>
                <w:rFonts w:eastAsia="Times New Roman"/>
                <w:noProof/>
              </w:rPr>
            </w:pPr>
            <w:r w:rsidRPr="009E5F03">
              <w:rPr>
                <w:noProof/>
              </w:rPr>
              <w:t>Παράρτημα I (Β)</w:t>
            </w:r>
          </w:p>
          <w:p w:rsidR="002C226B" w:rsidRPr="009E5F03" w:rsidRDefault="002C226B" w:rsidP="00E02907">
            <w:pPr>
              <w:jc w:val="left"/>
              <w:rPr>
                <w:rFonts w:eastAsia="Times New Roman"/>
                <w:noProof/>
              </w:rPr>
            </w:pPr>
            <w:r w:rsidRPr="009E5F03">
              <w:rPr>
                <w:noProof/>
              </w:rPr>
              <w:t>Παράρτημα Ι (Γ)</w:t>
            </w:r>
          </w:p>
          <w:p w:rsidR="002C226B" w:rsidRPr="009E5F03" w:rsidRDefault="002C226B" w:rsidP="00E02907">
            <w:pPr>
              <w:jc w:val="left"/>
              <w:rPr>
                <w:rFonts w:eastAsia="Times New Roman"/>
                <w:noProof/>
              </w:rPr>
            </w:pPr>
            <w:r w:rsidRPr="009E5F03">
              <w:rPr>
                <w:noProof/>
              </w:rPr>
              <w:t>Παράρτημα Ι (Δ)</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Παράρτημα II</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II</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III</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Παράρτημα III</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IV</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V</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VI</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VII</w:t>
            </w:r>
          </w:p>
        </w:tc>
      </w:tr>
      <w:tr w:rsidR="008370E1" w:rsidRPr="009E5F03" w:rsidTr="00E02907">
        <w:tc>
          <w:tcPr>
            <w:tcW w:w="4674" w:type="dxa"/>
            <w:tcBorders>
              <w:top w:val="nil"/>
              <w:left w:val="nil"/>
              <w:bottom w:val="nil"/>
            </w:tcBorders>
          </w:tcPr>
          <w:p w:rsidR="008370E1" w:rsidRPr="009E5F03" w:rsidRDefault="008370E1" w:rsidP="00E02907">
            <w:pPr>
              <w:jc w:val="left"/>
              <w:rPr>
                <w:rFonts w:eastAsia="Times New Roman"/>
                <w:noProof/>
              </w:rPr>
            </w:pPr>
            <w:r w:rsidRPr="009E5F03">
              <w:rPr>
                <w:noProof/>
              </w:rPr>
              <w:t>–</w:t>
            </w:r>
          </w:p>
        </w:tc>
        <w:tc>
          <w:tcPr>
            <w:tcW w:w="4674" w:type="dxa"/>
            <w:tcBorders>
              <w:top w:val="nil"/>
              <w:bottom w:val="nil"/>
              <w:right w:val="nil"/>
            </w:tcBorders>
          </w:tcPr>
          <w:p w:rsidR="008370E1" w:rsidRPr="009E5F03" w:rsidRDefault="008370E1" w:rsidP="00E02907">
            <w:pPr>
              <w:jc w:val="left"/>
              <w:rPr>
                <w:rFonts w:eastAsia="Times New Roman"/>
                <w:noProof/>
              </w:rPr>
            </w:pPr>
            <w:r w:rsidRPr="009E5F03">
              <w:rPr>
                <w:noProof/>
              </w:rPr>
              <w:t>Παράρτημα VIII</w:t>
            </w:r>
          </w:p>
        </w:tc>
      </w:tr>
    </w:tbl>
    <w:p w:rsidR="008370E1" w:rsidRPr="009E5F03" w:rsidRDefault="008370E1" w:rsidP="008370E1">
      <w:pPr>
        <w:jc w:val="center"/>
        <w:rPr>
          <w:noProof/>
        </w:rPr>
      </w:pPr>
      <w:r w:rsidRPr="009E5F03">
        <w:rPr>
          <w:noProof/>
        </w:rPr>
        <w:t>_____________</w:t>
      </w:r>
    </w:p>
    <w:p w:rsidR="008370E1" w:rsidRPr="009E5F03" w:rsidRDefault="008370E1" w:rsidP="008370E1">
      <w:pPr>
        <w:rPr>
          <w:noProof/>
        </w:rPr>
      </w:pPr>
    </w:p>
    <w:sectPr w:rsidR="008370E1" w:rsidRPr="009E5F03" w:rsidSect="008410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16" w:rsidRDefault="00652D16" w:rsidP="00515465">
      <w:pPr>
        <w:spacing w:before="0" w:after="0"/>
      </w:pPr>
      <w:r>
        <w:separator/>
      </w:r>
    </w:p>
  </w:endnote>
  <w:endnote w:type="continuationSeparator" w:id="0">
    <w:p w:rsidR="00652D16" w:rsidRDefault="00652D16" w:rsidP="00515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variable"/>
    <w:sig w:usb0="800002EF" w:usb1="1000E0FB" w:usb2="00000000" w:usb3="00000000" w:csb0="0000009F" w:csb1="00000000"/>
  </w:font>
  <w:font w:name="DejaVu Sans">
    <w:altName w:val="Times New Roman"/>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VW Text Office">
    <w:altName w:val="Calibri"/>
    <w:charset w:val="00"/>
    <w:family w:val="swiss"/>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16" w:rsidRPr="00841019" w:rsidRDefault="00841019" w:rsidP="00841019">
    <w:pPr>
      <w:pStyle w:val="Footer"/>
      <w:rPr>
        <w:rFonts w:ascii="Arial" w:hAnsi="Arial" w:cs="Arial"/>
        <w:b/>
        <w:sz w:val="48"/>
      </w:rPr>
    </w:pPr>
    <w:r w:rsidRPr="00841019">
      <w:rPr>
        <w:rFonts w:ascii="Arial" w:hAnsi="Arial" w:cs="Arial"/>
        <w:b/>
        <w:sz w:val="48"/>
      </w:rPr>
      <w:t>EL</w:t>
    </w:r>
    <w:r w:rsidRPr="00841019">
      <w:rPr>
        <w:rFonts w:ascii="Arial" w:hAnsi="Arial" w:cs="Arial"/>
        <w:b/>
        <w:sz w:val="48"/>
      </w:rPr>
      <w:tab/>
    </w:r>
    <w:r w:rsidRPr="00841019">
      <w:rPr>
        <w:rFonts w:ascii="Arial" w:hAnsi="Arial" w:cs="Arial"/>
        <w:b/>
        <w:sz w:val="48"/>
      </w:rPr>
      <w:tab/>
    </w:r>
    <w:r w:rsidRPr="00841019">
      <w:tab/>
    </w:r>
    <w:r w:rsidRPr="00841019">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Footer"/>
      <w:rPr>
        <w:rFonts w:ascii="Arial" w:hAnsi="Arial" w:cs="Arial"/>
        <w:b/>
        <w:sz w:val="48"/>
      </w:rPr>
    </w:pPr>
    <w:r w:rsidRPr="00841019">
      <w:rPr>
        <w:rFonts w:ascii="Arial" w:hAnsi="Arial" w:cs="Arial"/>
        <w:b/>
        <w:sz w:val="48"/>
      </w:rPr>
      <w:t>EL</w:t>
    </w:r>
    <w:r w:rsidRPr="0084101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41019">
      <w:tab/>
    </w:r>
    <w:r w:rsidRPr="00841019">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16" w:rsidRDefault="00652D16" w:rsidP="00515465">
      <w:pPr>
        <w:spacing w:before="0" w:after="0"/>
      </w:pPr>
      <w:r>
        <w:separator/>
      </w:r>
    </w:p>
  </w:footnote>
  <w:footnote w:type="continuationSeparator" w:id="0">
    <w:p w:rsidR="00652D16" w:rsidRDefault="00652D16" w:rsidP="00515465">
      <w:pPr>
        <w:spacing w:before="0" w:after="0"/>
      </w:pPr>
      <w:r>
        <w:continuationSeparator/>
      </w:r>
    </w:p>
  </w:footnote>
  <w:footnote w:id="1">
    <w:p w:rsidR="00652D16" w:rsidRPr="00B121F6" w:rsidRDefault="00652D16" w:rsidP="008370E1">
      <w:pPr>
        <w:pStyle w:val="FootnoteText"/>
        <w:rPr>
          <w:highlight w:val="lightGray"/>
        </w:rPr>
      </w:pPr>
      <w:r>
        <w:rPr>
          <w:rStyle w:val="FootnoteReference"/>
          <w:highlight w:val="lightGray"/>
        </w:rPr>
        <w:footnoteRef/>
      </w:r>
      <w:r>
        <w:tab/>
      </w:r>
      <w:r>
        <w:rPr>
          <w:rStyle w:val="CRRefonteDeleted"/>
          <w:highlight w:val="lightGray"/>
        </w:rPr>
        <w:t>Δεδομένου ότι, στην πράξη, είναι αδύνατο να κατασκευασθούν αποχετευτικά δίκτυα και σταθμοί επεξεργασίας, ούτως ώστε να είναι δυνατή η επεξεργασία όλων των λυμάτων υπό καταστάσεις όπως ασυνήθεις ισχυρές βροχοπτώσεις, τα κράτη μέλη αποφασίζουν τη λήψη μέτρων για τον περιορισμό της ρύπανσης από υπερχειλίσεις υδάτων λόγω νεροποντής. Τα μέτρα αυτά μπορούν να βασίζονται στο βαθμό αραίωσης, στη χωρητικότητα των σχετικών αποδεκτών σε σχέση με τη ροή κατά την εποχή ξηρασίας ή σε ορισμένο αποδεκτό ετήσιο αριθμό υπερχειλίσεων.</w:t>
      </w:r>
    </w:p>
  </w:footnote>
  <w:footnote w:id="2">
    <w:p w:rsidR="00652D16" w:rsidRPr="00907DC2" w:rsidRDefault="00652D16" w:rsidP="00FF5D8D">
      <w:pPr>
        <w:adjustRightInd w:val="0"/>
        <w:spacing w:before="0" w:after="0"/>
        <w:ind w:left="709" w:hanging="709"/>
        <w:jc w:val="left"/>
        <w:rPr>
          <w:sz w:val="20"/>
          <w:szCs w:val="20"/>
          <w:highlight w:val="lightGray"/>
        </w:rPr>
      </w:pPr>
      <w:r>
        <w:rPr>
          <w:rStyle w:val="FootnoteReference"/>
          <w:highlight w:val="lightGray"/>
        </w:rPr>
        <w:footnoteRef/>
      </w:r>
      <w:r>
        <w:tab/>
      </w:r>
      <w:r>
        <w:rPr>
          <w:rStyle w:val="CRRefonteDeleted"/>
          <w:sz w:val="20"/>
          <w:highlight w:val="lightGray"/>
        </w:rPr>
        <w:t>Δεδομένου ότι, στην πράξη, είναι αδύνατο να κατασκευασθούν αποχετευτικά δίκτυα και σταθμοί επεξεργασίας, ούτως ώστε να είναι δυνατή η επεξεργασία όλων των λυμάτων υπό καταστάσεις όπως ασυνήθεις ισχυρές βροχοπτώσεις, τα κράτη μέλη αποφασίζουν τη λήψη μέτρων για τον περιορισμό της ρύπανσης από υπερχειλίσεις υδάτων λόγω νεροποντής. Τα μέτρα αυτά μπορούν να βασίζονται στο βαθμό αραίωσης, στη χωρητικότητα των σχετικών αποδεκτών σε σχέση με τη ροή κατά την εποχή ξηρασίας ή σε ορισμένο αποδεκτό ετήσιο αριθμό υπερχειλίσεων.</w:t>
      </w:r>
    </w:p>
  </w:footnote>
  <w:footnote w:id="3">
    <w:p w:rsidR="00652D16" w:rsidRPr="00851E12" w:rsidRDefault="00652D16" w:rsidP="008370E1">
      <w:pPr>
        <w:pStyle w:val="FootnoteText"/>
      </w:pPr>
      <w:r>
        <w:rPr>
          <w:rStyle w:val="FootnoteReference"/>
        </w:rPr>
        <w:footnoteRef/>
      </w:r>
      <w:r>
        <w:tab/>
        <w:t>Μείωση ανάλογα με το φορτίο των εισρεόντων λυμάτων.</w:t>
      </w:r>
    </w:p>
  </w:footnote>
  <w:footnote w:id="4">
    <w:p w:rsidR="00652D16" w:rsidRPr="000E5AE8" w:rsidRDefault="00652D16" w:rsidP="008370E1">
      <w:pPr>
        <w:pStyle w:val="FootnoteText"/>
        <w:rPr>
          <w:highlight w:val="lightGray"/>
        </w:rPr>
      </w:pPr>
      <w:r>
        <w:rPr>
          <w:rStyle w:val="FootnoteReference"/>
          <w:highlight w:val="lightGray"/>
          <w:lang w:val="en-US"/>
        </w:rPr>
        <w:footnoteRef/>
      </w:r>
      <w:r>
        <w:tab/>
      </w:r>
      <w:r>
        <w:rPr>
          <w:rStyle w:val="CRRefonteDeleted"/>
          <w:highlight w:val="lightGray"/>
        </w:rPr>
        <w:t>Η παράμετρος αυτή μπορεί να αντικατασταθεί από άλλη: ολικός οργανικός άνθρακας (TOC) ή ολικές ανάγκες σε οξυγόνο (TOD) αν μπορεί να ευρεθεί σχέση μεταξύ του BOD5 και της υποκατάστατης παραμέτρου.</w:t>
      </w:r>
    </w:p>
  </w:footnote>
  <w:footnote w:id="5">
    <w:p w:rsidR="00652D16" w:rsidRPr="00907DC2" w:rsidRDefault="00652D16" w:rsidP="008370E1">
      <w:pPr>
        <w:pStyle w:val="FootnoteText"/>
        <w:rPr>
          <w:highlight w:val="lightGray"/>
        </w:rPr>
      </w:pPr>
      <w:r>
        <w:rPr>
          <w:rStyle w:val="FootnoteReference"/>
          <w:highlight w:val="lightGray"/>
          <w:lang w:val="en-US"/>
        </w:rPr>
        <w:footnoteRef/>
      </w:r>
      <w:r>
        <w:tab/>
      </w:r>
      <w:r>
        <w:rPr>
          <w:rStyle w:val="CRRefonteDeleted"/>
          <w:highlight w:val="lightGray"/>
        </w:rPr>
        <w:t>Η απαίτηση αυτή είναι προαιρετική.</w:t>
      </w:r>
    </w:p>
  </w:footnote>
  <w:footnote w:id="6">
    <w:p w:rsidR="00652D16" w:rsidRPr="00907DC2" w:rsidRDefault="00652D16" w:rsidP="008370E1">
      <w:pPr>
        <w:pStyle w:val="FootnoteText"/>
        <w:rPr>
          <w:highlight w:val="lightGray"/>
        </w:rPr>
      </w:pPr>
      <w:r>
        <w:rPr>
          <w:rStyle w:val="FootnoteReference"/>
          <w:highlight w:val="lightGray"/>
          <w:lang w:val="en-US"/>
        </w:rPr>
        <w:footnoteRef/>
      </w:r>
      <w:r>
        <w:tab/>
      </w:r>
      <w:r>
        <w:rPr>
          <w:rStyle w:val="CRRefonteDeleted"/>
          <w:highlight w:val="lightGray"/>
        </w:rPr>
        <w:t>Η απαίτηση αυτή είναι προαιρετική.</w:t>
      </w:r>
    </w:p>
  </w:footnote>
  <w:footnote w:id="7">
    <w:p w:rsidR="00652D16" w:rsidRPr="00851E12" w:rsidRDefault="00652D16" w:rsidP="008370E1">
      <w:pPr>
        <w:pStyle w:val="FootnoteText"/>
      </w:pPr>
      <w:r>
        <w:rPr>
          <w:rStyle w:val="FootnoteReference"/>
          <w:lang w:val="en-US"/>
        </w:rPr>
        <w:footnoteRef/>
      </w:r>
      <w:r>
        <w:tab/>
        <w:t>Μείωση ανάλογα με το φορτίο των εισρεόντων λυμάτων.</w:t>
      </w:r>
    </w:p>
  </w:footnote>
  <w:footnote w:id="8">
    <w:p w:rsidR="00652D16" w:rsidRPr="0001158C" w:rsidRDefault="00652D16" w:rsidP="008370E1">
      <w:pPr>
        <w:pStyle w:val="FootnoteText"/>
        <w:rPr>
          <w:highlight w:val="lightGray"/>
        </w:rPr>
      </w:pPr>
      <w:r>
        <w:rPr>
          <w:rStyle w:val="FootnoteReference"/>
          <w:highlight w:val="lightGray"/>
          <w:lang w:val="en-US"/>
        </w:rPr>
        <w:footnoteRef/>
      </w:r>
      <w:r>
        <w:tab/>
      </w:r>
      <w:r>
        <w:rPr>
          <w:rStyle w:val="CRRefonteDeleted"/>
          <w:highlight w:val="lightGray"/>
        </w:rPr>
        <w:t>Ολικό άζωτο σημαίνει το άθροισμα του ολικού αζώτου κατά Kjeldahl (οργανικό και NH3), του αζώτου των νιτρικών ιόντων (NO3) και του αζώτου των νιτρωδών ιόντων (NO2).</w:t>
      </w:r>
    </w:p>
  </w:footnote>
  <w:footnote w:id="9">
    <w:p w:rsidR="00652D16" w:rsidRPr="001577EB" w:rsidRDefault="00652D16" w:rsidP="008370E1">
      <w:pPr>
        <w:pStyle w:val="FootnoteText"/>
        <w:rPr>
          <w:highlight w:val="lightGray"/>
        </w:rPr>
      </w:pPr>
      <w:r>
        <w:rPr>
          <w:rStyle w:val="FootnoteReference"/>
          <w:highlight w:val="lightGray"/>
          <w:lang w:val="en-US"/>
        </w:rPr>
        <w:footnoteRef/>
      </w:r>
      <w:r>
        <w:tab/>
      </w:r>
      <w:r>
        <w:rPr>
          <w:rStyle w:val="CRRefonteDeleted"/>
          <w:highlight w:val="lightGray"/>
        </w:rPr>
        <w:t>Οι ως άνω τιμές συγκέντρωσης αποτελούν ετήσιο μέσο όρο, σύμφωνα με το παράρτημα Ι σημείο Δ. 4. γ). Ωστόσο, οι απαιτήσεις για το άζωτο μπορούν να επαληθευθούν χρησιμοποιώντας τον ημερήσιο μέσο όρο όταν έχει αποδειχθεί, σύμφωνα με το παράρτημα Ι σημείο Δ. 1, ότι επιτυγχάνεται το ίδιο επίπεδο προστασίας. Στην περίπτωση αυτή, ο ημερήσιος μέσος όρος δεν πρέπει να υπερβαίνει τα 20 mg/l ολικού αζώτου για όλα τα δείγματα, όταν η θερμοκρασία των λυμάτων στο βιοαντιδραστήρα είναι ανώτερη ή ίση των 12 °C. Αντί για την προϋπόθεση της θερμοκρασίας, μπορεί να εφαρμοστεί ένας περιορισμένος χρόνος λειτουργίας, ανάλογος με τις τοπικές κλιματικές συνθήκες.</w:t>
      </w:r>
    </w:p>
  </w:footnote>
  <w:footnote w:id="10">
    <w:p w:rsidR="00652D16" w:rsidRPr="001577EB" w:rsidRDefault="00652D16" w:rsidP="008370E1">
      <w:pPr>
        <w:pStyle w:val="FootnoteText"/>
        <w:rPr>
          <w:highlight w:val="lightGray"/>
        </w:rPr>
      </w:pPr>
      <w:r>
        <w:rPr>
          <w:rStyle w:val="FootnoteReference"/>
          <w:highlight w:val="lightGray"/>
          <w:lang w:val="en-US"/>
        </w:rPr>
        <w:footnoteRef/>
      </w:r>
      <w:r>
        <w:tab/>
      </w:r>
      <w:r>
        <w:rPr>
          <w:rStyle w:val="CRRefonteDeleted"/>
          <w:highlight w:val="lightGray"/>
        </w:rPr>
        <w:t>Οι ως άνω τιμές συγκέντρωσης αποτελούν ετήσιο μέσο όρο, σύμφωνα με το παράρτημα Ι σημείο Δ. 4. γ). Ωστόσο, οι απαιτήσεις για το άζωτο μπορούν να επαληθευθούν χρησιμοποιώντας τον ημερήσιο μέσο όρο όταν έχει αποδειχθεί, σύμφωνα με το παράρτημα Ι σημείο Δ. 1, ότι επιτυγχάνεται το ίδιο επίπεδο προστασίας. Στην περίπτωση αυτή, ο ημερήσιος μέσος όρος δεν πρέπει να υπερβαίνει τα 20 mg/l ολικού αζώτου για όλα τα δείγματα, όταν η θερμοκρασία των λυμάτων στο βιοαντιδραστήρα είναι ανώτερη ή ίση των 12 °C. Αντί για την προϋπόθεση της θερμοκρασίας, μπορεί να εφαρμοστεί ένας περιορισμένος χρόνος λειτουργίας, ανάλογος με τις τοπικές κλιματικές συνθήκες.</w:t>
      </w:r>
    </w:p>
  </w:footnote>
  <w:footnote w:id="11">
    <w:p w:rsidR="00652D16" w:rsidRDefault="00652D16" w:rsidP="008370E1">
      <w:pPr>
        <w:pStyle w:val="FootnoteText"/>
      </w:pPr>
      <w:r>
        <w:rPr>
          <w:rStyle w:val="FootnoteReference"/>
          <w:lang w:val="en-US"/>
        </w:rPr>
        <w:footnoteRef/>
      </w:r>
      <w:r>
        <w:tab/>
      </w:r>
      <w:r>
        <w:rPr>
          <w:rStyle w:val="CRMinorChangeDeleted"/>
        </w:rPr>
        <w:t>ΕΕ αριθ. L 194 της 25.7.1975, σ. 26. Η οδηγία τροποποιήθηκε από την οδηγία 79/869/ΕΟΚ (ΕΕ αριθ. L 271 της 29.10.1979, σ. 44).</w:t>
      </w:r>
    </w:p>
  </w:footnote>
  <w:footnote w:id="12">
    <w:p w:rsidR="00652D16" w:rsidRPr="008B0BDA" w:rsidRDefault="00652D16" w:rsidP="008370E1">
      <w:pPr>
        <w:pStyle w:val="FootnoteText"/>
        <w:rPr>
          <w:highlight w:val="lightGray"/>
        </w:rPr>
      </w:pPr>
      <w:r>
        <w:rPr>
          <w:rStyle w:val="FootnoteReference"/>
          <w:highlight w:val="lightGray"/>
        </w:rPr>
        <w:footnoteRef/>
      </w:r>
      <w:r>
        <w:tab/>
      </w:r>
      <w:r>
        <w:rPr>
          <w:highlight w:val="lightGray"/>
        </w:rPr>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13">
    <w:p w:rsidR="00652D16" w:rsidRPr="008B0BDA" w:rsidRDefault="00652D16" w:rsidP="008370E1">
      <w:pPr>
        <w:pStyle w:val="FootnoteText"/>
        <w:rPr>
          <w:highlight w:val="lightGray"/>
        </w:rPr>
      </w:pPr>
      <w:r>
        <w:rPr>
          <w:rStyle w:val="FootnoteReference"/>
          <w:highlight w:val="lightGray"/>
        </w:rPr>
        <w:footnoteRef/>
      </w:r>
      <w:r>
        <w:tab/>
      </w:r>
      <w:r>
        <w:rPr>
          <w:highlight w:val="lightGray"/>
        </w:rPr>
        <w:t>Κανονισμός (ΕΚ) αριθ. 1223/2009 του Ευρωπαϊκού Κοινοβουλίου και του Συμβουλίου, της 30ής Νοεμβρίου 2009, για τα καλλυντικά προϊόντα (ΕΕ L 342 της 22.12.2009, σ. 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19" w:rsidRPr="00841019" w:rsidRDefault="00841019" w:rsidP="00841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3A5D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09AB3D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AD0159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91469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3AB6A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182C2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22D19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5221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454695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8"/>
  </w:num>
  <w:num w:numId="11">
    <w:abstractNumId w:val="16"/>
  </w:num>
  <w:num w:numId="12">
    <w:abstractNumId w:val="23"/>
  </w:num>
  <w:num w:numId="13">
    <w:abstractNumId w:val="22"/>
  </w:num>
  <w:num w:numId="14">
    <w:abstractNumId w:val="9"/>
  </w:num>
  <w:num w:numId="15">
    <w:abstractNumId w:val="17"/>
  </w:num>
  <w:num w:numId="16">
    <w:abstractNumId w:val="10"/>
  </w:num>
  <w:num w:numId="17">
    <w:abstractNumId w:val="2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8">
    <w:abstractNumId w:val="24"/>
  </w:num>
  <w:num w:numId="19">
    <w:abstractNumId w:val="28"/>
  </w:num>
  <w:num w:numId="20">
    <w:abstractNumId w:val="18"/>
  </w:num>
  <w:num w:numId="21">
    <w:abstractNumId w:val="30"/>
  </w:num>
  <w:num w:numId="22">
    <w:abstractNumId w:val="14"/>
  </w:num>
  <w:num w:numId="23">
    <w:abstractNumId w:val="19"/>
  </w:num>
  <w:num w:numId="24">
    <w:abstractNumId w:val="20"/>
  </w:num>
  <w:num w:numId="25">
    <w:abstractNumId w:val="12"/>
  </w:num>
  <w:num w:numId="26">
    <w:abstractNumId w:val="29"/>
  </w:num>
  <w:num w:numId="27">
    <w:abstractNumId w:val="11"/>
  </w:num>
  <w:num w:numId="28">
    <w:abstractNumId w:val="21"/>
  </w:num>
  <w:num w:numId="29">
    <w:abstractNumId w:val="26"/>
  </w:num>
  <w:num w:numId="30">
    <w:abstractNumId w:val="27"/>
  </w:num>
  <w:num w:numId="31">
    <w:abstractNumId w:val="13"/>
  </w:num>
  <w:num w:numId="32">
    <w:abstractNumId w:val="25"/>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17 18:17:1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964?\u951?\u962?"/>
    <w:docVar w:name="LW_ACCOMPAGNANT.CP" w:val="της"/>
    <w:docVar w:name="LW_ANNEX_NBR_FIRST" w:val="1"/>
    <w:docVar w:name="LW_ANNEX_NBR_LAST" w:val="8"/>
    <w:docVar w:name="LW_ANNEX_UNIQUE" w:val="0"/>
    <w:docVar w:name="LW_CORRIGENDUM" w:val="&lt;UNUSED&gt;"/>
    <w:docVar w:name="LW_COVERPAGE_EXISTS" w:val="True"/>
    <w:docVar w:name="LW_COVERPAGE_GUID" w:val="4B77DFD8-D156-4A4B-ADB9-30A473C47177"/>
    <w:docVar w:name="LW_COVERPAGE_TYPE" w:val="1"/>
    <w:docVar w:name="LW_CROSSREFERENCE" w:val="{SEC(2022) 541 final} - {SWD(2022) 541 final} - {SWD(2022) 544 final}"/>
    <w:docVar w:name="LW_DocType" w:val="ANNEX"/>
    <w:docVar w:name="LW_EMISSION" w:val="26.10.2022"/>
    <w:docVar w:name="LW_EMISSION_ISODATE" w:val="2022-10-26"/>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27?\u916?\u919?\u915?\u921?\u913? \u932?\u927?\u933? \u917?\u933?\u929?\u937?\u928?\u913?\u938?\u922?\u927?\u933? \u922?\u927?\u921?\u925?\u927?\u914?\u927?\u933?\u923?\u921?\u927?\u933? \u922?\u913?\u921? \u932?\u927?\u933? \u931?\u933?\u924?\u914?\u927?\u933?\u923?\u921?\u927?\u933?_x000d__x000b_\u947?\u953?\u945? \u964?\u951?\u957? \u949?\u960?\u949?\u958?\u949?\u961?\u947?\u945?\u963?\u943?\u945? \u964?\u969?\u957? \u945?\u963?\u964?\u953?\u954?\u974?\u957? \u955?\u965?\u956?\u940?\u964?\u969?\u957? (\u945?\u957?\u945?\u948?\u953?\u945?\u964?\u973?\u960?\u969?\u963?\u951?)"/>
    <w:docVar w:name="LW_OBJETACTEPRINCIPAL.CP" w:val="ΟΔΗΓΙΑ ΤΟΥ ΕΥΡΩΠΑΪΚΟΥ ΚΟΙΝΟΒΟΥΛΙΟΥ ΚΑΙ ΤΟΥ ΣΥΜΒΟΥΛΙΟΥ_x000d__x000b_για την επεξεργασία των αστικών λυμάτων (αναδιατύπωση)"/>
    <w:docVar w:name="LW_PART_NBR" w:val="&lt;UNUSED&gt;"/>
    <w:docVar w:name="LW_PART_NBR_TOTAL" w:val="&lt;UNUSED&gt;"/>
    <w:docVar w:name="LW_REF.INST.NEW" w:val="COM"/>
    <w:docVar w:name="LW_REF.INST.NEW_ADOPTED" w:val="final"/>
    <w:docVar w:name="LW_REF.INST.NEW_TEXT" w:val="(2022)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u932?\u913?"/>
    <w:docVar w:name="LW_TYPE.DOC.CP" w:val="ΠΑΡΑΡΤΗΜΑΤΑ"/>
    <w:docVar w:name="LW_TYPEACTEPRINCIPAL" w:val="\u960?\u961?\u972?\u964?\u945?\u963?\u951?\u962? \u947?\u953?\u945?_x000b_"/>
    <w:docVar w:name="LW_TYPEACTEPRINCIPAL.CP" w:val="πρότασης για_x000b_"/>
    <w:docVar w:name="LwApiVersions" w:val="LW4CoDe 1.23.2.0; LW 8.0, Build 20211117"/>
  </w:docVars>
  <w:rsids>
    <w:rsidRoot w:val="00515465"/>
    <w:rsid w:val="000350A6"/>
    <w:rsid w:val="000504B9"/>
    <w:rsid w:val="00064897"/>
    <w:rsid w:val="00096860"/>
    <w:rsid w:val="000F5467"/>
    <w:rsid w:val="00112DAA"/>
    <w:rsid w:val="001155B5"/>
    <w:rsid w:val="00121019"/>
    <w:rsid w:val="00165C4F"/>
    <w:rsid w:val="001B07D6"/>
    <w:rsid w:val="001B7C02"/>
    <w:rsid w:val="001E1067"/>
    <w:rsid w:val="001E7402"/>
    <w:rsid w:val="001F343E"/>
    <w:rsid w:val="002019D7"/>
    <w:rsid w:val="00206FCB"/>
    <w:rsid w:val="00231478"/>
    <w:rsid w:val="00231496"/>
    <w:rsid w:val="0027630F"/>
    <w:rsid w:val="00294D73"/>
    <w:rsid w:val="002A69D3"/>
    <w:rsid w:val="002A7236"/>
    <w:rsid w:val="002B18CE"/>
    <w:rsid w:val="002B22DA"/>
    <w:rsid w:val="002C226B"/>
    <w:rsid w:val="002C2D1F"/>
    <w:rsid w:val="00326895"/>
    <w:rsid w:val="00327700"/>
    <w:rsid w:val="00336462"/>
    <w:rsid w:val="00350AD0"/>
    <w:rsid w:val="003933ED"/>
    <w:rsid w:val="00396BEA"/>
    <w:rsid w:val="003C692B"/>
    <w:rsid w:val="00417CA0"/>
    <w:rsid w:val="00430F17"/>
    <w:rsid w:val="00431F8B"/>
    <w:rsid w:val="00464696"/>
    <w:rsid w:val="0046653A"/>
    <w:rsid w:val="00474BB6"/>
    <w:rsid w:val="00492EB7"/>
    <w:rsid w:val="00495583"/>
    <w:rsid w:val="004A3478"/>
    <w:rsid w:val="004F0724"/>
    <w:rsid w:val="00515465"/>
    <w:rsid w:val="00521296"/>
    <w:rsid w:val="00522821"/>
    <w:rsid w:val="00524DD9"/>
    <w:rsid w:val="005556DE"/>
    <w:rsid w:val="0056728F"/>
    <w:rsid w:val="005A713E"/>
    <w:rsid w:val="005E5E54"/>
    <w:rsid w:val="00626E37"/>
    <w:rsid w:val="006446CF"/>
    <w:rsid w:val="00652D16"/>
    <w:rsid w:val="006837FB"/>
    <w:rsid w:val="0069280D"/>
    <w:rsid w:val="006A6BCB"/>
    <w:rsid w:val="006D3C76"/>
    <w:rsid w:val="006D5920"/>
    <w:rsid w:val="006E0390"/>
    <w:rsid w:val="00700EEA"/>
    <w:rsid w:val="00714EB0"/>
    <w:rsid w:val="00721746"/>
    <w:rsid w:val="00766CE1"/>
    <w:rsid w:val="00774BEF"/>
    <w:rsid w:val="007C7F1D"/>
    <w:rsid w:val="007F7C03"/>
    <w:rsid w:val="00825485"/>
    <w:rsid w:val="00834323"/>
    <w:rsid w:val="008370E1"/>
    <w:rsid w:val="00841019"/>
    <w:rsid w:val="00841E9F"/>
    <w:rsid w:val="008A5652"/>
    <w:rsid w:val="008A6B34"/>
    <w:rsid w:val="008C245B"/>
    <w:rsid w:val="008D6398"/>
    <w:rsid w:val="009036C5"/>
    <w:rsid w:val="00905D22"/>
    <w:rsid w:val="00927F58"/>
    <w:rsid w:val="009459D7"/>
    <w:rsid w:val="00945DD0"/>
    <w:rsid w:val="009947AA"/>
    <w:rsid w:val="009C1317"/>
    <w:rsid w:val="009E3122"/>
    <w:rsid w:val="009E5F03"/>
    <w:rsid w:val="00A31F0A"/>
    <w:rsid w:val="00A47878"/>
    <w:rsid w:val="00A52E96"/>
    <w:rsid w:val="00A56579"/>
    <w:rsid w:val="00A6243B"/>
    <w:rsid w:val="00A62B73"/>
    <w:rsid w:val="00A71F6D"/>
    <w:rsid w:val="00A84E2F"/>
    <w:rsid w:val="00AD0A92"/>
    <w:rsid w:val="00AE5513"/>
    <w:rsid w:val="00AE7A65"/>
    <w:rsid w:val="00AF500B"/>
    <w:rsid w:val="00B418F8"/>
    <w:rsid w:val="00B4325D"/>
    <w:rsid w:val="00B6294B"/>
    <w:rsid w:val="00BA4F3C"/>
    <w:rsid w:val="00BB078B"/>
    <w:rsid w:val="00BB2D91"/>
    <w:rsid w:val="00BB30BC"/>
    <w:rsid w:val="00BD1216"/>
    <w:rsid w:val="00BF07A0"/>
    <w:rsid w:val="00C63BF9"/>
    <w:rsid w:val="00C63D13"/>
    <w:rsid w:val="00C953CA"/>
    <w:rsid w:val="00CB0053"/>
    <w:rsid w:val="00CE18C9"/>
    <w:rsid w:val="00CF5BC3"/>
    <w:rsid w:val="00D0294B"/>
    <w:rsid w:val="00D04ED3"/>
    <w:rsid w:val="00D31B2A"/>
    <w:rsid w:val="00D328C4"/>
    <w:rsid w:val="00D33986"/>
    <w:rsid w:val="00DC1100"/>
    <w:rsid w:val="00DC5C1C"/>
    <w:rsid w:val="00DD3CF2"/>
    <w:rsid w:val="00DF62F1"/>
    <w:rsid w:val="00E02907"/>
    <w:rsid w:val="00F01363"/>
    <w:rsid w:val="00F05361"/>
    <w:rsid w:val="00F07C59"/>
    <w:rsid w:val="00F50DA9"/>
    <w:rsid w:val="00F52D7E"/>
    <w:rsid w:val="00F7024E"/>
    <w:rsid w:val="00F82260"/>
    <w:rsid w:val="00FF0B04"/>
    <w:rsid w:val="00FF53D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0BCEE57-CDB1-4E1C-A277-88FBC973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paragraph" w:styleId="Heading8">
    <w:name w:val="heading 8"/>
    <w:basedOn w:val="Normal"/>
    <w:next w:val="Normal"/>
    <w:link w:val="Heading8Char"/>
    <w:uiPriority w:val="99"/>
    <w:qFormat/>
    <w:rsid w:val="008370E1"/>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rsid w:val="008370E1"/>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46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arker">
    <w:name w:val="CR Marker"/>
    <w:basedOn w:val="DefaultParagraphFont"/>
    <w:rsid w:val="00515465"/>
    <w:rPr>
      <w:rFonts w:ascii="Wingdings" w:hAnsi="Wingdings" w:cs="Wingdings"/>
    </w:rPr>
  </w:style>
  <w:style w:type="paragraph" w:customStyle="1" w:styleId="CRSeparator">
    <w:name w:val="CR Separator"/>
    <w:basedOn w:val="Normal"/>
    <w:next w:val="CRReference"/>
    <w:uiPriority w:val="99"/>
    <w:rsid w:val="00515465"/>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rsid w:val="00515465"/>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RefNum">
    <w:name w:val="CR RefNum"/>
    <w:basedOn w:val="DefaultParagraphFont"/>
    <w:uiPriority w:val="99"/>
    <w:rsid w:val="00515465"/>
    <w:rPr>
      <w:rFonts w:cs="Times New Roman"/>
      <w:vertAlign w:val="subscript"/>
    </w:rPr>
  </w:style>
  <w:style w:type="character" w:styleId="Emphasis">
    <w:name w:val="Emphasis"/>
    <w:basedOn w:val="DefaultParagraphFont"/>
    <w:uiPriority w:val="20"/>
    <w:qFormat/>
    <w:rsid w:val="00515465"/>
    <w:rPr>
      <w:i/>
      <w:iCs/>
    </w:rPr>
  </w:style>
  <w:style w:type="paragraph" w:customStyle="1" w:styleId="Annexetitreacte">
    <w:name w:val="Annexe titre (acte)"/>
    <w:basedOn w:val="Normal"/>
    <w:next w:val="Normal"/>
    <w:uiPriority w:val="99"/>
    <w:rsid w:val="00515465"/>
    <w:pPr>
      <w:jc w:val="center"/>
    </w:pPr>
    <w:rPr>
      <w:rFonts w:eastAsia="Times New Roman"/>
      <w:b/>
      <w:u w:val="single"/>
      <w:lang w:eastAsia="en-GB"/>
    </w:rPr>
  </w:style>
  <w:style w:type="character" w:styleId="CommentReference">
    <w:name w:val="annotation reference"/>
    <w:uiPriority w:val="99"/>
    <w:rsid w:val="00515465"/>
    <w:rPr>
      <w:rFonts w:cs="Times New Roman"/>
      <w:sz w:val="16"/>
      <w:szCs w:val="16"/>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99"/>
    <w:unhideWhenUsed/>
    <w:qFormat/>
    <w:rsid w:val="00417CA0"/>
    <w:pPr>
      <w:spacing w:before="0" w:after="200"/>
    </w:pPr>
    <w:rPr>
      <w:i/>
      <w:iCs/>
      <w:color w:val="1F497D" w:themeColor="text2"/>
      <w:sz w:val="18"/>
      <w:szCs w:val="18"/>
    </w:rPr>
  </w:style>
  <w:style w:type="paragraph" w:styleId="TableofFigures">
    <w:name w:val="table of figures"/>
    <w:basedOn w:val="Normal"/>
    <w:next w:val="Normal"/>
    <w:unhideWhenUsed/>
    <w:rsid w:val="00417CA0"/>
    <w:pPr>
      <w:spacing w:after="0"/>
    </w:pPr>
  </w:style>
  <w:style w:type="paragraph" w:styleId="ListBullet">
    <w:name w:val="List Bullet"/>
    <w:basedOn w:val="Normal"/>
    <w:unhideWhenUsed/>
    <w:rsid w:val="00417CA0"/>
    <w:pPr>
      <w:numPr>
        <w:numId w:val="1"/>
      </w:numPr>
      <w:contextualSpacing/>
    </w:pPr>
  </w:style>
  <w:style w:type="paragraph" w:styleId="ListBullet2">
    <w:name w:val="List Bullet 2"/>
    <w:basedOn w:val="Normal"/>
    <w:unhideWhenUsed/>
    <w:rsid w:val="00417CA0"/>
    <w:pPr>
      <w:numPr>
        <w:numId w:val="2"/>
      </w:numPr>
      <w:contextualSpacing/>
    </w:pPr>
  </w:style>
  <w:style w:type="paragraph" w:styleId="ListBullet3">
    <w:name w:val="List Bullet 3"/>
    <w:basedOn w:val="Normal"/>
    <w:unhideWhenUsed/>
    <w:rsid w:val="00417CA0"/>
    <w:pPr>
      <w:numPr>
        <w:numId w:val="3"/>
      </w:numPr>
      <w:contextualSpacing/>
    </w:pPr>
  </w:style>
  <w:style w:type="paragraph" w:styleId="ListBullet4">
    <w:name w:val="List Bullet 4"/>
    <w:basedOn w:val="Normal"/>
    <w:unhideWhenUsed/>
    <w:rsid w:val="00417CA0"/>
    <w:pPr>
      <w:numPr>
        <w:numId w:val="4"/>
      </w:numPr>
      <w:contextualSpacing/>
    </w:pPr>
  </w:style>
  <w:style w:type="paragraph" w:styleId="ListNumber">
    <w:name w:val="List Number"/>
    <w:basedOn w:val="Normal"/>
    <w:unhideWhenUsed/>
    <w:rsid w:val="00417CA0"/>
    <w:pPr>
      <w:numPr>
        <w:numId w:val="5"/>
      </w:numPr>
      <w:contextualSpacing/>
    </w:pPr>
  </w:style>
  <w:style w:type="paragraph" w:styleId="ListNumber2">
    <w:name w:val="List Number 2"/>
    <w:basedOn w:val="Normal"/>
    <w:unhideWhenUsed/>
    <w:rsid w:val="00417CA0"/>
    <w:pPr>
      <w:numPr>
        <w:numId w:val="6"/>
      </w:numPr>
      <w:contextualSpacing/>
    </w:pPr>
  </w:style>
  <w:style w:type="paragraph" w:styleId="ListNumber3">
    <w:name w:val="List Number 3"/>
    <w:basedOn w:val="Normal"/>
    <w:unhideWhenUsed/>
    <w:rsid w:val="00417CA0"/>
    <w:pPr>
      <w:numPr>
        <w:numId w:val="7"/>
      </w:numPr>
      <w:contextualSpacing/>
    </w:pPr>
  </w:style>
  <w:style w:type="paragraph" w:styleId="ListNumber4">
    <w:name w:val="List Number 4"/>
    <w:basedOn w:val="Normal"/>
    <w:unhideWhenUsed/>
    <w:rsid w:val="00417CA0"/>
    <w:pPr>
      <w:numPr>
        <w:numId w:val="8"/>
      </w:numPr>
      <w:contextualSpacing/>
    </w:pPr>
  </w:style>
  <w:style w:type="paragraph" w:customStyle="1" w:styleId="LegalNumPar">
    <w:name w:val="LegalNumPar"/>
    <w:basedOn w:val="Normal"/>
    <w:rsid w:val="00A84E2F"/>
    <w:pPr>
      <w:numPr>
        <w:numId w:val="9"/>
      </w:numPr>
      <w:spacing w:line="360" w:lineRule="auto"/>
    </w:pPr>
  </w:style>
  <w:style w:type="paragraph" w:customStyle="1" w:styleId="LegalNumPar2">
    <w:name w:val="LegalNumPar2"/>
    <w:basedOn w:val="Normal"/>
    <w:rsid w:val="00A84E2F"/>
    <w:pPr>
      <w:numPr>
        <w:ilvl w:val="1"/>
        <w:numId w:val="9"/>
      </w:numPr>
      <w:spacing w:line="360" w:lineRule="auto"/>
    </w:pPr>
  </w:style>
  <w:style w:type="paragraph" w:customStyle="1" w:styleId="LegalNumPar3">
    <w:name w:val="LegalNumPar3"/>
    <w:basedOn w:val="Normal"/>
    <w:rsid w:val="00A84E2F"/>
    <w:pPr>
      <w:numPr>
        <w:ilvl w:val="2"/>
        <w:numId w:val="9"/>
      </w:numPr>
      <w:spacing w:line="360" w:lineRule="auto"/>
    </w:pPr>
  </w:style>
  <w:style w:type="paragraph" w:styleId="CommentText">
    <w:name w:val="annotation text"/>
    <w:basedOn w:val="Normal"/>
    <w:link w:val="CommentTextChar"/>
    <w:uiPriority w:val="99"/>
    <w:unhideWhenUsed/>
    <w:qFormat/>
    <w:rsid w:val="00A47878"/>
    <w:rPr>
      <w:sz w:val="20"/>
      <w:szCs w:val="20"/>
    </w:rPr>
  </w:style>
  <w:style w:type="character" w:customStyle="1" w:styleId="CommentTextChar">
    <w:name w:val="Comment Text Char"/>
    <w:basedOn w:val="DefaultParagraphFont"/>
    <w:link w:val="CommentText"/>
    <w:uiPriority w:val="99"/>
    <w:rsid w:val="00A47878"/>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unhideWhenUsed/>
    <w:rsid w:val="00A47878"/>
    <w:rPr>
      <w:b/>
      <w:bCs/>
    </w:rPr>
  </w:style>
  <w:style w:type="character" w:customStyle="1" w:styleId="CommentSubjectChar">
    <w:name w:val="Comment Subject Char"/>
    <w:basedOn w:val="CommentTextChar"/>
    <w:link w:val="CommentSubject"/>
    <w:uiPriority w:val="99"/>
    <w:rsid w:val="00A47878"/>
    <w:rPr>
      <w:rFonts w:ascii="Times New Roman" w:hAnsi="Times New Roman" w:cs="Times New Roman"/>
      <w:b/>
      <w:bCs/>
      <w:sz w:val="20"/>
      <w:szCs w:val="20"/>
      <w:lang w:val="el-GR"/>
    </w:rPr>
  </w:style>
  <w:style w:type="character" w:styleId="Hyperlink">
    <w:name w:val="Hyperlink"/>
    <w:basedOn w:val="DefaultParagraphFont"/>
    <w:uiPriority w:val="99"/>
    <w:unhideWhenUsed/>
    <w:rsid w:val="00A47878"/>
    <w:rPr>
      <w:color w:val="0000FF" w:themeColor="hyperlink"/>
      <w:u w:val="single"/>
    </w:rPr>
  </w:style>
  <w:style w:type="paragraph" w:styleId="BalloonText">
    <w:name w:val="Balloon Text"/>
    <w:basedOn w:val="Normal"/>
    <w:link w:val="BalloonTextChar"/>
    <w:uiPriority w:val="99"/>
    <w:unhideWhenUsed/>
    <w:rsid w:val="00A478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47878"/>
    <w:rPr>
      <w:rFonts w:ascii="Segoe UI" w:hAnsi="Segoe UI" w:cs="Segoe UI"/>
      <w:sz w:val="18"/>
      <w:szCs w:val="18"/>
      <w:lang w:val="el-GR"/>
    </w:rPr>
  </w:style>
  <w:style w:type="character" w:customStyle="1" w:styleId="Heading8Char">
    <w:name w:val="Heading 8 Char"/>
    <w:basedOn w:val="DefaultParagraphFont"/>
    <w:link w:val="Heading8"/>
    <w:uiPriority w:val="99"/>
    <w:rsid w:val="008370E1"/>
    <w:rPr>
      <w:rFonts w:ascii="Arial" w:eastAsia="Times New Roman" w:hAnsi="Arial" w:cs="Arial"/>
      <w:i/>
      <w:iCs/>
      <w:sz w:val="20"/>
      <w:szCs w:val="20"/>
      <w:lang w:val="el-GR" w:eastAsia="en-GB"/>
    </w:rPr>
  </w:style>
  <w:style w:type="character" w:customStyle="1" w:styleId="Heading9Char">
    <w:name w:val="Heading 9 Char"/>
    <w:basedOn w:val="DefaultParagraphFont"/>
    <w:link w:val="Heading9"/>
    <w:uiPriority w:val="99"/>
    <w:rsid w:val="008370E1"/>
    <w:rPr>
      <w:rFonts w:ascii="Arial" w:eastAsia="Times New Roman" w:hAnsi="Arial" w:cs="Arial"/>
      <w:i/>
      <w:iCs/>
      <w:sz w:val="18"/>
      <w:szCs w:val="18"/>
      <w:lang w:val="el-GR" w:eastAsia="en-GB"/>
    </w:rPr>
  </w:style>
  <w:style w:type="paragraph" w:customStyle="1" w:styleId="ListBullet1">
    <w:name w:val="List Bullet 1"/>
    <w:basedOn w:val="Normal"/>
    <w:rsid w:val="008370E1"/>
    <w:pPr>
      <w:numPr>
        <w:numId w:val="10"/>
      </w:numPr>
    </w:pPr>
    <w:rPr>
      <w:rFonts w:eastAsia="Times New Roman"/>
      <w:lang w:eastAsia="de-DE"/>
    </w:rPr>
  </w:style>
  <w:style w:type="paragraph" w:customStyle="1" w:styleId="ListDash">
    <w:name w:val="List Dash"/>
    <w:basedOn w:val="Normal"/>
    <w:rsid w:val="008370E1"/>
    <w:pPr>
      <w:numPr>
        <w:numId w:val="11"/>
      </w:numPr>
    </w:pPr>
    <w:rPr>
      <w:rFonts w:eastAsia="Times New Roman"/>
      <w:lang w:eastAsia="de-DE"/>
    </w:rPr>
  </w:style>
  <w:style w:type="paragraph" w:customStyle="1" w:styleId="ListDash1">
    <w:name w:val="List Dash 1"/>
    <w:basedOn w:val="Normal"/>
    <w:rsid w:val="008370E1"/>
    <w:pPr>
      <w:numPr>
        <w:numId w:val="12"/>
      </w:numPr>
    </w:pPr>
    <w:rPr>
      <w:rFonts w:eastAsia="Times New Roman"/>
      <w:lang w:eastAsia="de-DE"/>
    </w:rPr>
  </w:style>
  <w:style w:type="paragraph" w:customStyle="1" w:styleId="ListDash2">
    <w:name w:val="List Dash 2"/>
    <w:basedOn w:val="Normal"/>
    <w:rsid w:val="008370E1"/>
    <w:pPr>
      <w:numPr>
        <w:numId w:val="13"/>
      </w:numPr>
    </w:pPr>
    <w:rPr>
      <w:rFonts w:eastAsia="Times New Roman"/>
      <w:lang w:eastAsia="de-DE"/>
    </w:rPr>
  </w:style>
  <w:style w:type="paragraph" w:customStyle="1" w:styleId="ListNumberLevel2">
    <w:name w:val="List Number (Level 2)"/>
    <w:basedOn w:val="Normal"/>
    <w:rsid w:val="008370E1"/>
    <w:pPr>
      <w:tabs>
        <w:tab w:val="num" w:pos="1417"/>
      </w:tabs>
      <w:ind w:left="1417" w:hanging="708"/>
    </w:pPr>
    <w:rPr>
      <w:rFonts w:eastAsia="Times New Roman"/>
      <w:lang w:eastAsia="de-DE"/>
    </w:rPr>
  </w:style>
  <w:style w:type="paragraph" w:customStyle="1" w:styleId="ListNumberLevel3">
    <w:name w:val="List Number (Level 3)"/>
    <w:basedOn w:val="Normal"/>
    <w:rsid w:val="008370E1"/>
    <w:pPr>
      <w:tabs>
        <w:tab w:val="num" w:pos="2126"/>
      </w:tabs>
      <w:ind w:left="2126" w:hanging="709"/>
    </w:pPr>
    <w:rPr>
      <w:rFonts w:eastAsia="Times New Roman"/>
      <w:lang w:eastAsia="de-DE"/>
    </w:rPr>
  </w:style>
  <w:style w:type="paragraph" w:customStyle="1" w:styleId="ListNumberLevel4">
    <w:name w:val="List Number (Level 4)"/>
    <w:basedOn w:val="Normal"/>
    <w:rsid w:val="008370E1"/>
    <w:pPr>
      <w:tabs>
        <w:tab w:val="num" w:pos="2835"/>
      </w:tabs>
      <w:ind w:left="2835" w:hanging="709"/>
    </w:pPr>
    <w:rPr>
      <w:rFonts w:eastAsia="Times New Roman"/>
      <w:lang w:eastAsia="de-DE"/>
    </w:rPr>
  </w:style>
  <w:style w:type="paragraph" w:customStyle="1" w:styleId="ListDash3">
    <w:name w:val="List Dash 3"/>
    <w:basedOn w:val="Normal"/>
    <w:rsid w:val="008370E1"/>
    <w:pPr>
      <w:numPr>
        <w:numId w:val="14"/>
      </w:numPr>
    </w:pPr>
    <w:rPr>
      <w:rFonts w:eastAsia="Times New Roman"/>
      <w:lang w:eastAsia="en-GB"/>
    </w:rPr>
  </w:style>
  <w:style w:type="paragraph" w:customStyle="1" w:styleId="ListDash4">
    <w:name w:val="List Dash 4"/>
    <w:basedOn w:val="Normal"/>
    <w:rsid w:val="008370E1"/>
    <w:pPr>
      <w:numPr>
        <w:numId w:val="15"/>
      </w:numPr>
    </w:pPr>
    <w:rPr>
      <w:rFonts w:eastAsia="Times New Roman"/>
      <w:lang w:eastAsia="en-GB"/>
    </w:rPr>
  </w:style>
  <w:style w:type="paragraph" w:customStyle="1" w:styleId="ListNumber1">
    <w:name w:val="List Number 1"/>
    <w:basedOn w:val="Text1"/>
    <w:rsid w:val="008370E1"/>
    <w:pPr>
      <w:numPr>
        <w:numId w:val="16"/>
      </w:numPr>
    </w:pPr>
    <w:rPr>
      <w:rFonts w:eastAsia="Times New Roman"/>
      <w:lang w:eastAsia="en-GB"/>
    </w:rPr>
  </w:style>
  <w:style w:type="paragraph" w:customStyle="1" w:styleId="ListNumber1Level2">
    <w:name w:val="List Number 1 (Level 2)"/>
    <w:basedOn w:val="Text1"/>
    <w:rsid w:val="008370E1"/>
    <w:pPr>
      <w:numPr>
        <w:ilvl w:val="1"/>
        <w:numId w:val="16"/>
      </w:numPr>
    </w:pPr>
    <w:rPr>
      <w:rFonts w:eastAsia="Times New Roman"/>
      <w:lang w:eastAsia="en-GB"/>
    </w:rPr>
  </w:style>
  <w:style w:type="paragraph" w:customStyle="1" w:styleId="ListNumber2Level2">
    <w:name w:val="List Number 2 (Level 2)"/>
    <w:basedOn w:val="Text2"/>
    <w:rsid w:val="008370E1"/>
    <w:pPr>
      <w:tabs>
        <w:tab w:val="num" w:pos="2268"/>
      </w:tabs>
      <w:ind w:left="2268" w:hanging="708"/>
    </w:pPr>
    <w:rPr>
      <w:rFonts w:eastAsia="Times New Roman"/>
      <w:lang w:eastAsia="en-GB"/>
    </w:rPr>
  </w:style>
  <w:style w:type="paragraph" w:customStyle="1" w:styleId="ListNumber3Level2">
    <w:name w:val="List Number 3 (Level 2)"/>
    <w:basedOn w:val="Text3"/>
    <w:rsid w:val="008370E1"/>
    <w:pPr>
      <w:tabs>
        <w:tab w:val="num" w:pos="2268"/>
      </w:tabs>
      <w:ind w:left="2268" w:hanging="708"/>
    </w:pPr>
    <w:rPr>
      <w:rFonts w:eastAsia="Times New Roman"/>
      <w:lang w:eastAsia="en-GB"/>
    </w:rPr>
  </w:style>
  <w:style w:type="paragraph" w:customStyle="1" w:styleId="ListNumber4Level2">
    <w:name w:val="List Number 4 (Level 2)"/>
    <w:basedOn w:val="Text4"/>
    <w:rsid w:val="008370E1"/>
    <w:pPr>
      <w:tabs>
        <w:tab w:val="num" w:pos="2268"/>
      </w:tabs>
      <w:ind w:left="2268" w:hanging="708"/>
    </w:pPr>
    <w:rPr>
      <w:rFonts w:eastAsia="Times New Roman"/>
      <w:lang w:eastAsia="en-GB"/>
    </w:rPr>
  </w:style>
  <w:style w:type="paragraph" w:customStyle="1" w:styleId="ListNumber1Level3">
    <w:name w:val="List Number 1 (Level 3)"/>
    <w:basedOn w:val="Text1"/>
    <w:rsid w:val="008370E1"/>
    <w:pPr>
      <w:numPr>
        <w:ilvl w:val="2"/>
        <w:numId w:val="16"/>
      </w:numPr>
    </w:pPr>
    <w:rPr>
      <w:rFonts w:eastAsia="Times New Roman"/>
      <w:lang w:eastAsia="en-GB"/>
    </w:rPr>
  </w:style>
  <w:style w:type="paragraph" w:customStyle="1" w:styleId="ListNumber2Level3">
    <w:name w:val="List Number 2 (Level 3)"/>
    <w:basedOn w:val="Text2"/>
    <w:rsid w:val="008370E1"/>
    <w:pPr>
      <w:tabs>
        <w:tab w:val="num" w:pos="2977"/>
      </w:tabs>
      <w:ind w:left="2977" w:hanging="709"/>
    </w:pPr>
    <w:rPr>
      <w:rFonts w:eastAsia="Times New Roman"/>
      <w:lang w:eastAsia="en-GB"/>
    </w:rPr>
  </w:style>
  <w:style w:type="paragraph" w:customStyle="1" w:styleId="ListNumber3Level3">
    <w:name w:val="List Number 3 (Level 3)"/>
    <w:basedOn w:val="Text3"/>
    <w:rsid w:val="008370E1"/>
    <w:pPr>
      <w:tabs>
        <w:tab w:val="num" w:pos="2977"/>
      </w:tabs>
      <w:ind w:left="2977" w:hanging="709"/>
    </w:pPr>
    <w:rPr>
      <w:rFonts w:eastAsia="Times New Roman"/>
      <w:lang w:eastAsia="en-GB"/>
    </w:rPr>
  </w:style>
  <w:style w:type="paragraph" w:customStyle="1" w:styleId="ListNumber4Level3">
    <w:name w:val="List Number 4 (Level 3)"/>
    <w:basedOn w:val="Text4"/>
    <w:rsid w:val="008370E1"/>
    <w:pPr>
      <w:tabs>
        <w:tab w:val="num" w:pos="2977"/>
      </w:tabs>
      <w:ind w:left="2977" w:hanging="709"/>
    </w:pPr>
    <w:rPr>
      <w:rFonts w:eastAsia="Times New Roman"/>
      <w:lang w:eastAsia="en-GB"/>
    </w:rPr>
  </w:style>
  <w:style w:type="paragraph" w:customStyle="1" w:styleId="ListNumber1Level4">
    <w:name w:val="List Number 1 (Level 4)"/>
    <w:basedOn w:val="Text1"/>
    <w:rsid w:val="008370E1"/>
    <w:pPr>
      <w:numPr>
        <w:ilvl w:val="3"/>
        <w:numId w:val="16"/>
      </w:numPr>
    </w:pPr>
    <w:rPr>
      <w:rFonts w:eastAsia="Times New Roman"/>
      <w:lang w:eastAsia="en-GB"/>
    </w:rPr>
  </w:style>
  <w:style w:type="paragraph" w:customStyle="1" w:styleId="ListNumber2Level4">
    <w:name w:val="List Number 2 (Level 4)"/>
    <w:basedOn w:val="Text2"/>
    <w:rsid w:val="008370E1"/>
    <w:pPr>
      <w:tabs>
        <w:tab w:val="num" w:pos="3686"/>
      </w:tabs>
      <w:ind w:left="3686" w:hanging="709"/>
    </w:pPr>
    <w:rPr>
      <w:rFonts w:eastAsia="Times New Roman"/>
      <w:lang w:eastAsia="en-GB"/>
    </w:rPr>
  </w:style>
  <w:style w:type="paragraph" w:customStyle="1" w:styleId="ListNumber3Level4">
    <w:name w:val="List Number 3 (Level 4)"/>
    <w:basedOn w:val="Text3"/>
    <w:rsid w:val="008370E1"/>
    <w:pPr>
      <w:tabs>
        <w:tab w:val="num" w:pos="3686"/>
      </w:tabs>
      <w:ind w:left="3686" w:hanging="709"/>
    </w:pPr>
    <w:rPr>
      <w:rFonts w:eastAsia="Times New Roman"/>
      <w:lang w:eastAsia="en-GB"/>
    </w:rPr>
  </w:style>
  <w:style w:type="paragraph" w:customStyle="1" w:styleId="ListNumber4Level4">
    <w:name w:val="List Number 4 (Level 4)"/>
    <w:basedOn w:val="Text4"/>
    <w:rsid w:val="008370E1"/>
    <w:pPr>
      <w:tabs>
        <w:tab w:val="num" w:pos="3686"/>
      </w:tabs>
      <w:ind w:left="3686" w:hanging="709"/>
    </w:pPr>
    <w:rPr>
      <w:rFonts w:eastAsia="Times New Roman"/>
      <w:lang w:eastAsia="en-GB"/>
    </w:rPr>
  </w:style>
  <w:style w:type="paragraph" w:customStyle="1" w:styleId="Annexetitreexposglobal">
    <w:name w:val="Annexe titre (exposé global)"/>
    <w:basedOn w:val="Normal"/>
    <w:next w:val="Normal"/>
    <w:uiPriority w:val="99"/>
    <w:rsid w:val="008370E1"/>
    <w:pPr>
      <w:jc w:val="center"/>
    </w:pPr>
    <w:rPr>
      <w:rFonts w:eastAsia="Times New Roman"/>
      <w:b/>
      <w:u w:val="single"/>
      <w:lang w:eastAsia="en-GB"/>
    </w:rPr>
  </w:style>
  <w:style w:type="paragraph" w:customStyle="1" w:styleId="Annexetitrefichefinacte">
    <w:name w:val="Annexe titre (fiche fin. acte)"/>
    <w:basedOn w:val="Normal"/>
    <w:next w:val="Normal"/>
    <w:uiPriority w:val="99"/>
    <w:rsid w:val="008370E1"/>
    <w:pPr>
      <w:jc w:val="center"/>
    </w:pPr>
    <w:rPr>
      <w:rFonts w:eastAsia="Times New Roman"/>
      <w:b/>
      <w:u w:val="single"/>
      <w:lang w:eastAsia="en-GB"/>
    </w:rPr>
  </w:style>
  <w:style w:type="paragraph" w:customStyle="1" w:styleId="Annexetitrefichefinglobale">
    <w:name w:val="Annexe titre (fiche fin. globale)"/>
    <w:basedOn w:val="Normal"/>
    <w:next w:val="Normal"/>
    <w:uiPriority w:val="99"/>
    <w:rsid w:val="008370E1"/>
    <w:pPr>
      <w:jc w:val="center"/>
    </w:pPr>
    <w:rPr>
      <w:rFonts w:eastAsia="Times New Roman"/>
      <w:b/>
      <w:u w:val="single"/>
      <w:lang w:eastAsia="en-GB"/>
    </w:rPr>
  </w:style>
  <w:style w:type="paragraph" w:customStyle="1" w:styleId="Annexetitreglobale">
    <w:name w:val="Annexe titre (globale)"/>
    <w:basedOn w:val="Normal"/>
    <w:next w:val="Normal"/>
    <w:uiPriority w:val="99"/>
    <w:rsid w:val="008370E1"/>
    <w:pPr>
      <w:jc w:val="center"/>
    </w:pPr>
    <w:rPr>
      <w:rFonts w:eastAsia="Times New Roman"/>
      <w:b/>
      <w:u w:val="single"/>
      <w:lang w:eastAsia="en-GB"/>
    </w:rPr>
  </w:style>
  <w:style w:type="paragraph" w:customStyle="1" w:styleId="Exposdesmotifstitreglobal">
    <w:name w:val="Exposé des motifs titre (global)"/>
    <w:basedOn w:val="Normal"/>
    <w:next w:val="Normal"/>
    <w:uiPriority w:val="99"/>
    <w:rsid w:val="008370E1"/>
    <w:pPr>
      <w:jc w:val="center"/>
    </w:pPr>
    <w:rPr>
      <w:rFonts w:eastAsia="Times New Roman"/>
      <w:b/>
      <w:u w:val="single"/>
      <w:lang w:eastAsia="en-GB"/>
    </w:rPr>
  </w:style>
  <w:style w:type="paragraph" w:customStyle="1" w:styleId="Langueoriginale">
    <w:name w:val="Langue originale"/>
    <w:basedOn w:val="Normal"/>
    <w:uiPriority w:val="99"/>
    <w:rsid w:val="008370E1"/>
    <w:pPr>
      <w:spacing w:before="360"/>
      <w:jc w:val="center"/>
    </w:pPr>
    <w:rPr>
      <w:rFonts w:eastAsia="Times New Roman"/>
      <w:caps/>
      <w:lang w:eastAsia="en-GB"/>
    </w:rPr>
  </w:style>
  <w:style w:type="paragraph" w:customStyle="1" w:styleId="Phrasefinale">
    <w:name w:val="Phrase finale"/>
    <w:basedOn w:val="Normal"/>
    <w:next w:val="Normal"/>
    <w:uiPriority w:val="99"/>
    <w:rsid w:val="008370E1"/>
    <w:pPr>
      <w:spacing w:before="360" w:after="0"/>
      <w:jc w:val="center"/>
    </w:pPr>
    <w:rPr>
      <w:rFonts w:eastAsia="Times New Roman"/>
      <w:lang w:eastAsia="en-GB"/>
    </w:rPr>
  </w:style>
  <w:style w:type="paragraph" w:customStyle="1" w:styleId="Prliminairetitre">
    <w:name w:val="Préliminaire titre"/>
    <w:basedOn w:val="Normal"/>
    <w:next w:val="Normal"/>
    <w:uiPriority w:val="99"/>
    <w:rsid w:val="008370E1"/>
    <w:pPr>
      <w:spacing w:before="360" w:after="360"/>
      <w:jc w:val="center"/>
    </w:pPr>
    <w:rPr>
      <w:rFonts w:eastAsia="Times New Roman"/>
      <w:b/>
      <w:lang w:eastAsia="en-GB"/>
    </w:rPr>
  </w:style>
  <w:style w:type="paragraph" w:customStyle="1" w:styleId="Prliminairetype">
    <w:name w:val="Préliminaire type"/>
    <w:basedOn w:val="Normal"/>
    <w:next w:val="Normal"/>
    <w:uiPriority w:val="99"/>
    <w:rsid w:val="008370E1"/>
    <w:pPr>
      <w:spacing w:before="360" w:after="0"/>
      <w:jc w:val="center"/>
    </w:pPr>
    <w:rPr>
      <w:rFonts w:eastAsia="Times New Roman"/>
      <w:b/>
      <w:lang w:eastAsia="en-GB"/>
    </w:rPr>
  </w:style>
  <w:style w:type="paragraph" w:customStyle="1" w:styleId="Rfrenceinstitutionelle">
    <w:name w:val="Référence institutionelle"/>
    <w:basedOn w:val="Normal"/>
    <w:next w:val="Statut"/>
    <w:uiPriority w:val="99"/>
    <w:rsid w:val="008370E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uiPriority w:val="99"/>
    <w:rsid w:val="008370E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370E1"/>
    <w:pPr>
      <w:spacing w:before="0" w:after="0"/>
      <w:ind w:left="5103"/>
      <w:jc w:val="left"/>
    </w:pPr>
    <w:rPr>
      <w:rFonts w:eastAsia="Times New Roman"/>
      <w:lang w:eastAsia="en-GB"/>
    </w:rPr>
  </w:style>
  <w:style w:type="paragraph" w:customStyle="1" w:styleId="Sous-titreobjetprliminaire">
    <w:name w:val="Sous-titre objet (préliminaire)"/>
    <w:basedOn w:val="Normal"/>
    <w:rsid w:val="008370E1"/>
    <w:pPr>
      <w:spacing w:before="0" w:after="0"/>
      <w:jc w:val="center"/>
    </w:pPr>
    <w:rPr>
      <w:rFonts w:eastAsia="Times New Roman"/>
      <w:b/>
      <w:lang w:eastAsia="en-GB"/>
    </w:rPr>
  </w:style>
  <w:style w:type="paragraph" w:customStyle="1" w:styleId="Statutprliminaire">
    <w:name w:val="Statut (préliminaire)"/>
    <w:basedOn w:val="Normal"/>
    <w:next w:val="Normal"/>
    <w:rsid w:val="008370E1"/>
    <w:pPr>
      <w:spacing w:before="360" w:after="0"/>
      <w:jc w:val="center"/>
    </w:pPr>
    <w:rPr>
      <w:rFonts w:eastAsia="Times New Roman"/>
      <w:lang w:eastAsia="en-GB"/>
    </w:rPr>
  </w:style>
  <w:style w:type="paragraph" w:customStyle="1" w:styleId="Titreobjetprliminaire">
    <w:name w:val="Titre objet (préliminaire)"/>
    <w:basedOn w:val="Normal"/>
    <w:next w:val="Normal"/>
    <w:rsid w:val="008370E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370E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370E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370E1"/>
    <w:pPr>
      <w:jc w:val="center"/>
    </w:pPr>
    <w:rPr>
      <w:rFonts w:eastAsia="Times New Roman"/>
      <w:b/>
      <w:u w:val="single"/>
      <w:lang w:eastAsia="en-GB"/>
    </w:rPr>
  </w:style>
  <w:style w:type="paragraph" w:customStyle="1" w:styleId="Fichefinanciretravailtitre">
    <w:name w:val="Fiche financière (travail) titre"/>
    <w:basedOn w:val="Normal"/>
    <w:next w:val="Normal"/>
    <w:rsid w:val="008370E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370E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370E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370E1"/>
    <w:pPr>
      <w:jc w:val="center"/>
    </w:pPr>
    <w:rPr>
      <w:rFonts w:eastAsia="Times New Roman"/>
      <w:b/>
      <w:u w:val="single"/>
      <w:lang w:eastAsia="en-GB"/>
    </w:rPr>
  </w:style>
  <w:style w:type="character" w:styleId="PageNumber">
    <w:name w:val="page number"/>
    <w:uiPriority w:val="99"/>
    <w:rsid w:val="008370E1"/>
  </w:style>
  <w:style w:type="character" w:customStyle="1" w:styleId="tw4winMark">
    <w:name w:val="tw4winMark"/>
    <w:rsid w:val="008370E1"/>
    <w:rPr>
      <w:vanish/>
      <w:color w:val="800080"/>
      <w:vertAlign w:val="subscript"/>
    </w:rPr>
  </w:style>
  <w:style w:type="character" w:styleId="FollowedHyperlink">
    <w:name w:val="FollowedHyperlink"/>
    <w:rsid w:val="008370E1"/>
    <w:rPr>
      <w:color w:val="800080"/>
      <w:u w:val="single"/>
    </w:rPr>
  </w:style>
  <w:style w:type="paragraph" w:customStyle="1" w:styleId="Sous-titreobjet">
    <w:name w:val="Sous-titre objet"/>
    <w:basedOn w:val="Normal"/>
    <w:uiPriority w:val="99"/>
    <w:rsid w:val="008370E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370E1"/>
  </w:style>
  <w:style w:type="paragraph" w:styleId="Revision">
    <w:name w:val="Revision"/>
    <w:hidden/>
    <w:uiPriority w:val="99"/>
    <w:semiHidden/>
    <w:rsid w:val="008370E1"/>
    <w:rPr>
      <w:rFonts w:ascii="Calibri" w:eastAsia="Calibri" w:hAnsi="Calibri" w:cs="Times New Roman"/>
      <w:sz w:val="24"/>
      <w:lang w:eastAsia="en-GB"/>
    </w:rPr>
  </w:style>
  <w:style w:type="paragraph" w:customStyle="1" w:styleId="FooterCoverPage">
    <w:name w:val="Footer Cover Page"/>
    <w:basedOn w:val="Normal"/>
    <w:link w:val="FooterCoverPageChar"/>
    <w:rsid w:val="008370E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8370E1"/>
    <w:rPr>
      <w:rFonts w:ascii="Times New Roman" w:hAnsi="Times New Roman" w:cs="Times New Roman"/>
      <w:b/>
      <w:sz w:val="28"/>
      <w:lang w:val="el-GR"/>
    </w:rPr>
  </w:style>
  <w:style w:type="character" w:customStyle="1" w:styleId="FooterCoverPageChar">
    <w:name w:val="Footer Cover Page Char"/>
    <w:link w:val="FooterCoverPage"/>
    <w:rsid w:val="008370E1"/>
    <w:rPr>
      <w:rFonts w:ascii="Times New Roman" w:eastAsia="Calibri" w:hAnsi="Times New Roman" w:cs="Times New Roman"/>
      <w:sz w:val="24"/>
      <w:lang w:val="el-GR" w:eastAsia="en-GB"/>
    </w:rPr>
  </w:style>
  <w:style w:type="paragraph" w:customStyle="1" w:styleId="HeaderCoverPage">
    <w:name w:val="Header Cover Page"/>
    <w:basedOn w:val="Normal"/>
    <w:link w:val="HeaderCoverPageChar"/>
    <w:rsid w:val="008370E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370E1"/>
    <w:rPr>
      <w:rFonts w:ascii="Times New Roman" w:eastAsia="Calibri" w:hAnsi="Times New Roman" w:cs="Times New Roman"/>
      <w:sz w:val="24"/>
      <w:lang w:val="el-GR" w:eastAsia="en-GB"/>
    </w:rPr>
  </w:style>
  <w:style w:type="paragraph" w:customStyle="1" w:styleId="ListParagraph1">
    <w:name w:val="List Paragraph1"/>
    <w:aliases w:val="List Paragraph,Numbered Para 1,Dot pt,No Spacing1,Indicator Text,Bullet Points,MAIN CONTENT,List Paragraph12,F5 List Paragraph,Heading 2_sj,1st level - Bullet List Paragraph,Lettre d'introduction,Ha,Fiche List Paragraph,OBC Bullet,2"/>
    <w:basedOn w:val="Normal"/>
    <w:uiPriority w:val="34"/>
    <w:qFormat/>
    <w:rsid w:val="008370E1"/>
    <w:pPr>
      <w:ind w:left="720"/>
      <w:contextualSpacing/>
    </w:pPr>
  </w:style>
  <w:style w:type="table" w:customStyle="1" w:styleId="TableGrid1">
    <w:name w:val="Table Grid1"/>
    <w:basedOn w:val="TableNormal"/>
    <w:next w:val="TableGrid"/>
    <w:uiPriority w:val="59"/>
    <w:rsid w:val="008370E1"/>
    <w:pPr>
      <w:spacing w:before="60" w:after="0"/>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paragraph">
    <w:name w:val="paragraph"/>
    <w:basedOn w:val="Normal"/>
    <w:rsid w:val="008370E1"/>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8370E1"/>
  </w:style>
  <w:style w:type="character" w:customStyle="1" w:styleId="eop">
    <w:name w:val="eop"/>
    <w:basedOn w:val="DefaultParagraphFont"/>
    <w:rsid w:val="008370E1"/>
  </w:style>
  <w:style w:type="paragraph" w:customStyle="1" w:styleId="Default">
    <w:name w:val="Default"/>
    <w:rsid w:val="008370E1"/>
    <w:pPr>
      <w:autoSpaceDE w:val="0"/>
      <w:autoSpaceDN w:val="0"/>
      <w:adjustRightInd w:val="0"/>
      <w:spacing w:after="0"/>
    </w:pPr>
    <w:rPr>
      <w:rFonts w:ascii="EUAlbertina" w:hAnsi="EUAlbertina" w:cs="EUAlbertina"/>
      <w:color w:val="000000"/>
      <w:sz w:val="24"/>
      <w:szCs w:val="24"/>
    </w:rPr>
  </w:style>
  <w:style w:type="paragraph" w:styleId="BodyText">
    <w:name w:val="Body Text"/>
    <w:basedOn w:val="Normal"/>
    <w:link w:val="BodyTextChar"/>
    <w:rsid w:val="008370E1"/>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8370E1"/>
    <w:rPr>
      <w:rFonts w:ascii="Calibri" w:eastAsia="Calibri" w:hAnsi="Calibri" w:cs="DejaVu Sans"/>
      <w:color w:val="00000A"/>
      <w:lang w:val="el-GR"/>
    </w:rPr>
  </w:style>
  <w:style w:type="paragraph" w:styleId="NormalWeb">
    <w:name w:val="Normal (Web)"/>
    <w:basedOn w:val="Normal"/>
    <w:uiPriority w:val="99"/>
    <w:unhideWhenUsed/>
    <w:rsid w:val="008370E1"/>
    <w:pPr>
      <w:spacing w:before="100" w:beforeAutospacing="1" w:after="100" w:afterAutospacing="1"/>
      <w:jc w:val="left"/>
    </w:pPr>
    <w:rPr>
      <w:rFonts w:eastAsia="Times New Roman"/>
      <w:szCs w:val="24"/>
      <w:lang w:eastAsia="en-GB"/>
    </w:rPr>
  </w:style>
  <w:style w:type="character" w:customStyle="1" w:styleId="italic1">
    <w:name w:val="italic1"/>
    <w:rsid w:val="008370E1"/>
    <w:rPr>
      <w:i/>
      <w:iCs/>
    </w:rPr>
  </w:style>
  <w:style w:type="table" w:customStyle="1" w:styleId="TableGrid2">
    <w:name w:val="Table Grid2"/>
    <w:basedOn w:val="TableNormal"/>
    <w:next w:val="TableGrid"/>
    <w:rsid w:val="008370E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70E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Titreobjet">
    <w:name w:val="Titre objet"/>
    <w:basedOn w:val="Normal"/>
    <w:next w:val="IntrtEEE"/>
    <w:uiPriority w:val="99"/>
    <w:rsid w:val="008370E1"/>
    <w:pPr>
      <w:spacing w:before="360" w:after="360"/>
      <w:jc w:val="center"/>
    </w:pPr>
    <w:rPr>
      <w:b/>
    </w:rPr>
  </w:style>
  <w:style w:type="paragraph" w:customStyle="1" w:styleId="TitreobjetPagedecouverture">
    <w:name w:val="Titre objet (Page de couverture)"/>
    <w:basedOn w:val="Titreobjet"/>
    <w:next w:val="IntrtEEEPagedecouverture"/>
    <w:rsid w:val="008370E1"/>
  </w:style>
  <w:style w:type="character" w:customStyle="1" w:styleId="ListParagraphChar">
    <w:name w:val="List Paragraph Char"/>
    <w:link w:val="ListParagraph"/>
    <w:uiPriority w:val="34"/>
    <w:qFormat/>
    <w:locked/>
    <w:rsid w:val="008370E1"/>
    <w:rPr>
      <w:rFonts w:ascii="Times New Roman" w:hAnsi="Times New Roman" w:cs="Times New Roman"/>
      <w:sz w:val="24"/>
      <w:lang w:val="el-GR"/>
    </w:rPr>
  </w:style>
  <w:style w:type="table" w:customStyle="1" w:styleId="WoodEISUKReportTable5">
    <w:name w:val="Wood E&amp;IS UK Report Table5"/>
    <w:basedOn w:val="TableNormal"/>
    <w:uiPriority w:val="99"/>
    <w:qFormat/>
    <w:rsid w:val="008370E1"/>
    <w:pPr>
      <w:spacing w:after="0" w:line="240" w:lineRule="auto"/>
    </w:pPr>
    <w:rPr>
      <w:rFonts w:ascii="Arial" w:eastAsia="Calibri" w:hAnsi="Arial" w:cs="Times New Roman"/>
      <w:color w:val="28272F"/>
      <w:sz w:val="20"/>
      <w:szCs w:val="20"/>
      <w:lang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table" w:customStyle="1" w:styleId="Table1">
    <w:name w:val="Table 1"/>
    <w:basedOn w:val="TableNormal"/>
    <w:uiPriority w:val="99"/>
    <w:rsid w:val="008370E1"/>
    <w:pPr>
      <w:spacing w:after="0" w:line="240" w:lineRule="auto"/>
      <w:jc w:val="center"/>
    </w:pPr>
    <w:rPr>
      <w:rFonts w:ascii="Trebuchet MS" w:hAnsi="Trebuchet MS"/>
      <w:sz w:val="16"/>
      <w:szCs w:val="20"/>
      <w:lang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VW Text Office" w:hAnsi="VW Text Office"/>
        <w:b/>
        <w:color w:val="FFFFFF" w:themeColor="background1"/>
        <w:sz w:val="16"/>
      </w:rPr>
      <w:tblPr/>
      <w:tcPr>
        <w:shd w:val="clear" w:color="auto" w:fill="005962"/>
      </w:tcPr>
    </w:tblStylePr>
    <w:tblStylePr w:type="firstCol">
      <w:pPr>
        <w:wordWrap/>
        <w:jc w:val="left"/>
        <w:outlineLvl w:val="9"/>
      </w:pPr>
    </w:tblStylePr>
  </w:style>
  <w:style w:type="paragraph" w:customStyle="1" w:styleId="WDTable">
    <w:name w:val="WD Table"/>
    <w:aliases w:val="Table Content,AFW Table,table content,WD Table1,table,WD Table0"/>
    <w:basedOn w:val="Normal"/>
    <w:qFormat/>
    <w:rsid w:val="008370E1"/>
    <w:pPr>
      <w:spacing w:before="0" w:after="0"/>
      <w:jc w:val="left"/>
    </w:pPr>
    <w:rPr>
      <w:rFonts w:ascii="Segoe UI" w:hAnsi="Segoe UI" w:cstheme="minorBidi"/>
      <w:color w:val="000000"/>
      <w:sz w:val="16"/>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basedOn w:val="DefaultParagraphFont"/>
    <w:link w:val="Caption"/>
    <w:uiPriority w:val="99"/>
    <w:rsid w:val="008370E1"/>
    <w:rPr>
      <w:rFonts w:ascii="Times New Roman" w:hAnsi="Times New Roman" w:cs="Times New Roman"/>
      <w:i/>
      <w:iCs/>
      <w:color w:val="1F497D" w:themeColor="text2"/>
      <w:sz w:val="18"/>
      <w:szCs w:val="18"/>
      <w:lang w:val="el-GR"/>
    </w:rPr>
  </w:style>
  <w:style w:type="character" w:customStyle="1" w:styleId="UnresolvedMention1">
    <w:name w:val="Unresolved Mention1"/>
    <w:basedOn w:val="DefaultParagraphFont"/>
    <w:uiPriority w:val="99"/>
    <w:semiHidden/>
    <w:unhideWhenUsed/>
    <w:rsid w:val="008370E1"/>
    <w:rPr>
      <w:color w:val="605E5C"/>
      <w:shd w:val="clear" w:color="auto" w:fill="E1DFDD"/>
    </w:rPr>
  </w:style>
  <w:style w:type="numbering" w:customStyle="1" w:styleId="NoList1">
    <w:name w:val="No List1"/>
    <w:next w:val="NoList"/>
    <w:uiPriority w:val="99"/>
    <w:semiHidden/>
    <w:unhideWhenUsed/>
    <w:rsid w:val="008370E1"/>
  </w:style>
  <w:style w:type="table" w:customStyle="1" w:styleId="WoodEISUKReportTable51">
    <w:name w:val="Wood E&amp;IS UK Report Table51"/>
    <w:basedOn w:val="TableNormal"/>
    <w:uiPriority w:val="99"/>
    <w:qFormat/>
    <w:rsid w:val="008370E1"/>
    <w:pPr>
      <w:spacing w:after="0" w:line="240" w:lineRule="auto"/>
    </w:pPr>
    <w:rPr>
      <w:rFonts w:ascii="Arial" w:eastAsia="Calibri" w:hAnsi="Arial" w:cs="Times New Roman"/>
      <w:color w:val="28272F"/>
      <w:sz w:val="20"/>
      <w:szCs w:val="20"/>
      <w:lang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numbering" w:customStyle="1" w:styleId="NoList2">
    <w:name w:val="No List2"/>
    <w:next w:val="NoList"/>
    <w:uiPriority w:val="99"/>
    <w:semiHidden/>
    <w:unhideWhenUsed/>
    <w:rsid w:val="008370E1"/>
  </w:style>
  <w:style w:type="paragraph" w:customStyle="1" w:styleId="FichedimpactPMEtitre">
    <w:name w:val="Fiche d'impact PME titre"/>
    <w:basedOn w:val="Normal"/>
    <w:next w:val="Normal"/>
    <w:uiPriority w:val="99"/>
    <w:rsid w:val="008370E1"/>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rsid w:val="008370E1"/>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rsid w:val="008370E1"/>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uiPriority w:val="99"/>
    <w:rsid w:val="008370E1"/>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uiPriority w:val="99"/>
    <w:rsid w:val="008370E1"/>
    <w:pPr>
      <w:autoSpaceDE w:val="0"/>
      <w:autoSpaceDN w:val="0"/>
      <w:jc w:val="center"/>
    </w:pPr>
    <w:rPr>
      <w:rFonts w:eastAsia="Times New Roman"/>
      <w:b/>
      <w:bCs/>
      <w:sz w:val="40"/>
      <w:szCs w:val="40"/>
      <w:lang w:eastAsia="en-GB"/>
    </w:rPr>
  </w:style>
  <w:style w:type="paragraph" w:styleId="TOAHeading">
    <w:name w:val="toa heading"/>
    <w:basedOn w:val="Normal"/>
    <w:next w:val="Normal"/>
    <w:uiPriority w:val="99"/>
    <w:rsid w:val="008370E1"/>
    <w:pPr>
      <w:autoSpaceDE w:val="0"/>
      <w:autoSpaceDN w:val="0"/>
    </w:pPr>
    <w:rPr>
      <w:rFonts w:ascii="Arial" w:eastAsia="Times New Roman" w:hAnsi="Arial" w:cs="Arial"/>
      <w:b/>
      <w:bCs/>
      <w:szCs w:val="24"/>
      <w:lang w:eastAsia="en-GB"/>
    </w:rPr>
  </w:style>
  <w:style w:type="paragraph" w:customStyle="1" w:styleId="CRParaDeleted">
    <w:name w:val="CR ParaDeleted"/>
    <w:basedOn w:val="Normal"/>
    <w:next w:val="Normal"/>
    <w:uiPriority w:val="99"/>
    <w:rsid w:val="008370E1"/>
    <w:pPr>
      <w:autoSpaceDE w:val="0"/>
      <w:autoSpaceDN w:val="0"/>
    </w:pPr>
    <w:rPr>
      <w:rFonts w:eastAsia="Times New Roman"/>
      <w:szCs w:val="24"/>
      <w:lang w:eastAsia="en-GB"/>
    </w:rPr>
  </w:style>
  <w:style w:type="character" w:customStyle="1" w:styleId="CRTextDeleted">
    <w:name w:val="CR TextDeleted"/>
    <w:basedOn w:val="DefaultParagraphFont"/>
    <w:uiPriority w:val="99"/>
    <w:rsid w:val="008370E1"/>
    <w:rPr>
      <w:rFonts w:cs="Times New Roman"/>
    </w:rPr>
  </w:style>
  <w:style w:type="paragraph" w:customStyle="1" w:styleId="Titredumodificateur">
    <w:name w:val="Titre du modificateur"/>
    <w:basedOn w:val="Normal"/>
    <w:next w:val="Annexetitrefichefinacte"/>
    <w:uiPriority w:val="99"/>
    <w:rsid w:val="008370E1"/>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rsid w:val="008370E1"/>
    <w:pPr>
      <w:autoSpaceDE w:val="0"/>
      <w:autoSpaceDN w:val="0"/>
      <w:spacing w:before="0"/>
      <w:jc w:val="left"/>
    </w:pPr>
    <w:rPr>
      <w:rFonts w:eastAsia="Times New Roman"/>
      <w:szCs w:val="24"/>
      <w:lang w:eastAsia="en-GB"/>
    </w:rPr>
  </w:style>
  <w:style w:type="character" w:customStyle="1" w:styleId="TypedudocumentChar">
    <w:name w:val="Type du document Char"/>
    <w:basedOn w:val="DefaultParagraphFont"/>
    <w:uiPriority w:val="99"/>
    <w:locked/>
    <w:rsid w:val="008370E1"/>
    <w:rPr>
      <w:rFonts w:ascii="Times New Roman" w:hAnsi="Times New Roman" w:cs="Times New Roman"/>
      <w:b/>
      <w:sz w:val="24"/>
      <w:lang w:val="el-GR"/>
    </w:rPr>
  </w:style>
  <w:style w:type="character" w:customStyle="1" w:styleId="CRDeleted">
    <w:name w:val="CR Deleted"/>
    <w:basedOn w:val="DefaultParagraphFont"/>
    <w:rsid w:val="008370E1"/>
    <w:rPr>
      <w:rFonts w:cs="Times New Roman"/>
      <w:dstrike/>
      <w:lang w:val="el-GR" w:eastAsia="x-none"/>
    </w:rPr>
  </w:style>
  <w:style w:type="character" w:customStyle="1" w:styleId="CRMinorChangeDeleted">
    <w:name w:val="CR Minor Change Deleted"/>
    <w:basedOn w:val="DefaultParagraphFont"/>
    <w:rsid w:val="008370E1"/>
    <w:rPr>
      <w:rFonts w:cs="Times New Roman"/>
      <w:dstrike/>
      <w:u w:val="double"/>
      <w:lang w:val="el-GR" w:eastAsia="x-none"/>
    </w:rPr>
  </w:style>
  <w:style w:type="character" w:customStyle="1" w:styleId="CRMinorChangeAdded">
    <w:name w:val="CR Minor Change Added"/>
    <w:basedOn w:val="DefaultParagraphFont"/>
    <w:rsid w:val="008370E1"/>
    <w:rPr>
      <w:rFonts w:cs="Times New Roman"/>
      <w:u w:val="double"/>
      <w:lang w:val="el-GR" w:eastAsia="x-none"/>
    </w:rPr>
  </w:style>
  <w:style w:type="paragraph" w:customStyle="1" w:styleId="WasteWatersurveillanceNormalLeft">
    <w:name w:val="Waste Water surveillanceNormal Left"/>
    <w:basedOn w:val="Normal"/>
    <w:rsid w:val="008370E1"/>
    <w:pPr>
      <w:autoSpaceDE w:val="0"/>
      <w:autoSpaceDN w:val="0"/>
      <w:jc w:val="left"/>
    </w:pPr>
    <w:rPr>
      <w:rFonts w:eastAsia="Times New Roman"/>
      <w:szCs w:val="24"/>
      <w:lang w:eastAsia="en-GB"/>
    </w:rPr>
  </w:style>
  <w:style w:type="character" w:customStyle="1" w:styleId="markedcontent">
    <w:name w:val="markedcontent"/>
    <w:basedOn w:val="DefaultParagraphFont"/>
    <w:rsid w:val="008370E1"/>
  </w:style>
  <w:style w:type="character" w:styleId="Strong">
    <w:name w:val="Strong"/>
    <w:basedOn w:val="DefaultParagraphFont"/>
    <w:uiPriority w:val="22"/>
    <w:qFormat/>
    <w:rsid w:val="008370E1"/>
    <w:rPr>
      <w:b/>
      <w:bCs/>
    </w:rPr>
  </w:style>
  <w:style w:type="paragraph" w:customStyle="1" w:styleId="commentcontentpara">
    <w:name w:val="commentcontentpara"/>
    <w:basedOn w:val="Normal"/>
    <w:rsid w:val="008370E1"/>
    <w:pPr>
      <w:spacing w:before="100" w:beforeAutospacing="1" w:after="100" w:afterAutospacing="1"/>
      <w:jc w:val="left"/>
    </w:pPr>
    <w:rPr>
      <w:rFonts w:eastAsia="Times New Roman"/>
      <w:szCs w:val="24"/>
    </w:rPr>
  </w:style>
  <w:style w:type="character" w:customStyle="1" w:styleId="UnresolvedMention2">
    <w:name w:val="Unresolved Mention2"/>
    <w:basedOn w:val="DefaultParagraphFont"/>
    <w:uiPriority w:val="99"/>
    <w:semiHidden/>
    <w:unhideWhenUsed/>
    <w:rsid w:val="008370E1"/>
    <w:rPr>
      <w:color w:val="605E5C"/>
      <w:shd w:val="clear" w:color="auto" w:fill="E1DFDD"/>
    </w:rPr>
  </w:style>
  <w:style w:type="character" w:customStyle="1" w:styleId="CRRefonteDeleted">
    <w:name w:val="CR Refonte Deleted"/>
    <w:basedOn w:val="DefaultParagraphFont"/>
    <w:rsid w:val="008370E1"/>
    <w:rPr>
      <w:strike w:val="0"/>
      <w:dstrike/>
    </w:rPr>
  </w:style>
  <w:style w:type="numbering" w:styleId="111111">
    <w:name w:val="Outline List 2"/>
    <w:basedOn w:val="NoList"/>
    <w:uiPriority w:val="99"/>
    <w:semiHidden/>
    <w:unhideWhenUsed/>
    <w:rsid w:val="008370E1"/>
    <w:pPr>
      <w:numPr>
        <w:numId w:val="18"/>
      </w:numPr>
    </w:pPr>
  </w:style>
  <w:style w:type="paragraph" w:styleId="ListParagraph">
    <w:name w:val="List Paragraph"/>
    <w:basedOn w:val="Normal"/>
    <w:link w:val="ListParagraphChar"/>
    <w:uiPriority w:val="34"/>
    <w:qFormat/>
    <w:rsid w:val="008370E1"/>
    <w:pPr>
      <w:ind w:left="720"/>
      <w:contextualSpacing/>
    </w:pPr>
  </w:style>
  <w:style w:type="paragraph" w:styleId="Header">
    <w:name w:val="header"/>
    <w:basedOn w:val="Normal"/>
    <w:link w:val="HeaderChar"/>
    <w:uiPriority w:val="99"/>
    <w:unhideWhenUsed/>
    <w:rsid w:val="00841019"/>
    <w:pPr>
      <w:tabs>
        <w:tab w:val="center" w:pos="4535"/>
        <w:tab w:val="right" w:pos="9071"/>
      </w:tabs>
      <w:spacing w:before="0"/>
    </w:pPr>
  </w:style>
  <w:style w:type="character" w:customStyle="1" w:styleId="HeaderChar">
    <w:name w:val="Header Char"/>
    <w:basedOn w:val="DefaultParagraphFont"/>
    <w:link w:val="Header"/>
    <w:uiPriority w:val="99"/>
    <w:rsid w:val="00841019"/>
    <w:rPr>
      <w:rFonts w:ascii="Times New Roman" w:hAnsi="Times New Roman" w:cs="Times New Roman"/>
      <w:sz w:val="24"/>
      <w:lang w:val="el-GR"/>
    </w:rPr>
  </w:style>
  <w:style w:type="paragraph" w:styleId="Footer">
    <w:name w:val="footer"/>
    <w:basedOn w:val="Normal"/>
    <w:link w:val="FooterChar"/>
    <w:uiPriority w:val="99"/>
    <w:unhideWhenUsed/>
    <w:rsid w:val="0084101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4101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41019"/>
    <w:pPr>
      <w:tabs>
        <w:tab w:val="center" w:pos="7285"/>
        <w:tab w:val="right" w:pos="14003"/>
      </w:tabs>
      <w:spacing w:before="0"/>
    </w:pPr>
  </w:style>
  <w:style w:type="paragraph" w:customStyle="1" w:styleId="FooterLandscape">
    <w:name w:val="FooterLandscape"/>
    <w:basedOn w:val="Normal"/>
    <w:rsid w:val="0084101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4101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41019"/>
    <w:pPr>
      <w:spacing w:before="0"/>
      <w:jc w:val="right"/>
    </w:pPr>
    <w:rPr>
      <w:sz w:val="28"/>
    </w:rPr>
  </w:style>
  <w:style w:type="paragraph" w:customStyle="1" w:styleId="FooterSensitivity">
    <w:name w:val="Footer Sensitivity"/>
    <w:basedOn w:val="Normal"/>
    <w:rsid w:val="0084101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15C7-71D1-4416-8B16-A281AC99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113</TotalTime>
  <Pages>23</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FOULON Julie (ENV)</dc:creator>
  <cp:keywords/>
  <dc:description/>
  <cp:lastModifiedBy>EC CoDe</cp:lastModifiedBy>
  <cp:revision>37</cp:revision>
  <dcterms:created xsi:type="dcterms:W3CDTF">2022-10-19T07:41:00Z</dcterms:created>
  <dcterms:modified xsi:type="dcterms:W3CDTF">2023-01-17T17:17:00Z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