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4799" w:rsidRPr="00E8450A" w:rsidRDefault="000A000C" w:rsidP="000A000C">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alt="A3AF48A9-9DD5-4DB5-BC11-B4059D299C41" style="width:455.25pt;height:401.25pt">
            <v:imagedata r:id="rId8" o:title=""/>
          </v:shape>
        </w:pict>
      </w:r>
    </w:p>
    <w:p w:rsidR="00A44799" w:rsidRPr="00E8450A" w:rsidRDefault="00A44799" w:rsidP="00A44799">
      <w:pPr>
        <w:rPr>
          <w:noProof/>
        </w:rPr>
        <w:sectPr w:rsidR="00A44799" w:rsidRPr="00E8450A" w:rsidSect="000A000C">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rsidR="004F4CD1" w:rsidRPr="00E8450A" w:rsidRDefault="004F4CD1" w:rsidP="00A44799">
      <w:pPr>
        <w:pStyle w:val="CRSeparator"/>
        <w:rPr>
          <w:noProof/>
          <w:highlight w:val="lightGray"/>
        </w:rPr>
      </w:pPr>
      <w:bookmarkStart w:id="0" w:name="_GoBack"/>
      <w:bookmarkEnd w:id="0"/>
    </w:p>
    <w:p w:rsidR="004F4CD1" w:rsidRPr="00E8450A" w:rsidRDefault="004F4CD1" w:rsidP="00A44799">
      <w:pPr>
        <w:pStyle w:val="CRReference"/>
        <w:rPr>
          <w:noProof/>
          <w:highlight w:val="lightGray"/>
        </w:rPr>
      </w:pPr>
      <w:r w:rsidRPr="00E8450A">
        <w:rPr>
          <w:noProof/>
          <w:highlight w:val="lightGray"/>
        </w:rPr>
        <w:fldChar w:fldCharType="begin"/>
      </w:r>
      <w:r w:rsidRPr="00E8450A">
        <w:rPr>
          <w:noProof/>
          <w:highlight w:val="lightGray"/>
        </w:rPr>
        <w:instrText xml:space="preserve"> QUOTE "ò" </w:instrText>
      </w:r>
      <w:r w:rsidRPr="00E8450A">
        <w:rPr>
          <w:noProof/>
          <w:highlight w:val="lightGray"/>
        </w:rPr>
        <w:fldChar w:fldCharType="separate"/>
      </w:r>
      <w:r w:rsidRPr="00E8450A">
        <w:rPr>
          <w:rStyle w:val="CRMarker"/>
          <w:noProof/>
          <w:highlight w:val="lightGray"/>
        </w:rPr>
        <w:t>ò</w:t>
      </w:r>
      <w:r w:rsidRPr="00E8450A">
        <w:rPr>
          <w:noProof/>
          <w:highlight w:val="lightGray"/>
        </w:rPr>
        <w:fldChar w:fldCharType="end"/>
      </w:r>
      <w:r w:rsidRPr="00E8450A">
        <w:rPr>
          <w:noProof/>
          <w:highlight w:val="lightGray"/>
        </w:rPr>
        <w:t> nový</w:t>
      </w:r>
    </w:p>
    <w:p w:rsidR="004F4CD1" w:rsidRPr="00E8450A" w:rsidRDefault="004F4CD1" w:rsidP="00BC180F">
      <w:pPr>
        <w:pStyle w:val="Annexetitre"/>
        <w:rPr>
          <w:noProof/>
          <w:highlight w:val="lightGray"/>
        </w:rPr>
      </w:pPr>
      <w:r w:rsidRPr="00E8450A">
        <w:rPr>
          <w:noProof/>
          <w:highlight w:val="lightGray"/>
        </w:rPr>
        <w:t>PRÍLOHA I</w:t>
      </w:r>
    </w:p>
    <w:p w:rsidR="004F4CD1" w:rsidRPr="00E8450A" w:rsidRDefault="00BA3DB8" w:rsidP="004F4CD1">
      <w:pPr>
        <w:jc w:val="center"/>
        <w:rPr>
          <w:b/>
          <w:caps/>
          <w:noProof/>
          <w:highlight w:val="lightGray"/>
        </w:rPr>
      </w:pPr>
      <w:r w:rsidRPr="00E8450A">
        <w:rPr>
          <w:b/>
          <w:caps/>
          <w:noProof/>
          <w:highlight w:val="lightGray"/>
        </w:rPr>
        <w:t>NORMY KVALITY OVZDUŠIA</w:t>
      </w:r>
    </w:p>
    <w:p w:rsidR="004F4CD1" w:rsidRPr="00E8450A" w:rsidRDefault="004F4CD1" w:rsidP="004F4CD1">
      <w:pPr>
        <w:rPr>
          <w:noProof/>
          <w:highlight w:val="lightGray"/>
        </w:rPr>
      </w:pPr>
    </w:p>
    <w:p w:rsidR="004F4CD1" w:rsidRPr="00E8450A" w:rsidRDefault="004F4CD1" w:rsidP="004F4CD1">
      <w:pPr>
        <w:rPr>
          <w:caps/>
          <w:noProof/>
          <w:highlight w:val="lightGray"/>
          <w:u w:val="single"/>
        </w:rPr>
      </w:pPr>
      <w:r w:rsidRPr="00E8450A">
        <w:rPr>
          <w:caps/>
          <w:noProof/>
          <w:highlight w:val="lightGray"/>
          <w:u w:val="single"/>
        </w:rPr>
        <w:t>Oddiel 1 – Limitné hodnoty na účely ochrany ľudského zdravia</w:t>
      </w:r>
    </w:p>
    <w:p w:rsidR="00714F83" w:rsidRPr="00E8450A" w:rsidRDefault="00714F83" w:rsidP="004F4CD1">
      <w:pPr>
        <w:rPr>
          <w:caps/>
          <w:noProof/>
          <w:highlight w:val="lightGray"/>
          <w:u w:val="single"/>
        </w:rPr>
      </w:pPr>
    </w:p>
    <w:p w:rsidR="00714F83" w:rsidRPr="00E8450A" w:rsidRDefault="00714F83" w:rsidP="00714F83">
      <w:pPr>
        <w:rPr>
          <w:i/>
          <w:iCs/>
          <w:noProof/>
          <w:highlight w:val="lightGray"/>
        </w:rPr>
      </w:pPr>
      <w:r w:rsidRPr="00E8450A">
        <w:rPr>
          <w:i/>
          <w:noProof/>
          <w:highlight w:val="lightGray"/>
        </w:rPr>
        <w:t xml:space="preserve">Tabuľka 1 – Limitné hodnoty na účely ochrany ľudského zdravia, ktoré sa majú dosiahnuť do 1. januára 2030 </w:t>
      </w:r>
    </w:p>
    <w:tbl>
      <w:tblPr>
        <w:tblW w:w="9322" w:type="dxa"/>
        <w:tblBorders>
          <w:top w:val="single" w:sz="2" w:space="0" w:color="auto"/>
          <w:left w:val="single" w:sz="4" w:space="0" w:color="auto"/>
          <w:bottom w:val="single" w:sz="2" w:space="0" w:color="auto"/>
          <w:right w:val="single" w:sz="4" w:space="0" w:color="auto"/>
          <w:insideH w:val="single" w:sz="2" w:space="0" w:color="auto"/>
          <w:insideV w:val="single" w:sz="2" w:space="0" w:color="auto"/>
        </w:tblBorders>
        <w:tblLayout w:type="fixed"/>
        <w:tblLook w:val="0000" w:firstRow="0" w:lastRow="0" w:firstColumn="0" w:lastColumn="0" w:noHBand="0" w:noVBand="0"/>
      </w:tblPr>
      <w:tblGrid>
        <w:gridCol w:w="2093"/>
        <w:gridCol w:w="1559"/>
        <w:gridCol w:w="5670"/>
      </w:tblGrid>
      <w:tr w:rsidR="00714F83" w:rsidRPr="00E8450A" w:rsidTr="00B2191F">
        <w:tc>
          <w:tcPr>
            <w:tcW w:w="2093" w:type="dxa"/>
            <w:tcBorders>
              <w:left w:val="nil"/>
            </w:tcBorders>
          </w:tcPr>
          <w:p w:rsidR="00714F83" w:rsidRPr="00E8450A" w:rsidRDefault="00714F83" w:rsidP="00B2191F">
            <w:pPr>
              <w:jc w:val="left"/>
              <w:rPr>
                <w:b/>
                <w:bCs/>
                <w:noProof/>
                <w:highlight w:val="lightGray"/>
              </w:rPr>
            </w:pPr>
            <w:r w:rsidRPr="00E8450A">
              <w:rPr>
                <w:b/>
                <w:noProof/>
                <w:highlight w:val="lightGray"/>
              </w:rPr>
              <w:t>Priemerované obdobie</w:t>
            </w:r>
          </w:p>
        </w:tc>
        <w:tc>
          <w:tcPr>
            <w:tcW w:w="1559" w:type="dxa"/>
            <w:tcBorders>
              <w:right w:val="nil"/>
            </w:tcBorders>
          </w:tcPr>
          <w:p w:rsidR="00714F83" w:rsidRPr="00E8450A" w:rsidRDefault="00714F83" w:rsidP="00B2191F">
            <w:pPr>
              <w:jc w:val="left"/>
              <w:rPr>
                <w:b/>
                <w:bCs/>
                <w:noProof/>
                <w:highlight w:val="lightGray"/>
              </w:rPr>
            </w:pPr>
            <w:r w:rsidRPr="00E8450A">
              <w:rPr>
                <w:b/>
                <w:noProof/>
                <w:highlight w:val="lightGray"/>
              </w:rPr>
              <w:t>Limitná hodnota</w:t>
            </w:r>
          </w:p>
        </w:tc>
        <w:tc>
          <w:tcPr>
            <w:tcW w:w="5670" w:type="dxa"/>
            <w:tcBorders>
              <w:left w:val="nil"/>
              <w:right w:val="nil"/>
            </w:tcBorders>
          </w:tcPr>
          <w:p w:rsidR="00714F83" w:rsidRPr="00E8450A" w:rsidRDefault="00714F83" w:rsidP="00B2191F">
            <w:pPr>
              <w:jc w:val="left"/>
              <w:rPr>
                <w:b/>
                <w:bCs/>
                <w:noProof/>
                <w:highlight w:val="lightGray"/>
              </w:rPr>
            </w:pPr>
          </w:p>
        </w:tc>
      </w:tr>
      <w:tr w:rsidR="00714F83" w:rsidRPr="00E8450A" w:rsidTr="00B2191F">
        <w:tc>
          <w:tcPr>
            <w:tcW w:w="2093" w:type="dxa"/>
            <w:tcBorders>
              <w:left w:val="nil"/>
              <w:right w:val="nil"/>
            </w:tcBorders>
          </w:tcPr>
          <w:p w:rsidR="00714F83" w:rsidRPr="00E8450A" w:rsidRDefault="00714F83" w:rsidP="00B2191F">
            <w:pPr>
              <w:rPr>
                <w:b/>
                <w:bCs/>
                <w:noProof/>
                <w:highlight w:val="lightGray"/>
              </w:rPr>
            </w:pPr>
            <w:r w:rsidRPr="00E8450A">
              <w:rPr>
                <w:b/>
                <w:noProof/>
                <w:highlight w:val="lightGray"/>
              </w:rPr>
              <w:t>PM</w:t>
            </w:r>
            <w:r w:rsidRPr="00E8450A">
              <w:rPr>
                <w:b/>
                <w:noProof/>
                <w:highlight w:val="lightGray"/>
                <w:vertAlign w:val="subscript"/>
              </w:rPr>
              <w:t>2,5</w:t>
            </w:r>
          </w:p>
        </w:tc>
        <w:tc>
          <w:tcPr>
            <w:tcW w:w="1559" w:type="dxa"/>
            <w:tcBorders>
              <w:left w:val="nil"/>
              <w:bottom w:val="single" w:sz="2" w:space="0" w:color="auto"/>
              <w:right w:val="nil"/>
            </w:tcBorders>
          </w:tcPr>
          <w:p w:rsidR="00714F83" w:rsidRPr="00E8450A" w:rsidRDefault="00714F83" w:rsidP="00B2191F">
            <w:pPr>
              <w:jc w:val="center"/>
              <w:rPr>
                <w:noProof/>
                <w:highlight w:val="lightGray"/>
              </w:rPr>
            </w:pPr>
          </w:p>
        </w:tc>
        <w:tc>
          <w:tcPr>
            <w:tcW w:w="5670" w:type="dxa"/>
            <w:tcBorders>
              <w:left w:val="nil"/>
              <w:right w:val="nil"/>
            </w:tcBorders>
          </w:tcPr>
          <w:p w:rsidR="00714F83" w:rsidRPr="00E8450A" w:rsidRDefault="00714F83" w:rsidP="00B2191F">
            <w:pPr>
              <w:jc w:val="center"/>
              <w:rPr>
                <w:noProof/>
                <w:highlight w:val="lightGray"/>
              </w:rPr>
            </w:pPr>
          </w:p>
        </w:tc>
      </w:tr>
      <w:tr w:rsidR="00714F83" w:rsidRPr="00E8450A" w:rsidTr="00B2191F">
        <w:tc>
          <w:tcPr>
            <w:tcW w:w="2093" w:type="dxa"/>
            <w:tcBorders>
              <w:left w:val="nil"/>
            </w:tcBorders>
            <w:shd w:val="clear" w:color="auto" w:fill="FFFFFF"/>
          </w:tcPr>
          <w:p w:rsidR="00714F83" w:rsidRPr="00E8450A" w:rsidRDefault="00714F83" w:rsidP="00B2191F">
            <w:pPr>
              <w:rPr>
                <w:noProof/>
                <w:highlight w:val="lightGray"/>
              </w:rPr>
            </w:pPr>
            <w:r w:rsidRPr="00E8450A">
              <w:rPr>
                <w:noProof/>
                <w:highlight w:val="lightGray"/>
              </w:rPr>
              <w:t>1 deň</w:t>
            </w:r>
          </w:p>
        </w:tc>
        <w:tc>
          <w:tcPr>
            <w:tcW w:w="1559" w:type="dxa"/>
            <w:tcBorders>
              <w:right w:val="nil"/>
            </w:tcBorders>
            <w:shd w:val="clear" w:color="auto" w:fill="FFFFFF"/>
          </w:tcPr>
          <w:p w:rsidR="00714F83" w:rsidRPr="00E8450A" w:rsidRDefault="00714F83" w:rsidP="00B2191F">
            <w:pPr>
              <w:jc w:val="right"/>
              <w:rPr>
                <w:noProof/>
                <w:highlight w:val="lightGray"/>
              </w:rPr>
            </w:pPr>
            <w:r w:rsidRPr="00E8450A">
              <w:rPr>
                <w:noProof/>
                <w:highlight w:val="lightGray"/>
              </w:rPr>
              <w:t>25 μg/m</w:t>
            </w:r>
            <w:r w:rsidRPr="00E8450A">
              <w:rPr>
                <w:noProof/>
                <w:highlight w:val="lightGray"/>
                <w:vertAlign w:val="superscript"/>
              </w:rPr>
              <w:t>3</w:t>
            </w:r>
            <w:r w:rsidRPr="00E8450A">
              <w:rPr>
                <w:noProof/>
                <w:highlight w:val="lightGray"/>
              </w:rPr>
              <w:t xml:space="preserve"> </w:t>
            </w:r>
          </w:p>
        </w:tc>
        <w:tc>
          <w:tcPr>
            <w:tcW w:w="5670" w:type="dxa"/>
            <w:tcBorders>
              <w:left w:val="nil"/>
              <w:right w:val="nil"/>
            </w:tcBorders>
            <w:shd w:val="clear" w:color="auto" w:fill="FFFFFF"/>
          </w:tcPr>
          <w:p w:rsidR="00714F83" w:rsidRPr="00E8450A" w:rsidRDefault="00714F83" w:rsidP="00B2191F">
            <w:pPr>
              <w:rPr>
                <w:noProof/>
                <w:highlight w:val="lightGray"/>
              </w:rPr>
            </w:pPr>
            <w:r w:rsidRPr="00E8450A">
              <w:rPr>
                <w:noProof/>
                <w:highlight w:val="lightGray"/>
              </w:rPr>
              <w:t xml:space="preserve">sa nemá prekročiť viac ako 18-krát za kalendárny rok </w:t>
            </w:r>
          </w:p>
        </w:tc>
      </w:tr>
      <w:tr w:rsidR="00714F83" w:rsidRPr="00E8450A" w:rsidTr="00B2191F">
        <w:tc>
          <w:tcPr>
            <w:tcW w:w="2093" w:type="dxa"/>
            <w:tcBorders>
              <w:left w:val="nil"/>
            </w:tcBorders>
            <w:shd w:val="clear" w:color="auto" w:fill="FFFFFF"/>
          </w:tcPr>
          <w:p w:rsidR="00714F83" w:rsidRPr="00E8450A" w:rsidRDefault="00714F83" w:rsidP="00B2191F">
            <w:pPr>
              <w:rPr>
                <w:noProof/>
                <w:highlight w:val="lightGray"/>
              </w:rPr>
            </w:pPr>
            <w:r w:rsidRPr="00E8450A">
              <w:rPr>
                <w:noProof/>
                <w:highlight w:val="lightGray"/>
              </w:rPr>
              <w:t>Kalendárny rok</w:t>
            </w:r>
          </w:p>
        </w:tc>
        <w:tc>
          <w:tcPr>
            <w:tcW w:w="1559" w:type="dxa"/>
            <w:tcBorders>
              <w:right w:val="nil"/>
            </w:tcBorders>
            <w:shd w:val="clear" w:color="auto" w:fill="FFFFFF"/>
          </w:tcPr>
          <w:p w:rsidR="00714F83" w:rsidRPr="00E8450A" w:rsidRDefault="00714F83" w:rsidP="00B2191F">
            <w:pPr>
              <w:jc w:val="right"/>
              <w:rPr>
                <w:noProof/>
                <w:highlight w:val="lightGray"/>
              </w:rPr>
            </w:pPr>
            <w:r w:rsidRPr="00E8450A">
              <w:rPr>
                <w:noProof/>
                <w:highlight w:val="lightGray"/>
              </w:rPr>
              <w:t>10 µg/m³</w:t>
            </w:r>
          </w:p>
        </w:tc>
        <w:tc>
          <w:tcPr>
            <w:tcW w:w="5670" w:type="dxa"/>
            <w:tcBorders>
              <w:left w:val="nil"/>
              <w:right w:val="nil"/>
            </w:tcBorders>
            <w:shd w:val="clear" w:color="auto" w:fill="FFFFFF"/>
          </w:tcPr>
          <w:p w:rsidR="00714F83" w:rsidRPr="00E8450A" w:rsidRDefault="00714F83" w:rsidP="00B2191F">
            <w:pPr>
              <w:rPr>
                <w:noProof/>
                <w:highlight w:val="lightGray"/>
              </w:rPr>
            </w:pPr>
          </w:p>
        </w:tc>
      </w:tr>
      <w:tr w:rsidR="00714F83" w:rsidRPr="00E8450A" w:rsidTr="00B2191F">
        <w:tc>
          <w:tcPr>
            <w:tcW w:w="2093" w:type="dxa"/>
            <w:tcBorders>
              <w:left w:val="nil"/>
              <w:right w:val="nil"/>
            </w:tcBorders>
          </w:tcPr>
          <w:p w:rsidR="00714F83" w:rsidRPr="00E8450A" w:rsidRDefault="00714F83" w:rsidP="00B2191F">
            <w:pPr>
              <w:rPr>
                <w:b/>
                <w:bCs/>
                <w:noProof/>
                <w:highlight w:val="lightGray"/>
              </w:rPr>
            </w:pPr>
            <w:r w:rsidRPr="00E8450A">
              <w:rPr>
                <w:b/>
                <w:noProof/>
                <w:highlight w:val="lightGray"/>
              </w:rPr>
              <w:t>PM</w:t>
            </w:r>
            <w:r w:rsidRPr="00E8450A">
              <w:rPr>
                <w:b/>
                <w:noProof/>
                <w:highlight w:val="lightGray"/>
                <w:vertAlign w:val="subscript"/>
              </w:rPr>
              <w:t>10</w:t>
            </w:r>
          </w:p>
        </w:tc>
        <w:tc>
          <w:tcPr>
            <w:tcW w:w="1559" w:type="dxa"/>
            <w:tcBorders>
              <w:left w:val="nil"/>
              <w:bottom w:val="single" w:sz="2" w:space="0" w:color="auto"/>
              <w:right w:val="nil"/>
            </w:tcBorders>
          </w:tcPr>
          <w:p w:rsidR="00714F83" w:rsidRPr="00E8450A" w:rsidRDefault="00714F83" w:rsidP="00B2191F">
            <w:pPr>
              <w:jc w:val="center"/>
              <w:rPr>
                <w:noProof/>
                <w:highlight w:val="lightGray"/>
              </w:rPr>
            </w:pPr>
          </w:p>
        </w:tc>
        <w:tc>
          <w:tcPr>
            <w:tcW w:w="5670" w:type="dxa"/>
            <w:tcBorders>
              <w:left w:val="nil"/>
              <w:right w:val="nil"/>
            </w:tcBorders>
          </w:tcPr>
          <w:p w:rsidR="00714F83" w:rsidRPr="00E8450A" w:rsidRDefault="00714F83" w:rsidP="00B2191F">
            <w:pPr>
              <w:jc w:val="center"/>
              <w:rPr>
                <w:noProof/>
                <w:highlight w:val="lightGray"/>
              </w:rPr>
            </w:pPr>
          </w:p>
        </w:tc>
      </w:tr>
      <w:tr w:rsidR="00714F83" w:rsidRPr="00E8450A" w:rsidTr="00B2191F">
        <w:tc>
          <w:tcPr>
            <w:tcW w:w="2093" w:type="dxa"/>
            <w:tcBorders>
              <w:left w:val="nil"/>
              <w:bottom w:val="single" w:sz="4" w:space="0" w:color="auto"/>
              <w:right w:val="single" w:sz="4" w:space="0" w:color="auto"/>
            </w:tcBorders>
          </w:tcPr>
          <w:p w:rsidR="00714F83" w:rsidRPr="00E8450A" w:rsidRDefault="00714F83" w:rsidP="00B2191F">
            <w:pPr>
              <w:rPr>
                <w:noProof/>
                <w:highlight w:val="lightGray"/>
              </w:rPr>
            </w:pPr>
            <w:r w:rsidRPr="00E8450A">
              <w:rPr>
                <w:noProof/>
                <w:highlight w:val="lightGray"/>
              </w:rPr>
              <w:t>1 deň</w:t>
            </w:r>
          </w:p>
        </w:tc>
        <w:tc>
          <w:tcPr>
            <w:tcW w:w="1559" w:type="dxa"/>
            <w:tcBorders>
              <w:left w:val="single" w:sz="4" w:space="0" w:color="auto"/>
              <w:bottom w:val="single" w:sz="4" w:space="0" w:color="auto"/>
              <w:right w:val="nil"/>
            </w:tcBorders>
          </w:tcPr>
          <w:p w:rsidR="00714F83" w:rsidRPr="00E8450A" w:rsidRDefault="00714F83" w:rsidP="00B2191F">
            <w:pPr>
              <w:jc w:val="right"/>
              <w:rPr>
                <w:noProof/>
                <w:highlight w:val="lightGray"/>
              </w:rPr>
            </w:pPr>
            <w:r w:rsidRPr="00E8450A">
              <w:rPr>
                <w:noProof/>
                <w:highlight w:val="lightGray"/>
              </w:rPr>
              <w:t>45 μg/m</w:t>
            </w:r>
            <w:r w:rsidRPr="00E8450A">
              <w:rPr>
                <w:noProof/>
                <w:highlight w:val="lightGray"/>
                <w:vertAlign w:val="superscript"/>
              </w:rPr>
              <w:t>3</w:t>
            </w:r>
            <w:r w:rsidRPr="00E8450A">
              <w:rPr>
                <w:noProof/>
                <w:highlight w:val="lightGray"/>
              </w:rPr>
              <w:t xml:space="preserve"> </w:t>
            </w:r>
          </w:p>
        </w:tc>
        <w:tc>
          <w:tcPr>
            <w:tcW w:w="5670" w:type="dxa"/>
            <w:tcBorders>
              <w:left w:val="nil"/>
              <w:bottom w:val="single" w:sz="4" w:space="0" w:color="auto"/>
              <w:right w:val="nil"/>
            </w:tcBorders>
          </w:tcPr>
          <w:p w:rsidR="00714F83" w:rsidRPr="00E8450A" w:rsidRDefault="00714F83" w:rsidP="00B2191F">
            <w:pPr>
              <w:rPr>
                <w:noProof/>
                <w:highlight w:val="lightGray"/>
              </w:rPr>
            </w:pPr>
            <w:r w:rsidRPr="00E8450A">
              <w:rPr>
                <w:noProof/>
                <w:highlight w:val="lightGray"/>
              </w:rPr>
              <w:t xml:space="preserve">sa nemá prekročiť viac ako 18-krát za kalendárny rok </w:t>
            </w:r>
          </w:p>
        </w:tc>
      </w:tr>
      <w:tr w:rsidR="00714F83" w:rsidRPr="00E8450A" w:rsidTr="00B2191F">
        <w:tc>
          <w:tcPr>
            <w:tcW w:w="2093" w:type="dxa"/>
            <w:tcBorders>
              <w:top w:val="single" w:sz="4" w:space="0" w:color="auto"/>
              <w:left w:val="nil"/>
              <w:right w:val="single" w:sz="4" w:space="0" w:color="auto"/>
            </w:tcBorders>
          </w:tcPr>
          <w:p w:rsidR="00714F83" w:rsidRPr="00E8450A" w:rsidRDefault="00714F83" w:rsidP="00B2191F">
            <w:pPr>
              <w:rPr>
                <w:noProof/>
                <w:highlight w:val="lightGray"/>
              </w:rPr>
            </w:pPr>
            <w:r w:rsidRPr="00E8450A">
              <w:rPr>
                <w:noProof/>
                <w:highlight w:val="lightGray"/>
              </w:rPr>
              <w:t>Kalendárny rok</w:t>
            </w:r>
          </w:p>
        </w:tc>
        <w:tc>
          <w:tcPr>
            <w:tcW w:w="1559" w:type="dxa"/>
            <w:tcBorders>
              <w:top w:val="single" w:sz="4" w:space="0" w:color="auto"/>
              <w:left w:val="single" w:sz="4" w:space="0" w:color="auto"/>
              <w:right w:val="nil"/>
            </w:tcBorders>
          </w:tcPr>
          <w:p w:rsidR="00714F83" w:rsidRPr="00E8450A" w:rsidRDefault="00714F83" w:rsidP="00B2191F">
            <w:pPr>
              <w:jc w:val="right"/>
              <w:rPr>
                <w:noProof/>
                <w:highlight w:val="lightGray"/>
              </w:rPr>
            </w:pPr>
            <w:r w:rsidRPr="00E8450A">
              <w:rPr>
                <w:noProof/>
                <w:highlight w:val="lightGray"/>
              </w:rPr>
              <w:t>20 μg/m</w:t>
            </w:r>
            <w:r w:rsidRPr="00E8450A">
              <w:rPr>
                <w:noProof/>
                <w:highlight w:val="lightGray"/>
                <w:vertAlign w:val="superscript"/>
              </w:rPr>
              <w:t>3</w:t>
            </w:r>
          </w:p>
        </w:tc>
        <w:tc>
          <w:tcPr>
            <w:tcW w:w="5670" w:type="dxa"/>
            <w:tcBorders>
              <w:top w:val="single" w:sz="4" w:space="0" w:color="auto"/>
              <w:left w:val="nil"/>
              <w:right w:val="nil"/>
            </w:tcBorders>
          </w:tcPr>
          <w:p w:rsidR="00714F83" w:rsidRPr="00E8450A" w:rsidRDefault="00714F83" w:rsidP="00B2191F">
            <w:pPr>
              <w:rPr>
                <w:noProof/>
                <w:highlight w:val="lightGray"/>
              </w:rPr>
            </w:pPr>
          </w:p>
        </w:tc>
      </w:tr>
      <w:tr w:rsidR="00714F83" w:rsidRPr="00E8450A" w:rsidTr="00B2191F">
        <w:tc>
          <w:tcPr>
            <w:tcW w:w="9322" w:type="dxa"/>
            <w:gridSpan w:val="3"/>
            <w:tcBorders>
              <w:left w:val="nil"/>
              <w:right w:val="nil"/>
            </w:tcBorders>
          </w:tcPr>
          <w:p w:rsidR="00714F83" w:rsidRPr="00E8450A" w:rsidRDefault="00714F83" w:rsidP="00B2191F">
            <w:pPr>
              <w:jc w:val="left"/>
              <w:rPr>
                <w:noProof/>
                <w:highlight w:val="lightGray"/>
              </w:rPr>
            </w:pPr>
            <w:r w:rsidRPr="00E8450A">
              <w:rPr>
                <w:b/>
                <w:noProof/>
                <w:highlight w:val="lightGray"/>
              </w:rPr>
              <w:t>Oxid dusičitý (NO</w:t>
            </w:r>
            <w:r w:rsidRPr="00E8450A">
              <w:rPr>
                <w:b/>
                <w:noProof/>
                <w:highlight w:val="lightGray"/>
                <w:vertAlign w:val="subscript"/>
              </w:rPr>
              <w:t>2</w:t>
            </w:r>
            <w:r w:rsidRPr="00E8450A">
              <w:rPr>
                <w:b/>
                <w:noProof/>
                <w:highlight w:val="lightGray"/>
              </w:rPr>
              <w:t>)</w:t>
            </w:r>
          </w:p>
        </w:tc>
      </w:tr>
      <w:tr w:rsidR="00714F83" w:rsidRPr="00E8450A" w:rsidTr="00B2191F">
        <w:tc>
          <w:tcPr>
            <w:tcW w:w="2093" w:type="dxa"/>
            <w:tcBorders>
              <w:left w:val="nil"/>
            </w:tcBorders>
          </w:tcPr>
          <w:p w:rsidR="00714F83" w:rsidRPr="00E8450A" w:rsidRDefault="00714F83" w:rsidP="00B2191F">
            <w:pPr>
              <w:rPr>
                <w:noProof/>
                <w:highlight w:val="lightGray"/>
              </w:rPr>
            </w:pPr>
            <w:r w:rsidRPr="00E8450A">
              <w:rPr>
                <w:noProof/>
                <w:highlight w:val="lightGray"/>
              </w:rPr>
              <w:t>1 hodina</w:t>
            </w:r>
          </w:p>
        </w:tc>
        <w:tc>
          <w:tcPr>
            <w:tcW w:w="1559" w:type="dxa"/>
            <w:tcBorders>
              <w:right w:val="nil"/>
            </w:tcBorders>
          </w:tcPr>
          <w:p w:rsidR="00714F83" w:rsidRPr="00E8450A" w:rsidRDefault="00714F83" w:rsidP="00B2191F">
            <w:pPr>
              <w:jc w:val="right"/>
              <w:rPr>
                <w:noProof/>
                <w:highlight w:val="lightGray"/>
              </w:rPr>
            </w:pPr>
            <w:r w:rsidRPr="00E8450A">
              <w:rPr>
                <w:noProof/>
                <w:highlight w:val="lightGray"/>
              </w:rPr>
              <w:t>200 μg/m</w:t>
            </w:r>
            <w:r w:rsidRPr="00E8450A">
              <w:rPr>
                <w:noProof/>
                <w:highlight w:val="lightGray"/>
                <w:vertAlign w:val="superscript"/>
              </w:rPr>
              <w:t>3</w:t>
            </w:r>
          </w:p>
        </w:tc>
        <w:tc>
          <w:tcPr>
            <w:tcW w:w="5670" w:type="dxa"/>
            <w:tcBorders>
              <w:left w:val="nil"/>
              <w:right w:val="nil"/>
            </w:tcBorders>
          </w:tcPr>
          <w:p w:rsidR="00714F83" w:rsidRPr="00E8450A" w:rsidRDefault="00714F83" w:rsidP="00B2191F">
            <w:pPr>
              <w:rPr>
                <w:noProof/>
                <w:highlight w:val="lightGray"/>
              </w:rPr>
            </w:pPr>
            <w:r w:rsidRPr="00E8450A">
              <w:rPr>
                <w:noProof/>
                <w:highlight w:val="lightGray"/>
              </w:rPr>
              <w:t xml:space="preserve">sa nemá prekročiť viac ako raz za kalendárny rok </w:t>
            </w:r>
          </w:p>
        </w:tc>
      </w:tr>
      <w:tr w:rsidR="00714F83" w:rsidRPr="00E8450A" w:rsidTr="00B2191F">
        <w:tc>
          <w:tcPr>
            <w:tcW w:w="2093" w:type="dxa"/>
            <w:tcBorders>
              <w:left w:val="nil"/>
            </w:tcBorders>
            <w:shd w:val="clear" w:color="auto" w:fill="FFFFFF"/>
          </w:tcPr>
          <w:p w:rsidR="00714F83" w:rsidRPr="00E8450A" w:rsidRDefault="00714F83" w:rsidP="00B2191F">
            <w:pPr>
              <w:rPr>
                <w:noProof/>
                <w:highlight w:val="lightGray"/>
              </w:rPr>
            </w:pPr>
            <w:r w:rsidRPr="00E8450A">
              <w:rPr>
                <w:noProof/>
                <w:highlight w:val="lightGray"/>
              </w:rPr>
              <w:t>1 deň</w:t>
            </w:r>
          </w:p>
        </w:tc>
        <w:tc>
          <w:tcPr>
            <w:tcW w:w="1559" w:type="dxa"/>
            <w:tcBorders>
              <w:right w:val="nil"/>
            </w:tcBorders>
            <w:shd w:val="clear" w:color="auto" w:fill="FFFFFF"/>
          </w:tcPr>
          <w:p w:rsidR="00714F83" w:rsidRPr="00E8450A" w:rsidRDefault="00714F83" w:rsidP="00B2191F">
            <w:pPr>
              <w:jc w:val="right"/>
              <w:rPr>
                <w:noProof/>
                <w:highlight w:val="lightGray"/>
              </w:rPr>
            </w:pPr>
            <w:r w:rsidRPr="00E8450A">
              <w:rPr>
                <w:noProof/>
                <w:highlight w:val="lightGray"/>
              </w:rPr>
              <w:t>50 µg/m</w:t>
            </w:r>
            <w:r w:rsidRPr="00E8450A">
              <w:rPr>
                <w:noProof/>
                <w:highlight w:val="lightGray"/>
                <w:vertAlign w:val="superscript"/>
              </w:rPr>
              <w:t>3</w:t>
            </w:r>
          </w:p>
        </w:tc>
        <w:tc>
          <w:tcPr>
            <w:tcW w:w="5670" w:type="dxa"/>
            <w:tcBorders>
              <w:left w:val="nil"/>
              <w:right w:val="nil"/>
            </w:tcBorders>
            <w:shd w:val="clear" w:color="auto" w:fill="FFFFFF"/>
          </w:tcPr>
          <w:p w:rsidR="00714F83" w:rsidRPr="00E8450A" w:rsidRDefault="00714F83" w:rsidP="00B2191F">
            <w:pPr>
              <w:rPr>
                <w:noProof/>
                <w:highlight w:val="lightGray"/>
              </w:rPr>
            </w:pPr>
            <w:r w:rsidRPr="00E8450A">
              <w:rPr>
                <w:noProof/>
                <w:highlight w:val="lightGray"/>
              </w:rPr>
              <w:t xml:space="preserve">sa nemá prekročiť viac ako 18-krát za kalendárny rok </w:t>
            </w:r>
          </w:p>
        </w:tc>
      </w:tr>
      <w:tr w:rsidR="00714F83" w:rsidRPr="00E8450A" w:rsidTr="00B2191F">
        <w:tc>
          <w:tcPr>
            <w:tcW w:w="2093" w:type="dxa"/>
            <w:tcBorders>
              <w:left w:val="nil"/>
              <w:bottom w:val="single" w:sz="2" w:space="0" w:color="auto"/>
            </w:tcBorders>
          </w:tcPr>
          <w:p w:rsidR="00714F83" w:rsidRPr="00E8450A" w:rsidRDefault="00714F83" w:rsidP="00B2191F">
            <w:pPr>
              <w:rPr>
                <w:noProof/>
                <w:highlight w:val="lightGray"/>
              </w:rPr>
            </w:pPr>
            <w:r w:rsidRPr="00E8450A">
              <w:rPr>
                <w:noProof/>
                <w:highlight w:val="lightGray"/>
              </w:rPr>
              <w:t>Kalendárny rok</w:t>
            </w:r>
          </w:p>
        </w:tc>
        <w:tc>
          <w:tcPr>
            <w:tcW w:w="1559" w:type="dxa"/>
            <w:tcBorders>
              <w:bottom w:val="single" w:sz="2" w:space="0" w:color="auto"/>
              <w:right w:val="nil"/>
            </w:tcBorders>
          </w:tcPr>
          <w:p w:rsidR="00714F83" w:rsidRPr="00E8450A" w:rsidRDefault="00714F83" w:rsidP="00B2191F">
            <w:pPr>
              <w:jc w:val="right"/>
              <w:rPr>
                <w:noProof/>
                <w:highlight w:val="lightGray"/>
              </w:rPr>
            </w:pPr>
            <w:r w:rsidRPr="00E8450A">
              <w:rPr>
                <w:noProof/>
                <w:highlight w:val="lightGray"/>
              </w:rPr>
              <w:t>20 μg/m</w:t>
            </w:r>
            <w:r w:rsidRPr="00E8450A">
              <w:rPr>
                <w:noProof/>
                <w:highlight w:val="lightGray"/>
                <w:vertAlign w:val="superscript"/>
              </w:rPr>
              <w:t>3</w:t>
            </w:r>
          </w:p>
        </w:tc>
        <w:tc>
          <w:tcPr>
            <w:tcW w:w="5670" w:type="dxa"/>
            <w:tcBorders>
              <w:left w:val="nil"/>
              <w:bottom w:val="single" w:sz="2" w:space="0" w:color="auto"/>
              <w:right w:val="nil"/>
            </w:tcBorders>
          </w:tcPr>
          <w:p w:rsidR="00714F83" w:rsidRPr="00E8450A" w:rsidRDefault="00714F83" w:rsidP="00B2191F">
            <w:pPr>
              <w:rPr>
                <w:noProof/>
                <w:highlight w:val="lightGray"/>
              </w:rPr>
            </w:pPr>
          </w:p>
        </w:tc>
      </w:tr>
      <w:tr w:rsidR="00714F83" w:rsidRPr="00E8450A" w:rsidTr="00B2191F">
        <w:tc>
          <w:tcPr>
            <w:tcW w:w="9322" w:type="dxa"/>
            <w:gridSpan w:val="3"/>
            <w:tcBorders>
              <w:left w:val="nil"/>
              <w:right w:val="nil"/>
            </w:tcBorders>
          </w:tcPr>
          <w:p w:rsidR="00714F83" w:rsidRPr="00E8450A" w:rsidRDefault="00714F83" w:rsidP="00B2191F">
            <w:pPr>
              <w:rPr>
                <w:noProof/>
                <w:highlight w:val="lightGray"/>
              </w:rPr>
            </w:pPr>
            <w:r w:rsidRPr="00E8450A">
              <w:rPr>
                <w:b/>
                <w:noProof/>
                <w:highlight w:val="lightGray"/>
              </w:rPr>
              <w:t>Oxid siričitý (SO</w:t>
            </w:r>
            <w:r w:rsidRPr="00E8450A">
              <w:rPr>
                <w:b/>
                <w:noProof/>
                <w:highlight w:val="lightGray"/>
                <w:vertAlign w:val="subscript"/>
              </w:rPr>
              <w:t>2</w:t>
            </w:r>
            <w:r w:rsidRPr="00E8450A">
              <w:rPr>
                <w:b/>
                <w:noProof/>
                <w:highlight w:val="lightGray"/>
              </w:rPr>
              <w:t>)</w:t>
            </w:r>
          </w:p>
        </w:tc>
      </w:tr>
      <w:tr w:rsidR="00714F83" w:rsidRPr="00E8450A" w:rsidTr="00B2191F">
        <w:tc>
          <w:tcPr>
            <w:tcW w:w="2093" w:type="dxa"/>
            <w:tcBorders>
              <w:left w:val="nil"/>
            </w:tcBorders>
          </w:tcPr>
          <w:p w:rsidR="00714F83" w:rsidRPr="00E8450A" w:rsidRDefault="00714F83" w:rsidP="00B2191F">
            <w:pPr>
              <w:rPr>
                <w:noProof/>
                <w:highlight w:val="lightGray"/>
              </w:rPr>
            </w:pPr>
            <w:r w:rsidRPr="00E8450A">
              <w:rPr>
                <w:noProof/>
                <w:highlight w:val="lightGray"/>
              </w:rPr>
              <w:t>1 hodina</w:t>
            </w:r>
          </w:p>
        </w:tc>
        <w:tc>
          <w:tcPr>
            <w:tcW w:w="1559" w:type="dxa"/>
            <w:tcBorders>
              <w:right w:val="nil"/>
            </w:tcBorders>
          </w:tcPr>
          <w:p w:rsidR="00714F83" w:rsidRPr="00E8450A" w:rsidRDefault="00714F83" w:rsidP="00B2191F">
            <w:pPr>
              <w:jc w:val="right"/>
              <w:rPr>
                <w:noProof/>
                <w:highlight w:val="lightGray"/>
              </w:rPr>
            </w:pPr>
            <w:r w:rsidRPr="00E8450A">
              <w:rPr>
                <w:noProof/>
                <w:highlight w:val="lightGray"/>
              </w:rPr>
              <w:t>350 μg/m</w:t>
            </w:r>
            <w:r w:rsidRPr="00E8450A">
              <w:rPr>
                <w:noProof/>
                <w:highlight w:val="lightGray"/>
                <w:vertAlign w:val="superscript"/>
              </w:rPr>
              <w:t>3</w:t>
            </w:r>
          </w:p>
        </w:tc>
        <w:tc>
          <w:tcPr>
            <w:tcW w:w="5670" w:type="dxa"/>
            <w:tcBorders>
              <w:left w:val="nil"/>
              <w:right w:val="nil"/>
            </w:tcBorders>
          </w:tcPr>
          <w:p w:rsidR="00714F83" w:rsidRPr="00E8450A" w:rsidRDefault="00714F83" w:rsidP="00B2191F">
            <w:pPr>
              <w:rPr>
                <w:noProof/>
                <w:highlight w:val="lightGray"/>
              </w:rPr>
            </w:pPr>
            <w:r w:rsidRPr="00E8450A">
              <w:rPr>
                <w:noProof/>
                <w:highlight w:val="lightGray"/>
              </w:rPr>
              <w:t xml:space="preserve">sa nemá prekročiť viac ako raz za kalendárny rok </w:t>
            </w:r>
          </w:p>
        </w:tc>
      </w:tr>
      <w:tr w:rsidR="00714F83" w:rsidRPr="00E8450A" w:rsidTr="00B2191F">
        <w:tc>
          <w:tcPr>
            <w:tcW w:w="2093" w:type="dxa"/>
            <w:tcBorders>
              <w:left w:val="nil"/>
            </w:tcBorders>
          </w:tcPr>
          <w:p w:rsidR="00714F83" w:rsidRPr="00E8450A" w:rsidRDefault="00714F83" w:rsidP="00B2191F">
            <w:pPr>
              <w:rPr>
                <w:noProof/>
                <w:highlight w:val="lightGray"/>
              </w:rPr>
            </w:pPr>
            <w:r w:rsidRPr="00E8450A">
              <w:rPr>
                <w:noProof/>
                <w:highlight w:val="lightGray"/>
              </w:rPr>
              <w:t>1 deň</w:t>
            </w:r>
          </w:p>
        </w:tc>
        <w:tc>
          <w:tcPr>
            <w:tcW w:w="1559" w:type="dxa"/>
            <w:tcBorders>
              <w:right w:val="nil"/>
            </w:tcBorders>
          </w:tcPr>
          <w:p w:rsidR="00714F83" w:rsidRPr="00E8450A" w:rsidRDefault="00714F83" w:rsidP="00B2191F">
            <w:pPr>
              <w:jc w:val="right"/>
              <w:rPr>
                <w:noProof/>
                <w:highlight w:val="lightGray"/>
              </w:rPr>
            </w:pPr>
            <w:r w:rsidRPr="00E8450A">
              <w:rPr>
                <w:noProof/>
                <w:highlight w:val="lightGray"/>
              </w:rPr>
              <w:t>50 μg/m</w:t>
            </w:r>
            <w:r w:rsidRPr="00E8450A">
              <w:rPr>
                <w:noProof/>
                <w:highlight w:val="lightGray"/>
                <w:vertAlign w:val="superscript"/>
              </w:rPr>
              <w:t>3</w:t>
            </w:r>
          </w:p>
        </w:tc>
        <w:tc>
          <w:tcPr>
            <w:tcW w:w="5670" w:type="dxa"/>
            <w:tcBorders>
              <w:left w:val="nil"/>
              <w:right w:val="nil"/>
            </w:tcBorders>
          </w:tcPr>
          <w:p w:rsidR="00714F83" w:rsidRPr="00E8450A" w:rsidRDefault="00714F83" w:rsidP="00B2191F">
            <w:pPr>
              <w:rPr>
                <w:noProof/>
                <w:highlight w:val="lightGray"/>
              </w:rPr>
            </w:pPr>
            <w:r w:rsidRPr="00E8450A">
              <w:rPr>
                <w:noProof/>
                <w:highlight w:val="lightGray"/>
              </w:rPr>
              <w:t xml:space="preserve">sa nemá prekročiť viac ako 18-krát za kalendárny rok </w:t>
            </w:r>
          </w:p>
        </w:tc>
      </w:tr>
      <w:tr w:rsidR="00714F83" w:rsidRPr="00E8450A" w:rsidTr="00B2191F">
        <w:tc>
          <w:tcPr>
            <w:tcW w:w="2093" w:type="dxa"/>
            <w:tcBorders>
              <w:left w:val="nil"/>
            </w:tcBorders>
          </w:tcPr>
          <w:p w:rsidR="00714F83" w:rsidRPr="00E8450A" w:rsidRDefault="00714F83" w:rsidP="00B2191F">
            <w:pPr>
              <w:rPr>
                <w:noProof/>
                <w:highlight w:val="lightGray"/>
              </w:rPr>
            </w:pPr>
            <w:r w:rsidRPr="00E8450A">
              <w:rPr>
                <w:noProof/>
                <w:highlight w:val="lightGray"/>
              </w:rPr>
              <w:t>Kalendárny rok</w:t>
            </w:r>
          </w:p>
        </w:tc>
        <w:tc>
          <w:tcPr>
            <w:tcW w:w="1559" w:type="dxa"/>
            <w:tcBorders>
              <w:right w:val="nil"/>
            </w:tcBorders>
          </w:tcPr>
          <w:p w:rsidR="00714F83" w:rsidRPr="00E8450A" w:rsidRDefault="00714F83" w:rsidP="00B2191F">
            <w:pPr>
              <w:jc w:val="right"/>
              <w:rPr>
                <w:noProof/>
                <w:highlight w:val="lightGray"/>
              </w:rPr>
            </w:pPr>
            <w:r w:rsidRPr="00E8450A">
              <w:rPr>
                <w:noProof/>
                <w:highlight w:val="lightGray"/>
              </w:rPr>
              <w:t>20 μg/m</w:t>
            </w:r>
            <w:r w:rsidRPr="00E8450A">
              <w:rPr>
                <w:noProof/>
                <w:highlight w:val="lightGray"/>
                <w:vertAlign w:val="superscript"/>
              </w:rPr>
              <w:t>3</w:t>
            </w:r>
          </w:p>
        </w:tc>
        <w:tc>
          <w:tcPr>
            <w:tcW w:w="5670" w:type="dxa"/>
            <w:tcBorders>
              <w:left w:val="nil"/>
              <w:right w:val="nil"/>
            </w:tcBorders>
          </w:tcPr>
          <w:p w:rsidR="00714F83" w:rsidRPr="00E8450A" w:rsidRDefault="00714F83" w:rsidP="00B2191F">
            <w:pPr>
              <w:rPr>
                <w:noProof/>
                <w:highlight w:val="lightGray"/>
              </w:rPr>
            </w:pPr>
          </w:p>
        </w:tc>
      </w:tr>
      <w:tr w:rsidR="00714F83" w:rsidRPr="00E8450A" w:rsidTr="00B2191F">
        <w:tc>
          <w:tcPr>
            <w:tcW w:w="2093" w:type="dxa"/>
            <w:tcBorders>
              <w:left w:val="nil"/>
              <w:right w:val="nil"/>
            </w:tcBorders>
          </w:tcPr>
          <w:p w:rsidR="00714F83" w:rsidRPr="00E8450A" w:rsidRDefault="00714F83" w:rsidP="00B2191F">
            <w:pPr>
              <w:rPr>
                <w:b/>
                <w:bCs/>
                <w:noProof/>
                <w:highlight w:val="lightGray"/>
              </w:rPr>
            </w:pPr>
            <w:r w:rsidRPr="00E8450A">
              <w:rPr>
                <w:b/>
                <w:noProof/>
                <w:highlight w:val="lightGray"/>
              </w:rPr>
              <w:t>Benzén</w:t>
            </w:r>
          </w:p>
        </w:tc>
        <w:tc>
          <w:tcPr>
            <w:tcW w:w="1559" w:type="dxa"/>
            <w:tcBorders>
              <w:left w:val="nil"/>
              <w:bottom w:val="single" w:sz="2" w:space="0" w:color="auto"/>
              <w:right w:val="nil"/>
            </w:tcBorders>
          </w:tcPr>
          <w:p w:rsidR="00714F83" w:rsidRPr="00E8450A" w:rsidRDefault="00714F83" w:rsidP="00B2191F">
            <w:pPr>
              <w:jc w:val="center"/>
              <w:rPr>
                <w:noProof/>
                <w:highlight w:val="lightGray"/>
              </w:rPr>
            </w:pPr>
          </w:p>
        </w:tc>
        <w:tc>
          <w:tcPr>
            <w:tcW w:w="5670" w:type="dxa"/>
            <w:tcBorders>
              <w:left w:val="nil"/>
              <w:right w:val="nil"/>
            </w:tcBorders>
          </w:tcPr>
          <w:p w:rsidR="00714F83" w:rsidRPr="00E8450A" w:rsidRDefault="00714F83" w:rsidP="00B2191F">
            <w:pPr>
              <w:jc w:val="center"/>
              <w:rPr>
                <w:noProof/>
                <w:highlight w:val="lightGray"/>
              </w:rPr>
            </w:pPr>
          </w:p>
        </w:tc>
      </w:tr>
      <w:tr w:rsidR="00714F83" w:rsidRPr="00E8450A" w:rsidTr="00B2191F">
        <w:tc>
          <w:tcPr>
            <w:tcW w:w="2093" w:type="dxa"/>
            <w:tcBorders>
              <w:left w:val="nil"/>
            </w:tcBorders>
          </w:tcPr>
          <w:p w:rsidR="00714F83" w:rsidRPr="00E8450A" w:rsidRDefault="00714F83" w:rsidP="00B2191F">
            <w:pPr>
              <w:rPr>
                <w:noProof/>
                <w:highlight w:val="lightGray"/>
              </w:rPr>
            </w:pPr>
            <w:r w:rsidRPr="00E8450A">
              <w:rPr>
                <w:noProof/>
                <w:highlight w:val="lightGray"/>
              </w:rPr>
              <w:t>Kalendárny rok</w:t>
            </w:r>
          </w:p>
        </w:tc>
        <w:tc>
          <w:tcPr>
            <w:tcW w:w="1559" w:type="dxa"/>
            <w:tcBorders>
              <w:right w:val="nil"/>
            </w:tcBorders>
          </w:tcPr>
          <w:p w:rsidR="00714F83" w:rsidRPr="00E8450A" w:rsidRDefault="00714F83" w:rsidP="00B2191F">
            <w:pPr>
              <w:jc w:val="right"/>
              <w:rPr>
                <w:noProof/>
                <w:highlight w:val="lightGray"/>
              </w:rPr>
            </w:pPr>
            <w:r w:rsidRPr="00E8450A">
              <w:rPr>
                <w:noProof/>
                <w:highlight w:val="lightGray"/>
              </w:rPr>
              <w:t>3,4 μg/m</w:t>
            </w:r>
            <w:r w:rsidRPr="00E8450A">
              <w:rPr>
                <w:noProof/>
                <w:highlight w:val="lightGray"/>
                <w:vertAlign w:val="superscript"/>
              </w:rPr>
              <w:t>3</w:t>
            </w:r>
          </w:p>
        </w:tc>
        <w:tc>
          <w:tcPr>
            <w:tcW w:w="5670" w:type="dxa"/>
            <w:tcBorders>
              <w:left w:val="nil"/>
              <w:right w:val="nil"/>
            </w:tcBorders>
          </w:tcPr>
          <w:p w:rsidR="00714F83" w:rsidRPr="00E8450A" w:rsidRDefault="00714F83" w:rsidP="00B2191F">
            <w:pPr>
              <w:rPr>
                <w:noProof/>
                <w:highlight w:val="lightGray"/>
              </w:rPr>
            </w:pPr>
          </w:p>
        </w:tc>
      </w:tr>
      <w:tr w:rsidR="00714F83" w:rsidRPr="00E8450A" w:rsidTr="00B2191F">
        <w:tc>
          <w:tcPr>
            <w:tcW w:w="9322" w:type="dxa"/>
            <w:gridSpan w:val="3"/>
            <w:tcBorders>
              <w:left w:val="nil"/>
              <w:right w:val="nil"/>
            </w:tcBorders>
          </w:tcPr>
          <w:p w:rsidR="00714F83" w:rsidRPr="00E8450A" w:rsidRDefault="00714F83" w:rsidP="00B2191F">
            <w:pPr>
              <w:jc w:val="left"/>
              <w:rPr>
                <w:noProof/>
                <w:highlight w:val="lightGray"/>
              </w:rPr>
            </w:pPr>
            <w:r w:rsidRPr="00E8450A">
              <w:rPr>
                <w:b/>
                <w:noProof/>
                <w:highlight w:val="lightGray"/>
              </w:rPr>
              <w:t>Oxid uhoľnatý (CO)</w:t>
            </w:r>
          </w:p>
        </w:tc>
      </w:tr>
      <w:tr w:rsidR="00714F83" w:rsidRPr="00E8450A" w:rsidTr="00B2191F">
        <w:tc>
          <w:tcPr>
            <w:tcW w:w="2093" w:type="dxa"/>
            <w:tcBorders>
              <w:left w:val="nil"/>
            </w:tcBorders>
          </w:tcPr>
          <w:p w:rsidR="00714F83" w:rsidRPr="00E8450A" w:rsidRDefault="00714F83" w:rsidP="00B2191F">
            <w:pPr>
              <w:jc w:val="left"/>
              <w:rPr>
                <w:noProof/>
                <w:highlight w:val="lightGray"/>
              </w:rPr>
            </w:pPr>
            <w:r w:rsidRPr="00E8450A">
              <w:rPr>
                <w:noProof/>
                <w:highlight w:val="lightGray"/>
              </w:rPr>
              <w:t>Najväčšia denná</w:t>
            </w:r>
            <w:r w:rsidRPr="00E8450A">
              <w:rPr>
                <w:noProof/>
              </w:rPr>
              <w:t xml:space="preserve"> </w:t>
            </w:r>
            <w:r w:rsidRPr="00E8450A">
              <w:rPr>
                <w:noProof/>
              </w:rPr>
              <w:br/>
            </w:r>
            <w:r w:rsidRPr="00E8450A">
              <w:rPr>
                <w:noProof/>
                <w:highlight w:val="lightGray"/>
              </w:rPr>
              <w:t xml:space="preserve">8-hodinová stredná </w:t>
            </w:r>
            <w:r w:rsidRPr="00E8450A">
              <w:rPr>
                <w:noProof/>
                <w:highlight w:val="lightGray"/>
              </w:rPr>
              <w:lastRenderedPageBreak/>
              <w:t>hodnota </w:t>
            </w:r>
            <w:r w:rsidRPr="00E8450A">
              <w:rPr>
                <w:noProof/>
                <w:highlight w:val="lightGray"/>
                <w:vertAlign w:val="superscript"/>
              </w:rPr>
              <w:t>(1)</w:t>
            </w:r>
          </w:p>
        </w:tc>
        <w:tc>
          <w:tcPr>
            <w:tcW w:w="1559" w:type="dxa"/>
            <w:tcBorders>
              <w:right w:val="nil"/>
            </w:tcBorders>
          </w:tcPr>
          <w:p w:rsidR="00714F83" w:rsidRPr="00E8450A" w:rsidRDefault="00714F83" w:rsidP="00B2191F">
            <w:pPr>
              <w:jc w:val="right"/>
              <w:rPr>
                <w:noProof/>
                <w:highlight w:val="lightGray"/>
              </w:rPr>
            </w:pPr>
            <w:r w:rsidRPr="00E8450A">
              <w:rPr>
                <w:noProof/>
                <w:highlight w:val="lightGray"/>
              </w:rPr>
              <w:lastRenderedPageBreak/>
              <w:t>10 mg/m</w:t>
            </w:r>
            <w:r w:rsidRPr="00E8450A">
              <w:rPr>
                <w:noProof/>
                <w:highlight w:val="lightGray"/>
                <w:vertAlign w:val="superscript"/>
              </w:rPr>
              <w:t>3</w:t>
            </w:r>
          </w:p>
        </w:tc>
        <w:tc>
          <w:tcPr>
            <w:tcW w:w="5670" w:type="dxa"/>
            <w:tcBorders>
              <w:left w:val="nil"/>
              <w:right w:val="nil"/>
            </w:tcBorders>
          </w:tcPr>
          <w:p w:rsidR="00714F83" w:rsidRPr="00E8450A" w:rsidRDefault="00714F83" w:rsidP="00B2191F">
            <w:pPr>
              <w:rPr>
                <w:noProof/>
                <w:highlight w:val="lightGray"/>
              </w:rPr>
            </w:pPr>
          </w:p>
        </w:tc>
      </w:tr>
      <w:tr w:rsidR="00714F83" w:rsidRPr="00E8450A" w:rsidTr="00B2191F">
        <w:tc>
          <w:tcPr>
            <w:tcW w:w="2093" w:type="dxa"/>
            <w:tcBorders>
              <w:left w:val="nil"/>
            </w:tcBorders>
          </w:tcPr>
          <w:p w:rsidR="00714F83" w:rsidRPr="00E8450A" w:rsidRDefault="00714F83" w:rsidP="00B2191F">
            <w:pPr>
              <w:rPr>
                <w:noProof/>
                <w:highlight w:val="lightGray"/>
              </w:rPr>
            </w:pPr>
            <w:r w:rsidRPr="00E8450A">
              <w:rPr>
                <w:noProof/>
                <w:highlight w:val="lightGray"/>
              </w:rPr>
              <w:t>1 deň</w:t>
            </w:r>
          </w:p>
        </w:tc>
        <w:tc>
          <w:tcPr>
            <w:tcW w:w="1559" w:type="dxa"/>
            <w:tcBorders>
              <w:right w:val="nil"/>
            </w:tcBorders>
          </w:tcPr>
          <w:p w:rsidR="00714F83" w:rsidRPr="00E8450A" w:rsidRDefault="00714F83" w:rsidP="00B2191F">
            <w:pPr>
              <w:jc w:val="right"/>
              <w:rPr>
                <w:noProof/>
                <w:highlight w:val="lightGray"/>
              </w:rPr>
            </w:pPr>
            <w:r w:rsidRPr="00E8450A">
              <w:rPr>
                <w:noProof/>
                <w:highlight w:val="lightGray"/>
              </w:rPr>
              <w:t>4 mg/m</w:t>
            </w:r>
            <w:r w:rsidRPr="00E8450A">
              <w:rPr>
                <w:noProof/>
                <w:highlight w:val="lightGray"/>
                <w:vertAlign w:val="superscript"/>
              </w:rPr>
              <w:t>3</w:t>
            </w:r>
          </w:p>
        </w:tc>
        <w:tc>
          <w:tcPr>
            <w:tcW w:w="5670" w:type="dxa"/>
            <w:tcBorders>
              <w:left w:val="nil"/>
              <w:right w:val="nil"/>
            </w:tcBorders>
          </w:tcPr>
          <w:p w:rsidR="00714F83" w:rsidRPr="00E8450A" w:rsidRDefault="00714F83" w:rsidP="00B2191F">
            <w:pPr>
              <w:rPr>
                <w:noProof/>
                <w:highlight w:val="lightGray"/>
              </w:rPr>
            </w:pPr>
            <w:r w:rsidRPr="00E8450A">
              <w:rPr>
                <w:noProof/>
                <w:highlight w:val="lightGray"/>
              </w:rPr>
              <w:t xml:space="preserve">sa nemá prekročiť viac ako 18-krát za kalendárny rok </w:t>
            </w:r>
          </w:p>
        </w:tc>
      </w:tr>
      <w:tr w:rsidR="00714F83" w:rsidRPr="00E8450A" w:rsidTr="00B2191F">
        <w:tc>
          <w:tcPr>
            <w:tcW w:w="2093" w:type="dxa"/>
            <w:tcBorders>
              <w:left w:val="nil"/>
              <w:right w:val="nil"/>
            </w:tcBorders>
          </w:tcPr>
          <w:p w:rsidR="00714F83" w:rsidRPr="00E8450A" w:rsidRDefault="00714F83" w:rsidP="00B2191F">
            <w:pPr>
              <w:rPr>
                <w:b/>
                <w:bCs/>
                <w:noProof/>
                <w:highlight w:val="lightGray"/>
              </w:rPr>
            </w:pPr>
            <w:r w:rsidRPr="00E8450A">
              <w:rPr>
                <w:b/>
                <w:noProof/>
                <w:highlight w:val="lightGray"/>
              </w:rPr>
              <w:t>Olovo (Pb)</w:t>
            </w:r>
          </w:p>
        </w:tc>
        <w:tc>
          <w:tcPr>
            <w:tcW w:w="1559" w:type="dxa"/>
            <w:tcBorders>
              <w:left w:val="nil"/>
              <w:right w:val="nil"/>
            </w:tcBorders>
          </w:tcPr>
          <w:p w:rsidR="00714F83" w:rsidRPr="00E8450A" w:rsidRDefault="00714F83" w:rsidP="00B2191F">
            <w:pPr>
              <w:jc w:val="center"/>
              <w:rPr>
                <w:noProof/>
                <w:highlight w:val="lightGray"/>
              </w:rPr>
            </w:pPr>
          </w:p>
        </w:tc>
        <w:tc>
          <w:tcPr>
            <w:tcW w:w="5670" w:type="dxa"/>
            <w:tcBorders>
              <w:left w:val="nil"/>
              <w:right w:val="nil"/>
            </w:tcBorders>
          </w:tcPr>
          <w:p w:rsidR="00714F83" w:rsidRPr="00E8450A" w:rsidRDefault="00714F83" w:rsidP="00B2191F">
            <w:pPr>
              <w:jc w:val="center"/>
              <w:rPr>
                <w:noProof/>
                <w:highlight w:val="lightGray"/>
              </w:rPr>
            </w:pPr>
          </w:p>
        </w:tc>
      </w:tr>
      <w:tr w:rsidR="00714F83" w:rsidRPr="00E8450A" w:rsidTr="00B2191F">
        <w:tc>
          <w:tcPr>
            <w:tcW w:w="2093" w:type="dxa"/>
            <w:tcBorders>
              <w:left w:val="nil"/>
            </w:tcBorders>
          </w:tcPr>
          <w:p w:rsidR="00714F83" w:rsidRPr="00E8450A" w:rsidRDefault="00714F83" w:rsidP="00B2191F">
            <w:pPr>
              <w:rPr>
                <w:noProof/>
                <w:highlight w:val="lightGray"/>
              </w:rPr>
            </w:pPr>
            <w:r w:rsidRPr="00E8450A">
              <w:rPr>
                <w:noProof/>
                <w:highlight w:val="lightGray"/>
              </w:rPr>
              <w:t>Kalendárny rok</w:t>
            </w:r>
          </w:p>
        </w:tc>
        <w:tc>
          <w:tcPr>
            <w:tcW w:w="1559" w:type="dxa"/>
            <w:tcBorders>
              <w:right w:val="nil"/>
            </w:tcBorders>
          </w:tcPr>
          <w:p w:rsidR="00714F83" w:rsidRPr="00E8450A" w:rsidRDefault="00714F83" w:rsidP="00B2191F">
            <w:pPr>
              <w:jc w:val="right"/>
              <w:rPr>
                <w:noProof/>
                <w:highlight w:val="lightGray"/>
              </w:rPr>
            </w:pPr>
            <w:r w:rsidRPr="00E8450A">
              <w:rPr>
                <w:noProof/>
                <w:highlight w:val="lightGray"/>
              </w:rPr>
              <w:t>0,5 μg/m</w:t>
            </w:r>
            <w:r w:rsidRPr="00E8450A">
              <w:rPr>
                <w:noProof/>
                <w:highlight w:val="lightGray"/>
                <w:vertAlign w:val="superscript"/>
              </w:rPr>
              <w:t>3</w:t>
            </w:r>
          </w:p>
        </w:tc>
        <w:tc>
          <w:tcPr>
            <w:tcW w:w="5670" w:type="dxa"/>
            <w:tcBorders>
              <w:left w:val="nil"/>
              <w:right w:val="nil"/>
            </w:tcBorders>
          </w:tcPr>
          <w:p w:rsidR="00714F83" w:rsidRPr="00E8450A" w:rsidRDefault="00714F83" w:rsidP="00B2191F">
            <w:pPr>
              <w:jc w:val="left"/>
              <w:rPr>
                <w:noProof/>
                <w:highlight w:val="lightGray"/>
              </w:rPr>
            </w:pPr>
          </w:p>
        </w:tc>
      </w:tr>
      <w:tr w:rsidR="00714F83" w:rsidRPr="00E8450A" w:rsidTr="00B2191F">
        <w:tc>
          <w:tcPr>
            <w:tcW w:w="2093" w:type="dxa"/>
            <w:tcBorders>
              <w:left w:val="nil"/>
              <w:right w:val="nil"/>
            </w:tcBorders>
          </w:tcPr>
          <w:p w:rsidR="00714F83" w:rsidRPr="00E8450A" w:rsidRDefault="00714F83" w:rsidP="00B2191F">
            <w:pPr>
              <w:rPr>
                <w:b/>
                <w:bCs/>
                <w:noProof/>
                <w:highlight w:val="lightGray"/>
              </w:rPr>
            </w:pPr>
            <w:r w:rsidRPr="00E8450A">
              <w:rPr>
                <w:b/>
                <w:noProof/>
                <w:highlight w:val="lightGray"/>
              </w:rPr>
              <w:t>Arzén (As)</w:t>
            </w:r>
          </w:p>
        </w:tc>
        <w:tc>
          <w:tcPr>
            <w:tcW w:w="1559" w:type="dxa"/>
            <w:tcBorders>
              <w:left w:val="nil"/>
              <w:bottom w:val="single" w:sz="2" w:space="0" w:color="auto"/>
              <w:right w:val="nil"/>
            </w:tcBorders>
          </w:tcPr>
          <w:p w:rsidR="00714F83" w:rsidRPr="00E8450A" w:rsidRDefault="00714F83" w:rsidP="00B2191F">
            <w:pPr>
              <w:jc w:val="right"/>
              <w:rPr>
                <w:noProof/>
                <w:highlight w:val="lightGray"/>
              </w:rPr>
            </w:pPr>
          </w:p>
        </w:tc>
        <w:tc>
          <w:tcPr>
            <w:tcW w:w="5670" w:type="dxa"/>
            <w:tcBorders>
              <w:left w:val="nil"/>
              <w:right w:val="nil"/>
            </w:tcBorders>
          </w:tcPr>
          <w:p w:rsidR="00714F83" w:rsidRPr="00E8450A" w:rsidRDefault="00714F83" w:rsidP="00B2191F">
            <w:pPr>
              <w:jc w:val="left"/>
              <w:rPr>
                <w:noProof/>
                <w:highlight w:val="lightGray"/>
              </w:rPr>
            </w:pPr>
          </w:p>
        </w:tc>
      </w:tr>
      <w:tr w:rsidR="00714F83" w:rsidRPr="00E8450A" w:rsidTr="00B2191F">
        <w:tc>
          <w:tcPr>
            <w:tcW w:w="2093" w:type="dxa"/>
            <w:tcBorders>
              <w:left w:val="nil"/>
            </w:tcBorders>
          </w:tcPr>
          <w:p w:rsidR="00714F83" w:rsidRPr="00E8450A" w:rsidRDefault="00714F83" w:rsidP="00B2191F">
            <w:pPr>
              <w:rPr>
                <w:noProof/>
                <w:highlight w:val="lightGray"/>
              </w:rPr>
            </w:pPr>
            <w:r w:rsidRPr="00E8450A">
              <w:rPr>
                <w:noProof/>
                <w:highlight w:val="lightGray"/>
              </w:rPr>
              <w:t>Kalendárny rok</w:t>
            </w:r>
          </w:p>
        </w:tc>
        <w:tc>
          <w:tcPr>
            <w:tcW w:w="1559" w:type="dxa"/>
            <w:tcBorders>
              <w:right w:val="nil"/>
            </w:tcBorders>
          </w:tcPr>
          <w:p w:rsidR="00714F83" w:rsidRPr="00E8450A" w:rsidRDefault="00714F83" w:rsidP="00B2191F">
            <w:pPr>
              <w:jc w:val="right"/>
              <w:rPr>
                <w:noProof/>
                <w:highlight w:val="lightGray"/>
              </w:rPr>
            </w:pPr>
            <w:r w:rsidRPr="00E8450A">
              <w:rPr>
                <w:noProof/>
                <w:highlight w:val="lightGray"/>
              </w:rPr>
              <w:t>6,0 ng/m³</w:t>
            </w:r>
          </w:p>
        </w:tc>
        <w:tc>
          <w:tcPr>
            <w:tcW w:w="5670" w:type="dxa"/>
            <w:tcBorders>
              <w:left w:val="nil"/>
              <w:right w:val="nil"/>
            </w:tcBorders>
          </w:tcPr>
          <w:p w:rsidR="00714F83" w:rsidRPr="00E8450A" w:rsidRDefault="00714F83" w:rsidP="00B2191F">
            <w:pPr>
              <w:jc w:val="left"/>
              <w:rPr>
                <w:noProof/>
                <w:highlight w:val="lightGray"/>
              </w:rPr>
            </w:pPr>
          </w:p>
        </w:tc>
      </w:tr>
      <w:tr w:rsidR="00714F83" w:rsidRPr="00E8450A" w:rsidTr="00B2191F">
        <w:tc>
          <w:tcPr>
            <w:tcW w:w="2093" w:type="dxa"/>
            <w:tcBorders>
              <w:left w:val="nil"/>
              <w:right w:val="nil"/>
            </w:tcBorders>
          </w:tcPr>
          <w:p w:rsidR="00714F83" w:rsidRPr="00E8450A" w:rsidRDefault="00714F83" w:rsidP="00B2191F">
            <w:pPr>
              <w:rPr>
                <w:b/>
                <w:bCs/>
                <w:noProof/>
                <w:highlight w:val="lightGray"/>
              </w:rPr>
            </w:pPr>
            <w:r w:rsidRPr="00E8450A">
              <w:rPr>
                <w:b/>
                <w:noProof/>
                <w:highlight w:val="lightGray"/>
              </w:rPr>
              <w:t>Kadmium (Cd)</w:t>
            </w:r>
          </w:p>
        </w:tc>
        <w:tc>
          <w:tcPr>
            <w:tcW w:w="1559" w:type="dxa"/>
            <w:tcBorders>
              <w:left w:val="nil"/>
              <w:right w:val="nil"/>
            </w:tcBorders>
          </w:tcPr>
          <w:p w:rsidR="00714F83" w:rsidRPr="00E8450A" w:rsidRDefault="00714F83" w:rsidP="00B2191F">
            <w:pPr>
              <w:jc w:val="right"/>
              <w:rPr>
                <w:noProof/>
                <w:highlight w:val="lightGray"/>
              </w:rPr>
            </w:pPr>
          </w:p>
        </w:tc>
        <w:tc>
          <w:tcPr>
            <w:tcW w:w="5670" w:type="dxa"/>
            <w:tcBorders>
              <w:left w:val="nil"/>
              <w:right w:val="nil"/>
            </w:tcBorders>
          </w:tcPr>
          <w:p w:rsidR="00714F83" w:rsidRPr="00E8450A" w:rsidRDefault="00714F83" w:rsidP="00B2191F">
            <w:pPr>
              <w:jc w:val="left"/>
              <w:rPr>
                <w:noProof/>
                <w:highlight w:val="lightGray"/>
              </w:rPr>
            </w:pPr>
          </w:p>
        </w:tc>
      </w:tr>
      <w:tr w:rsidR="00714F83" w:rsidRPr="00E8450A" w:rsidTr="00B2191F">
        <w:tc>
          <w:tcPr>
            <w:tcW w:w="2093" w:type="dxa"/>
            <w:tcBorders>
              <w:left w:val="nil"/>
            </w:tcBorders>
          </w:tcPr>
          <w:p w:rsidR="00714F83" w:rsidRPr="00E8450A" w:rsidRDefault="00714F83" w:rsidP="00B2191F">
            <w:pPr>
              <w:rPr>
                <w:noProof/>
                <w:highlight w:val="lightGray"/>
              </w:rPr>
            </w:pPr>
            <w:r w:rsidRPr="00E8450A">
              <w:rPr>
                <w:noProof/>
                <w:highlight w:val="lightGray"/>
              </w:rPr>
              <w:t>Kalendárny rok</w:t>
            </w:r>
          </w:p>
        </w:tc>
        <w:tc>
          <w:tcPr>
            <w:tcW w:w="1559" w:type="dxa"/>
            <w:tcBorders>
              <w:right w:val="nil"/>
            </w:tcBorders>
          </w:tcPr>
          <w:p w:rsidR="00714F83" w:rsidRPr="00E8450A" w:rsidRDefault="00714F83" w:rsidP="00B2191F">
            <w:pPr>
              <w:jc w:val="right"/>
              <w:rPr>
                <w:noProof/>
                <w:highlight w:val="lightGray"/>
              </w:rPr>
            </w:pPr>
            <w:r w:rsidRPr="00E8450A">
              <w:rPr>
                <w:noProof/>
                <w:highlight w:val="lightGray"/>
              </w:rPr>
              <w:t>5,0 ng/m³</w:t>
            </w:r>
          </w:p>
        </w:tc>
        <w:tc>
          <w:tcPr>
            <w:tcW w:w="5670" w:type="dxa"/>
            <w:tcBorders>
              <w:left w:val="nil"/>
              <w:right w:val="nil"/>
            </w:tcBorders>
          </w:tcPr>
          <w:p w:rsidR="00714F83" w:rsidRPr="00E8450A" w:rsidRDefault="00714F83" w:rsidP="00B2191F">
            <w:pPr>
              <w:jc w:val="left"/>
              <w:rPr>
                <w:noProof/>
                <w:highlight w:val="lightGray"/>
              </w:rPr>
            </w:pPr>
          </w:p>
        </w:tc>
      </w:tr>
      <w:tr w:rsidR="00714F83" w:rsidRPr="00E8450A" w:rsidTr="00B2191F">
        <w:tc>
          <w:tcPr>
            <w:tcW w:w="2093" w:type="dxa"/>
            <w:tcBorders>
              <w:left w:val="nil"/>
              <w:right w:val="nil"/>
            </w:tcBorders>
          </w:tcPr>
          <w:p w:rsidR="00714F83" w:rsidRPr="00E8450A" w:rsidRDefault="00714F83" w:rsidP="00B2191F">
            <w:pPr>
              <w:rPr>
                <w:noProof/>
                <w:highlight w:val="lightGray"/>
              </w:rPr>
            </w:pPr>
            <w:r w:rsidRPr="00E8450A">
              <w:rPr>
                <w:b/>
                <w:noProof/>
                <w:highlight w:val="lightGray"/>
              </w:rPr>
              <w:t>Nikel (Ni)</w:t>
            </w:r>
          </w:p>
        </w:tc>
        <w:tc>
          <w:tcPr>
            <w:tcW w:w="1559" w:type="dxa"/>
            <w:tcBorders>
              <w:left w:val="nil"/>
              <w:right w:val="nil"/>
            </w:tcBorders>
          </w:tcPr>
          <w:p w:rsidR="00714F83" w:rsidRPr="00E8450A" w:rsidRDefault="00714F83" w:rsidP="00B2191F">
            <w:pPr>
              <w:jc w:val="right"/>
              <w:rPr>
                <w:noProof/>
                <w:highlight w:val="lightGray"/>
              </w:rPr>
            </w:pPr>
          </w:p>
        </w:tc>
        <w:tc>
          <w:tcPr>
            <w:tcW w:w="5670" w:type="dxa"/>
            <w:tcBorders>
              <w:left w:val="nil"/>
              <w:right w:val="nil"/>
            </w:tcBorders>
          </w:tcPr>
          <w:p w:rsidR="00714F83" w:rsidRPr="00E8450A" w:rsidRDefault="00714F83" w:rsidP="00B2191F">
            <w:pPr>
              <w:jc w:val="left"/>
              <w:rPr>
                <w:noProof/>
                <w:highlight w:val="lightGray"/>
              </w:rPr>
            </w:pPr>
          </w:p>
        </w:tc>
      </w:tr>
      <w:tr w:rsidR="00714F83" w:rsidRPr="00E8450A" w:rsidTr="00B2191F">
        <w:tc>
          <w:tcPr>
            <w:tcW w:w="2093" w:type="dxa"/>
            <w:tcBorders>
              <w:left w:val="nil"/>
            </w:tcBorders>
          </w:tcPr>
          <w:p w:rsidR="00714F83" w:rsidRPr="00E8450A" w:rsidRDefault="00714F83" w:rsidP="00B2191F">
            <w:pPr>
              <w:rPr>
                <w:noProof/>
                <w:highlight w:val="lightGray"/>
              </w:rPr>
            </w:pPr>
            <w:r w:rsidRPr="00E8450A">
              <w:rPr>
                <w:noProof/>
                <w:highlight w:val="lightGray"/>
              </w:rPr>
              <w:t>Kalendárny rok</w:t>
            </w:r>
          </w:p>
        </w:tc>
        <w:tc>
          <w:tcPr>
            <w:tcW w:w="1559" w:type="dxa"/>
            <w:tcBorders>
              <w:right w:val="nil"/>
            </w:tcBorders>
          </w:tcPr>
          <w:p w:rsidR="00714F83" w:rsidRPr="00E8450A" w:rsidRDefault="00714F83" w:rsidP="00B2191F">
            <w:pPr>
              <w:jc w:val="right"/>
              <w:rPr>
                <w:noProof/>
                <w:highlight w:val="lightGray"/>
              </w:rPr>
            </w:pPr>
            <w:r w:rsidRPr="00E8450A">
              <w:rPr>
                <w:noProof/>
                <w:highlight w:val="lightGray"/>
              </w:rPr>
              <w:t>20 ng/m³</w:t>
            </w:r>
          </w:p>
        </w:tc>
        <w:tc>
          <w:tcPr>
            <w:tcW w:w="5670" w:type="dxa"/>
            <w:tcBorders>
              <w:left w:val="nil"/>
              <w:right w:val="nil"/>
            </w:tcBorders>
          </w:tcPr>
          <w:p w:rsidR="00714F83" w:rsidRPr="00E8450A" w:rsidRDefault="00714F83" w:rsidP="00B2191F">
            <w:pPr>
              <w:jc w:val="left"/>
              <w:rPr>
                <w:noProof/>
                <w:highlight w:val="lightGray"/>
              </w:rPr>
            </w:pPr>
          </w:p>
        </w:tc>
      </w:tr>
      <w:tr w:rsidR="00714F83" w:rsidRPr="00E8450A" w:rsidTr="00B2191F">
        <w:tc>
          <w:tcPr>
            <w:tcW w:w="2093" w:type="dxa"/>
            <w:tcBorders>
              <w:left w:val="nil"/>
              <w:right w:val="nil"/>
            </w:tcBorders>
          </w:tcPr>
          <w:p w:rsidR="00714F83" w:rsidRPr="00E8450A" w:rsidRDefault="00714F83" w:rsidP="00B2191F">
            <w:pPr>
              <w:rPr>
                <w:b/>
                <w:bCs/>
                <w:noProof/>
                <w:highlight w:val="lightGray"/>
              </w:rPr>
            </w:pPr>
            <w:r w:rsidRPr="00E8450A">
              <w:rPr>
                <w:b/>
                <w:noProof/>
                <w:highlight w:val="lightGray"/>
              </w:rPr>
              <w:t>Benzo[a]pyrén</w:t>
            </w:r>
          </w:p>
        </w:tc>
        <w:tc>
          <w:tcPr>
            <w:tcW w:w="1559" w:type="dxa"/>
            <w:tcBorders>
              <w:left w:val="nil"/>
              <w:bottom w:val="single" w:sz="2" w:space="0" w:color="auto"/>
              <w:right w:val="nil"/>
            </w:tcBorders>
          </w:tcPr>
          <w:p w:rsidR="00714F83" w:rsidRPr="00E8450A" w:rsidRDefault="00714F83" w:rsidP="00B2191F">
            <w:pPr>
              <w:jc w:val="right"/>
              <w:rPr>
                <w:noProof/>
                <w:highlight w:val="lightGray"/>
              </w:rPr>
            </w:pPr>
          </w:p>
        </w:tc>
        <w:tc>
          <w:tcPr>
            <w:tcW w:w="5670" w:type="dxa"/>
            <w:tcBorders>
              <w:left w:val="nil"/>
              <w:right w:val="nil"/>
            </w:tcBorders>
          </w:tcPr>
          <w:p w:rsidR="00714F83" w:rsidRPr="00E8450A" w:rsidRDefault="00714F83" w:rsidP="00B2191F">
            <w:pPr>
              <w:jc w:val="left"/>
              <w:rPr>
                <w:noProof/>
                <w:highlight w:val="lightGray"/>
              </w:rPr>
            </w:pPr>
          </w:p>
        </w:tc>
      </w:tr>
      <w:tr w:rsidR="00714F83" w:rsidRPr="00E8450A" w:rsidTr="00B2191F">
        <w:tc>
          <w:tcPr>
            <w:tcW w:w="2093" w:type="dxa"/>
            <w:tcBorders>
              <w:left w:val="nil"/>
            </w:tcBorders>
          </w:tcPr>
          <w:p w:rsidR="00714F83" w:rsidRPr="00E8450A" w:rsidRDefault="00714F83" w:rsidP="00B2191F">
            <w:pPr>
              <w:rPr>
                <w:noProof/>
                <w:highlight w:val="lightGray"/>
              </w:rPr>
            </w:pPr>
            <w:r w:rsidRPr="00E8450A">
              <w:rPr>
                <w:noProof/>
                <w:highlight w:val="lightGray"/>
              </w:rPr>
              <w:t>Kalendárny rok</w:t>
            </w:r>
          </w:p>
        </w:tc>
        <w:tc>
          <w:tcPr>
            <w:tcW w:w="1559" w:type="dxa"/>
            <w:tcBorders>
              <w:right w:val="nil"/>
            </w:tcBorders>
          </w:tcPr>
          <w:p w:rsidR="00714F83" w:rsidRPr="00E8450A" w:rsidRDefault="00714F83" w:rsidP="00B2191F">
            <w:pPr>
              <w:jc w:val="right"/>
              <w:rPr>
                <w:noProof/>
                <w:highlight w:val="lightGray"/>
              </w:rPr>
            </w:pPr>
            <w:r w:rsidRPr="00E8450A">
              <w:rPr>
                <w:noProof/>
                <w:highlight w:val="lightGray"/>
              </w:rPr>
              <w:t>1,0 ng/m³</w:t>
            </w:r>
          </w:p>
        </w:tc>
        <w:tc>
          <w:tcPr>
            <w:tcW w:w="5670" w:type="dxa"/>
            <w:tcBorders>
              <w:left w:val="nil"/>
              <w:right w:val="nil"/>
            </w:tcBorders>
          </w:tcPr>
          <w:p w:rsidR="00714F83" w:rsidRPr="00E8450A" w:rsidRDefault="00714F83" w:rsidP="00B2191F">
            <w:pPr>
              <w:jc w:val="left"/>
              <w:rPr>
                <w:noProof/>
                <w:highlight w:val="lightGray"/>
              </w:rPr>
            </w:pPr>
          </w:p>
        </w:tc>
      </w:tr>
      <w:tr w:rsidR="00714F83" w:rsidRPr="00E8450A" w:rsidTr="00B2191F">
        <w:tc>
          <w:tcPr>
            <w:tcW w:w="9322" w:type="dxa"/>
            <w:gridSpan w:val="3"/>
            <w:tcBorders>
              <w:left w:val="nil"/>
              <w:right w:val="nil"/>
            </w:tcBorders>
          </w:tcPr>
          <w:p w:rsidR="00714F83" w:rsidRPr="00E8450A" w:rsidRDefault="00714F83" w:rsidP="00B2191F">
            <w:pPr>
              <w:pStyle w:val="ListParagraph"/>
              <w:numPr>
                <w:ilvl w:val="0"/>
                <w:numId w:val="16"/>
              </w:numPr>
              <w:autoSpaceDE w:val="0"/>
              <w:autoSpaceDN w:val="0"/>
              <w:ind w:left="426" w:hanging="426"/>
              <w:jc w:val="left"/>
              <w:rPr>
                <w:noProof/>
                <w:sz w:val="20"/>
                <w:szCs w:val="20"/>
                <w:highlight w:val="lightGray"/>
              </w:rPr>
            </w:pPr>
            <w:r w:rsidRPr="00E8450A">
              <w:rPr>
                <w:noProof/>
                <w:sz w:val="20"/>
                <w:highlight w:val="lightGray"/>
              </w:rPr>
              <w:t>Najväčšia denná 8-hodinová stredná hodnota koncentrácie sa vyberie preskúmaním 8-hodinových kĺzavých priemerov vypočítaných z hodinových údajov aktualizovaných každú hodinu. Každý takto vypočítaný 8-hodinový priemer sa priradí ku dňu, počas ktorého sa dané 8-hodinové obdobie končí, t. j. prvým výpočtovým obdobím pre ktorýkoľvek jeden deň je obdobie, ktoré sa začína o 17.00 hod. predchádzajúceho dňa a končí o 1.00 hod. daného dňa; posledným výpočtovým obdobím pre ktorýkoľvek jeden deň je obdobie, ktoré sa začína o 16.00 hod. a končí o 24.00 hod. daného dňa.</w:t>
            </w:r>
          </w:p>
        </w:tc>
      </w:tr>
    </w:tbl>
    <w:p w:rsidR="00714F83" w:rsidRPr="00E8450A" w:rsidRDefault="00714F83" w:rsidP="00714F83">
      <w:pPr>
        <w:rPr>
          <w:noProof/>
          <w:highlight w:val="lightGray"/>
        </w:rPr>
      </w:pPr>
    </w:p>
    <w:p w:rsidR="00714F83" w:rsidRPr="00E8450A" w:rsidRDefault="00714F83" w:rsidP="00714F83">
      <w:pPr>
        <w:rPr>
          <w:i/>
          <w:iCs/>
          <w:noProof/>
          <w:highlight w:val="lightGray"/>
        </w:rPr>
      </w:pPr>
      <w:r w:rsidRPr="00E8450A">
        <w:rPr>
          <w:i/>
          <w:noProof/>
          <w:highlight w:val="lightGray"/>
        </w:rPr>
        <w:t>Tabuľka 2 – Limitné hodnoty na účely ochrany ľudského zdravia, ktoré sa majú dosiahnuť do [VLOŽTE TERMÍN TRANSPOZÍCIE]</w:t>
      </w:r>
    </w:p>
    <w:tbl>
      <w:tblPr>
        <w:tblW w:w="9322" w:type="dxa"/>
        <w:tblBorders>
          <w:top w:val="single" w:sz="2" w:space="0" w:color="auto"/>
          <w:left w:val="single" w:sz="4" w:space="0" w:color="auto"/>
          <w:bottom w:val="single" w:sz="2" w:space="0" w:color="auto"/>
          <w:right w:val="single" w:sz="4" w:space="0" w:color="auto"/>
          <w:insideH w:val="single" w:sz="2" w:space="0" w:color="auto"/>
          <w:insideV w:val="single" w:sz="2" w:space="0" w:color="auto"/>
        </w:tblBorders>
        <w:tblLayout w:type="fixed"/>
        <w:tblLook w:val="0000" w:firstRow="0" w:lastRow="0" w:firstColumn="0" w:lastColumn="0" w:noHBand="0" w:noVBand="0"/>
      </w:tblPr>
      <w:tblGrid>
        <w:gridCol w:w="2073"/>
        <w:gridCol w:w="1542"/>
        <w:gridCol w:w="5707"/>
      </w:tblGrid>
      <w:tr w:rsidR="00714F83" w:rsidRPr="00E8450A" w:rsidTr="00B2191F">
        <w:tc>
          <w:tcPr>
            <w:tcW w:w="2073" w:type="dxa"/>
            <w:tcBorders>
              <w:left w:val="nil"/>
            </w:tcBorders>
          </w:tcPr>
          <w:p w:rsidR="00714F83" w:rsidRPr="00E8450A" w:rsidRDefault="00714F83" w:rsidP="00B2191F">
            <w:pPr>
              <w:jc w:val="left"/>
              <w:rPr>
                <w:b/>
                <w:bCs/>
                <w:noProof/>
                <w:highlight w:val="lightGray"/>
              </w:rPr>
            </w:pPr>
            <w:r w:rsidRPr="00E8450A">
              <w:rPr>
                <w:b/>
                <w:noProof/>
                <w:highlight w:val="lightGray"/>
              </w:rPr>
              <w:t>Priemerované obdobie</w:t>
            </w:r>
          </w:p>
        </w:tc>
        <w:tc>
          <w:tcPr>
            <w:tcW w:w="1542" w:type="dxa"/>
            <w:tcBorders>
              <w:right w:val="nil"/>
            </w:tcBorders>
          </w:tcPr>
          <w:p w:rsidR="00714F83" w:rsidRPr="00E8450A" w:rsidRDefault="00714F83" w:rsidP="00B2191F">
            <w:pPr>
              <w:jc w:val="left"/>
              <w:rPr>
                <w:b/>
                <w:bCs/>
                <w:noProof/>
                <w:highlight w:val="lightGray"/>
              </w:rPr>
            </w:pPr>
            <w:r w:rsidRPr="00E8450A">
              <w:rPr>
                <w:b/>
                <w:noProof/>
                <w:highlight w:val="lightGray"/>
              </w:rPr>
              <w:t>Limitná hodnota</w:t>
            </w:r>
          </w:p>
        </w:tc>
        <w:tc>
          <w:tcPr>
            <w:tcW w:w="5707" w:type="dxa"/>
            <w:tcBorders>
              <w:left w:val="nil"/>
              <w:right w:val="nil"/>
            </w:tcBorders>
          </w:tcPr>
          <w:p w:rsidR="00714F83" w:rsidRPr="00E8450A" w:rsidRDefault="00714F83" w:rsidP="00B2191F">
            <w:pPr>
              <w:jc w:val="left"/>
              <w:rPr>
                <w:b/>
                <w:bCs/>
                <w:noProof/>
                <w:highlight w:val="lightGray"/>
              </w:rPr>
            </w:pPr>
          </w:p>
        </w:tc>
      </w:tr>
      <w:tr w:rsidR="00714F83" w:rsidRPr="00E8450A" w:rsidTr="00B2191F">
        <w:tc>
          <w:tcPr>
            <w:tcW w:w="2073" w:type="dxa"/>
            <w:tcBorders>
              <w:left w:val="nil"/>
              <w:right w:val="nil"/>
            </w:tcBorders>
          </w:tcPr>
          <w:p w:rsidR="00714F83" w:rsidRPr="00E8450A" w:rsidRDefault="00714F83" w:rsidP="00B2191F">
            <w:pPr>
              <w:rPr>
                <w:b/>
                <w:bCs/>
                <w:noProof/>
                <w:highlight w:val="lightGray"/>
              </w:rPr>
            </w:pPr>
            <w:r w:rsidRPr="00E8450A">
              <w:rPr>
                <w:b/>
                <w:noProof/>
                <w:highlight w:val="lightGray"/>
              </w:rPr>
              <w:t>PM</w:t>
            </w:r>
            <w:r w:rsidRPr="00E8450A">
              <w:rPr>
                <w:b/>
                <w:noProof/>
                <w:highlight w:val="lightGray"/>
                <w:vertAlign w:val="subscript"/>
              </w:rPr>
              <w:t>2,5</w:t>
            </w:r>
          </w:p>
        </w:tc>
        <w:tc>
          <w:tcPr>
            <w:tcW w:w="1542" w:type="dxa"/>
            <w:tcBorders>
              <w:left w:val="nil"/>
              <w:bottom w:val="single" w:sz="2" w:space="0" w:color="auto"/>
              <w:right w:val="nil"/>
            </w:tcBorders>
          </w:tcPr>
          <w:p w:rsidR="00714F83" w:rsidRPr="00E8450A" w:rsidRDefault="00714F83" w:rsidP="00B2191F">
            <w:pPr>
              <w:jc w:val="center"/>
              <w:rPr>
                <w:noProof/>
                <w:highlight w:val="lightGray"/>
              </w:rPr>
            </w:pPr>
          </w:p>
        </w:tc>
        <w:tc>
          <w:tcPr>
            <w:tcW w:w="5707" w:type="dxa"/>
            <w:tcBorders>
              <w:left w:val="nil"/>
              <w:right w:val="nil"/>
            </w:tcBorders>
          </w:tcPr>
          <w:p w:rsidR="00714F83" w:rsidRPr="00E8450A" w:rsidRDefault="00714F83" w:rsidP="00B2191F">
            <w:pPr>
              <w:jc w:val="center"/>
              <w:rPr>
                <w:noProof/>
                <w:highlight w:val="lightGray"/>
              </w:rPr>
            </w:pPr>
          </w:p>
        </w:tc>
      </w:tr>
      <w:tr w:rsidR="00714F83" w:rsidRPr="00E8450A" w:rsidTr="00B2191F">
        <w:tc>
          <w:tcPr>
            <w:tcW w:w="2073" w:type="dxa"/>
            <w:tcBorders>
              <w:left w:val="nil"/>
            </w:tcBorders>
            <w:shd w:val="clear" w:color="auto" w:fill="FFFFFF"/>
          </w:tcPr>
          <w:p w:rsidR="00714F83" w:rsidRPr="00E8450A" w:rsidRDefault="00714F83" w:rsidP="00B2191F">
            <w:pPr>
              <w:rPr>
                <w:noProof/>
                <w:highlight w:val="lightGray"/>
              </w:rPr>
            </w:pPr>
            <w:r w:rsidRPr="00E8450A">
              <w:rPr>
                <w:noProof/>
                <w:highlight w:val="lightGray"/>
              </w:rPr>
              <w:t>Kalendárny rok</w:t>
            </w:r>
          </w:p>
        </w:tc>
        <w:tc>
          <w:tcPr>
            <w:tcW w:w="1542" w:type="dxa"/>
            <w:tcBorders>
              <w:right w:val="nil"/>
            </w:tcBorders>
            <w:shd w:val="clear" w:color="auto" w:fill="FFFFFF"/>
          </w:tcPr>
          <w:p w:rsidR="00714F83" w:rsidRPr="00E8450A" w:rsidRDefault="00714F83" w:rsidP="00B2191F">
            <w:pPr>
              <w:jc w:val="right"/>
              <w:rPr>
                <w:noProof/>
                <w:highlight w:val="lightGray"/>
              </w:rPr>
            </w:pPr>
            <w:r w:rsidRPr="00E8450A">
              <w:rPr>
                <w:noProof/>
                <w:highlight w:val="lightGray"/>
              </w:rPr>
              <w:t>25 µg/m³</w:t>
            </w:r>
          </w:p>
        </w:tc>
        <w:tc>
          <w:tcPr>
            <w:tcW w:w="5707" w:type="dxa"/>
            <w:tcBorders>
              <w:left w:val="nil"/>
              <w:right w:val="nil"/>
            </w:tcBorders>
            <w:shd w:val="clear" w:color="auto" w:fill="FFFFFF"/>
          </w:tcPr>
          <w:p w:rsidR="00714F83" w:rsidRPr="00E8450A" w:rsidRDefault="00714F83" w:rsidP="00B2191F">
            <w:pPr>
              <w:rPr>
                <w:noProof/>
                <w:highlight w:val="lightGray"/>
              </w:rPr>
            </w:pPr>
          </w:p>
        </w:tc>
      </w:tr>
      <w:tr w:rsidR="00714F83" w:rsidRPr="00E8450A" w:rsidTr="00B2191F">
        <w:tc>
          <w:tcPr>
            <w:tcW w:w="2073" w:type="dxa"/>
            <w:tcBorders>
              <w:left w:val="nil"/>
              <w:right w:val="nil"/>
            </w:tcBorders>
          </w:tcPr>
          <w:p w:rsidR="00714F83" w:rsidRPr="00E8450A" w:rsidRDefault="00714F83" w:rsidP="00B2191F">
            <w:pPr>
              <w:rPr>
                <w:b/>
                <w:bCs/>
                <w:noProof/>
                <w:highlight w:val="lightGray"/>
              </w:rPr>
            </w:pPr>
            <w:r w:rsidRPr="00E8450A">
              <w:rPr>
                <w:b/>
                <w:noProof/>
                <w:highlight w:val="lightGray"/>
              </w:rPr>
              <w:t>PM</w:t>
            </w:r>
            <w:r w:rsidRPr="00E8450A">
              <w:rPr>
                <w:b/>
                <w:noProof/>
                <w:highlight w:val="lightGray"/>
                <w:vertAlign w:val="subscript"/>
              </w:rPr>
              <w:t>10</w:t>
            </w:r>
          </w:p>
        </w:tc>
        <w:tc>
          <w:tcPr>
            <w:tcW w:w="1542" w:type="dxa"/>
            <w:tcBorders>
              <w:left w:val="nil"/>
              <w:bottom w:val="single" w:sz="2" w:space="0" w:color="auto"/>
              <w:right w:val="nil"/>
            </w:tcBorders>
          </w:tcPr>
          <w:p w:rsidR="00714F83" w:rsidRPr="00E8450A" w:rsidRDefault="00714F83" w:rsidP="00B2191F">
            <w:pPr>
              <w:jc w:val="center"/>
              <w:rPr>
                <w:noProof/>
                <w:highlight w:val="lightGray"/>
              </w:rPr>
            </w:pPr>
          </w:p>
        </w:tc>
        <w:tc>
          <w:tcPr>
            <w:tcW w:w="5707" w:type="dxa"/>
            <w:tcBorders>
              <w:left w:val="nil"/>
              <w:right w:val="nil"/>
            </w:tcBorders>
          </w:tcPr>
          <w:p w:rsidR="00714F83" w:rsidRPr="00E8450A" w:rsidRDefault="00714F83" w:rsidP="00B2191F">
            <w:pPr>
              <w:jc w:val="center"/>
              <w:rPr>
                <w:noProof/>
                <w:highlight w:val="lightGray"/>
              </w:rPr>
            </w:pPr>
          </w:p>
        </w:tc>
      </w:tr>
      <w:tr w:rsidR="00714F83" w:rsidRPr="00E8450A" w:rsidTr="00B2191F">
        <w:tc>
          <w:tcPr>
            <w:tcW w:w="2073" w:type="dxa"/>
            <w:tcBorders>
              <w:left w:val="nil"/>
              <w:bottom w:val="single" w:sz="4" w:space="0" w:color="auto"/>
              <w:right w:val="single" w:sz="4" w:space="0" w:color="auto"/>
            </w:tcBorders>
          </w:tcPr>
          <w:p w:rsidR="00714F83" w:rsidRPr="00E8450A" w:rsidRDefault="00714F83" w:rsidP="00B2191F">
            <w:pPr>
              <w:rPr>
                <w:noProof/>
                <w:highlight w:val="lightGray"/>
              </w:rPr>
            </w:pPr>
            <w:r w:rsidRPr="00E8450A">
              <w:rPr>
                <w:noProof/>
                <w:highlight w:val="lightGray"/>
              </w:rPr>
              <w:t>1 deň</w:t>
            </w:r>
          </w:p>
        </w:tc>
        <w:tc>
          <w:tcPr>
            <w:tcW w:w="1542" w:type="dxa"/>
            <w:tcBorders>
              <w:left w:val="single" w:sz="4" w:space="0" w:color="auto"/>
              <w:bottom w:val="single" w:sz="4" w:space="0" w:color="auto"/>
              <w:right w:val="nil"/>
            </w:tcBorders>
          </w:tcPr>
          <w:p w:rsidR="00714F83" w:rsidRPr="00E8450A" w:rsidRDefault="00714F83" w:rsidP="00B2191F">
            <w:pPr>
              <w:jc w:val="right"/>
              <w:rPr>
                <w:noProof/>
                <w:highlight w:val="lightGray"/>
              </w:rPr>
            </w:pPr>
            <w:r w:rsidRPr="00E8450A">
              <w:rPr>
                <w:noProof/>
                <w:highlight w:val="lightGray"/>
              </w:rPr>
              <w:t>50 μg/m</w:t>
            </w:r>
            <w:r w:rsidRPr="00E8450A">
              <w:rPr>
                <w:noProof/>
                <w:highlight w:val="lightGray"/>
                <w:vertAlign w:val="superscript"/>
              </w:rPr>
              <w:t>3</w:t>
            </w:r>
            <w:r w:rsidRPr="00E8450A">
              <w:rPr>
                <w:noProof/>
                <w:highlight w:val="lightGray"/>
              </w:rPr>
              <w:t xml:space="preserve"> </w:t>
            </w:r>
          </w:p>
        </w:tc>
        <w:tc>
          <w:tcPr>
            <w:tcW w:w="5707" w:type="dxa"/>
            <w:tcBorders>
              <w:left w:val="nil"/>
              <w:bottom w:val="single" w:sz="4" w:space="0" w:color="auto"/>
              <w:right w:val="nil"/>
            </w:tcBorders>
          </w:tcPr>
          <w:p w:rsidR="00714F83" w:rsidRPr="00E8450A" w:rsidRDefault="00714F83" w:rsidP="00B2191F">
            <w:pPr>
              <w:rPr>
                <w:noProof/>
                <w:highlight w:val="lightGray"/>
              </w:rPr>
            </w:pPr>
            <w:r w:rsidRPr="00E8450A">
              <w:rPr>
                <w:noProof/>
                <w:highlight w:val="lightGray"/>
              </w:rPr>
              <w:t xml:space="preserve">sa nemá prekročiť viac ako 35-krát za kalendárny rok </w:t>
            </w:r>
          </w:p>
        </w:tc>
      </w:tr>
      <w:tr w:rsidR="00714F83" w:rsidRPr="00E8450A" w:rsidTr="00B2191F">
        <w:tc>
          <w:tcPr>
            <w:tcW w:w="2073" w:type="dxa"/>
            <w:tcBorders>
              <w:top w:val="single" w:sz="4" w:space="0" w:color="auto"/>
              <w:left w:val="nil"/>
              <w:right w:val="single" w:sz="4" w:space="0" w:color="auto"/>
            </w:tcBorders>
          </w:tcPr>
          <w:p w:rsidR="00714F83" w:rsidRPr="00E8450A" w:rsidRDefault="00714F83" w:rsidP="00B2191F">
            <w:pPr>
              <w:rPr>
                <w:noProof/>
                <w:highlight w:val="lightGray"/>
              </w:rPr>
            </w:pPr>
            <w:r w:rsidRPr="00E8450A">
              <w:rPr>
                <w:noProof/>
                <w:highlight w:val="lightGray"/>
              </w:rPr>
              <w:t>Kalendárny rok</w:t>
            </w:r>
          </w:p>
        </w:tc>
        <w:tc>
          <w:tcPr>
            <w:tcW w:w="1542" w:type="dxa"/>
            <w:tcBorders>
              <w:top w:val="single" w:sz="4" w:space="0" w:color="auto"/>
              <w:left w:val="single" w:sz="4" w:space="0" w:color="auto"/>
              <w:right w:val="nil"/>
            </w:tcBorders>
          </w:tcPr>
          <w:p w:rsidR="00714F83" w:rsidRPr="00E8450A" w:rsidRDefault="00714F83" w:rsidP="00B2191F">
            <w:pPr>
              <w:jc w:val="right"/>
              <w:rPr>
                <w:noProof/>
                <w:highlight w:val="lightGray"/>
              </w:rPr>
            </w:pPr>
            <w:r w:rsidRPr="00E8450A">
              <w:rPr>
                <w:noProof/>
                <w:highlight w:val="lightGray"/>
              </w:rPr>
              <w:t>40 μg/m</w:t>
            </w:r>
            <w:r w:rsidRPr="00E8450A">
              <w:rPr>
                <w:noProof/>
                <w:highlight w:val="lightGray"/>
                <w:vertAlign w:val="superscript"/>
              </w:rPr>
              <w:t>3</w:t>
            </w:r>
          </w:p>
        </w:tc>
        <w:tc>
          <w:tcPr>
            <w:tcW w:w="5707" w:type="dxa"/>
            <w:tcBorders>
              <w:top w:val="single" w:sz="4" w:space="0" w:color="auto"/>
              <w:left w:val="nil"/>
              <w:right w:val="nil"/>
            </w:tcBorders>
          </w:tcPr>
          <w:p w:rsidR="00714F83" w:rsidRPr="00E8450A" w:rsidRDefault="00714F83" w:rsidP="00B2191F">
            <w:pPr>
              <w:rPr>
                <w:noProof/>
                <w:highlight w:val="lightGray"/>
              </w:rPr>
            </w:pPr>
          </w:p>
        </w:tc>
      </w:tr>
      <w:tr w:rsidR="00714F83" w:rsidRPr="00E8450A" w:rsidTr="00B2191F">
        <w:tc>
          <w:tcPr>
            <w:tcW w:w="9322" w:type="dxa"/>
            <w:gridSpan w:val="3"/>
            <w:tcBorders>
              <w:left w:val="nil"/>
              <w:right w:val="nil"/>
            </w:tcBorders>
          </w:tcPr>
          <w:p w:rsidR="00714F83" w:rsidRPr="00E8450A" w:rsidRDefault="00714F83" w:rsidP="00B2191F">
            <w:pPr>
              <w:jc w:val="left"/>
              <w:rPr>
                <w:noProof/>
                <w:highlight w:val="lightGray"/>
              </w:rPr>
            </w:pPr>
            <w:r w:rsidRPr="00E8450A">
              <w:rPr>
                <w:b/>
                <w:noProof/>
                <w:highlight w:val="lightGray"/>
              </w:rPr>
              <w:t>Oxid dusičitý (NO</w:t>
            </w:r>
            <w:r w:rsidRPr="00E8450A">
              <w:rPr>
                <w:b/>
                <w:noProof/>
                <w:highlight w:val="lightGray"/>
                <w:vertAlign w:val="subscript"/>
              </w:rPr>
              <w:t>2</w:t>
            </w:r>
            <w:r w:rsidRPr="00E8450A">
              <w:rPr>
                <w:b/>
                <w:noProof/>
                <w:highlight w:val="lightGray"/>
              </w:rPr>
              <w:t>)</w:t>
            </w:r>
          </w:p>
        </w:tc>
      </w:tr>
      <w:tr w:rsidR="00714F83" w:rsidRPr="00E8450A" w:rsidTr="00B2191F">
        <w:tc>
          <w:tcPr>
            <w:tcW w:w="2073" w:type="dxa"/>
            <w:tcBorders>
              <w:left w:val="nil"/>
            </w:tcBorders>
          </w:tcPr>
          <w:p w:rsidR="00714F83" w:rsidRPr="00E8450A" w:rsidRDefault="00714F83" w:rsidP="00B2191F">
            <w:pPr>
              <w:rPr>
                <w:noProof/>
                <w:highlight w:val="lightGray"/>
              </w:rPr>
            </w:pPr>
            <w:r w:rsidRPr="00E8450A">
              <w:rPr>
                <w:noProof/>
                <w:highlight w:val="lightGray"/>
              </w:rPr>
              <w:t>1 hodina</w:t>
            </w:r>
          </w:p>
        </w:tc>
        <w:tc>
          <w:tcPr>
            <w:tcW w:w="1542" w:type="dxa"/>
            <w:tcBorders>
              <w:right w:val="nil"/>
            </w:tcBorders>
          </w:tcPr>
          <w:p w:rsidR="00714F83" w:rsidRPr="00E8450A" w:rsidRDefault="00714F83" w:rsidP="00B2191F">
            <w:pPr>
              <w:jc w:val="right"/>
              <w:rPr>
                <w:noProof/>
                <w:highlight w:val="lightGray"/>
              </w:rPr>
            </w:pPr>
            <w:r w:rsidRPr="00E8450A">
              <w:rPr>
                <w:noProof/>
                <w:highlight w:val="lightGray"/>
              </w:rPr>
              <w:t>200 μg/m</w:t>
            </w:r>
            <w:r w:rsidRPr="00E8450A">
              <w:rPr>
                <w:noProof/>
                <w:highlight w:val="lightGray"/>
                <w:vertAlign w:val="superscript"/>
              </w:rPr>
              <w:t>3</w:t>
            </w:r>
          </w:p>
        </w:tc>
        <w:tc>
          <w:tcPr>
            <w:tcW w:w="5707" w:type="dxa"/>
            <w:tcBorders>
              <w:left w:val="nil"/>
              <w:right w:val="nil"/>
            </w:tcBorders>
          </w:tcPr>
          <w:p w:rsidR="00714F83" w:rsidRPr="00E8450A" w:rsidRDefault="00714F83" w:rsidP="00B2191F">
            <w:pPr>
              <w:rPr>
                <w:noProof/>
                <w:highlight w:val="lightGray"/>
              </w:rPr>
            </w:pPr>
            <w:r w:rsidRPr="00E8450A">
              <w:rPr>
                <w:noProof/>
                <w:highlight w:val="lightGray"/>
              </w:rPr>
              <w:t>sa nemá prekročiť viac ako 18-krát za kalendárny rok</w:t>
            </w:r>
          </w:p>
        </w:tc>
      </w:tr>
      <w:tr w:rsidR="00714F83" w:rsidRPr="00E8450A" w:rsidTr="00B2191F">
        <w:tc>
          <w:tcPr>
            <w:tcW w:w="2073" w:type="dxa"/>
            <w:tcBorders>
              <w:left w:val="nil"/>
              <w:bottom w:val="single" w:sz="2" w:space="0" w:color="auto"/>
            </w:tcBorders>
          </w:tcPr>
          <w:p w:rsidR="00714F83" w:rsidRPr="00E8450A" w:rsidRDefault="00714F83" w:rsidP="00B2191F">
            <w:pPr>
              <w:rPr>
                <w:noProof/>
                <w:highlight w:val="lightGray"/>
              </w:rPr>
            </w:pPr>
            <w:r w:rsidRPr="00E8450A">
              <w:rPr>
                <w:noProof/>
                <w:highlight w:val="lightGray"/>
              </w:rPr>
              <w:t>Kalendárny rok</w:t>
            </w:r>
          </w:p>
        </w:tc>
        <w:tc>
          <w:tcPr>
            <w:tcW w:w="1542" w:type="dxa"/>
            <w:tcBorders>
              <w:bottom w:val="single" w:sz="2" w:space="0" w:color="auto"/>
              <w:right w:val="nil"/>
            </w:tcBorders>
          </w:tcPr>
          <w:p w:rsidR="00714F83" w:rsidRPr="00E8450A" w:rsidRDefault="00714F83" w:rsidP="00B2191F">
            <w:pPr>
              <w:jc w:val="right"/>
              <w:rPr>
                <w:noProof/>
                <w:highlight w:val="lightGray"/>
              </w:rPr>
            </w:pPr>
            <w:r w:rsidRPr="00E8450A">
              <w:rPr>
                <w:noProof/>
                <w:highlight w:val="lightGray"/>
              </w:rPr>
              <w:t>40 μg/m</w:t>
            </w:r>
            <w:r w:rsidRPr="00E8450A">
              <w:rPr>
                <w:noProof/>
                <w:highlight w:val="lightGray"/>
                <w:vertAlign w:val="superscript"/>
              </w:rPr>
              <w:t>3</w:t>
            </w:r>
          </w:p>
        </w:tc>
        <w:tc>
          <w:tcPr>
            <w:tcW w:w="5707" w:type="dxa"/>
            <w:tcBorders>
              <w:left w:val="nil"/>
              <w:bottom w:val="single" w:sz="2" w:space="0" w:color="auto"/>
              <w:right w:val="nil"/>
            </w:tcBorders>
          </w:tcPr>
          <w:p w:rsidR="00714F83" w:rsidRPr="00E8450A" w:rsidRDefault="00714F83" w:rsidP="00B2191F">
            <w:pPr>
              <w:rPr>
                <w:noProof/>
                <w:highlight w:val="lightGray"/>
              </w:rPr>
            </w:pPr>
          </w:p>
        </w:tc>
      </w:tr>
      <w:tr w:rsidR="00714F83" w:rsidRPr="00E8450A" w:rsidTr="00B2191F">
        <w:tc>
          <w:tcPr>
            <w:tcW w:w="9322" w:type="dxa"/>
            <w:gridSpan w:val="3"/>
            <w:tcBorders>
              <w:left w:val="nil"/>
              <w:right w:val="nil"/>
            </w:tcBorders>
          </w:tcPr>
          <w:p w:rsidR="00714F83" w:rsidRPr="00E8450A" w:rsidRDefault="00714F83" w:rsidP="00B2191F">
            <w:pPr>
              <w:rPr>
                <w:noProof/>
                <w:highlight w:val="lightGray"/>
              </w:rPr>
            </w:pPr>
            <w:r w:rsidRPr="00E8450A">
              <w:rPr>
                <w:b/>
                <w:noProof/>
                <w:highlight w:val="lightGray"/>
              </w:rPr>
              <w:lastRenderedPageBreak/>
              <w:t>Oxid siričitý (SO</w:t>
            </w:r>
            <w:r w:rsidRPr="00E8450A">
              <w:rPr>
                <w:b/>
                <w:noProof/>
                <w:highlight w:val="lightGray"/>
                <w:vertAlign w:val="subscript"/>
              </w:rPr>
              <w:t>2</w:t>
            </w:r>
            <w:r w:rsidRPr="00E8450A">
              <w:rPr>
                <w:b/>
                <w:noProof/>
                <w:highlight w:val="lightGray"/>
              </w:rPr>
              <w:t>)</w:t>
            </w:r>
          </w:p>
        </w:tc>
      </w:tr>
      <w:tr w:rsidR="00714F83" w:rsidRPr="00E8450A" w:rsidTr="00B2191F">
        <w:tc>
          <w:tcPr>
            <w:tcW w:w="2073" w:type="dxa"/>
            <w:tcBorders>
              <w:left w:val="nil"/>
            </w:tcBorders>
          </w:tcPr>
          <w:p w:rsidR="00714F83" w:rsidRPr="00E8450A" w:rsidRDefault="00714F83" w:rsidP="00B2191F">
            <w:pPr>
              <w:rPr>
                <w:noProof/>
                <w:highlight w:val="lightGray"/>
              </w:rPr>
            </w:pPr>
            <w:r w:rsidRPr="00E8450A">
              <w:rPr>
                <w:noProof/>
                <w:highlight w:val="lightGray"/>
              </w:rPr>
              <w:t>1 hodina</w:t>
            </w:r>
          </w:p>
        </w:tc>
        <w:tc>
          <w:tcPr>
            <w:tcW w:w="1542" w:type="dxa"/>
            <w:tcBorders>
              <w:right w:val="nil"/>
            </w:tcBorders>
          </w:tcPr>
          <w:p w:rsidR="00714F83" w:rsidRPr="00E8450A" w:rsidRDefault="00714F83" w:rsidP="00B2191F">
            <w:pPr>
              <w:jc w:val="right"/>
              <w:rPr>
                <w:noProof/>
                <w:highlight w:val="lightGray"/>
              </w:rPr>
            </w:pPr>
            <w:r w:rsidRPr="00E8450A">
              <w:rPr>
                <w:noProof/>
                <w:highlight w:val="lightGray"/>
              </w:rPr>
              <w:t>350 μg/m</w:t>
            </w:r>
            <w:r w:rsidRPr="00E8450A">
              <w:rPr>
                <w:noProof/>
                <w:highlight w:val="lightGray"/>
                <w:vertAlign w:val="superscript"/>
              </w:rPr>
              <w:t>3</w:t>
            </w:r>
          </w:p>
        </w:tc>
        <w:tc>
          <w:tcPr>
            <w:tcW w:w="5707" w:type="dxa"/>
            <w:tcBorders>
              <w:left w:val="nil"/>
              <w:right w:val="nil"/>
            </w:tcBorders>
          </w:tcPr>
          <w:p w:rsidR="00714F83" w:rsidRPr="00E8450A" w:rsidRDefault="00714F83" w:rsidP="00B2191F">
            <w:pPr>
              <w:rPr>
                <w:noProof/>
                <w:highlight w:val="lightGray"/>
              </w:rPr>
            </w:pPr>
            <w:r w:rsidRPr="00E8450A">
              <w:rPr>
                <w:noProof/>
                <w:highlight w:val="lightGray"/>
              </w:rPr>
              <w:t xml:space="preserve">sa nemá prekročiť viac ako 24-krát za kalendárny rok </w:t>
            </w:r>
          </w:p>
        </w:tc>
      </w:tr>
      <w:tr w:rsidR="00714F83" w:rsidRPr="00E8450A" w:rsidTr="00B2191F">
        <w:tc>
          <w:tcPr>
            <w:tcW w:w="2073" w:type="dxa"/>
            <w:tcBorders>
              <w:left w:val="nil"/>
            </w:tcBorders>
          </w:tcPr>
          <w:p w:rsidR="00714F83" w:rsidRPr="00E8450A" w:rsidRDefault="00714F83" w:rsidP="00B2191F">
            <w:pPr>
              <w:rPr>
                <w:noProof/>
                <w:highlight w:val="lightGray"/>
              </w:rPr>
            </w:pPr>
            <w:r w:rsidRPr="00E8450A">
              <w:rPr>
                <w:noProof/>
                <w:highlight w:val="lightGray"/>
              </w:rPr>
              <w:t>1 deň</w:t>
            </w:r>
          </w:p>
        </w:tc>
        <w:tc>
          <w:tcPr>
            <w:tcW w:w="1542" w:type="dxa"/>
            <w:tcBorders>
              <w:right w:val="nil"/>
            </w:tcBorders>
          </w:tcPr>
          <w:p w:rsidR="00714F83" w:rsidRPr="00E8450A" w:rsidRDefault="00714F83" w:rsidP="00B2191F">
            <w:pPr>
              <w:jc w:val="right"/>
              <w:rPr>
                <w:noProof/>
                <w:highlight w:val="lightGray"/>
              </w:rPr>
            </w:pPr>
            <w:r w:rsidRPr="00E8450A">
              <w:rPr>
                <w:noProof/>
                <w:highlight w:val="lightGray"/>
              </w:rPr>
              <w:t>125 μg/m</w:t>
            </w:r>
            <w:r w:rsidRPr="00E8450A">
              <w:rPr>
                <w:noProof/>
                <w:highlight w:val="lightGray"/>
                <w:vertAlign w:val="superscript"/>
              </w:rPr>
              <w:t>3</w:t>
            </w:r>
          </w:p>
        </w:tc>
        <w:tc>
          <w:tcPr>
            <w:tcW w:w="5707" w:type="dxa"/>
            <w:tcBorders>
              <w:left w:val="nil"/>
              <w:right w:val="nil"/>
            </w:tcBorders>
          </w:tcPr>
          <w:p w:rsidR="00714F83" w:rsidRPr="00E8450A" w:rsidRDefault="00714F83" w:rsidP="00B2191F">
            <w:pPr>
              <w:rPr>
                <w:noProof/>
                <w:highlight w:val="lightGray"/>
              </w:rPr>
            </w:pPr>
            <w:r w:rsidRPr="00E8450A">
              <w:rPr>
                <w:noProof/>
                <w:highlight w:val="lightGray"/>
              </w:rPr>
              <w:t xml:space="preserve">sa nemá prekročiť viac ako 3-krát za kalendárny rok </w:t>
            </w:r>
          </w:p>
        </w:tc>
      </w:tr>
      <w:tr w:rsidR="00714F83" w:rsidRPr="00E8450A" w:rsidTr="00B2191F">
        <w:tc>
          <w:tcPr>
            <w:tcW w:w="2073" w:type="dxa"/>
            <w:tcBorders>
              <w:left w:val="nil"/>
              <w:right w:val="nil"/>
            </w:tcBorders>
          </w:tcPr>
          <w:p w:rsidR="00714F83" w:rsidRPr="00E8450A" w:rsidRDefault="00714F83" w:rsidP="00B2191F">
            <w:pPr>
              <w:rPr>
                <w:b/>
                <w:bCs/>
                <w:noProof/>
                <w:highlight w:val="lightGray"/>
              </w:rPr>
            </w:pPr>
            <w:r w:rsidRPr="00E8450A">
              <w:rPr>
                <w:b/>
                <w:noProof/>
                <w:highlight w:val="lightGray"/>
              </w:rPr>
              <w:t>Benzén</w:t>
            </w:r>
          </w:p>
        </w:tc>
        <w:tc>
          <w:tcPr>
            <w:tcW w:w="1542" w:type="dxa"/>
            <w:tcBorders>
              <w:left w:val="nil"/>
              <w:bottom w:val="single" w:sz="2" w:space="0" w:color="auto"/>
              <w:right w:val="nil"/>
            </w:tcBorders>
          </w:tcPr>
          <w:p w:rsidR="00714F83" w:rsidRPr="00E8450A" w:rsidRDefault="00714F83" w:rsidP="00B2191F">
            <w:pPr>
              <w:jc w:val="center"/>
              <w:rPr>
                <w:noProof/>
                <w:highlight w:val="lightGray"/>
              </w:rPr>
            </w:pPr>
          </w:p>
        </w:tc>
        <w:tc>
          <w:tcPr>
            <w:tcW w:w="5707" w:type="dxa"/>
            <w:tcBorders>
              <w:left w:val="nil"/>
              <w:right w:val="nil"/>
            </w:tcBorders>
          </w:tcPr>
          <w:p w:rsidR="00714F83" w:rsidRPr="00E8450A" w:rsidRDefault="00714F83" w:rsidP="00B2191F">
            <w:pPr>
              <w:jc w:val="center"/>
              <w:rPr>
                <w:noProof/>
                <w:highlight w:val="lightGray"/>
              </w:rPr>
            </w:pPr>
          </w:p>
        </w:tc>
      </w:tr>
      <w:tr w:rsidR="00714F83" w:rsidRPr="00E8450A" w:rsidTr="00B2191F">
        <w:tc>
          <w:tcPr>
            <w:tcW w:w="2073" w:type="dxa"/>
            <w:tcBorders>
              <w:left w:val="nil"/>
            </w:tcBorders>
          </w:tcPr>
          <w:p w:rsidR="00714F83" w:rsidRPr="00E8450A" w:rsidRDefault="00714F83" w:rsidP="00B2191F">
            <w:pPr>
              <w:rPr>
                <w:noProof/>
                <w:highlight w:val="lightGray"/>
              </w:rPr>
            </w:pPr>
            <w:r w:rsidRPr="00E8450A">
              <w:rPr>
                <w:noProof/>
                <w:highlight w:val="lightGray"/>
              </w:rPr>
              <w:t>Kalendárny rok</w:t>
            </w:r>
          </w:p>
        </w:tc>
        <w:tc>
          <w:tcPr>
            <w:tcW w:w="1542" w:type="dxa"/>
            <w:tcBorders>
              <w:right w:val="nil"/>
            </w:tcBorders>
          </w:tcPr>
          <w:p w:rsidR="00714F83" w:rsidRPr="00E8450A" w:rsidRDefault="00714F83" w:rsidP="00B2191F">
            <w:pPr>
              <w:jc w:val="right"/>
              <w:rPr>
                <w:noProof/>
                <w:highlight w:val="lightGray"/>
              </w:rPr>
            </w:pPr>
            <w:r w:rsidRPr="00E8450A">
              <w:rPr>
                <w:noProof/>
                <w:highlight w:val="lightGray"/>
              </w:rPr>
              <w:t>5 μg/m</w:t>
            </w:r>
            <w:r w:rsidRPr="00E8450A">
              <w:rPr>
                <w:noProof/>
                <w:highlight w:val="lightGray"/>
                <w:vertAlign w:val="superscript"/>
              </w:rPr>
              <w:t>3</w:t>
            </w:r>
          </w:p>
        </w:tc>
        <w:tc>
          <w:tcPr>
            <w:tcW w:w="5707" w:type="dxa"/>
            <w:tcBorders>
              <w:left w:val="nil"/>
              <w:right w:val="nil"/>
            </w:tcBorders>
          </w:tcPr>
          <w:p w:rsidR="00714F83" w:rsidRPr="00E8450A" w:rsidRDefault="00714F83" w:rsidP="00B2191F">
            <w:pPr>
              <w:rPr>
                <w:noProof/>
                <w:highlight w:val="lightGray"/>
              </w:rPr>
            </w:pPr>
          </w:p>
        </w:tc>
      </w:tr>
      <w:tr w:rsidR="00714F83" w:rsidRPr="00E8450A" w:rsidTr="00B2191F">
        <w:tc>
          <w:tcPr>
            <w:tcW w:w="9322" w:type="dxa"/>
            <w:gridSpan w:val="3"/>
            <w:tcBorders>
              <w:left w:val="nil"/>
              <w:right w:val="nil"/>
            </w:tcBorders>
          </w:tcPr>
          <w:p w:rsidR="00714F83" w:rsidRPr="00E8450A" w:rsidRDefault="00714F83" w:rsidP="00B2191F">
            <w:pPr>
              <w:jc w:val="left"/>
              <w:rPr>
                <w:noProof/>
                <w:highlight w:val="lightGray"/>
              </w:rPr>
            </w:pPr>
            <w:r w:rsidRPr="00E8450A">
              <w:rPr>
                <w:b/>
                <w:noProof/>
                <w:highlight w:val="lightGray"/>
              </w:rPr>
              <w:t>Oxid uhoľnatý (CO)</w:t>
            </w:r>
          </w:p>
        </w:tc>
      </w:tr>
      <w:tr w:rsidR="00714F83" w:rsidRPr="00E8450A" w:rsidTr="00B2191F">
        <w:tc>
          <w:tcPr>
            <w:tcW w:w="2073" w:type="dxa"/>
            <w:tcBorders>
              <w:left w:val="nil"/>
            </w:tcBorders>
          </w:tcPr>
          <w:p w:rsidR="00714F83" w:rsidRPr="00E8450A" w:rsidRDefault="00714F83" w:rsidP="00B2191F">
            <w:pPr>
              <w:jc w:val="left"/>
              <w:rPr>
                <w:noProof/>
                <w:highlight w:val="lightGray"/>
              </w:rPr>
            </w:pPr>
            <w:r w:rsidRPr="00E8450A">
              <w:rPr>
                <w:noProof/>
                <w:highlight w:val="lightGray"/>
              </w:rPr>
              <w:t>Najväčšia denná</w:t>
            </w:r>
            <w:r w:rsidRPr="00E8450A">
              <w:rPr>
                <w:noProof/>
              </w:rPr>
              <w:t xml:space="preserve"> </w:t>
            </w:r>
            <w:r w:rsidRPr="00E8450A">
              <w:rPr>
                <w:noProof/>
              </w:rPr>
              <w:br/>
            </w:r>
            <w:r w:rsidRPr="00E8450A">
              <w:rPr>
                <w:noProof/>
                <w:highlight w:val="lightGray"/>
              </w:rPr>
              <w:t>8-hodinová stredná hodnota </w:t>
            </w:r>
            <w:r w:rsidRPr="00E8450A">
              <w:rPr>
                <w:noProof/>
                <w:highlight w:val="lightGray"/>
                <w:vertAlign w:val="superscript"/>
              </w:rPr>
              <w:t>(1)</w:t>
            </w:r>
          </w:p>
        </w:tc>
        <w:tc>
          <w:tcPr>
            <w:tcW w:w="1542" w:type="dxa"/>
            <w:tcBorders>
              <w:right w:val="nil"/>
            </w:tcBorders>
          </w:tcPr>
          <w:p w:rsidR="00714F83" w:rsidRPr="00E8450A" w:rsidRDefault="00714F83" w:rsidP="00B2191F">
            <w:pPr>
              <w:jc w:val="right"/>
              <w:rPr>
                <w:noProof/>
                <w:highlight w:val="lightGray"/>
              </w:rPr>
            </w:pPr>
            <w:r w:rsidRPr="00E8450A">
              <w:rPr>
                <w:noProof/>
                <w:highlight w:val="lightGray"/>
              </w:rPr>
              <w:t>10 mg/m</w:t>
            </w:r>
            <w:r w:rsidRPr="00E8450A">
              <w:rPr>
                <w:noProof/>
                <w:highlight w:val="lightGray"/>
                <w:vertAlign w:val="superscript"/>
              </w:rPr>
              <w:t>3</w:t>
            </w:r>
          </w:p>
        </w:tc>
        <w:tc>
          <w:tcPr>
            <w:tcW w:w="5707" w:type="dxa"/>
            <w:tcBorders>
              <w:left w:val="nil"/>
              <w:right w:val="nil"/>
            </w:tcBorders>
          </w:tcPr>
          <w:p w:rsidR="00714F83" w:rsidRPr="00E8450A" w:rsidRDefault="00714F83" w:rsidP="00B2191F">
            <w:pPr>
              <w:rPr>
                <w:noProof/>
                <w:highlight w:val="lightGray"/>
              </w:rPr>
            </w:pPr>
          </w:p>
        </w:tc>
      </w:tr>
      <w:tr w:rsidR="00714F83" w:rsidRPr="00E8450A" w:rsidTr="00B2191F">
        <w:tc>
          <w:tcPr>
            <w:tcW w:w="2073" w:type="dxa"/>
            <w:tcBorders>
              <w:left w:val="nil"/>
              <w:right w:val="nil"/>
            </w:tcBorders>
          </w:tcPr>
          <w:p w:rsidR="00714F83" w:rsidRPr="00E8450A" w:rsidRDefault="00714F83" w:rsidP="00B2191F">
            <w:pPr>
              <w:rPr>
                <w:b/>
                <w:bCs/>
                <w:noProof/>
                <w:highlight w:val="lightGray"/>
              </w:rPr>
            </w:pPr>
            <w:r w:rsidRPr="00E8450A">
              <w:rPr>
                <w:b/>
                <w:noProof/>
                <w:highlight w:val="lightGray"/>
              </w:rPr>
              <w:t>Olovo (Pb)</w:t>
            </w:r>
          </w:p>
        </w:tc>
        <w:tc>
          <w:tcPr>
            <w:tcW w:w="1542" w:type="dxa"/>
            <w:tcBorders>
              <w:left w:val="nil"/>
              <w:right w:val="nil"/>
            </w:tcBorders>
          </w:tcPr>
          <w:p w:rsidR="00714F83" w:rsidRPr="00E8450A" w:rsidRDefault="00714F83" w:rsidP="00B2191F">
            <w:pPr>
              <w:jc w:val="center"/>
              <w:rPr>
                <w:noProof/>
                <w:highlight w:val="lightGray"/>
              </w:rPr>
            </w:pPr>
          </w:p>
        </w:tc>
        <w:tc>
          <w:tcPr>
            <w:tcW w:w="5707" w:type="dxa"/>
            <w:tcBorders>
              <w:left w:val="nil"/>
              <w:right w:val="nil"/>
            </w:tcBorders>
          </w:tcPr>
          <w:p w:rsidR="00714F83" w:rsidRPr="00E8450A" w:rsidRDefault="00714F83" w:rsidP="00B2191F">
            <w:pPr>
              <w:jc w:val="center"/>
              <w:rPr>
                <w:noProof/>
                <w:highlight w:val="lightGray"/>
              </w:rPr>
            </w:pPr>
          </w:p>
        </w:tc>
      </w:tr>
      <w:tr w:rsidR="00714F83" w:rsidRPr="00E8450A" w:rsidTr="00B2191F">
        <w:tc>
          <w:tcPr>
            <w:tcW w:w="2073" w:type="dxa"/>
            <w:tcBorders>
              <w:left w:val="nil"/>
            </w:tcBorders>
          </w:tcPr>
          <w:p w:rsidR="00714F83" w:rsidRPr="00E8450A" w:rsidRDefault="00714F83" w:rsidP="00B2191F">
            <w:pPr>
              <w:rPr>
                <w:noProof/>
                <w:highlight w:val="lightGray"/>
              </w:rPr>
            </w:pPr>
            <w:r w:rsidRPr="00E8450A">
              <w:rPr>
                <w:noProof/>
                <w:highlight w:val="lightGray"/>
              </w:rPr>
              <w:t>Kalendárny rok</w:t>
            </w:r>
          </w:p>
        </w:tc>
        <w:tc>
          <w:tcPr>
            <w:tcW w:w="1542" w:type="dxa"/>
            <w:tcBorders>
              <w:right w:val="nil"/>
            </w:tcBorders>
          </w:tcPr>
          <w:p w:rsidR="00714F83" w:rsidRPr="00E8450A" w:rsidRDefault="00714F83" w:rsidP="00B2191F">
            <w:pPr>
              <w:jc w:val="right"/>
              <w:rPr>
                <w:noProof/>
                <w:highlight w:val="lightGray"/>
              </w:rPr>
            </w:pPr>
            <w:r w:rsidRPr="00E8450A">
              <w:rPr>
                <w:noProof/>
                <w:highlight w:val="lightGray"/>
              </w:rPr>
              <w:t>0,5 μg/m</w:t>
            </w:r>
            <w:r w:rsidRPr="00E8450A">
              <w:rPr>
                <w:noProof/>
                <w:highlight w:val="lightGray"/>
                <w:vertAlign w:val="superscript"/>
              </w:rPr>
              <w:t>3</w:t>
            </w:r>
          </w:p>
        </w:tc>
        <w:tc>
          <w:tcPr>
            <w:tcW w:w="5707" w:type="dxa"/>
            <w:tcBorders>
              <w:left w:val="nil"/>
              <w:right w:val="nil"/>
            </w:tcBorders>
          </w:tcPr>
          <w:p w:rsidR="00714F83" w:rsidRPr="00E8450A" w:rsidRDefault="00714F83" w:rsidP="00B2191F">
            <w:pPr>
              <w:jc w:val="left"/>
              <w:rPr>
                <w:noProof/>
                <w:highlight w:val="lightGray"/>
              </w:rPr>
            </w:pPr>
          </w:p>
        </w:tc>
      </w:tr>
      <w:tr w:rsidR="00714F83" w:rsidRPr="00E8450A" w:rsidTr="00B2191F">
        <w:tc>
          <w:tcPr>
            <w:tcW w:w="2073" w:type="dxa"/>
            <w:tcBorders>
              <w:left w:val="nil"/>
              <w:right w:val="nil"/>
            </w:tcBorders>
          </w:tcPr>
          <w:p w:rsidR="00714F83" w:rsidRPr="00E8450A" w:rsidRDefault="00714F83" w:rsidP="00B2191F">
            <w:pPr>
              <w:rPr>
                <w:b/>
                <w:bCs/>
                <w:noProof/>
                <w:highlight w:val="lightGray"/>
              </w:rPr>
            </w:pPr>
            <w:r w:rsidRPr="00E8450A">
              <w:rPr>
                <w:b/>
                <w:noProof/>
                <w:highlight w:val="lightGray"/>
              </w:rPr>
              <w:t>Arzén (As)</w:t>
            </w:r>
          </w:p>
        </w:tc>
        <w:tc>
          <w:tcPr>
            <w:tcW w:w="1542" w:type="dxa"/>
            <w:tcBorders>
              <w:left w:val="nil"/>
              <w:bottom w:val="single" w:sz="2" w:space="0" w:color="auto"/>
              <w:right w:val="nil"/>
            </w:tcBorders>
          </w:tcPr>
          <w:p w:rsidR="00714F83" w:rsidRPr="00E8450A" w:rsidRDefault="00714F83" w:rsidP="00B2191F">
            <w:pPr>
              <w:jc w:val="right"/>
              <w:rPr>
                <w:noProof/>
                <w:highlight w:val="lightGray"/>
              </w:rPr>
            </w:pPr>
          </w:p>
        </w:tc>
        <w:tc>
          <w:tcPr>
            <w:tcW w:w="5707" w:type="dxa"/>
            <w:tcBorders>
              <w:left w:val="nil"/>
              <w:right w:val="nil"/>
            </w:tcBorders>
          </w:tcPr>
          <w:p w:rsidR="00714F83" w:rsidRPr="00E8450A" w:rsidRDefault="00714F83" w:rsidP="00B2191F">
            <w:pPr>
              <w:jc w:val="left"/>
              <w:rPr>
                <w:noProof/>
                <w:highlight w:val="lightGray"/>
              </w:rPr>
            </w:pPr>
          </w:p>
        </w:tc>
      </w:tr>
      <w:tr w:rsidR="00714F83" w:rsidRPr="00E8450A" w:rsidTr="00B2191F">
        <w:tc>
          <w:tcPr>
            <w:tcW w:w="2073" w:type="dxa"/>
            <w:tcBorders>
              <w:left w:val="nil"/>
            </w:tcBorders>
          </w:tcPr>
          <w:p w:rsidR="00714F83" w:rsidRPr="00E8450A" w:rsidRDefault="00714F83" w:rsidP="00B2191F">
            <w:pPr>
              <w:rPr>
                <w:noProof/>
                <w:highlight w:val="lightGray"/>
              </w:rPr>
            </w:pPr>
            <w:r w:rsidRPr="00E8450A">
              <w:rPr>
                <w:noProof/>
                <w:highlight w:val="lightGray"/>
              </w:rPr>
              <w:t>Kalendárny rok</w:t>
            </w:r>
          </w:p>
        </w:tc>
        <w:tc>
          <w:tcPr>
            <w:tcW w:w="1542" w:type="dxa"/>
            <w:tcBorders>
              <w:right w:val="nil"/>
            </w:tcBorders>
          </w:tcPr>
          <w:p w:rsidR="00714F83" w:rsidRPr="00E8450A" w:rsidRDefault="00714F83" w:rsidP="00B2191F">
            <w:pPr>
              <w:jc w:val="right"/>
              <w:rPr>
                <w:noProof/>
                <w:highlight w:val="lightGray"/>
              </w:rPr>
            </w:pPr>
            <w:r w:rsidRPr="00E8450A">
              <w:rPr>
                <w:noProof/>
                <w:highlight w:val="lightGray"/>
              </w:rPr>
              <w:t>6,0 ng/m³</w:t>
            </w:r>
          </w:p>
        </w:tc>
        <w:tc>
          <w:tcPr>
            <w:tcW w:w="5707" w:type="dxa"/>
            <w:tcBorders>
              <w:left w:val="nil"/>
              <w:right w:val="nil"/>
            </w:tcBorders>
          </w:tcPr>
          <w:p w:rsidR="00714F83" w:rsidRPr="00E8450A" w:rsidRDefault="00714F83" w:rsidP="00B2191F">
            <w:pPr>
              <w:jc w:val="left"/>
              <w:rPr>
                <w:noProof/>
                <w:highlight w:val="lightGray"/>
              </w:rPr>
            </w:pPr>
          </w:p>
        </w:tc>
      </w:tr>
      <w:tr w:rsidR="00714F83" w:rsidRPr="00E8450A" w:rsidTr="00B2191F">
        <w:tc>
          <w:tcPr>
            <w:tcW w:w="2073" w:type="dxa"/>
            <w:tcBorders>
              <w:left w:val="nil"/>
              <w:right w:val="nil"/>
            </w:tcBorders>
          </w:tcPr>
          <w:p w:rsidR="00714F83" w:rsidRPr="00E8450A" w:rsidRDefault="00714F83" w:rsidP="00B2191F">
            <w:pPr>
              <w:rPr>
                <w:b/>
                <w:bCs/>
                <w:noProof/>
                <w:highlight w:val="lightGray"/>
              </w:rPr>
            </w:pPr>
            <w:r w:rsidRPr="00E8450A">
              <w:rPr>
                <w:b/>
                <w:noProof/>
                <w:highlight w:val="lightGray"/>
              </w:rPr>
              <w:t>Kadmium (Cd)</w:t>
            </w:r>
          </w:p>
        </w:tc>
        <w:tc>
          <w:tcPr>
            <w:tcW w:w="1542" w:type="dxa"/>
            <w:tcBorders>
              <w:left w:val="nil"/>
              <w:right w:val="nil"/>
            </w:tcBorders>
          </w:tcPr>
          <w:p w:rsidR="00714F83" w:rsidRPr="00E8450A" w:rsidRDefault="00714F83" w:rsidP="00B2191F">
            <w:pPr>
              <w:jc w:val="right"/>
              <w:rPr>
                <w:noProof/>
                <w:highlight w:val="lightGray"/>
              </w:rPr>
            </w:pPr>
          </w:p>
        </w:tc>
        <w:tc>
          <w:tcPr>
            <w:tcW w:w="5707" w:type="dxa"/>
            <w:tcBorders>
              <w:left w:val="nil"/>
              <w:right w:val="nil"/>
            </w:tcBorders>
          </w:tcPr>
          <w:p w:rsidR="00714F83" w:rsidRPr="00E8450A" w:rsidRDefault="00714F83" w:rsidP="00B2191F">
            <w:pPr>
              <w:jc w:val="left"/>
              <w:rPr>
                <w:noProof/>
                <w:highlight w:val="lightGray"/>
              </w:rPr>
            </w:pPr>
          </w:p>
        </w:tc>
      </w:tr>
      <w:tr w:rsidR="00714F83" w:rsidRPr="00E8450A" w:rsidTr="00B2191F">
        <w:tc>
          <w:tcPr>
            <w:tcW w:w="2073" w:type="dxa"/>
            <w:tcBorders>
              <w:left w:val="nil"/>
            </w:tcBorders>
          </w:tcPr>
          <w:p w:rsidR="00714F83" w:rsidRPr="00E8450A" w:rsidRDefault="00714F83" w:rsidP="00B2191F">
            <w:pPr>
              <w:rPr>
                <w:noProof/>
                <w:highlight w:val="lightGray"/>
              </w:rPr>
            </w:pPr>
            <w:r w:rsidRPr="00E8450A">
              <w:rPr>
                <w:noProof/>
                <w:highlight w:val="lightGray"/>
              </w:rPr>
              <w:t>Kalendárny rok</w:t>
            </w:r>
          </w:p>
        </w:tc>
        <w:tc>
          <w:tcPr>
            <w:tcW w:w="1542" w:type="dxa"/>
            <w:tcBorders>
              <w:right w:val="nil"/>
            </w:tcBorders>
          </w:tcPr>
          <w:p w:rsidR="00714F83" w:rsidRPr="00E8450A" w:rsidRDefault="00714F83" w:rsidP="00B2191F">
            <w:pPr>
              <w:jc w:val="right"/>
              <w:rPr>
                <w:noProof/>
                <w:highlight w:val="lightGray"/>
              </w:rPr>
            </w:pPr>
            <w:r w:rsidRPr="00E8450A">
              <w:rPr>
                <w:noProof/>
                <w:highlight w:val="lightGray"/>
              </w:rPr>
              <w:t>5,0 ng/m³</w:t>
            </w:r>
          </w:p>
        </w:tc>
        <w:tc>
          <w:tcPr>
            <w:tcW w:w="5707" w:type="dxa"/>
            <w:tcBorders>
              <w:left w:val="nil"/>
              <w:right w:val="nil"/>
            </w:tcBorders>
          </w:tcPr>
          <w:p w:rsidR="00714F83" w:rsidRPr="00E8450A" w:rsidRDefault="00714F83" w:rsidP="00B2191F">
            <w:pPr>
              <w:jc w:val="left"/>
              <w:rPr>
                <w:noProof/>
                <w:highlight w:val="lightGray"/>
              </w:rPr>
            </w:pPr>
          </w:p>
        </w:tc>
      </w:tr>
      <w:tr w:rsidR="00714F83" w:rsidRPr="00E8450A" w:rsidTr="00B2191F">
        <w:tc>
          <w:tcPr>
            <w:tcW w:w="2073" w:type="dxa"/>
            <w:tcBorders>
              <w:left w:val="nil"/>
              <w:right w:val="nil"/>
            </w:tcBorders>
          </w:tcPr>
          <w:p w:rsidR="00714F83" w:rsidRPr="00E8450A" w:rsidRDefault="00714F83" w:rsidP="00B2191F">
            <w:pPr>
              <w:rPr>
                <w:noProof/>
                <w:highlight w:val="lightGray"/>
              </w:rPr>
            </w:pPr>
            <w:r w:rsidRPr="00E8450A">
              <w:rPr>
                <w:b/>
                <w:noProof/>
                <w:highlight w:val="lightGray"/>
              </w:rPr>
              <w:t>Nikel (Ni)</w:t>
            </w:r>
          </w:p>
        </w:tc>
        <w:tc>
          <w:tcPr>
            <w:tcW w:w="1542" w:type="dxa"/>
            <w:tcBorders>
              <w:left w:val="nil"/>
              <w:right w:val="nil"/>
            </w:tcBorders>
          </w:tcPr>
          <w:p w:rsidR="00714F83" w:rsidRPr="00E8450A" w:rsidRDefault="00714F83" w:rsidP="00B2191F">
            <w:pPr>
              <w:jc w:val="right"/>
              <w:rPr>
                <w:noProof/>
                <w:highlight w:val="lightGray"/>
              </w:rPr>
            </w:pPr>
          </w:p>
        </w:tc>
        <w:tc>
          <w:tcPr>
            <w:tcW w:w="5707" w:type="dxa"/>
            <w:tcBorders>
              <w:left w:val="nil"/>
              <w:right w:val="nil"/>
            </w:tcBorders>
          </w:tcPr>
          <w:p w:rsidR="00714F83" w:rsidRPr="00E8450A" w:rsidRDefault="00714F83" w:rsidP="00B2191F">
            <w:pPr>
              <w:jc w:val="left"/>
              <w:rPr>
                <w:noProof/>
                <w:highlight w:val="lightGray"/>
              </w:rPr>
            </w:pPr>
          </w:p>
        </w:tc>
      </w:tr>
      <w:tr w:rsidR="00714F83" w:rsidRPr="00E8450A" w:rsidTr="00B2191F">
        <w:tc>
          <w:tcPr>
            <w:tcW w:w="2073" w:type="dxa"/>
            <w:tcBorders>
              <w:left w:val="nil"/>
            </w:tcBorders>
          </w:tcPr>
          <w:p w:rsidR="00714F83" w:rsidRPr="00E8450A" w:rsidRDefault="00714F83" w:rsidP="00B2191F">
            <w:pPr>
              <w:rPr>
                <w:noProof/>
                <w:highlight w:val="lightGray"/>
              </w:rPr>
            </w:pPr>
            <w:r w:rsidRPr="00E8450A">
              <w:rPr>
                <w:noProof/>
                <w:highlight w:val="lightGray"/>
              </w:rPr>
              <w:t>Kalendárny rok</w:t>
            </w:r>
          </w:p>
        </w:tc>
        <w:tc>
          <w:tcPr>
            <w:tcW w:w="1542" w:type="dxa"/>
            <w:tcBorders>
              <w:right w:val="nil"/>
            </w:tcBorders>
          </w:tcPr>
          <w:p w:rsidR="00714F83" w:rsidRPr="00E8450A" w:rsidRDefault="00714F83" w:rsidP="00B2191F">
            <w:pPr>
              <w:jc w:val="right"/>
              <w:rPr>
                <w:noProof/>
                <w:highlight w:val="lightGray"/>
              </w:rPr>
            </w:pPr>
            <w:r w:rsidRPr="00E8450A">
              <w:rPr>
                <w:noProof/>
                <w:highlight w:val="lightGray"/>
              </w:rPr>
              <w:t>20 ng/m³</w:t>
            </w:r>
          </w:p>
        </w:tc>
        <w:tc>
          <w:tcPr>
            <w:tcW w:w="5707" w:type="dxa"/>
            <w:tcBorders>
              <w:left w:val="nil"/>
              <w:right w:val="nil"/>
            </w:tcBorders>
          </w:tcPr>
          <w:p w:rsidR="00714F83" w:rsidRPr="00E8450A" w:rsidRDefault="00714F83" w:rsidP="00B2191F">
            <w:pPr>
              <w:jc w:val="left"/>
              <w:rPr>
                <w:noProof/>
                <w:highlight w:val="lightGray"/>
              </w:rPr>
            </w:pPr>
          </w:p>
        </w:tc>
      </w:tr>
      <w:tr w:rsidR="00714F83" w:rsidRPr="00E8450A" w:rsidTr="00B2191F">
        <w:tc>
          <w:tcPr>
            <w:tcW w:w="2073" w:type="dxa"/>
            <w:tcBorders>
              <w:left w:val="nil"/>
              <w:right w:val="nil"/>
            </w:tcBorders>
          </w:tcPr>
          <w:p w:rsidR="00714F83" w:rsidRPr="00E8450A" w:rsidRDefault="00714F83" w:rsidP="00B2191F">
            <w:pPr>
              <w:rPr>
                <w:b/>
                <w:bCs/>
                <w:noProof/>
                <w:highlight w:val="lightGray"/>
              </w:rPr>
            </w:pPr>
            <w:r w:rsidRPr="00E8450A">
              <w:rPr>
                <w:b/>
                <w:noProof/>
                <w:highlight w:val="lightGray"/>
              </w:rPr>
              <w:t>Benzo[a]pyrén</w:t>
            </w:r>
          </w:p>
        </w:tc>
        <w:tc>
          <w:tcPr>
            <w:tcW w:w="1542" w:type="dxa"/>
            <w:tcBorders>
              <w:left w:val="nil"/>
              <w:bottom w:val="single" w:sz="2" w:space="0" w:color="auto"/>
              <w:right w:val="nil"/>
            </w:tcBorders>
          </w:tcPr>
          <w:p w:rsidR="00714F83" w:rsidRPr="00E8450A" w:rsidRDefault="00714F83" w:rsidP="00B2191F">
            <w:pPr>
              <w:jc w:val="right"/>
              <w:rPr>
                <w:noProof/>
                <w:highlight w:val="lightGray"/>
              </w:rPr>
            </w:pPr>
          </w:p>
        </w:tc>
        <w:tc>
          <w:tcPr>
            <w:tcW w:w="5707" w:type="dxa"/>
            <w:tcBorders>
              <w:left w:val="nil"/>
              <w:right w:val="nil"/>
            </w:tcBorders>
          </w:tcPr>
          <w:p w:rsidR="00714F83" w:rsidRPr="00E8450A" w:rsidRDefault="00714F83" w:rsidP="00B2191F">
            <w:pPr>
              <w:jc w:val="left"/>
              <w:rPr>
                <w:noProof/>
                <w:highlight w:val="lightGray"/>
              </w:rPr>
            </w:pPr>
          </w:p>
        </w:tc>
      </w:tr>
      <w:tr w:rsidR="00714F83" w:rsidRPr="00E8450A" w:rsidTr="00B2191F">
        <w:tc>
          <w:tcPr>
            <w:tcW w:w="2073" w:type="dxa"/>
            <w:tcBorders>
              <w:left w:val="nil"/>
            </w:tcBorders>
          </w:tcPr>
          <w:p w:rsidR="00714F83" w:rsidRPr="00E8450A" w:rsidRDefault="00714F83" w:rsidP="00B2191F">
            <w:pPr>
              <w:rPr>
                <w:noProof/>
                <w:highlight w:val="lightGray"/>
              </w:rPr>
            </w:pPr>
            <w:r w:rsidRPr="00E8450A">
              <w:rPr>
                <w:noProof/>
                <w:highlight w:val="lightGray"/>
              </w:rPr>
              <w:t>Kalendárny rok</w:t>
            </w:r>
          </w:p>
        </w:tc>
        <w:tc>
          <w:tcPr>
            <w:tcW w:w="1542" w:type="dxa"/>
            <w:tcBorders>
              <w:right w:val="nil"/>
            </w:tcBorders>
          </w:tcPr>
          <w:p w:rsidR="00714F83" w:rsidRPr="00E8450A" w:rsidRDefault="00714F83" w:rsidP="00B2191F">
            <w:pPr>
              <w:jc w:val="right"/>
              <w:rPr>
                <w:noProof/>
                <w:highlight w:val="lightGray"/>
              </w:rPr>
            </w:pPr>
            <w:r w:rsidRPr="00E8450A">
              <w:rPr>
                <w:noProof/>
                <w:highlight w:val="lightGray"/>
              </w:rPr>
              <w:t>1,0 ng/m³</w:t>
            </w:r>
          </w:p>
        </w:tc>
        <w:tc>
          <w:tcPr>
            <w:tcW w:w="5707" w:type="dxa"/>
            <w:tcBorders>
              <w:left w:val="nil"/>
              <w:right w:val="nil"/>
            </w:tcBorders>
          </w:tcPr>
          <w:p w:rsidR="00714F83" w:rsidRPr="00E8450A" w:rsidRDefault="00714F83" w:rsidP="00B2191F">
            <w:pPr>
              <w:jc w:val="left"/>
              <w:rPr>
                <w:noProof/>
                <w:highlight w:val="lightGray"/>
              </w:rPr>
            </w:pPr>
          </w:p>
        </w:tc>
      </w:tr>
      <w:tr w:rsidR="00714F83" w:rsidRPr="00E8450A" w:rsidTr="00B2191F">
        <w:tc>
          <w:tcPr>
            <w:tcW w:w="9322" w:type="dxa"/>
            <w:gridSpan w:val="3"/>
            <w:tcBorders>
              <w:left w:val="nil"/>
              <w:right w:val="nil"/>
            </w:tcBorders>
          </w:tcPr>
          <w:p w:rsidR="00714F83" w:rsidRPr="00E8450A" w:rsidRDefault="00714F83" w:rsidP="00A91799">
            <w:pPr>
              <w:pStyle w:val="ListParagraph"/>
              <w:numPr>
                <w:ilvl w:val="0"/>
                <w:numId w:val="33"/>
              </w:numPr>
              <w:autoSpaceDE w:val="0"/>
              <w:autoSpaceDN w:val="0"/>
              <w:ind w:left="426" w:hanging="437"/>
              <w:jc w:val="left"/>
              <w:rPr>
                <w:noProof/>
                <w:sz w:val="20"/>
                <w:szCs w:val="20"/>
                <w:highlight w:val="lightGray"/>
              </w:rPr>
            </w:pPr>
            <w:r w:rsidRPr="00E8450A">
              <w:rPr>
                <w:noProof/>
                <w:sz w:val="20"/>
                <w:highlight w:val="lightGray"/>
              </w:rPr>
              <w:t>Najväčšia denná 8-hodinová stredná hodnota koncentrácie sa vyberie preskúmaním 8-hodinových kĺzavých priemerov vypočítaných z hodinových údajov aktualizovaných každú hodinu. Každý takto vypočítaný 8-hodinový priemer sa priradí ku dňu, počas ktorého sa dané 8-hodinové obdobie končí, t. j. prvým výpočtovým obdobím pre ktorýkoľvek jeden deň je obdobie, ktoré sa začína o 17.00 hod. predchádzajúceho dňa a končí o 1.00 hod. daného dňa; posledným výpočtovým obdobím pre ktorýkoľvek jeden deň je obdobie, ktoré sa začína o 16.00 hod. a končí o 24.00 hod. daného dňa.</w:t>
            </w:r>
          </w:p>
        </w:tc>
      </w:tr>
    </w:tbl>
    <w:p w:rsidR="00714F83" w:rsidRPr="00E8450A" w:rsidRDefault="00714F83" w:rsidP="00714F83">
      <w:pPr>
        <w:spacing w:before="0" w:after="200" w:line="276" w:lineRule="auto"/>
        <w:jc w:val="left"/>
        <w:rPr>
          <w:caps/>
          <w:noProof/>
          <w:highlight w:val="lightGray"/>
          <w:u w:val="single"/>
        </w:rPr>
      </w:pPr>
    </w:p>
    <w:p w:rsidR="004F4CD1" w:rsidRPr="00E8450A" w:rsidRDefault="004F4CD1" w:rsidP="004F4CD1">
      <w:pPr>
        <w:rPr>
          <w:noProof/>
          <w:highlight w:val="lightGray"/>
        </w:rPr>
        <w:sectPr w:rsidR="004F4CD1" w:rsidRPr="00E8450A" w:rsidSect="000A000C">
          <w:footerReference w:type="default" r:id="rId15"/>
          <w:footerReference w:type="first" r:id="rId16"/>
          <w:pgSz w:w="11906" w:h="16838"/>
          <w:pgMar w:top="1134" w:right="1418" w:bottom="1134" w:left="1418" w:header="709" w:footer="709" w:gutter="0"/>
          <w:pgNumType w:start="1"/>
          <w:cols w:space="709"/>
          <w:docGrid w:linePitch="326"/>
        </w:sectPr>
      </w:pPr>
    </w:p>
    <w:p w:rsidR="004F4CD1" w:rsidRPr="00E8450A" w:rsidRDefault="004F4CD1" w:rsidP="004F4CD1">
      <w:pPr>
        <w:rPr>
          <w:caps/>
          <w:noProof/>
          <w:highlight w:val="lightGray"/>
          <w:u w:val="single"/>
        </w:rPr>
      </w:pPr>
      <w:r w:rsidRPr="00E8450A">
        <w:rPr>
          <w:caps/>
          <w:noProof/>
          <w:highlight w:val="lightGray"/>
          <w:u w:val="single"/>
        </w:rPr>
        <w:lastRenderedPageBreak/>
        <w:t>Oddiel 2 – Cieľové hodnoty pre ozón a dlhodobé ciele v zónach</w:t>
      </w:r>
    </w:p>
    <w:p w:rsidR="004F4CD1" w:rsidRPr="00E8450A" w:rsidRDefault="004F4CD1" w:rsidP="00A52FD4">
      <w:pPr>
        <w:rPr>
          <w:b/>
          <w:smallCaps/>
          <w:noProof/>
          <w:highlight w:val="lightGray"/>
        </w:rPr>
      </w:pPr>
      <w:r w:rsidRPr="00E8450A">
        <w:rPr>
          <w:b/>
          <w:noProof/>
          <w:highlight w:val="lightGray"/>
        </w:rPr>
        <w:t>A</w:t>
      </w:r>
      <w:r w:rsidR="00A52FD4">
        <w:rPr>
          <w:b/>
          <w:noProof/>
          <w:highlight w:val="lightGray"/>
        </w:rPr>
        <w:t>)</w:t>
      </w:r>
      <w:r w:rsidRPr="00E8450A">
        <w:rPr>
          <w:noProof/>
        </w:rPr>
        <w:tab/>
      </w:r>
      <w:r w:rsidRPr="00E8450A">
        <w:rPr>
          <w:b/>
          <w:noProof/>
          <w:highlight w:val="lightGray"/>
        </w:rPr>
        <w:t>Vymedzenie pojmov a kritériá</w:t>
      </w:r>
    </w:p>
    <w:p w:rsidR="004F4CD1" w:rsidRPr="00E8450A" w:rsidRDefault="004F4CD1" w:rsidP="004F4CD1">
      <w:pPr>
        <w:ind w:left="426"/>
        <w:rPr>
          <w:noProof/>
          <w:highlight w:val="lightGray"/>
        </w:rPr>
      </w:pPr>
      <w:r w:rsidRPr="00E8450A">
        <w:rPr>
          <w:noProof/>
          <w:highlight w:val="lightGray"/>
        </w:rPr>
        <w:t>„Akumulovaná expozícia ozónu nad prahovú hodnotu 40 častí na miliardu“ (AOT40) vyjadrená v „(μg/m</w:t>
      </w:r>
      <w:r w:rsidRPr="00E8450A">
        <w:rPr>
          <w:noProof/>
          <w:highlight w:val="lightGray"/>
          <w:vertAlign w:val="superscript"/>
        </w:rPr>
        <w:t>3</w:t>
      </w:r>
      <w:r w:rsidRPr="00E8450A">
        <w:rPr>
          <w:noProof/>
          <w:highlight w:val="lightGray"/>
        </w:rPr>
        <w:t>) </w:t>
      </w:r>
      <w:r w:rsidRPr="00E8450A">
        <w:rPr>
          <w:noProof/>
          <w:color w:val="000000"/>
          <w:highlight w:val="lightGray"/>
        </w:rPr>
        <w:t>×</w:t>
      </w:r>
      <w:r w:rsidRPr="00E8450A">
        <w:rPr>
          <w:noProof/>
          <w:highlight w:val="lightGray"/>
        </w:rPr>
        <w:t> počet hodín (h)“ je súčet rozdielov medzi hodinovými koncentráciami väčšími ako 80 μg/m</w:t>
      </w:r>
      <w:r w:rsidRPr="00E8450A">
        <w:rPr>
          <w:noProof/>
          <w:highlight w:val="lightGray"/>
          <w:vertAlign w:val="superscript"/>
        </w:rPr>
        <w:t>3</w:t>
      </w:r>
      <w:r w:rsidRPr="00E8450A">
        <w:rPr>
          <w:noProof/>
          <w:highlight w:val="lightGray"/>
        </w:rPr>
        <w:t xml:space="preserve"> (= 40 častí na miliardu) a 80 μg/m</w:t>
      </w:r>
      <w:r w:rsidRPr="00E8450A">
        <w:rPr>
          <w:noProof/>
          <w:highlight w:val="lightGray"/>
          <w:vertAlign w:val="superscript"/>
        </w:rPr>
        <w:t>3</w:t>
      </w:r>
      <w:r w:rsidRPr="00E8450A">
        <w:rPr>
          <w:noProof/>
          <w:highlight w:val="lightGray"/>
        </w:rPr>
        <w:t xml:space="preserve"> počas daného obdobia pri používaní len 1-hodinových hodnôt nameraných každý deň od 8.00 do 20.00 hod. stredoeurópskeho času (SEČ).</w:t>
      </w:r>
    </w:p>
    <w:p w:rsidR="004F4CD1" w:rsidRPr="00E8450A" w:rsidRDefault="004F4CD1" w:rsidP="004F4CD1">
      <w:pPr>
        <w:rPr>
          <w:noProof/>
          <w:highlight w:val="lightGray"/>
        </w:rPr>
      </w:pPr>
    </w:p>
    <w:p w:rsidR="00714F83" w:rsidRPr="00E8450A" w:rsidRDefault="004F4CD1" w:rsidP="00A52FD4">
      <w:pPr>
        <w:rPr>
          <w:b/>
          <w:noProof/>
          <w:highlight w:val="lightGray"/>
        </w:rPr>
      </w:pPr>
      <w:r w:rsidRPr="00E8450A">
        <w:rPr>
          <w:b/>
          <w:noProof/>
          <w:highlight w:val="lightGray"/>
        </w:rPr>
        <w:t>B</w:t>
      </w:r>
      <w:r w:rsidR="00A52FD4">
        <w:rPr>
          <w:b/>
          <w:noProof/>
          <w:highlight w:val="lightGray"/>
        </w:rPr>
        <w:t>)</w:t>
      </w:r>
      <w:r w:rsidRPr="00E8450A">
        <w:rPr>
          <w:noProof/>
        </w:rPr>
        <w:tab/>
      </w:r>
      <w:r w:rsidRPr="00E8450A">
        <w:rPr>
          <w:b/>
          <w:noProof/>
          <w:highlight w:val="lightGray"/>
        </w:rPr>
        <w:t>Cieľové hodnoty pre ozón</w:t>
      </w:r>
    </w:p>
    <w:tbl>
      <w:tblPr>
        <w:tblW w:w="8646" w:type="dxa"/>
        <w:tblInd w:w="534" w:type="dxa"/>
        <w:tblBorders>
          <w:top w:val="single" w:sz="2" w:space="0" w:color="auto"/>
          <w:bottom w:val="single" w:sz="2" w:space="0" w:color="auto"/>
          <w:insideH w:val="single" w:sz="2" w:space="0" w:color="auto"/>
          <w:insideV w:val="single" w:sz="2" w:space="0" w:color="auto"/>
        </w:tblBorders>
        <w:tblLook w:val="0000" w:firstRow="0" w:lastRow="0" w:firstColumn="0" w:lastColumn="0" w:noHBand="0" w:noVBand="0"/>
      </w:tblPr>
      <w:tblGrid>
        <w:gridCol w:w="2161"/>
        <w:gridCol w:w="2162"/>
        <w:gridCol w:w="2161"/>
        <w:gridCol w:w="2162"/>
      </w:tblGrid>
      <w:tr w:rsidR="00714F83" w:rsidRPr="00E8450A" w:rsidTr="00B2191F">
        <w:tc>
          <w:tcPr>
            <w:tcW w:w="2161" w:type="dxa"/>
          </w:tcPr>
          <w:p w:rsidR="00714F83" w:rsidRPr="00E8450A" w:rsidRDefault="00714F83" w:rsidP="00B2191F">
            <w:pPr>
              <w:jc w:val="left"/>
              <w:rPr>
                <w:b/>
                <w:bCs/>
                <w:noProof/>
                <w:highlight w:val="lightGray"/>
              </w:rPr>
            </w:pPr>
            <w:r w:rsidRPr="00E8450A">
              <w:rPr>
                <w:b/>
                <w:noProof/>
                <w:highlight w:val="lightGray"/>
              </w:rPr>
              <w:t>Cieľ</w:t>
            </w:r>
          </w:p>
        </w:tc>
        <w:tc>
          <w:tcPr>
            <w:tcW w:w="2162" w:type="dxa"/>
          </w:tcPr>
          <w:p w:rsidR="00714F83" w:rsidRPr="00E8450A" w:rsidRDefault="00714F83" w:rsidP="00B2191F">
            <w:pPr>
              <w:jc w:val="left"/>
              <w:rPr>
                <w:b/>
                <w:bCs/>
                <w:noProof/>
                <w:highlight w:val="lightGray"/>
              </w:rPr>
            </w:pPr>
            <w:r w:rsidRPr="00E8450A">
              <w:rPr>
                <w:b/>
                <w:noProof/>
                <w:highlight w:val="lightGray"/>
              </w:rPr>
              <w:t>Priemerované obdobie</w:t>
            </w:r>
          </w:p>
        </w:tc>
        <w:tc>
          <w:tcPr>
            <w:tcW w:w="2161" w:type="dxa"/>
            <w:tcBorders>
              <w:right w:val="nil"/>
            </w:tcBorders>
          </w:tcPr>
          <w:p w:rsidR="00714F83" w:rsidRPr="00E8450A" w:rsidRDefault="00714F83" w:rsidP="00B2191F">
            <w:pPr>
              <w:jc w:val="left"/>
              <w:rPr>
                <w:b/>
                <w:bCs/>
                <w:noProof/>
                <w:highlight w:val="lightGray"/>
              </w:rPr>
            </w:pPr>
            <w:r w:rsidRPr="00E8450A">
              <w:rPr>
                <w:b/>
                <w:noProof/>
                <w:highlight w:val="lightGray"/>
              </w:rPr>
              <w:t>Cieľová hodnota</w:t>
            </w:r>
          </w:p>
        </w:tc>
        <w:tc>
          <w:tcPr>
            <w:tcW w:w="2162" w:type="dxa"/>
            <w:tcBorders>
              <w:left w:val="nil"/>
            </w:tcBorders>
          </w:tcPr>
          <w:p w:rsidR="00714F83" w:rsidRPr="00E8450A" w:rsidRDefault="00714F83" w:rsidP="00B2191F">
            <w:pPr>
              <w:jc w:val="left"/>
              <w:rPr>
                <w:b/>
                <w:bCs/>
                <w:noProof/>
                <w:highlight w:val="lightGray"/>
              </w:rPr>
            </w:pPr>
          </w:p>
        </w:tc>
      </w:tr>
      <w:tr w:rsidR="00714F83" w:rsidRPr="00E8450A" w:rsidTr="00B2191F">
        <w:tc>
          <w:tcPr>
            <w:tcW w:w="2161" w:type="dxa"/>
          </w:tcPr>
          <w:p w:rsidR="00714F83" w:rsidRPr="00E8450A" w:rsidRDefault="00714F83" w:rsidP="00B2191F">
            <w:pPr>
              <w:jc w:val="left"/>
              <w:rPr>
                <w:noProof/>
                <w:highlight w:val="lightGray"/>
              </w:rPr>
            </w:pPr>
            <w:r w:rsidRPr="00E8450A">
              <w:rPr>
                <w:noProof/>
                <w:highlight w:val="lightGray"/>
              </w:rPr>
              <w:t>Ochrana ľudského zdravia</w:t>
            </w:r>
          </w:p>
        </w:tc>
        <w:tc>
          <w:tcPr>
            <w:tcW w:w="2162" w:type="dxa"/>
          </w:tcPr>
          <w:p w:rsidR="00714F83" w:rsidRPr="00E8450A" w:rsidRDefault="00714F83" w:rsidP="00B2191F">
            <w:pPr>
              <w:jc w:val="left"/>
              <w:rPr>
                <w:noProof/>
                <w:highlight w:val="lightGray"/>
              </w:rPr>
            </w:pPr>
            <w:r w:rsidRPr="00E8450A">
              <w:rPr>
                <w:noProof/>
                <w:highlight w:val="lightGray"/>
              </w:rPr>
              <w:t>najväčšia denná 8-hodinová stredná hodnota </w:t>
            </w:r>
            <w:r w:rsidRPr="00E8450A">
              <w:rPr>
                <w:noProof/>
                <w:highlight w:val="lightGray"/>
                <w:vertAlign w:val="superscript"/>
              </w:rPr>
              <w:t>(1)</w:t>
            </w:r>
          </w:p>
        </w:tc>
        <w:tc>
          <w:tcPr>
            <w:tcW w:w="2161" w:type="dxa"/>
            <w:tcBorders>
              <w:right w:val="nil"/>
            </w:tcBorders>
          </w:tcPr>
          <w:p w:rsidR="00714F83" w:rsidRPr="00E8450A" w:rsidRDefault="00714F83" w:rsidP="00B2191F">
            <w:pPr>
              <w:jc w:val="left"/>
              <w:rPr>
                <w:noProof/>
                <w:highlight w:val="lightGray"/>
              </w:rPr>
            </w:pPr>
            <w:r w:rsidRPr="00E8450A">
              <w:rPr>
                <w:noProof/>
                <w:highlight w:val="lightGray"/>
              </w:rPr>
              <w:t>120 μg/m</w:t>
            </w:r>
            <w:r w:rsidRPr="00E8450A">
              <w:rPr>
                <w:noProof/>
                <w:highlight w:val="lightGray"/>
                <w:vertAlign w:val="superscript"/>
              </w:rPr>
              <w:t>3</w:t>
            </w:r>
            <w:r w:rsidRPr="00E8450A">
              <w:rPr>
                <w:noProof/>
                <w:highlight w:val="lightGray"/>
              </w:rPr>
              <w:t xml:space="preserve"> </w:t>
            </w:r>
          </w:p>
          <w:p w:rsidR="00714F83" w:rsidRPr="00E8450A" w:rsidRDefault="00714F83" w:rsidP="00B2191F">
            <w:pPr>
              <w:jc w:val="left"/>
              <w:rPr>
                <w:noProof/>
                <w:highlight w:val="lightGray"/>
              </w:rPr>
            </w:pPr>
          </w:p>
        </w:tc>
        <w:tc>
          <w:tcPr>
            <w:tcW w:w="2162" w:type="dxa"/>
            <w:tcBorders>
              <w:left w:val="nil"/>
            </w:tcBorders>
          </w:tcPr>
          <w:p w:rsidR="00714F83" w:rsidRPr="00E8450A" w:rsidRDefault="00714F83" w:rsidP="00B2191F">
            <w:pPr>
              <w:jc w:val="left"/>
              <w:rPr>
                <w:noProof/>
                <w:highlight w:val="lightGray"/>
              </w:rPr>
            </w:pPr>
            <w:r w:rsidRPr="00E8450A">
              <w:rPr>
                <w:noProof/>
                <w:highlight w:val="lightGray"/>
              </w:rPr>
              <w:t>sa za kalendárny rok nemá prekročiť viac ako 18 dní spriemerovaných za tri roky</w:t>
            </w:r>
            <w:r w:rsidRPr="00E8450A">
              <w:rPr>
                <w:rStyle w:val="FootnoteReference"/>
                <w:noProof/>
                <w:highlight w:val="lightGray"/>
              </w:rPr>
              <w:t xml:space="preserve"> </w:t>
            </w:r>
            <w:r w:rsidRPr="00E8450A">
              <w:rPr>
                <w:noProof/>
                <w:highlight w:val="lightGray"/>
                <w:vertAlign w:val="superscript"/>
              </w:rPr>
              <w:t>(2)</w:t>
            </w:r>
            <w:r w:rsidRPr="00E8450A">
              <w:rPr>
                <w:noProof/>
                <w:highlight w:val="lightGray"/>
              </w:rPr>
              <w:t xml:space="preserve"> </w:t>
            </w:r>
          </w:p>
        </w:tc>
      </w:tr>
      <w:tr w:rsidR="00714F83" w:rsidRPr="00E8450A" w:rsidTr="00B2191F">
        <w:tc>
          <w:tcPr>
            <w:tcW w:w="2161" w:type="dxa"/>
          </w:tcPr>
          <w:p w:rsidR="00714F83" w:rsidRPr="00E8450A" w:rsidRDefault="00714F83" w:rsidP="00B2191F">
            <w:pPr>
              <w:jc w:val="left"/>
              <w:rPr>
                <w:noProof/>
                <w:highlight w:val="lightGray"/>
              </w:rPr>
            </w:pPr>
            <w:r w:rsidRPr="00E8450A">
              <w:rPr>
                <w:noProof/>
                <w:highlight w:val="lightGray"/>
              </w:rPr>
              <w:t>Ochrana životného prostredia</w:t>
            </w:r>
          </w:p>
        </w:tc>
        <w:tc>
          <w:tcPr>
            <w:tcW w:w="2162" w:type="dxa"/>
          </w:tcPr>
          <w:p w:rsidR="00714F83" w:rsidRPr="00E8450A" w:rsidRDefault="00714F83" w:rsidP="00B2191F">
            <w:pPr>
              <w:jc w:val="left"/>
              <w:rPr>
                <w:noProof/>
                <w:highlight w:val="lightGray"/>
              </w:rPr>
            </w:pPr>
            <w:r w:rsidRPr="00E8450A">
              <w:rPr>
                <w:noProof/>
                <w:highlight w:val="lightGray"/>
              </w:rPr>
              <w:t>od mája do júla</w:t>
            </w:r>
          </w:p>
        </w:tc>
        <w:tc>
          <w:tcPr>
            <w:tcW w:w="2161" w:type="dxa"/>
            <w:tcBorders>
              <w:right w:val="nil"/>
            </w:tcBorders>
          </w:tcPr>
          <w:p w:rsidR="00714F83" w:rsidRPr="00E8450A" w:rsidRDefault="00714F83" w:rsidP="00B2191F">
            <w:pPr>
              <w:jc w:val="left"/>
              <w:rPr>
                <w:noProof/>
                <w:highlight w:val="lightGray"/>
              </w:rPr>
            </w:pPr>
            <w:r w:rsidRPr="00E8450A">
              <w:rPr>
                <w:noProof/>
                <w:highlight w:val="lightGray"/>
              </w:rPr>
              <w:t>AOT40 (vypočítaná z 1-hodinových hodnôt)</w:t>
            </w:r>
          </w:p>
          <w:p w:rsidR="00714F83" w:rsidRPr="00E8450A" w:rsidRDefault="00714F83" w:rsidP="00B2191F">
            <w:pPr>
              <w:jc w:val="left"/>
              <w:rPr>
                <w:noProof/>
                <w:highlight w:val="lightGray"/>
              </w:rPr>
            </w:pPr>
          </w:p>
        </w:tc>
        <w:tc>
          <w:tcPr>
            <w:tcW w:w="2162" w:type="dxa"/>
            <w:tcBorders>
              <w:left w:val="nil"/>
            </w:tcBorders>
          </w:tcPr>
          <w:p w:rsidR="00714F83" w:rsidRPr="00E8450A" w:rsidRDefault="00714F83" w:rsidP="00B2191F">
            <w:pPr>
              <w:jc w:val="left"/>
              <w:rPr>
                <w:noProof/>
                <w:highlight w:val="lightGray"/>
              </w:rPr>
            </w:pPr>
            <w:r w:rsidRPr="00E8450A">
              <w:rPr>
                <w:noProof/>
                <w:highlight w:val="lightGray"/>
              </w:rPr>
              <w:t>18 000 μg/m</w:t>
            </w:r>
            <w:r w:rsidRPr="00E8450A">
              <w:rPr>
                <w:noProof/>
                <w:highlight w:val="lightGray"/>
                <w:vertAlign w:val="superscript"/>
              </w:rPr>
              <w:t>3</w:t>
            </w:r>
            <w:r w:rsidRPr="00E8450A">
              <w:rPr>
                <w:noProof/>
                <w:highlight w:val="lightGray"/>
              </w:rPr>
              <w:t> × h spriemerovaná za päť rokov</w:t>
            </w:r>
            <w:r w:rsidRPr="00E8450A">
              <w:rPr>
                <w:rStyle w:val="FootnoteReference"/>
                <w:noProof/>
                <w:highlight w:val="lightGray"/>
              </w:rPr>
              <w:t xml:space="preserve"> </w:t>
            </w:r>
            <w:r w:rsidRPr="00E8450A">
              <w:rPr>
                <w:noProof/>
                <w:highlight w:val="lightGray"/>
                <w:vertAlign w:val="superscript"/>
              </w:rPr>
              <w:t>(2)</w:t>
            </w:r>
            <w:r w:rsidRPr="00E8450A">
              <w:rPr>
                <w:noProof/>
                <w:highlight w:val="lightGray"/>
              </w:rPr>
              <w:t xml:space="preserve"> </w:t>
            </w:r>
          </w:p>
        </w:tc>
      </w:tr>
      <w:tr w:rsidR="00714F83" w:rsidRPr="00E8450A" w:rsidTr="00B2191F">
        <w:tc>
          <w:tcPr>
            <w:tcW w:w="8646" w:type="dxa"/>
            <w:gridSpan w:val="4"/>
          </w:tcPr>
          <w:p w:rsidR="00714F83" w:rsidRPr="00E8450A" w:rsidRDefault="00714F83" w:rsidP="00B2191F">
            <w:pPr>
              <w:ind w:left="284" w:hanging="284"/>
              <w:rPr>
                <w:noProof/>
                <w:sz w:val="20"/>
                <w:szCs w:val="20"/>
                <w:highlight w:val="lightGray"/>
              </w:rPr>
            </w:pPr>
            <w:r w:rsidRPr="00E8450A">
              <w:rPr>
                <w:noProof/>
                <w:sz w:val="20"/>
                <w:highlight w:val="lightGray"/>
              </w:rPr>
              <w:t>(1) Najväčšia denná 8-hodinová stredná hodnota koncentrácie sa vyberie preskúmaním 8-hodinových kĺzavých priemerov vypočítaných z hodinových údajov aktualizovaných každú hodinu. Každý takto vypočítaný 8-hodinový priemer sa priradí ku dňu, počas ktorého sa dané 8-hodinové obdobie končí, t. j. prvým výpočtovým obdobím pre ktorýkoľvek jeden deň je obdobie, ktoré sa začína o 17.00 hod. predchádzajúceho dňa a končí o 1.00 hod. daného dňa; posledným výpočtovým obdobím pre ktorýkoľvek jeden deň je obdobie, ktoré sa začína o 16.00 hod. a končí o 24.00 hod. daného dňa.</w:t>
            </w:r>
          </w:p>
          <w:p w:rsidR="00714F83" w:rsidRPr="00E8450A" w:rsidRDefault="00714F83" w:rsidP="00B2191F">
            <w:pPr>
              <w:pStyle w:val="FootnoteText"/>
              <w:spacing w:before="120" w:after="120"/>
              <w:ind w:left="284" w:hanging="284"/>
              <w:jc w:val="left"/>
              <w:rPr>
                <w:noProof/>
                <w:highlight w:val="lightGray"/>
              </w:rPr>
            </w:pPr>
            <w:r w:rsidRPr="00E8450A">
              <w:rPr>
                <w:noProof/>
                <w:highlight w:val="lightGray"/>
              </w:rPr>
              <w:t>(2) Ak priemery za tri roky alebo za päť rokov nemožno určiť na základe úplných a po sebe nasledujúcich súborov ročných údajov, najmenší objem ročných údajov vyžadovaných na kontrolu súladu s cieľovými hodnotami je tento:</w:t>
            </w:r>
            <w:r w:rsidRPr="00E8450A">
              <w:rPr>
                <w:noProof/>
              </w:rPr>
              <w:t xml:space="preserve"> </w:t>
            </w:r>
            <w:r w:rsidRPr="00E8450A">
              <w:rPr>
                <w:noProof/>
              </w:rPr>
              <w:br/>
            </w:r>
            <w:r w:rsidRPr="00E8450A">
              <w:rPr>
                <w:noProof/>
                <w:highlight w:val="lightGray"/>
              </w:rPr>
              <w:t>– pre cieľovú hodnotu na účely ochrany ľudského zdravia: platné údaje za jeden rok,</w:t>
            </w:r>
            <w:r w:rsidRPr="00E8450A">
              <w:rPr>
                <w:noProof/>
              </w:rPr>
              <w:t xml:space="preserve"> </w:t>
            </w:r>
            <w:r w:rsidRPr="00E8450A">
              <w:rPr>
                <w:noProof/>
              </w:rPr>
              <w:br/>
            </w:r>
            <w:r w:rsidRPr="00E8450A">
              <w:rPr>
                <w:noProof/>
                <w:highlight w:val="lightGray"/>
              </w:rPr>
              <w:t>– pre cieľovú hodnotu na ochranu vegetácie: platné údaje za tri roky.</w:t>
            </w:r>
          </w:p>
        </w:tc>
      </w:tr>
    </w:tbl>
    <w:p w:rsidR="004F4CD1" w:rsidRPr="00E8450A" w:rsidRDefault="004F4CD1" w:rsidP="004F4CD1">
      <w:pPr>
        <w:spacing w:before="0" w:after="200" w:line="276" w:lineRule="auto"/>
        <w:jc w:val="left"/>
        <w:rPr>
          <w:noProof/>
          <w:highlight w:val="lightGray"/>
        </w:rPr>
      </w:pPr>
    </w:p>
    <w:p w:rsidR="00714F83" w:rsidRPr="00E8450A" w:rsidRDefault="004F4CD1" w:rsidP="00A52FD4">
      <w:pPr>
        <w:rPr>
          <w:rFonts w:eastAsia="Times New Roman"/>
          <w:noProof/>
          <w:highlight w:val="lightGray"/>
        </w:rPr>
      </w:pPr>
      <w:r w:rsidRPr="00E8450A">
        <w:rPr>
          <w:noProof/>
          <w:highlight w:val="lightGray"/>
        </w:rPr>
        <w:t>C</w:t>
      </w:r>
      <w:r w:rsidR="00A52FD4">
        <w:rPr>
          <w:noProof/>
          <w:highlight w:val="lightGray"/>
        </w:rPr>
        <w:t>)</w:t>
      </w:r>
      <w:r w:rsidRPr="00E8450A">
        <w:rPr>
          <w:noProof/>
          <w:highlight w:val="lightGray"/>
        </w:rPr>
        <w:t xml:space="preserve"> </w:t>
      </w:r>
      <w:r w:rsidRPr="00E8450A">
        <w:rPr>
          <w:b/>
          <w:noProof/>
          <w:highlight w:val="lightGray"/>
        </w:rPr>
        <w:t>Dlhodobé ciele pre ozón (O</w:t>
      </w:r>
      <w:r w:rsidRPr="00E8450A">
        <w:rPr>
          <w:b/>
          <w:noProof/>
          <w:highlight w:val="lightGray"/>
          <w:vertAlign w:val="subscript"/>
        </w:rPr>
        <w:t>3</w:t>
      </w:r>
      <w:r w:rsidRPr="00E8450A">
        <w:rPr>
          <w:b/>
          <w:noProof/>
          <w:highlight w:val="lightGray"/>
        </w:rPr>
        <w:t>)</w:t>
      </w:r>
    </w:p>
    <w:tbl>
      <w:tblPr>
        <w:tblW w:w="8646" w:type="dxa"/>
        <w:tblInd w:w="534" w:type="dxa"/>
        <w:tblBorders>
          <w:top w:val="single" w:sz="2" w:space="0" w:color="auto"/>
          <w:bottom w:val="single" w:sz="2" w:space="0" w:color="auto"/>
          <w:insideH w:val="single" w:sz="2" w:space="0" w:color="auto"/>
          <w:insideV w:val="single" w:sz="2" w:space="0" w:color="auto"/>
        </w:tblBorders>
        <w:tblLook w:val="0000" w:firstRow="0" w:lastRow="0" w:firstColumn="0" w:lastColumn="0" w:noHBand="0" w:noVBand="0"/>
      </w:tblPr>
      <w:tblGrid>
        <w:gridCol w:w="2161"/>
        <w:gridCol w:w="2162"/>
        <w:gridCol w:w="2161"/>
        <w:gridCol w:w="2162"/>
      </w:tblGrid>
      <w:tr w:rsidR="00714F83" w:rsidRPr="00E8450A" w:rsidTr="00B2191F">
        <w:tc>
          <w:tcPr>
            <w:tcW w:w="2161" w:type="dxa"/>
          </w:tcPr>
          <w:p w:rsidR="00714F83" w:rsidRPr="00E8450A" w:rsidRDefault="00714F83" w:rsidP="00B2191F">
            <w:pPr>
              <w:jc w:val="left"/>
              <w:rPr>
                <w:b/>
                <w:bCs/>
                <w:noProof/>
                <w:highlight w:val="lightGray"/>
              </w:rPr>
            </w:pPr>
            <w:r w:rsidRPr="00E8450A">
              <w:rPr>
                <w:b/>
                <w:noProof/>
                <w:highlight w:val="lightGray"/>
              </w:rPr>
              <w:t>Cieľ</w:t>
            </w:r>
          </w:p>
        </w:tc>
        <w:tc>
          <w:tcPr>
            <w:tcW w:w="2162" w:type="dxa"/>
          </w:tcPr>
          <w:p w:rsidR="00714F83" w:rsidRPr="00E8450A" w:rsidRDefault="00714F83" w:rsidP="00B2191F">
            <w:pPr>
              <w:jc w:val="left"/>
              <w:rPr>
                <w:b/>
                <w:bCs/>
                <w:noProof/>
                <w:highlight w:val="lightGray"/>
              </w:rPr>
            </w:pPr>
            <w:r w:rsidRPr="00E8450A">
              <w:rPr>
                <w:b/>
                <w:noProof/>
                <w:highlight w:val="lightGray"/>
              </w:rPr>
              <w:t>Priemerované obdobie</w:t>
            </w:r>
          </w:p>
        </w:tc>
        <w:tc>
          <w:tcPr>
            <w:tcW w:w="4323" w:type="dxa"/>
            <w:gridSpan w:val="2"/>
          </w:tcPr>
          <w:p w:rsidR="00714F83" w:rsidRPr="00E8450A" w:rsidRDefault="00714F83" w:rsidP="00B2191F">
            <w:pPr>
              <w:jc w:val="left"/>
              <w:rPr>
                <w:b/>
                <w:bCs/>
                <w:noProof/>
                <w:highlight w:val="lightGray"/>
              </w:rPr>
            </w:pPr>
            <w:r w:rsidRPr="00E8450A">
              <w:rPr>
                <w:b/>
                <w:noProof/>
                <w:highlight w:val="lightGray"/>
              </w:rPr>
              <w:t>Dlhodobý cieľ</w:t>
            </w:r>
          </w:p>
        </w:tc>
      </w:tr>
      <w:tr w:rsidR="00714F83" w:rsidRPr="00E8450A" w:rsidTr="00B2191F">
        <w:tc>
          <w:tcPr>
            <w:tcW w:w="2161" w:type="dxa"/>
          </w:tcPr>
          <w:p w:rsidR="00714F83" w:rsidRPr="00E8450A" w:rsidRDefault="00714F83" w:rsidP="00B2191F">
            <w:pPr>
              <w:jc w:val="left"/>
              <w:rPr>
                <w:noProof/>
                <w:highlight w:val="lightGray"/>
              </w:rPr>
            </w:pPr>
            <w:r w:rsidRPr="00E8450A">
              <w:rPr>
                <w:noProof/>
                <w:highlight w:val="lightGray"/>
              </w:rPr>
              <w:t>Ochrana ľudského zdravia</w:t>
            </w:r>
          </w:p>
        </w:tc>
        <w:tc>
          <w:tcPr>
            <w:tcW w:w="2162" w:type="dxa"/>
          </w:tcPr>
          <w:p w:rsidR="00714F83" w:rsidRPr="00E8450A" w:rsidRDefault="00714F83" w:rsidP="00B2191F">
            <w:pPr>
              <w:jc w:val="left"/>
              <w:rPr>
                <w:noProof/>
                <w:highlight w:val="lightGray"/>
              </w:rPr>
            </w:pPr>
            <w:r w:rsidRPr="00E8450A">
              <w:rPr>
                <w:noProof/>
                <w:highlight w:val="lightGray"/>
              </w:rPr>
              <w:t>najväčšia denná 8-hodinová stredná hodnota v kalendárnom roku</w:t>
            </w:r>
          </w:p>
        </w:tc>
        <w:tc>
          <w:tcPr>
            <w:tcW w:w="2161" w:type="dxa"/>
            <w:tcBorders>
              <w:right w:val="nil"/>
            </w:tcBorders>
          </w:tcPr>
          <w:p w:rsidR="00714F83" w:rsidRPr="00E8450A" w:rsidRDefault="00714F83" w:rsidP="00B2191F">
            <w:pPr>
              <w:jc w:val="left"/>
              <w:rPr>
                <w:noProof/>
                <w:highlight w:val="lightGray"/>
              </w:rPr>
            </w:pPr>
            <w:r w:rsidRPr="00E8450A">
              <w:rPr>
                <w:noProof/>
                <w:highlight w:val="lightGray"/>
              </w:rPr>
              <w:t>100 μg/m</w:t>
            </w:r>
            <w:r w:rsidRPr="00E8450A">
              <w:rPr>
                <w:noProof/>
                <w:highlight w:val="lightGray"/>
                <w:vertAlign w:val="superscript"/>
              </w:rPr>
              <w:t xml:space="preserve">3 (1) </w:t>
            </w:r>
          </w:p>
        </w:tc>
        <w:tc>
          <w:tcPr>
            <w:tcW w:w="2162" w:type="dxa"/>
            <w:tcBorders>
              <w:left w:val="nil"/>
            </w:tcBorders>
          </w:tcPr>
          <w:p w:rsidR="00714F83" w:rsidRPr="00E8450A" w:rsidRDefault="00714F83" w:rsidP="00B2191F">
            <w:pPr>
              <w:jc w:val="left"/>
              <w:rPr>
                <w:noProof/>
                <w:highlight w:val="lightGray"/>
              </w:rPr>
            </w:pPr>
          </w:p>
        </w:tc>
      </w:tr>
      <w:tr w:rsidR="00714F83" w:rsidRPr="00E8450A" w:rsidTr="00B2191F">
        <w:tc>
          <w:tcPr>
            <w:tcW w:w="2161" w:type="dxa"/>
          </w:tcPr>
          <w:p w:rsidR="00714F83" w:rsidRPr="00E8450A" w:rsidRDefault="00714F83" w:rsidP="00B2191F">
            <w:pPr>
              <w:jc w:val="left"/>
              <w:rPr>
                <w:noProof/>
                <w:highlight w:val="lightGray"/>
              </w:rPr>
            </w:pPr>
            <w:r w:rsidRPr="00E8450A">
              <w:rPr>
                <w:noProof/>
                <w:highlight w:val="lightGray"/>
              </w:rPr>
              <w:t>Ochrana vegetácie</w:t>
            </w:r>
          </w:p>
        </w:tc>
        <w:tc>
          <w:tcPr>
            <w:tcW w:w="2162" w:type="dxa"/>
          </w:tcPr>
          <w:p w:rsidR="00714F83" w:rsidRPr="00E8450A" w:rsidRDefault="00714F83" w:rsidP="00B2191F">
            <w:pPr>
              <w:jc w:val="left"/>
              <w:rPr>
                <w:noProof/>
                <w:highlight w:val="lightGray"/>
              </w:rPr>
            </w:pPr>
            <w:r w:rsidRPr="00E8450A">
              <w:rPr>
                <w:noProof/>
                <w:highlight w:val="lightGray"/>
              </w:rPr>
              <w:t>od mája do júla</w:t>
            </w:r>
          </w:p>
        </w:tc>
        <w:tc>
          <w:tcPr>
            <w:tcW w:w="2161" w:type="dxa"/>
            <w:tcBorders>
              <w:right w:val="nil"/>
            </w:tcBorders>
          </w:tcPr>
          <w:p w:rsidR="00714F83" w:rsidRPr="00E8450A" w:rsidRDefault="00714F83" w:rsidP="00B2191F">
            <w:pPr>
              <w:jc w:val="left"/>
              <w:rPr>
                <w:noProof/>
                <w:highlight w:val="lightGray"/>
              </w:rPr>
            </w:pPr>
            <w:r w:rsidRPr="00E8450A">
              <w:rPr>
                <w:noProof/>
                <w:highlight w:val="lightGray"/>
              </w:rPr>
              <w:t xml:space="preserve">AOT40 (vypočítaná z 1-hodinových hodnôt) </w:t>
            </w:r>
          </w:p>
        </w:tc>
        <w:tc>
          <w:tcPr>
            <w:tcW w:w="2162" w:type="dxa"/>
            <w:tcBorders>
              <w:left w:val="nil"/>
            </w:tcBorders>
          </w:tcPr>
          <w:p w:rsidR="00714F83" w:rsidRPr="00E8450A" w:rsidRDefault="00E056A5" w:rsidP="00B2191F">
            <w:pPr>
              <w:jc w:val="left"/>
              <w:rPr>
                <w:noProof/>
                <w:highlight w:val="lightGray"/>
              </w:rPr>
            </w:pPr>
            <w:r w:rsidRPr="00E8450A">
              <w:rPr>
                <w:noProof/>
                <w:highlight w:val="lightGray"/>
              </w:rPr>
              <w:t>6 000 μg/m</w:t>
            </w:r>
            <w:r w:rsidRPr="00E8450A">
              <w:rPr>
                <w:noProof/>
                <w:highlight w:val="lightGray"/>
                <w:vertAlign w:val="superscript"/>
              </w:rPr>
              <w:t>3</w:t>
            </w:r>
            <w:r w:rsidRPr="00E8450A">
              <w:rPr>
                <w:noProof/>
                <w:highlight w:val="lightGray"/>
              </w:rPr>
              <w:t xml:space="preserve"> × h </w:t>
            </w:r>
          </w:p>
        </w:tc>
      </w:tr>
      <w:tr w:rsidR="00714F83" w:rsidRPr="00E8450A" w:rsidTr="00B2191F">
        <w:tc>
          <w:tcPr>
            <w:tcW w:w="8646" w:type="dxa"/>
            <w:gridSpan w:val="4"/>
          </w:tcPr>
          <w:p w:rsidR="00714F83" w:rsidRPr="00E8450A" w:rsidRDefault="00714F83" w:rsidP="00B2191F">
            <w:pPr>
              <w:rPr>
                <w:noProof/>
                <w:highlight w:val="lightGray"/>
              </w:rPr>
            </w:pPr>
            <w:r w:rsidRPr="00E8450A">
              <w:rPr>
                <w:noProof/>
                <w:sz w:val="20"/>
                <w:highlight w:val="lightGray"/>
              </w:rPr>
              <w:lastRenderedPageBreak/>
              <w:t>(1)</w:t>
            </w:r>
            <w:r w:rsidRPr="00E8450A">
              <w:rPr>
                <w:noProof/>
                <w:sz w:val="20"/>
                <w:highlight w:val="lightGray"/>
                <w:vertAlign w:val="superscript"/>
              </w:rPr>
              <w:t xml:space="preserve"> </w:t>
            </w:r>
            <w:r w:rsidRPr="00E8450A">
              <w:rPr>
                <w:noProof/>
                <w:sz w:val="20"/>
                <w:highlight w:val="lightGray"/>
              </w:rPr>
              <w:t>99. percentil (t. j. tri dni, keď došlo k prekročeniu, za rok).</w:t>
            </w:r>
          </w:p>
        </w:tc>
      </w:tr>
    </w:tbl>
    <w:p w:rsidR="00714F83" w:rsidRPr="00E8450A" w:rsidRDefault="00714F83" w:rsidP="00714F83">
      <w:pPr>
        <w:rPr>
          <w:noProof/>
          <w:highlight w:val="lightGray"/>
        </w:rPr>
      </w:pPr>
    </w:p>
    <w:p w:rsidR="004F4CD1" w:rsidRPr="00E8450A" w:rsidRDefault="004F4CD1" w:rsidP="00714F83">
      <w:pPr>
        <w:rPr>
          <w:noProof/>
          <w:highlight w:val="lightGray"/>
        </w:rPr>
      </w:pPr>
    </w:p>
    <w:p w:rsidR="004F4CD1" w:rsidRPr="00E8450A" w:rsidRDefault="004F4CD1" w:rsidP="004F4CD1">
      <w:pPr>
        <w:rPr>
          <w:caps/>
          <w:noProof/>
          <w:highlight w:val="lightGray"/>
          <w:u w:val="single"/>
        </w:rPr>
      </w:pPr>
      <w:r w:rsidRPr="00E8450A">
        <w:rPr>
          <w:caps/>
          <w:noProof/>
          <w:highlight w:val="lightGray"/>
          <w:u w:val="single"/>
        </w:rPr>
        <w:t xml:space="preserve">Oddiel 3 – Kritické úrovne na ochranu vegetácie a prírodných ekosystémov </w:t>
      </w:r>
    </w:p>
    <w:tbl>
      <w:tblPr>
        <w:tblW w:w="8646" w:type="dxa"/>
        <w:tblInd w:w="534" w:type="dxa"/>
        <w:tblBorders>
          <w:top w:val="single" w:sz="2" w:space="0" w:color="auto"/>
          <w:left w:val="single" w:sz="4" w:space="0" w:color="auto"/>
          <w:bottom w:val="single" w:sz="2" w:space="0" w:color="auto"/>
          <w:insideH w:val="single" w:sz="2" w:space="0" w:color="auto"/>
          <w:insideV w:val="single" w:sz="2" w:space="0" w:color="auto"/>
        </w:tblBorders>
        <w:tblLook w:val="0000" w:firstRow="0" w:lastRow="0" w:firstColumn="0" w:lastColumn="0" w:noHBand="0" w:noVBand="0"/>
      </w:tblPr>
      <w:tblGrid>
        <w:gridCol w:w="5244"/>
        <w:gridCol w:w="3402"/>
      </w:tblGrid>
      <w:tr w:rsidR="004F4CD1" w:rsidRPr="00E8450A" w:rsidTr="00A058F2">
        <w:tc>
          <w:tcPr>
            <w:tcW w:w="5244" w:type="dxa"/>
            <w:tcBorders>
              <w:left w:val="nil"/>
            </w:tcBorders>
          </w:tcPr>
          <w:p w:rsidR="004F4CD1" w:rsidRPr="00E8450A" w:rsidRDefault="004F4CD1" w:rsidP="00261815">
            <w:pPr>
              <w:jc w:val="left"/>
              <w:rPr>
                <w:b/>
                <w:bCs/>
                <w:noProof/>
                <w:highlight w:val="lightGray"/>
              </w:rPr>
            </w:pPr>
            <w:r w:rsidRPr="00E8450A">
              <w:rPr>
                <w:b/>
                <w:noProof/>
                <w:highlight w:val="lightGray"/>
              </w:rPr>
              <w:t>Priemerované obdobie</w:t>
            </w:r>
          </w:p>
        </w:tc>
        <w:tc>
          <w:tcPr>
            <w:tcW w:w="3402" w:type="dxa"/>
          </w:tcPr>
          <w:p w:rsidR="004F4CD1" w:rsidRPr="00E8450A" w:rsidRDefault="004F4CD1" w:rsidP="00261815">
            <w:pPr>
              <w:jc w:val="left"/>
              <w:rPr>
                <w:b/>
                <w:bCs/>
                <w:noProof/>
                <w:highlight w:val="lightGray"/>
              </w:rPr>
            </w:pPr>
            <w:r w:rsidRPr="00E8450A">
              <w:rPr>
                <w:b/>
                <w:noProof/>
                <w:highlight w:val="lightGray"/>
              </w:rPr>
              <w:t>Kritická úroveň</w:t>
            </w:r>
          </w:p>
        </w:tc>
      </w:tr>
      <w:tr w:rsidR="004F4CD1" w:rsidRPr="00E8450A" w:rsidTr="00A058F2">
        <w:tc>
          <w:tcPr>
            <w:tcW w:w="8646" w:type="dxa"/>
            <w:gridSpan w:val="2"/>
            <w:tcBorders>
              <w:left w:val="nil"/>
            </w:tcBorders>
          </w:tcPr>
          <w:p w:rsidR="004F4CD1" w:rsidRPr="00E8450A" w:rsidRDefault="004F4CD1" w:rsidP="00261815">
            <w:pPr>
              <w:jc w:val="left"/>
              <w:rPr>
                <w:b/>
                <w:bCs/>
                <w:noProof/>
                <w:highlight w:val="lightGray"/>
              </w:rPr>
            </w:pPr>
            <w:r w:rsidRPr="00E8450A">
              <w:rPr>
                <w:b/>
                <w:noProof/>
                <w:highlight w:val="lightGray"/>
              </w:rPr>
              <w:t>Oxid siričitý (SO</w:t>
            </w:r>
            <w:r w:rsidRPr="00E8450A">
              <w:rPr>
                <w:b/>
                <w:noProof/>
                <w:highlight w:val="lightGray"/>
                <w:vertAlign w:val="subscript"/>
              </w:rPr>
              <w:t>2</w:t>
            </w:r>
            <w:r w:rsidRPr="00E8450A">
              <w:rPr>
                <w:b/>
                <w:noProof/>
                <w:highlight w:val="lightGray"/>
              </w:rPr>
              <w:t>)</w:t>
            </w:r>
          </w:p>
        </w:tc>
      </w:tr>
      <w:tr w:rsidR="004F4CD1" w:rsidRPr="00E8450A" w:rsidTr="00A058F2">
        <w:tc>
          <w:tcPr>
            <w:tcW w:w="5244" w:type="dxa"/>
            <w:tcBorders>
              <w:left w:val="nil"/>
            </w:tcBorders>
          </w:tcPr>
          <w:p w:rsidR="004F4CD1" w:rsidRPr="00E8450A" w:rsidRDefault="004F4CD1" w:rsidP="00261815">
            <w:pPr>
              <w:jc w:val="left"/>
              <w:rPr>
                <w:noProof/>
                <w:highlight w:val="lightGray"/>
              </w:rPr>
            </w:pPr>
            <w:r w:rsidRPr="00E8450A">
              <w:rPr>
                <w:noProof/>
                <w:highlight w:val="lightGray"/>
              </w:rPr>
              <w:t>Kalendárny rok a zimné obdobie (od 1. októbra do 31. marca)</w:t>
            </w:r>
          </w:p>
        </w:tc>
        <w:tc>
          <w:tcPr>
            <w:tcW w:w="3402" w:type="dxa"/>
          </w:tcPr>
          <w:p w:rsidR="004F4CD1" w:rsidRPr="00E8450A" w:rsidRDefault="004F4CD1" w:rsidP="00261815">
            <w:pPr>
              <w:jc w:val="left"/>
              <w:rPr>
                <w:noProof/>
                <w:highlight w:val="lightGray"/>
              </w:rPr>
            </w:pPr>
            <w:r w:rsidRPr="00E8450A">
              <w:rPr>
                <w:noProof/>
                <w:highlight w:val="lightGray"/>
              </w:rPr>
              <w:t>20 μg/m</w:t>
            </w:r>
            <w:r w:rsidRPr="00E8450A">
              <w:rPr>
                <w:noProof/>
                <w:highlight w:val="lightGray"/>
                <w:vertAlign w:val="superscript"/>
              </w:rPr>
              <w:t>3</w:t>
            </w:r>
          </w:p>
        </w:tc>
      </w:tr>
      <w:tr w:rsidR="004F4CD1" w:rsidRPr="00E8450A" w:rsidTr="00A058F2">
        <w:tc>
          <w:tcPr>
            <w:tcW w:w="8646" w:type="dxa"/>
            <w:gridSpan w:val="2"/>
            <w:tcBorders>
              <w:left w:val="nil"/>
            </w:tcBorders>
          </w:tcPr>
          <w:p w:rsidR="004F4CD1" w:rsidRPr="00E8450A" w:rsidRDefault="004F4CD1" w:rsidP="00261815">
            <w:pPr>
              <w:jc w:val="left"/>
              <w:rPr>
                <w:b/>
                <w:bCs/>
                <w:noProof/>
                <w:highlight w:val="lightGray"/>
              </w:rPr>
            </w:pPr>
            <w:r w:rsidRPr="00E8450A">
              <w:rPr>
                <w:b/>
                <w:noProof/>
                <w:highlight w:val="lightGray"/>
              </w:rPr>
              <w:t>Oxidy dusíka (NO</w:t>
            </w:r>
            <w:r w:rsidRPr="00E8450A">
              <w:rPr>
                <w:b/>
                <w:noProof/>
                <w:highlight w:val="lightGray"/>
                <w:vertAlign w:val="subscript"/>
              </w:rPr>
              <w:t>x</w:t>
            </w:r>
            <w:r w:rsidRPr="00E8450A">
              <w:rPr>
                <w:b/>
                <w:noProof/>
                <w:highlight w:val="lightGray"/>
              </w:rPr>
              <w:t>)</w:t>
            </w:r>
          </w:p>
        </w:tc>
      </w:tr>
      <w:tr w:rsidR="004F4CD1" w:rsidRPr="00E8450A" w:rsidTr="00A058F2">
        <w:tc>
          <w:tcPr>
            <w:tcW w:w="5244" w:type="dxa"/>
            <w:tcBorders>
              <w:left w:val="nil"/>
            </w:tcBorders>
          </w:tcPr>
          <w:p w:rsidR="004F4CD1" w:rsidRPr="00E8450A" w:rsidRDefault="004F4CD1" w:rsidP="00261815">
            <w:pPr>
              <w:jc w:val="left"/>
              <w:rPr>
                <w:noProof/>
                <w:highlight w:val="lightGray"/>
              </w:rPr>
            </w:pPr>
            <w:r w:rsidRPr="00E8450A">
              <w:rPr>
                <w:noProof/>
                <w:highlight w:val="lightGray"/>
              </w:rPr>
              <w:t>Kalendárny rok</w:t>
            </w:r>
          </w:p>
        </w:tc>
        <w:tc>
          <w:tcPr>
            <w:tcW w:w="3402" w:type="dxa"/>
          </w:tcPr>
          <w:p w:rsidR="004F4CD1" w:rsidRPr="00E8450A" w:rsidRDefault="00261815" w:rsidP="00261815">
            <w:pPr>
              <w:autoSpaceDE w:val="0"/>
              <w:autoSpaceDN w:val="0"/>
              <w:jc w:val="left"/>
              <w:rPr>
                <w:noProof/>
                <w:highlight w:val="lightGray"/>
              </w:rPr>
            </w:pPr>
            <w:r w:rsidRPr="00E8450A">
              <w:rPr>
                <w:noProof/>
                <w:highlight w:val="lightGray"/>
              </w:rPr>
              <w:t>30 μg/m</w:t>
            </w:r>
            <w:r w:rsidRPr="00E8450A">
              <w:rPr>
                <w:noProof/>
                <w:highlight w:val="lightGray"/>
                <w:vertAlign w:val="superscript"/>
              </w:rPr>
              <w:t>3</w:t>
            </w:r>
            <w:r w:rsidRPr="00E8450A">
              <w:rPr>
                <w:noProof/>
                <w:highlight w:val="lightGray"/>
              </w:rPr>
              <w:t xml:space="preserve"> NO</w:t>
            </w:r>
            <w:r w:rsidRPr="00E8450A">
              <w:rPr>
                <w:noProof/>
                <w:highlight w:val="lightGray"/>
                <w:vertAlign w:val="subscript"/>
              </w:rPr>
              <w:t>x</w:t>
            </w:r>
          </w:p>
        </w:tc>
      </w:tr>
    </w:tbl>
    <w:p w:rsidR="004F4CD1" w:rsidRPr="00E8450A" w:rsidRDefault="004F4CD1" w:rsidP="004F4CD1">
      <w:pPr>
        <w:rPr>
          <w:caps/>
          <w:noProof/>
          <w:highlight w:val="lightGray"/>
          <w:u w:val="single"/>
        </w:rPr>
      </w:pPr>
    </w:p>
    <w:p w:rsidR="004F4CD1" w:rsidRPr="00E8450A" w:rsidRDefault="004F4CD1" w:rsidP="004F4CD1">
      <w:pPr>
        <w:rPr>
          <w:caps/>
          <w:noProof/>
          <w:highlight w:val="lightGray"/>
          <w:u w:val="single"/>
        </w:rPr>
      </w:pPr>
      <w:r w:rsidRPr="00E8450A">
        <w:rPr>
          <w:caps/>
          <w:noProof/>
          <w:highlight w:val="lightGray"/>
          <w:u w:val="single"/>
        </w:rPr>
        <w:t>Oddiel 4 – Výstražné a informačné prahy</w:t>
      </w:r>
    </w:p>
    <w:p w:rsidR="004F4CD1" w:rsidRPr="00E8450A" w:rsidRDefault="004F4CD1" w:rsidP="00A52FD4">
      <w:pPr>
        <w:rPr>
          <w:b/>
          <w:noProof/>
          <w:highlight w:val="lightGray"/>
        </w:rPr>
      </w:pPr>
      <w:r w:rsidRPr="00E8450A">
        <w:rPr>
          <w:b/>
          <w:noProof/>
          <w:highlight w:val="lightGray"/>
        </w:rPr>
        <w:t>A</w:t>
      </w:r>
      <w:r w:rsidR="00A52FD4">
        <w:rPr>
          <w:b/>
          <w:noProof/>
          <w:highlight w:val="lightGray"/>
        </w:rPr>
        <w:t>)</w:t>
      </w:r>
      <w:r w:rsidRPr="00E8450A">
        <w:rPr>
          <w:noProof/>
        </w:rPr>
        <w:tab/>
      </w:r>
      <w:r w:rsidRPr="00E8450A">
        <w:rPr>
          <w:b/>
          <w:noProof/>
          <w:highlight w:val="lightGray"/>
        </w:rPr>
        <w:t>Výstražné prahy pre znečisťujúce látky okrem ozónu</w:t>
      </w:r>
    </w:p>
    <w:p w:rsidR="004F4CD1" w:rsidRPr="00E8450A" w:rsidRDefault="004F4CD1" w:rsidP="004F4CD1">
      <w:pPr>
        <w:ind w:left="426"/>
        <w:rPr>
          <w:noProof/>
          <w:highlight w:val="lightGray"/>
        </w:rPr>
      </w:pPr>
      <w:r w:rsidRPr="00E8450A">
        <w:rPr>
          <w:noProof/>
          <w:highlight w:val="lightGray"/>
        </w:rPr>
        <w:t>Pokiaľ ide o oxid siričitý a oxid dusičitý, merania sa majú vykonávať počas troch po sebe nasledujúcich hodín, a pokiaľ ide o PM</w:t>
      </w:r>
      <w:r w:rsidRPr="00E8450A">
        <w:rPr>
          <w:noProof/>
          <w:highlight w:val="lightGray"/>
          <w:vertAlign w:val="subscript"/>
        </w:rPr>
        <w:t>10</w:t>
      </w:r>
      <w:r w:rsidRPr="00E8450A">
        <w:rPr>
          <w:noProof/>
          <w:highlight w:val="lightGray"/>
        </w:rPr>
        <w:t xml:space="preserve"> a PM</w:t>
      </w:r>
      <w:r w:rsidRPr="00E8450A">
        <w:rPr>
          <w:noProof/>
          <w:highlight w:val="lightGray"/>
          <w:vertAlign w:val="subscript"/>
        </w:rPr>
        <w:t>2,5</w:t>
      </w:r>
      <w:r w:rsidRPr="00E8450A">
        <w:rPr>
          <w:noProof/>
          <w:highlight w:val="lightGray"/>
        </w:rPr>
        <w:t>, merania sa majú vykonávať počas troch po sebe nasledujúcich dní, a to na miestach, ktoré sú reprezentatívnymi miestami pre kvalitu ovzdušia na ploche aspoň 100 km</w:t>
      </w:r>
      <w:r w:rsidRPr="00E8450A">
        <w:rPr>
          <w:noProof/>
          <w:highlight w:val="lightGray"/>
          <w:vertAlign w:val="superscript"/>
        </w:rPr>
        <w:t>2</w:t>
      </w:r>
      <w:r w:rsidRPr="00E8450A">
        <w:rPr>
          <w:noProof/>
          <w:highlight w:val="lightGray"/>
        </w:rPr>
        <w:t xml:space="preserve"> alebo v celej zóne podľa toho, čo je menšie.</w:t>
      </w:r>
    </w:p>
    <w:tbl>
      <w:tblPr>
        <w:tblW w:w="8646" w:type="dxa"/>
        <w:tblInd w:w="534" w:type="dxa"/>
        <w:tblBorders>
          <w:top w:val="single" w:sz="2" w:space="0" w:color="auto"/>
          <w:bottom w:val="single" w:sz="2" w:space="0" w:color="auto"/>
          <w:right w:val="single" w:sz="4" w:space="0" w:color="auto"/>
          <w:insideH w:val="single" w:sz="2" w:space="0" w:color="auto"/>
          <w:insideV w:val="single" w:sz="2" w:space="0" w:color="auto"/>
        </w:tblBorders>
        <w:tblLook w:val="0000" w:firstRow="0" w:lastRow="0" w:firstColumn="0" w:lastColumn="0" w:noHBand="0" w:noVBand="0"/>
      </w:tblPr>
      <w:tblGrid>
        <w:gridCol w:w="5244"/>
        <w:gridCol w:w="3402"/>
      </w:tblGrid>
      <w:tr w:rsidR="004F4CD1" w:rsidRPr="00E8450A" w:rsidTr="00A058F2">
        <w:tc>
          <w:tcPr>
            <w:tcW w:w="5244" w:type="dxa"/>
          </w:tcPr>
          <w:p w:rsidR="004F4CD1" w:rsidRPr="00E8450A" w:rsidRDefault="004F4CD1" w:rsidP="00261815">
            <w:pPr>
              <w:jc w:val="left"/>
              <w:rPr>
                <w:b/>
                <w:bCs/>
                <w:noProof/>
                <w:highlight w:val="lightGray"/>
              </w:rPr>
            </w:pPr>
            <w:r w:rsidRPr="00E8450A">
              <w:rPr>
                <w:b/>
                <w:noProof/>
                <w:highlight w:val="lightGray"/>
              </w:rPr>
              <w:t>Znečisťujúca látka</w:t>
            </w:r>
          </w:p>
        </w:tc>
        <w:tc>
          <w:tcPr>
            <w:tcW w:w="3402" w:type="dxa"/>
            <w:tcBorders>
              <w:right w:val="nil"/>
            </w:tcBorders>
          </w:tcPr>
          <w:p w:rsidR="004F4CD1" w:rsidRPr="00E8450A" w:rsidRDefault="004F4CD1" w:rsidP="00261815">
            <w:pPr>
              <w:jc w:val="left"/>
              <w:rPr>
                <w:b/>
                <w:bCs/>
                <w:noProof/>
                <w:highlight w:val="lightGray"/>
              </w:rPr>
            </w:pPr>
            <w:r w:rsidRPr="00E8450A">
              <w:rPr>
                <w:b/>
                <w:noProof/>
                <w:highlight w:val="lightGray"/>
              </w:rPr>
              <w:t>Výstražný prah</w:t>
            </w:r>
          </w:p>
        </w:tc>
      </w:tr>
      <w:tr w:rsidR="004F4CD1" w:rsidRPr="00E8450A" w:rsidTr="00A058F2">
        <w:tc>
          <w:tcPr>
            <w:tcW w:w="5244" w:type="dxa"/>
          </w:tcPr>
          <w:p w:rsidR="004F4CD1" w:rsidRPr="00E8450A" w:rsidRDefault="004F4CD1" w:rsidP="00261815">
            <w:pPr>
              <w:jc w:val="left"/>
              <w:rPr>
                <w:b/>
                <w:bCs/>
                <w:noProof/>
                <w:highlight w:val="lightGray"/>
              </w:rPr>
            </w:pPr>
            <w:r w:rsidRPr="00E8450A">
              <w:rPr>
                <w:b/>
                <w:noProof/>
                <w:highlight w:val="lightGray"/>
              </w:rPr>
              <w:t>Oxid siričitý (SO</w:t>
            </w:r>
            <w:r w:rsidRPr="00E8450A">
              <w:rPr>
                <w:b/>
                <w:noProof/>
                <w:highlight w:val="lightGray"/>
                <w:vertAlign w:val="subscript"/>
              </w:rPr>
              <w:t>2</w:t>
            </w:r>
            <w:r w:rsidRPr="00E8450A">
              <w:rPr>
                <w:b/>
                <w:noProof/>
                <w:highlight w:val="lightGray"/>
              </w:rPr>
              <w:t>)</w:t>
            </w:r>
          </w:p>
        </w:tc>
        <w:tc>
          <w:tcPr>
            <w:tcW w:w="3402" w:type="dxa"/>
            <w:tcBorders>
              <w:right w:val="nil"/>
            </w:tcBorders>
          </w:tcPr>
          <w:p w:rsidR="004F4CD1" w:rsidRPr="00E8450A" w:rsidRDefault="004F4CD1" w:rsidP="00261815">
            <w:pPr>
              <w:jc w:val="left"/>
              <w:rPr>
                <w:noProof/>
                <w:highlight w:val="lightGray"/>
              </w:rPr>
            </w:pPr>
            <w:r w:rsidRPr="00E8450A">
              <w:rPr>
                <w:noProof/>
                <w:highlight w:val="lightGray"/>
              </w:rPr>
              <w:t>500 μg/m</w:t>
            </w:r>
            <w:r w:rsidRPr="00E8450A">
              <w:rPr>
                <w:noProof/>
                <w:highlight w:val="lightGray"/>
                <w:vertAlign w:val="superscript"/>
              </w:rPr>
              <w:t>3</w:t>
            </w:r>
          </w:p>
        </w:tc>
      </w:tr>
      <w:tr w:rsidR="004F4CD1" w:rsidRPr="00E8450A" w:rsidTr="00A058F2">
        <w:tc>
          <w:tcPr>
            <w:tcW w:w="5244" w:type="dxa"/>
          </w:tcPr>
          <w:p w:rsidR="004F4CD1" w:rsidRPr="00E8450A" w:rsidRDefault="004F4CD1" w:rsidP="00261815">
            <w:pPr>
              <w:jc w:val="left"/>
              <w:rPr>
                <w:b/>
                <w:bCs/>
                <w:noProof/>
                <w:highlight w:val="lightGray"/>
              </w:rPr>
            </w:pPr>
            <w:r w:rsidRPr="00E8450A">
              <w:rPr>
                <w:b/>
                <w:noProof/>
                <w:highlight w:val="lightGray"/>
              </w:rPr>
              <w:t>Oxid dusičitý (NO</w:t>
            </w:r>
            <w:r w:rsidRPr="00E8450A">
              <w:rPr>
                <w:b/>
                <w:noProof/>
                <w:highlight w:val="lightGray"/>
                <w:vertAlign w:val="subscript"/>
              </w:rPr>
              <w:t>2</w:t>
            </w:r>
            <w:r w:rsidRPr="00E8450A">
              <w:rPr>
                <w:b/>
                <w:noProof/>
                <w:highlight w:val="lightGray"/>
              </w:rPr>
              <w:t>)</w:t>
            </w:r>
          </w:p>
        </w:tc>
        <w:tc>
          <w:tcPr>
            <w:tcW w:w="3402" w:type="dxa"/>
            <w:tcBorders>
              <w:right w:val="nil"/>
            </w:tcBorders>
          </w:tcPr>
          <w:p w:rsidR="004F4CD1" w:rsidRPr="00E8450A" w:rsidRDefault="004F4CD1" w:rsidP="00261815">
            <w:pPr>
              <w:jc w:val="left"/>
              <w:rPr>
                <w:noProof/>
                <w:highlight w:val="lightGray"/>
              </w:rPr>
            </w:pPr>
            <w:r w:rsidRPr="00E8450A">
              <w:rPr>
                <w:noProof/>
                <w:highlight w:val="lightGray"/>
              </w:rPr>
              <w:t>400 μg/m</w:t>
            </w:r>
            <w:r w:rsidRPr="00E8450A">
              <w:rPr>
                <w:noProof/>
                <w:highlight w:val="lightGray"/>
                <w:vertAlign w:val="superscript"/>
              </w:rPr>
              <w:t>3</w:t>
            </w:r>
          </w:p>
        </w:tc>
      </w:tr>
      <w:tr w:rsidR="004F4CD1" w:rsidRPr="00E8450A" w:rsidTr="00A058F2">
        <w:tc>
          <w:tcPr>
            <w:tcW w:w="5244" w:type="dxa"/>
            <w:tcBorders>
              <w:left w:val="nil"/>
            </w:tcBorders>
          </w:tcPr>
          <w:p w:rsidR="004F4CD1" w:rsidRPr="00E8450A" w:rsidRDefault="004F4CD1" w:rsidP="00261815">
            <w:pPr>
              <w:jc w:val="left"/>
              <w:rPr>
                <w:b/>
                <w:bCs/>
                <w:noProof/>
                <w:highlight w:val="lightGray"/>
              </w:rPr>
            </w:pPr>
            <w:r w:rsidRPr="00E8450A">
              <w:rPr>
                <w:b/>
                <w:noProof/>
                <w:highlight w:val="lightGray"/>
              </w:rPr>
              <w:t>PM</w:t>
            </w:r>
            <w:r w:rsidRPr="00E8450A">
              <w:rPr>
                <w:b/>
                <w:noProof/>
                <w:highlight w:val="lightGray"/>
                <w:vertAlign w:val="subscript"/>
              </w:rPr>
              <w:t>2,5</w:t>
            </w:r>
          </w:p>
        </w:tc>
        <w:tc>
          <w:tcPr>
            <w:tcW w:w="3402" w:type="dxa"/>
            <w:tcBorders>
              <w:right w:val="nil"/>
            </w:tcBorders>
          </w:tcPr>
          <w:p w:rsidR="004F4CD1" w:rsidRPr="00E8450A" w:rsidRDefault="004F4CD1" w:rsidP="00261815">
            <w:pPr>
              <w:jc w:val="left"/>
              <w:rPr>
                <w:noProof/>
                <w:highlight w:val="lightGray"/>
              </w:rPr>
            </w:pPr>
            <w:r w:rsidRPr="00E8450A">
              <w:rPr>
                <w:noProof/>
                <w:highlight w:val="lightGray"/>
              </w:rPr>
              <w:t>50 μg/m</w:t>
            </w:r>
            <w:r w:rsidRPr="00E8450A">
              <w:rPr>
                <w:noProof/>
                <w:highlight w:val="lightGray"/>
                <w:vertAlign w:val="superscript"/>
              </w:rPr>
              <w:t>3</w:t>
            </w:r>
          </w:p>
        </w:tc>
      </w:tr>
      <w:tr w:rsidR="004F4CD1" w:rsidRPr="00E8450A" w:rsidTr="00A058F2">
        <w:tc>
          <w:tcPr>
            <w:tcW w:w="5244" w:type="dxa"/>
          </w:tcPr>
          <w:p w:rsidR="004F4CD1" w:rsidRPr="00E8450A" w:rsidRDefault="004F4CD1" w:rsidP="00261815">
            <w:pPr>
              <w:jc w:val="left"/>
              <w:rPr>
                <w:b/>
                <w:bCs/>
                <w:noProof/>
                <w:highlight w:val="lightGray"/>
              </w:rPr>
            </w:pPr>
            <w:r w:rsidRPr="00E8450A">
              <w:rPr>
                <w:b/>
                <w:noProof/>
                <w:highlight w:val="lightGray"/>
              </w:rPr>
              <w:t>PM</w:t>
            </w:r>
            <w:r w:rsidRPr="00E8450A">
              <w:rPr>
                <w:b/>
                <w:noProof/>
                <w:highlight w:val="lightGray"/>
                <w:vertAlign w:val="subscript"/>
              </w:rPr>
              <w:t>10</w:t>
            </w:r>
          </w:p>
        </w:tc>
        <w:tc>
          <w:tcPr>
            <w:tcW w:w="3402" w:type="dxa"/>
            <w:tcBorders>
              <w:right w:val="nil"/>
            </w:tcBorders>
          </w:tcPr>
          <w:p w:rsidR="004F4CD1" w:rsidRPr="00E8450A" w:rsidRDefault="004F4CD1" w:rsidP="00261815">
            <w:pPr>
              <w:jc w:val="left"/>
              <w:rPr>
                <w:noProof/>
                <w:highlight w:val="lightGray"/>
              </w:rPr>
            </w:pPr>
            <w:r w:rsidRPr="00E8450A">
              <w:rPr>
                <w:noProof/>
                <w:highlight w:val="lightGray"/>
              </w:rPr>
              <w:t>90 μg/m</w:t>
            </w:r>
            <w:r w:rsidRPr="00E8450A">
              <w:rPr>
                <w:noProof/>
                <w:highlight w:val="lightGray"/>
                <w:vertAlign w:val="superscript"/>
              </w:rPr>
              <w:t>3</w:t>
            </w:r>
          </w:p>
        </w:tc>
      </w:tr>
    </w:tbl>
    <w:p w:rsidR="00C56CC0" w:rsidRPr="00E8450A" w:rsidRDefault="00C56CC0" w:rsidP="004F4CD1">
      <w:pPr>
        <w:rPr>
          <w:rFonts w:eastAsia="Times New Roman"/>
          <w:noProof/>
          <w:color w:val="000000"/>
          <w:highlight w:val="lightGray"/>
        </w:rPr>
      </w:pPr>
    </w:p>
    <w:p w:rsidR="004F4CD1" w:rsidRPr="00E8450A" w:rsidRDefault="004F4CD1" w:rsidP="00A52FD4">
      <w:pPr>
        <w:rPr>
          <w:b/>
          <w:noProof/>
          <w:highlight w:val="lightGray"/>
        </w:rPr>
      </w:pPr>
      <w:r w:rsidRPr="00E8450A">
        <w:rPr>
          <w:b/>
          <w:noProof/>
          <w:highlight w:val="lightGray"/>
        </w:rPr>
        <w:t>B</w:t>
      </w:r>
      <w:r w:rsidR="00A52FD4">
        <w:rPr>
          <w:b/>
          <w:noProof/>
          <w:highlight w:val="lightGray"/>
        </w:rPr>
        <w:t>)</w:t>
      </w:r>
      <w:r w:rsidRPr="00E8450A">
        <w:rPr>
          <w:b/>
          <w:noProof/>
          <w:highlight w:val="lightGray"/>
        </w:rPr>
        <w:t xml:space="preserve"> Informačné a výstražné prahy pre ozón</w:t>
      </w:r>
    </w:p>
    <w:tbl>
      <w:tblPr>
        <w:tblW w:w="8646" w:type="dxa"/>
        <w:tblInd w:w="534" w:type="dxa"/>
        <w:tblLook w:val="0000" w:firstRow="0" w:lastRow="0" w:firstColumn="0" w:lastColumn="0" w:noHBand="0" w:noVBand="0"/>
      </w:tblPr>
      <w:tblGrid>
        <w:gridCol w:w="2882"/>
        <w:gridCol w:w="2882"/>
        <w:gridCol w:w="2882"/>
      </w:tblGrid>
      <w:tr w:rsidR="004F4CD1" w:rsidRPr="00E8450A" w:rsidTr="00A058F2">
        <w:tc>
          <w:tcPr>
            <w:tcW w:w="2882" w:type="dxa"/>
            <w:tcBorders>
              <w:top w:val="single" w:sz="2" w:space="0" w:color="auto"/>
              <w:bottom w:val="single" w:sz="2" w:space="0" w:color="auto"/>
              <w:right w:val="single" w:sz="2" w:space="0" w:color="auto"/>
            </w:tcBorders>
          </w:tcPr>
          <w:p w:rsidR="004F4CD1" w:rsidRPr="00E8450A" w:rsidRDefault="004F4CD1" w:rsidP="00261815">
            <w:pPr>
              <w:jc w:val="left"/>
              <w:rPr>
                <w:b/>
                <w:bCs/>
                <w:noProof/>
                <w:highlight w:val="lightGray"/>
              </w:rPr>
            </w:pPr>
            <w:r w:rsidRPr="00E8450A">
              <w:rPr>
                <w:b/>
                <w:noProof/>
                <w:highlight w:val="lightGray"/>
              </w:rPr>
              <w:t>Účel</w:t>
            </w:r>
          </w:p>
        </w:tc>
        <w:tc>
          <w:tcPr>
            <w:tcW w:w="2882" w:type="dxa"/>
            <w:tcBorders>
              <w:top w:val="single" w:sz="2" w:space="0" w:color="auto"/>
              <w:left w:val="single" w:sz="2" w:space="0" w:color="auto"/>
              <w:bottom w:val="single" w:sz="2" w:space="0" w:color="auto"/>
              <w:right w:val="single" w:sz="2" w:space="0" w:color="auto"/>
            </w:tcBorders>
          </w:tcPr>
          <w:p w:rsidR="004F4CD1" w:rsidRPr="00E8450A" w:rsidRDefault="004F4CD1" w:rsidP="00261815">
            <w:pPr>
              <w:jc w:val="left"/>
              <w:rPr>
                <w:b/>
                <w:bCs/>
                <w:noProof/>
                <w:highlight w:val="lightGray"/>
              </w:rPr>
            </w:pPr>
            <w:r w:rsidRPr="00E8450A">
              <w:rPr>
                <w:b/>
                <w:noProof/>
                <w:highlight w:val="lightGray"/>
              </w:rPr>
              <w:t>Priemerované obdobie</w:t>
            </w:r>
          </w:p>
        </w:tc>
        <w:tc>
          <w:tcPr>
            <w:tcW w:w="2882" w:type="dxa"/>
            <w:tcBorders>
              <w:top w:val="single" w:sz="2" w:space="0" w:color="auto"/>
              <w:left w:val="single" w:sz="2" w:space="0" w:color="auto"/>
              <w:bottom w:val="single" w:sz="2" w:space="0" w:color="auto"/>
            </w:tcBorders>
          </w:tcPr>
          <w:p w:rsidR="004F4CD1" w:rsidRPr="00E8450A" w:rsidRDefault="004F4CD1" w:rsidP="00261815">
            <w:pPr>
              <w:jc w:val="left"/>
              <w:rPr>
                <w:b/>
                <w:bCs/>
                <w:noProof/>
                <w:highlight w:val="lightGray"/>
              </w:rPr>
            </w:pPr>
            <w:r w:rsidRPr="00E8450A">
              <w:rPr>
                <w:b/>
                <w:noProof/>
                <w:highlight w:val="lightGray"/>
              </w:rPr>
              <w:t>Prah</w:t>
            </w:r>
          </w:p>
        </w:tc>
      </w:tr>
      <w:tr w:rsidR="004F4CD1" w:rsidRPr="00E8450A" w:rsidTr="00A058F2">
        <w:tc>
          <w:tcPr>
            <w:tcW w:w="2882" w:type="dxa"/>
            <w:tcBorders>
              <w:top w:val="single" w:sz="2" w:space="0" w:color="auto"/>
              <w:bottom w:val="single" w:sz="2" w:space="0" w:color="auto"/>
              <w:right w:val="single" w:sz="2" w:space="0" w:color="auto"/>
            </w:tcBorders>
          </w:tcPr>
          <w:p w:rsidR="004F4CD1" w:rsidRPr="00E8450A" w:rsidRDefault="004F4CD1" w:rsidP="00261815">
            <w:pPr>
              <w:jc w:val="left"/>
              <w:rPr>
                <w:noProof/>
                <w:highlight w:val="lightGray"/>
              </w:rPr>
            </w:pPr>
            <w:r w:rsidRPr="00E8450A">
              <w:rPr>
                <w:noProof/>
                <w:highlight w:val="lightGray"/>
              </w:rPr>
              <w:t>Informácia</w:t>
            </w:r>
          </w:p>
        </w:tc>
        <w:tc>
          <w:tcPr>
            <w:tcW w:w="2882" w:type="dxa"/>
            <w:tcBorders>
              <w:top w:val="single" w:sz="2" w:space="0" w:color="auto"/>
              <w:left w:val="single" w:sz="2" w:space="0" w:color="auto"/>
              <w:bottom w:val="single" w:sz="2" w:space="0" w:color="auto"/>
              <w:right w:val="single" w:sz="2" w:space="0" w:color="auto"/>
            </w:tcBorders>
          </w:tcPr>
          <w:p w:rsidR="004F4CD1" w:rsidRPr="00E8450A" w:rsidRDefault="004F4CD1" w:rsidP="00261815">
            <w:pPr>
              <w:jc w:val="left"/>
              <w:rPr>
                <w:noProof/>
                <w:highlight w:val="lightGray"/>
              </w:rPr>
            </w:pPr>
            <w:r w:rsidRPr="00E8450A">
              <w:rPr>
                <w:noProof/>
                <w:highlight w:val="lightGray"/>
              </w:rPr>
              <w:t>1 hodina</w:t>
            </w:r>
          </w:p>
        </w:tc>
        <w:tc>
          <w:tcPr>
            <w:tcW w:w="2882" w:type="dxa"/>
            <w:tcBorders>
              <w:top w:val="single" w:sz="2" w:space="0" w:color="auto"/>
              <w:left w:val="single" w:sz="2" w:space="0" w:color="auto"/>
              <w:bottom w:val="single" w:sz="2" w:space="0" w:color="auto"/>
            </w:tcBorders>
          </w:tcPr>
          <w:p w:rsidR="004F4CD1" w:rsidRPr="00E8450A" w:rsidRDefault="004F4CD1" w:rsidP="00261815">
            <w:pPr>
              <w:jc w:val="left"/>
              <w:rPr>
                <w:noProof/>
                <w:highlight w:val="lightGray"/>
              </w:rPr>
            </w:pPr>
            <w:r w:rsidRPr="00E8450A">
              <w:rPr>
                <w:noProof/>
                <w:highlight w:val="lightGray"/>
              </w:rPr>
              <w:t>180 μg/m</w:t>
            </w:r>
            <w:r w:rsidRPr="00E8450A">
              <w:rPr>
                <w:noProof/>
                <w:highlight w:val="lightGray"/>
                <w:vertAlign w:val="superscript"/>
              </w:rPr>
              <w:t>3</w:t>
            </w:r>
          </w:p>
        </w:tc>
      </w:tr>
      <w:tr w:rsidR="004F4CD1" w:rsidRPr="00E8450A" w:rsidTr="00A058F2">
        <w:tc>
          <w:tcPr>
            <w:tcW w:w="2882" w:type="dxa"/>
            <w:tcBorders>
              <w:top w:val="single" w:sz="2" w:space="0" w:color="auto"/>
              <w:bottom w:val="single" w:sz="2" w:space="0" w:color="auto"/>
              <w:right w:val="single" w:sz="2" w:space="0" w:color="auto"/>
            </w:tcBorders>
          </w:tcPr>
          <w:p w:rsidR="004F4CD1" w:rsidRPr="00E8450A" w:rsidRDefault="004F4CD1" w:rsidP="00261815">
            <w:pPr>
              <w:jc w:val="left"/>
              <w:rPr>
                <w:noProof/>
                <w:highlight w:val="lightGray"/>
              </w:rPr>
            </w:pPr>
            <w:r w:rsidRPr="00E8450A">
              <w:rPr>
                <w:noProof/>
                <w:highlight w:val="lightGray"/>
              </w:rPr>
              <w:t>Výstraha</w:t>
            </w:r>
          </w:p>
        </w:tc>
        <w:tc>
          <w:tcPr>
            <w:tcW w:w="2882" w:type="dxa"/>
            <w:tcBorders>
              <w:top w:val="single" w:sz="2" w:space="0" w:color="auto"/>
              <w:left w:val="single" w:sz="2" w:space="0" w:color="auto"/>
              <w:bottom w:val="single" w:sz="2" w:space="0" w:color="auto"/>
              <w:right w:val="single" w:sz="2" w:space="0" w:color="auto"/>
            </w:tcBorders>
          </w:tcPr>
          <w:p w:rsidR="004F4CD1" w:rsidRPr="00E8450A" w:rsidRDefault="004F4CD1" w:rsidP="00261815">
            <w:pPr>
              <w:jc w:val="left"/>
              <w:rPr>
                <w:noProof/>
                <w:highlight w:val="lightGray"/>
              </w:rPr>
            </w:pPr>
            <w:r w:rsidRPr="00E8450A">
              <w:rPr>
                <w:noProof/>
                <w:highlight w:val="lightGray"/>
              </w:rPr>
              <w:t xml:space="preserve">1 hodina </w:t>
            </w:r>
            <w:r w:rsidRPr="00E8450A">
              <w:rPr>
                <w:noProof/>
                <w:highlight w:val="lightGray"/>
                <w:vertAlign w:val="superscript"/>
              </w:rPr>
              <w:t>(1)</w:t>
            </w:r>
          </w:p>
        </w:tc>
        <w:tc>
          <w:tcPr>
            <w:tcW w:w="2882" w:type="dxa"/>
            <w:tcBorders>
              <w:top w:val="single" w:sz="2" w:space="0" w:color="auto"/>
              <w:left w:val="single" w:sz="2" w:space="0" w:color="auto"/>
              <w:bottom w:val="single" w:sz="2" w:space="0" w:color="auto"/>
            </w:tcBorders>
          </w:tcPr>
          <w:p w:rsidR="004F4CD1" w:rsidRPr="00E8450A" w:rsidRDefault="004F4CD1" w:rsidP="00261815">
            <w:pPr>
              <w:jc w:val="left"/>
              <w:rPr>
                <w:noProof/>
                <w:highlight w:val="lightGray"/>
              </w:rPr>
            </w:pPr>
            <w:r w:rsidRPr="00E8450A">
              <w:rPr>
                <w:noProof/>
                <w:highlight w:val="lightGray"/>
              </w:rPr>
              <w:t>240 μg/m</w:t>
            </w:r>
            <w:r w:rsidRPr="00E8450A">
              <w:rPr>
                <w:noProof/>
                <w:highlight w:val="lightGray"/>
                <w:vertAlign w:val="superscript"/>
              </w:rPr>
              <w:t>3</w:t>
            </w:r>
          </w:p>
        </w:tc>
      </w:tr>
      <w:tr w:rsidR="004F4CD1" w:rsidRPr="00E8450A" w:rsidTr="00A058F2">
        <w:tc>
          <w:tcPr>
            <w:tcW w:w="8646" w:type="dxa"/>
            <w:gridSpan w:val="3"/>
            <w:tcBorders>
              <w:top w:val="single" w:sz="2" w:space="0" w:color="auto"/>
              <w:bottom w:val="single" w:sz="2" w:space="0" w:color="auto"/>
            </w:tcBorders>
          </w:tcPr>
          <w:p w:rsidR="004F4CD1" w:rsidRPr="00E8450A" w:rsidRDefault="004F4CD1" w:rsidP="00027D24">
            <w:pPr>
              <w:pStyle w:val="ListParagraph"/>
              <w:numPr>
                <w:ilvl w:val="0"/>
                <w:numId w:val="17"/>
              </w:numPr>
              <w:jc w:val="left"/>
              <w:rPr>
                <w:noProof/>
                <w:sz w:val="20"/>
                <w:szCs w:val="20"/>
                <w:highlight w:val="lightGray"/>
              </w:rPr>
            </w:pPr>
            <w:r w:rsidRPr="00E8450A">
              <w:rPr>
                <w:noProof/>
                <w:sz w:val="20"/>
                <w:highlight w:val="lightGray"/>
              </w:rPr>
              <w:t>Na účely vykonávania článku 20 sa má prekročenie prahu merať alebo predpovedať tri po sebe nasledujúce hodiny.</w:t>
            </w:r>
          </w:p>
        </w:tc>
      </w:tr>
    </w:tbl>
    <w:p w:rsidR="004F4CD1" w:rsidRPr="00E8450A" w:rsidRDefault="004F4CD1" w:rsidP="004F4CD1">
      <w:pPr>
        <w:rPr>
          <w:noProof/>
          <w:highlight w:val="lightGray"/>
        </w:rPr>
      </w:pPr>
    </w:p>
    <w:p w:rsidR="0065374F" w:rsidRPr="00E8450A" w:rsidRDefault="0065374F">
      <w:pPr>
        <w:spacing w:before="0" w:after="200" w:line="276" w:lineRule="auto"/>
        <w:jc w:val="left"/>
        <w:rPr>
          <w:caps/>
          <w:noProof/>
          <w:highlight w:val="lightGray"/>
          <w:u w:val="single"/>
        </w:rPr>
      </w:pPr>
      <w:r w:rsidRPr="00E8450A">
        <w:rPr>
          <w:noProof/>
        </w:rPr>
        <w:lastRenderedPageBreak/>
        <w:br w:type="page"/>
      </w:r>
    </w:p>
    <w:p w:rsidR="004F4CD1" w:rsidRPr="00E8450A" w:rsidRDefault="004F4CD1" w:rsidP="004F4CD1">
      <w:pPr>
        <w:spacing w:after="240"/>
        <w:rPr>
          <w:caps/>
          <w:noProof/>
          <w:highlight w:val="lightGray"/>
          <w:u w:val="single"/>
          <w:vertAlign w:val="subscript"/>
        </w:rPr>
      </w:pPr>
      <w:r w:rsidRPr="00E8450A">
        <w:rPr>
          <w:caps/>
          <w:noProof/>
          <w:highlight w:val="lightGray"/>
          <w:u w:val="single"/>
        </w:rPr>
        <w:lastRenderedPageBreak/>
        <w:t>Oddiel 5 – Hodnoty povinného zníženia priemernej expozície časticiam PM</w:t>
      </w:r>
      <w:r w:rsidRPr="00E8450A">
        <w:rPr>
          <w:caps/>
          <w:noProof/>
          <w:highlight w:val="lightGray"/>
          <w:u w:val="single"/>
          <w:vertAlign w:val="subscript"/>
        </w:rPr>
        <w:t>2,5</w:t>
      </w:r>
      <w:r w:rsidRPr="00E8450A">
        <w:rPr>
          <w:caps/>
          <w:noProof/>
          <w:highlight w:val="lightGray"/>
          <w:u w:val="single"/>
        </w:rPr>
        <w:t xml:space="preserve"> a NO</w:t>
      </w:r>
      <w:r w:rsidRPr="00E8450A">
        <w:rPr>
          <w:caps/>
          <w:noProof/>
          <w:highlight w:val="lightGray"/>
          <w:u w:val="single"/>
          <w:vertAlign w:val="subscript"/>
        </w:rPr>
        <w:t>2</w:t>
      </w:r>
    </w:p>
    <w:p w:rsidR="004F4CD1" w:rsidRPr="00E8450A" w:rsidRDefault="004F4CD1" w:rsidP="00A52FD4">
      <w:pPr>
        <w:rPr>
          <w:b/>
          <w:smallCaps/>
          <w:noProof/>
          <w:highlight w:val="lightGray"/>
        </w:rPr>
      </w:pPr>
      <w:r w:rsidRPr="00E8450A">
        <w:rPr>
          <w:b/>
          <w:noProof/>
          <w:highlight w:val="lightGray"/>
        </w:rPr>
        <w:t>A</w:t>
      </w:r>
      <w:r w:rsidR="00A52FD4">
        <w:rPr>
          <w:b/>
          <w:noProof/>
          <w:highlight w:val="lightGray"/>
        </w:rPr>
        <w:t>)</w:t>
      </w:r>
      <w:r w:rsidRPr="00E8450A">
        <w:rPr>
          <w:noProof/>
        </w:rPr>
        <w:tab/>
      </w:r>
      <w:r w:rsidRPr="00E8450A">
        <w:rPr>
          <w:b/>
          <w:noProof/>
          <w:highlight w:val="lightGray"/>
        </w:rPr>
        <w:t>Indikátor priemernej expozície</w:t>
      </w:r>
    </w:p>
    <w:p w:rsidR="004F4CD1" w:rsidRPr="00E8450A" w:rsidRDefault="004F4CD1" w:rsidP="004F4CD1">
      <w:pPr>
        <w:keepNext/>
        <w:keepLines/>
        <w:ind w:left="426"/>
        <w:rPr>
          <w:noProof/>
          <w:highlight w:val="lightGray"/>
        </w:rPr>
      </w:pPr>
      <w:r w:rsidRPr="00E8450A">
        <w:rPr>
          <w:noProof/>
          <w:highlight w:val="lightGray"/>
        </w:rPr>
        <w:t>Indikátor priemernej expozície (IPE) vyjadrený v μg/m</w:t>
      </w:r>
      <w:r w:rsidRPr="00E8450A">
        <w:rPr>
          <w:noProof/>
          <w:highlight w:val="lightGray"/>
          <w:vertAlign w:val="superscript"/>
        </w:rPr>
        <w:t>3</w:t>
      </w:r>
      <w:r w:rsidRPr="00E8450A">
        <w:rPr>
          <w:noProof/>
          <w:highlight w:val="lightGray"/>
        </w:rPr>
        <w:t xml:space="preserve"> sa zakladá na meraniach na mestských pozaďových miestach v územných jednotkách na úrovni NUTS 1 na celom území členského štátu. Vypočítava sa ako kĺzavá stredná hodnota koncentrácie príslušnej znečisťujúcej látky za tri kalendárne roky spriemerovaná za všetky vzorkovacie miesta stanovené podľa časti B prílohy III v každej územnej jednotke NUTS 1. IPE pre konkrétny rok je strednou hodnotou koncentrácie z toho istého roku a z predchádzajúcich dvoch rokov.</w:t>
      </w:r>
    </w:p>
    <w:p w:rsidR="004F4CD1" w:rsidRPr="00E8450A" w:rsidRDefault="00A8121A" w:rsidP="004F4CD1">
      <w:pPr>
        <w:ind w:left="426"/>
        <w:rPr>
          <w:noProof/>
          <w:highlight w:val="lightGray"/>
        </w:rPr>
      </w:pPr>
      <w:r w:rsidRPr="00E8450A">
        <w:rPr>
          <w:noProof/>
          <w:highlight w:val="lightGray"/>
        </w:rPr>
        <w:t>Ak členské štáty zistia prekročenia hodnôt, ktoré možno pripísať prírodným zdrojom, pred výpočtom IPE tieto príspevky z prírodných zdrojov odpočítajú.</w:t>
      </w:r>
    </w:p>
    <w:p w:rsidR="004F4CD1" w:rsidRPr="00E8450A" w:rsidRDefault="004F4CD1" w:rsidP="004F4CD1">
      <w:pPr>
        <w:ind w:left="426"/>
        <w:rPr>
          <w:noProof/>
          <w:highlight w:val="lightGray"/>
        </w:rPr>
      </w:pPr>
      <w:r w:rsidRPr="00E8450A">
        <w:rPr>
          <w:noProof/>
          <w:highlight w:val="lightGray"/>
        </w:rPr>
        <w:t>IPE sa využíva na preskúmanie toho, či boli hodnoty povinného zníženia priemernej expozície splnené.</w:t>
      </w:r>
    </w:p>
    <w:p w:rsidR="004F4CD1" w:rsidRPr="00E8450A" w:rsidRDefault="004F4CD1" w:rsidP="004F4CD1">
      <w:pPr>
        <w:rPr>
          <w:noProof/>
          <w:highlight w:val="lightGray"/>
        </w:rPr>
      </w:pPr>
    </w:p>
    <w:p w:rsidR="004F4CD1" w:rsidRPr="00E8450A" w:rsidRDefault="004F4CD1" w:rsidP="00A52FD4">
      <w:pPr>
        <w:rPr>
          <w:b/>
          <w:smallCaps/>
          <w:noProof/>
          <w:highlight w:val="lightGray"/>
        </w:rPr>
      </w:pPr>
      <w:r w:rsidRPr="00E8450A">
        <w:rPr>
          <w:b/>
          <w:noProof/>
          <w:highlight w:val="lightGray"/>
        </w:rPr>
        <w:t>B</w:t>
      </w:r>
      <w:r w:rsidR="00A52FD4">
        <w:rPr>
          <w:b/>
          <w:noProof/>
          <w:highlight w:val="lightGray"/>
        </w:rPr>
        <w:t>)</w:t>
      </w:r>
      <w:r w:rsidRPr="00E8450A">
        <w:rPr>
          <w:noProof/>
        </w:rPr>
        <w:tab/>
      </w:r>
      <w:r w:rsidRPr="00E8450A">
        <w:rPr>
          <w:b/>
          <w:noProof/>
          <w:highlight w:val="lightGray"/>
        </w:rPr>
        <w:t xml:space="preserve">Hodnoty povinného zníženia priemernej expozície </w:t>
      </w:r>
    </w:p>
    <w:p w:rsidR="004F4CD1" w:rsidRPr="00E8450A" w:rsidRDefault="004F4CD1" w:rsidP="004F4CD1">
      <w:pPr>
        <w:ind w:left="426"/>
        <w:rPr>
          <w:noProof/>
          <w:highlight w:val="lightGray"/>
        </w:rPr>
      </w:pPr>
      <w:r w:rsidRPr="00E8450A">
        <w:rPr>
          <w:noProof/>
          <w:highlight w:val="lightGray"/>
        </w:rPr>
        <w:t>Od roku 2030 nesmie IPE prekročiť úroveň, ktorá je:</w:t>
      </w:r>
    </w:p>
    <w:p w:rsidR="004F4CD1" w:rsidRPr="00E8450A" w:rsidRDefault="004F4CD1" w:rsidP="00A44799">
      <w:pPr>
        <w:pStyle w:val="ListDash1"/>
        <w:rPr>
          <w:noProof/>
          <w:highlight w:val="lightGray"/>
        </w:rPr>
      </w:pPr>
      <w:r w:rsidRPr="00E8450A">
        <w:rPr>
          <w:noProof/>
          <w:highlight w:val="lightGray"/>
        </w:rPr>
        <w:t>v prípade PM</w:t>
      </w:r>
      <w:r w:rsidRPr="00E8450A">
        <w:rPr>
          <w:noProof/>
          <w:highlight w:val="lightGray"/>
          <w:vertAlign w:val="subscript"/>
        </w:rPr>
        <w:t>2,5</w:t>
      </w:r>
      <w:r w:rsidRPr="00E8450A">
        <w:rPr>
          <w:noProof/>
          <w:highlight w:val="lightGray"/>
        </w:rPr>
        <w:t xml:space="preserve"> o 25 % nižšia ako bola úroveň IPE pred desiatimi rokmi, pokiaľ už nie je na úrovni cieľa priemernej koncentrácie expozície pre PM</w:t>
      </w:r>
      <w:r w:rsidRPr="00E8450A">
        <w:rPr>
          <w:noProof/>
          <w:highlight w:val="lightGray"/>
          <w:vertAlign w:val="subscript"/>
        </w:rPr>
        <w:t>2,5</w:t>
      </w:r>
      <w:r w:rsidRPr="00E8450A">
        <w:rPr>
          <w:noProof/>
          <w:highlight w:val="lightGray"/>
        </w:rPr>
        <w:t xml:space="preserve"> vymedzeného v časti C alebo pod touto úrovňou,</w:t>
      </w:r>
    </w:p>
    <w:p w:rsidR="004F4CD1" w:rsidRPr="00E8450A" w:rsidRDefault="004F4CD1" w:rsidP="00A44799">
      <w:pPr>
        <w:pStyle w:val="ListDash1"/>
        <w:rPr>
          <w:noProof/>
          <w:highlight w:val="lightGray"/>
        </w:rPr>
      </w:pPr>
      <w:r w:rsidRPr="00E8450A">
        <w:rPr>
          <w:noProof/>
          <w:highlight w:val="lightGray"/>
        </w:rPr>
        <w:t>v prípade NO</w:t>
      </w:r>
      <w:r w:rsidRPr="00E8450A">
        <w:rPr>
          <w:noProof/>
          <w:highlight w:val="lightGray"/>
          <w:vertAlign w:val="subscript"/>
        </w:rPr>
        <w:t>2</w:t>
      </w:r>
      <w:r w:rsidRPr="00E8450A">
        <w:rPr>
          <w:noProof/>
          <w:highlight w:val="lightGray"/>
        </w:rPr>
        <w:t xml:space="preserve"> o 25 % nižšia ako bola úroveň IPE pred desiatimi rokmi, pokiaľ už nie je na úrovni cieľa priemernej koncentrácie expozície pre NO</w:t>
      </w:r>
      <w:r w:rsidRPr="00E8450A">
        <w:rPr>
          <w:noProof/>
          <w:highlight w:val="lightGray"/>
          <w:vertAlign w:val="subscript"/>
        </w:rPr>
        <w:t>2</w:t>
      </w:r>
      <w:r w:rsidRPr="00E8450A">
        <w:rPr>
          <w:noProof/>
          <w:highlight w:val="lightGray"/>
        </w:rPr>
        <w:t xml:space="preserve"> vymedzeného v časti C alebo pod touto úrovňou.</w:t>
      </w:r>
    </w:p>
    <w:p w:rsidR="004F4CD1" w:rsidRPr="00E8450A" w:rsidRDefault="004F4CD1" w:rsidP="00A44799">
      <w:pPr>
        <w:pStyle w:val="ListParagraph"/>
        <w:autoSpaceDE w:val="0"/>
        <w:autoSpaceDN w:val="0"/>
        <w:ind w:left="360"/>
        <w:contextualSpacing w:val="0"/>
        <w:rPr>
          <w:noProof/>
          <w:szCs w:val="24"/>
          <w:highlight w:val="lightGray"/>
        </w:rPr>
      </w:pPr>
    </w:p>
    <w:p w:rsidR="004F4CD1" w:rsidRPr="00E8450A" w:rsidRDefault="004F4CD1" w:rsidP="00A52FD4">
      <w:pPr>
        <w:rPr>
          <w:b/>
          <w:smallCaps/>
          <w:noProof/>
          <w:highlight w:val="lightGray"/>
        </w:rPr>
      </w:pPr>
      <w:r w:rsidRPr="00E8450A">
        <w:rPr>
          <w:b/>
          <w:noProof/>
          <w:highlight w:val="lightGray"/>
        </w:rPr>
        <w:t>C</w:t>
      </w:r>
      <w:r w:rsidR="00A52FD4">
        <w:rPr>
          <w:b/>
          <w:noProof/>
          <w:highlight w:val="lightGray"/>
        </w:rPr>
        <w:t>)</w:t>
      </w:r>
      <w:r w:rsidRPr="00E8450A">
        <w:rPr>
          <w:noProof/>
        </w:rPr>
        <w:tab/>
      </w:r>
      <w:r w:rsidRPr="00E8450A">
        <w:rPr>
          <w:b/>
          <w:noProof/>
          <w:highlight w:val="lightGray"/>
        </w:rPr>
        <w:t>Ciele priemernej koncentrácie expozície</w:t>
      </w:r>
    </w:p>
    <w:p w:rsidR="004F4CD1" w:rsidRPr="00E8450A" w:rsidRDefault="004F4CD1" w:rsidP="004F4CD1">
      <w:pPr>
        <w:ind w:left="426"/>
        <w:rPr>
          <w:noProof/>
          <w:highlight w:val="lightGray"/>
        </w:rPr>
      </w:pPr>
      <w:r w:rsidRPr="00E8450A">
        <w:rPr>
          <w:noProof/>
          <w:highlight w:val="lightGray"/>
        </w:rPr>
        <w:t>Cieľom priemernej koncentrácie expozície je táto úroveň IPE.</w:t>
      </w:r>
    </w:p>
    <w:tbl>
      <w:tblPr>
        <w:tblW w:w="8646" w:type="dxa"/>
        <w:tblInd w:w="534"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2878"/>
        <w:gridCol w:w="5768"/>
      </w:tblGrid>
      <w:tr w:rsidR="004F4CD1" w:rsidRPr="00E8450A" w:rsidTr="00261815">
        <w:tc>
          <w:tcPr>
            <w:tcW w:w="2878" w:type="dxa"/>
          </w:tcPr>
          <w:p w:rsidR="004F4CD1" w:rsidRPr="00E8450A" w:rsidRDefault="004F4CD1" w:rsidP="004F4CD1">
            <w:pPr>
              <w:rPr>
                <w:b/>
                <w:bCs/>
                <w:noProof/>
                <w:highlight w:val="lightGray"/>
              </w:rPr>
            </w:pPr>
            <w:r w:rsidRPr="00E8450A">
              <w:rPr>
                <w:b/>
                <w:noProof/>
                <w:highlight w:val="lightGray"/>
              </w:rPr>
              <w:t>Znečisťujúca látka</w:t>
            </w:r>
          </w:p>
        </w:tc>
        <w:tc>
          <w:tcPr>
            <w:tcW w:w="5768" w:type="dxa"/>
          </w:tcPr>
          <w:p w:rsidR="004F4CD1" w:rsidRPr="00E8450A" w:rsidRDefault="004F4CD1" w:rsidP="004F4CD1">
            <w:pPr>
              <w:rPr>
                <w:b/>
                <w:bCs/>
                <w:noProof/>
                <w:highlight w:val="lightGray"/>
              </w:rPr>
            </w:pPr>
            <w:r w:rsidRPr="00E8450A">
              <w:rPr>
                <w:b/>
                <w:noProof/>
                <w:highlight w:val="lightGray"/>
              </w:rPr>
              <w:t>Cieľ priemernej koncentrácie expozície</w:t>
            </w:r>
          </w:p>
        </w:tc>
      </w:tr>
      <w:tr w:rsidR="004F4CD1" w:rsidRPr="00E8450A" w:rsidTr="00261815">
        <w:tc>
          <w:tcPr>
            <w:tcW w:w="2878" w:type="dxa"/>
          </w:tcPr>
          <w:p w:rsidR="004F4CD1" w:rsidRPr="00E8450A" w:rsidRDefault="004F4CD1" w:rsidP="004F4CD1">
            <w:pPr>
              <w:rPr>
                <w:b/>
                <w:bCs/>
                <w:noProof/>
                <w:highlight w:val="lightGray"/>
              </w:rPr>
            </w:pPr>
            <w:r w:rsidRPr="00E8450A">
              <w:rPr>
                <w:b/>
                <w:noProof/>
                <w:highlight w:val="lightGray"/>
              </w:rPr>
              <w:t>PM</w:t>
            </w:r>
            <w:r w:rsidRPr="00E8450A">
              <w:rPr>
                <w:b/>
                <w:noProof/>
                <w:highlight w:val="lightGray"/>
                <w:vertAlign w:val="subscript"/>
              </w:rPr>
              <w:t>2,5</w:t>
            </w:r>
          </w:p>
        </w:tc>
        <w:tc>
          <w:tcPr>
            <w:tcW w:w="5768" w:type="dxa"/>
          </w:tcPr>
          <w:p w:rsidR="004F4CD1" w:rsidRPr="00E8450A" w:rsidRDefault="004F4CD1" w:rsidP="004F4CD1">
            <w:pPr>
              <w:rPr>
                <w:noProof/>
                <w:highlight w:val="lightGray"/>
              </w:rPr>
            </w:pPr>
            <w:r w:rsidRPr="00E8450A">
              <w:rPr>
                <w:noProof/>
                <w:highlight w:val="lightGray"/>
              </w:rPr>
              <w:t>IPE = 5 µg/m</w:t>
            </w:r>
            <w:r w:rsidRPr="00E8450A">
              <w:rPr>
                <w:noProof/>
                <w:highlight w:val="lightGray"/>
                <w:vertAlign w:val="superscript"/>
              </w:rPr>
              <w:t>3</w:t>
            </w:r>
          </w:p>
        </w:tc>
      </w:tr>
      <w:tr w:rsidR="004F4CD1" w:rsidRPr="00E8450A" w:rsidTr="00261815">
        <w:tc>
          <w:tcPr>
            <w:tcW w:w="2878" w:type="dxa"/>
          </w:tcPr>
          <w:p w:rsidR="004F4CD1" w:rsidRPr="00E8450A" w:rsidRDefault="004F4CD1" w:rsidP="004F4CD1">
            <w:pPr>
              <w:rPr>
                <w:b/>
                <w:bCs/>
                <w:noProof/>
                <w:highlight w:val="lightGray"/>
              </w:rPr>
            </w:pPr>
            <w:r w:rsidRPr="00E8450A">
              <w:rPr>
                <w:b/>
                <w:noProof/>
                <w:highlight w:val="lightGray"/>
              </w:rPr>
              <w:t>NO</w:t>
            </w:r>
            <w:r w:rsidRPr="00E8450A">
              <w:rPr>
                <w:b/>
                <w:noProof/>
                <w:highlight w:val="lightGray"/>
                <w:vertAlign w:val="subscript"/>
              </w:rPr>
              <w:t>2</w:t>
            </w:r>
          </w:p>
        </w:tc>
        <w:tc>
          <w:tcPr>
            <w:tcW w:w="5768" w:type="dxa"/>
          </w:tcPr>
          <w:p w:rsidR="004F4CD1" w:rsidRPr="00E8450A" w:rsidRDefault="004F4CD1" w:rsidP="004F4CD1">
            <w:pPr>
              <w:rPr>
                <w:noProof/>
                <w:highlight w:val="lightGray"/>
              </w:rPr>
            </w:pPr>
            <w:r w:rsidRPr="00E8450A">
              <w:rPr>
                <w:noProof/>
                <w:highlight w:val="lightGray"/>
              </w:rPr>
              <w:t>IPE = 10 µg/m</w:t>
            </w:r>
            <w:r w:rsidRPr="00E8450A">
              <w:rPr>
                <w:noProof/>
                <w:highlight w:val="lightGray"/>
                <w:vertAlign w:val="superscript"/>
              </w:rPr>
              <w:t>3</w:t>
            </w:r>
          </w:p>
        </w:tc>
      </w:tr>
    </w:tbl>
    <w:p w:rsidR="004F4CD1" w:rsidRPr="00E8450A" w:rsidRDefault="004F4CD1" w:rsidP="004F4CD1">
      <w:pPr>
        <w:adjustRightInd w:val="0"/>
        <w:rPr>
          <w:noProof/>
          <w:highlight w:val="lightGray"/>
        </w:rPr>
        <w:sectPr w:rsidR="004F4CD1" w:rsidRPr="00E8450A" w:rsidSect="000A000C">
          <w:pgSz w:w="11906" w:h="16838"/>
          <w:pgMar w:top="1134" w:right="1418" w:bottom="1134" w:left="1418" w:header="709" w:footer="709" w:gutter="0"/>
          <w:cols w:space="709"/>
          <w:docGrid w:linePitch="326"/>
        </w:sectPr>
      </w:pPr>
    </w:p>
    <w:p w:rsidR="004F4CD1" w:rsidRPr="00E8450A" w:rsidRDefault="004F4CD1" w:rsidP="00BC180F">
      <w:pPr>
        <w:pStyle w:val="Annexetitre"/>
        <w:rPr>
          <w:noProof/>
          <w:highlight w:val="lightGray"/>
        </w:rPr>
      </w:pPr>
      <w:r w:rsidRPr="00E8450A">
        <w:rPr>
          <w:noProof/>
          <w:highlight w:val="lightGray"/>
        </w:rPr>
        <w:lastRenderedPageBreak/>
        <w:t>PRÍLOHA II</w:t>
      </w:r>
    </w:p>
    <w:p w:rsidR="004F4CD1" w:rsidRPr="00E8450A" w:rsidRDefault="004F4CD1" w:rsidP="004F4CD1">
      <w:pPr>
        <w:jc w:val="center"/>
        <w:rPr>
          <w:b/>
          <w:caps/>
          <w:noProof/>
          <w:highlight w:val="lightGray"/>
        </w:rPr>
      </w:pPr>
      <w:r w:rsidRPr="00E8450A">
        <w:rPr>
          <w:b/>
          <w:caps/>
          <w:noProof/>
          <w:highlight w:val="lightGray"/>
        </w:rPr>
        <w:t>Prahy na hodnotenie</w:t>
      </w:r>
    </w:p>
    <w:p w:rsidR="00BA3DB8" w:rsidRPr="00E8450A" w:rsidRDefault="00BA3DB8" w:rsidP="004F4CD1">
      <w:pPr>
        <w:jc w:val="center"/>
        <w:rPr>
          <w:b/>
          <w:i/>
          <w:caps/>
          <w:noProof/>
          <w:highlight w:val="lightGray"/>
        </w:rPr>
      </w:pPr>
    </w:p>
    <w:p w:rsidR="004F4CD1" w:rsidRPr="00E8450A" w:rsidRDefault="004F4CD1" w:rsidP="004F4CD1">
      <w:pPr>
        <w:rPr>
          <w:caps/>
          <w:noProof/>
          <w:highlight w:val="lightGray"/>
          <w:u w:val="single"/>
        </w:rPr>
      </w:pPr>
      <w:r w:rsidRPr="00E8450A">
        <w:rPr>
          <w:caps/>
          <w:noProof/>
          <w:highlight w:val="lightGray"/>
          <w:u w:val="single"/>
        </w:rPr>
        <w:t>Oddiel 1 – Prahy na hodnotenie na účely ochrany zdravia</w:t>
      </w:r>
    </w:p>
    <w:tbl>
      <w:tblPr>
        <w:tblW w:w="9322"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2943"/>
        <w:gridCol w:w="6379"/>
      </w:tblGrid>
      <w:tr w:rsidR="004F4CD1" w:rsidRPr="00E8450A" w:rsidTr="00A67F2E">
        <w:trPr>
          <w:trHeight w:val="436"/>
        </w:trPr>
        <w:tc>
          <w:tcPr>
            <w:tcW w:w="2943" w:type="dxa"/>
          </w:tcPr>
          <w:p w:rsidR="004F4CD1" w:rsidRPr="00E8450A" w:rsidRDefault="004F4CD1" w:rsidP="004F4CD1">
            <w:pPr>
              <w:keepNext/>
              <w:outlineLvl w:val="0"/>
              <w:rPr>
                <w:b/>
                <w:bCs/>
                <w:smallCaps/>
                <w:noProof/>
                <w:highlight w:val="lightGray"/>
              </w:rPr>
            </w:pPr>
            <w:r w:rsidRPr="00E8450A">
              <w:rPr>
                <w:b/>
                <w:noProof/>
                <w:highlight w:val="lightGray"/>
              </w:rPr>
              <w:t>Znečisťujúca látka</w:t>
            </w:r>
          </w:p>
        </w:tc>
        <w:tc>
          <w:tcPr>
            <w:tcW w:w="6379" w:type="dxa"/>
          </w:tcPr>
          <w:p w:rsidR="004F4CD1" w:rsidRPr="00E8450A" w:rsidRDefault="004F4CD1" w:rsidP="004F4CD1">
            <w:pPr>
              <w:keepNext/>
              <w:outlineLvl w:val="0"/>
              <w:rPr>
                <w:b/>
                <w:bCs/>
                <w:smallCaps/>
                <w:noProof/>
                <w:highlight w:val="lightGray"/>
              </w:rPr>
            </w:pPr>
            <w:r w:rsidRPr="00E8450A">
              <w:rPr>
                <w:b/>
                <w:noProof/>
                <w:highlight w:val="lightGray"/>
              </w:rPr>
              <w:t>Prah na hodnotenie (ročná stredná hodnota, pokiaľ nie je špecifikované inak)</w:t>
            </w:r>
          </w:p>
        </w:tc>
      </w:tr>
      <w:tr w:rsidR="00A67F2E" w:rsidRPr="00E8450A" w:rsidTr="00A67F2E">
        <w:tc>
          <w:tcPr>
            <w:tcW w:w="2943" w:type="dxa"/>
          </w:tcPr>
          <w:p w:rsidR="00A67F2E" w:rsidRPr="00E8450A" w:rsidRDefault="00A67F2E" w:rsidP="00A67F2E">
            <w:pPr>
              <w:keepNext/>
              <w:outlineLvl w:val="0"/>
              <w:rPr>
                <w:b/>
                <w:smallCaps/>
                <w:noProof/>
                <w:highlight w:val="lightGray"/>
              </w:rPr>
            </w:pPr>
            <w:r w:rsidRPr="00E8450A">
              <w:rPr>
                <w:b/>
                <w:noProof/>
                <w:highlight w:val="lightGray"/>
              </w:rPr>
              <w:t>PM</w:t>
            </w:r>
            <w:r w:rsidRPr="00E8450A">
              <w:rPr>
                <w:b/>
                <w:noProof/>
                <w:highlight w:val="lightGray"/>
                <w:vertAlign w:val="subscript"/>
              </w:rPr>
              <w:t>2,5</w:t>
            </w:r>
          </w:p>
        </w:tc>
        <w:tc>
          <w:tcPr>
            <w:tcW w:w="6379" w:type="dxa"/>
          </w:tcPr>
          <w:p w:rsidR="00A67F2E" w:rsidRPr="00E8450A" w:rsidRDefault="00A67F2E" w:rsidP="00A67F2E">
            <w:pPr>
              <w:keepNext/>
              <w:outlineLvl w:val="0"/>
              <w:rPr>
                <w:bCs/>
                <w:smallCaps/>
                <w:noProof/>
                <w:highlight w:val="lightGray"/>
              </w:rPr>
            </w:pPr>
            <w:r w:rsidRPr="00E8450A">
              <w:rPr>
                <w:noProof/>
                <w:highlight w:val="lightGray"/>
              </w:rPr>
              <w:t>5 µg/m</w:t>
            </w:r>
            <w:r w:rsidRPr="00E8450A">
              <w:rPr>
                <w:noProof/>
                <w:highlight w:val="lightGray"/>
                <w:vertAlign w:val="superscript"/>
              </w:rPr>
              <w:t>3</w:t>
            </w:r>
          </w:p>
        </w:tc>
      </w:tr>
      <w:tr w:rsidR="00A67F2E" w:rsidRPr="00E8450A" w:rsidTr="00A67F2E">
        <w:tc>
          <w:tcPr>
            <w:tcW w:w="2943" w:type="dxa"/>
          </w:tcPr>
          <w:p w:rsidR="00A67F2E" w:rsidRPr="00E8450A" w:rsidRDefault="00A67F2E" w:rsidP="00A67F2E">
            <w:pPr>
              <w:keepNext/>
              <w:outlineLvl w:val="0"/>
              <w:rPr>
                <w:b/>
                <w:noProof/>
                <w:highlight w:val="lightGray"/>
              </w:rPr>
            </w:pPr>
            <w:r w:rsidRPr="00E8450A">
              <w:rPr>
                <w:b/>
                <w:noProof/>
                <w:highlight w:val="lightGray"/>
              </w:rPr>
              <w:t>PM</w:t>
            </w:r>
            <w:r w:rsidRPr="00E8450A">
              <w:rPr>
                <w:b/>
                <w:noProof/>
                <w:highlight w:val="lightGray"/>
                <w:vertAlign w:val="subscript"/>
              </w:rPr>
              <w:t>10</w:t>
            </w:r>
          </w:p>
        </w:tc>
        <w:tc>
          <w:tcPr>
            <w:tcW w:w="6379" w:type="dxa"/>
          </w:tcPr>
          <w:p w:rsidR="00A67F2E" w:rsidRPr="00E8450A" w:rsidRDefault="00A67F2E" w:rsidP="00A67F2E">
            <w:pPr>
              <w:keepNext/>
              <w:outlineLvl w:val="0"/>
              <w:rPr>
                <w:bCs/>
                <w:noProof/>
                <w:highlight w:val="lightGray"/>
              </w:rPr>
            </w:pPr>
            <w:r w:rsidRPr="00E8450A">
              <w:rPr>
                <w:noProof/>
                <w:highlight w:val="lightGray"/>
              </w:rPr>
              <w:t>15 µg/m</w:t>
            </w:r>
            <w:r w:rsidRPr="00E8450A">
              <w:rPr>
                <w:noProof/>
                <w:highlight w:val="lightGray"/>
                <w:vertAlign w:val="superscript"/>
              </w:rPr>
              <w:t>3</w:t>
            </w:r>
          </w:p>
        </w:tc>
      </w:tr>
      <w:tr w:rsidR="00A67F2E" w:rsidRPr="00E8450A" w:rsidTr="00A67F2E">
        <w:tc>
          <w:tcPr>
            <w:tcW w:w="2943" w:type="dxa"/>
          </w:tcPr>
          <w:p w:rsidR="00A67F2E" w:rsidRPr="00E8450A" w:rsidRDefault="00A67F2E" w:rsidP="00A67F2E">
            <w:pPr>
              <w:keepNext/>
              <w:outlineLvl w:val="0"/>
              <w:rPr>
                <w:b/>
                <w:noProof/>
                <w:highlight w:val="lightGray"/>
              </w:rPr>
            </w:pPr>
            <w:r w:rsidRPr="00E8450A">
              <w:rPr>
                <w:b/>
                <w:noProof/>
                <w:highlight w:val="lightGray"/>
              </w:rPr>
              <w:t>Oxid dusičitý (NO</w:t>
            </w:r>
            <w:r w:rsidRPr="00E8450A">
              <w:rPr>
                <w:b/>
                <w:noProof/>
                <w:highlight w:val="lightGray"/>
                <w:vertAlign w:val="subscript"/>
              </w:rPr>
              <w:t>2</w:t>
            </w:r>
            <w:r w:rsidRPr="00E8450A">
              <w:rPr>
                <w:b/>
                <w:noProof/>
                <w:highlight w:val="lightGray"/>
              </w:rPr>
              <w:t>)</w:t>
            </w:r>
          </w:p>
        </w:tc>
        <w:tc>
          <w:tcPr>
            <w:tcW w:w="6379" w:type="dxa"/>
          </w:tcPr>
          <w:p w:rsidR="00A67F2E" w:rsidRPr="00E8450A" w:rsidRDefault="00A67F2E" w:rsidP="00A67F2E">
            <w:pPr>
              <w:keepNext/>
              <w:outlineLvl w:val="0"/>
              <w:rPr>
                <w:bCs/>
                <w:smallCaps/>
                <w:noProof/>
                <w:highlight w:val="lightGray"/>
              </w:rPr>
            </w:pPr>
            <w:r w:rsidRPr="00E8450A">
              <w:rPr>
                <w:noProof/>
                <w:highlight w:val="lightGray"/>
              </w:rPr>
              <w:t>10 µg/m</w:t>
            </w:r>
            <w:r w:rsidRPr="00E8450A">
              <w:rPr>
                <w:noProof/>
                <w:highlight w:val="lightGray"/>
                <w:vertAlign w:val="superscript"/>
              </w:rPr>
              <w:t>3</w:t>
            </w:r>
          </w:p>
        </w:tc>
      </w:tr>
      <w:tr w:rsidR="00A67F2E" w:rsidRPr="00E8450A" w:rsidTr="00A67F2E">
        <w:tc>
          <w:tcPr>
            <w:tcW w:w="2943" w:type="dxa"/>
          </w:tcPr>
          <w:p w:rsidR="00A67F2E" w:rsidRPr="00E8450A" w:rsidRDefault="00A67F2E" w:rsidP="00A67F2E">
            <w:pPr>
              <w:keepNext/>
              <w:outlineLvl w:val="0"/>
              <w:rPr>
                <w:b/>
                <w:noProof/>
                <w:highlight w:val="lightGray"/>
              </w:rPr>
            </w:pPr>
            <w:r w:rsidRPr="00E8450A">
              <w:rPr>
                <w:b/>
                <w:noProof/>
                <w:highlight w:val="lightGray"/>
              </w:rPr>
              <w:t>Oxid siričitý (SO</w:t>
            </w:r>
            <w:r w:rsidRPr="00E8450A">
              <w:rPr>
                <w:b/>
                <w:noProof/>
                <w:highlight w:val="lightGray"/>
                <w:vertAlign w:val="subscript"/>
              </w:rPr>
              <w:t>2</w:t>
            </w:r>
            <w:r w:rsidRPr="00E8450A">
              <w:rPr>
                <w:b/>
                <w:noProof/>
                <w:highlight w:val="lightGray"/>
              </w:rPr>
              <w:t>)</w:t>
            </w:r>
          </w:p>
        </w:tc>
        <w:tc>
          <w:tcPr>
            <w:tcW w:w="6379" w:type="dxa"/>
          </w:tcPr>
          <w:p w:rsidR="00A67F2E" w:rsidRPr="00E8450A" w:rsidRDefault="00A67F2E" w:rsidP="00A67F2E">
            <w:pPr>
              <w:keepNext/>
              <w:outlineLvl w:val="0"/>
              <w:rPr>
                <w:bCs/>
                <w:noProof/>
                <w:highlight w:val="lightGray"/>
              </w:rPr>
            </w:pPr>
            <w:r w:rsidRPr="00E8450A">
              <w:rPr>
                <w:noProof/>
                <w:highlight w:val="lightGray"/>
              </w:rPr>
              <w:t>40 µg/m³ (24-hodinová stredná hodnota)</w:t>
            </w:r>
            <w:r w:rsidRPr="00E8450A">
              <w:rPr>
                <w:noProof/>
                <w:highlight w:val="lightGray"/>
                <w:vertAlign w:val="superscript"/>
              </w:rPr>
              <w:t>(1)</w:t>
            </w:r>
          </w:p>
        </w:tc>
      </w:tr>
      <w:tr w:rsidR="00A67F2E" w:rsidRPr="00E8450A" w:rsidTr="00A67F2E">
        <w:tc>
          <w:tcPr>
            <w:tcW w:w="2943" w:type="dxa"/>
          </w:tcPr>
          <w:p w:rsidR="00A67F2E" w:rsidRPr="00E8450A" w:rsidRDefault="00A67F2E" w:rsidP="00A67F2E">
            <w:pPr>
              <w:keepNext/>
              <w:outlineLvl w:val="0"/>
              <w:rPr>
                <w:b/>
                <w:noProof/>
                <w:highlight w:val="lightGray"/>
              </w:rPr>
            </w:pPr>
            <w:r w:rsidRPr="00E8450A">
              <w:rPr>
                <w:b/>
                <w:noProof/>
                <w:highlight w:val="lightGray"/>
              </w:rPr>
              <w:t>Benzén</w:t>
            </w:r>
          </w:p>
        </w:tc>
        <w:tc>
          <w:tcPr>
            <w:tcW w:w="6379" w:type="dxa"/>
          </w:tcPr>
          <w:p w:rsidR="00A67F2E" w:rsidRPr="00E8450A" w:rsidRDefault="00A67F2E" w:rsidP="00A67F2E">
            <w:pPr>
              <w:keepNext/>
              <w:outlineLvl w:val="0"/>
              <w:rPr>
                <w:bCs/>
                <w:noProof/>
                <w:highlight w:val="lightGray"/>
              </w:rPr>
            </w:pPr>
            <w:r w:rsidRPr="00E8450A">
              <w:rPr>
                <w:noProof/>
                <w:highlight w:val="lightGray"/>
              </w:rPr>
              <w:t>1,7 µg/m</w:t>
            </w:r>
            <w:r w:rsidRPr="00E8450A">
              <w:rPr>
                <w:noProof/>
                <w:highlight w:val="lightGray"/>
                <w:vertAlign w:val="superscript"/>
              </w:rPr>
              <w:t>3</w:t>
            </w:r>
          </w:p>
        </w:tc>
      </w:tr>
      <w:tr w:rsidR="00A67F2E" w:rsidRPr="00E8450A" w:rsidTr="00A67F2E">
        <w:tc>
          <w:tcPr>
            <w:tcW w:w="2943" w:type="dxa"/>
          </w:tcPr>
          <w:p w:rsidR="00A67F2E" w:rsidRPr="00E8450A" w:rsidRDefault="00A67F2E" w:rsidP="00A67F2E">
            <w:pPr>
              <w:keepNext/>
              <w:outlineLvl w:val="0"/>
              <w:rPr>
                <w:b/>
                <w:noProof/>
                <w:highlight w:val="lightGray"/>
              </w:rPr>
            </w:pPr>
            <w:r w:rsidRPr="00E8450A">
              <w:rPr>
                <w:b/>
                <w:noProof/>
                <w:highlight w:val="lightGray"/>
              </w:rPr>
              <w:t>Oxid uhoľnatý (CO)</w:t>
            </w:r>
          </w:p>
        </w:tc>
        <w:tc>
          <w:tcPr>
            <w:tcW w:w="6379" w:type="dxa"/>
          </w:tcPr>
          <w:p w:rsidR="00A67F2E" w:rsidRPr="00E8450A" w:rsidRDefault="00A67F2E" w:rsidP="00A67F2E">
            <w:pPr>
              <w:keepNext/>
              <w:outlineLvl w:val="0"/>
              <w:rPr>
                <w:bCs/>
                <w:smallCaps/>
                <w:noProof/>
                <w:highlight w:val="lightGray"/>
              </w:rPr>
            </w:pPr>
            <w:r w:rsidRPr="00E8450A">
              <w:rPr>
                <w:noProof/>
                <w:highlight w:val="lightGray"/>
              </w:rPr>
              <w:t>4 mg/m³ (24-hodinová stredná hodnota)</w:t>
            </w:r>
            <w:r w:rsidRPr="00E8450A">
              <w:rPr>
                <w:noProof/>
                <w:highlight w:val="lightGray"/>
                <w:vertAlign w:val="superscript"/>
              </w:rPr>
              <w:t>(1)</w:t>
            </w:r>
          </w:p>
        </w:tc>
      </w:tr>
      <w:tr w:rsidR="00A67F2E" w:rsidRPr="00E8450A" w:rsidTr="00A67F2E">
        <w:tc>
          <w:tcPr>
            <w:tcW w:w="2943" w:type="dxa"/>
          </w:tcPr>
          <w:p w:rsidR="00A67F2E" w:rsidRPr="00E8450A" w:rsidRDefault="00A67F2E" w:rsidP="00A67F2E">
            <w:pPr>
              <w:keepNext/>
              <w:outlineLvl w:val="0"/>
              <w:rPr>
                <w:b/>
                <w:noProof/>
                <w:highlight w:val="lightGray"/>
              </w:rPr>
            </w:pPr>
            <w:r w:rsidRPr="00E8450A">
              <w:rPr>
                <w:b/>
                <w:noProof/>
                <w:highlight w:val="lightGray"/>
              </w:rPr>
              <w:t>Olovo (Pb)</w:t>
            </w:r>
          </w:p>
        </w:tc>
        <w:tc>
          <w:tcPr>
            <w:tcW w:w="6379" w:type="dxa"/>
          </w:tcPr>
          <w:p w:rsidR="00A67F2E" w:rsidRPr="00E8450A" w:rsidRDefault="00A67F2E" w:rsidP="00A67F2E">
            <w:pPr>
              <w:keepNext/>
              <w:outlineLvl w:val="0"/>
              <w:rPr>
                <w:bCs/>
                <w:smallCaps/>
                <w:noProof/>
                <w:highlight w:val="lightGray"/>
              </w:rPr>
            </w:pPr>
            <w:r w:rsidRPr="00E8450A">
              <w:rPr>
                <w:noProof/>
                <w:highlight w:val="lightGray"/>
              </w:rPr>
              <w:t>0,25 µg/m</w:t>
            </w:r>
            <w:r w:rsidRPr="00E8450A">
              <w:rPr>
                <w:noProof/>
                <w:highlight w:val="lightGray"/>
                <w:vertAlign w:val="superscript"/>
              </w:rPr>
              <w:t>3</w:t>
            </w:r>
          </w:p>
        </w:tc>
      </w:tr>
      <w:tr w:rsidR="00A67F2E" w:rsidRPr="00E8450A" w:rsidTr="00A67F2E">
        <w:tc>
          <w:tcPr>
            <w:tcW w:w="2943" w:type="dxa"/>
          </w:tcPr>
          <w:p w:rsidR="00A67F2E" w:rsidRPr="00E8450A" w:rsidRDefault="00A67F2E" w:rsidP="00A67F2E">
            <w:pPr>
              <w:keepNext/>
              <w:outlineLvl w:val="0"/>
              <w:rPr>
                <w:b/>
                <w:noProof/>
                <w:highlight w:val="lightGray"/>
              </w:rPr>
            </w:pPr>
            <w:r w:rsidRPr="00E8450A">
              <w:rPr>
                <w:b/>
                <w:noProof/>
                <w:highlight w:val="lightGray"/>
              </w:rPr>
              <w:t>Arzén (As)</w:t>
            </w:r>
          </w:p>
        </w:tc>
        <w:tc>
          <w:tcPr>
            <w:tcW w:w="6379" w:type="dxa"/>
          </w:tcPr>
          <w:p w:rsidR="00A67F2E" w:rsidRPr="00E8450A" w:rsidRDefault="00A67F2E" w:rsidP="00A67F2E">
            <w:pPr>
              <w:keepNext/>
              <w:outlineLvl w:val="0"/>
              <w:rPr>
                <w:bCs/>
                <w:smallCaps/>
                <w:noProof/>
                <w:highlight w:val="lightGray"/>
              </w:rPr>
            </w:pPr>
            <w:r w:rsidRPr="00E8450A">
              <w:rPr>
                <w:noProof/>
                <w:highlight w:val="lightGray"/>
              </w:rPr>
              <w:t>3,0 ng/m</w:t>
            </w:r>
            <w:r w:rsidRPr="00E8450A">
              <w:rPr>
                <w:noProof/>
                <w:highlight w:val="lightGray"/>
                <w:vertAlign w:val="superscript"/>
              </w:rPr>
              <w:t>3</w:t>
            </w:r>
          </w:p>
        </w:tc>
      </w:tr>
      <w:tr w:rsidR="00A67F2E" w:rsidRPr="00E8450A" w:rsidTr="00A67F2E">
        <w:tc>
          <w:tcPr>
            <w:tcW w:w="2943" w:type="dxa"/>
          </w:tcPr>
          <w:p w:rsidR="00A67F2E" w:rsidRPr="00E8450A" w:rsidRDefault="00A67F2E" w:rsidP="00A67F2E">
            <w:pPr>
              <w:keepNext/>
              <w:outlineLvl w:val="0"/>
              <w:rPr>
                <w:b/>
                <w:noProof/>
                <w:highlight w:val="lightGray"/>
              </w:rPr>
            </w:pPr>
            <w:r w:rsidRPr="00E8450A">
              <w:rPr>
                <w:b/>
                <w:noProof/>
                <w:highlight w:val="lightGray"/>
              </w:rPr>
              <w:t>Kadmium (Cd)</w:t>
            </w:r>
          </w:p>
        </w:tc>
        <w:tc>
          <w:tcPr>
            <w:tcW w:w="6379" w:type="dxa"/>
          </w:tcPr>
          <w:p w:rsidR="00A67F2E" w:rsidRPr="00E8450A" w:rsidRDefault="00A67F2E" w:rsidP="00A67F2E">
            <w:pPr>
              <w:keepNext/>
              <w:outlineLvl w:val="0"/>
              <w:rPr>
                <w:bCs/>
                <w:smallCaps/>
                <w:noProof/>
                <w:highlight w:val="lightGray"/>
              </w:rPr>
            </w:pPr>
            <w:r w:rsidRPr="00E8450A">
              <w:rPr>
                <w:noProof/>
                <w:highlight w:val="lightGray"/>
              </w:rPr>
              <w:t>2,5 ng/m</w:t>
            </w:r>
            <w:r w:rsidRPr="00E8450A">
              <w:rPr>
                <w:noProof/>
                <w:highlight w:val="lightGray"/>
                <w:vertAlign w:val="superscript"/>
              </w:rPr>
              <w:t>3</w:t>
            </w:r>
          </w:p>
        </w:tc>
      </w:tr>
      <w:tr w:rsidR="00A67F2E" w:rsidRPr="00E8450A" w:rsidTr="00A67F2E">
        <w:tc>
          <w:tcPr>
            <w:tcW w:w="2943" w:type="dxa"/>
          </w:tcPr>
          <w:p w:rsidR="00A67F2E" w:rsidRPr="00E8450A" w:rsidRDefault="00A67F2E" w:rsidP="00A67F2E">
            <w:pPr>
              <w:keepNext/>
              <w:outlineLvl w:val="0"/>
              <w:rPr>
                <w:b/>
                <w:noProof/>
                <w:highlight w:val="lightGray"/>
              </w:rPr>
            </w:pPr>
            <w:r w:rsidRPr="00E8450A">
              <w:rPr>
                <w:b/>
                <w:noProof/>
                <w:highlight w:val="lightGray"/>
              </w:rPr>
              <w:t>Nikel (Ni)</w:t>
            </w:r>
          </w:p>
        </w:tc>
        <w:tc>
          <w:tcPr>
            <w:tcW w:w="6379" w:type="dxa"/>
          </w:tcPr>
          <w:p w:rsidR="00A67F2E" w:rsidRPr="00E8450A" w:rsidRDefault="00A67F2E" w:rsidP="00A67F2E">
            <w:pPr>
              <w:keepNext/>
              <w:outlineLvl w:val="0"/>
              <w:rPr>
                <w:bCs/>
                <w:smallCaps/>
                <w:noProof/>
                <w:highlight w:val="lightGray"/>
              </w:rPr>
            </w:pPr>
            <w:r w:rsidRPr="00E8450A">
              <w:rPr>
                <w:noProof/>
                <w:highlight w:val="lightGray"/>
              </w:rPr>
              <w:t>10 ng/m</w:t>
            </w:r>
            <w:r w:rsidRPr="00E8450A">
              <w:rPr>
                <w:noProof/>
                <w:highlight w:val="lightGray"/>
                <w:vertAlign w:val="superscript"/>
              </w:rPr>
              <w:t>3</w:t>
            </w:r>
          </w:p>
        </w:tc>
      </w:tr>
      <w:tr w:rsidR="00A67F2E" w:rsidRPr="00E8450A" w:rsidTr="00A67F2E">
        <w:tc>
          <w:tcPr>
            <w:tcW w:w="2943" w:type="dxa"/>
          </w:tcPr>
          <w:p w:rsidR="00A67F2E" w:rsidRPr="00E8450A" w:rsidRDefault="00A67F2E" w:rsidP="00A67F2E">
            <w:pPr>
              <w:keepNext/>
              <w:outlineLvl w:val="0"/>
              <w:rPr>
                <w:b/>
                <w:noProof/>
                <w:highlight w:val="lightGray"/>
              </w:rPr>
            </w:pPr>
            <w:r w:rsidRPr="00E8450A">
              <w:rPr>
                <w:b/>
                <w:noProof/>
                <w:highlight w:val="lightGray"/>
              </w:rPr>
              <w:t>Benzo[a]pyrén</w:t>
            </w:r>
          </w:p>
        </w:tc>
        <w:tc>
          <w:tcPr>
            <w:tcW w:w="6379" w:type="dxa"/>
          </w:tcPr>
          <w:p w:rsidR="00A67F2E" w:rsidRPr="00E8450A" w:rsidRDefault="00A67F2E" w:rsidP="00A67F2E">
            <w:pPr>
              <w:keepNext/>
              <w:outlineLvl w:val="0"/>
              <w:rPr>
                <w:bCs/>
                <w:smallCaps/>
                <w:noProof/>
                <w:highlight w:val="lightGray"/>
              </w:rPr>
            </w:pPr>
            <w:r w:rsidRPr="00E8450A">
              <w:rPr>
                <w:noProof/>
                <w:highlight w:val="lightGray"/>
              </w:rPr>
              <w:t>0,12 ng/m</w:t>
            </w:r>
            <w:r w:rsidRPr="00E8450A">
              <w:rPr>
                <w:noProof/>
                <w:highlight w:val="lightGray"/>
                <w:vertAlign w:val="superscript"/>
              </w:rPr>
              <w:t>3</w:t>
            </w:r>
          </w:p>
        </w:tc>
      </w:tr>
      <w:tr w:rsidR="00A67F2E" w:rsidRPr="00E8450A" w:rsidTr="00A67F2E">
        <w:tc>
          <w:tcPr>
            <w:tcW w:w="2943" w:type="dxa"/>
          </w:tcPr>
          <w:p w:rsidR="00A67F2E" w:rsidRPr="00E8450A" w:rsidRDefault="00A67F2E" w:rsidP="00A67F2E">
            <w:pPr>
              <w:keepNext/>
              <w:outlineLvl w:val="0"/>
              <w:rPr>
                <w:b/>
                <w:noProof/>
                <w:highlight w:val="lightGray"/>
              </w:rPr>
            </w:pPr>
            <w:r w:rsidRPr="00E8450A">
              <w:rPr>
                <w:b/>
                <w:noProof/>
                <w:highlight w:val="lightGray"/>
              </w:rPr>
              <w:t>Ozón (O</w:t>
            </w:r>
            <w:r w:rsidRPr="00E8450A">
              <w:rPr>
                <w:b/>
                <w:noProof/>
                <w:highlight w:val="lightGray"/>
                <w:vertAlign w:val="subscript"/>
              </w:rPr>
              <w:t>3</w:t>
            </w:r>
            <w:r w:rsidRPr="00E8450A">
              <w:rPr>
                <w:b/>
                <w:noProof/>
                <w:highlight w:val="lightGray"/>
              </w:rPr>
              <w:t>)</w:t>
            </w:r>
          </w:p>
        </w:tc>
        <w:tc>
          <w:tcPr>
            <w:tcW w:w="6379" w:type="dxa"/>
          </w:tcPr>
          <w:p w:rsidR="00A67F2E" w:rsidRPr="00E8450A" w:rsidRDefault="00A67F2E" w:rsidP="00A67F2E">
            <w:pPr>
              <w:keepNext/>
              <w:outlineLvl w:val="0"/>
              <w:rPr>
                <w:noProof/>
                <w:highlight w:val="lightGray"/>
              </w:rPr>
            </w:pPr>
            <w:r w:rsidRPr="00E8450A">
              <w:rPr>
                <w:noProof/>
                <w:highlight w:val="lightGray"/>
              </w:rPr>
              <w:t>100 µg/m</w:t>
            </w:r>
            <w:r w:rsidRPr="00E8450A">
              <w:rPr>
                <w:noProof/>
                <w:highlight w:val="lightGray"/>
                <w:vertAlign w:val="superscript"/>
              </w:rPr>
              <w:t>3</w:t>
            </w:r>
            <w:r w:rsidRPr="00E8450A">
              <w:rPr>
                <w:noProof/>
                <w:highlight w:val="lightGray"/>
              </w:rPr>
              <w:t xml:space="preserve"> (najväčšia 8-hodinová stredná hodnota)</w:t>
            </w:r>
            <w:r w:rsidRPr="00E8450A">
              <w:rPr>
                <w:noProof/>
                <w:highlight w:val="lightGray"/>
                <w:vertAlign w:val="superscript"/>
              </w:rPr>
              <w:t>(1)</w:t>
            </w:r>
          </w:p>
        </w:tc>
      </w:tr>
      <w:tr w:rsidR="00A67F2E" w:rsidRPr="00E8450A" w:rsidTr="00A058F2">
        <w:tc>
          <w:tcPr>
            <w:tcW w:w="9322" w:type="dxa"/>
            <w:gridSpan w:val="2"/>
          </w:tcPr>
          <w:p w:rsidR="00A67F2E" w:rsidRPr="00E8450A" w:rsidRDefault="005812BF" w:rsidP="005812BF">
            <w:pPr>
              <w:pStyle w:val="Point2"/>
              <w:rPr>
                <w:noProof/>
                <w:highlight w:val="lightGray"/>
              </w:rPr>
            </w:pPr>
            <w:r>
              <w:rPr>
                <w:noProof/>
                <w:highlight w:val="lightGray"/>
              </w:rPr>
              <w:t>(1)</w:t>
            </w:r>
            <w:r>
              <w:rPr>
                <w:noProof/>
                <w:highlight w:val="lightGray"/>
              </w:rPr>
              <w:tab/>
            </w:r>
            <w:r w:rsidR="00A67F2E" w:rsidRPr="00E8450A">
              <w:rPr>
                <w:noProof/>
                <w:highlight w:val="lightGray"/>
              </w:rPr>
              <w:t xml:space="preserve"> 99. percentil (t. j. tri dni, keď došlo k prekročeniu, za rok). </w:t>
            </w:r>
          </w:p>
        </w:tc>
      </w:tr>
    </w:tbl>
    <w:p w:rsidR="00C56CC0" w:rsidRPr="00E8450A" w:rsidRDefault="00C56CC0" w:rsidP="004F4CD1">
      <w:pPr>
        <w:rPr>
          <w:caps/>
          <w:noProof/>
          <w:highlight w:val="lightGray"/>
          <w:u w:val="single"/>
        </w:rPr>
      </w:pPr>
    </w:p>
    <w:p w:rsidR="004F4CD1" w:rsidRPr="00E8450A" w:rsidRDefault="004F4CD1" w:rsidP="004F4CD1">
      <w:pPr>
        <w:rPr>
          <w:caps/>
          <w:noProof/>
          <w:highlight w:val="lightGray"/>
          <w:u w:val="single"/>
        </w:rPr>
      </w:pPr>
      <w:r w:rsidRPr="00E8450A">
        <w:rPr>
          <w:caps/>
          <w:noProof/>
          <w:highlight w:val="lightGray"/>
          <w:u w:val="single"/>
        </w:rPr>
        <w:t>Oddiel 2 – Prahy na hodnotenie na účely ochrany vegetácie a prírodných ekosystémov</w:t>
      </w:r>
    </w:p>
    <w:tbl>
      <w:tblPr>
        <w:tblW w:w="9326" w:type="dxa"/>
        <w:tblInd w:w="-4"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2947"/>
        <w:gridCol w:w="6379"/>
      </w:tblGrid>
      <w:tr w:rsidR="004F4CD1" w:rsidRPr="00E8450A" w:rsidTr="00A67F2E">
        <w:trPr>
          <w:trHeight w:val="558"/>
        </w:trPr>
        <w:tc>
          <w:tcPr>
            <w:tcW w:w="2947" w:type="dxa"/>
          </w:tcPr>
          <w:p w:rsidR="004F4CD1" w:rsidRPr="00E8450A" w:rsidRDefault="004F4CD1" w:rsidP="004F4CD1">
            <w:pPr>
              <w:keepNext/>
              <w:outlineLvl w:val="0"/>
              <w:rPr>
                <w:b/>
                <w:noProof/>
                <w:highlight w:val="lightGray"/>
              </w:rPr>
            </w:pPr>
            <w:r w:rsidRPr="00E8450A">
              <w:rPr>
                <w:b/>
                <w:noProof/>
                <w:highlight w:val="lightGray"/>
              </w:rPr>
              <w:t>Znečisťujúca látka</w:t>
            </w:r>
          </w:p>
        </w:tc>
        <w:tc>
          <w:tcPr>
            <w:tcW w:w="6379" w:type="dxa"/>
          </w:tcPr>
          <w:p w:rsidR="004F4CD1" w:rsidRPr="00E8450A" w:rsidRDefault="004F4CD1" w:rsidP="004F4CD1">
            <w:pPr>
              <w:keepNext/>
              <w:outlineLvl w:val="0"/>
              <w:rPr>
                <w:b/>
                <w:noProof/>
                <w:highlight w:val="lightGray"/>
              </w:rPr>
            </w:pPr>
            <w:r w:rsidRPr="00E8450A">
              <w:rPr>
                <w:b/>
                <w:noProof/>
                <w:highlight w:val="lightGray"/>
              </w:rPr>
              <w:t>Prah na hodnotenie (ročná stredná hodnota, pokiaľ nie je špecifikované inak)</w:t>
            </w:r>
          </w:p>
        </w:tc>
      </w:tr>
      <w:tr w:rsidR="004F4CD1" w:rsidRPr="00E8450A" w:rsidTr="00A67F2E">
        <w:tc>
          <w:tcPr>
            <w:tcW w:w="2947" w:type="dxa"/>
          </w:tcPr>
          <w:p w:rsidR="004F4CD1" w:rsidRPr="00E8450A" w:rsidRDefault="004F4CD1" w:rsidP="004F4CD1">
            <w:pPr>
              <w:keepNext/>
              <w:outlineLvl w:val="0"/>
              <w:rPr>
                <w:b/>
                <w:bCs/>
                <w:noProof/>
                <w:highlight w:val="lightGray"/>
              </w:rPr>
            </w:pPr>
            <w:r w:rsidRPr="00E8450A">
              <w:rPr>
                <w:b/>
                <w:noProof/>
                <w:highlight w:val="lightGray"/>
              </w:rPr>
              <w:t>Oxid siričitý (SO</w:t>
            </w:r>
            <w:r w:rsidRPr="00E8450A">
              <w:rPr>
                <w:b/>
                <w:noProof/>
                <w:highlight w:val="lightGray"/>
                <w:vertAlign w:val="subscript"/>
              </w:rPr>
              <w:t>2</w:t>
            </w:r>
            <w:r w:rsidRPr="00E8450A">
              <w:rPr>
                <w:b/>
                <w:noProof/>
                <w:highlight w:val="lightGray"/>
              </w:rPr>
              <w:t>)</w:t>
            </w:r>
          </w:p>
        </w:tc>
        <w:tc>
          <w:tcPr>
            <w:tcW w:w="6379" w:type="dxa"/>
          </w:tcPr>
          <w:p w:rsidR="004F4CD1" w:rsidRPr="00E8450A" w:rsidRDefault="004F4CD1" w:rsidP="004F4CD1">
            <w:pPr>
              <w:keepNext/>
              <w:outlineLvl w:val="0"/>
              <w:rPr>
                <w:b/>
                <w:bCs/>
                <w:noProof/>
                <w:highlight w:val="lightGray"/>
              </w:rPr>
            </w:pPr>
            <w:r w:rsidRPr="00E8450A">
              <w:rPr>
                <w:noProof/>
                <w:highlight w:val="lightGray"/>
              </w:rPr>
              <w:t>8 μg/m</w:t>
            </w:r>
            <w:r w:rsidRPr="00E8450A">
              <w:rPr>
                <w:noProof/>
                <w:highlight w:val="lightGray"/>
                <w:vertAlign w:val="superscript"/>
              </w:rPr>
              <w:t xml:space="preserve">3 </w:t>
            </w:r>
            <w:r w:rsidRPr="00E8450A">
              <w:rPr>
                <w:noProof/>
                <w:highlight w:val="lightGray"/>
              </w:rPr>
              <w:t>(priemer v období od 1. októbra do 31. marca)</w:t>
            </w:r>
          </w:p>
        </w:tc>
      </w:tr>
      <w:tr w:rsidR="004F4CD1" w:rsidRPr="00E8450A" w:rsidTr="00A67F2E">
        <w:tc>
          <w:tcPr>
            <w:tcW w:w="2947" w:type="dxa"/>
          </w:tcPr>
          <w:p w:rsidR="004F4CD1" w:rsidRPr="00E8450A" w:rsidRDefault="004F4CD1" w:rsidP="004F4CD1">
            <w:pPr>
              <w:keepNext/>
              <w:outlineLvl w:val="0"/>
              <w:rPr>
                <w:b/>
                <w:bCs/>
                <w:smallCaps/>
                <w:noProof/>
                <w:highlight w:val="lightGray"/>
              </w:rPr>
            </w:pPr>
            <w:r w:rsidRPr="00E8450A">
              <w:rPr>
                <w:b/>
                <w:noProof/>
                <w:highlight w:val="lightGray"/>
              </w:rPr>
              <w:t>Oxidy dusíka (NO</w:t>
            </w:r>
            <w:r w:rsidRPr="00E8450A">
              <w:rPr>
                <w:b/>
                <w:noProof/>
                <w:highlight w:val="lightGray"/>
                <w:vertAlign w:val="subscript"/>
              </w:rPr>
              <w:t>x</w:t>
            </w:r>
            <w:r w:rsidRPr="00E8450A">
              <w:rPr>
                <w:b/>
                <w:noProof/>
                <w:highlight w:val="lightGray"/>
              </w:rPr>
              <w:t>)</w:t>
            </w:r>
          </w:p>
        </w:tc>
        <w:tc>
          <w:tcPr>
            <w:tcW w:w="6379" w:type="dxa"/>
          </w:tcPr>
          <w:p w:rsidR="004F4CD1" w:rsidRPr="00E8450A" w:rsidRDefault="004F4CD1" w:rsidP="004F4CD1">
            <w:pPr>
              <w:keepNext/>
              <w:outlineLvl w:val="0"/>
              <w:rPr>
                <w:b/>
                <w:bCs/>
                <w:smallCaps/>
                <w:noProof/>
                <w:highlight w:val="lightGray"/>
              </w:rPr>
            </w:pPr>
            <w:r w:rsidRPr="00E8450A">
              <w:rPr>
                <w:noProof/>
                <w:highlight w:val="lightGray"/>
              </w:rPr>
              <w:t>19,5 μg/m</w:t>
            </w:r>
            <w:r w:rsidRPr="00E8450A">
              <w:rPr>
                <w:noProof/>
                <w:highlight w:val="lightGray"/>
                <w:vertAlign w:val="superscript"/>
              </w:rPr>
              <w:t>3</w:t>
            </w:r>
          </w:p>
        </w:tc>
      </w:tr>
    </w:tbl>
    <w:p w:rsidR="004F4CD1" w:rsidRPr="00E8450A" w:rsidRDefault="004F4CD1" w:rsidP="004F4CD1">
      <w:pPr>
        <w:rPr>
          <w:noProof/>
          <w:highlight w:val="lightGray"/>
        </w:rPr>
      </w:pPr>
      <w:r w:rsidRPr="00E8450A">
        <w:rPr>
          <w:noProof/>
        </w:rPr>
        <w:br w:type="page"/>
      </w:r>
    </w:p>
    <w:p w:rsidR="004F4CD1" w:rsidRPr="00E8450A" w:rsidRDefault="004F4CD1" w:rsidP="00BC180F">
      <w:pPr>
        <w:pStyle w:val="Annexetitre"/>
        <w:rPr>
          <w:noProof/>
          <w:highlight w:val="lightGray"/>
        </w:rPr>
      </w:pPr>
      <w:r w:rsidRPr="00E8450A">
        <w:rPr>
          <w:noProof/>
          <w:highlight w:val="lightGray"/>
        </w:rPr>
        <w:lastRenderedPageBreak/>
        <w:t>PRÍLOHA III</w:t>
      </w:r>
    </w:p>
    <w:p w:rsidR="004F4CD1" w:rsidRPr="00E8450A" w:rsidRDefault="004F4CD1" w:rsidP="004F4CD1">
      <w:pPr>
        <w:jc w:val="center"/>
        <w:rPr>
          <w:b/>
          <w:caps/>
          <w:noProof/>
          <w:highlight w:val="lightGray"/>
        </w:rPr>
      </w:pPr>
      <w:r w:rsidRPr="00E8450A">
        <w:rPr>
          <w:b/>
          <w:caps/>
          <w:noProof/>
          <w:highlight w:val="lightGray"/>
        </w:rPr>
        <w:t>Najmenší počet vzorkovacích miest pre stále meranie</w:t>
      </w:r>
    </w:p>
    <w:p w:rsidR="00BA3DB8" w:rsidRPr="00E8450A" w:rsidRDefault="00BA3DB8" w:rsidP="004F4CD1">
      <w:pPr>
        <w:jc w:val="center"/>
        <w:rPr>
          <w:b/>
          <w:i/>
          <w:caps/>
          <w:noProof/>
          <w:highlight w:val="lightGray"/>
        </w:rPr>
      </w:pPr>
    </w:p>
    <w:p w:rsidR="004F4CD1" w:rsidRPr="00E8450A" w:rsidRDefault="004F4CD1" w:rsidP="00A52FD4">
      <w:pPr>
        <w:rPr>
          <w:b/>
          <w:noProof/>
          <w:highlight w:val="lightGray"/>
        </w:rPr>
      </w:pPr>
      <w:r w:rsidRPr="00E8450A">
        <w:rPr>
          <w:b/>
          <w:noProof/>
          <w:highlight w:val="lightGray"/>
        </w:rPr>
        <w:t>A</w:t>
      </w:r>
      <w:r w:rsidR="00A52FD4">
        <w:rPr>
          <w:b/>
          <w:noProof/>
          <w:highlight w:val="lightGray"/>
        </w:rPr>
        <w:t>)</w:t>
      </w:r>
      <w:r w:rsidRPr="00E8450A">
        <w:rPr>
          <w:noProof/>
        </w:rPr>
        <w:tab/>
      </w:r>
      <w:r w:rsidRPr="00E8450A">
        <w:rPr>
          <w:b/>
          <w:noProof/>
          <w:highlight w:val="lightGray"/>
        </w:rPr>
        <w:t>Najmenší počet vzorkovacích miest pre stále meranie na hodnotenie dodržiavania limitných hodnôt na účely ochrany ľudského zdravia, ako aj dodržiavania cieľových hodnôt pre ozón, dlhodobých cieľov, informačných a výstražných prahov</w:t>
      </w:r>
    </w:p>
    <w:p w:rsidR="004F4CD1" w:rsidRPr="00E8450A" w:rsidRDefault="004F4CD1" w:rsidP="004F4CD1">
      <w:pPr>
        <w:rPr>
          <w:i/>
          <w:iCs/>
          <w:noProof/>
          <w:highlight w:val="lightGray"/>
        </w:rPr>
      </w:pPr>
      <w:r w:rsidRPr="00E8450A">
        <w:rPr>
          <w:i/>
          <w:noProof/>
          <w:highlight w:val="lightGray"/>
        </w:rPr>
        <w:t>1. Plošné zdroje</w:t>
      </w:r>
    </w:p>
    <w:p w:rsidR="004F4CD1" w:rsidRPr="00E8450A" w:rsidRDefault="004F4CD1" w:rsidP="009D16E9">
      <w:pPr>
        <w:rPr>
          <w:i/>
          <w:iCs/>
          <w:noProof/>
          <w:highlight w:val="lightGray"/>
        </w:rPr>
      </w:pPr>
      <w:r w:rsidRPr="00E8450A">
        <w:rPr>
          <w:i/>
          <w:noProof/>
          <w:highlight w:val="lightGray"/>
        </w:rPr>
        <w:t>Tabuľka 1 – Najmenší počet vzorkovacích miest pre stále meranie na hodnotenie dodržiavania limitných hodnôt na účely ochrany ľudského zdravia a dodržiavania výstražných prahov v zónach, kde je stále meranie jediným zdrojom informácií (pre všetky znečisťujúce látky okrem ozónu)</w:t>
      </w:r>
    </w:p>
    <w:tbl>
      <w:tblPr>
        <w:tblStyle w:val="TableGrid"/>
        <w:tblW w:w="9236" w:type="dxa"/>
        <w:tblInd w:w="108" w:type="dxa"/>
        <w:tblLayout w:type="fixed"/>
        <w:tblLook w:val="04A0" w:firstRow="1" w:lastRow="0" w:firstColumn="1" w:lastColumn="0" w:noHBand="0" w:noVBand="1"/>
      </w:tblPr>
      <w:tblGrid>
        <w:gridCol w:w="2009"/>
        <w:gridCol w:w="1153"/>
        <w:gridCol w:w="1154"/>
        <w:gridCol w:w="1213"/>
        <w:gridCol w:w="1275"/>
        <w:gridCol w:w="1276"/>
        <w:gridCol w:w="1156"/>
      </w:tblGrid>
      <w:tr w:rsidR="004F4CD1" w:rsidRPr="00E8450A" w:rsidTr="009D16E9">
        <w:tc>
          <w:tcPr>
            <w:tcW w:w="2009" w:type="dxa"/>
            <w:vMerge w:val="restart"/>
            <w:tcBorders>
              <w:left w:val="nil"/>
            </w:tcBorders>
          </w:tcPr>
          <w:p w:rsidR="004F4CD1" w:rsidRPr="00E8450A" w:rsidRDefault="004F4CD1" w:rsidP="00261815">
            <w:pPr>
              <w:jc w:val="left"/>
              <w:rPr>
                <w:b/>
                <w:bCs/>
                <w:noProof/>
                <w:highlight w:val="lightGray"/>
              </w:rPr>
            </w:pPr>
            <w:r w:rsidRPr="00E8450A">
              <w:rPr>
                <w:b/>
                <w:noProof/>
                <w:highlight w:val="lightGray"/>
              </w:rPr>
              <w:t>Počet obyvateľov v zóne (v tisícoch)</w:t>
            </w:r>
          </w:p>
        </w:tc>
        <w:tc>
          <w:tcPr>
            <w:tcW w:w="7227" w:type="dxa"/>
            <w:gridSpan w:val="6"/>
            <w:tcBorders>
              <w:right w:val="nil"/>
            </w:tcBorders>
          </w:tcPr>
          <w:p w:rsidR="004F4CD1" w:rsidRPr="00E8450A" w:rsidRDefault="004F4CD1" w:rsidP="00904A32">
            <w:pPr>
              <w:jc w:val="left"/>
              <w:rPr>
                <w:b/>
                <w:bCs/>
                <w:noProof/>
                <w:szCs w:val="24"/>
                <w:highlight w:val="lightGray"/>
              </w:rPr>
            </w:pPr>
            <w:r w:rsidRPr="00E8450A">
              <w:rPr>
                <w:b/>
                <w:noProof/>
                <w:highlight w:val="lightGray"/>
              </w:rPr>
              <w:t>Najmenší počet vzorkovacích miest, ak koncentrácie prekročia prah na hodnotenie</w:t>
            </w:r>
          </w:p>
        </w:tc>
      </w:tr>
      <w:tr w:rsidR="004F4CD1" w:rsidRPr="00E8450A" w:rsidTr="009D16E9">
        <w:trPr>
          <w:trHeight w:val="1026"/>
        </w:trPr>
        <w:tc>
          <w:tcPr>
            <w:tcW w:w="2009" w:type="dxa"/>
            <w:vMerge/>
            <w:tcBorders>
              <w:left w:val="nil"/>
            </w:tcBorders>
          </w:tcPr>
          <w:p w:rsidR="004F4CD1" w:rsidRPr="00E8450A" w:rsidRDefault="004F4CD1" w:rsidP="00261815">
            <w:pPr>
              <w:ind w:left="851" w:hanging="851"/>
              <w:jc w:val="left"/>
              <w:rPr>
                <w:noProof/>
                <w:szCs w:val="24"/>
                <w:highlight w:val="lightGray"/>
              </w:rPr>
            </w:pPr>
          </w:p>
        </w:tc>
        <w:tc>
          <w:tcPr>
            <w:tcW w:w="1153" w:type="dxa"/>
          </w:tcPr>
          <w:p w:rsidR="004F4CD1" w:rsidRPr="00E8450A" w:rsidRDefault="004F4CD1" w:rsidP="00261815">
            <w:pPr>
              <w:jc w:val="left"/>
              <w:rPr>
                <w:b/>
                <w:bCs/>
                <w:noProof/>
                <w:szCs w:val="24"/>
                <w:highlight w:val="lightGray"/>
              </w:rPr>
            </w:pPr>
            <w:r w:rsidRPr="00E8450A">
              <w:rPr>
                <w:b/>
                <w:noProof/>
                <w:highlight w:val="lightGray"/>
              </w:rPr>
              <w:t>NO</w:t>
            </w:r>
            <w:r w:rsidRPr="00E8450A">
              <w:rPr>
                <w:b/>
                <w:noProof/>
                <w:highlight w:val="lightGray"/>
                <w:vertAlign w:val="subscript"/>
              </w:rPr>
              <w:t>2</w:t>
            </w:r>
            <w:r w:rsidRPr="00E8450A">
              <w:rPr>
                <w:b/>
                <w:noProof/>
                <w:highlight w:val="lightGray"/>
              </w:rPr>
              <w:t>, SO</w:t>
            </w:r>
            <w:r w:rsidRPr="00E8450A">
              <w:rPr>
                <w:b/>
                <w:noProof/>
                <w:highlight w:val="lightGray"/>
                <w:vertAlign w:val="subscript"/>
              </w:rPr>
              <w:t>2</w:t>
            </w:r>
            <w:r w:rsidRPr="00E8450A">
              <w:rPr>
                <w:b/>
                <w:noProof/>
                <w:highlight w:val="lightGray"/>
              </w:rPr>
              <w:t>, CO, benzén</w:t>
            </w:r>
          </w:p>
        </w:tc>
        <w:tc>
          <w:tcPr>
            <w:tcW w:w="1154" w:type="dxa"/>
          </w:tcPr>
          <w:p w:rsidR="004F4CD1" w:rsidRPr="00E8450A" w:rsidRDefault="004F4CD1" w:rsidP="00261815">
            <w:pPr>
              <w:jc w:val="left"/>
              <w:rPr>
                <w:b/>
                <w:bCs/>
                <w:noProof/>
                <w:szCs w:val="24"/>
                <w:highlight w:val="lightGray"/>
              </w:rPr>
            </w:pPr>
            <w:r w:rsidRPr="00E8450A">
              <w:rPr>
                <w:b/>
                <w:noProof/>
                <w:highlight w:val="lightGray"/>
              </w:rPr>
              <w:t>Súčet</w:t>
            </w:r>
            <w:r w:rsidRPr="00E8450A">
              <w:rPr>
                <w:noProof/>
              </w:rPr>
              <w:t xml:space="preserve"> </w:t>
            </w:r>
            <w:r w:rsidRPr="00E8450A">
              <w:rPr>
                <w:noProof/>
              </w:rPr>
              <w:br/>
            </w:r>
            <w:r w:rsidRPr="00E8450A">
              <w:rPr>
                <w:b/>
                <w:noProof/>
                <w:highlight w:val="lightGray"/>
              </w:rPr>
              <w:t>PM</w:t>
            </w:r>
            <w:r w:rsidRPr="00E8450A">
              <w:rPr>
                <w:rStyle w:val="FootnoteReference"/>
                <w:b/>
                <w:noProof/>
                <w:highlight w:val="lightGray"/>
              </w:rPr>
              <w:t xml:space="preserve"> </w:t>
            </w:r>
            <w:r w:rsidRPr="00E8450A">
              <w:rPr>
                <w:b/>
                <w:noProof/>
                <w:highlight w:val="lightGray"/>
                <w:vertAlign w:val="superscript"/>
              </w:rPr>
              <w:t>(1)</w:t>
            </w:r>
          </w:p>
        </w:tc>
        <w:tc>
          <w:tcPr>
            <w:tcW w:w="1213" w:type="dxa"/>
          </w:tcPr>
          <w:p w:rsidR="004F4CD1" w:rsidRPr="00E8450A" w:rsidRDefault="004F4CD1" w:rsidP="00261815">
            <w:pPr>
              <w:ind w:left="-31"/>
              <w:jc w:val="left"/>
              <w:rPr>
                <w:b/>
                <w:bCs/>
                <w:noProof/>
                <w:szCs w:val="24"/>
                <w:highlight w:val="lightGray"/>
              </w:rPr>
            </w:pPr>
            <w:r w:rsidRPr="00E8450A">
              <w:rPr>
                <w:b/>
                <w:noProof/>
                <w:highlight w:val="lightGray"/>
              </w:rPr>
              <w:t>Najmenší počet pre PM</w:t>
            </w:r>
            <w:r w:rsidRPr="00E8450A">
              <w:rPr>
                <w:b/>
                <w:noProof/>
                <w:highlight w:val="lightGray"/>
                <w:vertAlign w:val="subscript"/>
              </w:rPr>
              <w:t>10</w:t>
            </w:r>
          </w:p>
        </w:tc>
        <w:tc>
          <w:tcPr>
            <w:tcW w:w="1275" w:type="dxa"/>
          </w:tcPr>
          <w:p w:rsidR="004F4CD1" w:rsidRPr="00E8450A" w:rsidRDefault="004F4CD1" w:rsidP="00261815">
            <w:pPr>
              <w:ind w:left="29" w:hanging="29"/>
              <w:jc w:val="left"/>
              <w:rPr>
                <w:b/>
                <w:bCs/>
                <w:noProof/>
                <w:szCs w:val="24"/>
                <w:highlight w:val="lightGray"/>
              </w:rPr>
            </w:pPr>
            <w:r w:rsidRPr="00E8450A">
              <w:rPr>
                <w:b/>
                <w:noProof/>
                <w:highlight w:val="lightGray"/>
              </w:rPr>
              <w:t>Najmenší počet pre PM</w:t>
            </w:r>
            <w:r w:rsidRPr="00E8450A">
              <w:rPr>
                <w:b/>
                <w:noProof/>
                <w:highlight w:val="lightGray"/>
                <w:vertAlign w:val="subscript"/>
              </w:rPr>
              <w:t>2,5</w:t>
            </w:r>
          </w:p>
        </w:tc>
        <w:tc>
          <w:tcPr>
            <w:tcW w:w="1276" w:type="dxa"/>
          </w:tcPr>
          <w:p w:rsidR="004F4CD1" w:rsidRPr="00E8450A" w:rsidRDefault="004F4CD1" w:rsidP="00261815">
            <w:pPr>
              <w:jc w:val="left"/>
              <w:rPr>
                <w:b/>
                <w:bCs/>
                <w:noProof/>
                <w:szCs w:val="24"/>
                <w:highlight w:val="lightGray"/>
              </w:rPr>
            </w:pPr>
            <w:r w:rsidRPr="00E8450A">
              <w:rPr>
                <w:b/>
                <w:noProof/>
                <w:highlight w:val="lightGray"/>
              </w:rPr>
              <w:t>Pb, Cd, As, Ni</w:t>
            </w:r>
            <w:r w:rsidR="008A1F90">
              <w:rPr>
                <w:b/>
                <w:noProof/>
                <w:highlight w:val="lightGray"/>
              </w:rPr>
              <w:t xml:space="preserve"> </w:t>
            </w:r>
            <w:r w:rsidRPr="00E8450A">
              <w:rPr>
                <w:noProof/>
              </w:rPr>
              <w:br/>
            </w:r>
            <w:r w:rsidRPr="00E8450A">
              <w:rPr>
                <w:b/>
                <w:noProof/>
                <w:highlight w:val="lightGray"/>
              </w:rPr>
              <w:t>v časticiach PM</w:t>
            </w:r>
            <w:r w:rsidRPr="00E8450A">
              <w:rPr>
                <w:b/>
                <w:noProof/>
                <w:highlight w:val="lightGray"/>
                <w:vertAlign w:val="subscript"/>
              </w:rPr>
              <w:t>10</w:t>
            </w:r>
          </w:p>
        </w:tc>
        <w:tc>
          <w:tcPr>
            <w:tcW w:w="1156" w:type="dxa"/>
            <w:tcBorders>
              <w:right w:val="nil"/>
            </w:tcBorders>
          </w:tcPr>
          <w:p w:rsidR="004F4CD1" w:rsidRPr="00E8450A" w:rsidRDefault="00D37B2F" w:rsidP="00261815">
            <w:pPr>
              <w:jc w:val="left"/>
              <w:rPr>
                <w:b/>
                <w:bCs/>
                <w:noProof/>
                <w:highlight w:val="lightGray"/>
              </w:rPr>
            </w:pPr>
            <w:r w:rsidRPr="00E8450A">
              <w:rPr>
                <w:b/>
                <w:noProof/>
                <w:highlight w:val="lightGray"/>
              </w:rPr>
              <w:t>Benzo[a]pyrén v časticiach PM</w:t>
            </w:r>
            <w:r w:rsidRPr="00E8450A">
              <w:rPr>
                <w:b/>
                <w:noProof/>
                <w:highlight w:val="lightGray"/>
                <w:vertAlign w:val="subscript"/>
              </w:rPr>
              <w:t>10</w:t>
            </w:r>
          </w:p>
        </w:tc>
      </w:tr>
      <w:tr w:rsidR="004F4CD1" w:rsidRPr="00E8450A" w:rsidTr="009D16E9">
        <w:tc>
          <w:tcPr>
            <w:tcW w:w="2009" w:type="dxa"/>
            <w:tcBorders>
              <w:left w:val="nil"/>
            </w:tcBorders>
          </w:tcPr>
          <w:p w:rsidR="004F4CD1" w:rsidRPr="00E8450A" w:rsidRDefault="004F4CD1" w:rsidP="00261815">
            <w:pPr>
              <w:ind w:left="851" w:hanging="851"/>
              <w:jc w:val="left"/>
              <w:rPr>
                <w:noProof/>
                <w:highlight w:val="lightGray"/>
              </w:rPr>
            </w:pPr>
            <w:r w:rsidRPr="00E8450A">
              <w:rPr>
                <w:noProof/>
                <w:highlight w:val="lightGray"/>
              </w:rPr>
              <w:t>0 – 249</w:t>
            </w:r>
          </w:p>
        </w:tc>
        <w:tc>
          <w:tcPr>
            <w:tcW w:w="1153" w:type="dxa"/>
          </w:tcPr>
          <w:p w:rsidR="004F4CD1" w:rsidRPr="00E8450A" w:rsidRDefault="004F4CD1" w:rsidP="00261815">
            <w:pPr>
              <w:ind w:left="851" w:hanging="851"/>
              <w:jc w:val="left"/>
              <w:rPr>
                <w:noProof/>
                <w:highlight w:val="lightGray"/>
              </w:rPr>
            </w:pPr>
            <w:r w:rsidRPr="00E8450A">
              <w:rPr>
                <w:noProof/>
                <w:highlight w:val="lightGray"/>
              </w:rPr>
              <w:t>2</w:t>
            </w:r>
          </w:p>
        </w:tc>
        <w:tc>
          <w:tcPr>
            <w:tcW w:w="1154" w:type="dxa"/>
          </w:tcPr>
          <w:p w:rsidR="004F4CD1" w:rsidRPr="00E8450A" w:rsidRDefault="004F4CD1" w:rsidP="00261815">
            <w:pPr>
              <w:ind w:left="851" w:hanging="851"/>
              <w:jc w:val="left"/>
              <w:rPr>
                <w:noProof/>
                <w:highlight w:val="lightGray"/>
              </w:rPr>
            </w:pPr>
            <w:r w:rsidRPr="00E8450A">
              <w:rPr>
                <w:noProof/>
                <w:highlight w:val="lightGray"/>
              </w:rPr>
              <w:t>4</w:t>
            </w:r>
          </w:p>
        </w:tc>
        <w:tc>
          <w:tcPr>
            <w:tcW w:w="1213" w:type="dxa"/>
          </w:tcPr>
          <w:p w:rsidR="004F4CD1" w:rsidRPr="00E8450A" w:rsidRDefault="004F4CD1" w:rsidP="00261815">
            <w:pPr>
              <w:ind w:left="851" w:hanging="851"/>
              <w:jc w:val="left"/>
              <w:rPr>
                <w:noProof/>
                <w:highlight w:val="lightGray"/>
              </w:rPr>
            </w:pPr>
            <w:r w:rsidRPr="00E8450A">
              <w:rPr>
                <w:noProof/>
                <w:highlight w:val="lightGray"/>
              </w:rPr>
              <w:t>2</w:t>
            </w:r>
          </w:p>
        </w:tc>
        <w:tc>
          <w:tcPr>
            <w:tcW w:w="1275" w:type="dxa"/>
          </w:tcPr>
          <w:p w:rsidR="004F4CD1" w:rsidRPr="00E8450A" w:rsidRDefault="004F4CD1" w:rsidP="00261815">
            <w:pPr>
              <w:ind w:left="851" w:hanging="851"/>
              <w:jc w:val="left"/>
              <w:rPr>
                <w:noProof/>
                <w:highlight w:val="lightGray"/>
              </w:rPr>
            </w:pPr>
            <w:r w:rsidRPr="00E8450A">
              <w:rPr>
                <w:noProof/>
                <w:highlight w:val="lightGray"/>
              </w:rPr>
              <w:t>2</w:t>
            </w:r>
          </w:p>
        </w:tc>
        <w:tc>
          <w:tcPr>
            <w:tcW w:w="1276" w:type="dxa"/>
          </w:tcPr>
          <w:p w:rsidR="004F4CD1" w:rsidRPr="00E8450A" w:rsidRDefault="004F4CD1" w:rsidP="00261815">
            <w:pPr>
              <w:ind w:left="851" w:hanging="851"/>
              <w:jc w:val="left"/>
              <w:rPr>
                <w:noProof/>
                <w:highlight w:val="lightGray"/>
              </w:rPr>
            </w:pPr>
            <w:r w:rsidRPr="00E8450A">
              <w:rPr>
                <w:noProof/>
                <w:highlight w:val="lightGray"/>
              </w:rPr>
              <w:t>1</w:t>
            </w:r>
          </w:p>
        </w:tc>
        <w:tc>
          <w:tcPr>
            <w:tcW w:w="1156" w:type="dxa"/>
            <w:tcBorders>
              <w:right w:val="nil"/>
            </w:tcBorders>
          </w:tcPr>
          <w:p w:rsidR="004F4CD1" w:rsidRPr="00E8450A" w:rsidRDefault="004F4CD1" w:rsidP="00261815">
            <w:pPr>
              <w:ind w:left="851" w:hanging="851"/>
              <w:jc w:val="left"/>
              <w:rPr>
                <w:noProof/>
                <w:highlight w:val="lightGray"/>
              </w:rPr>
            </w:pPr>
            <w:r w:rsidRPr="00E8450A">
              <w:rPr>
                <w:noProof/>
                <w:highlight w:val="lightGray"/>
              </w:rPr>
              <w:t>1</w:t>
            </w:r>
          </w:p>
        </w:tc>
      </w:tr>
      <w:tr w:rsidR="004F4CD1" w:rsidRPr="00E8450A" w:rsidTr="009D16E9">
        <w:tc>
          <w:tcPr>
            <w:tcW w:w="2009" w:type="dxa"/>
            <w:tcBorders>
              <w:left w:val="nil"/>
            </w:tcBorders>
          </w:tcPr>
          <w:p w:rsidR="004F4CD1" w:rsidRPr="00E8450A" w:rsidRDefault="004F4CD1" w:rsidP="00261815">
            <w:pPr>
              <w:ind w:left="851" w:hanging="851"/>
              <w:jc w:val="left"/>
              <w:rPr>
                <w:noProof/>
                <w:highlight w:val="lightGray"/>
              </w:rPr>
            </w:pPr>
            <w:r w:rsidRPr="00E8450A">
              <w:rPr>
                <w:noProof/>
                <w:highlight w:val="lightGray"/>
              </w:rPr>
              <w:t>250 – 499</w:t>
            </w:r>
          </w:p>
        </w:tc>
        <w:tc>
          <w:tcPr>
            <w:tcW w:w="1153" w:type="dxa"/>
          </w:tcPr>
          <w:p w:rsidR="004F4CD1" w:rsidRPr="00E8450A" w:rsidRDefault="004F4CD1" w:rsidP="00261815">
            <w:pPr>
              <w:ind w:left="851" w:hanging="851"/>
              <w:jc w:val="left"/>
              <w:rPr>
                <w:noProof/>
                <w:highlight w:val="lightGray"/>
              </w:rPr>
            </w:pPr>
            <w:r w:rsidRPr="00E8450A">
              <w:rPr>
                <w:noProof/>
                <w:highlight w:val="lightGray"/>
              </w:rPr>
              <w:t>2</w:t>
            </w:r>
          </w:p>
        </w:tc>
        <w:tc>
          <w:tcPr>
            <w:tcW w:w="1154" w:type="dxa"/>
          </w:tcPr>
          <w:p w:rsidR="004F4CD1" w:rsidRPr="00E8450A" w:rsidRDefault="004F4CD1" w:rsidP="00261815">
            <w:pPr>
              <w:ind w:left="851" w:hanging="851"/>
              <w:jc w:val="left"/>
              <w:rPr>
                <w:noProof/>
                <w:highlight w:val="lightGray"/>
              </w:rPr>
            </w:pPr>
            <w:r w:rsidRPr="00E8450A">
              <w:rPr>
                <w:noProof/>
                <w:highlight w:val="lightGray"/>
              </w:rPr>
              <w:t>4</w:t>
            </w:r>
          </w:p>
        </w:tc>
        <w:tc>
          <w:tcPr>
            <w:tcW w:w="1213" w:type="dxa"/>
          </w:tcPr>
          <w:p w:rsidR="004F4CD1" w:rsidRPr="00E8450A" w:rsidRDefault="004F4CD1" w:rsidP="00261815">
            <w:pPr>
              <w:ind w:left="851" w:hanging="851"/>
              <w:jc w:val="left"/>
              <w:rPr>
                <w:noProof/>
                <w:highlight w:val="lightGray"/>
              </w:rPr>
            </w:pPr>
            <w:r w:rsidRPr="00E8450A">
              <w:rPr>
                <w:noProof/>
                <w:highlight w:val="lightGray"/>
              </w:rPr>
              <w:t>2</w:t>
            </w:r>
          </w:p>
        </w:tc>
        <w:tc>
          <w:tcPr>
            <w:tcW w:w="1275" w:type="dxa"/>
          </w:tcPr>
          <w:p w:rsidR="004F4CD1" w:rsidRPr="00E8450A" w:rsidRDefault="004F4CD1" w:rsidP="00261815">
            <w:pPr>
              <w:ind w:left="851" w:hanging="851"/>
              <w:jc w:val="left"/>
              <w:rPr>
                <w:noProof/>
                <w:highlight w:val="lightGray"/>
              </w:rPr>
            </w:pPr>
            <w:r w:rsidRPr="00E8450A">
              <w:rPr>
                <w:noProof/>
                <w:highlight w:val="lightGray"/>
              </w:rPr>
              <w:t>2</w:t>
            </w:r>
          </w:p>
        </w:tc>
        <w:tc>
          <w:tcPr>
            <w:tcW w:w="1276" w:type="dxa"/>
          </w:tcPr>
          <w:p w:rsidR="004F4CD1" w:rsidRPr="00E8450A" w:rsidRDefault="004F4CD1" w:rsidP="00261815">
            <w:pPr>
              <w:ind w:left="851" w:hanging="851"/>
              <w:jc w:val="left"/>
              <w:rPr>
                <w:noProof/>
                <w:highlight w:val="lightGray"/>
              </w:rPr>
            </w:pPr>
            <w:r w:rsidRPr="00E8450A">
              <w:rPr>
                <w:noProof/>
                <w:highlight w:val="lightGray"/>
              </w:rPr>
              <w:t>1</w:t>
            </w:r>
          </w:p>
        </w:tc>
        <w:tc>
          <w:tcPr>
            <w:tcW w:w="1156" w:type="dxa"/>
            <w:tcBorders>
              <w:right w:val="nil"/>
            </w:tcBorders>
          </w:tcPr>
          <w:p w:rsidR="004F4CD1" w:rsidRPr="00E8450A" w:rsidRDefault="004F4CD1" w:rsidP="00261815">
            <w:pPr>
              <w:ind w:left="851" w:hanging="851"/>
              <w:jc w:val="left"/>
              <w:rPr>
                <w:noProof/>
                <w:highlight w:val="lightGray"/>
              </w:rPr>
            </w:pPr>
            <w:r w:rsidRPr="00E8450A">
              <w:rPr>
                <w:noProof/>
                <w:highlight w:val="lightGray"/>
              </w:rPr>
              <w:t>1</w:t>
            </w:r>
          </w:p>
        </w:tc>
      </w:tr>
      <w:tr w:rsidR="004F4CD1" w:rsidRPr="00E8450A" w:rsidTr="009D16E9">
        <w:tc>
          <w:tcPr>
            <w:tcW w:w="2009" w:type="dxa"/>
            <w:tcBorders>
              <w:left w:val="nil"/>
            </w:tcBorders>
          </w:tcPr>
          <w:p w:rsidR="004F4CD1" w:rsidRPr="00E8450A" w:rsidRDefault="004F4CD1" w:rsidP="00261815">
            <w:pPr>
              <w:ind w:left="851" w:hanging="851"/>
              <w:jc w:val="left"/>
              <w:rPr>
                <w:noProof/>
                <w:highlight w:val="lightGray"/>
              </w:rPr>
            </w:pPr>
            <w:r w:rsidRPr="00E8450A">
              <w:rPr>
                <w:noProof/>
                <w:highlight w:val="lightGray"/>
              </w:rPr>
              <w:t>500 – 749</w:t>
            </w:r>
          </w:p>
        </w:tc>
        <w:tc>
          <w:tcPr>
            <w:tcW w:w="1153" w:type="dxa"/>
          </w:tcPr>
          <w:p w:rsidR="004F4CD1" w:rsidRPr="00E8450A" w:rsidRDefault="004F4CD1" w:rsidP="00261815">
            <w:pPr>
              <w:ind w:left="851" w:hanging="851"/>
              <w:jc w:val="left"/>
              <w:rPr>
                <w:noProof/>
                <w:highlight w:val="lightGray"/>
              </w:rPr>
            </w:pPr>
            <w:r w:rsidRPr="00E8450A">
              <w:rPr>
                <w:noProof/>
                <w:highlight w:val="lightGray"/>
              </w:rPr>
              <w:t>2</w:t>
            </w:r>
          </w:p>
        </w:tc>
        <w:tc>
          <w:tcPr>
            <w:tcW w:w="1154" w:type="dxa"/>
          </w:tcPr>
          <w:p w:rsidR="004F4CD1" w:rsidRPr="00E8450A" w:rsidRDefault="004F4CD1" w:rsidP="00261815">
            <w:pPr>
              <w:ind w:left="851" w:hanging="851"/>
              <w:jc w:val="left"/>
              <w:rPr>
                <w:noProof/>
                <w:highlight w:val="lightGray"/>
              </w:rPr>
            </w:pPr>
            <w:r w:rsidRPr="00E8450A">
              <w:rPr>
                <w:noProof/>
                <w:highlight w:val="lightGray"/>
              </w:rPr>
              <w:t>4</w:t>
            </w:r>
          </w:p>
        </w:tc>
        <w:tc>
          <w:tcPr>
            <w:tcW w:w="1213" w:type="dxa"/>
          </w:tcPr>
          <w:p w:rsidR="004F4CD1" w:rsidRPr="00E8450A" w:rsidRDefault="004F4CD1" w:rsidP="00261815">
            <w:pPr>
              <w:ind w:left="851" w:hanging="851"/>
              <w:jc w:val="left"/>
              <w:rPr>
                <w:noProof/>
                <w:highlight w:val="lightGray"/>
              </w:rPr>
            </w:pPr>
            <w:r w:rsidRPr="00E8450A">
              <w:rPr>
                <w:noProof/>
                <w:highlight w:val="lightGray"/>
              </w:rPr>
              <w:t>2</w:t>
            </w:r>
          </w:p>
        </w:tc>
        <w:tc>
          <w:tcPr>
            <w:tcW w:w="1275" w:type="dxa"/>
          </w:tcPr>
          <w:p w:rsidR="004F4CD1" w:rsidRPr="00E8450A" w:rsidRDefault="004F4CD1" w:rsidP="00261815">
            <w:pPr>
              <w:ind w:left="851" w:hanging="851"/>
              <w:jc w:val="left"/>
              <w:rPr>
                <w:noProof/>
                <w:highlight w:val="lightGray"/>
              </w:rPr>
            </w:pPr>
            <w:r w:rsidRPr="00E8450A">
              <w:rPr>
                <w:noProof/>
                <w:highlight w:val="lightGray"/>
              </w:rPr>
              <w:t>2</w:t>
            </w:r>
          </w:p>
        </w:tc>
        <w:tc>
          <w:tcPr>
            <w:tcW w:w="1276" w:type="dxa"/>
          </w:tcPr>
          <w:p w:rsidR="004F4CD1" w:rsidRPr="00E8450A" w:rsidRDefault="004F4CD1" w:rsidP="00261815">
            <w:pPr>
              <w:ind w:left="851" w:hanging="851"/>
              <w:jc w:val="left"/>
              <w:rPr>
                <w:noProof/>
                <w:highlight w:val="lightGray"/>
              </w:rPr>
            </w:pPr>
            <w:r w:rsidRPr="00E8450A">
              <w:rPr>
                <w:noProof/>
                <w:highlight w:val="lightGray"/>
              </w:rPr>
              <w:t>1</w:t>
            </w:r>
          </w:p>
        </w:tc>
        <w:tc>
          <w:tcPr>
            <w:tcW w:w="1156" w:type="dxa"/>
            <w:tcBorders>
              <w:right w:val="nil"/>
            </w:tcBorders>
          </w:tcPr>
          <w:p w:rsidR="004F4CD1" w:rsidRPr="00E8450A" w:rsidRDefault="004F4CD1" w:rsidP="00261815">
            <w:pPr>
              <w:ind w:left="851" w:hanging="851"/>
              <w:jc w:val="left"/>
              <w:rPr>
                <w:noProof/>
                <w:highlight w:val="lightGray"/>
              </w:rPr>
            </w:pPr>
            <w:r w:rsidRPr="00E8450A">
              <w:rPr>
                <w:noProof/>
                <w:highlight w:val="lightGray"/>
              </w:rPr>
              <w:t>1</w:t>
            </w:r>
          </w:p>
        </w:tc>
      </w:tr>
      <w:tr w:rsidR="004F4CD1" w:rsidRPr="00E8450A" w:rsidTr="009D16E9">
        <w:tc>
          <w:tcPr>
            <w:tcW w:w="2009" w:type="dxa"/>
            <w:tcBorders>
              <w:left w:val="nil"/>
            </w:tcBorders>
          </w:tcPr>
          <w:p w:rsidR="004F4CD1" w:rsidRPr="00E8450A" w:rsidRDefault="004F4CD1" w:rsidP="00261815">
            <w:pPr>
              <w:ind w:left="851" w:hanging="851"/>
              <w:jc w:val="left"/>
              <w:rPr>
                <w:noProof/>
                <w:highlight w:val="lightGray"/>
              </w:rPr>
            </w:pPr>
            <w:r w:rsidRPr="00E8450A">
              <w:rPr>
                <w:noProof/>
                <w:highlight w:val="lightGray"/>
              </w:rPr>
              <w:t>750 – 999</w:t>
            </w:r>
          </w:p>
        </w:tc>
        <w:tc>
          <w:tcPr>
            <w:tcW w:w="1153" w:type="dxa"/>
          </w:tcPr>
          <w:p w:rsidR="004F4CD1" w:rsidRPr="00E8450A" w:rsidRDefault="004F4CD1" w:rsidP="00261815">
            <w:pPr>
              <w:ind w:left="851" w:hanging="851"/>
              <w:jc w:val="left"/>
              <w:rPr>
                <w:noProof/>
                <w:highlight w:val="lightGray"/>
              </w:rPr>
            </w:pPr>
            <w:r w:rsidRPr="00E8450A">
              <w:rPr>
                <w:noProof/>
                <w:highlight w:val="lightGray"/>
              </w:rPr>
              <w:t>3</w:t>
            </w:r>
          </w:p>
        </w:tc>
        <w:tc>
          <w:tcPr>
            <w:tcW w:w="1154" w:type="dxa"/>
          </w:tcPr>
          <w:p w:rsidR="004F4CD1" w:rsidRPr="00E8450A" w:rsidRDefault="004F4CD1" w:rsidP="00261815">
            <w:pPr>
              <w:ind w:left="851" w:hanging="851"/>
              <w:jc w:val="left"/>
              <w:rPr>
                <w:noProof/>
                <w:highlight w:val="lightGray"/>
              </w:rPr>
            </w:pPr>
            <w:r w:rsidRPr="00E8450A">
              <w:rPr>
                <w:noProof/>
                <w:highlight w:val="lightGray"/>
              </w:rPr>
              <w:t>4</w:t>
            </w:r>
          </w:p>
        </w:tc>
        <w:tc>
          <w:tcPr>
            <w:tcW w:w="1213" w:type="dxa"/>
          </w:tcPr>
          <w:p w:rsidR="004F4CD1" w:rsidRPr="00E8450A" w:rsidRDefault="004F4CD1" w:rsidP="00261815">
            <w:pPr>
              <w:ind w:left="851" w:hanging="851"/>
              <w:jc w:val="left"/>
              <w:rPr>
                <w:noProof/>
                <w:highlight w:val="lightGray"/>
              </w:rPr>
            </w:pPr>
            <w:r w:rsidRPr="00E8450A">
              <w:rPr>
                <w:noProof/>
                <w:highlight w:val="lightGray"/>
              </w:rPr>
              <w:t>2</w:t>
            </w:r>
          </w:p>
        </w:tc>
        <w:tc>
          <w:tcPr>
            <w:tcW w:w="1275" w:type="dxa"/>
          </w:tcPr>
          <w:p w:rsidR="004F4CD1" w:rsidRPr="00E8450A" w:rsidRDefault="004F4CD1" w:rsidP="00261815">
            <w:pPr>
              <w:ind w:left="851" w:hanging="851"/>
              <w:jc w:val="left"/>
              <w:rPr>
                <w:noProof/>
                <w:highlight w:val="lightGray"/>
              </w:rPr>
            </w:pPr>
            <w:r w:rsidRPr="00E8450A">
              <w:rPr>
                <w:noProof/>
                <w:highlight w:val="lightGray"/>
              </w:rPr>
              <w:t>2</w:t>
            </w:r>
          </w:p>
        </w:tc>
        <w:tc>
          <w:tcPr>
            <w:tcW w:w="1276" w:type="dxa"/>
          </w:tcPr>
          <w:p w:rsidR="004F4CD1" w:rsidRPr="00E8450A" w:rsidRDefault="004F4CD1" w:rsidP="00261815">
            <w:pPr>
              <w:ind w:left="851" w:hanging="851"/>
              <w:jc w:val="left"/>
              <w:rPr>
                <w:noProof/>
                <w:highlight w:val="lightGray"/>
              </w:rPr>
            </w:pPr>
            <w:r w:rsidRPr="00E8450A">
              <w:rPr>
                <w:noProof/>
                <w:highlight w:val="lightGray"/>
              </w:rPr>
              <w:t>2</w:t>
            </w:r>
          </w:p>
        </w:tc>
        <w:tc>
          <w:tcPr>
            <w:tcW w:w="1156" w:type="dxa"/>
            <w:tcBorders>
              <w:right w:val="nil"/>
            </w:tcBorders>
          </w:tcPr>
          <w:p w:rsidR="004F4CD1" w:rsidRPr="00E8450A" w:rsidRDefault="004F4CD1" w:rsidP="00261815">
            <w:pPr>
              <w:ind w:left="851" w:hanging="851"/>
              <w:jc w:val="left"/>
              <w:rPr>
                <w:noProof/>
                <w:highlight w:val="lightGray"/>
              </w:rPr>
            </w:pPr>
            <w:r w:rsidRPr="00E8450A">
              <w:rPr>
                <w:noProof/>
                <w:highlight w:val="lightGray"/>
              </w:rPr>
              <w:t>2</w:t>
            </w:r>
          </w:p>
        </w:tc>
      </w:tr>
      <w:tr w:rsidR="004F4CD1" w:rsidRPr="00E8450A" w:rsidTr="009D16E9">
        <w:tc>
          <w:tcPr>
            <w:tcW w:w="2009" w:type="dxa"/>
            <w:tcBorders>
              <w:left w:val="nil"/>
            </w:tcBorders>
          </w:tcPr>
          <w:p w:rsidR="004F4CD1" w:rsidRPr="00E8450A" w:rsidRDefault="004F4CD1" w:rsidP="00261815">
            <w:pPr>
              <w:ind w:left="851" w:hanging="851"/>
              <w:jc w:val="left"/>
              <w:rPr>
                <w:noProof/>
                <w:highlight w:val="lightGray"/>
              </w:rPr>
            </w:pPr>
            <w:r w:rsidRPr="00E8450A">
              <w:rPr>
                <w:noProof/>
                <w:highlight w:val="lightGray"/>
              </w:rPr>
              <w:t>1 000 – 1 499</w:t>
            </w:r>
          </w:p>
        </w:tc>
        <w:tc>
          <w:tcPr>
            <w:tcW w:w="1153" w:type="dxa"/>
          </w:tcPr>
          <w:p w:rsidR="004F4CD1" w:rsidRPr="00E8450A" w:rsidRDefault="004F4CD1" w:rsidP="00261815">
            <w:pPr>
              <w:ind w:left="851" w:hanging="851"/>
              <w:jc w:val="left"/>
              <w:rPr>
                <w:noProof/>
                <w:highlight w:val="lightGray"/>
              </w:rPr>
            </w:pPr>
            <w:r w:rsidRPr="00E8450A">
              <w:rPr>
                <w:noProof/>
                <w:highlight w:val="lightGray"/>
              </w:rPr>
              <w:t>4</w:t>
            </w:r>
          </w:p>
        </w:tc>
        <w:tc>
          <w:tcPr>
            <w:tcW w:w="1154" w:type="dxa"/>
          </w:tcPr>
          <w:p w:rsidR="004F4CD1" w:rsidRPr="00E8450A" w:rsidRDefault="004F4CD1" w:rsidP="00261815">
            <w:pPr>
              <w:ind w:left="851" w:hanging="851"/>
              <w:jc w:val="left"/>
              <w:rPr>
                <w:noProof/>
                <w:highlight w:val="lightGray"/>
              </w:rPr>
            </w:pPr>
            <w:r w:rsidRPr="00E8450A">
              <w:rPr>
                <w:noProof/>
                <w:highlight w:val="lightGray"/>
              </w:rPr>
              <w:t>6</w:t>
            </w:r>
          </w:p>
        </w:tc>
        <w:tc>
          <w:tcPr>
            <w:tcW w:w="1213" w:type="dxa"/>
          </w:tcPr>
          <w:p w:rsidR="004F4CD1" w:rsidRPr="00E8450A" w:rsidRDefault="004F4CD1" w:rsidP="00261815">
            <w:pPr>
              <w:ind w:left="851" w:hanging="851"/>
              <w:jc w:val="left"/>
              <w:rPr>
                <w:noProof/>
                <w:highlight w:val="lightGray"/>
              </w:rPr>
            </w:pPr>
            <w:r w:rsidRPr="00E8450A">
              <w:rPr>
                <w:noProof/>
                <w:highlight w:val="lightGray"/>
              </w:rPr>
              <w:t>2</w:t>
            </w:r>
          </w:p>
        </w:tc>
        <w:tc>
          <w:tcPr>
            <w:tcW w:w="1275" w:type="dxa"/>
          </w:tcPr>
          <w:p w:rsidR="004F4CD1" w:rsidRPr="00E8450A" w:rsidRDefault="004F4CD1" w:rsidP="00261815">
            <w:pPr>
              <w:ind w:left="851" w:hanging="851"/>
              <w:jc w:val="left"/>
              <w:rPr>
                <w:noProof/>
                <w:highlight w:val="lightGray"/>
              </w:rPr>
            </w:pPr>
            <w:r w:rsidRPr="00E8450A">
              <w:rPr>
                <w:noProof/>
                <w:highlight w:val="lightGray"/>
              </w:rPr>
              <w:t>2</w:t>
            </w:r>
          </w:p>
        </w:tc>
        <w:tc>
          <w:tcPr>
            <w:tcW w:w="1276" w:type="dxa"/>
          </w:tcPr>
          <w:p w:rsidR="004F4CD1" w:rsidRPr="00E8450A" w:rsidRDefault="004F4CD1" w:rsidP="00261815">
            <w:pPr>
              <w:ind w:left="851" w:hanging="851"/>
              <w:jc w:val="left"/>
              <w:rPr>
                <w:noProof/>
                <w:highlight w:val="lightGray"/>
              </w:rPr>
            </w:pPr>
            <w:r w:rsidRPr="00E8450A">
              <w:rPr>
                <w:noProof/>
                <w:highlight w:val="lightGray"/>
              </w:rPr>
              <w:t>2</w:t>
            </w:r>
          </w:p>
        </w:tc>
        <w:tc>
          <w:tcPr>
            <w:tcW w:w="1156" w:type="dxa"/>
            <w:tcBorders>
              <w:right w:val="nil"/>
            </w:tcBorders>
          </w:tcPr>
          <w:p w:rsidR="004F4CD1" w:rsidRPr="00E8450A" w:rsidRDefault="004F4CD1" w:rsidP="00261815">
            <w:pPr>
              <w:ind w:left="851" w:hanging="851"/>
              <w:jc w:val="left"/>
              <w:rPr>
                <w:noProof/>
                <w:highlight w:val="lightGray"/>
              </w:rPr>
            </w:pPr>
            <w:r w:rsidRPr="00E8450A">
              <w:rPr>
                <w:noProof/>
                <w:highlight w:val="lightGray"/>
              </w:rPr>
              <w:t>2</w:t>
            </w:r>
          </w:p>
        </w:tc>
      </w:tr>
      <w:tr w:rsidR="004F4CD1" w:rsidRPr="00E8450A" w:rsidTr="009D16E9">
        <w:tc>
          <w:tcPr>
            <w:tcW w:w="2009" w:type="dxa"/>
            <w:tcBorders>
              <w:left w:val="nil"/>
            </w:tcBorders>
          </w:tcPr>
          <w:p w:rsidR="004F4CD1" w:rsidRPr="00E8450A" w:rsidRDefault="004F4CD1" w:rsidP="00261815">
            <w:pPr>
              <w:ind w:left="851" w:hanging="851"/>
              <w:jc w:val="left"/>
              <w:rPr>
                <w:noProof/>
                <w:highlight w:val="lightGray"/>
              </w:rPr>
            </w:pPr>
            <w:r w:rsidRPr="00E8450A">
              <w:rPr>
                <w:noProof/>
                <w:highlight w:val="lightGray"/>
              </w:rPr>
              <w:t>1 500 – 1 999</w:t>
            </w:r>
          </w:p>
        </w:tc>
        <w:tc>
          <w:tcPr>
            <w:tcW w:w="1153" w:type="dxa"/>
          </w:tcPr>
          <w:p w:rsidR="004F4CD1" w:rsidRPr="00E8450A" w:rsidRDefault="004F4CD1" w:rsidP="00261815">
            <w:pPr>
              <w:ind w:left="851" w:hanging="851"/>
              <w:jc w:val="left"/>
              <w:rPr>
                <w:noProof/>
                <w:highlight w:val="lightGray"/>
              </w:rPr>
            </w:pPr>
            <w:r w:rsidRPr="00E8450A">
              <w:rPr>
                <w:noProof/>
                <w:highlight w:val="lightGray"/>
              </w:rPr>
              <w:t>5</w:t>
            </w:r>
          </w:p>
        </w:tc>
        <w:tc>
          <w:tcPr>
            <w:tcW w:w="1154" w:type="dxa"/>
          </w:tcPr>
          <w:p w:rsidR="004F4CD1" w:rsidRPr="00E8450A" w:rsidRDefault="004F4CD1" w:rsidP="00261815">
            <w:pPr>
              <w:ind w:left="851" w:hanging="851"/>
              <w:jc w:val="left"/>
              <w:rPr>
                <w:noProof/>
                <w:highlight w:val="lightGray"/>
              </w:rPr>
            </w:pPr>
            <w:r w:rsidRPr="00E8450A">
              <w:rPr>
                <w:noProof/>
                <w:highlight w:val="lightGray"/>
              </w:rPr>
              <w:t>7</w:t>
            </w:r>
          </w:p>
        </w:tc>
        <w:tc>
          <w:tcPr>
            <w:tcW w:w="1213" w:type="dxa"/>
          </w:tcPr>
          <w:p w:rsidR="004F4CD1" w:rsidRPr="00E8450A" w:rsidRDefault="004F4CD1" w:rsidP="00261815">
            <w:pPr>
              <w:ind w:left="851" w:hanging="851"/>
              <w:jc w:val="left"/>
              <w:rPr>
                <w:noProof/>
                <w:highlight w:val="lightGray"/>
              </w:rPr>
            </w:pPr>
            <w:r w:rsidRPr="00E8450A">
              <w:rPr>
                <w:noProof/>
                <w:highlight w:val="lightGray"/>
              </w:rPr>
              <w:t>3</w:t>
            </w:r>
          </w:p>
        </w:tc>
        <w:tc>
          <w:tcPr>
            <w:tcW w:w="1275" w:type="dxa"/>
          </w:tcPr>
          <w:p w:rsidR="004F4CD1" w:rsidRPr="00E8450A" w:rsidRDefault="004F4CD1" w:rsidP="00261815">
            <w:pPr>
              <w:ind w:left="851" w:hanging="851"/>
              <w:jc w:val="left"/>
              <w:rPr>
                <w:noProof/>
                <w:highlight w:val="lightGray"/>
              </w:rPr>
            </w:pPr>
            <w:r w:rsidRPr="00E8450A">
              <w:rPr>
                <w:noProof/>
                <w:highlight w:val="lightGray"/>
              </w:rPr>
              <w:t>3</w:t>
            </w:r>
          </w:p>
        </w:tc>
        <w:tc>
          <w:tcPr>
            <w:tcW w:w="1276" w:type="dxa"/>
          </w:tcPr>
          <w:p w:rsidR="004F4CD1" w:rsidRPr="00E8450A" w:rsidRDefault="004F4CD1" w:rsidP="00261815">
            <w:pPr>
              <w:ind w:left="851" w:hanging="851"/>
              <w:jc w:val="left"/>
              <w:rPr>
                <w:noProof/>
                <w:highlight w:val="lightGray"/>
              </w:rPr>
            </w:pPr>
            <w:r w:rsidRPr="00E8450A">
              <w:rPr>
                <w:noProof/>
                <w:highlight w:val="lightGray"/>
              </w:rPr>
              <w:t>2</w:t>
            </w:r>
          </w:p>
        </w:tc>
        <w:tc>
          <w:tcPr>
            <w:tcW w:w="1156" w:type="dxa"/>
            <w:tcBorders>
              <w:right w:val="nil"/>
            </w:tcBorders>
          </w:tcPr>
          <w:p w:rsidR="004F4CD1" w:rsidRPr="00E8450A" w:rsidRDefault="004F4CD1" w:rsidP="00261815">
            <w:pPr>
              <w:ind w:left="851" w:hanging="851"/>
              <w:jc w:val="left"/>
              <w:rPr>
                <w:noProof/>
                <w:highlight w:val="lightGray"/>
              </w:rPr>
            </w:pPr>
            <w:r w:rsidRPr="00E8450A">
              <w:rPr>
                <w:noProof/>
                <w:highlight w:val="lightGray"/>
              </w:rPr>
              <w:t>2</w:t>
            </w:r>
          </w:p>
        </w:tc>
      </w:tr>
      <w:tr w:rsidR="004F4CD1" w:rsidRPr="00E8450A" w:rsidTr="009D16E9">
        <w:tc>
          <w:tcPr>
            <w:tcW w:w="2009" w:type="dxa"/>
            <w:tcBorders>
              <w:left w:val="nil"/>
            </w:tcBorders>
          </w:tcPr>
          <w:p w:rsidR="004F4CD1" w:rsidRPr="00E8450A" w:rsidRDefault="004F4CD1" w:rsidP="00261815">
            <w:pPr>
              <w:ind w:left="851" w:hanging="851"/>
              <w:jc w:val="left"/>
              <w:rPr>
                <w:noProof/>
                <w:highlight w:val="lightGray"/>
              </w:rPr>
            </w:pPr>
            <w:r w:rsidRPr="00E8450A">
              <w:rPr>
                <w:noProof/>
                <w:highlight w:val="lightGray"/>
              </w:rPr>
              <w:t>2 000 – 2 749</w:t>
            </w:r>
          </w:p>
        </w:tc>
        <w:tc>
          <w:tcPr>
            <w:tcW w:w="1153" w:type="dxa"/>
          </w:tcPr>
          <w:p w:rsidR="004F4CD1" w:rsidRPr="00E8450A" w:rsidRDefault="004F4CD1" w:rsidP="00261815">
            <w:pPr>
              <w:ind w:left="851" w:hanging="851"/>
              <w:jc w:val="left"/>
              <w:rPr>
                <w:noProof/>
                <w:highlight w:val="lightGray"/>
              </w:rPr>
            </w:pPr>
            <w:r w:rsidRPr="00E8450A">
              <w:rPr>
                <w:noProof/>
                <w:highlight w:val="lightGray"/>
              </w:rPr>
              <w:t>6</w:t>
            </w:r>
          </w:p>
        </w:tc>
        <w:tc>
          <w:tcPr>
            <w:tcW w:w="1154" w:type="dxa"/>
          </w:tcPr>
          <w:p w:rsidR="004F4CD1" w:rsidRPr="00E8450A" w:rsidRDefault="004F4CD1" w:rsidP="00261815">
            <w:pPr>
              <w:ind w:left="851" w:hanging="851"/>
              <w:jc w:val="left"/>
              <w:rPr>
                <w:noProof/>
                <w:highlight w:val="lightGray"/>
              </w:rPr>
            </w:pPr>
            <w:r w:rsidRPr="00E8450A">
              <w:rPr>
                <w:noProof/>
                <w:highlight w:val="lightGray"/>
              </w:rPr>
              <w:t>8</w:t>
            </w:r>
          </w:p>
        </w:tc>
        <w:tc>
          <w:tcPr>
            <w:tcW w:w="1213" w:type="dxa"/>
          </w:tcPr>
          <w:p w:rsidR="004F4CD1" w:rsidRPr="00E8450A" w:rsidRDefault="004F4CD1" w:rsidP="00261815">
            <w:pPr>
              <w:ind w:left="851" w:hanging="851"/>
              <w:jc w:val="left"/>
              <w:rPr>
                <w:noProof/>
                <w:highlight w:val="lightGray"/>
              </w:rPr>
            </w:pPr>
            <w:r w:rsidRPr="00E8450A">
              <w:rPr>
                <w:noProof/>
                <w:highlight w:val="lightGray"/>
              </w:rPr>
              <w:t>3</w:t>
            </w:r>
          </w:p>
        </w:tc>
        <w:tc>
          <w:tcPr>
            <w:tcW w:w="1275" w:type="dxa"/>
          </w:tcPr>
          <w:p w:rsidR="004F4CD1" w:rsidRPr="00E8450A" w:rsidRDefault="004F4CD1" w:rsidP="00261815">
            <w:pPr>
              <w:ind w:left="851" w:hanging="851"/>
              <w:jc w:val="left"/>
              <w:rPr>
                <w:noProof/>
                <w:highlight w:val="lightGray"/>
              </w:rPr>
            </w:pPr>
            <w:r w:rsidRPr="00E8450A">
              <w:rPr>
                <w:noProof/>
                <w:highlight w:val="lightGray"/>
              </w:rPr>
              <w:t>3</w:t>
            </w:r>
          </w:p>
        </w:tc>
        <w:tc>
          <w:tcPr>
            <w:tcW w:w="1276" w:type="dxa"/>
          </w:tcPr>
          <w:p w:rsidR="004F4CD1" w:rsidRPr="00E8450A" w:rsidRDefault="004F4CD1" w:rsidP="00261815">
            <w:pPr>
              <w:ind w:left="851" w:hanging="851"/>
              <w:jc w:val="left"/>
              <w:rPr>
                <w:noProof/>
                <w:highlight w:val="lightGray"/>
              </w:rPr>
            </w:pPr>
            <w:r w:rsidRPr="00E8450A">
              <w:rPr>
                <w:noProof/>
                <w:highlight w:val="lightGray"/>
              </w:rPr>
              <w:t>2</w:t>
            </w:r>
          </w:p>
        </w:tc>
        <w:tc>
          <w:tcPr>
            <w:tcW w:w="1156" w:type="dxa"/>
            <w:tcBorders>
              <w:right w:val="nil"/>
            </w:tcBorders>
          </w:tcPr>
          <w:p w:rsidR="004F4CD1" w:rsidRPr="00E8450A" w:rsidRDefault="004F4CD1" w:rsidP="00261815">
            <w:pPr>
              <w:ind w:left="851" w:hanging="851"/>
              <w:jc w:val="left"/>
              <w:rPr>
                <w:noProof/>
                <w:highlight w:val="lightGray"/>
              </w:rPr>
            </w:pPr>
            <w:r w:rsidRPr="00E8450A">
              <w:rPr>
                <w:noProof/>
                <w:highlight w:val="lightGray"/>
              </w:rPr>
              <w:t>3</w:t>
            </w:r>
          </w:p>
        </w:tc>
      </w:tr>
      <w:tr w:rsidR="004F4CD1" w:rsidRPr="00E8450A" w:rsidTr="009D16E9">
        <w:tc>
          <w:tcPr>
            <w:tcW w:w="2009" w:type="dxa"/>
            <w:tcBorders>
              <w:left w:val="nil"/>
            </w:tcBorders>
          </w:tcPr>
          <w:p w:rsidR="004F4CD1" w:rsidRPr="00E8450A" w:rsidRDefault="004F4CD1" w:rsidP="00261815">
            <w:pPr>
              <w:ind w:left="851" w:hanging="851"/>
              <w:jc w:val="left"/>
              <w:rPr>
                <w:noProof/>
                <w:highlight w:val="lightGray"/>
              </w:rPr>
            </w:pPr>
            <w:r w:rsidRPr="00E8450A">
              <w:rPr>
                <w:noProof/>
                <w:highlight w:val="lightGray"/>
              </w:rPr>
              <w:t>2 750 – 3 749</w:t>
            </w:r>
          </w:p>
        </w:tc>
        <w:tc>
          <w:tcPr>
            <w:tcW w:w="1153" w:type="dxa"/>
          </w:tcPr>
          <w:p w:rsidR="004F4CD1" w:rsidRPr="00E8450A" w:rsidRDefault="004F4CD1" w:rsidP="00261815">
            <w:pPr>
              <w:ind w:left="851" w:hanging="851"/>
              <w:jc w:val="left"/>
              <w:rPr>
                <w:noProof/>
                <w:highlight w:val="lightGray"/>
              </w:rPr>
            </w:pPr>
            <w:r w:rsidRPr="00E8450A">
              <w:rPr>
                <w:noProof/>
                <w:highlight w:val="lightGray"/>
              </w:rPr>
              <w:t>7</w:t>
            </w:r>
          </w:p>
        </w:tc>
        <w:tc>
          <w:tcPr>
            <w:tcW w:w="1154" w:type="dxa"/>
          </w:tcPr>
          <w:p w:rsidR="004F4CD1" w:rsidRPr="00E8450A" w:rsidRDefault="004F4CD1" w:rsidP="00261815">
            <w:pPr>
              <w:ind w:left="851" w:hanging="851"/>
              <w:jc w:val="left"/>
              <w:rPr>
                <w:noProof/>
                <w:highlight w:val="lightGray"/>
              </w:rPr>
            </w:pPr>
            <w:r w:rsidRPr="00E8450A">
              <w:rPr>
                <w:noProof/>
                <w:highlight w:val="lightGray"/>
              </w:rPr>
              <w:t>10</w:t>
            </w:r>
          </w:p>
        </w:tc>
        <w:tc>
          <w:tcPr>
            <w:tcW w:w="1213" w:type="dxa"/>
          </w:tcPr>
          <w:p w:rsidR="004F4CD1" w:rsidRPr="00E8450A" w:rsidRDefault="004F4CD1" w:rsidP="00261815">
            <w:pPr>
              <w:ind w:left="851" w:hanging="851"/>
              <w:jc w:val="left"/>
              <w:rPr>
                <w:noProof/>
                <w:highlight w:val="lightGray"/>
              </w:rPr>
            </w:pPr>
            <w:r w:rsidRPr="00E8450A">
              <w:rPr>
                <w:noProof/>
                <w:highlight w:val="lightGray"/>
              </w:rPr>
              <w:t>4</w:t>
            </w:r>
          </w:p>
        </w:tc>
        <w:tc>
          <w:tcPr>
            <w:tcW w:w="1275" w:type="dxa"/>
          </w:tcPr>
          <w:p w:rsidR="004F4CD1" w:rsidRPr="00E8450A" w:rsidRDefault="004F4CD1" w:rsidP="00261815">
            <w:pPr>
              <w:ind w:left="851" w:hanging="851"/>
              <w:jc w:val="left"/>
              <w:rPr>
                <w:noProof/>
                <w:highlight w:val="lightGray"/>
              </w:rPr>
            </w:pPr>
            <w:r w:rsidRPr="00E8450A">
              <w:rPr>
                <w:noProof/>
                <w:highlight w:val="lightGray"/>
              </w:rPr>
              <w:t>4</w:t>
            </w:r>
          </w:p>
        </w:tc>
        <w:tc>
          <w:tcPr>
            <w:tcW w:w="1276" w:type="dxa"/>
          </w:tcPr>
          <w:p w:rsidR="004F4CD1" w:rsidRPr="00E8450A" w:rsidRDefault="004F4CD1" w:rsidP="00261815">
            <w:pPr>
              <w:ind w:left="851" w:hanging="851"/>
              <w:jc w:val="left"/>
              <w:rPr>
                <w:noProof/>
                <w:highlight w:val="lightGray"/>
              </w:rPr>
            </w:pPr>
            <w:r w:rsidRPr="00E8450A">
              <w:rPr>
                <w:noProof/>
                <w:highlight w:val="lightGray"/>
              </w:rPr>
              <w:t>2</w:t>
            </w:r>
          </w:p>
        </w:tc>
        <w:tc>
          <w:tcPr>
            <w:tcW w:w="1156" w:type="dxa"/>
            <w:tcBorders>
              <w:right w:val="nil"/>
            </w:tcBorders>
          </w:tcPr>
          <w:p w:rsidR="004F4CD1" w:rsidRPr="00E8450A" w:rsidRDefault="004F4CD1" w:rsidP="00261815">
            <w:pPr>
              <w:ind w:left="851" w:hanging="851"/>
              <w:jc w:val="left"/>
              <w:rPr>
                <w:noProof/>
                <w:highlight w:val="lightGray"/>
              </w:rPr>
            </w:pPr>
            <w:r w:rsidRPr="00E8450A">
              <w:rPr>
                <w:noProof/>
                <w:highlight w:val="lightGray"/>
              </w:rPr>
              <w:t>3</w:t>
            </w:r>
          </w:p>
        </w:tc>
      </w:tr>
      <w:tr w:rsidR="004F4CD1" w:rsidRPr="00E8450A" w:rsidTr="009D16E9">
        <w:tc>
          <w:tcPr>
            <w:tcW w:w="2009" w:type="dxa"/>
            <w:tcBorders>
              <w:left w:val="nil"/>
            </w:tcBorders>
          </w:tcPr>
          <w:p w:rsidR="004F4CD1" w:rsidRPr="00E8450A" w:rsidRDefault="004F4CD1" w:rsidP="00261815">
            <w:pPr>
              <w:ind w:left="851" w:hanging="851"/>
              <w:jc w:val="left"/>
              <w:rPr>
                <w:noProof/>
                <w:highlight w:val="lightGray"/>
              </w:rPr>
            </w:pPr>
            <w:r w:rsidRPr="00E8450A">
              <w:rPr>
                <w:noProof/>
                <w:highlight w:val="lightGray"/>
              </w:rPr>
              <w:t>3 750 – 4 749</w:t>
            </w:r>
          </w:p>
        </w:tc>
        <w:tc>
          <w:tcPr>
            <w:tcW w:w="1153" w:type="dxa"/>
          </w:tcPr>
          <w:p w:rsidR="004F4CD1" w:rsidRPr="00E8450A" w:rsidRDefault="004F4CD1" w:rsidP="00261815">
            <w:pPr>
              <w:ind w:left="851" w:hanging="851"/>
              <w:jc w:val="left"/>
              <w:rPr>
                <w:noProof/>
                <w:highlight w:val="lightGray"/>
              </w:rPr>
            </w:pPr>
            <w:r w:rsidRPr="00E8450A">
              <w:rPr>
                <w:noProof/>
                <w:highlight w:val="lightGray"/>
              </w:rPr>
              <w:t>8</w:t>
            </w:r>
          </w:p>
        </w:tc>
        <w:tc>
          <w:tcPr>
            <w:tcW w:w="1154" w:type="dxa"/>
          </w:tcPr>
          <w:p w:rsidR="004F4CD1" w:rsidRPr="00E8450A" w:rsidRDefault="004F4CD1" w:rsidP="00261815">
            <w:pPr>
              <w:ind w:left="851" w:hanging="851"/>
              <w:jc w:val="left"/>
              <w:rPr>
                <w:noProof/>
                <w:highlight w:val="lightGray"/>
              </w:rPr>
            </w:pPr>
            <w:r w:rsidRPr="00E8450A">
              <w:rPr>
                <w:noProof/>
                <w:highlight w:val="lightGray"/>
              </w:rPr>
              <w:t>11</w:t>
            </w:r>
          </w:p>
        </w:tc>
        <w:tc>
          <w:tcPr>
            <w:tcW w:w="1213" w:type="dxa"/>
          </w:tcPr>
          <w:p w:rsidR="004F4CD1" w:rsidRPr="00E8450A" w:rsidRDefault="004F4CD1" w:rsidP="00261815">
            <w:pPr>
              <w:ind w:left="851" w:hanging="851"/>
              <w:jc w:val="left"/>
              <w:rPr>
                <w:noProof/>
                <w:highlight w:val="lightGray"/>
              </w:rPr>
            </w:pPr>
            <w:r w:rsidRPr="00E8450A">
              <w:rPr>
                <w:noProof/>
                <w:highlight w:val="lightGray"/>
              </w:rPr>
              <w:t>4</w:t>
            </w:r>
          </w:p>
        </w:tc>
        <w:tc>
          <w:tcPr>
            <w:tcW w:w="1275" w:type="dxa"/>
          </w:tcPr>
          <w:p w:rsidR="004F4CD1" w:rsidRPr="00E8450A" w:rsidRDefault="004F4CD1" w:rsidP="00261815">
            <w:pPr>
              <w:ind w:left="851" w:hanging="851"/>
              <w:jc w:val="left"/>
              <w:rPr>
                <w:noProof/>
                <w:highlight w:val="lightGray"/>
              </w:rPr>
            </w:pPr>
            <w:r w:rsidRPr="00E8450A">
              <w:rPr>
                <w:noProof/>
                <w:highlight w:val="lightGray"/>
              </w:rPr>
              <w:t>4</w:t>
            </w:r>
          </w:p>
        </w:tc>
        <w:tc>
          <w:tcPr>
            <w:tcW w:w="1276" w:type="dxa"/>
          </w:tcPr>
          <w:p w:rsidR="004F4CD1" w:rsidRPr="00E8450A" w:rsidRDefault="004F4CD1" w:rsidP="00261815">
            <w:pPr>
              <w:ind w:left="851" w:hanging="851"/>
              <w:jc w:val="left"/>
              <w:rPr>
                <w:noProof/>
                <w:highlight w:val="lightGray"/>
              </w:rPr>
            </w:pPr>
            <w:r w:rsidRPr="00E8450A">
              <w:rPr>
                <w:noProof/>
                <w:highlight w:val="lightGray"/>
              </w:rPr>
              <w:t>3</w:t>
            </w:r>
          </w:p>
        </w:tc>
        <w:tc>
          <w:tcPr>
            <w:tcW w:w="1156" w:type="dxa"/>
            <w:tcBorders>
              <w:right w:val="nil"/>
            </w:tcBorders>
          </w:tcPr>
          <w:p w:rsidR="004F4CD1" w:rsidRPr="00E8450A" w:rsidRDefault="004F4CD1" w:rsidP="00261815">
            <w:pPr>
              <w:ind w:left="851" w:hanging="851"/>
              <w:jc w:val="left"/>
              <w:rPr>
                <w:noProof/>
                <w:highlight w:val="lightGray"/>
              </w:rPr>
            </w:pPr>
            <w:r w:rsidRPr="00E8450A">
              <w:rPr>
                <w:noProof/>
                <w:highlight w:val="lightGray"/>
              </w:rPr>
              <w:t>4</w:t>
            </w:r>
          </w:p>
        </w:tc>
      </w:tr>
      <w:tr w:rsidR="004F4CD1" w:rsidRPr="00E8450A" w:rsidTr="009D16E9">
        <w:tc>
          <w:tcPr>
            <w:tcW w:w="2009" w:type="dxa"/>
            <w:tcBorders>
              <w:left w:val="nil"/>
            </w:tcBorders>
          </w:tcPr>
          <w:p w:rsidR="004F4CD1" w:rsidRPr="00E8450A" w:rsidRDefault="004F4CD1" w:rsidP="00261815">
            <w:pPr>
              <w:ind w:left="851" w:hanging="851"/>
              <w:jc w:val="left"/>
              <w:rPr>
                <w:noProof/>
                <w:highlight w:val="lightGray"/>
              </w:rPr>
            </w:pPr>
            <w:r w:rsidRPr="00E8450A">
              <w:rPr>
                <w:noProof/>
                <w:highlight w:val="lightGray"/>
              </w:rPr>
              <w:t>4 750 – 5 999</w:t>
            </w:r>
          </w:p>
        </w:tc>
        <w:tc>
          <w:tcPr>
            <w:tcW w:w="1153" w:type="dxa"/>
          </w:tcPr>
          <w:p w:rsidR="004F4CD1" w:rsidRPr="00E8450A" w:rsidRDefault="004F4CD1" w:rsidP="00261815">
            <w:pPr>
              <w:ind w:left="851" w:hanging="851"/>
              <w:jc w:val="left"/>
              <w:rPr>
                <w:noProof/>
                <w:highlight w:val="lightGray"/>
              </w:rPr>
            </w:pPr>
            <w:r w:rsidRPr="00E8450A">
              <w:rPr>
                <w:noProof/>
                <w:highlight w:val="lightGray"/>
              </w:rPr>
              <w:t>9</w:t>
            </w:r>
          </w:p>
        </w:tc>
        <w:tc>
          <w:tcPr>
            <w:tcW w:w="1154" w:type="dxa"/>
          </w:tcPr>
          <w:p w:rsidR="004F4CD1" w:rsidRPr="00E8450A" w:rsidRDefault="004F4CD1" w:rsidP="00261815">
            <w:pPr>
              <w:ind w:left="851" w:hanging="851"/>
              <w:jc w:val="left"/>
              <w:rPr>
                <w:noProof/>
                <w:highlight w:val="lightGray"/>
              </w:rPr>
            </w:pPr>
            <w:r w:rsidRPr="00E8450A">
              <w:rPr>
                <w:noProof/>
                <w:highlight w:val="lightGray"/>
              </w:rPr>
              <w:t>13</w:t>
            </w:r>
          </w:p>
        </w:tc>
        <w:tc>
          <w:tcPr>
            <w:tcW w:w="1213" w:type="dxa"/>
          </w:tcPr>
          <w:p w:rsidR="004F4CD1" w:rsidRPr="00E8450A" w:rsidRDefault="004F4CD1" w:rsidP="00261815">
            <w:pPr>
              <w:ind w:left="851" w:hanging="851"/>
              <w:jc w:val="left"/>
              <w:rPr>
                <w:noProof/>
                <w:highlight w:val="lightGray"/>
              </w:rPr>
            </w:pPr>
            <w:r w:rsidRPr="00E8450A">
              <w:rPr>
                <w:noProof/>
                <w:highlight w:val="lightGray"/>
              </w:rPr>
              <w:t>5</w:t>
            </w:r>
          </w:p>
        </w:tc>
        <w:tc>
          <w:tcPr>
            <w:tcW w:w="1275" w:type="dxa"/>
          </w:tcPr>
          <w:p w:rsidR="004F4CD1" w:rsidRPr="00E8450A" w:rsidRDefault="004F4CD1" w:rsidP="00261815">
            <w:pPr>
              <w:ind w:left="851" w:hanging="851"/>
              <w:jc w:val="left"/>
              <w:rPr>
                <w:noProof/>
                <w:highlight w:val="lightGray"/>
              </w:rPr>
            </w:pPr>
            <w:r w:rsidRPr="00E8450A">
              <w:rPr>
                <w:noProof/>
                <w:highlight w:val="lightGray"/>
              </w:rPr>
              <w:t>5</w:t>
            </w:r>
          </w:p>
        </w:tc>
        <w:tc>
          <w:tcPr>
            <w:tcW w:w="1276" w:type="dxa"/>
          </w:tcPr>
          <w:p w:rsidR="004F4CD1" w:rsidRPr="00E8450A" w:rsidRDefault="004F4CD1" w:rsidP="00261815">
            <w:pPr>
              <w:ind w:left="851" w:hanging="851"/>
              <w:jc w:val="left"/>
              <w:rPr>
                <w:noProof/>
                <w:highlight w:val="lightGray"/>
              </w:rPr>
            </w:pPr>
            <w:r w:rsidRPr="00E8450A">
              <w:rPr>
                <w:noProof/>
                <w:highlight w:val="lightGray"/>
              </w:rPr>
              <w:t>4</w:t>
            </w:r>
          </w:p>
        </w:tc>
        <w:tc>
          <w:tcPr>
            <w:tcW w:w="1156" w:type="dxa"/>
            <w:tcBorders>
              <w:right w:val="nil"/>
            </w:tcBorders>
          </w:tcPr>
          <w:p w:rsidR="004F4CD1" w:rsidRPr="00E8450A" w:rsidRDefault="004F4CD1" w:rsidP="00261815">
            <w:pPr>
              <w:ind w:left="851" w:hanging="851"/>
              <w:jc w:val="left"/>
              <w:rPr>
                <w:noProof/>
                <w:highlight w:val="lightGray"/>
              </w:rPr>
            </w:pPr>
            <w:r w:rsidRPr="00E8450A">
              <w:rPr>
                <w:noProof/>
                <w:highlight w:val="lightGray"/>
              </w:rPr>
              <w:t>5</w:t>
            </w:r>
          </w:p>
        </w:tc>
      </w:tr>
      <w:tr w:rsidR="004F4CD1" w:rsidRPr="00E8450A" w:rsidTr="009D16E9">
        <w:tc>
          <w:tcPr>
            <w:tcW w:w="2009" w:type="dxa"/>
            <w:tcBorders>
              <w:left w:val="nil"/>
            </w:tcBorders>
          </w:tcPr>
          <w:p w:rsidR="004F4CD1" w:rsidRPr="00E8450A" w:rsidRDefault="004F4CD1" w:rsidP="00261815">
            <w:pPr>
              <w:ind w:left="851" w:hanging="851"/>
              <w:jc w:val="left"/>
              <w:rPr>
                <w:noProof/>
                <w:highlight w:val="lightGray"/>
              </w:rPr>
            </w:pPr>
            <w:r w:rsidRPr="00E8450A">
              <w:rPr>
                <w:noProof/>
                <w:highlight w:val="lightGray"/>
              </w:rPr>
              <w:t>6 000 a viac</w:t>
            </w:r>
          </w:p>
        </w:tc>
        <w:tc>
          <w:tcPr>
            <w:tcW w:w="1153" w:type="dxa"/>
          </w:tcPr>
          <w:p w:rsidR="004F4CD1" w:rsidRPr="00E8450A" w:rsidRDefault="004F4CD1" w:rsidP="00261815">
            <w:pPr>
              <w:ind w:left="851" w:hanging="851"/>
              <w:jc w:val="left"/>
              <w:rPr>
                <w:noProof/>
                <w:highlight w:val="lightGray"/>
              </w:rPr>
            </w:pPr>
            <w:r w:rsidRPr="00E8450A">
              <w:rPr>
                <w:noProof/>
                <w:highlight w:val="lightGray"/>
              </w:rPr>
              <w:t>10</w:t>
            </w:r>
          </w:p>
        </w:tc>
        <w:tc>
          <w:tcPr>
            <w:tcW w:w="1154" w:type="dxa"/>
          </w:tcPr>
          <w:p w:rsidR="004F4CD1" w:rsidRPr="00E8450A" w:rsidRDefault="004F4CD1" w:rsidP="00261815">
            <w:pPr>
              <w:ind w:left="851" w:hanging="851"/>
              <w:jc w:val="left"/>
              <w:rPr>
                <w:noProof/>
                <w:highlight w:val="lightGray"/>
              </w:rPr>
            </w:pPr>
            <w:r w:rsidRPr="00E8450A">
              <w:rPr>
                <w:noProof/>
                <w:highlight w:val="lightGray"/>
              </w:rPr>
              <w:t>15</w:t>
            </w:r>
          </w:p>
        </w:tc>
        <w:tc>
          <w:tcPr>
            <w:tcW w:w="1213" w:type="dxa"/>
          </w:tcPr>
          <w:p w:rsidR="004F4CD1" w:rsidRPr="00E8450A" w:rsidRDefault="004F4CD1" w:rsidP="00261815">
            <w:pPr>
              <w:ind w:left="851" w:hanging="851"/>
              <w:jc w:val="left"/>
              <w:rPr>
                <w:noProof/>
                <w:highlight w:val="lightGray"/>
              </w:rPr>
            </w:pPr>
            <w:r w:rsidRPr="00E8450A">
              <w:rPr>
                <w:noProof/>
                <w:highlight w:val="lightGray"/>
              </w:rPr>
              <w:t>5</w:t>
            </w:r>
          </w:p>
        </w:tc>
        <w:tc>
          <w:tcPr>
            <w:tcW w:w="1275" w:type="dxa"/>
          </w:tcPr>
          <w:p w:rsidR="004F4CD1" w:rsidRPr="00E8450A" w:rsidRDefault="004F4CD1" w:rsidP="00261815">
            <w:pPr>
              <w:ind w:left="851" w:hanging="851"/>
              <w:jc w:val="left"/>
              <w:rPr>
                <w:noProof/>
                <w:highlight w:val="lightGray"/>
              </w:rPr>
            </w:pPr>
            <w:r w:rsidRPr="00E8450A">
              <w:rPr>
                <w:noProof/>
                <w:highlight w:val="lightGray"/>
              </w:rPr>
              <w:t>5</w:t>
            </w:r>
          </w:p>
        </w:tc>
        <w:tc>
          <w:tcPr>
            <w:tcW w:w="1276" w:type="dxa"/>
          </w:tcPr>
          <w:p w:rsidR="004F4CD1" w:rsidRPr="00E8450A" w:rsidRDefault="004F4CD1" w:rsidP="00261815">
            <w:pPr>
              <w:ind w:left="851" w:hanging="851"/>
              <w:jc w:val="left"/>
              <w:rPr>
                <w:noProof/>
                <w:highlight w:val="lightGray"/>
              </w:rPr>
            </w:pPr>
            <w:r w:rsidRPr="00E8450A">
              <w:rPr>
                <w:noProof/>
                <w:highlight w:val="lightGray"/>
              </w:rPr>
              <w:t>5</w:t>
            </w:r>
          </w:p>
        </w:tc>
        <w:tc>
          <w:tcPr>
            <w:tcW w:w="1156" w:type="dxa"/>
            <w:tcBorders>
              <w:right w:val="nil"/>
            </w:tcBorders>
          </w:tcPr>
          <w:p w:rsidR="004F4CD1" w:rsidRPr="00E8450A" w:rsidRDefault="004F4CD1" w:rsidP="00261815">
            <w:pPr>
              <w:ind w:left="851" w:hanging="851"/>
              <w:jc w:val="left"/>
              <w:rPr>
                <w:noProof/>
                <w:highlight w:val="lightGray"/>
              </w:rPr>
            </w:pPr>
            <w:r w:rsidRPr="00E8450A">
              <w:rPr>
                <w:noProof/>
                <w:highlight w:val="lightGray"/>
              </w:rPr>
              <w:t>5</w:t>
            </w:r>
          </w:p>
        </w:tc>
      </w:tr>
      <w:tr w:rsidR="004F4CD1" w:rsidRPr="00E8450A" w:rsidTr="009D16E9">
        <w:trPr>
          <w:trHeight w:val="455"/>
        </w:trPr>
        <w:tc>
          <w:tcPr>
            <w:tcW w:w="9236" w:type="dxa"/>
            <w:gridSpan w:val="7"/>
            <w:tcBorders>
              <w:left w:val="nil"/>
              <w:right w:val="nil"/>
            </w:tcBorders>
          </w:tcPr>
          <w:p w:rsidR="004F4CD1" w:rsidRPr="00E8450A" w:rsidRDefault="004F4CD1" w:rsidP="00027D24">
            <w:pPr>
              <w:pStyle w:val="FootnoteText"/>
              <w:numPr>
                <w:ilvl w:val="0"/>
                <w:numId w:val="14"/>
              </w:numPr>
              <w:autoSpaceDE w:val="0"/>
              <w:autoSpaceDN w:val="0"/>
              <w:spacing w:before="120" w:after="120"/>
              <w:ind w:left="357" w:hanging="357"/>
              <w:rPr>
                <w:noProof/>
                <w:highlight w:val="lightGray"/>
              </w:rPr>
            </w:pPr>
            <w:r w:rsidRPr="00E8450A">
              <w:rPr>
                <w:noProof/>
                <w:highlight w:val="lightGray"/>
              </w:rPr>
              <w:t>Počet vzorkovacích miest pre PM</w:t>
            </w:r>
            <w:r w:rsidRPr="00E8450A">
              <w:rPr>
                <w:noProof/>
                <w:highlight w:val="lightGray"/>
                <w:vertAlign w:val="subscript"/>
              </w:rPr>
              <w:t>2,5</w:t>
            </w:r>
            <w:r w:rsidRPr="00E8450A">
              <w:rPr>
                <w:noProof/>
                <w:highlight w:val="lightGray"/>
              </w:rPr>
              <w:t xml:space="preserve"> a NO</w:t>
            </w:r>
            <w:r w:rsidRPr="00E8450A">
              <w:rPr>
                <w:noProof/>
                <w:highlight w:val="lightGray"/>
                <w:vertAlign w:val="subscript"/>
              </w:rPr>
              <w:t>2</w:t>
            </w:r>
            <w:r w:rsidRPr="00E8450A">
              <w:rPr>
                <w:noProof/>
                <w:highlight w:val="lightGray"/>
              </w:rPr>
              <w:t xml:space="preserve"> na mestských pozaďových miestach mestských oblastí musí spĺňať požiadavky stanovené v časti B.</w:t>
            </w:r>
          </w:p>
        </w:tc>
      </w:tr>
    </w:tbl>
    <w:p w:rsidR="004F4CD1" w:rsidRPr="00E8450A" w:rsidRDefault="004F4CD1" w:rsidP="004F4CD1">
      <w:pPr>
        <w:rPr>
          <w:noProof/>
          <w:highlight w:val="lightGray"/>
        </w:rPr>
      </w:pPr>
    </w:p>
    <w:p w:rsidR="00BA3DB8" w:rsidRPr="00E8450A" w:rsidRDefault="00BA3DB8">
      <w:pPr>
        <w:spacing w:before="0" w:after="200" w:line="276" w:lineRule="auto"/>
        <w:jc w:val="left"/>
        <w:rPr>
          <w:i/>
          <w:iCs/>
          <w:noProof/>
          <w:highlight w:val="lightGray"/>
        </w:rPr>
      </w:pPr>
      <w:r w:rsidRPr="00E8450A">
        <w:rPr>
          <w:noProof/>
        </w:rPr>
        <w:br w:type="page"/>
      </w:r>
    </w:p>
    <w:p w:rsidR="004F4CD1" w:rsidRPr="00E8450A" w:rsidRDefault="004F4CD1" w:rsidP="009D16E9">
      <w:pPr>
        <w:rPr>
          <w:i/>
          <w:iCs/>
          <w:noProof/>
          <w:highlight w:val="lightGray"/>
        </w:rPr>
      </w:pPr>
      <w:r w:rsidRPr="00E8450A">
        <w:rPr>
          <w:i/>
          <w:noProof/>
          <w:highlight w:val="lightGray"/>
        </w:rPr>
        <w:lastRenderedPageBreak/>
        <w:t>Tabuľka 2 – Najmenší počet vzorkovacích miest pre stále meranie na hodnotenie dodržiavania cieľových hodnôt pre ozón, dlhodobých cieľov, informačných a výstražných prahov, ak sú takéto merania jediným zdrojom informácií (len pre ozón)</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08"/>
        <w:gridCol w:w="5764"/>
      </w:tblGrid>
      <w:tr w:rsidR="003262D1" w:rsidRPr="00E8450A" w:rsidTr="003262D1">
        <w:tc>
          <w:tcPr>
            <w:tcW w:w="3308" w:type="dxa"/>
            <w:tcBorders>
              <w:left w:val="nil"/>
            </w:tcBorders>
          </w:tcPr>
          <w:p w:rsidR="003262D1" w:rsidRPr="00E8450A" w:rsidRDefault="003262D1" w:rsidP="00261815">
            <w:pPr>
              <w:jc w:val="left"/>
              <w:rPr>
                <w:b/>
                <w:bCs/>
                <w:noProof/>
                <w:highlight w:val="lightGray"/>
              </w:rPr>
            </w:pPr>
            <w:r w:rsidRPr="00E8450A">
              <w:rPr>
                <w:b/>
                <w:noProof/>
                <w:highlight w:val="lightGray"/>
              </w:rPr>
              <w:t>Počet obyvateľov</w:t>
            </w:r>
            <w:r w:rsidRPr="00E8450A">
              <w:rPr>
                <w:noProof/>
              </w:rPr>
              <w:t xml:space="preserve"> </w:t>
            </w:r>
            <w:r w:rsidRPr="00E8450A">
              <w:rPr>
                <w:noProof/>
              </w:rPr>
              <w:br/>
            </w:r>
            <w:r w:rsidRPr="00E8450A">
              <w:rPr>
                <w:b/>
                <w:noProof/>
                <w:highlight w:val="lightGray"/>
              </w:rPr>
              <w:t>(v tisícoch)</w:t>
            </w:r>
          </w:p>
        </w:tc>
        <w:tc>
          <w:tcPr>
            <w:tcW w:w="5764" w:type="dxa"/>
            <w:tcBorders>
              <w:right w:val="nil"/>
            </w:tcBorders>
          </w:tcPr>
          <w:p w:rsidR="003262D1" w:rsidRPr="00E8450A" w:rsidRDefault="003262D1" w:rsidP="00261815">
            <w:pPr>
              <w:jc w:val="left"/>
              <w:rPr>
                <w:b/>
                <w:bCs/>
                <w:noProof/>
                <w:highlight w:val="lightGray"/>
              </w:rPr>
            </w:pPr>
            <w:r w:rsidRPr="00E8450A">
              <w:rPr>
                <w:b/>
                <w:noProof/>
                <w:highlight w:val="lightGray"/>
              </w:rPr>
              <w:t xml:space="preserve">Najmenší počet vzorkovacích miest, ak sa počet vzorkovacích miest zníži až o 50 % </w:t>
            </w:r>
            <w:r w:rsidRPr="00E8450A">
              <w:rPr>
                <w:b/>
                <w:noProof/>
                <w:highlight w:val="lightGray"/>
                <w:vertAlign w:val="superscript"/>
              </w:rPr>
              <w:t>(1)</w:t>
            </w:r>
          </w:p>
        </w:tc>
      </w:tr>
      <w:tr w:rsidR="003262D1" w:rsidRPr="00E8450A" w:rsidTr="003262D1">
        <w:tc>
          <w:tcPr>
            <w:tcW w:w="3308" w:type="dxa"/>
            <w:tcBorders>
              <w:left w:val="nil"/>
            </w:tcBorders>
          </w:tcPr>
          <w:p w:rsidR="003262D1" w:rsidRPr="00E8450A" w:rsidRDefault="003262D1" w:rsidP="004F4CD1">
            <w:pPr>
              <w:rPr>
                <w:noProof/>
                <w:highlight w:val="lightGray"/>
              </w:rPr>
            </w:pPr>
            <w:r w:rsidRPr="00E8450A">
              <w:rPr>
                <w:noProof/>
                <w:highlight w:val="lightGray"/>
              </w:rPr>
              <w:t>&lt; 250</w:t>
            </w:r>
          </w:p>
        </w:tc>
        <w:tc>
          <w:tcPr>
            <w:tcW w:w="5764" w:type="dxa"/>
            <w:tcBorders>
              <w:right w:val="nil"/>
            </w:tcBorders>
          </w:tcPr>
          <w:p w:rsidR="003262D1" w:rsidRPr="00E8450A" w:rsidRDefault="003262D1" w:rsidP="004F4CD1">
            <w:pPr>
              <w:rPr>
                <w:noProof/>
                <w:highlight w:val="lightGray"/>
              </w:rPr>
            </w:pPr>
            <w:r w:rsidRPr="00E8450A">
              <w:rPr>
                <w:noProof/>
                <w:highlight w:val="lightGray"/>
              </w:rPr>
              <w:t>1</w:t>
            </w:r>
          </w:p>
        </w:tc>
      </w:tr>
      <w:tr w:rsidR="003262D1" w:rsidRPr="00E8450A" w:rsidTr="003262D1">
        <w:tc>
          <w:tcPr>
            <w:tcW w:w="3308" w:type="dxa"/>
            <w:tcBorders>
              <w:left w:val="nil"/>
            </w:tcBorders>
          </w:tcPr>
          <w:p w:rsidR="003262D1" w:rsidRPr="00E8450A" w:rsidRDefault="003262D1" w:rsidP="004F4CD1">
            <w:pPr>
              <w:rPr>
                <w:noProof/>
                <w:highlight w:val="lightGray"/>
              </w:rPr>
            </w:pPr>
            <w:r w:rsidRPr="00E8450A">
              <w:rPr>
                <w:noProof/>
                <w:highlight w:val="lightGray"/>
              </w:rPr>
              <w:t>&lt; 500</w:t>
            </w:r>
          </w:p>
        </w:tc>
        <w:tc>
          <w:tcPr>
            <w:tcW w:w="5764" w:type="dxa"/>
            <w:tcBorders>
              <w:right w:val="nil"/>
            </w:tcBorders>
          </w:tcPr>
          <w:p w:rsidR="003262D1" w:rsidRPr="00E8450A" w:rsidRDefault="003262D1" w:rsidP="004F4CD1">
            <w:pPr>
              <w:rPr>
                <w:noProof/>
                <w:highlight w:val="lightGray"/>
              </w:rPr>
            </w:pPr>
            <w:r w:rsidRPr="00E8450A">
              <w:rPr>
                <w:noProof/>
                <w:highlight w:val="lightGray"/>
              </w:rPr>
              <w:t>2</w:t>
            </w:r>
          </w:p>
        </w:tc>
      </w:tr>
      <w:tr w:rsidR="003262D1" w:rsidRPr="00E8450A" w:rsidTr="003262D1">
        <w:tc>
          <w:tcPr>
            <w:tcW w:w="3308" w:type="dxa"/>
            <w:tcBorders>
              <w:left w:val="nil"/>
            </w:tcBorders>
          </w:tcPr>
          <w:p w:rsidR="003262D1" w:rsidRPr="00E8450A" w:rsidRDefault="003262D1" w:rsidP="004F4CD1">
            <w:pPr>
              <w:rPr>
                <w:noProof/>
                <w:highlight w:val="lightGray"/>
              </w:rPr>
            </w:pPr>
            <w:r w:rsidRPr="00E8450A">
              <w:rPr>
                <w:noProof/>
                <w:highlight w:val="lightGray"/>
              </w:rPr>
              <w:t>&lt; 1 000</w:t>
            </w:r>
          </w:p>
        </w:tc>
        <w:tc>
          <w:tcPr>
            <w:tcW w:w="5764" w:type="dxa"/>
            <w:tcBorders>
              <w:right w:val="nil"/>
            </w:tcBorders>
          </w:tcPr>
          <w:p w:rsidR="003262D1" w:rsidRPr="00E8450A" w:rsidRDefault="003262D1" w:rsidP="004F4CD1">
            <w:pPr>
              <w:rPr>
                <w:noProof/>
                <w:highlight w:val="lightGray"/>
              </w:rPr>
            </w:pPr>
            <w:r w:rsidRPr="00E8450A">
              <w:rPr>
                <w:noProof/>
                <w:highlight w:val="lightGray"/>
              </w:rPr>
              <w:t>2</w:t>
            </w:r>
          </w:p>
        </w:tc>
      </w:tr>
      <w:tr w:rsidR="003262D1" w:rsidRPr="00E8450A" w:rsidTr="003262D1">
        <w:tc>
          <w:tcPr>
            <w:tcW w:w="3308" w:type="dxa"/>
            <w:tcBorders>
              <w:left w:val="nil"/>
            </w:tcBorders>
          </w:tcPr>
          <w:p w:rsidR="003262D1" w:rsidRPr="00E8450A" w:rsidRDefault="003262D1" w:rsidP="004F4CD1">
            <w:pPr>
              <w:rPr>
                <w:noProof/>
                <w:highlight w:val="lightGray"/>
              </w:rPr>
            </w:pPr>
            <w:r w:rsidRPr="00E8450A">
              <w:rPr>
                <w:noProof/>
                <w:highlight w:val="lightGray"/>
              </w:rPr>
              <w:t>&lt; 1 500</w:t>
            </w:r>
          </w:p>
        </w:tc>
        <w:tc>
          <w:tcPr>
            <w:tcW w:w="5764" w:type="dxa"/>
            <w:tcBorders>
              <w:right w:val="nil"/>
            </w:tcBorders>
          </w:tcPr>
          <w:p w:rsidR="003262D1" w:rsidRPr="00E8450A" w:rsidRDefault="003262D1" w:rsidP="004F4CD1">
            <w:pPr>
              <w:rPr>
                <w:noProof/>
                <w:highlight w:val="lightGray"/>
              </w:rPr>
            </w:pPr>
            <w:r w:rsidRPr="00E8450A">
              <w:rPr>
                <w:noProof/>
                <w:highlight w:val="lightGray"/>
              </w:rPr>
              <w:t>3</w:t>
            </w:r>
          </w:p>
        </w:tc>
      </w:tr>
      <w:tr w:rsidR="003262D1" w:rsidRPr="00E8450A" w:rsidTr="003262D1">
        <w:tc>
          <w:tcPr>
            <w:tcW w:w="3308" w:type="dxa"/>
            <w:tcBorders>
              <w:left w:val="nil"/>
            </w:tcBorders>
          </w:tcPr>
          <w:p w:rsidR="003262D1" w:rsidRPr="00E8450A" w:rsidRDefault="003262D1" w:rsidP="004F4CD1">
            <w:pPr>
              <w:rPr>
                <w:noProof/>
                <w:highlight w:val="lightGray"/>
              </w:rPr>
            </w:pPr>
            <w:r w:rsidRPr="00E8450A">
              <w:rPr>
                <w:noProof/>
                <w:highlight w:val="lightGray"/>
              </w:rPr>
              <w:t>&lt; 2 000</w:t>
            </w:r>
          </w:p>
        </w:tc>
        <w:tc>
          <w:tcPr>
            <w:tcW w:w="5764" w:type="dxa"/>
            <w:tcBorders>
              <w:right w:val="nil"/>
            </w:tcBorders>
          </w:tcPr>
          <w:p w:rsidR="003262D1" w:rsidRPr="00E8450A" w:rsidRDefault="003262D1" w:rsidP="004F4CD1">
            <w:pPr>
              <w:rPr>
                <w:noProof/>
                <w:highlight w:val="lightGray"/>
              </w:rPr>
            </w:pPr>
            <w:r w:rsidRPr="00E8450A">
              <w:rPr>
                <w:noProof/>
                <w:highlight w:val="lightGray"/>
              </w:rPr>
              <w:t>4</w:t>
            </w:r>
          </w:p>
        </w:tc>
      </w:tr>
      <w:tr w:rsidR="003262D1" w:rsidRPr="00E8450A" w:rsidTr="003262D1">
        <w:tc>
          <w:tcPr>
            <w:tcW w:w="3308" w:type="dxa"/>
            <w:tcBorders>
              <w:left w:val="nil"/>
            </w:tcBorders>
          </w:tcPr>
          <w:p w:rsidR="003262D1" w:rsidRPr="00E8450A" w:rsidRDefault="003262D1" w:rsidP="004F4CD1">
            <w:pPr>
              <w:rPr>
                <w:noProof/>
                <w:highlight w:val="lightGray"/>
              </w:rPr>
            </w:pPr>
            <w:r w:rsidRPr="00E8450A">
              <w:rPr>
                <w:noProof/>
                <w:highlight w:val="lightGray"/>
              </w:rPr>
              <w:t>&lt; 2 750</w:t>
            </w:r>
          </w:p>
        </w:tc>
        <w:tc>
          <w:tcPr>
            <w:tcW w:w="5764" w:type="dxa"/>
            <w:tcBorders>
              <w:right w:val="nil"/>
            </w:tcBorders>
          </w:tcPr>
          <w:p w:rsidR="003262D1" w:rsidRPr="00E8450A" w:rsidRDefault="003262D1" w:rsidP="004F4CD1">
            <w:pPr>
              <w:rPr>
                <w:noProof/>
                <w:highlight w:val="lightGray"/>
              </w:rPr>
            </w:pPr>
            <w:r w:rsidRPr="00E8450A">
              <w:rPr>
                <w:noProof/>
                <w:highlight w:val="lightGray"/>
              </w:rPr>
              <w:t>5</w:t>
            </w:r>
          </w:p>
        </w:tc>
      </w:tr>
      <w:tr w:rsidR="003262D1" w:rsidRPr="00E8450A" w:rsidTr="003262D1">
        <w:tc>
          <w:tcPr>
            <w:tcW w:w="3308" w:type="dxa"/>
            <w:tcBorders>
              <w:left w:val="nil"/>
            </w:tcBorders>
          </w:tcPr>
          <w:p w:rsidR="003262D1" w:rsidRPr="00E8450A" w:rsidRDefault="003262D1" w:rsidP="004F4CD1">
            <w:pPr>
              <w:rPr>
                <w:noProof/>
                <w:highlight w:val="lightGray"/>
              </w:rPr>
            </w:pPr>
            <w:r w:rsidRPr="00E8450A">
              <w:rPr>
                <w:noProof/>
                <w:highlight w:val="lightGray"/>
              </w:rPr>
              <w:t>&lt; 3 750</w:t>
            </w:r>
          </w:p>
        </w:tc>
        <w:tc>
          <w:tcPr>
            <w:tcW w:w="5764" w:type="dxa"/>
            <w:tcBorders>
              <w:right w:val="nil"/>
            </w:tcBorders>
          </w:tcPr>
          <w:p w:rsidR="003262D1" w:rsidRPr="00E8450A" w:rsidRDefault="003262D1" w:rsidP="004F4CD1">
            <w:pPr>
              <w:rPr>
                <w:noProof/>
                <w:highlight w:val="lightGray"/>
              </w:rPr>
            </w:pPr>
            <w:r w:rsidRPr="00E8450A">
              <w:rPr>
                <w:noProof/>
                <w:highlight w:val="lightGray"/>
              </w:rPr>
              <w:t>6</w:t>
            </w:r>
          </w:p>
        </w:tc>
      </w:tr>
      <w:tr w:rsidR="003262D1" w:rsidRPr="00E8450A" w:rsidTr="003262D1">
        <w:tc>
          <w:tcPr>
            <w:tcW w:w="3308" w:type="dxa"/>
            <w:tcBorders>
              <w:left w:val="nil"/>
            </w:tcBorders>
          </w:tcPr>
          <w:p w:rsidR="003262D1" w:rsidRPr="00E8450A" w:rsidRDefault="003262D1" w:rsidP="004F4CD1">
            <w:pPr>
              <w:rPr>
                <w:noProof/>
                <w:highlight w:val="lightGray"/>
              </w:rPr>
            </w:pPr>
            <w:r w:rsidRPr="00E8450A">
              <w:rPr>
                <w:noProof/>
                <w:highlight w:val="lightGray"/>
              </w:rPr>
              <w:t>≥ 3 750</w:t>
            </w:r>
          </w:p>
        </w:tc>
        <w:tc>
          <w:tcPr>
            <w:tcW w:w="5764" w:type="dxa"/>
            <w:tcBorders>
              <w:right w:val="nil"/>
            </w:tcBorders>
          </w:tcPr>
          <w:p w:rsidR="003262D1" w:rsidRPr="00E8450A" w:rsidRDefault="00C57E9C" w:rsidP="00FC18DA">
            <w:pPr>
              <w:jc w:val="left"/>
              <w:rPr>
                <w:noProof/>
                <w:highlight w:val="lightGray"/>
              </w:rPr>
            </w:pPr>
            <w:r w:rsidRPr="00E8450A">
              <w:rPr>
                <w:noProof/>
                <w:highlight w:val="lightGray"/>
              </w:rPr>
              <w:t>1 dodatočné vzorkovacie miesto na 2 milióny obyvateľov</w:t>
            </w:r>
          </w:p>
        </w:tc>
      </w:tr>
      <w:tr w:rsidR="004F4CD1" w:rsidRPr="00E8450A" w:rsidTr="009D16E9">
        <w:tc>
          <w:tcPr>
            <w:tcW w:w="9072" w:type="dxa"/>
            <w:gridSpan w:val="2"/>
            <w:tcBorders>
              <w:left w:val="nil"/>
              <w:right w:val="nil"/>
            </w:tcBorders>
          </w:tcPr>
          <w:p w:rsidR="004F4CD1" w:rsidRPr="00E8450A" w:rsidRDefault="004F4CD1" w:rsidP="00A67F2E">
            <w:pPr>
              <w:pStyle w:val="ListParagraph"/>
              <w:numPr>
                <w:ilvl w:val="0"/>
                <w:numId w:val="18"/>
              </w:numPr>
              <w:autoSpaceDE w:val="0"/>
              <w:autoSpaceDN w:val="0"/>
              <w:jc w:val="left"/>
              <w:rPr>
                <w:noProof/>
                <w:sz w:val="20"/>
                <w:szCs w:val="20"/>
                <w:highlight w:val="lightGray"/>
              </w:rPr>
            </w:pPr>
            <w:r w:rsidRPr="00E8450A">
              <w:rPr>
                <w:noProof/>
                <w:sz w:val="20"/>
                <w:highlight w:val="lightGray"/>
              </w:rPr>
              <w:t>Aspoň jedno vzorkovacie miesto v oblastiach, kde pravdepodobne dôjde k expozícii obyvateľstva najvyšším koncentráciám ozónu. V aglomeráciách sa najmenej 50 % vzorkovacích miest umiestni v predmestských oblastiach.</w:t>
            </w:r>
          </w:p>
        </w:tc>
      </w:tr>
    </w:tbl>
    <w:p w:rsidR="004F4CD1" w:rsidRPr="00E8450A" w:rsidRDefault="004F4CD1" w:rsidP="004F4CD1">
      <w:pPr>
        <w:rPr>
          <w:i/>
          <w:iCs/>
          <w:noProof/>
          <w:highlight w:val="lightGray"/>
        </w:rPr>
      </w:pPr>
    </w:p>
    <w:p w:rsidR="00BA3DB8" w:rsidRPr="00E8450A" w:rsidRDefault="00BA3DB8">
      <w:pPr>
        <w:spacing w:before="0" w:after="200" w:line="276" w:lineRule="auto"/>
        <w:jc w:val="left"/>
        <w:rPr>
          <w:i/>
          <w:iCs/>
          <w:noProof/>
          <w:highlight w:val="lightGray"/>
        </w:rPr>
      </w:pPr>
      <w:r w:rsidRPr="00E8450A">
        <w:rPr>
          <w:noProof/>
        </w:rPr>
        <w:br w:type="page"/>
      </w:r>
    </w:p>
    <w:p w:rsidR="004F4CD1" w:rsidRPr="00E8450A" w:rsidRDefault="004F4CD1" w:rsidP="004F4CD1">
      <w:pPr>
        <w:rPr>
          <w:i/>
          <w:iCs/>
          <w:noProof/>
          <w:highlight w:val="lightGray"/>
        </w:rPr>
      </w:pPr>
      <w:r w:rsidRPr="00E8450A">
        <w:rPr>
          <w:i/>
          <w:noProof/>
          <w:highlight w:val="lightGray"/>
        </w:rPr>
        <w:lastRenderedPageBreak/>
        <w:t>Tabuľka 3 – Najmenší počet vzorkovacích miest pre stále meranie na hodnotenie dodržiavania limitných hodnôt na účely ochrany ľudského zdravia a dodržiavania výstražných prahov v zónach, kde sa uplatňuje 50 % zníženie takýchto meraní (pre všetky znečisťujúce látky okrem ozónu)</w:t>
      </w:r>
    </w:p>
    <w:tbl>
      <w:tblPr>
        <w:tblStyle w:val="TableGrid"/>
        <w:tblW w:w="9072" w:type="dxa"/>
        <w:tblInd w:w="108" w:type="dxa"/>
        <w:tblLayout w:type="fixed"/>
        <w:tblLook w:val="04A0" w:firstRow="1" w:lastRow="0" w:firstColumn="1" w:lastColumn="0" w:noHBand="0" w:noVBand="1"/>
      </w:tblPr>
      <w:tblGrid>
        <w:gridCol w:w="2002"/>
        <w:gridCol w:w="1162"/>
        <w:gridCol w:w="1089"/>
        <w:gridCol w:w="1277"/>
        <w:gridCol w:w="1273"/>
        <w:gridCol w:w="1135"/>
        <w:gridCol w:w="1134"/>
      </w:tblGrid>
      <w:tr w:rsidR="004F4CD1" w:rsidRPr="00E8450A" w:rsidTr="009D16E9">
        <w:tc>
          <w:tcPr>
            <w:tcW w:w="2002" w:type="dxa"/>
            <w:vMerge w:val="restart"/>
            <w:tcBorders>
              <w:left w:val="nil"/>
            </w:tcBorders>
          </w:tcPr>
          <w:p w:rsidR="004F4CD1" w:rsidRPr="00E8450A" w:rsidRDefault="004F4CD1" w:rsidP="00904A32">
            <w:pPr>
              <w:jc w:val="left"/>
              <w:rPr>
                <w:b/>
                <w:bCs/>
                <w:noProof/>
                <w:highlight w:val="lightGray"/>
              </w:rPr>
            </w:pPr>
            <w:r w:rsidRPr="00E8450A">
              <w:rPr>
                <w:b/>
                <w:noProof/>
                <w:highlight w:val="lightGray"/>
              </w:rPr>
              <w:t>Počet obyvateľov v zóne (v tisícoch)</w:t>
            </w:r>
          </w:p>
        </w:tc>
        <w:tc>
          <w:tcPr>
            <w:tcW w:w="7070" w:type="dxa"/>
            <w:gridSpan w:val="6"/>
            <w:tcBorders>
              <w:right w:val="nil"/>
            </w:tcBorders>
          </w:tcPr>
          <w:p w:rsidR="004F4CD1" w:rsidRPr="00E8450A" w:rsidRDefault="004F4CD1" w:rsidP="00904A32">
            <w:pPr>
              <w:jc w:val="left"/>
              <w:rPr>
                <w:b/>
                <w:bCs/>
                <w:noProof/>
                <w:szCs w:val="24"/>
                <w:highlight w:val="lightGray"/>
              </w:rPr>
            </w:pPr>
            <w:r w:rsidRPr="00E8450A">
              <w:rPr>
                <w:b/>
                <w:noProof/>
                <w:highlight w:val="lightGray"/>
              </w:rPr>
              <w:t xml:space="preserve">Najmenší počet vzorkovacích miest, ak je počet vzorkovacích miest znížený až o 50 % </w:t>
            </w:r>
          </w:p>
        </w:tc>
      </w:tr>
      <w:tr w:rsidR="00261815" w:rsidRPr="00E8450A" w:rsidTr="00A67F2E">
        <w:tc>
          <w:tcPr>
            <w:tcW w:w="2002" w:type="dxa"/>
            <w:vMerge/>
            <w:tcBorders>
              <w:left w:val="nil"/>
            </w:tcBorders>
          </w:tcPr>
          <w:p w:rsidR="00261815" w:rsidRPr="00E8450A" w:rsidRDefault="00261815" w:rsidP="00261815">
            <w:pPr>
              <w:ind w:left="851" w:hanging="851"/>
              <w:rPr>
                <w:noProof/>
                <w:szCs w:val="24"/>
                <w:highlight w:val="lightGray"/>
              </w:rPr>
            </w:pPr>
          </w:p>
        </w:tc>
        <w:tc>
          <w:tcPr>
            <w:tcW w:w="1162" w:type="dxa"/>
          </w:tcPr>
          <w:p w:rsidR="00261815" w:rsidRPr="00E8450A" w:rsidRDefault="00261815" w:rsidP="00261815">
            <w:pPr>
              <w:ind w:left="15" w:hanging="15"/>
              <w:jc w:val="left"/>
              <w:rPr>
                <w:b/>
                <w:bCs/>
                <w:noProof/>
                <w:szCs w:val="24"/>
                <w:highlight w:val="lightGray"/>
              </w:rPr>
            </w:pPr>
            <w:r w:rsidRPr="00E8450A">
              <w:rPr>
                <w:b/>
                <w:noProof/>
                <w:highlight w:val="lightGray"/>
              </w:rPr>
              <w:t>NO</w:t>
            </w:r>
            <w:r w:rsidRPr="00E8450A">
              <w:rPr>
                <w:b/>
                <w:noProof/>
                <w:highlight w:val="lightGray"/>
                <w:vertAlign w:val="subscript"/>
              </w:rPr>
              <w:t>2</w:t>
            </w:r>
            <w:r w:rsidRPr="00E8450A">
              <w:rPr>
                <w:b/>
                <w:noProof/>
                <w:highlight w:val="lightGray"/>
              </w:rPr>
              <w:t>, SO</w:t>
            </w:r>
            <w:r w:rsidRPr="00E8450A">
              <w:rPr>
                <w:b/>
                <w:noProof/>
                <w:highlight w:val="lightGray"/>
                <w:vertAlign w:val="subscript"/>
              </w:rPr>
              <w:t>2</w:t>
            </w:r>
            <w:r w:rsidRPr="00E8450A">
              <w:rPr>
                <w:b/>
                <w:noProof/>
                <w:highlight w:val="lightGray"/>
              </w:rPr>
              <w:t>, CO, benzén</w:t>
            </w:r>
          </w:p>
        </w:tc>
        <w:tc>
          <w:tcPr>
            <w:tcW w:w="1089" w:type="dxa"/>
          </w:tcPr>
          <w:p w:rsidR="00261815" w:rsidRPr="00E8450A" w:rsidRDefault="00261815" w:rsidP="00261815">
            <w:pPr>
              <w:jc w:val="left"/>
              <w:rPr>
                <w:b/>
                <w:bCs/>
                <w:noProof/>
                <w:szCs w:val="24"/>
                <w:highlight w:val="lightGray"/>
              </w:rPr>
            </w:pPr>
            <w:r w:rsidRPr="00E8450A">
              <w:rPr>
                <w:b/>
                <w:noProof/>
                <w:highlight w:val="lightGray"/>
              </w:rPr>
              <w:t>Súčet</w:t>
            </w:r>
            <w:r w:rsidRPr="00E8450A">
              <w:rPr>
                <w:noProof/>
              </w:rPr>
              <w:t xml:space="preserve"> </w:t>
            </w:r>
            <w:r w:rsidRPr="00E8450A">
              <w:rPr>
                <w:noProof/>
              </w:rPr>
              <w:br/>
            </w:r>
            <w:r w:rsidRPr="00E8450A">
              <w:rPr>
                <w:b/>
                <w:noProof/>
                <w:highlight w:val="lightGray"/>
              </w:rPr>
              <w:t>PM</w:t>
            </w:r>
            <w:r w:rsidRPr="00E8450A">
              <w:rPr>
                <w:rStyle w:val="FootnoteReference"/>
                <w:b/>
                <w:noProof/>
                <w:highlight w:val="lightGray"/>
              </w:rPr>
              <w:t xml:space="preserve"> </w:t>
            </w:r>
            <w:r w:rsidRPr="00E8450A">
              <w:rPr>
                <w:b/>
                <w:noProof/>
                <w:highlight w:val="lightGray"/>
                <w:vertAlign w:val="superscript"/>
              </w:rPr>
              <w:t>(1)</w:t>
            </w:r>
          </w:p>
        </w:tc>
        <w:tc>
          <w:tcPr>
            <w:tcW w:w="1277" w:type="dxa"/>
          </w:tcPr>
          <w:p w:rsidR="00261815" w:rsidRPr="00E8450A" w:rsidRDefault="00261815" w:rsidP="00261815">
            <w:pPr>
              <w:jc w:val="left"/>
              <w:rPr>
                <w:b/>
                <w:bCs/>
                <w:noProof/>
                <w:szCs w:val="24"/>
                <w:highlight w:val="lightGray"/>
              </w:rPr>
            </w:pPr>
            <w:r w:rsidRPr="00E8450A">
              <w:rPr>
                <w:b/>
                <w:noProof/>
                <w:highlight w:val="lightGray"/>
              </w:rPr>
              <w:t>Najmenší počet pre PM</w:t>
            </w:r>
            <w:r w:rsidRPr="00E8450A">
              <w:rPr>
                <w:b/>
                <w:noProof/>
                <w:highlight w:val="lightGray"/>
                <w:vertAlign w:val="subscript"/>
              </w:rPr>
              <w:t>10</w:t>
            </w:r>
          </w:p>
        </w:tc>
        <w:tc>
          <w:tcPr>
            <w:tcW w:w="1273" w:type="dxa"/>
          </w:tcPr>
          <w:p w:rsidR="00261815" w:rsidRPr="00E8450A" w:rsidRDefault="00261815" w:rsidP="00261815">
            <w:pPr>
              <w:jc w:val="left"/>
              <w:rPr>
                <w:b/>
                <w:bCs/>
                <w:noProof/>
                <w:szCs w:val="24"/>
                <w:highlight w:val="lightGray"/>
              </w:rPr>
            </w:pPr>
            <w:r w:rsidRPr="00E8450A">
              <w:rPr>
                <w:b/>
                <w:noProof/>
                <w:highlight w:val="lightGray"/>
              </w:rPr>
              <w:t>Najmenší počet pre PM</w:t>
            </w:r>
            <w:r w:rsidRPr="00E8450A">
              <w:rPr>
                <w:b/>
                <w:noProof/>
                <w:highlight w:val="lightGray"/>
                <w:vertAlign w:val="subscript"/>
              </w:rPr>
              <w:t>2,5</w:t>
            </w:r>
          </w:p>
        </w:tc>
        <w:tc>
          <w:tcPr>
            <w:tcW w:w="1135" w:type="dxa"/>
          </w:tcPr>
          <w:p w:rsidR="00261815" w:rsidRPr="00E8450A" w:rsidRDefault="00261815" w:rsidP="00261815">
            <w:pPr>
              <w:jc w:val="left"/>
              <w:rPr>
                <w:b/>
                <w:bCs/>
                <w:noProof/>
                <w:szCs w:val="24"/>
                <w:highlight w:val="lightGray"/>
              </w:rPr>
            </w:pPr>
            <w:r w:rsidRPr="00E8450A">
              <w:rPr>
                <w:b/>
                <w:noProof/>
                <w:highlight w:val="lightGray"/>
              </w:rPr>
              <w:t>Pb, Cd, As, Ni</w:t>
            </w:r>
            <w:r w:rsidR="008A1F90">
              <w:rPr>
                <w:b/>
                <w:noProof/>
                <w:highlight w:val="lightGray"/>
              </w:rPr>
              <w:t xml:space="preserve"> </w:t>
            </w:r>
            <w:r w:rsidRPr="00E8450A">
              <w:rPr>
                <w:noProof/>
              </w:rPr>
              <w:br/>
            </w:r>
            <w:r w:rsidRPr="00E8450A">
              <w:rPr>
                <w:b/>
                <w:noProof/>
                <w:highlight w:val="lightGray"/>
              </w:rPr>
              <w:t>v časticiach PM</w:t>
            </w:r>
            <w:r w:rsidRPr="00E8450A">
              <w:rPr>
                <w:b/>
                <w:noProof/>
                <w:highlight w:val="lightGray"/>
                <w:vertAlign w:val="subscript"/>
              </w:rPr>
              <w:t>10</w:t>
            </w:r>
          </w:p>
        </w:tc>
        <w:tc>
          <w:tcPr>
            <w:tcW w:w="1134" w:type="dxa"/>
            <w:tcBorders>
              <w:right w:val="nil"/>
            </w:tcBorders>
          </w:tcPr>
          <w:p w:rsidR="00261815" w:rsidRPr="00E8450A" w:rsidRDefault="00D37B2F" w:rsidP="00261815">
            <w:pPr>
              <w:jc w:val="left"/>
              <w:rPr>
                <w:b/>
                <w:bCs/>
                <w:noProof/>
                <w:szCs w:val="24"/>
                <w:highlight w:val="lightGray"/>
              </w:rPr>
            </w:pPr>
            <w:r w:rsidRPr="00E8450A">
              <w:rPr>
                <w:b/>
                <w:noProof/>
                <w:highlight w:val="lightGray"/>
              </w:rPr>
              <w:t>Benzo[a]pyrén v časticiach PM</w:t>
            </w:r>
            <w:r w:rsidRPr="00E8450A">
              <w:rPr>
                <w:b/>
                <w:noProof/>
                <w:highlight w:val="lightGray"/>
                <w:vertAlign w:val="subscript"/>
              </w:rPr>
              <w:t>10</w:t>
            </w:r>
          </w:p>
        </w:tc>
      </w:tr>
      <w:tr w:rsidR="004F4CD1" w:rsidRPr="00E8450A" w:rsidTr="00A67F2E">
        <w:tc>
          <w:tcPr>
            <w:tcW w:w="2002" w:type="dxa"/>
            <w:tcBorders>
              <w:left w:val="nil"/>
            </w:tcBorders>
          </w:tcPr>
          <w:p w:rsidR="004F4CD1" w:rsidRPr="00E8450A" w:rsidRDefault="004F4CD1" w:rsidP="004F4CD1">
            <w:pPr>
              <w:ind w:left="851" w:hanging="851"/>
              <w:rPr>
                <w:noProof/>
                <w:highlight w:val="lightGray"/>
              </w:rPr>
            </w:pPr>
            <w:r w:rsidRPr="00E8450A">
              <w:rPr>
                <w:noProof/>
                <w:highlight w:val="lightGray"/>
              </w:rPr>
              <w:t>0 – 249</w:t>
            </w:r>
          </w:p>
        </w:tc>
        <w:tc>
          <w:tcPr>
            <w:tcW w:w="1162" w:type="dxa"/>
          </w:tcPr>
          <w:p w:rsidR="004F4CD1" w:rsidRPr="00E8450A" w:rsidRDefault="004F4CD1" w:rsidP="00261815">
            <w:pPr>
              <w:ind w:left="851" w:hanging="851"/>
              <w:jc w:val="left"/>
              <w:rPr>
                <w:noProof/>
                <w:highlight w:val="lightGray"/>
              </w:rPr>
            </w:pPr>
            <w:r w:rsidRPr="00E8450A">
              <w:rPr>
                <w:noProof/>
                <w:highlight w:val="lightGray"/>
              </w:rPr>
              <w:t>1</w:t>
            </w:r>
          </w:p>
        </w:tc>
        <w:tc>
          <w:tcPr>
            <w:tcW w:w="1089" w:type="dxa"/>
          </w:tcPr>
          <w:p w:rsidR="004F4CD1" w:rsidRPr="00E8450A" w:rsidRDefault="004F4CD1" w:rsidP="00261815">
            <w:pPr>
              <w:ind w:left="851" w:hanging="851"/>
              <w:jc w:val="left"/>
              <w:rPr>
                <w:noProof/>
                <w:highlight w:val="lightGray"/>
              </w:rPr>
            </w:pPr>
            <w:r w:rsidRPr="00E8450A">
              <w:rPr>
                <w:noProof/>
                <w:highlight w:val="lightGray"/>
              </w:rPr>
              <w:t>2</w:t>
            </w:r>
          </w:p>
        </w:tc>
        <w:tc>
          <w:tcPr>
            <w:tcW w:w="1277" w:type="dxa"/>
          </w:tcPr>
          <w:p w:rsidR="004F4CD1" w:rsidRPr="00E8450A" w:rsidRDefault="004F4CD1" w:rsidP="00261815">
            <w:pPr>
              <w:ind w:left="851" w:hanging="851"/>
              <w:jc w:val="left"/>
              <w:rPr>
                <w:noProof/>
                <w:highlight w:val="lightGray"/>
              </w:rPr>
            </w:pPr>
            <w:r w:rsidRPr="00E8450A">
              <w:rPr>
                <w:noProof/>
                <w:highlight w:val="lightGray"/>
              </w:rPr>
              <w:t>1</w:t>
            </w:r>
          </w:p>
        </w:tc>
        <w:tc>
          <w:tcPr>
            <w:tcW w:w="1273" w:type="dxa"/>
          </w:tcPr>
          <w:p w:rsidR="004F4CD1" w:rsidRPr="00E8450A" w:rsidRDefault="004F4CD1" w:rsidP="00261815">
            <w:pPr>
              <w:ind w:left="851" w:hanging="851"/>
              <w:jc w:val="left"/>
              <w:rPr>
                <w:noProof/>
                <w:highlight w:val="lightGray"/>
              </w:rPr>
            </w:pPr>
            <w:r w:rsidRPr="00E8450A">
              <w:rPr>
                <w:noProof/>
                <w:highlight w:val="lightGray"/>
              </w:rPr>
              <w:t>1</w:t>
            </w:r>
          </w:p>
        </w:tc>
        <w:tc>
          <w:tcPr>
            <w:tcW w:w="1135" w:type="dxa"/>
          </w:tcPr>
          <w:p w:rsidR="004F4CD1" w:rsidRPr="00E8450A" w:rsidRDefault="004F4CD1" w:rsidP="00261815">
            <w:pPr>
              <w:ind w:left="851" w:hanging="851"/>
              <w:jc w:val="left"/>
              <w:rPr>
                <w:noProof/>
                <w:highlight w:val="lightGray"/>
              </w:rPr>
            </w:pPr>
            <w:r w:rsidRPr="00E8450A">
              <w:rPr>
                <w:noProof/>
                <w:highlight w:val="lightGray"/>
              </w:rPr>
              <w:t>1</w:t>
            </w:r>
          </w:p>
        </w:tc>
        <w:tc>
          <w:tcPr>
            <w:tcW w:w="1134" w:type="dxa"/>
            <w:tcBorders>
              <w:right w:val="nil"/>
            </w:tcBorders>
          </w:tcPr>
          <w:p w:rsidR="004F4CD1" w:rsidRPr="00E8450A" w:rsidRDefault="004F4CD1" w:rsidP="00261815">
            <w:pPr>
              <w:ind w:left="851" w:hanging="851"/>
              <w:jc w:val="left"/>
              <w:rPr>
                <w:noProof/>
                <w:highlight w:val="lightGray"/>
              </w:rPr>
            </w:pPr>
            <w:r w:rsidRPr="00E8450A">
              <w:rPr>
                <w:noProof/>
                <w:highlight w:val="lightGray"/>
              </w:rPr>
              <w:t>1</w:t>
            </w:r>
          </w:p>
        </w:tc>
      </w:tr>
      <w:tr w:rsidR="004F4CD1" w:rsidRPr="00E8450A" w:rsidTr="00A67F2E">
        <w:tc>
          <w:tcPr>
            <w:tcW w:w="2002" w:type="dxa"/>
            <w:tcBorders>
              <w:left w:val="nil"/>
            </w:tcBorders>
          </w:tcPr>
          <w:p w:rsidR="004F4CD1" w:rsidRPr="00E8450A" w:rsidRDefault="004F4CD1" w:rsidP="004F4CD1">
            <w:pPr>
              <w:ind w:left="851" w:hanging="851"/>
              <w:rPr>
                <w:noProof/>
                <w:highlight w:val="lightGray"/>
              </w:rPr>
            </w:pPr>
            <w:r w:rsidRPr="00E8450A">
              <w:rPr>
                <w:noProof/>
                <w:highlight w:val="lightGray"/>
              </w:rPr>
              <w:t>250 – 499</w:t>
            </w:r>
          </w:p>
        </w:tc>
        <w:tc>
          <w:tcPr>
            <w:tcW w:w="1162" w:type="dxa"/>
          </w:tcPr>
          <w:p w:rsidR="004F4CD1" w:rsidRPr="00E8450A" w:rsidRDefault="004F4CD1" w:rsidP="00261815">
            <w:pPr>
              <w:ind w:left="851" w:hanging="851"/>
              <w:jc w:val="left"/>
              <w:rPr>
                <w:noProof/>
                <w:highlight w:val="lightGray"/>
              </w:rPr>
            </w:pPr>
            <w:r w:rsidRPr="00E8450A">
              <w:rPr>
                <w:noProof/>
                <w:highlight w:val="lightGray"/>
              </w:rPr>
              <w:t>1</w:t>
            </w:r>
          </w:p>
        </w:tc>
        <w:tc>
          <w:tcPr>
            <w:tcW w:w="1089" w:type="dxa"/>
          </w:tcPr>
          <w:p w:rsidR="004F4CD1" w:rsidRPr="00E8450A" w:rsidRDefault="004F4CD1" w:rsidP="00261815">
            <w:pPr>
              <w:ind w:left="851" w:hanging="851"/>
              <w:jc w:val="left"/>
              <w:rPr>
                <w:noProof/>
                <w:highlight w:val="lightGray"/>
              </w:rPr>
            </w:pPr>
            <w:r w:rsidRPr="00E8450A">
              <w:rPr>
                <w:noProof/>
                <w:highlight w:val="lightGray"/>
              </w:rPr>
              <w:t>2</w:t>
            </w:r>
          </w:p>
        </w:tc>
        <w:tc>
          <w:tcPr>
            <w:tcW w:w="1277" w:type="dxa"/>
          </w:tcPr>
          <w:p w:rsidR="004F4CD1" w:rsidRPr="00E8450A" w:rsidRDefault="004F4CD1" w:rsidP="00261815">
            <w:pPr>
              <w:ind w:left="851" w:hanging="851"/>
              <w:jc w:val="left"/>
              <w:rPr>
                <w:noProof/>
                <w:highlight w:val="lightGray"/>
              </w:rPr>
            </w:pPr>
            <w:r w:rsidRPr="00E8450A">
              <w:rPr>
                <w:noProof/>
                <w:highlight w:val="lightGray"/>
              </w:rPr>
              <w:t>1</w:t>
            </w:r>
          </w:p>
        </w:tc>
        <w:tc>
          <w:tcPr>
            <w:tcW w:w="1273" w:type="dxa"/>
          </w:tcPr>
          <w:p w:rsidR="004F4CD1" w:rsidRPr="00E8450A" w:rsidRDefault="004F4CD1" w:rsidP="00261815">
            <w:pPr>
              <w:ind w:left="851" w:hanging="851"/>
              <w:jc w:val="left"/>
              <w:rPr>
                <w:noProof/>
                <w:highlight w:val="lightGray"/>
              </w:rPr>
            </w:pPr>
            <w:r w:rsidRPr="00E8450A">
              <w:rPr>
                <w:noProof/>
                <w:highlight w:val="lightGray"/>
              </w:rPr>
              <w:t>1</w:t>
            </w:r>
          </w:p>
        </w:tc>
        <w:tc>
          <w:tcPr>
            <w:tcW w:w="1135" w:type="dxa"/>
          </w:tcPr>
          <w:p w:rsidR="004F4CD1" w:rsidRPr="00E8450A" w:rsidRDefault="004F4CD1" w:rsidP="00261815">
            <w:pPr>
              <w:ind w:left="851" w:hanging="851"/>
              <w:jc w:val="left"/>
              <w:rPr>
                <w:noProof/>
                <w:highlight w:val="lightGray"/>
              </w:rPr>
            </w:pPr>
            <w:r w:rsidRPr="00E8450A">
              <w:rPr>
                <w:noProof/>
                <w:highlight w:val="lightGray"/>
              </w:rPr>
              <w:t>1</w:t>
            </w:r>
          </w:p>
        </w:tc>
        <w:tc>
          <w:tcPr>
            <w:tcW w:w="1134" w:type="dxa"/>
            <w:tcBorders>
              <w:right w:val="nil"/>
            </w:tcBorders>
          </w:tcPr>
          <w:p w:rsidR="004F4CD1" w:rsidRPr="00E8450A" w:rsidRDefault="004F4CD1" w:rsidP="00261815">
            <w:pPr>
              <w:ind w:left="851" w:hanging="851"/>
              <w:jc w:val="left"/>
              <w:rPr>
                <w:noProof/>
                <w:highlight w:val="lightGray"/>
              </w:rPr>
            </w:pPr>
            <w:r w:rsidRPr="00E8450A">
              <w:rPr>
                <w:noProof/>
                <w:highlight w:val="lightGray"/>
              </w:rPr>
              <w:t>1</w:t>
            </w:r>
          </w:p>
        </w:tc>
      </w:tr>
      <w:tr w:rsidR="004F4CD1" w:rsidRPr="00E8450A" w:rsidTr="00A67F2E">
        <w:tc>
          <w:tcPr>
            <w:tcW w:w="2002" w:type="dxa"/>
            <w:tcBorders>
              <w:left w:val="nil"/>
            </w:tcBorders>
          </w:tcPr>
          <w:p w:rsidR="004F4CD1" w:rsidRPr="00E8450A" w:rsidRDefault="004F4CD1" w:rsidP="004F4CD1">
            <w:pPr>
              <w:ind w:left="851" w:hanging="851"/>
              <w:rPr>
                <w:noProof/>
                <w:highlight w:val="lightGray"/>
              </w:rPr>
            </w:pPr>
            <w:r w:rsidRPr="00E8450A">
              <w:rPr>
                <w:noProof/>
                <w:highlight w:val="lightGray"/>
              </w:rPr>
              <w:t>500 – 749</w:t>
            </w:r>
          </w:p>
        </w:tc>
        <w:tc>
          <w:tcPr>
            <w:tcW w:w="1162" w:type="dxa"/>
          </w:tcPr>
          <w:p w:rsidR="004F4CD1" w:rsidRPr="00E8450A" w:rsidRDefault="004F4CD1" w:rsidP="00261815">
            <w:pPr>
              <w:ind w:left="851" w:hanging="851"/>
              <w:jc w:val="left"/>
              <w:rPr>
                <w:noProof/>
                <w:highlight w:val="lightGray"/>
              </w:rPr>
            </w:pPr>
            <w:r w:rsidRPr="00E8450A">
              <w:rPr>
                <w:noProof/>
                <w:highlight w:val="lightGray"/>
              </w:rPr>
              <w:t>1</w:t>
            </w:r>
          </w:p>
        </w:tc>
        <w:tc>
          <w:tcPr>
            <w:tcW w:w="1089" w:type="dxa"/>
          </w:tcPr>
          <w:p w:rsidR="004F4CD1" w:rsidRPr="00E8450A" w:rsidRDefault="004F4CD1" w:rsidP="00261815">
            <w:pPr>
              <w:ind w:left="851" w:hanging="851"/>
              <w:jc w:val="left"/>
              <w:rPr>
                <w:noProof/>
                <w:highlight w:val="lightGray"/>
              </w:rPr>
            </w:pPr>
            <w:r w:rsidRPr="00E8450A">
              <w:rPr>
                <w:noProof/>
                <w:highlight w:val="lightGray"/>
              </w:rPr>
              <w:t>2</w:t>
            </w:r>
          </w:p>
        </w:tc>
        <w:tc>
          <w:tcPr>
            <w:tcW w:w="1277" w:type="dxa"/>
          </w:tcPr>
          <w:p w:rsidR="004F4CD1" w:rsidRPr="00E8450A" w:rsidRDefault="004F4CD1" w:rsidP="00261815">
            <w:pPr>
              <w:ind w:left="851" w:hanging="851"/>
              <w:jc w:val="left"/>
              <w:rPr>
                <w:noProof/>
                <w:highlight w:val="lightGray"/>
              </w:rPr>
            </w:pPr>
            <w:r w:rsidRPr="00E8450A">
              <w:rPr>
                <w:noProof/>
                <w:highlight w:val="lightGray"/>
              </w:rPr>
              <w:t>1</w:t>
            </w:r>
          </w:p>
        </w:tc>
        <w:tc>
          <w:tcPr>
            <w:tcW w:w="1273" w:type="dxa"/>
          </w:tcPr>
          <w:p w:rsidR="004F4CD1" w:rsidRPr="00E8450A" w:rsidRDefault="004F4CD1" w:rsidP="00261815">
            <w:pPr>
              <w:ind w:left="851" w:hanging="851"/>
              <w:jc w:val="left"/>
              <w:rPr>
                <w:noProof/>
                <w:highlight w:val="lightGray"/>
              </w:rPr>
            </w:pPr>
            <w:r w:rsidRPr="00E8450A">
              <w:rPr>
                <w:noProof/>
                <w:highlight w:val="lightGray"/>
              </w:rPr>
              <w:t>1</w:t>
            </w:r>
          </w:p>
        </w:tc>
        <w:tc>
          <w:tcPr>
            <w:tcW w:w="1135" w:type="dxa"/>
          </w:tcPr>
          <w:p w:rsidR="004F4CD1" w:rsidRPr="00E8450A" w:rsidRDefault="004F4CD1" w:rsidP="00261815">
            <w:pPr>
              <w:ind w:left="851" w:hanging="851"/>
              <w:jc w:val="left"/>
              <w:rPr>
                <w:noProof/>
                <w:highlight w:val="lightGray"/>
              </w:rPr>
            </w:pPr>
            <w:r w:rsidRPr="00E8450A">
              <w:rPr>
                <w:noProof/>
                <w:highlight w:val="lightGray"/>
              </w:rPr>
              <w:t>1</w:t>
            </w:r>
          </w:p>
        </w:tc>
        <w:tc>
          <w:tcPr>
            <w:tcW w:w="1134" w:type="dxa"/>
            <w:tcBorders>
              <w:right w:val="nil"/>
            </w:tcBorders>
          </w:tcPr>
          <w:p w:rsidR="004F4CD1" w:rsidRPr="00E8450A" w:rsidRDefault="004F4CD1" w:rsidP="00261815">
            <w:pPr>
              <w:ind w:left="851" w:hanging="851"/>
              <w:jc w:val="left"/>
              <w:rPr>
                <w:noProof/>
                <w:highlight w:val="lightGray"/>
              </w:rPr>
            </w:pPr>
            <w:r w:rsidRPr="00E8450A">
              <w:rPr>
                <w:noProof/>
                <w:highlight w:val="lightGray"/>
              </w:rPr>
              <w:t>1</w:t>
            </w:r>
          </w:p>
        </w:tc>
      </w:tr>
      <w:tr w:rsidR="004F4CD1" w:rsidRPr="00E8450A" w:rsidTr="00A67F2E">
        <w:tc>
          <w:tcPr>
            <w:tcW w:w="2002" w:type="dxa"/>
            <w:tcBorders>
              <w:left w:val="nil"/>
            </w:tcBorders>
          </w:tcPr>
          <w:p w:rsidR="004F4CD1" w:rsidRPr="00E8450A" w:rsidRDefault="004F4CD1" w:rsidP="004F4CD1">
            <w:pPr>
              <w:ind w:left="851" w:hanging="851"/>
              <w:rPr>
                <w:noProof/>
                <w:highlight w:val="lightGray"/>
              </w:rPr>
            </w:pPr>
            <w:r w:rsidRPr="00E8450A">
              <w:rPr>
                <w:noProof/>
                <w:highlight w:val="lightGray"/>
              </w:rPr>
              <w:t>750 – 999</w:t>
            </w:r>
          </w:p>
        </w:tc>
        <w:tc>
          <w:tcPr>
            <w:tcW w:w="1162" w:type="dxa"/>
          </w:tcPr>
          <w:p w:rsidR="004F4CD1" w:rsidRPr="00E8450A" w:rsidRDefault="004F4CD1" w:rsidP="00261815">
            <w:pPr>
              <w:ind w:left="851" w:hanging="851"/>
              <w:jc w:val="left"/>
              <w:rPr>
                <w:noProof/>
                <w:highlight w:val="lightGray"/>
              </w:rPr>
            </w:pPr>
            <w:r w:rsidRPr="00E8450A">
              <w:rPr>
                <w:noProof/>
                <w:highlight w:val="lightGray"/>
              </w:rPr>
              <w:t>2</w:t>
            </w:r>
          </w:p>
        </w:tc>
        <w:tc>
          <w:tcPr>
            <w:tcW w:w="1089" w:type="dxa"/>
          </w:tcPr>
          <w:p w:rsidR="004F4CD1" w:rsidRPr="00E8450A" w:rsidRDefault="004F4CD1" w:rsidP="00261815">
            <w:pPr>
              <w:ind w:left="851" w:hanging="851"/>
              <w:jc w:val="left"/>
              <w:rPr>
                <w:noProof/>
                <w:highlight w:val="lightGray"/>
              </w:rPr>
            </w:pPr>
            <w:r w:rsidRPr="00E8450A">
              <w:rPr>
                <w:noProof/>
                <w:highlight w:val="lightGray"/>
              </w:rPr>
              <w:t>2</w:t>
            </w:r>
          </w:p>
        </w:tc>
        <w:tc>
          <w:tcPr>
            <w:tcW w:w="1277" w:type="dxa"/>
          </w:tcPr>
          <w:p w:rsidR="004F4CD1" w:rsidRPr="00E8450A" w:rsidRDefault="004F4CD1" w:rsidP="00261815">
            <w:pPr>
              <w:ind w:left="851" w:hanging="851"/>
              <w:jc w:val="left"/>
              <w:rPr>
                <w:noProof/>
                <w:highlight w:val="lightGray"/>
              </w:rPr>
            </w:pPr>
            <w:r w:rsidRPr="00E8450A">
              <w:rPr>
                <w:noProof/>
                <w:highlight w:val="lightGray"/>
              </w:rPr>
              <w:t>1</w:t>
            </w:r>
          </w:p>
        </w:tc>
        <w:tc>
          <w:tcPr>
            <w:tcW w:w="1273" w:type="dxa"/>
          </w:tcPr>
          <w:p w:rsidR="004F4CD1" w:rsidRPr="00E8450A" w:rsidRDefault="004F4CD1" w:rsidP="00261815">
            <w:pPr>
              <w:ind w:left="851" w:hanging="851"/>
              <w:jc w:val="left"/>
              <w:rPr>
                <w:noProof/>
                <w:highlight w:val="lightGray"/>
              </w:rPr>
            </w:pPr>
            <w:r w:rsidRPr="00E8450A">
              <w:rPr>
                <w:noProof/>
                <w:highlight w:val="lightGray"/>
              </w:rPr>
              <w:t>1</w:t>
            </w:r>
          </w:p>
        </w:tc>
        <w:tc>
          <w:tcPr>
            <w:tcW w:w="1135" w:type="dxa"/>
          </w:tcPr>
          <w:p w:rsidR="004F4CD1" w:rsidRPr="00E8450A" w:rsidRDefault="004F4CD1" w:rsidP="00261815">
            <w:pPr>
              <w:ind w:left="851" w:hanging="851"/>
              <w:jc w:val="left"/>
              <w:rPr>
                <w:noProof/>
                <w:highlight w:val="lightGray"/>
              </w:rPr>
            </w:pPr>
            <w:r w:rsidRPr="00E8450A">
              <w:rPr>
                <w:noProof/>
                <w:highlight w:val="lightGray"/>
              </w:rPr>
              <w:t>1</w:t>
            </w:r>
          </w:p>
        </w:tc>
        <w:tc>
          <w:tcPr>
            <w:tcW w:w="1134" w:type="dxa"/>
            <w:tcBorders>
              <w:right w:val="nil"/>
            </w:tcBorders>
          </w:tcPr>
          <w:p w:rsidR="004F4CD1" w:rsidRPr="00E8450A" w:rsidRDefault="004F4CD1" w:rsidP="00261815">
            <w:pPr>
              <w:ind w:left="851" w:hanging="851"/>
              <w:jc w:val="left"/>
              <w:rPr>
                <w:noProof/>
                <w:highlight w:val="lightGray"/>
              </w:rPr>
            </w:pPr>
            <w:r w:rsidRPr="00E8450A">
              <w:rPr>
                <w:noProof/>
                <w:highlight w:val="lightGray"/>
              </w:rPr>
              <w:t>1</w:t>
            </w:r>
          </w:p>
        </w:tc>
      </w:tr>
      <w:tr w:rsidR="004F4CD1" w:rsidRPr="00E8450A" w:rsidTr="00A67F2E">
        <w:tc>
          <w:tcPr>
            <w:tcW w:w="2002" w:type="dxa"/>
            <w:tcBorders>
              <w:left w:val="nil"/>
            </w:tcBorders>
          </w:tcPr>
          <w:p w:rsidR="004F4CD1" w:rsidRPr="00E8450A" w:rsidRDefault="004F4CD1" w:rsidP="004F4CD1">
            <w:pPr>
              <w:ind w:left="851" w:hanging="851"/>
              <w:rPr>
                <w:noProof/>
                <w:highlight w:val="lightGray"/>
              </w:rPr>
            </w:pPr>
            <w:r w:rsidRPr="00E8450A">
              <w:rPr>
                <w:noProof/>
                <w:highlight w:val="lightGray"/>
              </w:rPr>
              <w:t>1 000 – 1 499</w:t>
            </w:r>
          </w:p>
        </w:tc>
        <w:tc>
          <w:tcPr>
            <w:tcW w:w="1162" w:type="dxa"/>
          </w:tcPr>
          <w:p w:rsidR="004F4CD1" w:rsidRPr="00E8450A" w:rsidRDefault="004F4CD1" w:rsidP="00261815">
            <w:pPr>
              <w:ind w:left="851" w:hanging="851"/>
              <w:jc w:val="left"/>
              <w:rPr>
                <w:noProof/>
                <w:highlight w:val="lightGray"/>
              </w:rPr>
            </w:pPr>
            <w:r w:rsidRPr="00E8450A">
              <w:rPr>
                <w:noProof/>
                <w:highlight w:val="lightGray"/>
              </w:rPr>
              <w:t>2</w:t>
            </w:r>
          </w:p>
        </w:tc>
        <w:tc>
          <w:tcPr>
            <w:tcW w:w="1089" w:type="dxa"/>
          </w:tcPr>
          <w:p w:rsidR="004F4CD1" w:rsidRPr="00E8450A" w:rsidRDefault="004F4CD1" w:rsidP="00261815">
            <w:pPr>
              <w:ind w:left="851" w:hanging="851"/>
              <w:jc w:val="left"/>
              <w:rPr>
                <w:noProof/>
                <w:highlight w:val="lightGray"/>
              </w:rPr>
            </w:pPr>
            <w:r w:rsidRPr="00E8450A">
              <w:rPr>
                <w:noProof/>
                <w:highlight w:val="lightGray"/>
              </w:rPr>
              <w:t>3</w:t>
            </w:r>
          </w:p>
        </w:tc>
        <w:tc>
          <w:tcPr>
            <w:tcW w:w="1277" w:type="dxa"/>
          </w:tcPr>
          <w:p w:rsidR="004F4CD1" w:rsidRPr="00E8450A" w:rsidRDefault="004F4CD1" w:rsidP="00261815">
            <w:pPr>
              <w:ind w:left="851" w:hanging="851"/>
              <w:jc w:val="left"/>
              <w:rPr>
                <w:noProof/>
                <w:highlight w:val="lightGray"/>
              </w:rPr>
            </w:pPr>
            <w:r w:rsidRPr="00E8450A">
              <w:rPr>
                <w:noProof/>
                <w:highlight w:val="lightGray"/>
              </w:rPr>
              <w:t>1</w:t>
            </w:r>
          </w:p>
        </w:tc>
        <w:tc>
          <w:tcPr>
            <w:tcW w:w="1273" w:type="dxa"/>
          </w:tcPr>
          <w:p w:rsidR="004F4CD1" w:rsidRPr="00E8450A" w:rsidRDefault="004F4CD1" w:rsidP="00261815">
            <w:pPr>
              <w:ind w:left="851" w:hanging="851"/>
              <w:jc w:val="left"/>
              <w:rPr>
                <w:noProof/>
                <w:highlight w:val="lightGray"/>
              </w:rPr>
            </w:pPr>
            <w:r w:rsidRPr="00E8450A">
              <w:rPr>
                <w:noProof/>
                <w:highlight w:val="lightGray"/>
              </w:rPr>
              <w:t>1</w:t>
            </w:r>
          </w:p>
        </w:tc>
        <w:tc>
          <w:tcPr>
            <w:tcW w:w="1135" w:type="dxa"/>
          </w:tcPr>
          <w:p w:rsidR="004F4CD1" w:rsidRPr="00E8450A" w:rsidRDefault="004F4CD1" w:rsidP="00261815">
            <w:pPr>
              <w:ind w:left="851" w:hanging="851"/>
              <w:jc w:val="left"/>
              <w:rPr>
                <w:noProof/>
                <w:highlight w:val="lightGray"/>
              </w:rPr>
            </w:pPr>
            <w:r w:rsidRPr="00E8450A">
              <w:rPr>
                <w:noProof/>
                <w:highlight w:val="lightGray"/>
              </w:rPr>
              <w:t>1</w:t>
            </w:r>
          </w:p>
        </w:tc>
        <w:tc>
          <w:tcPr>
            <w:tcW w:w="1134" w:type="dxa"/>
            <w:tcBorders>
              <w:right w:val="nil"/>
            </w:tcBorders>
          </w:tcPr>
          <w:p w:rsidR="004F4CD1" w:rsidRPr="00E8450A" w:rsidRDefault="004F4CD1" w:rsidP="00261815">
            <w:pPr>
              <w:ind w:left="851" w:hanging="851"/>
              <w:jc w:val="left"/>
              <w:rPr>
                <w:noProof/>
                <w:highlight w:val="lightGray"/>
              </w:rPr>
            </w:pPr>
            <w:r w:rsidRPr="00E8450A">
              <w:rPr>
                <w:noProof/>
                <w:highlight w:val="lightGray"/>
              </w:rPr>
              <w:t>1</w:t>
            </w:r>
          </w:p>
        </w:tc>
      </w:tr>
      <w:tr w:rsidR="004F4CD1" w:rsidRPr="00E8450A" w:rsidTr="00A67F2E">
        <w:tc>
          <w:tcPr>
            <w:tcW w:w="2002" w:type="dxa"/>
            <w:tcBorders>
              <w:left w:val="nil"/>
            </w:tcBorders>
          </w:tcPr>
          <w:p w:rsidR="004F4CD1" w:rsidRPr="00E8450A" w:rsidRDefault="004F4CD1" w:rsidP="004F4CD1">
            <w:pPr>
              <w:ind w:left="851" w:hanging="851"/>
              <w:rPr>
                <w:noProof/>
                <w:highlight w:val="lightGray"/>
              </w:rPr>
            </w:pPr>
            <w:r w:rsidRPr="00E8450A">
              <w:rPr>
                <w:noProof/>
                <w:highlight w:val="lightGray"/>
              </w:rPr>
              <w:t>1 500 – 1 999</w:t>
            </w:r>
          </w:p>
        </w:tc>
        <w:tc>
          <w:tcPr>
            <w:tcW w:w="1162" w:type="dxa"/>
          </w:tcPr>
          <w:p w:rsidR="004F4CD1" w:rsidRPr="00E8450A" w:rsidRDefault="004F4CD1" w:rsidP="00261815">
            <w:pPr>
              <w:ind w:left="851" w:hanging="851"/>
              <w:jc w:val="left"/>
              <w:rPr>
                <w:noProof/>
                <w:highlight w:val="lightGray"/>
              </w:rPr>
            </w:pPr>
            <w:r w:rsidRPr="00E8450A">
              <w:rPr>
                <w:noProof/>
                <w:highlight w:val="lightGray"/>
              </w:rPr>
              <w:t>3</w:t>
            </w:r>
          </w:p>
        </w:tc>
        <w:tc>
          <w:tcPr>
            <w:tcW w:w="1089" w:type="dxa"/>
          </w:tcPr>
          <w:p w:rsidR="004F4CD1" w:rsidRPr="00E8450A" w:rsidRDefault="004F4CD1" w:rsidP="00261815">
            <w:pPr>
              <w:ind w:left="851" w:hanging="851"/>
              <w:jc w:val="left"/>
              <w:rPr>
                <w:noProof/>
                <w:highlight w:val="lightGray"/>
              </w:rPr>
            </w:pPr>
            <w:r w:rsidRPr="00E8450A">
              <w:rPr>
                <w:noProof/>
                <w:highlight w:val="lightGray"/>
              </w:rPr>
              <w:t>4</w:t>
            </w:r>
          </w:p>
        </w:tc>
        <w:tc>
          <w:tcPr>
            <w:tcW w:w="1277" w:type="dxa"/>
          </w:tcPr>
          <w:p w:rsidR="004F4CD1" w:rsidRPr="00E8450A" w:rsidRDefault="004F4CD1" w:rsidP="00261815">
            <w:pPr>
              <w:ind w:left="851" w:hanging="851"/>
              <w:jc w:val="left"/>
              <w:rPr>
                <w:noProof/>
                <w:highlight w:val="lightGray"/>
              </w:rPr>
            </w:pPr>
            <w:r w:rsidRPr="00E8450A">
              <w:rPr>
                <w:noProof/>
                <w:highlight w:val="lightGray"/>
              </w:rPr>
              <w:t>2</w:t>
            </w:r>
          </w:p>
        </w:tc>
        <w:tc>
          <w:tcPr>
            <w:tcW w:w="1273" w:type="dxa"/>
          </w:tcPr>
          <w:p w:rsidR="004F4CD1" w:rsidRPr="00E8450A" w:rsidRDefault="004F4CD1" w:rsidP="00261815">
            <w:pPr>
              <w:ind w:left="851" w:hanging="851"/>
              <w:jc w:val="left"/>
              <w:rPr>
                <w:noProof/>
                <w:highlight w:val="lightGray"/>
              </w:rPr>
            </w:pPr>
            <w:r w:rsidRPr="00E8450A">
              <w:rPr>
                <w:noProof/>
                <w:highlight w:val="lightGray"/>
              </w:rPr>
              <w:t>2</w:t>
            </w:r>
          </w:p>
        </w:tc>
        <w:tc>
          <w:tcPr>
            <w:tcW w:w="1135" w:type="dxa"/>
          </w:tcPr>
          <w:p w:rsidR="004F4CD1" w:rsidRPr="00E8450A" w:rsidRDefault="004F4CD1" w:rsidP="00261815">
            <w:pPr>
              <w:ind w:left="851" w:hanging="851"/>
              <w:jc w:val="left"/>
              <w:rPr>
                <w:noProof/>
                <w:highlight w:val="lightGray"/>
              </w:rPr>
            </w:pPr>
            <w:r w:rsidRPr="00E8450A">
              <w:rPr>
                <w:noProof/>
                <w:highlight w:val="lightGray"/>
              </w:rPr>
              <w:t>1</w:t>
            </w:r>
          </w:p>
        </w:tc>
        <w:tc>
          <w:tcPr>
            <w:tcW w:w="1134" w:type="dxa"/>
            <w:tcBorders>
              <w:right w:val="nil"/>
            </w:tcBorders>
          </w:tcPr>
          <w:p w:rsidR="004F4CD1" w:rsidRPr="00E8450A" w:rsidRDefault="004F4CD1" w:rsidP="00261815">
            <w:pPr>
              <w:ind w:left="851" w:hanging="851"/>
              <w:jc w:val="left"/>
              <w:rPr>
                <w:noProof/>
                <w:highlight w:val="lightGray"/>
              </w:rPr>
            </w:pPr>
            <w:r w:rsidRPr="00E8450A">
              <w:rPr>
                <w:noProof/>
                <w:highlight w:val="lightGray"/>
              </w:rPr>
              <w:t>1</w:t>
            </w:r>
          </w:p>
        </w:tc>
      </w:tr>
      <w:tr w:rsidR="004F4CD1" w:rsidRPr="00E8450A" w:rsidTr="00A67F2E">
        <w:tc>
          <w:tcPr>
            <w:tcW w:w="2002" w:type="dxa"/>
            <w:tcBorders>
              <w:left w:val="nil"/>
            </w:tcBorders>
          </w:tcPr>
          <w:p w:rsidR="004F4CD1" w:rsidRPr="00E8450A" w:rsidRDefault="004F4CD1" w:rsidP="004F4CD1">
            <w:pPr>
              <w:ind w:left="851" w:hanging="851"/>
              <w:rPr>
                <w:noProof/>
                <w:highlight w:val="lightGray"/>
              </w:rPr>
            </w:pPr>
            <w:r w:rsidRPr="00E8450A">
              <w:rPr>
                <w:noProof/>
                <w:highlight w:val="lightGray"/>
              </w:rPr>
              <w:t>2 000 – 2 749</w:t>
            </w:r>
          </w:p>
        </w:tc>
        <w:tc>
          <w:tcPr>
            <w:tcW w:w="1162" w:type="dxa"/>
          </w:tcPr>
          <w:p w:rsidR="004F4CD1" w:rsidRPr="00E8450A" w:rsidRDefault="004F4CD1" w:rsidP="00261815">
            <w:pPr>
              <w:ind w:left="851" w:hanging="851"/>
              <w:jc w:val="left"/>
              <w:rPr>
                <w:noProof/>
                <w:highlight w:val="lightGray"/>
              </w:rPr>
            </w:pPr>
            <w:r w:rsidRPr="00E8450A">
              <w:rPr>
                <w:noProof/>
                <w:highlight w:val="lightGray"/>
              </w:rPr>
              <w:t>3</w:t>
            </w:r>
          </w:p>
        </w:tc>
        <w:tc>
          <w:tcPr>
            <w:tcW w:w="1089" w:type="dxa"/>
          </w:tcPr>
          <w:p w:rsidR="004F4CD1" w:rsidRPr="00E8450A" w:rsidRDefault="004F4CD1" w:rsidP="00261815">
            <w:pPr>
              <w:ind w:left="851" w:hanging="851"/>
              <w:jc w:val="left"/>
              <w:rPr>
                <w:noProof/>
                <w:highlight w:val="lightGray"/>
              </w:rPr>
            </w:pPr>
            <w:r w:rsidRPr="00E8450A">
              <w:rPr>
                <w:noProof/>
                <w:highlight w:val="lightGray"/>
              </w:rPr>
              <w:t>4</w:t>
            </w:r>
          </w:p>
        </w:tc>
        <w:tc>
          <w:tcPr>
            <w:tcW w:w="1277" w:type="dxa"/>
          </w:tcPr>
          <w:p w:rsidR="004F4CD1" w:rsidRPr="00E8450A" w:rsidRDefault="004F4CD1" w:rsidP="00261815">
            <w:pPr>
              <w:ind w:left="851" w:hanging="851"/>
              <w:jc w:val="left"/>
              <w:rPr>
                <w:noProof/>
                <w:highlight w:val="lightGray"/>
              </w:rPr>
            </w:pPr>
            <w:r w:rsidRPr="00E8450A">
              <w:rPr>
                <w:noProof/>
                <w:highlight w:val="lightGray"/>
              </w:rPr>
              <w:t>2</w:t>
            </w:r>
          </w:p>
        </w:tc>
        <w:tc>
          <w:tcPr>
            <w:tcW w:w="1273" w:type="dxa"/>
          </w:tcPr>
          <w:p w:rsidR="004F4CD1" w:rsidRPr="00E8450A" w:rsidRDefault="004F4CD1" w:rsidP="00261815">
            <w:pPr>
              <w:ind w:left="851" w:hanging="851"/>
              <w:jc w:val="left"/>
              <w:rPr>
                <w:noProof/>
                <w:highlight w:val="lightGray"/>
              </w:rPr>
            </w:pPr>
            <w:r w:rsidRPr="00E8450A">
              <w:rPr>
                <w:noProof/>
                <w:highlight w:val="lightGray"/>
              </w:rPr>
              <w:t>2</w:t>
            </w:r>
          </w:p>
        </w:tc>
        <w:tc>
          <w:tcPr>
            <w:tcW w:w="1135" w:type="dxa"/>
          </w:tcPr>
          <w:p w:rsidR="004F4CD1" w:rsidRPr="00E8450A" w:rsidRDefault="004F4CD1" w:rsidP="00261815">
            <w:pPr>
              <w:ind w:left="851" w:hanging="851"/>
              <w:jc w:val="left"/>
              <w:rPr>
                <w:noProof/>
                <w:highlight w:val="lightGray"/>
              </w:rPr>
            </w:pPr>
            <w:r w:rsidRPr="00E8450A">
              <w:rPr>
                <w:noProof/>
                <w:highlight w:val="lightGray"/>
              </w:rPr>
              <w:t>1</w:t>
            </w:r>
          </w:p>
        </w:tc>
        <w:tc>
          <w:tcPr>
            <w:tcW w:w="1134" w:type="dxa"/>
            <w:tcBorders>
              <w:right w:val="nil"/>
            </w:tcBorders>
          </w:tcPr>
          <w:p w:rsidR="004F4CD1" w:rsidRPr="00E8450A" w:rsidRDefault="004F4CD1" w:rsidP="00261815">
            <w:pPr>
              <w:ind w:left="851" w:hanging="851"/>
              <w:jc w:val="left"/>
              <w:rPr>
                <w:noProof/>
                <w:highlight w:val="lightGray"/>
              </w:rPr>
            </w:pPr>
            <w:r w:rsidRPr="00E8450A">
              <w:rPr>
                <w:noProof/>
                <w:highlight w:val="lightGray"/>
              </w:rPr>
              <w:t>2</w:t>
            </w:r>
          </w:p>
        </w:tc>
      </w:tr>
      <w:tr w:rsidR="004F4CD1" w:rsidRPr="00E8450A" w:rsidTr="00A67F2E">
        <w:tc>
          <w:tcPr>
            <w:tcW w:w="2002" w:type="dxa"/>
            <w:tcBorders>
              <w:left w:val="nil"/>
            </w:tcBorders>
          </w:tcPr>
          <w:p w:rsidR="004F4CD1" w:rsidRPr="00E8450A" w:rsidRDefault="004F4CD1" w:rsidP="004F4CD1">
            <w:pPr>
              <w:ind w:left="851" w:hanging="851"/>
              <w:rPr>
                <w:noProof/>
                <w:highlight w:val="lightGray"/>
              </w:rPr>
            </w:pPr>
            <w:r w:rsidRPr="00E8450A">
              <w:rPr>
                <w:noProof/>
                <w:highlight w:val="lightGray"/>
              </w:rPr>
              <w:t>2 750 – 3 749</w:t>
            </w:r>
          </w:p>
        </w:tc>
        <w:tc>
          <w:tcPr>
            <w:tcW w:w="1162" w:type="dxa"/>
          </w:tcPr>
          <w:p w:rsidR="004F4CD1" w:rsidRPr="00E8450A" w:rsidRDefault="004F4CD1" w:rsidP="00261815">
            <w:pPr>
              <w:ind w:left="851" w:hanging="851"/>
              <w:jc w:val="left"/>
              <w:rPr>
                <w:noProof/>
                <w:highlight w:val="lightGray"/>
              </w:rPr>
            </w:pPr>
            <w:r w:rsidRPr="00E8450A">
              <w:rPr>
                <w:noProof/>
                <w:highlight w:val="lightGray"/>
              </w:rPr>
              <w:t>4</w:t>
            </w:r>
          </w:p>
        </w:tc>
        <w:tc>
          <w:tcPr>
            <w:tcW w:w="1089" w:type="dxa"/>
          </w:tcPr>
          <w:p w:rsidR="004F4CD1" w:rsidRPr="00E8450A" w:rsidRDefault="004F4CD1" w:rsidP="00261815">
            <w:pPr>
              <w:ind w:left="851" w:hanging="851"/>
              <w:jc w:val="left"/>
              <w:rPr>
                <w:noProof/>
                <w:highlight w:val="lightGray"/>
              </w:rPr>
            </w:pPr>
            <w:r w:rsidRPr="00E8450A">
              <w:rPr>
                <w:noProof/>
                <w:highlight w:val="lightGray"/>
              </w:rPr>
              <w:t>5</w:t>
            </w:r>
          </w:p>
        </w:tc>
        <w:tc>
          <w:tcPr>
            <w:tcW w:w="1277" w:type="dxa"/>
          </w:tcPr>
          <w:p w:rsidR="004F4CD1" w:rsidRPr="00E8450A" w:rsidRDefault="004F4CD1" w:rsidP="00261815">
            <w:pPr>
              <w:ind w:left="851" w:hanging="851"/>
              <w:jc w:val="left"/>
              <w:rPr>
                <w:noProof/>
                <w:highlight w:val="lightGray"/>
              </w:rPr>
            </w:pPr>
            <w:r w:rsidRPr="00E8450A">
              <w:rPr>
                <w:noProof/>
                <w:highlight w:val="lightGray"/>
              </w:rPr>
              <w:t>2</w:t>
            </w:r>
          </w:p>
        </w:tc>
        <w:tc>
          <w:tcPr>
            <w:tcW w:w="1273" w:type="dxa"/>
          </w:tcPr>
          <w:p w:rsidR="004F4CD1" w:rsidRPr="00E8450A" w:rsidRDefault="004F4CD1" w:rsidP="00261815">
            <w:pPr>
              <w:ind w:left="851" w:hanging="851"/>
              <w:jc w:val="left"/>
              <w:rPr>
                <w:noProof/>
                <w:highlight w:val="lightGray"/>
              </w:rPr>
            </w:pPr>
            <w:r w:rsidRPr="00E8450A">
              <w:rPr>
                <w:noProof/>
                <w:highlight w:val="lightGray"/>
              </w:rPr>
              <w:t>2</w:t>
            </w:r>
          </w:p>
        </w:tc>
        <w:tc>
          <w:tcPr>
            <w:tcW w:w="1135" w:type="dxa"/>
          </w:tcPr>
          <w:p w:rsidR="004F4CD1" w:rsidRPr="00E8450A" w:rsidRDefault="004F4CD1" w:rsidP="00261815">
            <w:pPr>
              <w:ind w:left="851" w:hanging="851"/>
              <w:jc w:val="left"/>
              <w:rPr>
                <w:noProof/>
                <w:highlight w:val="lightGray"/>
              </w:rPr>
            </w:pPr>
            <w:r w:rsidRPr="00E8450A">
              <w:rPr>
                <w:noProof/>
                <w:highlight w:val="lightGray"/>
              </w:rPr>
              <w:t>1</w:t>
            </w:r>
          </w:p>
        </w:tc>
        <w:tc>
          <w:tcPr>
            <w:tcW w:w="1134" w:type="dxa"/>
            <w:tcBorders>
              <w:right w:val="nil"/>
            </w:tcBorders>
          </w:tcPr>
          <w:p w:rsidR="004F4CD1" w:rsidRPr="00E8450A" w:rsidRDefault="004F4CD1" w:rsidP="00261815">
            <w:pPr>
              <w:ind w:left="851" w:hanging="851"/>
              <w:jc w:val="left"/>
              <w:rPr>
                <w:noProof/>
                <w:highlight w:val="lightGray"/>
              </w:rPr>
            </w:pPr>
            <w:r w:rsidRPr="00E8450A">
              <w:rPr>
                <w:noProof/>
                <w:highlight w:val="lightGray"/>
              </w:rPr>
              <w:t>2</w:t>
            </w:r>
          </w:p>
        </w:tc>
      </w:tr>
      <w:tr w:rsidR="004F4CD1" w:rsidRPr="00E8450A" w:rsidTr="00A67F2E">
        <w:tc>
          <w:tcPr>
            <w:tcW w:w="2002" w:type="dxa"/>
            <w:tcBorders>
              <w:left w:val="nil"/>
            </w:tcBorders>
          </w:tcPr>
          <w:p w:rsidR="004F4CD1" w:rsidRPr="00E8450A" w:rsidRDefault="004F4CD1" w:rsidP="004F4CD1">
            <w:pPr>
              <w:ind w:left="851" w:hanging="851"/>
              <w:rPr>
                <w:noProof/>
                <w:highlight w:val="lightGray"/>
              </w:rPr>
            </w:pPr>
            <w:r w:rsidRPr="00E8450A">
              <w:rPr>
                <w:noProof/>
                <w:highlight w:val="lightGray"/>
              </w:rPr>
              <w:t>3 750 – 4 749</w:t>
            </w:r>
          </w:p>
        </w:tc>
        <w:tc>
          <w:tcPr>
            <w:tcW w:w="1162" w:type="dxa"/>
          </w:tcPr>
          <w:p w:rsidR="004F4CD1" w:rsidRPr="00E8450A" w:rsidRDefault="004F4CD1" w:rsidP="00261815">
            <w:pPr>
              <w:ind w:left="851" w:hanging="851"/>
              <w:jc w:val="left"/>
              <w:rPr>
                <w:noProof/>
                <w:highlight w:val="lightGray"/>
              </w:rPr>
            </w:pPr>
            <w:r w:rsidRPr="00E8450A">
              <w:rPr>
                <w:noProof/>
                <w:highlight w:val="lightGray"/>
              </w:rPr>
              <w:t>4</w:t>
            </w:r>
          </w:p>
        </w:tc>
        <w:tc>
          <w:tcPr>
            <w:tcW w:w="1089" w:type="dxa"/>
          </w:tcPr>
          <w:p w:rsidR="004F4CD1" w:rsidRPr="00E8450A" w:rsidRDefault="004F4CD1" w:rsidP="00261815">
            <w:pPr>
              <w:ind w:left="851" w:hanging="851"/>
              <w:jc w:val="left"/>
              <w:rPr>
                <w:noProof/>
                <w:highlight w:val="lightGray"/>
              </w:rPr>
            </w:pPr>
            <w:r w:rsidRPr="00E8450A">
              <w:rPr>
                <w:noProof/>
                <w:highlight w:val="lightGray"/>
              </w:rPr>
              <w:t>6</w:t>
            </w:r>
          </w:p>
        </w:tc>
        <w:tc>
          <w:tcPr>
            <w:tcW w:w="1277" w:type="dxa"/>
          </w:tcPr>
          <w:p w:rsidR="004F4CD1" w:rsidRPr="00E8450A" w:rsidRDefault="004F4CD1" w:rsidP="00261815">
            <w:pPr>
              <w:ind w:left="851" w:hanging="851"/>
              <w:jc w:val="left"/>
              <w:rPr>
                <w:noProof/>
                <w:highlight w:val="lightGray"/>
              </w:rPr>
            </w:pPr>
            <w:r w:rsidRPr="00E8450A">
              <w:rPr>
                <w:noProof/>
                <w:highlight w:val="lightGray"/>
              </w:rPr>
              <w:t>2</w:t>
            </w:r>
          </w:p>
        </w:tc>
        <w:tc>
          <w:tcPr>
            <w:tcW w:w="1273" w:type="dxa"/>
          </w:tcPr>
          <w:p w:rsidR="004F4CD1" w:rsidRPr="00E8450A" w:rsidRDefault="004F4CD1" w:rsidP="00261815">
            <w:pPr>
              <w:ind w:left="851" w:hanging="851"/>
              <w:jc w:val="left"/>
              <w:rPr>
                <w:noProof/>
                <w:highlight w:val="lightGray"/>
              </w:rPr>
            </w:pPr>
            <w:r w:rsidRPr="00E8450A">
              <w:rPr>
                <w:noProof/>
                <w:highlight w:val="lightGray"/>
              </w:rPr>
              <w:t>2</w:t>
            </w:r>
          </w:p>
        </w:tc>
        <w:tc>
          <w:tcPr>
            <w:tcW w:w="1135" w:type="dxa"/>
          </w:tcPr>
          <w:p w:rsidR="004F4CD1" w:rsidRPr="00E8450A" w:rsidRDefault="004F4CD1" w:rsidP="00261815">
            <w:pPr>
              <w:ind w:left="851" w:hanging="851"/>
              <w:jc w:val="left"/>
              <w:rPr>
                <w:noProof/>
                <w:highlight w:val="lightGray"/>
              </w:rPr>
            </w:pPr>
            <w:r w:rsidRPr="00E8450A">
              <w:rPr>
                <w:noProof/>
                <w:highlight w:val="lightGray"/>
              </w:rPr>
              <w:t>2</w:t>
            </w:r>
          </w:p>
        </w:tc>
        <w:tc>
          <w:tcPr>
            <w:tcW w:w="1134" w:type="dxa"/>
            <w:tcBorders>
              <w:right w:val="nil"/>
            </w:tcBorders>
          </w:tcPr>
          <w:p w:rsidR="004F4CD1" w:rsidRPr="00E8450A" w:rsidRDefault="004F4CD1" w:rsidP="00261815">
            <w:pPr>
              <w:ind w:left="851" w:hanging="851"/>
              <w:jc w:val="left"/>
              <w:rPr>
                <w:noProof/>
                <w:highlight w:val="lightGray"/>
              </w:rPr>
            </w:pPr>
            <w:r w:rsidRPr="00E8450A">
              <w:rPr>
                <w:noProof/>
                <w:highlight w:val="lightGray"/>
              </w:rPr>
              <w:t>2</w:t>
            </w:r>
          </w:p>
        </w:tc>
      </w:tr>
      <w:tr w:rsidR="004F4CD1" w:rsidRPr="00E8450A" w:rsidTr="00A67F2E">
        <w:tc>
          <w:tcPr>
            <w:tcW w:w="2002" w:type="dxa"/>
            <w:tcBorders>
              <w:left w:val="nil"/>
            </w:tcBorders>
          </w:tcPr>
          <w:p w:rsidR="004F4CD1" w:rsidRPr="00E8450A" w:rsidRDefault="004F4CD1" w:rsidP="004F4CD1">
            <w:pPr>
              <w:ind w:left="851" w:hanging="851"/>
              <w:rPr>
                <w:noProof/>
                <w:highlight w:val="lightGray"/>
              </w:rPr>
            </w:pPr>
            <w:r w:rsidRPr="00E8450A">
              <w:rPr>
                <w:noProof/>
                <w:highlight w:val="lightGray"/>
              </w:rPr>
              <w:t>4 750 – 5 999</w:t>
            </w:r>
          </w:p>
        </w:tc>
        <w:tc>
          <w:tcPr>
            <w:tcW w:w="1162" w:type="dxa"/>
          </w:tcPr>
          <w:p w:rsidR="004F4CD1" w:rsidRPr="00E8450A" w:rsidRDefault="004F4CD1" w:rsidP="00261815">
            <w:pPr>
              <w:ind w:left="851" w:hanging="851"/>
              <w:jc w:val="left"/>
              <w:rPr>
                <w:noProof/>
                <w:highlight w:val="lightGray"/>
              </w:rPr>
            </w:pPr>
            <w:r w:rsidRPr="00E8450A">
              <w:rPr>
                <w:noProof/>
                <w:highlight w:val="lightGray"/>
              </w:rPr>
              <w:t>5</w:t>
            </w:r>
          </w:p>
        </w:tc>
        <w:tc>
          <w:tcPr>
            <w:tcW w:w="1089" w:type="dxa"/>
          </w:tcPr>
          <w:p w:rsidR="004F4CD1" w:rsidRPr="00E8450A" w:rsidRDefault="004F4CD1" w:rsidP="00261815">
            <w:pPr>
              <w:ind w:left="851" w:hanging="851"/>
              <w:jc w:val="left"/>
              <w:rPr>
                <w:noProof/>
                <w:highlight w:val="lightGray"/>
              </w:rPr>
            </w:pPr>
            <w:r w:rsidRPr="00E8450A">
              <w:rPr>
                <w:noProof/>
                <w:highlight w:val="lightGray"/>
              </w:rPr>
              <w:t>7</w:t>
            </w:r>
          </w:p>
        </w:tc>
        <w:tc>
          <w:tcPr>
            <w:tcW w:w="1277" w:type="dxa"/>
          </w:tcPr>
          <w:p w:rsidR="004F4CD1" w:rsidRPr="00E8450A" w:rsidRDefault="004F4CD1" w:rsidP="00261815">
            <w:pPr>
              <w:ind w:left="851" w:hanging="851"/>
              <w:jc w:val="left"/>
              <w:rPr>
                <w:noProof/>
                <w:highlight w:val="lightGray"/>
              </w:rPr>
            </w:pPr>
            <w:r w:rsidRPr="00E8450A">
              <w:rPr>
                <w:noProof/>
                <w:highlight w:val="lightGray"/>
              </w:rPr>
              <w:t>3</w:t>
            </w:r>
          </w:p>
        </w:tc>
        <w:tc>
          <w:tcPr>
            <w:tcW w:w="1273" w:type="dxa"/>
          </w:tcPr>
          <w:p w:rsidR="004F4CD1" w:rsidRPr="00E8450A" w:rsidRDefault="004F4CD1" w:rsidP="00261815">
            <w:pPr>
              <w:ind w:left="851" w:hanging="851"/>
              <w:jc w:val="left"/>
              <w:rPr>
                <w:noProof/>
                <w:highlight w:val="lightGray"/>
              </w:rPr>
            </w:pPr>
            <w:r w:rsidRPr="00E8450A">
              <w:rPr>
                <w:noProof/>
                <w:highlight w:val="lightGray"/>
              </w:rPr>
              <w:t>3</w:t>
            </w:r>
          </w:p>
        </w:tc>
        <w:tc>
          <w:tcPr>
            <w:tcW w:w="1135" w:type="dxa"/>
          </w:tcPr>
          <w:p w:rsidR="004F4CD1" w:rsidRPr="00E8450A" w:rsidRDefault="004F4CD1" w:rsidP="00261815">
            <w:pPr>
              <w:ind w:left="851" w:hanging="851"/>
              <w:jc w:val="left"/>
              <w:rPr>
                <w:noProof/>
                <w:highlight w:val="lightGray"/>
              </w:rPr>
            </w:pPr>
            <w:r w:rsidRPr="00E8450A">
              <w:rPr>
                <w:noProof/>
                <w:highlight w:val="lightGray"/>
              </w:rPr>
              <w:t>2</w:t>
            </w:r>
          </w:p>
        </w:tc>
        <w:tc>
          <w:tcPr>
            <w:tcW w:w="1134" w:type="dxa"/>
            <w:tcBorders>
              <w:right w:val="nil"/>
            </w:tcBorders>
          </w:tcPr>
          <w:p w:rsidR="004F4CD1" w:rsidRPr="00E8450A" w:rsidRDefault="004F4CD1" w:rsidP="00261815">
            <w:pPr>
              <w:ind w:left="851" w:hanging="851"/>
              <w:jc w:val="left"/>
              <w:rPr>
                <w:noProof/>
                <w:highlight w:val="lightGray"/>
              </w:rPr>
            </w:pPr>
            <w:r w:rsidRPr="00E8450A">
              <w:rPr>
                <w:noProof/>
                <w:highlight w:val="lightGray"/>
              </w:rPr>
              <w:t>3</w:t>
            </w:r>
          </w:p>
        </w:tc>
      </w:tr>
      <w:tr w:rsidR="004F4CD1" w:rsidRPr="00E8450A" w:rsidTr="00A67F2E">
        <w:tc>
          <w:tcPr>
            <w:tcW w:w="2002" w:type="dxa"/>
            <w:tcBorders>
              <w:left w:val="nil"/>
            </w:tcBorders>
          </w:tcPr>
          <w:p w:rsidR="004F4CD1" w:rsidRPr="00E8450A" w:rsidRDefault="004F4CD1" w:rsidP="004F4CD1">
            <w:pPr>
              <w:ind w:left="851" w:hanging="851"/>
              <w:rPr>
                <w:noProof/>
                <w:highlight w:val="lightGray"/>
              </w:rPr>
            </w:pPr>
            <w:r w:rsidRPr="00E8450A">
              <w:rPr>
                <w:noProof/>
                <w:highlight w:val="lightGray"/>
              </w:rPr>
              <w:t>6 000 a viac</w:t>
            </w:r>
          </w:p>
        </w:tc>
        <w:tc>
          <w:tcPr>
            <w:tcW w:w="1162" w:type="dxa"/>
          </w:tcPr>
          <w:p w:rsidR="004F4CD1" w:rsidRPr="00E8450A" w:rsidRDefault="004F4CD1" w:rsidP="00261815">
            <w:pPr>
              <w:ind w:left="851" w:hanging="851"/>
              <w:jc w:val="left"/>
              <w:rPr>
                <w:noProof/>
                <w:highlight w:val="lightGray"/>
              </w:rPr>
            </w:pPr>
            <w:r w:rsidRPr="00E8450A">
              <w:rPr>
                <w:noProof/>
                <w:highlight w:val="lightGray"/>
              </w:rPr>
              <w:t>5</w:t>
            </w:r>
          </w:p>
        </w:tc>
        <w:tc>
          <w:tcPr>
            <w:tcW w:w="1089" w:type="dxa"/>
          </w:tcPr>
          <w:p w:rsidR="004F4CD1" w:rsidRPr="00E8450A" w:rsidRDefault="004F4CD1" w:rsidP="00261815">
            <w:pPr>
              <w:ind w:left="851" w:hanging="851"/>
              <w:jc w:val="left"/>
              <w:rPr>
                <w:noProof/>
                <w:highlight w:val="lightGray"/>
              </w:rPr>
            </w:pPr>
            <w:r w:rsidRPr="00E8450A">
              <w:rPr>
                <w:noProof/>
                <w:highlight w:val="lightGray"/>
              </w:rPr>
              <w:t>8</w:t>
            </w:r>
          </w:p>
        </w:tc>
        <w:tc>
          <w:tcPr>
            <w:tcW w:w="1277" w:type="dxa"/>
          </w:tcPr>
          <w:p w:rsidR="004F4CD1" w:rsidRPr="00E8450A" w:rsidRDefault="004F4CD1" w:rsidP="00261815">
            <w:pPr>
              <w:ind w:left="851" w:hanging="851"/>
              <w:jc w:val="left"/>
              <w:rPr>
                <w:noProof/>
                <w:highlight w:val="lightGray"/>
              </w:rPr>
            </w:pPr>
            <w:r w:rsidRPr="00E8450A">
              <w:rPr>
                <w:noProof/>
                <w:highlight w:val="lightGray"/>
              </w:rPr>
              <w:t>3</w:t>
            </w:r>
          </w:p>
        </w:tc>
        <w:tc>
          <w:tcPr>
            <w:tcW w:w="1273" w:type="dxa"/>
          </w:tcPr>
          <w:p w:rsidR="004F4CD1" w:rsidRPr="00E8450A" w:rsidRDefault="004F4CD1" w:rsidP="00261815">
            <w:pPr>
              <w:ind w:left="851" w:hanging="851"/>
              <w:jc w:val="left"/>
              <w:rPr>
                <w:noProof/>
                <w:highlight w:val="lightGray"/>
              </w:rPr>
            </w:pPr>
            <w:r w:rsidRPr="00E8450A">
              <w:rPr>
                <w:noProof/>
                <w:highlight w:val="lightGray"/>
              </w:rPr>
              <w:t>3</w:t>
            </w:r>
          </w:p>
        </w:tc>
        <w:tc>
          <w:tcPr>
            <w:tcW w:w="1135" w:type="dxa"/>
          </w:tcPr>
          <w:p w:rsidR="004F4CD1" w:rsidRPr="00E8450A" w:rsidRDefault="004F4CD1" w:rsidP="00261815">
            <w:pPr>
              <w:ind w:left="851" w:hanging="851"/>
              <w:jc w:val="left"/>
              <w:rPr>
                <w:noProof/>
                <w:highlight w:val="lightGray"/>
              </w:rPr>
            </w:pPr>
            <w:r w:rsidRPr="00E8450A">
              <w:rPr>
                <w:noProof/>
                <w:highlight w:val="lightGray"/>
              </w:rPr>
              <w:t>3</w:t>
            </w:r>
          </w:p>
        </w:tc>
        <w:tc>
          <w:tcPr>
            <w:tcW w:w="1134" w:type="dxa"/>
            <w:tcBorders>
              <w:right w:val="nil"/>
            </w:tcBorders>
          </w:tcPr>
          <w:p w:rsidR="004F4CD1" w:rsidRPr="00E8450A" w:rsidRDefault="004F4CD1" w:rsidP="00261815">
            <w:pPr>
              <w:ind w:left="851" w:hanging="851"/>
              <w:jc w:val="left"/>
              <w:rPr>
                <w:noProof/>
                <w:highlight w:val="lightGray"/>
              </w:rPr>
            </w:pPr>
            <w:r w:rsidRPr="00E8450A">
              <w:rPr>
                <w:noProof/>
                <w:highlight w:val="lightGray"/>
              </w:rPr>
              <w:t>3</w:t>
            </w:r>
          </w:p>
        </w:tc>
      </w:tr>
      <w:tr w:rsidR="004F4CD1" w:rsidRPr="00E8450A" w:rsidTr="009D16E9">
        <w:tc>
          <w:tcPr>
            <w:tcW w:w="9072" w:type="dxa"/>
            <w:gridSpan w:val="7"/>
            <w:tcBorders>
              <w:left w:val="nil"/>
              <w:right w:val="nil"/>
            </w:tcBorders>
          </w:tcPr>
          <w:p w:rsidR="004F4CD1" w:rsidRPr="00E8450A" w:rsidRDefault="004F4CD1" w:rsidP="00027D24">
            <w:pPr>
              <w:pStyle w:val="FootnoteText"/>
              <w:numPr>
                <w:ilvl w:val="0"/>
                <w:numId w:val="15"/>
              </w:numPr>
              <w:autoSpaceDE w:val="0"/>
              <w:autoSpaceDN w:val="0"/>
              <w:spacing w:before="120" w:after="120"/>
              <w:ind w:left="357" w:hanging="357"/>
              <w:rPr>
                <w:noProof/>
                <w:highlight w:val="lightGray"/>
              </w:rPr>
            </w:pPr>
            <w:r w:rsidRPr="00E8450A">
              <w:rPr>
                <w:noProof/>
                <w:highlight w:val="lightGray"/>
              </w:rPr>
              <w:t>Počet vzorkovacích miest pre PM</w:t>
            </w:r>
            <w:r w:rsidRPr="00E8450A">
              <w:rPr>
                <w:noProof/>
                <w:highlight w:val="lightGray"/>
                <w:vertAlign w:val="subscript"/>
              </w:rPr>
              <w:t>2,5</w:t>
            </w:r>
            <w:r w:rsidRPr="00E8450A">
              <w:rPr>
                <w:noProof/>
                <w:highlight w:val="lightGray"/>
              </w:rPr>
              <w:t xml:space="preserve"> a NO</w:t>
            </w:r>
            <w:r w:rsidRPr="00E8450A">
              <w:rPr>
                <w:noProof/>
                <w:highlight w:val="lightGray"/>
                <w:vertAlign w:val="subscript"/>
              </w:rPr>
              <w:t>2</w:t>
            </w:r>
            <w:r w:rsidRPr="00E8450A">
              <w:rPr>
                <w:noProof/>
                <w:highlight w:val="lightGray"/>
              </w:rPr>
              <w:t xml:space="preserve"> na mestských pozaďových miestach mestských oblastí musí spĺňať požiadavky stanovené v časti B.</w:t>
            </w:r>
          </w:p>
        </w:tc>
      </w:tr>
    </w:tbl>
    <w:p w:rsidR="004F4CD1" w:rsidRPr="00E8450A" w:rsidRDefault="004F4CD1" w:rsidP="004F4CD1">
      <w:pPr>
        <w:ind w:left="426"/>
        <w:rPr>
          <w:rFonts w:eastAsia="Times New Roman"/>
          <w:noProof/>
          <w:highlight w:val="lightGray"/>
          <w:lang w:eastAsia="it-IT"/>
        </w:rPr>
      </w:pPr>
    </w:p>
    <w:p w:rsidR="004F4CD1" w:rsidRPr="00E8450A" w:rsidRDefault="004F4CD1" w:rsidP="004F4CD1">
      <w:pPr>
        <w:rPr>
          <w:i/>
          <w:iCs/>
          <w:noProof/>
          <w:highlight w:val="lightGray"/>
        </w:rPr>
      </w:pPr>
      <w:r w:rsidRPr="00E8450A">
        <w:rPr>
          <w:noProof/>
        </w:rPr>
        <w:br w:type="page"/>
      </w:r>
    </w:p>
    <w:p w:rsidR="004F4CD1" w:rsidRPr="00E8450A" w:rsidRDefault="004F4CD1" w:rsidP="009D16E9">
      <w:pPr>
        <w:rPr>
          <w:i/>
          <w:iCs/>
          <w:noProof/>
          <w:highlight w:val="lightGray"/>
        </w:rPr>
      </w:pPr>
      <w:r w:rsidRPr="00E8450A">
        <w:rPr>
          <w:i/>
          <w:noProof/>
          <w:highlight w:val="lightGray"/>
        </w:rPr>
        <w:lastRenderedPageBreak/>
        <w:t>Tabuľka 4 – Najmenší počet vzorkovacích miest pre stále meranie na hodnotenie dodržiavania cieľových hodnôt pre ozón, dlhodobých cieľov, ako aj informačných a výstražných prahov v zónach, kde sa uplatňuje 50 % zníženie takýchto meraní (len pre ozón)</w:t>
      </w:r>
    </w:p>
    <w:tbl>
      <w:tblPr>
        <w:tblW w:w="9072" w:type="dxa"/>
        <w:tblInd w:w="108"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3213"/>
        <w:gridCol w:w="5859"/>
      </w:tblGrid>
      <w:tr w:rsidR="00904A32" w:rsidRPr="00E8450A" w:rsidTr="00EC2071">
        <w:tc>
          <w:tcPr>
            <w:tcW w:w="3213" w:type="dxa"/>
          </w:tcPr>
          <w:p w:rsidR="00904A32" w:rsidRPr="00E8450A" w:rsidRDefault="00904A32" w:rsidP="00261815">
            <w:pPr>
              <w:jc w:val="left"/>
              <w:rPr>
                <w:b/>
                <w:bCs/>
                <w:noProof/>
                <w:highlight w:val="lightGray"/>
              </w:rPr>
            </w:pPr>
            <w:r w:rsidRPr="00E8450A">
              <w:rPr>
                <w:b/>
                <w:noProof/>
                <w:highlight w:val="lightGray"/>
              </w:rPr>
              <w:t>Počet obyvateľov v zóne</w:t>
            </w:r>
            <w:r w:rsidRPr="00E8450A">
              <w:rPr>
                <w:noProof/>
              </w:rPr>
              <w:t xml:space="preserve"> </w:t>
            </w:r>
            <w:r w:rsidRPr="00E8450A">
              <w:rPr>
                <w:noProof/>
              </w:rPr>
              <w:br/>
            </w:r>
            <w:r w:rsidRPr="00E8450A">
              <w:rPr>
                <w:b/>
                <w:noProof/>
                <w:highlight w:val="lightGray"/>
              </w:rPr>
              <w:t>(v tisícoch)</w:t>
            </w:r>
          </w:p>
        </w:tc>
        <w:tc>
          <w:tcPr>
            <w:tcW w:w="5859" w:type="dxa"/>
          </w:tcPr>
          <w:p w:rsidR="00904A32" w:rsidRPr="00E8450A" w:rsidRDefault="00904A32" w:rsidP="00261815">
            <w:pPr>
              <w:jc w:val="left"/>
              <w:rPr>
                <w:b/>
                <w:bCs/>
                <w:noProof/>
                <w:highlight w:val="lightGray"/>
              </w:rPr>
            </w:pPr>
            <w:r w:rsidRPr="00E8450A">
              <w:rPr>
                <w:b/>
                <w:noProof/>
                <w:highlight w:val="lightGray"/>
              </w:rPr>
              <w:t xml:space="preserve">Najmenší počet vzorkovacích miest, ak sa počet vzorkovacích miest zníži až o 50 % </w:t>
            </w:r>
            <w:r w:rsidRPr="00E8450A">
              <w:rPr>
                <w:b/>
                <w:noProof/>
                <w:highlight w:val="lightGray"/>
                <w:vertAlign w:val="superscript"/>
              </w:rPr>
              <w:t xml:space="preserve">(1) </w:t>
            </w:r>
          </w:p>
        </w:tc>
      </w:tr>
      <w:tr w:rsidR="00904A32" w:rsidRPr="00E8450A" w:rsidTr="00EC2071">
        <w:tc>
          <w:tcPr>
            <w:tcW w:w="3213" w:type="dxa"/>
          </w:tcPr>
          <w:p w:rsidR="00904A32" w:rsidRPr="00E8450A" w:rsidRDefault="00904A32" w:rsidP="00261815">
            <w:pPr>
              <w:jc w:val="left"/>
              <w:rPr>
                <w:noProof/>
                <w:highlight w:val="lightGray"/>
              </w:rPr>
            </w:pPr>
            <w:r w:rsidRPr="00E8450A">
              <w:rPr>
                <w:noProof/>
                <w:highlight w:val="lightGray"/>
              </w:rPr>
              <w:t>&lt; 250</w:t>
            </w:r>
          </w:p>
        </w:tc>
        <w:tc>
          <w:tcPr>
            <w:tcW w:w="5859" w:type="dxa"/>
          </w:tcPr>
          <w:p w:rsidR="00904A32" w:rsidRPr="00E8450A" w:rsidRDefault="00904A32" w:rsidP="00261815">
            <w:pPr>
              <w:jc w:val="left"/>
              <w:rPr>
                <w:noProof/>
                <w:highlight w:val="lightGray"/>
              </w:rPr>
            </w:pPr>
            <w:r w:rsidRPr="00E8450A">
              <w:rPr>
                <w:noProof/>
                <w:highlight w:val="lightGray"/>
              </w:rPr>
              <w:t>1</w:t>
            </w:r>
          </w:p>
        </w:tc>
      </w:tr>
      <w:tr w:rsidR="00904A32" w:rsidRPr="00E8450A" w:rsidTr="00EC2071">
        <w:tc>
          <w:tcPr>
            <w:tcW w:w="3213" w:type="dxa"/>
          </w:tcPr>
          <w:p w:rsidR="00904A32" w:rsidRPr="00E8450A" w:rsidRDefault="00904A32" w:rsidP="00261815">
            <w:pPr>
              <w:jc w:val="left"/>
              <w:rPr>
                <w:noProof/>
                <w:highlight w:val="lightGray"/>
              </w:rPr>
            </w:pPr>
            <w:r w:rsidRPr="00E8450A">
              <w:rPr>
                <w:noProof/>
                <w:highlight w:val="lightGray"/>
              </w:rPr>
              <w:t>&lt; 500</w:t>
            </w:r>
          </w:p>
        </w:tc>
        <w:tc>
          <w:tcPr>
            <w:tcW w:w="5859" w:type="dxa"/>
          </w:tcPr>
          <w:p w:rsidR="00904A32" w:rsidRPr="00E8450A" w:rsidRDefault="00904A32" w:rsidP="00261815">
            <w:pPr>
              <w:jc w:val="left"/>
              <w:rPr>
                <w:noProof/>
                <w:highlight w:val="lightGray"/>
              </w:rPr>
            </w:pPr>
            <w:r w:rsidRPr="00E8450A">
              <w:rPr>
                <w:noProof/>
                <w:highlight w:val="lightGray"/>
              </w:rPr>
              <w:t>1</w:t>
            </w:r>
          </w:p>
        </w:tc>
      </w:tr>
      <w:tr w:rsidR="00904A32" w:rsidRPr="00E8450A" w:rsidTr="00EC2071">
        <w:tc>
          <w:tcPr>
            <w:tcW w:w="3213" w:type="dxa"/>
          </w:tcPr>
          <w:p w:rsidR="00904A32" w:rsidRPr="00E8450A" w:rsidRDefault="00904A32" w:rsidP="00261815">
            <w:pPr>
              <w:jc w:val="left"/>
              <w:rPr>
                <w:noProof/>
                <w:highlight w:val="lightGray"/>
              </w:rPr>
            </w:pPr>
            <w:r w:rsidRPr="00E8450A">
              <w:rPr>
                <w:noProof/>
                <w:highlight w:val="lightGray"/>
              </w:rPr>
              <w:t>&lt; 1 000</w:t>
            </w:r>
          </w:p>
        </w:tc>
        <w:tc>
          <w:tcPr>
            <w:tcW w:w="5859" w:type="dxa"/>
          </w:tcPr>
          <w:p w:rsidR="00904A32" w:rsidRPr="00E8450A" w:rsidRDefault="00904A32" w:rsidP="00261815">
            <w:pPr>
              <w:jc w:val="left"/>
              <w:rPr>
                <w:noProof/>
                <w:highlight w:val="lightGray"/>
              </w:rPr>
            </w:pPr>
            <w:r w:rsidRPr="00E8450A">
              <w:rPr>
                <w:noProof/>
                <w:highlight w:val="lightGray"/>
              </w:rPr>
              <w:t>1</w:t>
            </w:r>
          </w:p>
        </w:tc>
      </w:tr>
      <w:tr w:rsidR="00904A32" w:rsidRPr="00E8450A" w:rsidTr="00EC2071">
        <w:tc>
          <w:tcPr>
            <w:tcW w:w="3213" w:type="dxa"/>
          </w:tcPr>
          <w:p w:rsidR="00904A32" w:rsidRPr="00E8450A" w:rsidRDefault="00904A32" w:rsidP="00261815">
            <w:pPr>
              <w:jc w:val="left"/>
              <w:rPr>
                <w:noProof/>
                <w:highlight w:val="lightGray"/>
              </w:rPr>
            </w:pPr>
            <w:r w:rsidRPr="00E8450A">
              <w:rPr>
                <w:noProof/>
                <w:highlight w:val="lightGray"/>
              </w:rPr>
              <w:t>&lt; 1 500</w:t>
            </w:r>
          </w:p>
        </w:tc>
        <w:tc>
          <w:tcPr>
            <w:tcW w:w="5859" w:type="dxa"/>
          </w:tcPr>
          <w:p w:rsidR="00904A32" w:rsidRPr="00E8450A" w:rsidRDefault="00904A32" w:rsidP="00261815">
            <w:pPr>
              <w:jc w:val="left"/>
              <w:rPr>
                <w:noProof/>
                <w:highlight w:val="lightGray"/>
              </w:rPr>
            </w:pPr>
            <w:r w:rsidRPr="00E8450A">
              <w:rPr>
                <w:noProof/>
                <w:highlight w:val="lightGray"/>
              </w:rPr>
              <w:t>2</w:t>
            </w:r>
          </w:p>
        </w:tc>
      </w:tr>
      <w:tr w:rsidR="00904A32" w:rsidRPr="00E8450A" w:rsidTr="00EC2071">
        <w:tc>
          <w:tcPr>
            <w:tcW w:w="3213" w:type="dxa"/>
          </w:tcPr>
          <w:p w:rsidR="00904A32" w:rsidRPr="00E8450A" w:rsidRDefault="00904A32" w:rsidP="00261815">
            <w:pPr>
              <w:jc w:val="left"/>
              <w:rPr>
                <w:noProof/>
                <w:highlight w:val="lightGray"/>
              </w:rPr>
            </w:pPr>
            <w:r w:rsidRPr="00E8450A">
              <w:rPr>
                <w:noProof/>
                <w:highlight w:val="lightGray"/>
              </w:rPr>
              <w:t>&lt; 2 000</w:t>
            </w:r>
          </w:p>
        </w:tc>
        <w:tc>
          <w:tcPr>
            <w:tcW w:w="5859" w:type="dxa"/>
          </w:tcPr>
          <w:p w:rsidR="00904A32" w:rsidRPr="00E8450A" w:rsidRDefault="00904A32" w:rsidP="00261815">
            <w:pPr>
              <w:jc w:val="left"/>
              <w:rPr>
                <w:noProof/>
                <w:highlight w:val="lightGray"/>
              </w:rPr>
            </w:pPr>
            <w:r w:rsidRPr="00E8450A">
              <w:rPr>
                <w:noProof/>
                <w:highlight w:val="lightGray"/>
              </w:rPr>
              <w:t>2</w:t>
            </w:r>
          </w:p>
        </w:tc>
      </w:tr>
      <w:tr w:rsidR="00904A32" w:rsidRPr="00E8450A" w:rsidTr="00EC2071">
        <w:tc>
          <w:tcPr>
            <w:tcW w:w="3213" w:type="dxa"/>
          </w:tcPr>
          <w:p w:rsidR="00904A32" w:rsidRPr="00E8450A" w:rsidRDefault="00904A32" w:rsidP="00261815">
            <w:pPr>
              <w:jc w:val="left"/>
              <w:rPr>
                <w:noProof/>
                <w:highlight w:val="lightGray"/>
              </w:rPr>
            </w:pPr>
            <w:r w:rsidRPr="00E8450A">
              <w:rPr>
                <w:noProof/>
                <w:highlight w:val="lightGray"/>
              </w:rPr>
              <w:t>&lt; 2 750</w:t>
            </w:r>
          </w:p>
        </w:tc>
        <w:tc>
          <w:tcPr>
            <w:tcW w:w="5859" w:type="dxa"/>
          </w:tcPr>
          <w:p w:rsidR="00904A32" w:rsidRPr="00E8450A" w:rsidRDefault="00904A32" w:rsidP="00261815">
            <w:pPr>
              <w:jc w:val="left"/>
              <w:rPr>
                <w:noProof/>
                <w:highlight w:val="lightGray"/>
              </w:rPr>
            </w:pPr>
            <w:r w:rsidRPr="00E8450A">
              <w:rPr>
                <w:noProof/>
                <w:highlight w:val="lightGray"/>
              </w:rPr>
              <w:t>3</w:t>
            </w:r>
          </w:p>
        </w:tc>
      </w:tr>
      <w:tr w:rsidR="00904A32" w:rsidRPr="00E8450A" w:rsidTr="00EC2071">
        <w:tc>
          <w:tcPr>
            <w:tcW w:w="3213" w:type="dxa"/>
          </w:tcPr>
          <w:p w:rsidR="00904A32" w:rsidRPr="00E8450A" w:rsidRDefault="00904A32" w:rsidP="00261815">
            <w:pPr>
              <w:jc w:val="left"/>
              <w:rPr>
                <w:noProof/>
                <w:highlight w:val="lightGray"/>
              </w:rPr>
            </w:pPr>
            <w:r w:rsidRPr="00E8450A">
              <w:rPr>
                <w:noProof/>
                <w:highlight w:val="lightGray"/>
              </w:rPr>
              <w:t>&lt; 3 750</w:t>
            </w:r>
          </w:p>
        </w:tc>
        <w:tc>
          <w:tcPr>
            <w:tcW w:w="5859" w:type="dxa"/>
          </w:tcPr>
          <w:p w:rsidR="00904A32" w:rsidRPr="00E8450A" w:rsidRDefault="00904A32" w:rsidP="00261815">
            <w:pPr>
              <w:jc w:val="left"/>
              <w:rPr>
                <w:noProof/>
                <w:highlight w:val="lightGray"/>
              </w:rPr>
            </w:pPr>
            <w:r w:rsidRPr="00E8450A">
              <w:rPr>
                <w:noProof/>
                <w:highlight w:val="lightGray"/>
              </w:rPr>
              <w:t>3</w:t>
            </w:r>
          </w:p>
        </w:tc>
      </w:tr>
      <w:tr w:rsidR="00904A32" w:rsidRPr="00E8450A" w:rsidTr="00EC2071">
        <w:tc>
          <w:tcPr>
            <w:tcW w:w="3213" w:type="dxa"/>
          </w:tcPr>
          <w:p w:rsidR="00904A32" w:rsidRPr="00E8450A" w:rsidRDefault="00904A32" w:rsidP="00261815">
            <w:pPr>
              <w:jc w:val="left"/>
              <w:rPr>
                <w:noProof/>
                <w:highlight w:val="lightGray"/>
              </w:rPr>
            </w:pPr>
            <w:r w:rsidRPr="00E8450A">
              <w:rPr>
                <w:noProof/>
                <w:highlight w:val="lightGray"/>
              </w:rPr>
              <w:t>≥ 3 750</w:t>
            </w:r>
          </w:p>
        </w:tc>
        <w:tc>
          <w:tcPr>
            <w:tcW w:w="5859" w:type="dxa"/>
          </w:tcPr>
          <w:p w:rsidR="00904A32" w:rsidRPr="00E8450A" w:rsidRDefault="00E170E7" w:rsidP="00261815">
            <w:pPr>
              <w:jc w:val="left"/>
              <w:rPr>
                <w:noProof/>
                <w:highlight w:val="lightGray"/>
              </w:rPr>
            </w:pPr>
            <w:r w:rsidRPr="00E8450A">
              <w:rPr>
                <w:noProof/>
                <w:highlight w:val="lightGray"/>
              </w:rPr>
              <w:t>1 dodatočné vzorkovacie miesto na 4 milióny obyvateľov</w:t>
            </w:r>
          </w:p>
        </w:tc>
      </w:tr>
      <w:tr w:rsidR="004F4CD1" w:rsidRPr="00E8450A" w:rsidTr="009D16E9">
        <w:tc>
          <w:tcPr>
            <w:tcW w:w="9072" w:type="dxa"/>
            <w:gridSpan w:val="2"/>
          </w:tcPr>
          <w:p w:rsidR="004F4CD1" w:rsidRPr="00E8450A" w:rsidRDefault="004F4CD1" w:rsidP="00531234">
            <w:pPr>
              <w:pStyle w:val="ListParagraph"/>
              <w:numPr>
                <w:ilvl w:val="0"/>
                <w:numId w:val="22"/>
              </w:numPr>
              <w:autoSpaceDE w:val="0"/>
              <w:autoSpaceDN w:val="0"/>
              <w:jc w:val="left"/>
              <w:rPr>
                <w:noProof/>
                <w:sz w:val="20"/>
                <w:szCs w:val="20"/>
                <w:highlight w:val="lightGray"/>
              </w:rPr>
            </w:pPr>
            <w:r w:rsidRPr="00E8450A">
              <w:rPr>
                <w:noProof/>
                <w:sz w:val="20"/>
                <w:highlight w:val="lightGray"/>
              </w:rPr>
              <w:t>Aspoň jedno vzorkovacie miesto v oblastiach, kde pravdepodobne dôjde k expozícii obyvateľstva najvyšším koncentráciám ozónu. V aglomeráciách sa najmenej 50 % vzorkovacích miest umiestni v predmestských oblastiach.</w:t>
            </w:r>
          </w:p>
        </w:tc>
      </w:tr>
    </w:tbl>
    <w:p w:rsidR="00724F80" w:rsidRPr="00E8450A" w:rsidRDefault="00724F80" w:rsidP="00261815">
      <w:pPr>
        <w:ind w:left="426"/>
        <w:rPr>
          <w:rFonts w:eastAsia="Times New Roman"/>
          <w:noProof/>
          <w:highlight w:val="lightGray"/>
          <w:lang w:eastAsia="it-IT"/>
        </w:rPr>
      </w:pPr>
    </w:p>
    <w:p w:rsidR="004F4CD1" w:rsidRPr="00E8450A" w:rsidRDefault="004F4CD1" w:rsidP="00261815">
      <w:pPr>
        <w:ind w:left="426"/>
        <w:rPr>
          <w:rFonts w:eastAsia="Times New Roman"/>
          <w:noProof/>
          <w:highlight w:val="lightGray"/>
        </w:rPr>
      </w:pPr>
      <w:r w:rsidRPr="00E8450A">
        <w:rPr>
          <w:noProof/>
          <w:highlight w:val="lightGray"/>
        </w:rPr>
        <w:t>Pre každú zónu musí najmenší počet vzorkovacích miest pre stále merania stanovený v tabuľkách v tejto časti zahŕňať aspoň jedno vzorkovacie miesto na pozaďovom mieste a jedno vzorkovacie miesto v oblasti s najvyššími koncentráciami podľa časti B prílohy IV za predpokladu, že sa tým nezvýši počet vzorkovacích miest. V prípade oxidu dusičitého, tuhých častíc, benzénu a oxidu uhoľnatého to musí zahŕňať aspoň jedno vzorkovacie miesto zamerané na meranie príspevku emisií z dopravy. Ak sa vyžaduje len jedno vzorkovacie miesto, toto miesto sa musí umiestniť v oblasti s najvyššími koncentráciami, ktorým je obyvateľstvo pravdepodobne priamo alebo nepriamo vystavené.</w:t>
      </w:r>
    </w:p>
    <w:p w:rsidR="004F4CD1" w:rsidRPr="00E8450A" w:rsidRDefault="004F4CD1" w:rsidP="00261815">
      <w:pPr>
        <w:ind w:left="426"/>
        <w:rPr>
          <w:rFonts w:eastAsia="Times New Roman"/>
          <w:noProof/>
          <w:highlight w:val="lightGray"/>
        </w:rPr>
      </w:pPr>
      <w:r w:rsidRPr="00E8450A">
        <w:rPr>
          <w:noProof/>
          <w:highlight w:val="lightGray"/>
        </w:rPr>
        <w:t>Pokiaľ ide o oxid dusičitý, tuhé častice, benzén a oxid uhoľnatý, v žiadnej zóne nesmie byť rozdiel medzi celkovým počtom vzorkovacích miest na mestských pozaďových miestach a požadovaným celkovým počtom vzorkovacích miest, kde sa vyskytujú najvyššie koncentrácie, väčší ako 2. Počet vzorkovacích miest pre PM</w:t>
      </w:r>
      <w:r w:rsidRPr="00E8450A">
        <w:rPr>
          <w:noProof/>
          <w:highlight w:val="lightGray"/>
          <w:vertAlign w:val="subscript"/>
        </w:rPr>
        <w:t>2,5</w:t>
      </w:r>
      <w:r w:rsidRPr="00E8450A">
        <w:rPr>
          <w:noProof/>
          <w:highlight w:val="lightGray"/>
        </w:rPr>
        <w:t xml:space="preserve"> a oxid dusičitý na mestských pozaďových miestach musí spĺňať požiadavky stanovené v časti B.</w:t>
      </w:r>
    </w:p>
    <w:p w:rsidR="005742DB" w:rsidRPr="00E8450A" w:rsidRDefault="005742DB" w:rsidP="00261815">
      <w:pPr>
        <w:rPr>
          <w:noProof/>
          <w:highlight w:val="lightGray"/>
        </w:rPr>
      </w:pPr>
    </w:p>
    <w:p w:rsidR="004F4CD1" w:rsidRPr="00E8450A" w:rsidRDefault="004F4CD1" w:rsidP="00261815">
      <w:pPr>
        <w:ind w:left="426"/>
        <w:rPr>
          <w:i/>
          <w:iCs/>
          <w:noProof/>
          <w:highlight w:val="lightGray"/>
        </w:rPr>
      </w:pPr>
      <w:r w:rsidRPr="00E8450A">
        <w:rPr>
          <w:i/>
          <w:noProof/>
          <w:highlight w:val="lightGray"/>
        </w:rPr>
        <w:t>2. Bodové zdroje</w:t>
      </w:r>
    </w:p>
    <w:p w:rsidR="004F4CD1" w:rsidRPr="00E8450A" w:rsidRDefault="004F4CD1" w:rsidP="00261815">
      <w:pPr>
        <w:ind w:left="426"/>
        <w:rPr>
          <w:noProof/>
          <w:highlight w:val="lightGray"/>
        </w:rPr>
      </w:pPr>
      <w:r w:rsidRPr="00E8450A">
        <w:rPr>
          <w:noProof/>
          <w:highlight w:val="lightGray"/>
        </w:rPr>
        <w:t>Na hodnotenie znečistenia v blízkosti bodových zdrojov sa počet vzorkovacích miest pre stále merania vypočíta s ohľadom na hustoty emisií, pravdepodobné vzorce šírenia znečistenia v okolitom ovzduší a na možnú expozíciu obyvateľstva. Tieto vzorkovacie miesta sa umiestnia tak, aby bolo možné monitorovať uplatňovanie BAT (najlepších dostupných techník) vymedzených v smernici 2010/75/EÚ.</w:t>
      </w:r>
    </w:p>
    <w:p w:rsidR="004F4CD1" w:rsidRPr="00E8450A" w:rsidRDefault="004F4CD1" w:rsidP="004F4CD1">
      <w:pPr>
        <w:rPr>
          <w:noProof/>
          <w:highlight w:val="lightGray"/>
        </w:rPr>
      </w:pPr>
    </w:p>
    <w:p w:rsidR="004F4CD1" w:rsidRPr="00E8450A" w:rsidRDefault="004F4CD1" w:rsidP="00A52FD4">
      <w:pPr>
        <w:rPr>
          <w:b/>
          <w:smallCaps/>
          <w:noProof/>
          <w:highlight w:val="lightGray"/>
        </w:rPr>
      </w:pPr>
      <w:r w:rsidRPr="00E8450A">
        <w:rPr>
          <w:b/>
          <w:noProof/>
          <w:highlight w:val="lightGray"/>
        </w:rPr>
        <w:t>B</w:t>
      </w:r>
      <w:r w:rsidR="00A52FD4">
        <w:rPr>
          <w:b/>
          <w:noProof/>
          <w:highlight w:val="lightGray"/>
        </w:rPr>
        <w:t>)</w:t>
      </w:r>
      <w:r w:rsidRPr="00E8450A">
        <w:rPr>
          <w:noProof/>
        </w:rPr>
        <w:tab/>
      </w:r>
      <w:r w:rsidRPr="00E8450A">
        <w:rPr>
          <w:b/>
          <w:noProof/>
          <w:highlight w:val="lightGray"/>
        </w:rPr>
        <w:t>Najmenší počet vzorkovacích miest pre stále meranie na posúdenie dodržiavania hodnôt povinného zníženia priemernej expozície časticiam PM</w:t>
      </w:r>
      <w:r w:rsidRPr="00E8450A">
        <w:rPr>
          <w:b/>
          <w:noProof/>
          <w:highlight w:val="lightGray"/>
          <w:vertAlign w:val="subscript"/>
        </w:rPr>
        <w:t>2,5</w:t>
      </w:r>
      <w:r w:rsidRPr="00E8450A">
        <w:rPr>
          <w:b/>
          <w:noProof/>
          <w:highlight w:val="lightGray"/>
        </w:rPr>
        <w:t xml:space="preserve"> a NO</w:t>
      </w:r>
      <w:r w:rsidRPr="00E8450A">
        <w:rPr>
          <w:b/>
          <w:noProof/>
          <w:highlight w:val="lightGray"/>
          <w:vertAlign w:val="subscript"/>
        </w:rPr>
        <w:t>2</w:t>
      </w:r>
      <w:r w:rsidRPr="00E8450A">
        <w:rPr>
          <w:b/>
          <w:noProof/>
          <w:highlight w:val="lightGray"/>
        </w:rPr>
        <w:t xml:space="preserve"> na účely ochrany ľudského zdravia</w:t>
      </w:r>
    </w:p>
    <w:p w:rsidR="004F4CD1" w:rsidRPr="00E8450A" w:rsidRDefault="004F4CD1" w:rsidP="004F4CD1">
      <w:pPr>
        <w:ind w:left="426"/>
        <w:rPr>
          <w:noProof/>
          <w:highlight w:val="lightGray"/>
        </w:rPr>
      </w:pPr>
      <w:r w:rsidRPr="00E8450A">
        <w:rPr>
          <w:noProof/>
          <w:highlight w:val="lightGray"/>
        </w:rPr>
        <w:t>V prípade PM</w:t>
      </w:r>
      <w:r w:rsidRPr="00E8450A">
        <w:rPr>
          <w:noProof/>
          <w:highlight w:val="lightGray"/>
          <w:vertAlign w:val="subscript"/>
        </w:rPr>
        <w:t>2,5</w:t>
      </w:r>
      <w:r w:rsidRPr="00E8450A">
        <w:rPr>
          <w:noProof/>
          <w:highlight w:val="lightGray"/>
        </w:rPr>
        <w:t xml:space="preserve"> a NO</w:t>
      </w:r>
      <w:r w:rsidRPr="00E8450A">
        <w:rPr>
          <w:noProof/>
          <w:highlight w:val="lightGray"/>
          <w:vertAlign w:val="subscript"/>
        </w:rPr>
        <w:t>2</w:t>
      </w:r>
      <w:r w:rsidRPr="00E8450A">
        <w:rPr>
          <w:noProof/>
          <w:highlight w:val="lightGray"/>
        </w:rPr>
        <w:t xml:space="preserve"> sa pre každú z týchto znečisťujúcich látok musí prevádzkovať jedno vzorkovacie miesto na každú územnú jednotku NUTS 1, ako sa opisuje v nariadení (ES) č. 1059/2003, a aspoň jedno vzorkovacie miesto na milión obyvateľov v mestských oblastiach, ktoré majú viac ako 100 000 obyvateľov. Tieto vzorkovacie miesta môžu byť totožné so vzorkovacími miestami podľa časti A.</w:t>
      </w:r>
    </w:p>
    <w:p w:rsidR="004F4CD1" w:rsidRPr="00E8450A" w:rsidRDefault="004F4CD1" w:rsidP="004F4CD1">
      <w:pPr>
        <w:rPr>
          <w:noProof/>
          <w:highlight w:val="lightGray"/>
        </w:rPr>
      </w:pPr>
    </w:p>
    <w:p w:rsidR="004F4CD1" w:rsidRPr="00E8450A" w:rsidRDefault="004F4CD1" w:rsidP="00A52FD4">
      <w:pPr>
        <w:rPr>
          <w:b/>
          <w:smallCaps/>
          <w:noProof/>
          <w:highlight w:val="lightGray"/>
        </w:rPr>
      </w:pPr>
      <w:r w:rsidRPr="00E8450A">
        <w:rPr>
          <w:b/>
          <w:noProof/>
          <w:highlight w:val="lightGray"/>
        </w:rPr>
        <w:t>C</w:t>
      </w:r>
      <w:r w:rsidR="00A52FD4">
        <w:rPr>
          <w:b/>
          <w:noProof/>
          <w:highlight w:val="lightGray"/>
        </w:rPr>
        <w:t>)</w:t>
      </w:r>
      <w:r w:rsidRPr="00E8450A">
        <w:rPr>
          <w:noProof/>
        </w:rPr>
        <w:tab/>
      </w:r>
      <w:r w:rsidRPr="00E8450A">
        <w:rPr>
          <w:b/>
          <w:noProof/>
          <w:highlight w:val="lightGray"/>
        </w:rPr>
        <w:t xml:space="preserve">Najmenší počet vzorkovacích miest pre stále merania na posúdenie dodržiavania kritických úrovní a dlhodobých cieľov pre ozón </w:t>
      </w:r>
    </w:p>
    <w:p w:rsidR="004F4CD1" w:rsidRPr="00E8450A" w:rsidRDefault="004F4CD1" w:rsidP="00A44799">
      <w:pPr>
        <w:pStyle w:val="Text1"/>
        <w:rPr>
          <w:b/>
          <w:i/>
          <w:smallCaps/>
          <w:noProof/>
          <w:highlight w:val="lightGray"/>
        </w:rPr>
      </w:pPr>
      <w:r w:rsidRPr="00E8450A">
        <w:rPr>
          <w:i/>
          <w:noProof/>
          <w:highlight w:val="lightGray"/>
        </w:rPr>
        <w:t>1. Kritické úrovne na ochranu vegetácie a prírodných ekosystémov</w:t>
      </w:r>
    </w:p>
    <w:tbl>
      <w:tblPr>
        <w:tblStyle w:val="TableGrid"/>
        <w:tblW w:w="8930" w:type="dxa"/>
        <w:tblInd w:w="534" w:type="dxa"/>
        <w:tblBorders>
          <w:left w:val="none" w:sz="0" w:space="0" w:color="auto"/>
          <w:right w:val="none" w:sz="0" w:space="0" w:color="auto"/>
        </w:tblBorders>
        <w:tblLook w:val="04A0" w:firstRow="1" w:lastRow="0" w:firstColumn="1" w:lastColumn="0" w:noHBand="0" w:noVBand="1"/>
      </w:tblPr>
      <w:tblGrid>
        <w:gridCol w:w="4394"/>
        <w:gridCol w:w="4536"/>
      </w:tblGrid>
      <w:tr w:rsidR="00C708F5" w:rsidRPr="00E8450A" w:rsidTr="00A058F2">
        <w:tc>
          <w:tcPr>
            <w:tcW w:w="4394" w:type="dxa"/>
          </w:tcPr>
          <w:p w:rsidR="00C708F5" w:rsidRPr="00E8450A" w:rsidRDefault="00C708F5" w:rsidP="00261815">
            <w:pPr>
              <w:rPr>
                <w:b/>
                <w:bCs/>
                <w:noProof/>
                <w:szCs w:val="24"/>
                <w:highlight w:val="lightGray"/>
              </w:rPr>
            </w:pPr>
            <w:r w:rsidRPr="00E8450A">
              <w:rPr>
                <w:b/>
                <w:noProof/>
                <w:highlight w:val="lightGray"/>
              </w:rPr>
              <w:t>Ak najvyššie koncentrácie prekročia kritické úrovne</w:t>
            </w:r>
          </w:p>
        </w:tc>
        <w:tc>
          <w:tcPr>
            <w:tcW w:w="4536" w:type="dxa"/>
          </w:tcPr>
          <w:p w:rsidR="00C708F5" w:rsidRPr="00E8450A" w:rsidRDefault="00C708F5" w:rsidP="00C708F5">
            <w:pPr>
              <w:ind w:left="851" w:hanging="851"/>
              <w:rPr>
                <w:noProof/>
                <w:szCs w:val="24"/>
                <w:highlight w:val="lightGray"/>
              </w:rPr>
            </w:pPr>
            <w:r w:rsidRPr="00E8450A">
              <w:rPr>
                <w:noProof/>
                <w:highlight w:val="lightGray"/>
              </w:rPr>
              <w:t>1 vzorkovacie miesto na každých 20 000 km</w:t>
            </w:r>
            <w:r w:rsidRPr="00E8450A">
              <w:rPr>
                <w:noProof/>
                <w:highlight w:val="lightGray"/>
                <w:vertAlign w:val="superscript"/>
              </w:rPr>
              <w:t>2</w:t>
            </w:r>
          </w:p>
        </w:tc>
      </w:tr>
      <w:tr w:rsidR="00C708F5" w:rsidRPr="00E8450A" w:rsidTr="00A058F2">
        <w:tc>
          <w:tcPr>
            <w:tcW w:w="4394" w:type="dxa"/>
          </w:tcPr>
          <w:p w:rsidR="00C708F5" w:rsidRPr="00E8450A" w:rsidRDefault="00C708F5" w:rsidP="00261815">
            <w:pPr>
              <w:rPr>
                <w:b/>
                <w:bCs/>
                <w:noProof/>
                <w:szCs w:val="24"/>
                <w:highlight w:val="lightGray"/>
              </w:rPr>
            </w:pPr>
            <w:r w:rsidRPr="00E8450A">
              <w:rPr>
                <w:b/>
                <w:noProof/>
                <w:highlight w:val="lightGray"/>
              </w:rPr>
              <w:t>Ak najvyššie koncentrácie prekročia prah na hodnotenie</w:t>
            </w:r>
          </w:p>
        </w:tc>
        <w:tc>
          <w:tcPr>
            <w:tcW w:w="4536" w:type="dxa"/>
          </w:tcPr>
          <w:p w:rsidR="00C708F5" w:rsidRPr="00E8450A" w:rsidRDefault="00C708F5" w:rsidP="00C708F5">
            <w:pPr>
              <w:ind w:left="851" w:hanging="851"/>
              <w:rPr>
                <w:b/>
                <w:noProof/>
                <w:szCs w:val="24"/>
                <w:highlight w:val="lightGray"/>
              </w:rPr>
            </w:pPr>
            <w:r w:rsidRPr="00E8450A">
              <w:rPr>
                <w:noProof/>
                <w:highlight w:val="lightGray"/>
              </w:rPr>
              <w:t>1 vzorkovacie miesto na každých 40 000 km</w:t>
            </w:r>
            <w:r w:rsidRPr="00E8450A">
              <w:rPr>
                <w:noProof/>
                <w:highlight w:val="lightGray"/>
                <w:vertAlign w:val="superscript"/>
              </w:rPr>
              <w:t>2</w:t>
            </w:r>
          </w:p>
        </w:tc>
      </w:tr>
    </w:tbl>
    <w:p w:rsidR="004F4CD1" w:rsidRPr="00E8450A" w:rsidRDefault="004F4CD1" w:rsidP="004F4CD1">
      <w:pPr>
        <w:ind w:left="426"/>
        <w:rPr>
          <w:noProof/>
          <w:highlight w:val="lightGray"/>
        </w:rPr>
      </w:pPr>
      <w:r w:rsidRPr="00E8450A">
        <w:rPr>
          <w:noProof/>
          <w:highlight w:val="lightGray"/>
        </w:rPr>
        <w:t>V ostrovných zónach sa počet vzorkovacích miest pre stále merania vypočíta s ohľadom na pravdepodobné vzorce šírenia znečistenia v okolitom ovzduší a na možnú expozíciu vegetácie.</w:t>
      </w:r>
    </w:p>
    <w:p w:rsidR="004F4CD1" w:rsidRPr="00E8450A" w:rsidRDefault="004F4CD1" w:rsidP="00A44799">
      <w:pPr>
        <w:pStyle w:val="Text1"/>
        <w:rPr>
          <w:b/>
          <w:i/>
          <w:smallCaps/>
          <w:noProof/>
          <w:highlight w:val="lightGray"/>
        </w:rPr>
      </w:pPr>
      <w:r w:rsidRPr="00E8450A">
        <w:rPr>
          <w:i/>
          <w:noProof/>
          <w:highlight w:val="lightGray"/>
        </w:rPr>
        <w:t>2. Dlhodobý cieľ ochrany ľudského zdravia a životného prostredia pre ozón</w:t>
      </w:r>
    </w:p>
    <w:p w:rsidR="004F4CD1" w:rsidRPr="00E8450A" w:rsidRDefault="004F4CD1" w:rsidP="004F4CD1">
      <w:pPr>
        <w:ind w:left="426"/>
        <w:rPr>
          <w:noProof/>
          <w:highlight w:val="lightGray"/>
        </w:rPr>
      </w:pPr>
      <w:r w:rsidRPr="00E8450A">
        <w:rPr>
          <w:noProof/>
          <w:highlight w:val="lightGray"/>
        </w:rPr>
        <w:t>V prípade pozaďového merania na vidieku členské štáty zabezpečia aspoň jedno vzorkovacie miesto na 50 000 km</w:t>
      </w:r>
      <w:r w:rsidRPr="00E8450A">
        <w:rPr>
          <w:noProof/>
          <w:highlight w:val="lightGray"/>
          <w:vertAlign w:val="superscript"/>
        </w:rPr>
        <w:t>2</w:t>
      </w:r>
      <w:r w:rsidRPr="00E8450A">
        <w:rPr>
          <w:noProof/>
          <w:highlight w:val="lightGray"/>
        </w:rPr>
        <w:t>, čo má predstavovať priemernú hustotu vzorkovacích miest vo všetkých zónach krajiny. V prípade zložitého terénu sa odporúča jedno vzorkovacie miesto na 25 000 km</w:t>
      </w:r>
      <w:r w:rsidRPr="00E8450A">
        <w:rPr>
          <w:noProof/>
          <w:highlight w:val="lightGray"/>
          <w:vertAlign w:val="superscript"/>
        </w:rPr>
        <w:t>2</w:t>
      </w:r>
      <w:r w:rsidRPr="00E8450A">
        <w:rPr>
          <w:noProof/>
          <w:highlight w:val="lightGray"/>
        </w:rPr>
        <w:t>.</w:t>
      </w:r>
    </w:p>
    <w:p w:rsidR="004F4CD1" w:rsidRPr="00E8450A" w:rsidRDefault="004F4CD1" w:rsidP="004F4CD1">
      <w:pPr>
        <w:ind w:left="426"/>
        <w:rPr>
          <w:noProof/>
          <w:highlight w:val="lightGray"/>
        </w:rPr>
      </w:pPr>
    </w:p>
    <w:p w:rsidR="004F4CD1" w:rsidRPr="00E8450A" w:rsidRDefault="004F4CD1" w:rsidP="00A52FD4">
      <w:pPr>
        <w:rPr>
          <w:b/>
          <w:smallCaps/>
          <w:noProof/>
          <w:highlight w:val="lightGray"/>
        </w:rPr>
      </w:pPr>
      <w:r w:rsidRPr="00E8450A">
        <w:rPr>
          <w:b/>
          <w:noProof/>
          <w:highlight w:val="lightGray"/>
        </w:rPr>
        <w:t>D</w:t>
      </w:r>
      <w:r w:rsidR="00A52FD4">
        <w:rPr>
          <w:b/>
          <w:noProof/>
          <w:highlight w:val="lightGray"/>
        </w:rPr>
        <w:t>)</w:t>
      </w:r>
      <w:r w:rsidRPr="00E8450A">
        <w:rPr>
          <w:noProof/>
        </w:rPr>
        <w:tab/>
      </w:r>
      <w:r w:rsidRPr="00E8450A">
        <w:rPr>
          <w:b/>
          <w:noProof/>
          <w:highlight w:val="lightGray"/>
        </w:rPr>
        <w:t xml:space="preserve">Najmenší počet vzorkovacích miest pre stále merania ultrajemných častíc na miestach s vysokou koncentráciou </w:t>
      </w:r>
    </w:p>
    <w:p w:rsidR="00797D8E" w:rsidRPr="00E8450A" w:rsidRDefault="004F4CD1" w:rsidP="004F4CD1">
      <w:pPr>
        <w:ind w:left="426"/>
        <w:rPr>
          <w:noProof/>
          <w:highlight w:val="lightGray"/>
        </w:rPr>
      </w:pPr>
      <w:r w:rsidRPr="00E8450A">
        <w:rPr>
          <w:noProof/>
          <w:highlight w:val="lightGray"/>
        </w:rPr>
        <w:t xml:space="preserve">Popri iných látkach znečisťujúcich ovzdušie sa na vybraných miestach musia monitorovať ultrajemné častice (ďalej aj „UFP“). Vzorkovacie miesta na monitorovanie ultrajemných častíc sú v prípade potreby totožné so vzorkovacími miestami tuhých častíc alebo oxidu dusičitého uvedenými v časti A a umiestňujú sa v súlade s oddielom 3 prílohy VII. Na tento účel sa na mieste, kde je pravdepodobné, že sa vyskytnú vysoké koncentrácie UFP, zriadi aspoň jedno vzorkovacie miesto na 5 miliónov obyvateľov. Členské štáty, ktoré majú menej ako 5 miliónov obyvateľov, zriadia aspoň jedno stále vzorkovacie miesto tam, kde je pravdepodobné, že sa vyskytnú vysoké koncentrácie UFP. </w:t>
      </w:r>
    </w:p>
    <w:p w:rsidR="004F4CD1" w:rsidRPr="00E8450A" w:rsidRDefault="004F4CD1" w:rsidP="004F4CD1">
      <w:pPr>
        <w:ind w:left="426"/>
        <w:rPr>
          <w:noProof/>
          <w:highlight w:val="lightGray"/>
        </w:rPr>
      </w:pPr>
      <w:r w:rsidRPr="00E8450A">
        <w:rPr>
          <w:noProof/>
          <w:highlight w:val="lightGray"/>
        </w:rPr>
        <w:t xml:space="preserve">Monitorovacie superlokality zriadené na mestských alebo vidieckych pozaďových miestach v súlade s článkom 10 sa na účely splnenia požiadaviek na najmenší počet vzorkovacích miest pre UFP stanovený v tejto prílohe nezahŕňajú. </w:t>
      </w:r>
    </w:p>
    <w:p w:rsidR="004F4CD1" w:rsidRPr="00E8450A" w:rsidRDefault="004F4CD1" w:rsidP="004F4CD1">
      <w:pPr>
        <w:rPr>
          <w:bCs/>
          <w:i/>
          <w:smallCaps/>
          <w:noProof/>
          <w:highlight w:val="lightGray"/>
          <w:u w:val="single"/>
        </w:rPr>
      </w:pPr>
    </w:p>
    <w:p w:rsidR="00261815" w:rsidRPr="00E8450A" w:rsidRDefault="00261815">
      <w:pPr>
        <w:spacing w:before="0" w:after="200" w:line="276" w:lineRule="auto"/>
        <w:jc w:val="left"/>
        <w:rPr>
          <w:b/>
          <w:noProof/>
          <w:highlight w:val="lightGray"/>
          <w:u w:val="single"/>
        </w:rPr>
      </w:pPr>
      <w:r w:rsidRPr="00E8450A">
        <w:rPr>
          <w:noProof/>
        </w:rPr>
        <w:br w:type="page"/>
      </w:r>
    </w:p>
    <w:p w:rsidR="004F4CD1" w:rsidRPr="00E8450A" w:rsidRDefault="004F4CD1" w:rsidP="00BC180F">
      <w:pPr>
        <w:pStyle w:val="Annexetitre"/>
        <w:rPr>
          <w:caps/>
          <w:noProof/>
          <w:highlight w:val="lightGray"/>
        </w:rPr>
      </w:pPr>
      <w:r w:rsidRPr="00E8450A">
        <w:rPr>
          <w:caps/>
          <w:noProof/>
          <w:highlight w:val="lightGray"/>
        </w:rPr>
        <w:lastRenderedPageBreak/>
        <w:t>PRÍLOHA IV</w:t>
      </w:r>
    </w:p>
    <w:p w:rsidR="004F4CD1" w:rsidRPr="00E8450A" w:rsidRDefault="004F4CD1" w:rsidP="004F4CD1">
      <w:pPr>
        <w:jc w:val="center"/>
        <w:rPr>
          <w:b/>
          <w:i/>
          <w:caps/>
          <w:noProof/>
          <w:highlight w:val="lightGray"/>
        </w:rPr>
      </w:pPr>
      <w:r w:rsidRPr="00E8450A">
        <w:rPr>
          <w:b/>
          <w:caps/>
          <w:noProof/>
          <w:highlight w:val="lightGray"/>
        </w:rPr>
        <w:t>Hodnotenie kvality okolitého ovzdušia</w:t>
      </w:r>
      <w:r w:rsidR="008A1F90">
        <w:rPr>
          <w:b/>
          <w:caps/>
          <w:noProof/>
          <w:highlight w:val="lightGray"/>
        </w:rPr>
        <w:t xml:space="preserve"> </w:t>
      </w:r>
      <w:r w:rsidRPr="00E8450A">
        <w:rPr>
          <w:noProof/>
        </w:rPr>
        <w:br/>
      </w:r>
      <w:r w:rsidRPr="00E8450A">
        <w:rPr>
          <w:b/>
          <w:caps/>
          <w:noProof/>
          <w:highlight w:val="lightGray"/>
        </w:rPr>
        <w:t xml:space="preserve">a umiestnenie vzorkovacích miest </w:t>
      </w:r>
    </w:p>
    <w:p w:rsidR="004F4CD1" w:rsidRPr="00E8450A" w:rsidRDefault="004F4CD1" w:rsidP="004F4CD1">
      <w:pPr>
        <w:rPr>
          <w:noProof/>
          <w:highlight w:val="lightGray"/>
        </w:rPr>
      </w:pPr>
    </w:p>
    <w:p w:rsidR="004F4CD1" w:rsidRPr="00E8450A" w:rsidRDefault="004F4CD1" w:rsidP="00A52FD4">
      <w:pPr>
        <w:rPr>
          <w:b/>
          <w:smallCaps/>
          <w:noProof/>
          <w:highlight w:val="lightGray"/>
        </w:rPr>
      </w:pPr>
      <w:r w:rsidRPr="00E8450A">
        <w:rPr>
          <w:b/>
          <w:noProof/>
          <w:highlight w:val="lightGray"/>
        </w:rPr>
        <w:t>A</w:t>
      </w:r>
      <w:r w:rsidR="00A52FD4">
        <w:rPr>
          <w:b/>
          <w:noProof/>
          <w:highlight w:val="lightGray"/>
        </w:rPr>
        <w:t>)</w:t>
      </w:r>
      <w:r w:rsidRPr="00E8450A">
        <w:rPr>
          <w:noProof/>
        </w:rPr>
        <w:tab/>
      </w:r>
      <w:r w:rsidRPr="00E8450A">
        <w:rPr>
          <w:b/>
          <w:noProof/>
          <w:highlight w:val="lightGray"/>
        </w:rPr>
        <w:t>Všeobecné informácie</w:t>
      </w:r>
    </w:p>
    <w:p w:rsidR="004F4CD1" w:rsidRPr="00E8450A" w:rsidRDefault="004F4CD1" w:rsidP="004F4CD1">
      <w:pPr>
        <w:ind w:left="426"/>
        <w:rPr>
          <w:noProof/>
          <w:highlight w:val="lightGray"/>
        </w:rPr>
      </w:pPr>
      <w:r w:rsidRPr="00E8450A">
        <w:rPr>
          <w:noProof/>
          <w:highlight w:val="lightGray"/>
        </w:rPr>
        <w:t>Kvalita okolitého ovzdušia sa hodnotí vo všetkých zónach takto:</w:t>
      </w:r>
    </w:p>
    <w:p w:rsidR="004F4CD1" w:rsidRPr="00E8450A" w:rsidRDefault="004F4CD1" w:rsidP="00531234">
      <w:pPr>
        <w:pStyle w:val="ListNumber"/>
        <w:numPr>
          <w:ilvl w:val="0"/>
          <w:numId w:val="23"/>
        </w:numPr>
        <w:rPr>
          <w:noProof/>
          <w:highlight w:val="lightGray"/>
        </w:rPr>
      </w:pPr>
      <w:r w:rsidRPr="00E8450A">
        <w:rPr>
          <w:noProof/>
          <w:highlight w:val="lightGray"/>
        </w:rPr>
        <w:t>Kvalita okolitého ovzdušia sa hodnotí na všetkých miestach okrem tých, ktoré sa uvádzajú v odseku 2.</w:t>
      </w:r>
    </w:p>
    <w:p w:rsidR="004F4CD1" w:rsidRPr="00E8450A" w:rsidRDefault="004F4CD1" w:rsidP="004F4CD1">
      <w:pPr>
        <w:ind w:left="426"/>
        <w:rPr>
          <w:noProof/>
          <w:highlight w:val="lightGray"/>
        </w:rPr>
      </w:pPr>
      <w:r w:rsidRPr="00E8450A">
        <w:rPr>
          <w:noProof/>
          <w:highlight w:val="lightGray"/>
        </w:rPr>
        <w:t>Na umiestnenie vzorkovacích miest sa uplatňujú časti B a C. Zásady stanovené v častiach B a C sa uplatňujú aj vtedy, ak sú relevantné pri určovaní konkrétnych miest, na ktorých sa stanovujú koncentrácie príslušných znečisťujúcich látok, pokiaľ sa kvalita okolitého ovzdušia hodnotí indikatívnym meraním alebo modelovaním.</w:t>
      </w:r>
    </w:p>
    <w:p w:rsidR="004F4CD1" w:rsidRPr="00E8450A" w:rsidRDefault="004F4CD1" w:rsidP="00A44799">
      <w:pPr>
        <w:pStyle w:val="ListNumber"/>
        <w:rPr>
          <w:noProof/>
          <w:highlight w:val="lightGray"/>
        </w:rPr>
      </w:pPr>
      <w:r w:rsidRPr="00E8450A">
        <w:rPr>
          <w:noProof/>
          <w:highlight w:val="lightGray"/>
        </w:rPr>
        <w:t>Dodržiavanie limitných hodnôt zameraných na ochranu ľudského zdravia sa nehodnotí na týchto miestach:</w:t>
      </w:r>
    </w:p>
    <w:p w:rsidR="004F4CD1" w:rsidRPr="00E8450A" w:rsidRDefault="004F4CD1" w:rsidP="00A44799">
      <w:pPr>
        <w:pStyle w:val="Text1"/>
        <w:rPr>
          <w:noProof/>
          <w:highlight w:val="lightGray"/>
        </w:rPr>
      </w:pPr>
      <w:r w:rsidRPr="00E8450A">
        <w:rPr>
          <w:noProof/>
          <w:highlight w:val="lightGray"/>
        </w:rPr>
        <w:t xml:space="preserve">a) </w:t>
      </w:r>
      <w:r w:rsidRPr="00E8450A">
        <w:rPr>
          <w:noProof/>
        </w:rPr>
        <w:tab/>
      </w:r>
      <w:r w:rsidRPr="00E8450A">
        <w:rPr>
          <w:noProof/>
          <w:highlight w:val="lightGray"/>
        </w:rPr>
        <w:t>na miestach v rámci oblastí, kam nemá verejnosť prístup a kde nie sú stále obydlia;</w:t>
      </w:r>
    </w:p>
    <w:p w:rsidR="004F4CD1" w:rsidRPr="00E8450A" w:rsidRDefault="004F4CD1" w:rsidP="00A44799">
      <w:pPr>
        <w:pStyle w:val="Text1"/>
        <w:rPr>
          <w:noProof/>
          <w:highlight w:val="lightGray"/>
        </w:rPr>
      </w:pPr>
      <w:r w:rsidRPr="00E8450A">
        <w:rPr>
          <w:noProof/>
          <w:highlight w:val="lightGray"/>
        </w:rPr>
        <w:t xml:space="preserve">b) </w:t>
      </w:r>
      <w:r w:rsidRPr="00E8450A">
        <w:rPr>
          <w:noProof/>
        </w:rPr>
        <w:tab/>
      </w:r>
      <w:r w:rsidRPr="00E8450A">
        <w:rPr>
          <w:noProof/>
          <w:highlight w:val="lightGray"/>
        </w:rPr>
        <w:t>v súlade s článkom 4 bodom 1 v priestoroch tovární alebo v priemyselných areáloch, na ktoré sa vzťahujú všetky relevantné ustanovenia týkajúce sa ochrany zdravia a bezpečnosti pri práci;</w:t>
      </w:r>
    </w:p>
    <w:p w:rsidR="004F4CD1" w:rsidRPr="00E8450A" w:rsidRDefault="004F4CD1" w:rsidP="00A44799">
      <w:pPr>
        <w:pStyle w:val="Text1"/>
        <w:rPr>
          <w:noProof/>
          <w:highlight w:val="lightGray"/>
        </w:rPr>
      </w:pPr>
      <w:r w:rsidRPr="00E8450A">
        <w:rPr>
          <w:noProof/>
          <w:highlight w:val="lightGray"/>
        </w:rPr>
        <w:t xml:space="preserve">c) </w:t>
      </w:r>
      <w:r w:rsidRPr="00E8450A">
        <w:rPr>
          <w:noProof/>
        </w:rPr>
        <w:tab/>
      </w:r>
      <w:r w:rsidRPr="00E8450A">
        <w:rPr>
          <w:noProof/>
          <w:highlight w:val="lightGray"/>
        </w:rPr>
        <w:t>na vozovkách a stredných oddeľujúcich pásoch ciest, okrem miest, kde majú chodci bežný prístup na stredný oddeľujúci pás.</w:t>
      </w:r>
    </w:p>
    <w:p w:rsidR="004F4CD1" w:rsidRPr="00E8450A" w:rsidRDefault="004F4CD1" w:rsidP="004F4CD1">
      <w:pPr>
        <w:rPr>
          <w:noProof/>
          <w:highlight w:val="lightGray"/>
        </w:rPr>
      </w:pPr>
    </w:p>
    <w:p w:rsidR="004F4CD1" w:rsidRPr="00E8450A" w:rsidRDefault="004F4CD1" w:rsidP="00A52FD4">
      <w:pPr>
        <w:rPr>
          <w:b/>
          <w:smallCaps/>
          <w:noProof/>
          <w:highlight w:val="lightGray"/>
        </w:rPr>
      </w:pPr>
      <w:r w:rsidRPr="00E8450A">
        <w:rPr>
          <w:b/>
          <w:noProof/>
          <w:highlight w:val="lightGray"/>
        </w:rPr>
        <w:t>B</w:t>
      </w:r>
      <w:r w:rsidR="00A52FD4">
        <w:rPr>
          <w:b/>
          <w:noProof/>
          <w:highlight w:val="lightGray"/>
        </w:rPr>
        <w:t>)</w:t>
      </w:r>
      <w:r w:rsidRPr="00E8450A">
        <w:rPr>
          <w:noProof/>
        </w:rPr>
        <w:tab/>
      </w:r>
      <w:r w:rsidRPr="00E8450A">
        <w:rPr>
          <w:b/>
          <w:noProof/>
          <w:highlight w:val="lightGray"/>
        </w:rPr>
        <w:t>Umiestnenie vzorkovacích miest na makroúrovni</w:t>
      </w:r>
    </w:p>
    <w:p w:rsidR="004F4CD1" w:rsidRPr="00E8450A" w:rsidRDefault="004F4CD1" w:rsidP="00531234">
      <w:pPr>
        <w:pStyle w:val="ListNumber"/>
        <w:numPr>
          <w:ilvl w:val="0"/>
          <w:numId w:val="24"/>
        </w:numPr>
        <w:rPr>
          <w:i/>
          <w:noProof/>
          <w:highlight w:val="lightGray"/>
        </w:rPr>
      </w:pPr>
      <w:r w:rsidRPr="00E8450A">
        <w:rPr>
          <w:i/>
          <w:noProof/>
          <w:highlight w:val="lightGray"/>
        </w:rPr>
        <w:t>Informácie</w:t>
      </w:r>
    </w:p>
    <w:p w:rsidR="004F4CD1" w:rsidRPr="00E8450A" w:rsidRDefault="004F4CD1" w:rsidP="004F4CD1">
      <w:pPr>
        <w:ind w:left="426"/>
        <w:rPr>
          <w:noProof/>
          <w:highlight w:val="lightGray"/>
        </w:rPr>
      </w:pPr>
      <w:r w:rsidRPr="00E8450A">
        <w:rPr>
          <w:noProof/>
          <w:highlight w:val="lightGray"/>
        </w:rPr>
        <w:t>Pri umiestňovaní vzorkovacích miest sa zohľadňujú údaje o emisiách pochádzajúce z národnej siete nahlásené podľa smernice Európskeho parlamentu a Rady (EÚ) 2016/2284</w:t>
      </w:r>
      <w:r w:rsidRPr="00E8450A">
        <w:rPr>
          <w:rStyle w:val="FootnoteReference"/>
          <w:noProof/>
          <w:highlight w:val="lightGray"/>
        </w:rPr>
        <w:footnoteReference w:id="2"/>
      </w:r>
      <w:r w:rsidRPr="00E8450A">
        <w:rPr>
          <w:noProof/>
          <w:highlight w:val="lightGray"/>
        </w:rPr>
        <w:t xml:space="preserve"> a údaje o emisiách nahlásené v rámci Európskeho registra uvoľňovania a prenosov znečisťujúcich látok.</w:t>
      </w:r>
    </w:p>
    <w:p w:rsidR="004F4CD1" w:rsidRPr="00E8450A" w:rsidRDefault="004F4CD1" w:rsidP="00A44799">
      <w:pPr>
        <w:pStyle w:val="ListNumber"/>
        <w:rPr>
          <w:i/>
          <w:noProof/>
          <w:highlight w:val="lightGray"/>
        </w:rPr>
      </w:pPr>
      <w:r w:rsidRPr="00E8450A">
        <w:rPr>
          <w:i/>
          <w:noProof/>
          <w:highlight w:val="lightGray"/>
        </w:rPr>
        <w:t>Ochrana ľudského zdravia</w:t>
      </w:r>
    </w:p>
    <w:p w:rsidR="004F4CD1" w:rsidRPr="00E8450A" w:rsidRDefault="004F4CD1" w:rsidP="004F4CD1">
      <w:pPr>
        <w:ind w:left="851" w:hanging="425"/>
        <w:rPr>
          <w:noProof/>
          <w:highlight w:val="lightGray"/>
        </w:rPr>
      </w:pPr>
      <w:r w:rsidRPr="00E8450A">
        <w:rPr>
          <w:noProof/>
          <w:highlight w:val="lightGray"/>
        </w:rPr>
        <w:t>a)</w:t>
      </w:r>
      <w:r w:rsidRPr="00E8450A">
        <w:rPr>
          <w:noProof/>
        </w:rPr>
        <w:tab/>
      </w:r>
      <w:r w:rsidRPr="00E8450A">
        <w:rPr>
          <w:noProof/>
          <w:highlight w:val="lightGray"/>
        </w:rPr>
        <w:t>Vzorkovacie miesta zamerané na ochranu ľudského zdravia sa umiestnia tak, aby poskytovali všetky tieto údaje:</w:t>
      </w:r>
    </w:p>
    <w:p w:rsidR="004F4CD1" w:rsidRPr="00E8450A" w:rsidRDefault="004F4CD1" w:rsidP="00A44799">
      <w:pPr>
        <w:pStyle w:val="Text1"/>
        <w:rPr>
          <w:noProof/>
          <w:highlight w:val="lightGray"/>
        </w:rPr>
      </w:pPr>
      <w:r w:rsidRPr="00E8450A">
        <w:rPr>
          <w:noProof/>
          <w:highlight w:val="lightGray"/>
        </w:rPr>
        <w:t>i) údaje o úrovniach koncentrácie v tých oblastiach v rámci zón, kde sa vyskytujú najvyššie koncentrácie, ktorým je obyvateľstvo pravdepodobne priamo alebo nepriamo vystavené počas obdobia, ktoré je významné v súvislosti s priemerovaným obdobím limitnej hodnoty (hodnôt);</w:t>
      </w:r>
    </w:p>
    <w:p w:rsidR="004F4CD1" w:rsidRPr="00E8450A" w:rsidRDefault="004F4CD1" w:rsidP="00A44799">
      <w:pPr>
        <w:pStyle w:val="Text1"/>
        <w:rPr>
          <w:noProof/>
          <w:highlight w:val="lightGray"/>
        </w:rPr>
      </w:pPr>
      <w:r w:rsidRPr="00E8450A">
        <w:rPr>
          <w:noProof/>
          <w:highlight w:val="lightGray"/>
        </w:rPr>
        <w:lastRenderedPageBreak/>
        <w:t xml:space="preserve">ii) údaje o úrovniach koncentrácie v iných oblastiach v rámci zón, ktoré sú reprezentatívne z hľadiska expozície bežného obyvateľstva, a </w:t>
      </w:r>
    </w:p>
    <w:p w:rsidR="004F4CD1" w:rsidRPr="00E8450A" w:rsidRDefault="004F4CD1" w:rsidP="00A44799">
      <w:pPr>
        <w:pStyle w:val="Text1"/>
        <w:rPr>
          <w:noProof/>
          <w:highlight w:val="lightGray"/>
        </w:rPr>
      </w:pPr>
      <w:r w:rsidRPr="00E8450A">
        <w:rPr>
          <w:noProof/>
          <w:highlight w:val="lightGray"/>
        </w:rPr>
        <w:t>iii) v prípade arzénu, kadmia, ortuti, niklu a polycyklických aromatických uhľovodíkov, údaje o rýchlosti depozície predstavujúcej nepriamu expozíciu obyvateľstva prostredníctvom potravinového reťazca;</w:t>
      </w:r>
    </w:p>
    <w:p w:rsidR="004F4CD1" w:rsidRPr="00E8450A" w:rsidRDefault="004F4CD1" w:rsidP="004F4CD1">
      <w:pPr>
        <w:ind w:left="851" w:hanging="425"/>
        <w:rPr>
          <w:noProof/>
          <w:highlight w:val="lightGray"/>
        </w:rPr>
      </w:pPr>
      <w:r w:rsidRPr="00E8450A">
        <w:rPr>
          <w:noProof/>
          <w:highlight w:val="lightGray"/>
        </w:rPr>
        <w:t>b) vzorkovacie miesta sa vo všeobecnosti umiestňujú tak, aby sa predišlo meraniu mikropriestorov v ich bezprostrednej blízkosti, čo znamená, že vzorkovacie miesto sa musí umiestniť tak, aby odoberaná vzorka vzduchu reprezentovala kvalitu ovzdušia na úseku ulice s dĺžkou aspoň 100 m na miestach, kde sa meria príspevok cestnej premávky, a na miestach s rozlohou aspoň 250 m × 250 m, kde sa meria príspevok z priemyselných areálov alebo iných zdrojov, ako sú prístavy alebo letiská, ak je to uskutočniteľné;</w:t>
      </w:r>
    </w:p>
    <w:p w:rsidR="004F4CD1" w:rsidRPr="00E8450A" w:rsidRDefault="004F4CD1" w:rsidP="004F4CD1">
      <w:pPr>
        <w:ind w:left="851" w:hanging="425"/>
        <w:rPr>
          <w:noProof/>
          <w:highlight w:val="lightGray"/>
        </w:rPr>
      </w:pPr>
      <w:r w:rsidRPr="00E8450A">
        <w:rPr>
          <w:noProof/>
          <w:highlight w:val="lightGray"/>
        </w:rPr>
        <w:t>c) mestské pozaďové miesta sa umiestnia tak, aby bola ich úroveň znečistenia ovplyvnená integrovaným príspevkom zo všetkých zdrojov, ktoré sa nachádzajú proti smeru vetra od vzorkovacieho miesta. Úrovni znečistenia nesmie dominovať jediný zdroj, pokiaľ táto situácia nie je typická pre väčšiu mestskú oblasť. Vzorkovacie miesta by mali byť spravidla reprezentatívne pre niekoľko kilometrov štvorcových;</w:t>
      </w:r>
    </w:p>
    <w:p w:rsidR="004F4CD1" w:rsidRPr="00E8450A" w:rsidRDefault="004F4CD1" w:rsidP="004F4CD1">
      <w:pPr>
        <w:ind w:left="851" w:hanging="425"/>
        <w:rPr>
          <w:noProof/>
          <w:highlight w:val="lightGray"/>
        </w:rPr>
      </w:pPr>
      <w:r w:rsidRPr="00E8450A">
        <w:rPr>
          <w:noProof/>
          <w:highlight w:val="lightGray"/>
        </w:rPr>
        <w:t>d) ak je cieľom merať príspevok vykurovania domácností, v smere prevládajúceho vetra od týchto zdrojov sa umiestni aspoň jedno vzorkovacie miesto;</w:t>
      </w:r>
    </w:p>
    <w:p w:rsidR="004F4CD1" w:rsidRPr="00E8450A" w:rsidRDefault="004F4CD1" w:rsidP="004F4CD1">
      <w:pPr>
        <w:ind w:left="851" w:hanging="425"/>
        <w:rPr>
          <w:noProof/>
          <w:highlight w:val="lightGray"/>
        </w:rPr>
      </w:pPr>
      <w:r w:rsidRPr="00E8450A">
        <w:rPr>
          <w:noProof/>
          <w:highlight w:val="lightGray"/>
        </w:rPr>
        <w:t>e) ak je cieľom hodnotenie vidieckych pozaďových úrovní, vzorkovacie miesto nemôžu ovplyvňovať mestské oblasti alebo priemyselné areály v jeho blízkosti, t. j. miesta bližšie než päť kilometrov;</w:t>
      </w:r>
    </w:p>
    <w:p w:rsidR="004F4CD1" w:rsidRPr="00E8450A" w:rsidRDefault="004F4CD1" w:rsidP="004F4CD1">
      <w:pPr>
        <w:ind w:left="851" w:hanging="425"/>
        <w:rPr>
          <w:noProof/>
          <w:highlight w:val="lightGray"/>
        </w:rPr>
      </w:pPr>
      <w:r w:rsidRPr="00E8450A">
        <w:rPr>
          <w:noProof/>
          <w:highlight w:val="lightGray"/>
        </w:rPr>
        <w:t>f) ak sa majú hodnotiť príspevky z priemyselných zdrojov, prístavov alebo letísk, v najbližšej obytnej oblasti sa v smere po vetre od zdroja umiestni aspoň jedno vzorkovacie miesto. Ak koncentrácia pozadia nie je známa, v smere prevládajúceho vetra sa umiestni dodatočné vzorkovacie miesto. Vzorkovacie miesta sa umiestnia tak, aby sa dalo monitorovať uplatňovanie BAT;</w:t>
      </w:r>
    </w:p>
    <w:p w:rsidR="004F4CD1" w:rsidRPr="00E8450A" w:rsidRDefault="004F4CD1" w:rsidP="004F4CD1">
      <w:pPr>
        <w:ind w:left="851" w:hanging="425"/>
        <w:rPr>
          <w:noProof/>
          <w:highlight w:val="lightGray"/>
        </w:rPr>
      </w:pPr>
      <w:r w:rsidRPr="00E8450A">
        <w:rPr>
          <w:noProof/>
          <w:highlight w:val="lightGray"/>
        </w:rPr>
        <w:t>g) vzorkovacie miesta musia byť podľa možnosti reprezentatívne aj pre podobné miesta, ktoré nie sú v ich bezprostrednej blízkosti. V zónach, v ktorých je úroveň látok znečisťujúcich ovzdušie nad prahom na hodnotenie, sa jasne vymedzí plocha, pre ktorú je každé vzorkovacie miesto reprezentatívne. Celá zóna musí byť pokrytá rôznymi oblasťami reprezentatívnosti vymedzenými pre každé vzorkovacie miesto;</w:t>
      </w:r>
    </w:p>
    <w:p w:rsidR="004F4CD1" w:rsidRPr="00E8450A" w:rsidRDefault="004F4CD1" w:rsidP="004F4CD1">
      <w:pPr>
        <w:ind w:left="851" w:hanging="425"/>
        <w:rPr>
          <w:noProof/>
          <w:highlight w:val="lightGray"/>
        </w:rPr>
      </w:pPr>
      <w:r w:rsidRPr="00E8450A">
        <w:rPr>
          <w:noProof/>
          <w:highlight w:val="lightGray"/>
        </w:rPr>
        <w:t>h) ak je to potrebné na účely ochrany ľudského zdravia, do úvahy sa musí vziať aj potreba umiestniť vzorkovacie miesta na ostrovoch;</w:t>
      </w:r>
    </w:p>
    <w:p w:rsidR="004F4CD1" w:rsidRPr="00E8450A" w:rsidRDefault="004F4CD1" w:rsidP="004F4CD1">
      <w:pPr>
        <w:ind w:left="850" w:hanging="425"/>
        <w:rPr>
          <w:noProof/>
          <w:highlight w:val="lightGray"/>
        </w:rPr>
      </w:pPr>
      <w:r w:rsidRPr="00E8450A">
        <w:rPr>
          <w:noProof/>
          <w:highlight w:val="lightGray"/>
        </w:rPr>
        <w:t>i) vzorkovacie miesta na meranie arzénu, kadmia, ortuti, niklu a polycyklických aromatických uhľovodíkov sa podľa možnosti umiestnia spoločne so vzorkovacími miestami pre PM</w:t>
      </w:r>
      <w:r w:rsidRPr="00E8450A">
        <w:rPr>
          <w:noProof/>
          <w:highlight w:val="lightGray"/>
          <w:vertAlign w:val="subscript"/>
        </w:rPr>
        <w:t>10</w:t>
      </w:r>
      <w:r w:rsidRPr="00E8450A">
        <w:rPr>
          <w:noProof/>
          <w:highlight w:val="lightGray"/>
        </w:rPr>
        <w:t>.</w:t>
      </w:r>
    </w:p>
    <w:p w:rsidR="0088783B" w:rsidRPr="00E8450A" w:rsidRDefault="0088783B" w:rsidP="004F4CD1">
      <w:pPr>
        <w:ind w:left="426"/>
        <w:rPr>
          <w:noProof/>
          <w:highlight w:val="lightGray"/>
        </w:rPr>
      </w:pPr>
    </w:p>
    <w:p w:rsidR="004F4CD1" w:rsidRPr="00E8450A" w:rsidRDefault="004F4CD1" w:rsidP="004F4CD1">
      <w:pPr>
        <w:ind w:left="426"/>
        <w:rPr>
          <w:noProof/>
          <w:highlight w:val="lightGray"/>
        </w:rPr>
      </w:pPr>
      <w:r w:rsidRPr="00E8450A">
        <w:rPr>
          <w:noProof/>
          <w:highlight w:val="lightGray"/>
        </w:rPr>
        <w:t xml:space="preserve">Pri vymedzovaní oblasti priestorovej reprezentatívnosti sa zohľadňujú tieto súvisiace charakteristiky: </w:t>
      </w:r>
    </w:p>
    <w:p w:rsidR="004F4CD1" w:rsidRPr="00E8450A" w:rsidRDefault="004F4CD1" w:rsidP="004F4CD1">
      <w:pPr>
        <w:ind w:left="822" w:hanging="397"/>
        <w:rPr>
          <w:noProof/>
          <w:highlight w:val="lightGray"/>
        </w:rPr>
      </w:pPr>
      <w:r w:rsidRPr="00E8450A">
        <w:rPr>
          <w:noProof/>
          <w:highlight w:val="lightGray"/>
        </w:rPr>
        <w:t>a) zemepisná oblasť môže zahŕňať nesusediace oblasti, ale jej rozšírenie je obmedzené hranicami posudzovanej zóny kvality ovzdušia;</w:t>
      </w:r>
    </w:p>
    <w:p w:rsidR="004F4CD1" w:rsidRPr="00E8450A" w:rsidRDefault="004F4CD1" w:rsidP="004F4CD1">
      <w:pPr>
        <w:ind w:left="822" w:hanging="397"/>
        <w:rPr>
          <w:noProof/>
          <w:highlight w:val="lightGray"/>
        </w:rPr>
      </w:pPr>
      <w:r w:rsidRPr="00E8450A">
        <w:rPr>
          <w:noProof/>
          <w:highlight w:val="lightGray"/>
        </w:rPr>
        <w:t xml:space="preserve">b) ak sa hodnotí prostredníctvom modelovania, použije sa systém modelovania vhodný na daný účel a v mieste stanice sa použijú modelované koncentrácie s cieľom </w:t>
      </w:r>
      <w:r w:rsidRPr="00E8450A">
        <w:rPr>
          <w:noProof/>
          <w:highlight w:val="lightGray"/>
        </w:rPr>
        <w:lastRenderedPageBreak/>
        <w:t>zabrániť tomu, aby systematické skresľovanie merania na úrovni modelu skresľovalo hodnotenie;</w:t>
      </w:r>
    </w:p>
    <w:p w:rsidR="004F4CD1" w:rsidRPr="00E8450A" w:rsidRDefault="004F4CD1" w:rsidP="004F4CD1">
      <w:pPr>
        <w:ind w:left="822" w:hanging="397"/>
        <w:rPr>
          <w:noProof/>
          <w:highlight w:val="lightGray"/>
        </w:rPr>
      </w:pPr>
      <w:r w:rsidRPr="00E8450A">
        <w:rPr>
          <w:noProof/>
          <w:highlight w:val="lightGray"/>
        </w:rPr>
        <w:t>c) môžu sa zvážiť iné metriky ako absolútne koncentrácie (napr. percentily);</w:t>
      </w:r>
    </w:p>
    <w:p w:rsidR="004F4CD1" w:rsidRPr="00E8450A" w:rsidRDefault="004F4CD1" w:rsidP="004F4CD1">
      <w:pPr>
        <w:ind w:left="822" w:hanging="397"/>
        <w:rPr>
          <w:noProof/>
          <w:highlight w:val="lightGray"/>
        </w:rPr>
      </w:pPr>
      <w:r w:rsidRPr="00E8450A">
        <w:rPr>
          <w:noProof/>
          <w:highlight w:val="lightGray"/>
        </w:rPr>
        <w:t>d) úrovne tolerancie a možné medze pre jednotlivé znečisťujúce látky sa môžu meniť v závislosti od charakteristík stanice;</w:t>
      </w:r>
    </w:p>
    <w:p w:rsidR="004F4CD1" w:rsidRPr="00E8450A" w:rsidRDefault="004F4CD1" w:rsidP="004F4CD1">
      <w:pPr>
        <w:ind w:left="822" w:hanging="397"/>
        <w:rPr>
          <w:noProof/>
          <w:highlight w:val="lightGray"/>
        </w:rPr>
      </w:pPr>
      <w:r w:rsidRPr="00E8450A">
        <w:rPr>
          <w:noProof/>
          <w:highlight w:val="lightGray"/>
        </w:rPr>
        <w:t>e) ako metrika kvality ovzdušia za konkrétny rok sa použije ročný priemer pozorovanej koncentrácie znečisťujúcej látky.</w:t>
      </w:r>
    </w:p>
    <w:p w:rsidR="004F4CD1" w:rsidRPr="00E8450A" w:rsidRDefault="004F4CD1" w:rsidP="004F4CD1">
      <w:pPr>
        <w:ind w:left="851" w:hanging="851"/>
        <w:rPr>
          <w:noProof/>
          <w:highlight w:val="lightGray"/>
        </w:rPr>
      </w:pPr>
    </w:p>
    <w:p w:rsidR="004F4CD1" w:rsidRPr="00E8450A" w:rsidRDefault="004F4CD1" w:rsidP="00A44799">
      <w:pPr>
        <w:pStyle w:val="ListNumber"/>
        <w:rPr>
          <w:i/>
          <w:noProof/>
          <w:highlight w:val="lightGray"/>
        </w:rPr>
      </w:pPr>
      <w:r w:rsidRPr="00E8450A">
        <w:rPr>
          <w:i/>
          <w:noProof/>
          <w:highlight w:val="lightGray"/>
        </w:rPr>
        <w:t>Ochrana vegetácie a prírodných ekosystémov</w:t>
      </w:r>
    </w:p>
    <w:p w:rsidR="004F4CD1" w:rsidRPr="00E8450A" w:rsidRDefault="004F4CD1" w:rsidP="004F4CD1">
      <w:pPr>
        <w:ind w:left="426"/>
        <w:rPr>
          <w:noProof/>
          <w:highlight w:val="lightGray"/>
        </w:rPr>
      </w:pPr>
      <w:r w:rsidRPr="00E8450A">
        <w:rPr>
          <w:noProof/>
          <w:highlight w:val="lightGray"/>
        </w:rPr>
        <w:t>Vzorkovacie miesta zamerané na ochranu vegetácie a prírodných ekosystémov sa umiestnia viac než 20 km od mestských oblastí alebo viac než 5 km od ostatných zastavaných oblastí, priemyselných areálov, diaľnic alebo hlavných ciest s intenzitou dopravy vyššou než 50 000 vozidiel za deň, čo znamená, že vzorkovacie miesto sa musí umiestniť tak, aby odobraná vzorka vzduchu reprezentovala kvalitu ovzdušia v okolitej oblasti s rozlohou aspoň 1 000 km</w:t>
      </w:r>
      <w:r w:rsidRPr="00E8450A">
        <w:rPr>
          <w:noProof/>
          <w:highlight w:val="lightGray"/>
          <w:vertAlign w:val="superscript"/>
        </w:rPr>
        <w:t>2</w:t>
      </w:r>
      <w:r w:rsidRPr="00E8450A">
        <w:rPr>
          <w:noProof/>
          <w:highlight w:val="lightGray"/>
        </w:rPr>
        <w:t>. Členský štát môže pri zohľadnení geografických podmienok alebo možností na ochranu mimoriadne zraniteľných oblastí umiestniť vzorkovacie miesto v menšej vzdialenosti alebo tak, aby reprezentovalo kvalitu ovzdušia v menšej oblasti.</w:t>
      </w:r>
    </w:p>
    <w:p w:rsidR="004F4CD1" w:rsidRPr="00E8450A" w:rsidRDefault="004F4CD1" w:rsidP="004F4CD1">
      <w:pPr>
        <w:ind w:left="426"/>
        <w:rPr>
          <w:noProof/>
          <w:highlight w:val="lightGray"/>
        </w:rPr>
      </w:pPr>
      <w:r w:rsidRPr="00E8450A">
        <w:rPr>
          <w:noProof/>
          <w:highlight w:val="lightGray"/>
        </w:rPr>
        <w:t>Zohľadňuje sa aj potreba hodnotenia kvality ovzdušia na ostrovoch.</w:t>
      </w:r>
    </w:p>
    <w:p w:rsidR="004F4CD1" w:rsidRPr="00E8450A" w:rsidRDefault="004F4CD1" w:rsidP="004F4CD1">
      <w:pPr>
        <w:ind w:left="426"/>
        <w:rPr>
          <w:noProof/>
          <w:highlight w:val="lightGray"/>
        </w:rPr>
      </w:pPr>
    </w:p>
    <w:p w:rsidR="004F4CD1" w:rsidRPr="00E8450A" w:rsidRDefault="004F4CD1" w:rsidP="00A44799">
      <w:pPr>
        <w:pStyle w:val="ListNumber"/>
        <w:rPr>
          <w:i/>
          <w:noProof/>
          <w:highlight w:val="lightGray"/>
        </w:rPr>
      </w:pPr>
      <w:r w:rsidRPr="00E8450A">
        <w:rPr>
          <w:i/>
          <w:noProof/>
          <w:highlight w:val="lightGray"/>
        </w:rPr>
        <w:t>Dodatočné kritériá týkajúce sa vzorkovacích miest pre ozón</w:t>
      </w:r>
    </w:p>
    <w:p w:rsidR="004F4CD1" w:rsidRPr="00E8450A" w:rsidRDefault="004F4CD1" w:rsidP="004F4CD1">
      <w:pPr>
        <w:spacing w:after="240"/>
        <w:rPr>
          <w:noProof/>
          <w:highlight w:val="lightGray"/>
        </w:rPr>
      </w:pPr>
      <w:r w:rsidRPr="00E8450A">
        <w:rPr>
          <w:noProof/>
          <w:highlight w:val="lightGray"/>
        </w:rPr>
        <w:t>Na stále a indikatívne merania sa uplatňuje toto:</w:t>
      </w:r>
    </w:p>
    <w:tbl>
      <w:tblPr>
        <w:tblW w:w="9609" w:type="dxa"/>
        <w:tblLayout w:type="fixed"/>
        <w:tblLook w:val="0000" w:firstRow="0" w:lastRow="0" w:firstColumn="0" w:lastColumn="0" w:noHBand="0" w:noVBand="0"/>
      </w:tblPr>
      <w:tblGrid>
        <w:gridCol w:w="2411"/>
        <w:gridCol w:w="2362"/>
        <w:gridCol w:w="1465"/>
        <w:gridCol w:w="3371"/>
      </w:tblGrid>
      <w:tr w:rsidR="004F4CD1" w:rsidRPr="00E8450A" w:rsidTr="00A058F2">
        <w:tc>
          <w:tcPr>
            <w:tcW w:w="2411" w:type="dxa"/>
            <w:tcBorders>
              <w:top w:val="single" w:sz="2" w:space="0" w:color="auto"/>
              <w:bottom w:val="single" w:sz="2" w:space="0" w:color="auto"/>
              <w:right w:val="single" w:sz="4" w:space="0" w:color="auto"/>
            </w:tcBorders>
          </w:tcPr>
          <w:p w:rsidR="004F4CD1" w:rsidRPr="00E8450A" w:rsidRDefault="004F4CD1" w:rsidP="005742DB">
            <w:pPr>
              <w:jc w:val="left"/>
              <w:rPr>
                <w:b/>
                <w:bCs/>
                <w:noProof/>
                <w:highlight w:val="lightGray"/>
              </w:rPr>
            </w:pPr>
            <w:r w:rsidRPr="00E8450A">
              <w:rPr>
                <w:b/>
                <w:noProof/>
                <w:highlight w:val="lightGray"/>
              </w:rPr>
              <w:t>Druh vzorkovacieho miesta</w:t>
            </w:r>
          </w:p>
        </w:tc>
        <w:tc>
          <w:tcPr>
            <w:tcW w:w="2362" w:type="dxa"/>
            <w:tcBorders>
              <w:top w:val="single" w:sz="2" w:space="0" w:color="auto"/>
              <w:left w:val="single" w:sz="4" w:space="0" w:color="auto"/>
              <w:bottom w:val="single" w:sz="2" w:space="0" w:color="auto"/>
              <w:right w:val="single" w:sz="2" w:space="0" w:color="auto"/>
            </w:tcBorders>
          </w:tcPr>
          <w:p w:rsidR="004F4CD1" w:rsidRPr="00E8450A" w:rsidRDefault="004F4CD1" w:rsidP="005742DB">
            <w:pPr>
              <w:jc w:val="left"/>
              <w:rPr>
                <w:b/>
                <w:bCs/>
                <w:noProof/>
                <w:highlight w:val="lightGray"/>
              </w:rPr>
            </w:pPr>
            <w:r w:rsidRPr="00E8450A">
              <w:rPr>
                <w:b/>
                <w:noProof/>
                <w:highlight w:val="lightGray"/>
              </w:rPr>
              <w:t>Ciele merania</w:t>
            </w:r>
          </w:p>
        </w:tc>
        <w:tc>
          <w:tcPr>
            <w:tcW w:w="1465" w:type="dxa"/>
            <w:tcBorders>
              <w:top w:val="single" w:sz="2" w:space="0" w:color="auto"/>
              <w:left w:val="single" w:sz="2" w:space="0" w:color="auto"/>
              <w:bottom w:val="single" w:sz="2" w:space="0" w:color="auto"/>
              <w:right w:val="single" w:sz="2" w:space="0" w:color="auto"/>
            </w:tcBorders>
          </w:tcPr>
          <w:p w:rsidR="004F4CD1" w:rsidRPr="00E8450A" w:rsidRDefault="004F4CD1" w:rsidP="005742DB">
            <w:pPr>
              <w:jc w:val="left"/>
              <w:rPr>
                <w:b/>
                <w:bCs/>
                <w:noProof/>
                <w:highlight w:val="lightGray"/>
              </w:rPr>
            </w:pPr>
            <w:r w:rsidRPr="00E8450A">
              <w:rPr>
                <w:b/>
                <w:noProof/>
                <w:highlight w:val="lightGray"/>
              </w:rPr>
              <w:t xml:space="preserve">Reprezentatívnosť </w:t>
            </w:r>
            <w:r w:rsidRPr="00E8450A">
              <w:rPr>
                <w:b/>
                <w:noProof/>
                <w:highlight w:val="lightGray"/>
                <w:vertAlign w:val="superscript"/>
              </w:rPr>
              <w:t>(1)</w:t>
            </w:r>
          </w:p>
        </w:tc>
        <w:tc>
          <w:tcPr>
            <w:tcW w:w="3371" w:type="dxa"/>
            <w:tcBorders>
              <w:top w:val="single" w:sz="2" w:space="0" w:color="auto"/>
              <w:left w:val="single" w:sz="2" w:space="0" w:color="auto"/>
              <w:bottom w:val="single" w:sz="2" w:space="0" w:color="auto"/>
            </w:tcBorders>
          </w:tcPr>
          <w:p w:rsidR="004F4CD1" w:rsidRPr="00E8450A" w:rsidRDefault="004F4CD1" w:rsidP="005742DB">
            <w:pPr>
              <w:jc w:val="left"/>
              <w:rPr>
                <w:b/>
                <w:bCs/>
                <w:noProof/>
                <w:highlight w:val="lightGray"/>
              </w:rPr>
            </w:pPr>
            <w:r w:rsidRPr="00E8450A">
              <w:rPr>
                <w:b/>
                <w:noProof/>
                <w:highlight w:val="lightGray"/>
              </w:rPr>
              <w:t>Kritériá umiestňovania na makroúrovni</w:t>
            </w:r>
          </w:p>
        </w:tc>
      </w:tr>
      <w:tr w:rsidR="004F4CD1" w:rsidRPr="00E8450A" w:rsidTr="00A058F2">
        <w:tc>
          <w:tcPr>
            <w:tcW w:w="2411" w:type="dxa"/>
            <w:tcBorders>
              <w:top w:val="single" w:sz="2" w:space="0" w:color="auto"/>
              <w:bottom w:val="single" w:sz="2" w:space="0" w:color="auto"/>
              <w:right w:val="single" w:sz="4" w:space="0" w:color="auto"/>
            </w:tcBorders>
          </w:tcPr>
          <w:p w:rsidR="004F4CD1" w:rsidRPr="00E8450A" w:rsidRDefault="004F4CD1" w:rsidP="00FC18DA">
            <w:pPr>
              <w:jc w:val="left"/>
              <w:rPr>
                <w:noProof/>
                <w:highlight w:val="lightGray"/>
              </w:rPr>
            </w:pPr>
            <w:r w:rsidRPr="00E8450A">
              <w:rPr>
                <w:noProof/>
                <w:highlight w:val="lightGray"/>
              </w:rPr>
              <w:t>Mestské pozaďové miesta na hodnotenie ozónu</w:t>
            </w:r>
          </w:p>
        </w:tc>
        <w:tc>
          <w:tcPr>
            <w:tcW w:w="2362" w:type="dxa"/>
            <w:tcBorders>
              <w:top w:val="single" w:sz="2" w:space="0" w:color="auto"/>
              <w:left w:val="single" w:sz="4" w:space="0" w:color="auto"/>
              <w:bottom w:val="single" w:sz="2" w:space="0" w:color="auto"/>
              <w:right w:val="single" w:sz="2" w:space="0" w:color="auto"/>
            </w:tcBorders>
          </w:tcPr>
          <w:p w:rsidR="004F4CD1" w:rsidRPr="00E8450A" w:rsidRDefault="004F4CD1" w:rsidP="00FC18DA">
            <w:pPr>
              <w:jc w:val="left"/>
              <w:rPr>
                <w:noProof/>
                <w:highlight w:val="lightGray"/>
              </w:rPr>
            </w:pPr>
            <w:r w:rsidRPr="00E8450A">
              <w:rPr>
                <w:noProof/>
                <w:highlight w:val="lightGray"/>
              </w:rPr>
              <w:t>ochrana ľudského zdravia:</w:t>
            </w:r>
          </w:p>
          <w:p w:rsidR="004F4CD1" w:rsidRPr="00E8450A" w:rsidRDefault="004F4CD1" w:rsidP="00FC18DA">
            <w:pPr>
              <w:jc w:val="left"/>
              <w:rPr>
                <w:noProof/>
                <w:highlight w:val="lightGray"/>
              </w:rPr>
            </w:pPr>
            <w:r w:rsidRPr="00E8450A">
              <w:rPr>
                <w:noProof/>
                <w:highlight w:val="lightGray"/>
              </w:rPr>
              <w:t>posúdiť expozíciu mestského obyvateľstva ozónu, t. j. v miestach, kde sú hustota obyvateľstva a koncentrácia ozónu relatívne vysoké a reprezentujú expozíciu bežného obyvateľstva</w:t>
            </w:r>
          </w:p>
        </w:tc>
        <w:tc>
          <w:tcPr>
            <w:tcW w:w="1465" w:type="dxa"/>
            <w:tcBorders>
              <w:top w:val="single" w:sz="2" w:space="0" w:color="auto"/>
              <w:left w:val="single" w:sz="2" w:space="0" w:color="auto"/>
              <w:bottom w:val="single" w:sz="2" w:space="0" w:color="auto"/>
              <w:right w:val="single" w:sz="2" w:space="0" w:color="auto"/>
            </w:tcBorders>
          </w:tcPr>
          <w:p w:rsidR="004F4CD1" w:rsidRPr="00E8450A" w:rsidRDefault="004F4CD1" w:rsidP="00FC18DA">
            <w:pPr>
              <w:jc w:val="left"/>
              <w:rPr>
                <w:noProof/>
                <w:highlight w:val="lightGray"/>
              </w:rPr>
            </w:pPr>
            <w:r w:rsidRPr="00E8450A">
              <w:rPr>
                <w:noProof/>
                <w:highlight w:val="lightGray"/>
              </w:rPr>
              <w:t>1 až</w:t>
            </w:r>
            <w:r w:rsidRPr="00E8450A">
              <w:rPr>
                <w:noProof/>
              </w:rPr>
              <w:t xml:space="preserve"> </w:t>
            </w:r>
            <w:r w:rsidRPr="00E8450A">
              <w:rPr>
                <w:noProof/>
              </w:rPr>
              <w:br/>
            </w:r>
            <w:r w:rsidRPr="00E8450A">
              <w:rPr>
                <w:noProof/>
                <w:highlight w:val="lightGray"/>
              </w:rPr>
              <w:t>10 km</w:t>
            </w:r>
            <w:r w:rsidRPr="00E8450A">
              <w:rPr>
                <w:noProof/>
                <w:highlight w:val="lightGray"/>
                <w:vertAlign w:val="superscript"/>
              </w:rPr>
              <w:t>2</w:t>
            </w:r>
          </w:p>
        </w:tc>
        <w:tc>
          <w:tcPr>
            <w:tcW w:w="3371" w:type="dxa"/>
            <w:tcBorders>
              <w:top w:val="single" w:sz="2" w:space="0" w:color="auto"/>
              <w:left w:val="single" w:sz="2" w:space="0" w:color="auto"/>
              <w:bottom w:val="single" w:sz="2" w:space="0" w:color="auto"/>
            </w:tcBorders>
          </w:tcPr>
          <w:p w:rsidR="004F4CD1" w:rsidRPr="00E8450A" w:rsidRDefault="004F4CD1" w:rsidP="00FC18DA">
            <w:pPr>
              <w:jc w:val="left"/>
              <w:rPr>
                <w:noProof/>
                <w:highlight w:val="lightGray"/>
              </w:rPr>
            </w:pPr>
            <w:r w:rsidRPr="00E8450A">
              <w:rPr>
                <w:noProof/>
                <w:highlight w:val="lightGray"/>
              </w:rPr>
              <w:t>mimo vplyvu miestnych emisií, napr. z dopravy, čerpacích staníc atď.;</w:t>
            </w:r>
          </w:p>
          <w:p w:rsidR="004F4CD1" w:rsidRPr="00E8450A" w:rsidRDefault="004F4CD1" w:rsidP="00FC18DA">
            <w:pPr>
              <w:jc w:val="left"/>
              <w:rPr>
                <w:noProof/>
                <w:highlight w:val="lightGray"/>
              </w:rPr>
            </w:pPr>
            <w:r w:rsidRPr="00E8450A">
              <w:rPr>
                <w:noProof/>
                <w:highlight w:val="lightGray"/>
              </w:rPr>
              <w:t>odvetrané miesta, kde možno merať dobre zmiešané úrovne;</w:t>
            </w:r>
          </w:p>
          <w:p w:rsidR="004F4CD1" w:rsidRPr="00E8450A" w:rsidRDefault="004F4CD1" w:rsidP="00FC18DA">
            <w:pPr>
              <w:jc w:val="left"/>
              <w:rPr>
                <w:noProof/>
                <w:highlight w:val="lightGray"/>
              </w:rPr>
            </w:pPr>
            <w:r w:rsidRPr="00E8450A">
              <w:rPr>
                <w:noProof/>
                <w:highlight w:val="lightGray"/>
              </w:rPr>
              <w:t>miesta, ako sú obytné a obchodné časti miest, parky (nie v bezprostrednej blízkosti stromov), široké ulice alebo námestia s veľmi obmedzenou alebo žiadnou premávkou, voľné priestranstvá, ktoré sú charakteristické pre vzdelávacie, športové a rekreačné zariadenia</w:t>
            </w:r>
          </w:p>
        </w:tc>
      </w:tr>
      <w:tr w:rsidR="004F4CD1" w:rsidRPr="00E8450A" w:rsidTr="00A058F2">
        <w:tc>
          <w:tcPr>
            <w:tcW w:w="2411" w:type="dxa"/>
            <w:tcBorders>
              <w:top w:val="single" w:sz="2" w:space="0" w:color="auto"/>
              <w:bottom w:val="single" w:sz="2" w:space="0" w:color="auto"/>
              <w:right w:val="single" w:sz="4" w:space="0" w:color="auto"/>
            </w:tcBorders>
          </w:tcPr>
          <w:p w:rsidR="004F4CD1" w:rsidRPr="00E8450A" w:rsidRDefault="004F4CD1" w:rsidP="00FC18DA">
            <w:pPr>
              <w:jc w:val="left"/>
              <w:rPr>
                <w:noProof/>
                <w:highlight w:val="lightGray"/>
              </w:rPr>
            </w:pPr>
            <w:r w:rsidRPr="00E8450A">
              <w:rPr>
                <w:noProof/>
                <w:highlight w:val="lightGray"/>
              </w:rPr>
              <w:t>Predmestské miesta na hodnotenie ozónu</w:t>
            </w:r>
          </w:p>
        </w:tc>
        <w:tc>
          <w:tcPr>
            <w:tcW w:w="2362" w:type="dxa"/>
            <w:tcBorders>
              <w:top w:val="single" w:sz="2" w:space="0" w:color="auto"/>
              <w:left w:val="single" w:sz="4" w:space="0" w:color="auto"/>
              <w:bottom w:val="single" w:sz="2" w:space="0" w:color="auto"/>
              <w:right w:val="single" w:sz="2" w:space="0" w:color="auto"/>
            </w:tcBorders>
          </w:tcPr>
          <w:p w:rsidR="004F4CD1" w:rsidRPr="00E8450A" w:rsidRDefault="004F4CD1" w:rsidP="00FC18DA">
            <w:pPr>
              <w:jc w:val="left"/>
              <w:rPr>
                <w:noProof/>
                <w:highlight w:val="lightGray"/>
              </w:rPr>
            </w:pPr>
            <w:r w:rsidRPr="00E8450A">
              <w:rPr>
                <w:noProof/>
                <w:highlight w:val="lightGray"/>
              </w:rPr>
              <w:t>ochrana ľudského zdravia a vegetácie:</w:t>
            </w:r>
          </w:p>
          <w:p w:rsidR="004F4CD1" w:rsidRPr="00E8450A" w:rsidRDefault="004F4CD1" w:rsidP="00FC18DA">
            <w:pPr>
              <w:jc w:val="left"/>
              <w:rPr>
                <w:noProof/>
                <w:highlight w:val="lightGray"/>
              </w:rPr>
            </w:pPr>
            <w:r w:rsidRPr="00E8450A">
              <w:rPr>
                <w:noProof/>
                <w:highlight w:val="lightGray"/>
              </w:rPr>
              <w:t xml:space="preserve">posúdiť expozíciu obyvateľstva </w:t>
            </w:r>
            <w:r w:rsidRPr="00E8450A">
              <w:rPr>
                <w:noProof/>
                <w:highlight w:val="lightGray"/>
              </w:rPr>
              <w:lastRenderedPageBreak/>
              <w:t>a vegetácie v predmestiach mestských oblastí, kde sa vyskytujú najvyššie úrovne ozónu, ktorým sú obyvateľstvo a vegetácia pravdepodobne priamo alebo nepriamo vystavené</w:t>
            </w:r>
          </w:p>
        </w:tc>
        <w:tc>
          <w:tcPr>
            <w:tcW w:w="1465" w:type="dxa"/>
            <w:tcBorders>
              <w:top w:val="single" w:sz="2" w:space="0" w:color="auto"/>
              <w:left w:val="single" w:sz="2" w:space="0" w:color="auto"/>
              <w:bottom w:val="single" w:sz="2" w:space="0" w:color="auto"/>
              <w:right w:val="single" w:sz="2" w:space="0" w:color="auto"/>
            </w:tcBorders>
          </w:tcPr>
          <w:p w:rsidR="004F4CD1" w:rsidRPr="00E8450A" w:rsidRDefault="004F4CD1" w:rsidP="00FC18DA">
            <w:pPr>
              <w:jc w:val="left"/>
              <w:rPr>
                <w:noProof/>
                <w:highlight w:val="lightGray"/>
              </w:rPr>
            </w:pPr>
            <w:r w:rsidRPr="00E8450A">
              <w:rPr>
                <w:noProof/>
                <w:highlight w:val="lightGray"/>
              </w:rPr>
              <w:lastRenderedPageBreak/>
              <w:t>10 až</w:t>
            </w:r>
            <w:r w:rsidRPr="00E8450A">
              <w:rPr>
                <w:noProof/>
              </w:rPr>
              <w:t xml:space="preserve"> </w:t>
            </w:r>
            <w:r w:rsidRPr="00E8450A">
              <w:rPr>
                <w:noProof/>
              </w:rPr>
              <w:br/>
            </w:r>
            <w:r w:rsidRPr="00E8450A">
              <w:rPr>
                <w:noProof/>
                <w:highlight w:val="lightGray"/>
              </w:rPr>
              <w:t>100 km</w:t>
            </w:r>
            <w:r w:rsidRPr="00E8450A">
              <w:rPr>
                <w:noProof/>
                <w:highlight w:val="lightGray"/>
                <w:vertAlign w:val="superscript"/>
              </w:rPr>
              <w:t>2</w:t>
            </w:r>
          </w:p>
        </w:tc>
        <w:tc>
          <w:tcPr>
            <w:tcW w:w="3371" w:type="dxa"/>
            <w:tcBorders>
              <w:top w:val="single" w:sz="2" w:space="0" w:color="auto"/>
              <w:left w:val="single" w:sz="2" w:space="0" w:color="auto"/>
              <w:bottom w:val="single" w:sz="2" w:space="0" w:color="auto"/>
            </w:tcBorders>
          </w:tcPr>
          <w:p w:rsidR="004F4CD1" w:rsidRPr="00E8450A" w:rsidRDefault="004F4CD1" w:rsidP="00FC18DA">
            <w:pPr>
              <w:jc w:val="left"/>
              <w:rPr>
                <w:noProof/>
                <w:highlight w:val="lightGray"/>
              </w:rPr>
            </w:pPr>
            <w:r w:rsidRPr="00E8450A">
              <w:rPr>
                <w:noProof/>
                <w:highlight w:val="lightGray"/>
              </w:rPr>
              <w:t xml:space="preserve">v určitej vzdialenosti od oblasti s najväčšími emisiami, a to v smere po vetre vzhľadom na smer/smery prevládajúceho </w:t>
            </w:r>
            <w:r w:rsidRPr="00E8450A">
              <w:rPr>
                <w:noProof/>
                <w:highlight w:val="lightGray"/>
              </w:rPr>
              <w:lastRenderedPageBreak/>
              <w:t>vetra v čase podmienok priaznivých pre tvorbu ozónu;</w:t>
            </w:r>
          </w:p>
          <w:p w:rsidR="004F4CD1" w:rsidRPr="00E8450A" w:rsidRDefault="004F4CD1" w:rsidP="00FC18DA">
            <w:pPr>
              <w:jc w:val="left"/>
              <w:rPr>
                <w:noProof/>
                <w:highlight w:val="lightGray"/>
              </w:rPr>
            </w:pPr>
            <w:r w:rsidRPr="00E8450A">
              <w:rPr>
                <w:noProof/>
                <w:highlight w:val="lightGray"/>
              </w:rPr>
              <w:t>v okrajových oblastiach mestských oblastí, kde sú obyvateľstvo, citlivé plodiny alebo prírodné ekosystémy vystavené vysokým úrovniam ozónu;</w:t>
            </w:r>
          </w:p>
          <w:p w:rsidR="004F4CD1" w:rsidRPr="00E8450A" w:rsidRDefault="004F4CD1" w:rsidP="00FC18DA">
            <w:pPr>
              <w:jc w:val="left"/>
              <w:rPr>
                <w:noProof/>
                <w:highlight w:val="lightGray"/>
              </w:rPr>
            </w:pPr>
            <w:r w:rsidRPr="00E8450A">
              <w:rPr>
                <w:noProof/>
                <w:highlight w:val="lightGray"/>
              </w:rPr>
              <w:t>prípadne na niekoľkých predmestských vzorkovacích miestach, aj proti smeru vetra od oblasti s najväčšími emisiami s cieľom určiť regionálne pozaďové úrovne ozónu</w:t>
            </w:r>
          </w:p>
        </w:tc>
      </w:tr>
      <w:tr w:rsidR="004F4CD1" w:rsidRPr="00E8450A" w:rsidTr="00A058F2">
        <w:tc>
          <w:tcPr>
            <w:tcW w:w="2411" w:type="dxa"/>
            <w:tcBorders>
              <w:top w:val="single" w:sz="2" w:space="0" w:color="auto"/>
              <w:bottom w:val="single" w:sz="2" w:space="0" w:color="auto"/>
              <w:right w:val="single" w:sz="4" w:space="0" w:color="auto"/>
            </w:tcBorders>
          </w:tcPr>
          <w:p w:rsidR="004F4CD1" w:rsidRPr="00E8450A" w:rsidRDefault="004F4CD1" w:rsidP="00FC18DA">
            <w:pPr>
              <w:jc w:val="left"/>
              <w:rPr>
                <w:noProof/>
                <w:highlight w:val="lightGray"/>
              </w:rPr>
            </w:pPr>
            <w:r w:rsidRPr="00E8450A">
              <w:rPr>
                <w:noProof/>
                <w:highlight w:val="lightGray"/>
              </w:rPr>
              <w:lastRenderedPageBreak/>
              <w:t>Vidiecke miesta na hodnotenie ozónu</w:t>
            </w:r>
          </w:p>
        </w:tc>
        <w:tc>
          <w:tcPr>
            <w:tcW w:w="2362" w:type="dxa"/>
            <w:tcBorders>
              <w:top w:val="single" w:sz="2" w:space="0" w:color="auto"/>
              <w:left w:val="single" w:sz="4" w:space="0" w:color="auto"/>
              <w:bottom w:val="single" w:sz="2" w:space="0" w:color="auto"/>
              <w:right w:val="single" w:sz="2" w:space="0" w:color="auto"/>
            </w:tcBorders>
          </w:tcPr>
          <w:p w:rsidR="004F4CD1" w:rsidRPr="00E8450A" w:rsidRDefault="004F4CD1" w:rsidP="00FC18DA">
            <w:pPr>
              <w:jc w:val="left"/>
              <w:rPr>
                <w:noProof/>
                <w:highlight w:val="lightGray"/>
              </w:rPr>
            </w:pPr>
            <w:r w:rsidRPr="00E8450A">
              <w:rPr>
                <w:noProof/>
                <w:highlight w:val="lightGray"/>
              </w:rPr>
              <w:t>ochrana ľudského zdravia a vegetácie:</w:t>
            </w:r>
          </w:p>
          <w:p w:rsidR="004F4CD1" w:rsidRPr="00E8450A" w:rsidRDefault="004F4CD1" w:rsidP="00FC18DA">
            <w:pPr>
              <w:jc w:val="left"/>
              <w:rPr>
                <w:noProof/>
                <w:highlight w:val="lightGray"/>
              </w:rPr>
            </w:pPr>
            <w:r w:rsidRPr="00E8450A">
              <w:rPr>
                <w:noProof/>
                <w:highlight w:val="lightGray"/>
              </w:rPr>
              <w:t>posúdiť expozíciu obyvateľstva, plodín a prírodných ekosystémov koncentráciám ozónu na subregionálnej úrovni</w:t>
            </w:r>
          </w:p>
        </w:tc>
        <w:tc>
          <w:tcPr>
            <w:tcW w:w="1465" w:type="dxa"/>
            <w:tcBorders>
              <w:top w:val="single" w:sz="2" w:space="0" w:color="auto"/>
              <w:left w:val="single" w:sz="2" w:space="0" w:color="auto"/>
              <w:bottom w:val="single" w:sz="2" w:space="0" w:color="auto"/>
              <w:right w:val="single" w:sz="2" w:space="0" w:color="auto"/>
            </w:tcBorders>
          </w:tcPr>
          <w:p w:rsidR="004F4CD1" w:rsidRPr="00E8450A" w:rsidRDefault="004F4CD1" w:rsidP="00FC18DA">
            <w:pPr>
              <w:jc w:val="left"/>
              <w:rPr>
                <w:noProof/>
                <w:highlight w:val="lightGray"/>
              </w:rPr>
            </w:pPr>
            <w:r w:rsidRPr="00E8450A">
              <w:rPr>
                <w:noProof/>
                <w:highlight w:val="lightGray"/>
              </w:rPr>
              <w:t>subregionálne úrovne</w:t>
            </w:r>
          </w:p>
          <w:p w:rsidR="004F4CD1" w:rsidRPr="00E8450A" w:rsidRDefault="004F4CD1" w:rsidP="00FC18DA">
            <w:pPr>
              <w:jc w:val="left"/>
              <w:rPr>
                <w:noProof/>
                <w:highlight w:val="lightGray"/>
              </w:rPr>
            </w:pPr>
            <w:r w:rsidRPr="00E8450A">
              <w:rPr>
                <w:noProof/>
                <w:highlight w:val="lightGray"/>
              </w:rPr>
              <w:t>(100 až</w:t>
            </w:r>
            <w:r w:rsidRPr="00E8450A">
              <w:rPr>
                <w:noProof/>
              </w:rPr>
              <w:t xml:space="preserve"> </w:t>
            </w:r>
            <w:r w:rsidRPr="00E8450A">
              <w:rPr>
                <w:noProof/>
              </w:rPr>
              <w:br/>
            </w:r>
            <w:r w:rsidRPr="00E8450A">
              <w:rPr>
                <w:noProof/>
                <w:highlight w:val="lightGray"/>
              </w:rPr>
              <w:t>1 000 km</w:t>
            </w:r>
            <w:r w:rsidRPr="00E8450A">
              <w:rPr>
                <w:noProof/>
                <w:highlight w:val="lightGray"/>
                <w:vertAlign w:val="superscript"/>
              </w:rPr>
              <w:t>2</w:t>
            </w:r>
            <w:r w:rsidRPr="00E8450A">
              <w:rPr>
                <w:noProof/>
                <w:highlight w:val="lightGray"/>
              </w:rPr>
              <w:t>)</w:t>
            </w:r>
          </w:p>
        </w:tc>
        <w:tc>
          <w:tcPr>
            <w:tcW w:w="3371" w:type="dxa"/>
            <w:tcBorders>
              <w:top w:val="single" w:sz="2" w:space="0" w:color="auto"/>
              <w:left w:val="single" w:sz="2" w:space="0" w:color="auto"/>
              <w:bottom w:val="single" w:sz="2" w:space="0" w:color="auto"/>
            </w:tcBorders>
          </w:tcPr>
          <w:p w:rsidR="004F4CD1" w:rsidRPr="00E8450A" w:rsidRDefault="004F4CD1" w:rsidP="00FC18DA">
            <w:pPr>
              <w:jc w:val="left"/>
              <w:rPr>
                <w:noProof/>
                <w:highlight w:val="lightGray"/>
              </w:rPr>
            </w:pPr>
            <w:r w:rsidRPr="00E8450A">
              <w:rPr>
                <w:noProof/>
                <w:highlight w:val="lightGray"/>
              </w:rPr>
              <w:t>vzorkovacie miesta môžu byť umiestnené v malých osadách a/alebo oblastiach s prírodnými ekosystémami, lesmi alebo plodinami;</w:t>
            </w:r>
          </w:p>
          <w:p w:rsidR="004F4CD1" w:rsidRPr="00E8450A" w:rsidRDefault="004F4CD1" w:rsidP="00FC18DA">
            <w:pPr>
              <w:jc w:val="left"/>
              <w:rPr>
                <w:noProof/>
                <w:highlight w:val="lightGray"/>
              </w:rPr>
            </w:pPr>
            <w:r w:rsidRPr="00E8450A">
              <w:rPr>
                <w:noProof/>
                <w:highlight w:val="lightGray"/>
              </w:rPr>
              <w:t>reprezentatívna vzorka ozónu mimo vplyvu priamych miestnych emisií, ako sú priemyselné areály a cesty;</w:t>
            </w:r>
          </w:p>
          <w:p w:rsidR="004F4CD1" w:rsidRPr="00E8450A" w:rsidRDefault="004F4CD1" w:rsidP="00FC18DA">
            <w:pPr>
              <w:jc w:val="left"/>
              <w:rPr>
                <w:noProof/>
                <w:highlight w:val="lightGray"/>
              </w:rPr>
            </w:pPr>
            <w:r w:rsidRPr="00E8450A">
              <w:rPr>
                <w:noProof/>
                <w:highlight w:val="lightGray"/>
              </w:rPr>
              <w:t>na voľných priestranstvách, nie však na vrcholoch vyšších pohorí</w:t>
            </w:r>
          </w:p>
        </w:tc>
      </w:tr>
      <w:tr w:rsidR="004F4CD1" w:rsidRPr="00E8450A" w:rsidTr="00A058F2">
        <w:tc>
          <w:tcPr>
            <w:tcW w:w="2411" w:type="dxa"/>
            <w:tcBorders>
              <w:top w:val="single" w:sz="2" w:space="0" w:color="auto"/>
              <w:bottom w:val="single" w:sz="2" w:space="0" w:color="auto"/>
              <w:right w:val="single" w:sz="4" w:space="0" w:color="auto"/>
            </w:tcBorders>
          </w:tcPr>
          <w:p w:rsidR="004F4CD1" w:rsidRPr="00E8450A" w:rsidRDefault="004F4CD1" w:rsidP="00FC18DA">
            <w:pPr>
              <w:jc w:val="left"/>
              <w:rPr>
                <w:noProof/>
                <w:highlight w:val="lightGray"/>
              </w:rPr>
            </w:pPr>
            <w:r w:rsidRPr="00E8450A">
              <w:rPr>
                <w:noProof/>
                <w:highlight w:val="lightGray"/>
              </w:rPr>
              <w:t>Vidiecke pozaďové miesta na hodnotenie ozónu</w:t>
            </w:r>
          </w:p>
        </w:tc>
        <w:tc>
          <w:tcPr>
            <w:tcW w:w="2362" w:type="dxa"/>
            <w:tcBorders>
              <w:top w:val="single" w:sz="2" w:space="0" w:color="auto"/>
              <w:left w:val="single" w:sz="4" w:space="0" w:color="auto"/>
              <w:bottom w:val="single" w:sz="2" w:space="0" w:color="auto"/>
              <w:right w:val="single" w:sz="2" w:space="0" w:color="auto"/>
            </w:tcBorders>
          </w:tcPr>
          <w:p w:rsidR="004F4CD1" w:rsidRPr="00E8450A" w:rsidRDefault="004F4CD1" w:rsidP="00FC18DA">
            <w:pPr>
              <w:jc w:val="left"/>
              <w:rPr>
                <w:noProof/>
                <w:highlight w:val="lightGray"/>
              </w:rPr>
            </w:pPr>
            <w:r w:rsidRPr="00E8450A">
              <w:rPr>
                <w:noProof/>
                <w:highlight w:val="lightGray"/>
              </w:rPr>
              <w:t>ochrana ľudského zdravia a vegetácie:</w:t>
            </w:r>
          </w:p>
          <w:p w:rsidR="004F4CD1" w:rsidRPr="00E8450A" w:rsidRDefault="004F4CD1" w:rsidP="00FC18DA">
            <w:pPr>
              <w:jc w:val="left"/>
              <w:rPr>
                <w:noProof/>
                <w:highlight w:val="lightGray"/>
              </w:rPr>
            </w:pPr>
            <w:r w:rsidRPr="00E8450A">
              <w:rPr>
                <w:noProof/>
                <w:highlight w:val="lightGray"/>
              </w:rPr>
              <w:t>posúdiť expozíciu plodín a prírodných ekosystémov koncentráciám ozónu na regionálnej úrovni, ako aj expozíciu obyvateľstva</w:t>
            </w:r>
          </w:p>
        </w:tc>
        <w:tc>
          <w:tcPr>
            <w:tcW w:w="1465" w:type="dxa"/>
            <w:tcBorders>
              <w:top w:val="single" w:sz="2" w:space="0" w:color="auto"/>
              <w:left w:val="single" w:sz="2" w:space="0" w:color="auto"/>
              <w:bottom w:val="single" w:sz="2" w:space="0" w:color="auto"/>
              <w:right w:val="single" w:sz="2" w:space="0" w:color="auto"/>
            </w:tcBorders>
          </w:tcPr>
          <w:p w:rsidR="004F4CD1" w:rsidRPr="00E8450A" w:rsidRDefault="004F4CD1" w:rsidP="00FC18DA">
            <w:pPr>
              <w:jc w:val="left"/>
              <w:rPr>
                <w:noProof/>
                <w:highlight w:val="lightGray"/>
              </w:rPr>
            </w:pPr>
            <w:r w:rsidRPr="00E8450A">
              <w:rPr>
                <w:noProof/>
                <w:highlight w:val="lightGray"/>
              </w:rPr>
              <w:t>regionálne/celoštátne/kontinentálne úrovne</w:t>
            </w:r>
          </w:p>
          <w:p w:rsidR="004F4CD1" w:rsidRPr="00E8450A" w:rsidRDefault="004F4CD1" w:rsidP="00FC18DA">
            <w:pPr>
              <w:jc w:val="left"/>
              <w:rPr>
                <w:noProof/>
                <w:highlight w:val="lightGray"/>
              </w:rPr>
            </w:pPr>
            <w:r w:rsidRPr="00E8450A">
              <w:rPr>
                <w:noProof/>
                <w:highlight w:val="lightGray"/>
              </w:rPr>
              <w:t>(1 000 až</w:t>
            </w:r>
            <w:r w:rsidR="008A1F90">
              <w:rPr>
                <w:noProof/>
                <w:highlight w:val="lightGray"/>
              </w:rPr>
              <w:t xml:space="preserve"> </w:t>
            </w:r>
            <w:r w:rsidRPr="00E8450A">
              <w:rPr>
                <w:noProof/>
              </w:rPr>
              <w:br/>
            </w:r>
            <w:r w:rsidRPr="00E8450A">
              <w:rPr>
                <w:noProof/>
                <w:highlight w:val="lightGray"/>
              </w:rPr>
              <w:t>10 000 km</w:t>
            </w:r>
            <w:r w:rsidRPr="00E8450A">
              <w:rPr>
                <w:noProof/>
                <w:highlight w:val="lightGray"/>
                <w:vertAlign w:val="superscript"/>
              </w:rPr>
              <w:t>2</w:t>
            </w:r>
            <w:r w:rsidRPr="00E8450A">
              <w:rPr>
                <w:noProof/>
                <w:highlight w:val="lightGray"/>
              </w:rPr>
              <w:t>)</w:t>
            </w:r>
          </w:p>
        </w:tc>
        <w:tc>
          <w:tcPr>
            <w:tcW w:w="3371" w:type="dxa"/>
            <w:tcBorders>
              <w:top w:val="single" w:sz="2" w:space="0" w:color="auto"/>
              <w:left w:val="single" w:sz="2" w:space="0" w:color="auto"/>
              <w:bottom w:val="single" w:sz="2" w:space="0" w:color="auto"/>
            </w:tcBorders>
          </w:tcPr>
          <w:p w:rsidR="004F4CD1" w:rsidRPr="00E8450A" w:rsidRDefault="004F4CD1" w:rsidP="00FC18DA">
            <w:pPr>
              <w:jc w:val="left"/>
              <w:rPr>
                <w:noProof/>
                <w:highlight w:val="lightGray"/>
              </w:rPr>
            </w:pPr>
            <w:r w:rsidRPr="00E8450A">
              <w:rPr>
                <w:noProof/>
                <w:highlight w:val="lightGray"/>
              </w:rPr>
              <w:t>vzorkovacie miesta umiestnené v oblastiach s nižšou hustotou obyvateľstva, napr. s prírodnými ekosystémami, lesmi, vo vzdialenosti aspoň 20 km od mestských a priemyselných oblastí a mimo miestnych emisií;</w:t>
            </w:r>
          </w:p>
          <w:p w:rsidR="004F4CD1" w:rsidRPr="00E8450A" w:rsidRDefault="004F4CD1" w:rsidP="00FC18DA">
            <w:pPr>
              <w:jc w:val="left"/>
              <w:rPr>
                <w:noProof/>
                <w:highlight w:val="lightGray"/>
              </w:rPr>
            </w:pPr>
            <w:r w:rsidRPr="00E8450A">
              <w:rPr>
                <w:noProof/>
                <w:highlight w:val="lightGray"/>
              </w:rPr>
              <w:t>vyhnúť sa miestam, kde v dôsledku lokality dochádza k zvýšenému výskytu prízemných inverzných podmienok, taktiež vrcholom vyšších pohorí;</w:t>
            </w:r>
          </w:p>
          <w:p w:rsidR="004F4CD1" w:rsidRPr="00E8450A" w:rsidRDefault="004F4CD1" w:rsidP="00FC18DA">
            <w:pPr>
              <w:jc w:val="left"/>
              <w:rPr>
                <w:noProof/>
                <w:highlight w:val="lightGray"/>
              </w:rPr>
            </w:pPr>
            <w:r w:rsidRPr="00E8450A">
              <w:rPr>
                <w:noProof/>
                <w:highlight w:val="lightGray"/>
              </w:rPr>
              <w:t>neodporúčajú sa pobrežné lokality s výrazným denným veterným cyklom miestneho charakteru</w:t>
            </w:r>
          </w:p>
        </w:tc>
      </w:tr>
      <w:tr w:rsidR="004F4CD1" w:rsidRPr="00E8450A" w:rsidTr="00A058F2">
        <w:tc>
          <w:tcPr>
            <w:tcW w:w="9609" w:type="dxa"/>
            <w:gridSpan w:val="4"/>
            <w:tcBorders>
              <w:top w:val="single" w:sz="2" w:space="0" w:color="auto"/>
              <w:bottom w:val="single" w:sz="2" w:space="0" w:color="auto"/>
            </w:tcBorders>
          </w:tcPr>
          <w:p w:rsidR="004F4CD1" w:rsidRPr="00E8450A" w:rsidRDefault="004F4CD1" w:rsidP="00027D24">
            <w:pPr>
              <w:pStyle w:val="ListParagraph"/>
              <w:numPr>
                <w:ilvl w:val="0"/>
                <w:numId w:val="19"/>
              </w:numPr>
              <w:autoSpaceDE w:val="0"/>
              <w:autoSpaceDN w:val="0"/>
              <w:jc w:val="left"/>
              <w:rPr>
                <w:noProof/>
                <w:szCs w:val="24"/>
                <w:highlight w:val="lightGray"/>
              </w:rPr>
            </w:pPr>
            <w:r w:rsidRPr="00E8450A">
              <w:rPr>
                <w:noProof/>
                <w:sz w:val="20"/>
                <w:highlight w:val="lightGray"/>
              </w:rPr>
              <w:t xml:space="preserve">Vzorkovacie miesta musia byť podľa možnosti reprezentatívne pre podobné miesta, ktoré nie sú v ich </w:t>
            </w:r>
            <w:r w:rsidRPr="00E8450A">
              <w:rPr>
                <w:noProof/>
                <w:sz w:val="20"/>
                <w:highlight w:val="lightGray"/>
              </w:rPr>
              <w:lastRenderedPageBreak/>
              <w:t>bezprostrednej blízkosti.</w:t>
            </w:r>
          </w:p>
        </w:tc>
      </w:tr>
    </w:tbl>
    <w:p w:rsidR="004F4CD1" w:rsidRPr="00E8450A" w:rsidRDefault="004F4CD1" w:rsidP="004F4CD1">
      <w:pPr>
        <w:ind w:left="426"/>
        <w:rPr>
          <w:noProof/>
          <w:highlight w:val="lightGray"/>
        </w:rPr>
      </w:pPr>
      <w:r w:rsidRPr="00E8450A">
        <w:rPr>
          <w:noProof/>
          <w:highlight w:val="lightGray"/>
        </w:rPr>
        <w:lastRenderedPageBreak/>
        <w:t>Pokiaľ ide o vidiecke miesta a vidiecke pozaďové miesta, umiestnenie vzorkovacích miest na posúdenie ozónu sa v prípade potreby koordinuje s požiadavkami na monitorovanie podľa nariadenia Komisie (ES) č. 1737/2006</w:t>
      </w:r>
      <w:r w:rsidRPr="00E8450A">
        <w:rPr>
          <w:rStyle w:val="FootnoteReference"/>
          <w:noProof/>
          <w:highlight w:val="lightGray"/>
        </w:rPr>
        <w:footnoteReference w:id="3"/>
      </w:r>
      <w:r w:rsidRPr="00E8450A">
        <w:rPr>
          <w:noProof/>
          <w:highlight w:val="lightGray"/>
        </w:rPr>
        <w:t>.</w:t>
      </w:r>
    </w:p>
    <w:p w:rsidR="004F4CD1" w:rsidRPr="00E8450A" w:rsidRDefault="004F4CD1" w:rsidP="004F4CD1">
      <w:pPr>
        <w:rPr>
          <w:b/>
          <w:noProof/>
          <w:highlight w:val="lightGray"/>
        </w:rPr>
      </w:pPr>
    </w:p>
    <w:p w:rsidR="004F4CD1" w:rsidRPr="00E8450A" w:rsidRDefault="004F4CD1" w:rsidP="00A52FD4">
      <w:pPr>
        <w:rPr>
          <w:noProof/>
          <w:highlight w:val="lightGray"/>
        </w:rPr>
      </w:pPr>
      <w:r w:rsidRPr="00E8450A">
        <w:rPr>
          <w:b/>
          <w:noProof/>
          <w:highlight w:val="lightGray"/>
        </w:rPr>
        <w:t>C</w:t>
      </w:r>
      <w:r w:rsidR="00A52FD4">
        <w:rPr>
          <w:b/>
          <w:noProof/>
          <w:highlight w:val="lightGray"/>
        </w:rPr>
        <w:t>)</w:t>
      </w:r>
      <w:r w:rsidRPr="00E8450A">
        <w:rPr>
          <w:noProof/>
        </w:rPr>
        <w:tab/>
      </w:r>
      <w:r w:rsidRPr="00E8450A">
        <w:rPr>
          <w:b/>
          <w:noProof/>
          <w:highlight w:val="lightGray"/>
        </w:rPr>
        <w:t>Umiestnenie vzorkovacích miest na mikroúrovni</w:t>
      </w:r>
    </w:p>
    <w:p w:rsidR="004F4CD1" w:rsidRPr="00E8450A" w:rsidRDefault="004F4CD1" w:rsidP="004F4CD1">
      <w:pPr>
        <w:ind w:left="426"/>
        <w:rPr>
          <w:noProof/>
          <w:highlight w:val="lightGray"/>
        </w:rPr>
      </w:pPr>
      <w:r w:rsidRPr="00E8450A">
        <w:rPr>
          <w:noProof/>
          <w:highlight w:val="lightGray"/>
        </w:rPr>
        <w:t>Pokiaľ je to možné, uplatňuje sa toto:</w:t>
      </w:r>
    </w:p>
    <w:p w:rsidR="004F4CD1" w:rsidRPr="00E8450A" w:rsidRDefault="004F4CD1" w:rsidP="004F4CD1">
      <w:pPr>
        <w:ind w:left="822" w:hanging="397"/>
        <w:rPr>
          <w:noProof/>
          <w:highlight w:val="lightGray"/>
        </w:rPr>
      </w:pPr>
      <w:r w:rsidRPr="00E8450A">
        <w:rPr>
          <w:noProof/>
          <w:highlight w:val="lightGray"/>
        </w:rPr>
        <w:t>a) prúdenie okolo vstupného otvoru vzorkovacieho miesta musí byť neobmedzené (vo všeobecnosti voľné v uhle aspoň 270° alebo v prípade vzorkovacích miest v línii zástavby aspoň 180°) bez akýchkoľvek prekážok ovplyvňujúcich prúdenie vzduchu v okolí vstupného otvoru (aspoň vo vzdialenosti 1,5 m od budov, balkónov, stromov a iných prekážok a aspoň 0,5 m od najbližšej budovy v prípade vzorkovacích miest, ktoré reprezentujú kvalitu ovzdušia v línii zástavby);</w:t>
      </w:r>
    </w:p>
    <w:p w:rsidR="004F4CD1" w:rsidRPr="00E8450A" w:rsidRDefault="004F4CD1" w:rsidP="004F4CD1">
      <w:pPr>
        <w:ind w:left="822" w:hanging="397"/>
        <w:rPr>
          <w:noProof/>
          <w:highlight w:val="lightGray"/>
        </w:rPr>
      </w:pPr>
      <w:r w:rsidRPr="00E8450A">
        <w:rPr>
          <w:noProof/>
          <w:highlight w:val="lightGray"/>
        </w:rPr>
        <w:t>b) vo všeobecnosti musí byť vstupný otvor vzorkovacieho miesta umiestnený 0,5 m (dýchacia zóna) až 4 m nad zemou. Vyššie umiestnenie (do 8 m) môže byť vhodné, ak je vzorkovacie miesto reprezentatívne pre veľkú oblasť (pozaďové miesto) alebo za iných osobitných okolností, pričom všetky výnimky musia byť plne zdokumentované;</w:t>
      </w:r>
    </w:p>
    <w:p w:rsidR="004F4CD1" w:rsidRPr="00E8450A" w:rsidRDefault="004F4CD1" w:rsidP="004F4CD1">
      <w:pPr>
        <w:ind w:left="822" w:hanging="397"/>
        <w:rPr>
          <w:noProof/>
          <w:szCs w:val="24"/>
          <w:highlight w:val="lightGray"/>
        </w:rPr>
      </w:pPr>
      <w:r w:rsidRPr="00E8450A">
        <w:rPr>
          <w:noProof/>
          <w:highlight w:val="lightGray"/>
        </w:rPr>
        <w:t>c) sonda vo vstupnom otvore nesmie byť umiestnená v bezprostrednej blízkosti zdrojov, aby sa predišlo priamemu odberu emisií, ktoré nie sú zmiešané s okolitým vzduchom a v prípade ktorých je nepravdepodobné, že by im verejnosť bola vystavená;</w:t>
      </w:r>
    </w:p>
    <w:p w:rsidR="004F4CD1" w:rsidRPr="00E8450A" w:rsidRDefault="004F4CD1" w:rsidP="004F4CD1">
      <w:pPr>
        <w:ind w:left="822" w:hanging="397"/>
        <w:rPr>
          <w:noProof/>
          <w:szCs w:val="24"/>
          <w:highlight w:val="lightGray"/>
        </w:rPr>
      </w:pPr>
      <w:r w:rsidRPr="00E8450A">
        <w:rPr>
          <w:noProof/>
          <w:highlight w:val="lightGray"/>
        </w:rPr>
        <w:t>d) výstupný otvor vzorkovacieho zariadenia sa umiestni tak, aby sa predišlo recirkulácii vypúšťaného vzduchu do vstupného otvoru vzorkovacieho zariadenia;</w:t>
      </w:r>
    </w:p>
    <w:p w:rsidR="004F4CD1" w:rsidRPr="00E8450A" w:rsidRDefault="004F4CD1" w:rsidP="004F4CD1">
      <w:pPr>
        <w:ind w:left="822" w:hanging="397"/>
        <w:rPr>
          <w:noProof/>
          <w:highlight w:val="lightGray"/>
        </w:rPr>
      </w:pPr>
      <w:r w:rsidRPr="00E8450A">
        <w:rPr>
          <w:noProof/>
          <w:highlight w:val="lightGray"/>
        </w:rPr>
        <w:t>e) pre všetky znečisťujúce látky musia byť vzorkovacie sondy umiestnené aspoň 25 m od okraja hlavných križovatiek a najviac 10 m od obrubníka. Na účely tohto písmena je „obrubník“ línia, ktorá oddeľuje motorizovanú dopravu od iných oblastí; „hlavná križovatka‘ je križovatka, ktorá prerušuje tok dopravy, čo spôsobuje emisie odlišné (systém stop-and-go) od emisií na ostatných úsekoch cesty;</w:t>
      </w:r>
    </w:p>
    <w:p w:rsidR="004F4CD1" w:rsidRPr="00E8450A" w:rsidRDefault="004F4CD1" w:rsidP="004F4CD1">
      <w:pPr>
        <w:ind w:left="822" w:hanging="397"/>
        <w:rPr>
          <w:noProof/>
          <w:highlight w:val="lightGray"/>
        </w:rPr>
      </w:pPr>
      <w:r w:rsidRPr="00E8450A">
        <w:rPr>
          <w:noProof/>
          <w:highlight w:val="lightGray"/>
        </w:rPr>
        <w:t>f) na merania depozície na vidieckych pozaďových miestach sa podľa možnosti uplatňujú usmernenia a kritériá EMEP;</w:t>
      </w:r>
    </w:p>
    <w:p w:rsidR="004F4CD1" w:rsidRPr="00E8450A" w:rsidRDefault="004F4CD1" w:rsidP="004F4CD1">
      <w:pPr>
        <w:ind w:left="822" w:hanging="397"/>
        <w:rPr>
          <w:noProof/>
          <w:highlight w:val="lightGray"/>
        </w:rPr>
      </w:pPr>
      <w:r w:rsidRPr="00E8450A">
        <w:rPr>
          <w:noProof/>
          <w:highlight w:val="lightGray"/>
        </w:rPr>
        <w:t>g) pokiaľ ide o meranie ozónu, členské štáty zabezpečia, aby bolo vzorkovacie miesto umiestnené v dostatočnej vzdialenosti od zdrojov, ako sú pece a komíny spaľovní, a zároveň viac ako 10 metrov od najbližšej cesty, pričom vzdialenosť má v závislosti od intenzity premávky rásť.</w:t>
      </w:r>
    </w:p>
    <w:p w:rsidR="00FC18DA" w:rsidRPr="00E8450A" w:rsidRDefault="00FC18DA" w:rsidP="004F4CD1">
      <w:pPr>
        <w:ind w:left="822" w:hanging="397"/>
        <w:rPr>
          <w:noProof/>
          <w:highlight w:val="lightGray"/>
        </w:rPr>
      </w:pPr>
    </w:p>
    <w:p w:rsidR="004F4CD1" w:rsidRPr="00E8450A" w:rsidRDefault="004F4CD1" w:rsidP="004F4CD1">
      <w:pPr>
        <w:ind w:firstLine="397"/>
        <w:rPr>
          <w:noProof/>
          <w:highlight w:val="lightGray"/>
        </w:rPr>
      </w:pPr>
      <w:r w:rsidRPr="00E8450A">
        <w:rPr>
          <w:noProof/>
          <w:highlight w:val="lightGray"/>
        </w:rPr>
        <w:t>Do úvahy možno vziať aj tieto faktory:</w:t>
      </w:r>
    </w:p>
    <w:p w:rsidR="004F4CD1" w:rsidRPr="00E8450A" w:rsidRDefault="004F4CD1" w:rsidP="004F4CD1">
      <w:pPr>
        <w:ind w:left="822" w:hanging="425"/>
        <w:rPr>
          <w:noProof/>
          <w:highlight w:val="lightGray"/>
        </w:rPr>
      </w:pPr>
      <w:r w:rsidRPr="00E8450A">
        <w:rPr>
          <w:noProof/>
          <w:highlight w:val="lightGray"/>
        </w:rPr>
        <w:t>a)</w:t>
      </w:r>
      <w:r w:rsidR="008A1F90">
        <w:rPr>
          <w:noProof/>
          <w:highlight w:val="lightGray"/>
        </w:rPr>
        <w:t xml:space="preserve"> </w:t>
      </w:r>
      <w:r w:rsidRPr="00E8450A">
        <w:rPr>
          <w:noProof/>
          <w:highlight w:val="lightGray"/>
        </w:rPr>
        <w:t>interferujúce zdroje;</w:t>
      </w:r>
    </w:p>
    <w:p w:rsidR="004F4CD1" w:rsidRPr="00E8450A" w:rsidRDefault="004F4CD1" w:rsidP="004F4CD1">
      <w:pPr>
        <w:ind w:left="822" w:hanging="425"/>
        <w:rPr>
          <w:noProof/>
          <w:highlight w:val="lightGray"/>
        </w:rPr>
      </w:pPr>
      <w:r w:rsidRPr="00E8450A">
        <w:rPr>
          <w:noProof/>
          <w:highlight w:val="lightGray"/>
        </w:rPr>
        <w:t>b)</w:t>
      </w:r>
      <w:r w:rsidR="008A1F90">
        <w:rPr>
          <w:noProof/>
          <w:highlight w:val="lightGray"/>
        </w:rPr>
        <w:t xml:space="preserve"> </w:t>
      </w:r>
      <w:r w:rsidRPr="00E8450A">
        <w:rPr>
          <w:noProof/>
          <w:highlight w:val="lightGray"/>
        </w:rPr>
        <w:t>bezpečnosť;</w:t>
      </w:r>
    </w:p>
    <w:p w:rsidR="004F4CD1" w:rsidRPr="00E8450A" w:rsidRDefault="004F4CD1" w:rsidP="004F4CD1">
      <w:pPr>
        <w:ind w:left="822" w:hanging="425"/>
        <w:rPr>
          <w:noProof/>
          <w:highlight w:val="lightGray"/>
        </w:rPr>
      </w:pPr>
      <w:r w:rsidRPr="00E8450A">
        <w:rPr>
          <w:noProof/>
          <w:highlight w:val="lightGray"/>
        </w:rPr>
        <w:t>c)</w:t>
      </w:r>
      <w:r w:rsidR="008A1F90">
        <w:rPr>
          <w:noProof/>
          <w:highlight w:val="lightGray"/>
        </w:rPr>
        <w:t xml:space="preserve"> </w:t>
      </w:r>
      <w:r w:rsidRPr="00E8450A">
        <w:rPr>
          <w:noProof/>
          <w:highlight w:val="lightGray"/>
        </w:rPr>
        <w:t>prístup;</w:t>
      </w:r>
    </w:p>
    <w:p w:rsidR="004F4CD1" w:rsidRPr="00E8450A" w:rsidRDefault="004F4CD1" w:rsidP="004F4CD1">
      <w:pPr>
        <w:ind w:left="822" w:hanging="425"/>
        <w:rPr>
          <w:noProof/>
          <w:highlight w:val="lightGray"/>
        </w:rPr>
      </w:pPr>
      <w:r w:rsidRPr="00E8450A">
        <w:rPr>
          <w:noProof/>
          <w:highlight w:val="lightGray"/>
        </w:rPr>
        <w:lastRenderedPageBreak/>
        <w:t>d)</w:t>
      </w:r>
      <w:r w:rsidR="008A1F90">
        <w:rPr>
          <w:noProof/>
          <w:highlight w:val="lightGray"/>
        </w:rPr>
        <w:t xml:space="preserve"> </w:t>
      </w:r>
      <w:r w:rsidRPr="00E8450A">
        <w:rPr>
          <w:noProof/>
          <w:highlight w:val="lightGray"/>
        </w:rPr>
        <w:t>dostupnosť zdroja elektrickej energie a telefonického spojenia;</w:t>
      </w:r>
    </w:p>
    <w:p w:rsidR="004F4CD1" w:rsidRPr="00E8450A" w:rsidRDefault="004F4CD1" w:rsidP="004F4CD1">
      <w:pPr>
        <w:ind w:left="822" w:hanging="425"/>
        <w:rPr>
          <w:noProof/>
          <w:highlight w:val="lightGray"/>
        </w:rPr>
      </w:pPr>
      <w:r w:rsidRPr="00E8450A">
        <w:rPr>
          <w:noProof/>
          <w:highlight w:val="lightGray"/>
        </w:rPr>
        <w:t>e)</w:t>
      </w:r>
      <w:r w:rsidR="008A1F90">
        <w:rPr>
          <w:noProof/>
          <w:highlight w:val="lightGray"/>
        </w:rPr>
        <w:t xml:space="preserve"> </w:t>
      </w:r>
      <w:r w:rsidRPr="00E8450A">
        <w:rPr>
          <w:noProof/>
          <w:highlight w:val="lightGray"/>
        </w:rPr>
        <w:t>viditeľnosť miesta vzhľadom na okolie;</w:t>
      </w:r>
    </w:p>
    <w:p w:rsidR="004F4CD1" w:rsidRPr="00E8450A" w:rsidRDefault="004F4CD1" w:rsidP="004F4CD1">
      <w:pPr>
        <w:ind w:left="822" w:hanging="425"/>
        <w:rPr>
          <w:noProof/>
          <w:highlight w:val="lightGray"/>
        </w:rPr>
      </w:pPr>
      <w:r w:rsidRPr="00E8450A">
        <w:rPr>
          <w:noProof/>
          <w:highlight w:val="lightGray"/>
        </w:rPr>
        <w:t>f)</w:t>
      </w:r>
      <w:r w:rsidR="008A1F90">
        <w:rPr>
          <w:noProof/>
          <w:highlight w:val="lightGray"/>
        </w:rPr>
        <w:t xml:space="preserve"> </w:t>
      </w:r>
      <w:r w:rsidRPr="00E8450A">
        <w:rPr>
          <w:noProof/>
          <w:highlight w:val="lightGray"/>
        </w:rPr>
        <w:t>bezpečnosť verejnosti a obsluhy;</w:t>
      </w:r>
    </w:p>
    <w:p w:rsidR="004F4CD1" w:rsidRPr="00E8450A" w:rsidRDefault="004F4CD1" w:rsidP="004F4CD1">
      <w:pPr>
        <w:ind w:left="822" w:hanging="425"/>
        <w:rPr>
          <w:noProof/>
          <w:highlight w:val="lightGray"/>
        </w:rPr>
      </w:pPr>
      <w:r w:rsidRPr="00E8450A">
        <w:rPr>
          <w:noProof/>
          <w:highlight w:val="lightGray"/>
        </w:rPr>
        <w:t>g)</w:t>
      </w:r>
      <w:r w:rsidR="008A1F90">
        <w:rPr>
          <w:noProof/>
          <w:highlight w:val="lightGray"/>
        </w:rPr>
        <w:t xml:space="preserve"> </w:t>
      </w:r>
      <w:r w:rsidRPr="00E8450A">
        <w:rPr>
          <w:noProof/>
          <w:highlight w:val="lightGray"/>
        </w:rPr>
        <w:t>vhodnosť umiestnenia vzorkovacích miest pre rozličné znečisťujúce látky na spoločnom mieste;</w:t>
      </w:r>
    </w:p>
    <w:p w:rsidR="004F4CD1" w:rsidRPr="00E8450A" w:rsidRDefault="004F4CD1" w:rsidP="004F4CD1">
      <w:pPr>
        <w:ind w:left="822" w:hanging="425"/>
        <w:rPr>
          <w:noProof/>
          <w:highlight w:val="lightGray"/>
        </w:rPr>
      </w:pPr>
      <w:r w:rsidRPr="00E8450A">
        <w:rPr>
          <w:noProof/>
          <w:highlight w:val="lightGray"/>
        </w:rPr>
        <w:t>h)</w:t>
      </w:r>
      <w:r w:rsidR="008A1F90">
        <w:rPr>
          <w:noProof/>
          <w:highlight w:val="lightGray"/>
        </w:rPr>
        <w:t xml:space="preserve"> </w:t>
      </w:r>
      <w:r w:rsidRPr="00E8450A">
        <w:rPr>
          <w:noProof/>
          <w:highlight w:val="lightGray"/>
        </w:rPr>
        <w:t>požiadavky na plánovanie.</w:t>
      </w:r>
    </w:p>
    <w:p w:rsidR="004F4CD1" w:rsidRPr="00E8450A" w:rsidRDefault="004F4CD1" w:rsidP="004F4CD1">
      <w:pPr>
        <w:ind w:left="360"/>
        <w:rPr>
          <w:noProof/>
          <w:highlight w:val="lightGray"/>
        </w:rPr>
      </w:pPr>
    </w:p>
    <w:p w:rsidR="004F4CD1" w:rsidRPr="00E8450A" w:rsidRDefault="004F4CD1" w:rsidP="00A52FD4">
      <w:pPr>
        <w:rPr>
          <w:b/>
          <w:smallCaps/>
          <w:noProof/>
          <w:highlight w:val="lightGray"/>
        </w:rPr>
      </w:pPr>
      <w:r w:rsidRPr="00E8450A">
        <w:rPr>
          <w:b/>
          <w:noProof/>
          <w:highlight w:val="lightGray"/>
        </w:rPr>
        <w:t>D</w:t>
      </w:r>
      <w:r w:rsidR="00A52FD4">
        <w:rPr>
          <w:b/>
          <w:noProof/>
          <w:highlight w:val="lightGray"/>
        </w:rPr>
        <w:t>)</w:t>
      </w:r>
      <w:r w:rsidRPr="00E8450A">
        <w:rPr>
          <w:noProof/>
        </w:rPr>
        <w:tab/>
      </w:r>
      <w:r w:rsidRPr="00E8450A">
        <w:rPr>
          <w:b/>
          <w:noProof/>
          <w:highlight w:val="lightGray"/>
        </w:rPr>
        <w:t xml:space="preserve">Výber miesta, jeho preskúmanie a zdokumentovanie </w:t>
      </w:r>
    </w:p>
    <w:p w:rsidR="004F4CD1" w:rsidRPr="00E8450A" w:rsidRDefault="004F4CD1" w:rsidP="00531234">
      <w:pPr>
        <w:pStyle w:val="ListNumber"/>
        <w:numPr>
          <w:ilvl w:val="0"/>
          <w:numId w:val="25"/>
        </w:numPr>
        <w:ind w:left="754" w:hanging="357"/>
        <w:rPr>
          <w:noProof/>
          <w:highlight w:val="lightGray"/>
        </w:rPr>
      </w:pPr>
      <w:r w:rsidRPr="00E8450A">
        <w:rPr>
          <w:noProof/>
          <w:highlight w:val="lightGray"/>
        </w:rPr>
        <w:t>V prípade všetkých zón musia príslušné orgány zodpovedné za hodnotenie kvality ovzdušia riadne zdokumentovať postupy výberu miest a zaznamenať informácie odôvodňujúce štruktúru siete a výber umiestnenia všetkých monitorovacích miest. Štruktúra monitorovacej siete musí byť prinajmenšom odôvodnená buď modelovaním, alebo indikatívnymi meraniami.</w:t>
      </w:r>
    </w:p>
    <w:p w:rsidR="004F4CD1" w:rsidRPr="00E8450A" w:rsidRDefault="004F4CD1" w:rsidP="00A44799">
      <w:pPr>
        <w:pStyle w:val="ListNumber"/>
        <w:ind w:left="754" w:hanging="357"/>
        <w:rPr>
          <w:noProof/>
          <w:highlight w:val="lightGray"/>
        </w:rPr>
      </w:pPr>
      <w:r w:rsidRPr="00E8450A">
        <w:rPr>
          <w:noProof/>
          <w:highlight w:val="lightGray"/>
        </w:rPr>
        <w:t>Dokumentácia musí obsahovať umiestnenie vzorkovacích miest definované priestorovými súradnicami, podrobné mapy a musí zahŕňať informácie o priestorovej reprezentatívnosti všetkých vzorkovacích miest.</w:t>
      </w:r>
    </w:p>
    <w:p w:rsidR="004F4CD1" w:rsidRPr="00E8450A" w:rsidRDefault="004F4CD1" w:rsidP="00A44799">
      <w:pPr>
        <w:pStyle w:val="ListNumber"/>
        <w:ind w:left="754" w:hanging="357"/>
        <w:rPr>
          <w:noProof/>
          <w:highlight w:val="lightGray"/>
        </w:rPr>
      </w:pPr>
      <w:r w:rsidRPr="00E8450A">
        <w:rPr>
          <w:noProof/>
          <w:highlight w:val="lightGray"/>
        </w:rPr>
        <w:t>Dokumentácia musí obsahovať všetky odchýlky od kritérií umiestňovania vzorkovacích miest na mikroúrovni, ich hlavné dôvody a pravdepodobný vplyv na namerané úrovne.</w:t>
      </w:r>
    </w:p>
    <w:p w:rsidR="004F4CD1" w:rsidRPr="00E8450A" w:rsidRDefault="004F4CD1" w:rsidP="00A44799">
      <w:pPr>
        <w:pStyle w:val="ListNumber"/>
        <w:ind w:left="754" w:hanging="357"/>
        <w:rPr>
          <w:noProof/>
          <w:highlight w:val="lightGray"/>
        </w:rPr>
      </w:pPr>
      <w:r w:rsidRPr="00E8450A">
        <w:rPr>
          <w:noProof/>
          <w:highlight w:val="lightGray"/>
        </w:rPr>
        <w:t xml:space="preserve">Ak sa v rámci zóny využívajú indikatívne merania, modelovanie, objektívny odhad alebo ich kombinácia, do dokumentácie sa zahrnú podrobnosti o týchto metódach a informácie o spôsobe splnenia kritérií uvedených v článku 9 ods. 3. </w:t>
      </w:r>
    </w:p>
    <w:p w:rsidR="004F4CD1" w:rsidRPr="00E8450A" w:rsidRDefault="004F4CD1" w:rsidP="00A44799">
      <w:pPr>
        <w:pStyle w:val="ListNumber"/>
        <w:ind w:left="754" w:hanging="357"/>
        <w:rPr>
          <w:noProof/>
          <w:highlight w:val="lightGray"/>
        </w:rPr>
      </w:pPr>
      <w:r w:rsidRPr="00E8450A">
        <w:rPr>
          <w:noProof/>
          <w:highlight w:val="lightGray"/>
        </w:rPr>
        <w:t xml:space="preserve">Ak sa využívajú indikatívne merania, modelovanie alebo objektívny odhad, príslušné orgány použijú sieťové údaje nahlásené podľa smernice (EÚ) 2016/2284 a informácie o emisiách nahlásené podľa smernice 2010/75/EÚ. </w:t>
      </w:r>
    </w:p>
    <w:p w:rsidR="004F4CD1" w:rsidRPr="00E8450A" w:rsidRDefault="004F4CD1" w:rsidP="00A44799">
      <w:pPr>
        <w:pStyle w:val="ListNumber"/>
        <w:ind w:left="754" w:hanging="357"/>
        <w:rPr>
          <w:noProof/>
          <w:highlight w:val="lightGray"/>
        </w:rPr>
      </w:pPr>
      <w:r w:rsidRPr="00E8450A">
        <w:rPr>
          <w:noProof/>
          <w:highlight w:val="lightGray"/>
        </w:rPr>
        <w:t xml:space="preserve">Pokiaľ ide o merania ozónu, členské štáty musia uplatňovať riadny skríning a interpretáciu monitorovacích údajov, a to v kontexte meteorologických a fotochemických procesov ovplyvňujúcich koncentrácie ozónu namerané na príslušnom mieste. </w:t>
      </w:r>
    </w:p>
    <w:p w:rsidR="004F4CD1" w:rsidRPr="00E8450A" w:rsidRDefault="004F4CD1" w:rsidP="00A44799">
      <w:pPr>
        <w:pStyle w:val="ListNumber"/>
        <w:ind w:left="754" w:hanging="357"/>
        <w:rPr>
          <w:noProof/>
          <w:highlight w:val="lightGray"/>
        </w:rPr>
      </w:pPr>
      <w:r w:rsidRPr="00E8450A">
        <w:rPr>
          <w:noProof/>
          <w:highlight w:val="lightGray"/>
        </w:rPr>
        <w:t>Súčasťou dokumentácie musí byť v prípade potreby zoznam prekurzorov ozónu, cieľ, ktorý sa sleduje ich meraním, a metódy odberu vzoriek týchto prekurzorov a ich merania.</w:t>
      </w:r>
    </w:p>
    <w:p w:rsidR="004F4CD1" w:rsidRPr="00E8450A" w:rsidRDefault="004F4CD1" w:rsidP="00A44799">
      <w:pPr>
        <w:pStyle w:val="ListNumber"/>
        <w:ind w:left="754" w:hanging="357"/>
        <w:rPr>
          <w:noProof/>
          <w:highlight w:val="lightGray"/>
        </w:rPr>
      </w:pPr>
      <w:r w:rsidRPr="00E8450A">
        <w:rPr>
          <w:noProof/>
          <w:highlight w:val="lightGray"/>
        </w:rPr>
        <w:t>V prípade potreby musia byť súčasťou dokumentácie aj informácie o metódach merania použitých na meranie chemického zloženia častíc PM</w:t>
      </w:r>
      <w:r w:rsidRPr="00E8450A">
        <w:rPr>
          <w:noProof/>
          <w:highlight w:val="lightGray"/>
          <w:vertAlign w:val="subscript"/>
        </w:rPr>
        <w:t>2,5</w:t>
      </w:r>
      <w:r w:rsidRPr="00E8450A">
        <w:rPr>
          <w:noProof/>
          <w:highlight w:val="lightGray"/>
        </w:rPr>
        <w:t>.</w:t>
      </w:r>
    </w:p>
    <w:p w:rsidR="004F4CD1" w:rsidRPr="00E8450A" w:rsidRDefault="004F4CD1" w:rsidP="00A44799">
      <w:pPr>
        <w:pStyle w:val="ListNumber"/>
        <w:ind w:left="754" w:hanging="357"/>
        <w:rPr>
          <w:noProof/>
          <w:highlight w:val="lightGray"/>
        </w:rPr>
      </w:pPr>
      <w:r w:rsidRPr="00E8450A">
        <w:rPr>
          <w:noProof/>
          <w:highlight w:val="lightGray"/>
        </w:rPr>
        <w:t>Výberové kritériá, štruktúra siete a umiestnenie monitorovacích miest, ktoré príslušné orgány určili s ohľadom na požiadavky podľa tejto prílohy, sa aspoň raz za päť rokov preskúmajú s cieľom zabezpečiť, aby boli stále platné a optimálne. Preskúmanie sa musí prinajmenšom opierať buď o modelovanie alebo indikatívne merania.</w:t>
      </w:r>
    </w:p>
    <w:p w:rsidR="004F4CD1" w:rsidRPr="00E8450A" w:rsidRDefault="004F4CD1" w:rsidP="00A44799">
      <w:pPr>
        <w:pStyle w:val="ListNumber"/>
        <w:ind w:left="754" w:hanging="357"/>
        <w:rPr>
          <w:noProof/>
          <w:highlight w:val="lightGray"/>
        </w:rPr>
      </w:pPr>
      <w:r w:rsidRPr="00E8450A">
        <w:rPr>
          <w:noProof/>
          <w:highlight w:val="lightGray"/>
        </w:rPr>
        <w:t>Po každom preskúmaní a iných relevantných zmenách v monitorovacej sieti sa dokumentácia aktualizuje a vhodnými komunikačnými kanálmi sa zverejní.</w:t>
      </w:r>
    </w:p>
    <w:p w:rsidR="004F4CD1" w:rsidRPr="00E8450A" w:rsidRDefault="004F4CD1" w:rsidP="004F4CD1">
      <w:pPr>
        <w:rPr>
          <w:bCs/>
          <w:i/>
          <w:smallCaps/>
          <w:noProof/>
          <w:highlight w:val="lightGray"/>
        </w:rPr>
      </w:pPr>
      <w:r w:rsidRPr="00E8450A">
        <w:rPr>
          <w:noProof/>
        </w:rPr>
        <w:br w:type="page"/>
      </w:r>
    </w:p>
    <w:p w:rsidR="004F4CD1" w:rsidRPr="00E8450A" w:rsidRDefault="004F4CD1" w:rsidP="00BC180F">
      <w:pPr>
        <w:pStyle w:val="Annexetitre"/>
        <w:rPr>
          <w:caps/>
          <w:noProof/>
          <w:highlight w:val="lightGray"/>
        </w:rPr>
      </w:pPr>
      <w:r w:rsidRPr="00E8450A">
        <w:rPr>
          <w:caps/>
          <w:noProof/>
          <w:highlight w:val="lightGray"/>
        </w:rPr>
        <w:lastRenderedPageBreak/>
        <w:t>PRÍLOHA V</w:t>
      </w:r>
    </w:p>
    <w:p w:rsidR="004F4CD1" w:rsidRPr="00E8450A" w:rsidRDefault="004F4CD1" w:rsidP="004F4CD1">
      <w:pPr>
        <w:jc w:val="center"/>
        <w:rPr>
          <w:b/>
          <w:i/>
          <w:caps/>
          <w:noProof/>
          <w:highlight w:val="lightGray"/>
        </w:rPr>
      </w:pPr>
      <w:r w:rsidRPr="00E8450A">
        <w:rPr>
          <w:b/>
          <w:caps/>
          <w:noProof/>
          <w:highlight w:val="lightGray"/>
        </w:rPr>
        <w:t>Ciele v oblasti kvality údajov</w:t>
      </w:r>
    </w:p>
    <w:p w:rsidR="004F4CD1" w:rsidRPr="00E8450A" w:rsidRDefault="004F4CD1" w:rsidP="004F4CD1">
      <w:pPr>
        <w:rPr>
          <w:b/>
          <w:noProof/>
          <w:highlight w:val="lightGray"/>
        </w:rPr>
      </w:pPr>
    </w:p>
    <w:p w:rsidR="004F4CD1" w:rsidRPr="00E8450A" w:rsidRDefault="004F4CD1" w:rsidP="00A52FD4">
      <w:pPr>
        <w:rPr>
          <w:b/>
          <w:noProof/>
          <w:highlight w:val="lightGray"/>
        </w:rPr>
      </w:pPr>
      <w:r w:rsidRPr="00E8450A">
        <w:rPr>
          <w:b/>
          <w:noProof/>
          <w:highlight w:val="lightGray"/>
        </w:rPr>
        <w:t>A</w:t>
      </w:r>
      <w:r w:rsidR="00A52FD4">
        <w:rPr>
          <w:b/>
          <w:noProof/>
          <w:highlight w:val="lightGray"/>
        </w:rPr>
        <w:t>)</w:t>
      </w:r>
      <w:r w:rsidRPr="00E8450A">
        <w:rPr>
          <w:b/>
          <w:noProof/>
          <w:highlight w:val="lightGray"/>
        </w:rPr>
        <w:t xml:space="preserve"> Neistota merania a modelovania na účely hodnotenia kvality okolitého ovzdušia</w:t>
      </w:r>
    </w:p>
    <w:p w:rsidR="004F4CD1" w:rsidRPr="00E8450A" w:rsidRDefault="004F4CD1" w:rsidP="009D16E9">
      <w:pPr>
        <w:rPr>
          <w:i/>
          <w:noProof/>
          <w:highlight w:val="lightGray"/>
        </w:rPr>
      </w:pPr>
      <w:r w:rsidRPr="00E8450A">
        <w:rPr>
          <w:i/>
          <w:noProof/>
          <w:highlight w:val="lightGray"/>
        </w:rPr>
        <w:t xml:space="preserve">1. Neistota merania a modelovania dlhodobej strednej hodnoty </w:t>
      </w:r>
      <w:r w:rsidRPr="00E8450A">
        <w:rPr>
          <w:rStyle w:val="normaltextrun"/>
          <w:i/>
          <w:noProof/>
          <w:highlight w:val="lightGray"/>
          <w:shd w:val="clear" w:color="auto" w:fill="FFFFFF"/>
        </w:rPr>
        <w:t>koncentrácií (ročná stredná hodnota)</w:t>
      </w:r>
      <w:r w:rsidRPr="00E8450A">
        <w:rPr>
          <w:i/>
          <w:noProof/>
          <w:highlight w:val="lightGray"/>
        </w:rPr>
        <w:t xml:space="preserve"> </w:t>
      </w:r>
    </w:p>
    <w:tbl>
      <w:tblPr>
        <w:tblW w:w="9307" w:type="dxa"/>
        <w:tblInd w:w="57" w:type="dxa"/>
        <w:tblBorders>
          <w:top w:val="single" w:sz="6" w:space="0" w:color="auto"/>
          <w:left w:val="single" w:sz="4" w:space="0" w:color="auto"/>
          <w:bottom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928"/>
        <w:gridCol w:w="1417"/>
        <w:gridCol w:w="1191"/>
        <w:gridCol w:w="1369"/>
        <w:gridCol w:w="1171"/>
        <w:gridCol w:w="2231"/>
      </w:tblGrid>
      <w:tr w:rsidR="004F4CD1" w:rsidRPr="00E8450A" w:rsidTr="00FC53B5">
        <w:trPr>
          <w:trHeight w:val="585"/>
        </w:trPr>
        <w:tc>
          <w:tcPr>
            <w:tcW w:w="1928" w:type="dxa"/>
            <w:vMerge w:val="restart"/>
            <w:tcBorders>
              <w:left w:val="nil"/>
            </w:tcBorders>
            <w:tcMar>
              <w:left w:w="57" w:type="dxa"/>
              <w:right w:w="57" w:type="dxa"/>
            </w:tcMar>
            <w:vAlign w:val="center"/>
            <w:hideMark/>
          </w:tcPr>
          <w:p w:rsidR="004F4CD1" w:rsidRPr="00E8450A" w:rsidRDefault="004F4CD1" w:rsidP="005742DB">
            <w:pPr>
              <w:pStyle w:val="paragraph"/>
              <w:spacing w:before="120" w:beforeAutospacing="0" w:after="120" w:afterAutospacing="0"/>
              <w:textAlignment w:val="baseline"/>
              <w:rPr>
                <w:b/>
                <w:bCs/>
                <w:noProof/>
                <w:highlight w:val="lightGray"/>
              </w:rPr>
            </w:pPr>
            <w:r w:rsidRPr="00E8450A">
              <w:rPr>
                <w:rStyle w:val="eop"/>
                <w:b/>
                <w:noProof/>
                <w:highlight w:val="lightGray"/>
              </w:rPr>
              <w:t xml:space="preserve"> </w:t>
            </w:r>
          </w:p>
          <w:p w:rsidR="004F4CD1" w:rsidRPr="00E8450A" w:rsidRDefault="004F4CD1" w:rsidP="005742DB">
            <w:pPr>
              <w:pStyle w:val="paragraph"/>
              <w:spacing w:before="120" w:beforeAutospacing="0" w:after="120" w:afterAutospacing="0"/>
              <w:textAlignment w:val="baseline"/>
              <w:rPr>
                <w:b/>
                <w:bCs/>
                <w:noProof/>
                <w:highlight w:val="lightGray"/>
              </w:rPr>
            </w:pPr>
            <w:r w:rsidRPr="00E8450A">
              <w:rPr>
                <w:rStyle w:val="normaltextrun"/>
                <w:b/>
                <w:noProof/>
                <w:highlight w:val="lightGray"/>
              </w:rPr>
              <w:t>Látka znečisťujúca ovzdušie</w:t>
            </w:r>
            <w:r w:rsidRPr="00E8450A">
              <w:rPr>
                <w:rStyle w:val="normaltextrun"/>
                <w:b/>
                <w:noProof/>
                <w:color w:val="000000"/>
                <w:highlight w:val="lightGray"/>
              </w:rPr>
              <w:t xml:space="preserve"> </w:t>
            </w:r>
          </w:p>
        </w:tc>
        <w:tc>
          <w:tcPr>
            <w:tcW w:w="2608" w:type="dxa"/>
            <w:gridSpan w:val="2"/>
            <w:tcMar>
              <w:left w:w="57" w:type="dxa"/>
              <w:right w:w="57" w:type="dxa"/>
            </w:tcMar>
            <w:vAlign w:val="bottom"/>
            <w:hideMark/>
          </w:tcPr>
          <w:p w:rsidR="004F4CD1" w:rsidRPr="00E8450A" w:rsidRDefault="004F4CD1" w:rsidP="00FC53B5">
            <w:pPr>
              <w:pStyle w:val="paragraph"/>
              <w:spacing w:before="120" w:beforeAutospacing="0" w:after="120" w:afterAutospacing="0"/>
              <w:textAlignment w:val="baseline"/>
              <w:rPr>
                <w:b/>
                <w:bCs/>
                <w:noProof/>
                <w:highlight w:val="lightGray"/>
              </w:rPr>
            </w:pPr>
            <w:r w:rsidRPr="00E8450A">
              <w:rPr>
                <w:rStyle w:val="normaltextrun"/>
                <w:b/>
                <w:noProof/>
                <w:highlight w:val="lightGray"/>
              </w:rPr>
              <w:t>Najväčšia neistota stálych meraní</w:t>
            </w:r>
          </w:p>
        </w:tc>
        <w:tc>
          <w:tcPr>
            <w:tcW w:w="2540" w:type="dxa"/>
            <w:gridSpan w:val="2"/>
            <w:tcMar>
              <w:left w:w="57" w:type="dxa"/>
              <w:right w:w="57" w:type="dxa"/>
            </w:tcMar>
            <w:vAlign w:val="bottom"/>
            <w:hideMark/>
          </w:tcPr>
          <w:p w:rsidR="004F4CD1" w:rsidRPr="00E8450A" w:rsidRDefault="004F4CD1" w:rsidP="00FC53B5">
            <w:pPr>
              <w:pStyle w:val="paragraph"/>
              <w:spacing w:before="120" w:beforeAutospacing="0" w:after="120" w:afterAutospacing="0"/>
              <w:textAlignment w:val="baseline"/>
              <w:rPr>
                <w:b/>
                <w:bCs/>
                <w:noProof/>
                <w:highlight w:val="lightGray"/>
              </w:rPr>
            </w:pPr>
            <w:r w:rsidRPr="00E8450A">
              <w:rPr>
                <w:rStyle w:val="normaltextrun"/>
                <w:b/>
                <w:noProof/>
                <w:highlight w:val="lightGray"/>
              </w:rPr>
              <w:t xml:space="preserve">Najväčšia neistota indikatívnych meraní </w:t>
            </w:r>
            <w:r w:rsidRPr="00E8450A">
              <w:rPr>
                <w:rStyle w:val="normaltextrun"/>
                <w:b/>
                <w:noProof/>
                <w:highlight w:val="lightGray"/>
                <w:vertAlign w:val="superscript"/>
              </w:rPr>
              <w:t>(1)</w:t>
            </w:r>
          </w:p>
        </w:tc>
        <w:tc>
          <w:tcPr>
            <w:tcW w:w="2231" w:type="dxa"/>
            <w:tcMar>
              <w:left w:w="57" w:type="dxa"/>
              <w:right w:w="57" w:type="dxa"/>
            </w:tcMar>
            <w:hideMark/>
          </w:tcPr>
          <w:p w:rsidR="004F4CD1" w:rsidRPr="00E8450A" w:rsidRDefault="004F4CD1" w:rsidP="00FC53B5">
            <w:pPr>
              <w:pStyle w:val="paragraph"/>
              <w:spacing w:before="120" w:beforeAutospacing="0" w:after="120" w:afterAutospacing="0"/>
              <w:textAlignment w:val="baseline"/>
              <w:rPr>
                <w:b/>
                <w:bCs/>
                <w:noProof/>
                <w:highlight w:val="lightGray"/>
              </w:rPr>
            </w:pPr>
            <w:r w:rsidRPr="00E8450A">
              <w:rPr>
                <w:rStyle w:val="normaltextrun"/>
                <w:b/>
                <w:noProof/>
                <w:highlight w:val="lightGray"/>
              </w:rPr>
              <w:t>Najväčší pomer medzi neistotou modelovania a objektívneho odhadu</w:t>
            </w:r>
            <w:r w:rsidRPr="00E8450A">
              <w:rPr>
                <w:b/>
                <w:noProof/>
                <w:highlight w:val="lightGray"/>
              </w:rPr>
              <w:t xml:space="preserve"> a neistotou stálych meraní</w:t>
            </w:r>
          </w:p>
        </w:tc>
      </w:tr>
      <w:tr w:rsidR="004F4CD1" w:rsidRPr="00E8450A" w:rsidTr="00FC53B5">
        <w:trPr>
          <w:trHeight w:val="585"/>
        </w:trPr>
        <w:tc>
          <w:tcPr>
            <w:tcW w:w="1928" w:type="dxa"/>
            <w:vMerge/>
            <w:tcBorders>
              <w:left w:val="nil"/>
            </w:tcBorders>
            <w:tcMar>
              <w:left w:w="57" w:type="dxa"/>
              <w:right w:w="57" w:type="dxa"/>
            </w:tcMar>
            <w:vAlign w:val="center"/>
            <w:hideMark/>
          </w:tcPr>
          <w:p w:rsidR="004F4CD1" w:rsidRPr="00E8450A" w:rsidRDefault="004F4CD1" w:rsidP="005742DB">
            <w:pPr>
              <w:jc w:val="left"/>
              <w:rPr>
                <w:b/>
                <w:bCs/>
                <w:noProof/>
                <w:highlight w:val="lightGray"/>
              </w:rPr>
            </w:pPr>
          </w:p>
        </w:tc>
        <w:tc>
          <w:tcPr>
            <w:tcW w:w="1417" w:type="dxa"/>
            <w:tcMar>
              <w:left w:w="57" w:type="dxa"/>
              <w:right w:w="57" w:type="dxa"/>
            </w:tcMar>
            <w:vAlign w:val="center"/>
            <w:hideMark/>
          </w:tcPr>
          <w:p w:rsidR="004F4CD1" w:rsidRPr="00E8450A" w:rsidRDefault="004F4CD1" w:rsidP="00FC53B5">
            <w:pPr>
              <w:pStyle w:val="paragraph"/>
              <w:spacing w:before="120" w:beforeAutospacing="0" w:after="120" w:afterAutospacing="0"/>
              <w:textAlignment w:val="baseline"/>
              <w:rPr>
                <w:b/>
                <w:bCs/>
                <w:noProof/>
                <w:highlight w:val="lightGray"/>
              </w:rPr>
            </w:pPr>
            <w:r w:rsidRPr="00E8450A">
              <w:rPr>
                <w:rStyle w:val="normaltextrun"/>
                <w:b/>
                <w:noProof/>
                <w:highlight w:val="lightGray"/>
              </w:rPr>
              <w:t>Absolútna hodnota</w:t>
            </w:r>
          </w:p>
        </w:tc>
        <w:tc>
          <w:tcPr>
            <w:tcW w:w="1191" w:type="dxa"/>
            <w:tcMar>
              <w:left w:w="57" w:type="dxa"/>
              <w:right w:w="57" w:type="dxa"/>
            </w:tcMar>
            <w:vAlign w:val="center"/>
            <w:hideMark/>
          </w:tcPr>
          <w:p w:rsidR="004F4CD1" w:rsidRPr="00E8450A" w:rsidRDefault="00FC53B5" w:rsidP="00FC53B5">
            <w:pPr>
              <w:pStyle w:val="paragraph"/>
              <w:spacing w:before="120" w:beforeAutospacing="0" w:after="120" w:afterAutospacing="0"/>
              <w:textAlignment w:val="baseline"/>
              <w:rPr>
                <w:b/>
                <w:bCs/>
                <w:noProof/>
                <w:highlight w:val="lightGray"/>
              </w:rPr>
            </w:pPr>
            <w:r w:rsidRPr="00E8450A">
              <w:rPr>
                <w:rStyle w:val="normaltextrun"/>
                <w:b/>
                <w:noProof/>
                <w:highlight w:val="lightGray"/>
              </w:rPr>
              <w:t>Relatívna hodnota</w:t>
            </w:r>
          </w:p>
        </w:tc>
        <w:tc>
          <w:tcPr>
            <w:tcW w:w="1369" w:type="dxa"/>
            <w:tcMar>
              <w:left w:w="57" w:type="dxa"/>
              <w:right w:w="57" w:type="dxa"/>
            </w:tcMar>
            <w:vAlign w:val="center"/>
            <w:hideMark/>
          </w:tcPr>
          <w:p w:rsidR="004F4CD1" w:rsidRPr="00E8450A" w:rsidRDefault="004F4CD1" w:rsidP="00FC53B5">
            <w:pPr>
              <w:pStyle w:val="paragraph"/>
              <w:spacing w:before="120" w:beforeAutospacing="0" w:after="120" w:afterAutospacing="0"/>
              <w:textAlignment w:val="baseline"/>
              <w:rPr>
                <w:b/>
                <w:bCs/>
                <w:noProof/>
                <w:highlight w:val="lightGray"/>
              </w:rPr>
            </w:pPr>
            <w:r w:rsidRPr="00E8450A">
              <w:rPr>
                <w:rStyle w:val="normaltextrun"/>
                <w:b/>
                <w:noProof/>
                <w:highlight w:val="lightGray"/>
              </w:rPr>
              <w:t>Absolútna hodnota</w:t>
            </w:r>
          </w:p>
        </w:tc>
        <w:tc>
          <w:tcPr>
            <w:tcW w:w="1171" w:type="dxa"/>
            <w:tcMar>
              <w:left w:w="57" w:type="dxa"/>
              <w:right w:w="57" w:type="dxa"/>
            </w:tcMar>
            <w:vAlign w:val="center"/>
            <w:hideMark/>
          </w:tcPr>
          <w:p w:rsidR="004F4CD1" w:rsidRPr="00E8450A" w:rsidRDefault="004F4CD1" w:rsidP="00FC53B5">
            <w:pPr>
              <w:pStyle w:val="paragraph"/>
              <w:spacing w:before="120" w:beforeAutospacing="0" w:after="120" w:afterAutospacing="0"/>
              <w:textAlignment w:val="baseline"/>
              <w:rPr>
                <w:b/>
                <w:bCs/>
                <w:noProof/>
                <w:highlight w:val="lightGray"/>
              </w:rPr>
            </w:pPr>
            <w:r w:rsidRPr="00E8450A">
              <w:rPr>
                <w:rStyle w:val="normaltextrun"/>
                <w:b/>
                <w:noProof/>
                <w:highlight w:val="lightGray"/>
              </w:rPr>
              <w:t>Relatívna hodnota</w:t>
            </w:r>
          </w:p>
        </w:tc>
        <w:tc>
          <w:tcPr>
            <w:tcW w:w="2231" w:type="dxa"/>
            <w:tcMar>
              <w:left w:w="57" w:type="dxa"/>
              <w:right w:w="57" w:type="dxa"/>
            </w:tcMar>
            <w:hideMark/>
          </w:tcPr>
          <w:p w:rsidR="004F4CD1" w:rsidRPr="00E8450A" w:rsidRDefault="004F4CD1" w:rsidP="00FC53B5">
            <w:pPr>
              <w:pStyle w:val="paragraph"/>
              <w:spacing w:before="120" w:beforeAutospacing="0" w:after="120" w:afterAutospacing="0"/>
              <w:textAlignment w:val="baseline"/>
              <w:rPr>
                <w:b/>
                <w:bCs/>
                <w:noProof/>
                <w:highlight w:val="lightGray"/>
              </w:rPr>
            </w:pPr>
            <w:r w:rsidRPr="00E8450A">
              <w:rPr>
                <w:rStyle w:val="normaltextrun"/>
                <w:b/>
                <w:noProof/>
                <w:highlight w:val="lightGray"/>
              </w:rPr>
              <w:t>Najväčší pomer</w:t>
            </w:r>
          </w:p>
        </w:tc>
      </w:tr>
      <w:tr w:rsidR="004F4CD1" w:rsidRPr="00E8450A" w:rsidTr="00FC53B5">
        <w:trPr>
          <w:trHeight w:val="300"/>
        </w:trPr>
        <w:tc>
          <w:tcPr>
            <w:tcW w:w="1928" w:type="dxa"/>
            <w:tcBorders>
              <w:left w:val="nil"/>
            </w:tcBorders>
            <w:tcMar>
              <w:left w:w="57" w:type="dxa"/>
              <w:right w:w="57" w:type="dxa"/>
            </w:tcMar>
            <w:vAlign w:val="center"/>
            <w:hideMark/>
          </w:tcPr>
          <w:p w:rsidR="004F4CD1" w:rsidRPr="00E8450A" w:rsidRDefault="004F4CD1" w:rsidP="005742DB">
            <w:pPr>
              <w:pStyle w:val="paragraph"/>
              <w:spacing w:before="120" w:beforeAutospacing="0" w:after="120" w:afterAutospacing="0"/>
              <w:textAlignment w:val="baseline"/>
              <w:rPr>
                <w:rStyle w:val="normaltextrun"/>
                <w:b/>
                <w:bCs/>
                <w:noProof/>
                <w:color w:val="000000"/>
                <w:highlight w:val="lightGray"/>
              </w:rPr>
            </w:pPr>
            <w:r w:rsidRPr="00E8450A">
              <w:rPr>
                <w:rStyle w:val="normaltextrun"/>
                <w:b/>
                <w:noProof/>
                <w:color w:val="000000"/>
                <w:highlight w:val="lightGray"/>
              </w:rPr>
              <w:t>PM</w:t>
            </w:r>
            <w:r w:rsidRPr="00E8450A">
              <w:rPr>
                <w:rStyle w:val="normaltextrun"/>
                <w:b/>
                <w:noProof/>
                <w:color w:val="000000"/>
                <w:highlight w:val="lightGray"/>
                <w:vertAlign w:val="subscript"/>
              </w:rPr>
              <w:t>2,5</w:t>
            </w:r>
            <w:r w:rsidRPr="00E8450A">
              <w:rPr>
                <w:rStyle w:val="normaltextrun"/>
                <w:b/>
                <w:noProof/>
                <w:color w:val="000000"/>
                <w:highlight w:val="lightGray"/>
              </w:rPr>
              <w:t xml:space="preserve"> </w:t>
            </w:r>
          </w:p>
        </w:tc>
        <w:tc>
          <w:tcPr>
            <w:tcW w:w="1417" w:type="dxa"/>
            <w:tcMar>
              <w:left w:w="57" w:type="dxa"/>
              <w:right w:w="57" w:type="dxa"/>
            </w:tcMar>
            <w:vAlign w:val="center"/>
            <w:hideMark/>
          </w:tcPr>
          <w:p w:rsidR="004F4CD1" w:rsidRPr="00E8450A" w:rsidRDefault="004F4CD1" w:rsidP="00FC53B5">
            <w:pPr>
              <w:pStyle w:val="paragraph"/>
              <w:spacing w:before="120" w:beforeAutospacing="0" w:after="120" w:afterAutospacing="0"/>
              <w:textAlignment w:val="baseline"/>
              <w:rPr>
                <w:noProof/>
                <w:highlight w:val="lightGray"/>
              </w:rPr>
            </w:pPr>
            <w:r w:rsidRPr="00E8450A">
              <w:rPr>
                <w:rStyle w:val="normaltextrun"/>
                <w:noProof/>
                <w:highlight w:val="lightGray"/>
              </w:rPr>
              <w:t>3,0 µg/m</w:t>
            </w:r>
            <w:r w:rsidRPr="00E8450A">
              <w:rPr>
                <w:rStyle w:val="normaltextrun"/>
                <w:noProof/>
                <w:highlight w:val="lightGray"/>
                <w:vertAlign w:val="superscript"/>
              </w:rPr>
              <w:t>3</w:t>
            </w:r>
          </w:p>
        </w:tc>
        <w:tc>
          <w:tcPr>
            <w:tcW w:w="1191" w:type="dxa"/>
            <w:tcMar>
              <w:left w:w="57" w:type="dxa"/>
              <w:right w:w="57" w:type="dxa"/>
            </w:tcMar>
            <w:vAlign w:val="center"/>
            <w:hideMark/>
          </w:tcPr>
          <w:p w:rsidR="004F4CD1" w:rsidRPr="00E8450A" w:rsidRDefault="004F4CD1" w:rsidP="00FC53B5">
            <w:pPr>
              <w:pStyle w:val="paragraph"/>
              <w:spacing w:before="120" w:beforeAutospacing="0" w:after="120" w:afterAutospacing="0"/>
              <w:textAlignment w:val="baseline"/>
              <w:rPr>
                <w:noProof/>
                <w:highlight w:val="lightGray"/>
              </w:rPr>
            </w:pPr>
            <w:r w:rsidRPr="00E8450A">
              <w:rPr>
                <w:rStyle w:val="normaltextrun"/>
                <w:noProof/>
                <w:highlight w:val="lightGray"/>
              </w:rPr>
              <w:t>30 %</w:t>
            </w:r>
          </w:p>
        </w:tc>
        <w:tc>
          <w:tcPr>
            <w:tcW w:w="1369" w:type="dxa"/>
            <w:tcMar>
              <w:left w:w="57" w:type="dxa"/>
              <w:right w:w="57" w:type="dxa"/>
            </w:tcMar>
            <w:vAlign w:val="center"/>
            <w:hideMark/>
          </w:tcPr>
          <w:p w:rsidR="004F4CD1" w:rsidRPr="00E8450A" w:rsidRDefault="004F4CD1" w:rsidP="00FC53B5">
            <w:pPr>
              <w:pStyle w:val="paragraph"/>
              <w:spacing w:before="120" w:beforeAutospacing="0" w:after="120" w:afterAutospacing="0"/>
              <w:textAlignment w:val="baseline"/>
              <w:rPr>
                <w:noProof/>
                <w:highlight w:val="lightGray"/>
              </w:rPr>
            </w:pPr>
            <w:r w:rsidRPr="00E8450A">
              <w:rPr>
                <w:rStyle w:val="normaltextrun"/>
                <w:noProof/>
                <w:highlight w:val="lightGray"/>
              </w:rPr>
              <w:t>4,0 µg/m</w:t>
            </w:r>
            <w:r w:rsidRPr="00E8450A">
              <w:rPr>
                <w:rStyle w:val="normaltextrun"/>
                <w:noProof/>
                <w:highlight w:val="lightGray"/>
                <w:vertAlign w:val="superscript"/>
              </w:rPr>
              <w:t>3</w:t>
            </w:r>
          </w:p>
        </w:tc>
        <w:tc>
          <w:tcPr>
            <w:tcW w:w="1171" w:type="dxa"/>
            <w:tcMar>
              <w:left w:w="57" w:type="dxa"/>
              <w:right w:w="57" w:type="dxa"/>
            </w:tcMar>
            <w:vAlign w:val="center"/>
            <w:hideMark/>
          </w:tcPr>
          <w:p w:rsidR="004F4CD1" w:rsidRPr="00E8450A" w:rsidRDefault="004F4CD1" w:rsidP="00FC53B5">
            <w:pPr>
              <w:pStyle w:val="paragraph"/>
              <w:spacing w:before="120" w:beforeAutospacing="0" w:after="120" w:afterAutospacing="0"/>
              <w:textAlignment w:val="baseline"/>
              <w:rPr>
                <w:noProof/>
                <w:highlight w:val="lightGray"/>
              </w:rPr>
            </w:pPr>
            <w:r w:rsidRPr="00E8450A">
              <w:rPr>
                <w:rStyle w:val="normaltextrun"/>
                <w:noProof/>
                <w:highlight w:val="lightGray"/>
              </w:rPr>
              <w:t>40 %</w:t>
            </w:r>
          </w:p>
        </w:tc>
        <w:tc>
          <w:tcPr>
            <w:tcW w:w="2231" w:type="dxa"/>
            <w:tcMar>
              <w:left w:w="57" w:type="dxa"/>
              <w:right w:w="57" w:type="dxa"/>
            </w:tcMar>
            <w:hideMark/>
          </w:tcPr>
          <w:p w:rsidR="004F4CD1" w:rsidRPr="00E8450A" w:rsidRDefault="004F4CD1" w:rsidP="00FC53B5">
            <w:pPr>
              <w:pStyle w:val="paragraph"/>
              <w:spacing w:before="120" w:beforeAutospacing="0" w:after="120" w:afterAutospacing="0"/>
              <w:textAlignment w:val="baseline"/>
              <w:rPr>
                <w:noProof/>
                <w:highlight w:val="lightGray"/>
              </w:rPr>
            </w:pPr>
            <w:r w:rsidRPr="00E8450A">
              <w:rPr>
                <w:rStyle w:val="normaltextrun"/>
                <w:noProof/>
                <w:highlight w:val="lightGray"/>
              </w:rPr>
              <w:t>1,7</w:t>
            </w:r>
          </w:p>
        </w:tc>
      </w:tr>
      <w:tr w:rsidR="004F4CD1" w:rsidRPr="00E8450A" w:rsidTr="00FC53B5">
        <w:trPr>
          <w:trHeight w:val="300"/>
        </w:trPr>
        <w:tc>
          <w:tcPr>
            <w:tcW w:w="1928" w:type="dxa"/>
            <w:tcBorders>
              <w:left w:val="nil"/>
            </w:tcBorders>
            <w:tcMar>
              <w:left w:w="57" w:type="dxa"/>
              <w:right w:w="57" w:type="dxa"/>
            </w:tcMar>
            <w:vAlign w:val="center"/>
            <w:hideMark/>
          </w:tcPr>
          <w:p w:rsidR="004F4CD1" w:rsidRPr="00E8450A" w:rsidRDefault="004F4CD1" w:rsidP="005742DB">
            <w:pPr>
              <w:pStyle w:val="paragraph"/>
              <w:spacing w:before="120" w:beforeAutospacing="0" w:after="120" w:afterAutospacing="0"/>
              <w:textAlignment w:val="baseline"/>
              <w:rPr>
                <w:rStyle w:val="normaltextrun"/>
                <w:b/>
                <w:bCs/>
                <w:noProof/>
                <w:color w:val="000000"/>
                <w:highlight w:val="lightGray"/>
              </w:rPr>
            </w:pPr>
            <w:r w:rsidRPr="00E8450A">
              <w:rPr>
                <w:rStyle w:val="normaltextrun"/>
                <w:b/>
                <w:noProof/>
                <w:color w:val="000000"/>
                <w:highlight w:val="lightGray"/>
              </w:rPr>
              <w:t>PM</w:t>
            </w:r>
            <w:r w:rsidRPr="00E8450A">
              <w:rPr>
                <w:rStyle w:val="normaltextrun"/>
                <w:b/>
                <w:noProof/>
                <w:color w:val="000000"/>
                <w:highlight w:val="lightGray"/>
                <w:vertAlign w:val="subscript"/>
              </w:rPr>
              <w:t>10</w:t>
            </w:r>
            <w:r w:rsidRPr="00E8450A">
              <w:rPr>
                <w:rStyle w:val="normaltextrun"/>
                <w:b/>
                <w:noProof/>
                <w:color w:val="000000"/>
                <w:highlight w:val="lightGray"/>
              </w:rPr>
              <w:t xml:space="preserve"> </w:t>
            </w:r>
          </w:p>
        </w:tc>
        <w:tc>
          <w:tcPr>
            <w:tcW w:w="1417" w:type="dxa"/>
            <w:tcMar>
              <w:left w:w="57" w:type="dxa"/>
              <w:right w:w="57" w:type="dxa"/>
            </w:tcMar>
            <w:vAlign w:val="center"/>
            <w:hideMark/>
          </w:tcPr>
          <w:p w:rsidR="004F4CD1" w:rsidRPr="00E8450A" w:rsidRDefault="004F4CD1" w:rsidP="00FC53B5">
            <w:pPr>
              <w:pStyle w:val="paragraph"/>
              <w:spacing w:before="120" w:beforeAutospacing="0" w:after="120" w:afterAutospacing="0"/>
              <w:textAlignment w:val="baseline"/>
              <w:rPr>
                <w:noProof/>
                <w:highlight w:val="lightGray"/>
              </w:rPr>
            </w:pPr>
            <w:r w:rsidRPr="00E8450A">
              <w:rPr>
                <w:rStyle w:val="normaltextrun"/>
                <w:noProof/>
                <w:highlight w:val="lightGray"/>
              </w:rPr>
              <w:t>4,0 µg/m</w:t>
            </w:r>
            <w:r w:rsidRPr="00E8450A">
              <w:rPr>
                <w:rStyle w:val="normaltextrun"/>
                <w:noProof/>
                <w:highlight w:val="lightGray"/>
                <w:vertAlign w:val="superscript"/>
              </w:rPr>
              <w:t>3</w:t>
            </w:r>
          </w:p>
        </w:tc>
        <w:tc>
          <w:tcPr>
            <w:tcW w:w="1191" w:type="dxa"/>
            <w:tcMar>
              <w:left w:w="57" w:type="dxa"/>
              <w:right w:w="57" w:type="dxa"/>
            </w:tcMar>
            <w:vAlign w:val="center"/>
            <w:hideMark/>
          </w:tcPr>
          <w:p w:rsidR="004F4CD1" w:rsidRPr="00E8450A" w:rsidRDefault="004F4CD1" w:rsidP="00FC53B5">
            <w:pPr>
              <w:pStyle w:val="paragraph"/>
              <w:spacing w:before="120" w:beforeAutospacing="0" w:after="120" w:afterAutospacing="0"/>
              <w:textAlignment w:val="baseline"/>
              <w:rPr>
                <w:noProof/>
                <w:highlight w:val="lightGray"/>
              </w:rPr>
            </w:pPr>
            <w:r w:rsidRPr="00E8450A">
              <w:rPr>
                <w:rStyle w:val="normaltextrun"/>
                <w:noProof/>
                <w:highlight w:val="lightGray"/>
              </w:rPr>
              <w:t>20 %</w:t>
            </w:r>
          </w:p>
        </w:tc>
        <w:tc>
          <w:tcPr>
            <w:tcW w:w="1369" w:type="dxa"/>
            <w:tcMar>
              <w:left w:w="57" w:type="dxa"/>
              <w:right w:w="57" w:type="dxa"/>
            </w:tcMar>
            <w:vAlign w:val="center"/>
            <w:hideMark/>
          </w:tcPr>
          <w:p w:rsidR="004F4CD1" w:rsidRPr="00E8450A" w:rsidRDefault="004F4CD1" w:rsidP="00FC53B5">
            <w:pPr>
              <w:pStyle w:val="paragraph"/>
              <w:spacing w:before="120" w:beforeAutospacing="0" w:after="120" w:afterAutospacing="0"/>
              <w:textAlignment w:val="baseline"/>
              <w:rPr>
                <w:noProof/>
                <w:highlight w:val="lightGray"/>
              </w:rPr>
            </w:pPr>
            <w:r w:rsidRPr="00E8450A">
              <w:rPr>
                <w:rStyle w:val="normaltextrun"/>
                <w:noProof/>
                <w:highlight w:val="lightGray"/>
              </w:rPr>
              <w:t>6,0 µg/m</w:t>
            </w:r>
            <w:r w:rsidRPr="00E8450A">
              <w:rPr>
                <w:rStyle w:val="normaltextrun"/>
                <w:noProof/>
                <w:highlight w:val="lightGray"/>
                <w:vertAlign w:val="superscript"/>
              </w:rPr>
              <w:t>3</w:t>
            </w:r>
          </w:p>
        </w:tc>
        <w:tc>
          <w:tcPr>
            <w:tcW w:w="1171" w:type="dxa"/>
            <w:tcMar>
              <w:left w:w="57" w:type="dxa"/>
              <w:right w:w="57" w:type="dxa"/>
            </w:tcMar>
            <w:vAlign w:val="center"/>
            <w:hideMark/>
          </w:tcPr>
          <w:p w:rsidR="004F4CD1" w:rsidRPr="00E8450A" w:rsidRDefault="004F4CD1" w:rsidP="00FC53B5">
            <w:pPr>
              <w:pStyle w:val="paragraph"/>
              <w:spacing w:before="120" w:beforeAutospacing="0" w:after="120" w:afterAutospacing="0"/>
              <w:textAlignment w:val="baseline"/>
              <w:rPr>
                <w:noProof/>
                <w:highlight w:val="lightGray"/>
              </w:rPr>
            </w:pPr>
            <w:r w:rsidRPr="00E8450A">
              <w:rPr>
                <w:rStyle w:val="normaltextrun"/>
                <w:noProof/>
                <w:highlight w:val="lightGray"/>
              </w:rPr>
              <w:t>30 %</w:t>
            </w:r>
          </w:p>
        </w:tc>
        <w:tc>
          <w:tcPr>
            <w:tcW w:w="2231" w:type="dxa"/>
            <w:tcMar>
              <w:left w:w="57" w:type="dxa"/>
              <w:right w:w="57" w:type="dxa"/>
            </w:tcMar>
            <w:hideMark/>
          </w:tcPr>
          <w:p w:rsidR="004F4CD1" w:rsidRPr="00E8450A" w:rsidRDefault="004F4CD1" w:rsidP="00FC53B5">
            <w:pPr>
              <w:pStyle w:val="paragraph"/>
              <w:spacing w:before="120" w:beforeAutospacing="0" w:after="120" w:afterAutospacing="0"/>
              <w:textAlignment w:val="baseline"/>
              <w:rPr>
                <w:noProof/>
                <w:highlight w:val="lightGray"/>
              </w:rPr>
            </w:pPr>
            <w:r w:rsidRPr="00E8450A">
              <w:rPr>
                <w:rStyle w:val="normaltextrun"/>
                <w:noProof/>
                <w:highlight w:val="lightGray"/>
              </w:rPr>
              <w:t>1,3</w:t>
            </w:r>
          </w:p>
        </w:tc>
      </w:tr>
      <w:tr w:rsidR="004F4CD1" w:rsidRPr="00E8450A" w:rsidTr="00FC53B5">
        <w:trPr>
          <w:trHeight w:val="300"/>
        </w:trPr>
        <w:tc>
          <w:tcPr>
            <w:tcW w:w="1928" w:type="dxa"/>
            <w:tcBorders>
              <w:left w:val="nil"/>
            </w:tcBorders>
            <w:tcMar>
              <w:left w:w="57" w:type="dxa"/>
              <w:right w:w="57" w:type="dxa"/>
            </w:tcMar>
            <w:vAlign w:val="center"/>
            <w:hideMark/>
          </w:tcPr>
          <w:p w:rsidR="004F4CD1" w:rsidRPr="00E8450A" w:rsidRDefault="004F4CD1" w:rsidP="005742DB">
            <w:pPr>
              <w:pStyle w:val="paragraph"/>
              <w:spacing w:before="120" w:beforeAutospacing="0" w:after="120" w:afterAutospacing="0"/>
              <w:textAlignment w:val="baseline"/>
              <w:rPr>
                <w:b/>
                <w:bCs/>
                <w:noProof/>
                <w:highlight w:val="lightGray"/>
              </w:rPr>
            </w:pPr>
            <w:r w:rsidRPr="00E8450A">
              <w:rPr>
                <w:rStyle w:val="normaltextrun"/>
                <w:b/>
                <w:noProof/>
                <w:color w:val="000000"/>
                <w:highlight w:val="lightGray"/>
              </w:rPr>
              <w:t>NO</w:t>
            </w:r>
            <w:r w:rsidRPr="00E8450A">
              <w:rPr>
                <w:rStyle w:val="normaltextrun"/>
                <w:b/>
                <w:noProof/>
                <w:color w:val="000000"/>
                <w:highlight w:val="lightGray"/>
                <w:vertAlign w:val="subscript"/>
              </w:rPr>
              <w:t>2</w:t>
            </w:r>
            <w:r w:rsidRPr="00E8450A">
              <w:rPr>
                <w:rStyle w:val="normaltextrun"/>
                <w:b/>
                <w:noProof/>
                <w:color w:val="000000"/>
                <w:highlight w:val="lightGray"/>
              </w:rPr>
              <w:t>/NO</w:t>
            </w:r>
            <w:r w:rsidRPr="00E8450A">
              <w:rPr>
                <w:rStyle w:val="normaltextrun"/>
                <w:b/>
                <w:noProof/>
                <w:color w:val="000000"/>
                <w:highlight w:val="lightGray"/>
                <w:vertAlign w:val="subscript"/>
              </w:rPr>
              <w:t>x</w:t>
            </w:r>
          </w:p>
        </w:tc>
        <w:tc>
          <w:tcPr>
            <w:tcW w:w="1417" w:type="dxa"/>
            <w:tcMar>
              <w:left w:w="57" w:type="dxa"/>
              <w:right w:w="57" w:type="dxa"/>
            </w:tcMar>
            <w:vAlign w:val="center"/>
            <w:hideMark/>
          </w:tcPr>
          <w:p w:rsidR="004F4CD1" w:rsidRPr="00E8450A" w:rsidRDefault="004F4CD1" w:rsidP="00FC53B5">
            <w:pPr>
              <w:pStyle w:val="paragraph"/>
              <w:spacing w:before="120" w:beforeAutospacing="0" w:after="120" w:afterAutospacing="0"/>
              <w:textAlignment w:val="baseline"/>
              <w:rPr>
                <w:noProof/>
                <w:highlight w:val="lightGray"/>
              </w:rPr>
            </w:pPr>
            <w:r w:rsidRPr="00E8450A">
              <w:rPr>
                <w:rStyle w:val="normaltextrun"/>
                <w:noProof/>
                <w:highlight w:val="lightGray"/>
              </w:rPr>
              <w:t>6,0 µg/m</w:t>
            </w:r>
            <w:r w:rsidRPr="00E8450A">
              <w:rPr>
                <w:rStyle w:val="normaltextrun"/>
                <w:noProof/>
                <w:highlight w:val="lightGray"/>
                <w:vertAlign w:val="superscript"/>
              </w:rPr>
              <w:t>3</w:t>
            </w:r>
          </w:p>
        </w:tc>
        <w:tc>
          <w:tcPr>
            <w:tcW w:w="1191" w:type="dxa"/>
            <w:tcMar>
              <w:left w:w="57" w:type="dxa"/>
              <w:right w:w="57" w:type="dxa"/>
            </w:tcMar>
            <w:vAlign w:val="center"/>
            <w:hideMark/>
          </w:tcPr>
          <w:p w:rsidR="004F4CD1" w:rsidRPr="00E8450A" w:rsidRDefault="004F4CD1" w:rsidP="00FC53B5">
            <w:pPr>
              <w:pStyle w:val="paragraph"/>
              <w:spacing w:before="120" w:beforeAutospacing="0" w:after="120" w:afterAutospacing="0"/>
              <w:textAlignment w:val="baseline"/>
              <w:rPr>
                <w:noProof/>
                <w:highlight w:val="lightGray"/>
              </w:rPr>
            </w:pPr>
            <w:r w:rsidRPr="00E8450A">
              <w:rPr>
                <w:rStyle w:val="normaltextrun"/>
                <w:noProof/>
                <w:highlight w:val="lightGray"/>
              </w:rPr>
              <w:t>30 %</w:t>
            </w:r>
          </w:p>
        </w:tc>
        <w:tc>
          <w:tcPr>
            <w:tcW w:w="1369" w:type="dxa"/>
            <w:tcMar>
              <w:left w:w="57" w:type="dxa"/>
              <w:right w:w="57" w:type="dxa"/>
            </w:tcMar>
            <w:vAlign w:val="center"/>
            <w:hideMark/>
          </w:tcPr>
          <w:p w:rsidR="004F4CD1" w:rsidRPr="00E8450A" w:rsidRDefault="004F4CD1" w:rsidP="00FC53B5">
            <w:pPr>
              <w:pStyle w:val="paragraph"/>
              <w:spacing w:before="120" w:beforeAutospacing="0" w:after="120" w:afterAutospacing="0"/>
              <w:textAlignment w:val="baseline"/>
              <w:rPr>
                <w:noProof/>
                <w:highlight w:val="lightGray"/>
              </w:rPr>
            </w:pPr>
            <w:r w:rsidRPr="00E8450A">
              <w:rPr>
                <w:rStyle w:val="normaltextrun"/>
                <w:noProof/>
                <w:highlight w:val="lightGray"/>
              </w:rPr>
              <w:t>8,0 µg/m</w:t>
            </w:r>
            <w:r w:rsidRPr="00E8450A">
              <w:rPr>
                <w:rStyle w:val="normaltextrun"/>
                <w:noProof/>
                <w:highlight w:val="lightGray"/>
                <w:vertAlign w:val="superscript"/>
              </w:rPr>
              <w:t>3</w:t>
            </w:r>
          </w:p>
        </w:tc>
        <w:tc>
          <w:tcPr>
            <w:tcW w:w="1171" w:type="dxa"/>
            <w:tcMar>
              <w:left w:w="57" w:type="dxa"/>
              <w:right w:w="57" w:type="dxa"/>
            </w:tcMar>
            <w:vAlign w:val="center"/>
            <w:hideMark/>
          </w:tcPr>
          <w:p w:rsidR="004F4CD1" w:rsidRPr="00E8450A" w:rsidRDefault="004F4CD1" w:rsidP="00FC53B5">
            <w:pPr>
              <w:pStyle w:val="paragraph"/>
              <w:spacing w:before="120" w:beforeAutospacing="0" w:after="120" w:afterAutospacing="0"/>
              <w:textAlignment w:val="baseline"/>
              <w:rPr>
                <w:noProof/>
                <w:highlight w:val="lightGray"/>
              </w:rPr>
            </w:pPr>
            <w:r w:rsidRPr="00E8450A">
              <w:rPr>
                <w:rStyle w:val="normaltextrun"/>
                <w:noProof/>
                <w:highlight w:val="lightGray"/>
              </w:rPr>
              <w:t>40 %</w:t>
            </w:r>
          </w:p>
        </w:tc>
        <w:tc>
          <w:tcPr>
            <w:tcW w:w="2231" w:type="dxa"/>
            <w:tcMar>
              <w:left w:w="57" w:type="dxa"/>
              <w:right w:w="57" w:type="dxa"/>
            </w:tcMar>
            <w:hideMark/>
          </w:tcPr>
          <w:p w:rsidR="004F4CD1" w:rsidRPr="00E8450A" w:rsidRDefault="004F4CD1" w:rsidP="00FC53B5">
            <w:pPr>
              <w:pStyle w:val="paragraph"/>
              <w:spacing w:before="120" w:beforeAutospacing="0" w:after="120" w:afterAutospacing="0"/>
              <w:textAlignment w:val="baseline"/>
              <w:rPr>
                <w:noProof/>
                <w:highlight w:val="lightGray"/>
              </w:rPr>
            </w:pPr>
            <w:r w:rsidRPr="00E8450A">
              <w:rPr>
                <w:rStyle w:val="normaltextrun"/>
                <w:noProof/>
                <w:highlight w:val="lightGray"/>
              </w:rPr>
              <w:t>1,4</w:t>
            </w:r>
          </w:p>
        </w:tc>
      </w:tr>
      <w:tr w:rsidR="004F4CD1" w:rsidRPr="00E8450A" w:rsidTr="00FC53B5">
        <w:trPr>
          <w:trHeight w:val="300"/>
        </w:trPr>
        <w:tc>
          <w:tcPr>
            <w:tcW w:w="1928" w:type="dxa"/>
            <w:tcBorders>
              <w:left w:val="nil"/>
            </w:tcBorders>
            <w:tcMar>
              <w:left w:w="57" w:type="dxa"/>
              <w:right w:w="57" w:type="dxa"/>
            </w:tcMar>
            <w:vAlign w:val="center"/>
            <w:hideMark/>
          </w:tcPr>
          <w:p w:rsidR="004F4CD1" w:rsidRPr="00E8450A" w:rsidRDefault="004F4CD1" w:rsidP="005742DB">
            <w:pPr>
              <w:pStyle w:val="paragraph"/>
              <w:spacing w:before="120" w:beforeAutospacing="0" w:after="120" w:afterAutospacing="0"/>
              <w:textAlignment w:val="baseline"/>
              <w:rPr>
                <w:b/>
                <w:bCs/>
                <w:noProof/>
                <w:highlight w:val="lightGray"/>
              </w:rPr>
            </w:pPr>
            <w:r w:rsidRPr="00E8450A">
              <w:rPr>
                <w:rStyle w:val="normaltextrun"/>
                <w:b/>
                <w:noProof/>
                <w:color w:val="000000"/>
                <w:highlight w:val="lightGray"/>
              </w:rPr>
              <w:t xml:space="preserve">Benzén </w:t>
            </w:r>
          </w:p>
        </w:tc>
        <w:tc>
          <w:tcPr>
            <w:tcW w:w="1417" w:type="dxa"/>
            <w:tcMar>
              <w:left w:w="57" w:type="dxa"/>
              <w:right w:w="57" w:type="dxa"/>
            </w:tcMar>
            <w:vAlign w:val="center"/>
            <w:hideMark/>
          </w:tcPr>
          <w:p w:rsidR="004F4CD1" w:rsidRPr="00E8450A" w:rsidRDefault="004F4CD1" w:rsidP="00FC53B5">
            <w:pPr>
              <w:pStyle w:val="paragraph"/>
              <w:spacing w:before="120" w:beforeAutospacing="0" w:after="120" w:afterAutospacing="0"/>
              <w:textAlignment w:val="baseline"/>
              <w:rPr>
                <w:noProof/>
                <w:highlight w:val="lightGray"/>
              </w:rPr>
            </w:pPr>
            <w:r w:rsidRPr="00E8450A">
              <w:rPr>
                <w:rStyle w:val="normaltextrun"/>
                <w:noProof/>
                <w:highlight w:val="lightGray"/>
              </w:rPr>
              <w:t>0,75 µg/m</w:t>
            </w:r>
            <w:r w:rsidRPr="00E8450A">
              <w:rPr>
                <w:rStyle w:val="normaltextrun"/>
                <w:noProof/>
                <w:highlight w:val="lightGray"/>
                <w:vertAlign w:val="superscript"/>
              </w:rPr>
              <w:t>3</w:t>
            </w:r>
          </w:p>
        </w:tc>
        <w:tc>
          <w:tcPr>
            <w:tcW w:w="1191" w:type="dxa"/>
            <w:tcMar>
              <w:left w:w="57" w:type="dxa"/>
              <w:right w:w="57" w:type="dxa"/>
            </w:tcMar>
            <w:vAlign w:val="center"/>
            <w:hideMark/>
          </w:tcPr>
          <w:p w:rsidR="004F4CD1" w:rsidRPr="00E8450A" w:rsidRDefault="004F4CD1" w:rsidP="00FC53B5">
            <w:pPr>
              <w:pStyle w:val="paragraph"/>
              <w:spacing w:before="120" w:beforeAutospacing="0" w:after="120" w:afterAutospacing="0"/>
              <w:textAlignment w:val="baseline"/>
              <w:rPr>
                <w:noProof/>
                <w:highlight w:val="lightGray"/>
              </w:rPr>
            </w:pPr>
            <w:r w:rsidRPr="00E8450A">
              <w:rPr>
                <w:rStyle w:val="normaltextrun"/>
                <w:noProof/>
                <w:highlight w:val="lightGray"/>
              </w:rPr>
              <w:t>25 %</w:t>
            </w:r>
          </w:p>
        </w:tc>
        <w:tc>
          <w:tcPr>
            <w:tcW w:w="1369" w:type="dxa"/>
            <w:tcMar>
              <w:left w:w="57" w:type="dxa"/>
              <w:right w:w="57" w:type="dxa"/>
            </w:tcMar>
            <w:vAlign w:val="center"/>
            <w:hideMark/>
          </w:tcPr>
          <w:p w:rsidR="004F4CD1" w:rsidRPr="00E8450A" w:rsidRDefault="004F4CD1" w:rsidP="00FC53B5">
            <w:pPr>
              <w:pStyle w:val="paragraph"/>
              <w:spacing w:before="120" w:beforeAutospacing="0" w:after="120" w:afterAutospacing="0"/>
              <w:textAlignment w:val="baseline"/>
              <w:rPr>
                <w:noProof/>
                <w:highlight w:val="lightGray"/>
              </w:rPr>
            </w:pPr>
            <w:r w:rsidRPr="00E8450A">
              <w:rPr>
                <w:rStyle w:val="normaltextrun"/>
                <w:noProof/>
                <w:highlight w:val="lightGray"/>
              </w:rPr>
              <w:t>1,2 µg/m</w:t>
            </w:r>
            <w:r w:rsidRPr="00E8450A">
              <w:rPr>
                <w:rStyle w:val="normaltextrun"/>
                <w:noProof/>
                <w:highlight w:val="lightGray"/>
                <w:vertAlign w:val="superscript"/>
              </w:rPr>
              <w:t>3</w:t>
            </w:r>
          </w:p>
        </w:tc>
        <w:tc>
          <w:tcPr>
            <w:tcW w:w="1171" w:type="dxa"/>
            <w:tcMar>
              <w:left w:w="57" w:type="dxa"/>
              <w:right w:w="57" w:type="dxa"/>
            </w:tcMar>
            <w:vAlign w:val="center"/>
            <w:hideMark/>
          </w:tcPr>
          <w:p w:rsidR="004F4CD1" w:rsidRPr="00E8450A" w:rsidRDefault="004F4CD1" w:rsidP="00FC53B5">
            <w:pPr>
              <w:pStyle w:val="paragraph"/>
              <w:spacing w:before="120" w:beforeAutospacing="0" w:after="120" w:afterAutospacing="0"/>
              <w:textAlignment w:val="baseline"/>
              <w:rPr>
                <w:noProof/>
                <w:highlight w:val="lightGray"/>
              </w:rPr>
            </w:pPr>
            <w:r w:rsidRPr="00E8450A">
              <w:rPr>
                <w:rStyle w:val="normaltextrun"/>
                <w:noProof/>
                <w:highlight w:val="lightGray"/>
              </w:rPr>
              <w:t>35 %</w:t>
            </w:r>
          </w:p>
        </w:tc>
        <w:tc>
          <w:tcPr>
            <w:tcW w:w="2231" w:type="dxa"/>
            <w:tcMar>
              <w:left w:w="57" w:type="dxa"/>
              <w:right w:w="57" w:type="dxa"/>
            </w:tcMar>
            <w:hideMark/>
          </w:tcPr>
          <w:p w:rsidR="004F4CD1" w:rsidRPr="00E8450A" w:rsidRDefault="004F4CD1" w:rsidP="00FC53B5">
            <w:pPr>
              <w:pStyle w:val="paragraph"/>
              <w:spacing w:before="120" w:beforeAutospacing="0" w:after="120" w:afterAutospacing="0"/>
              <w:textAlignment w:val="baseline"/>
              <w:rPr>
                <w:noProof/>
                <w:highlight w:val="lightGray"/>
              </w:rPr>
            </w:pPr>
            <w:r w:rsidRPr="00E8450A">
              <w:rPr>
                <w:rStyle w:val="normaltextrun"/>
                <w:noProof/>
                <w:highlight w:val="lightGray"/>
              </w:rPr>
              <w:t>1,7</w:t>
            </w:r>
          </w:p>
        </w:tc>
      </w:tr>
      <w:tr w:rsidR="004F4CD1" w:rsidRPr="00E8450A" w:rsidTr="00FC53B5">
        <w:trPr>
          <w:trHeight w:val="300"/>
        </w:trPr>
        <w:tc>
          <w:tcPr>
            <w:tcW w:w="1928" w:type="dxa"/>
            <w:tcBorders>
              <w:left w:val="nil"/>
            </w:tcBorders>
            <w:tcMar>
              <w:left w:w="57" w:type="dxa"/>
              <w:right w:w="57" w:type="dxa"/>
            </w:tcMar>
            <w:vAlign w:val="center"/>
            <w:hideMark/>
          </w:tcPr>
          <w:p w:rsidR="004F4CD1" w:rsidRPr="00E8450A" w:rsidRDefault="004F4CD1" w:rsidP="005742DB">
            <w:pPr>
              <w:pStyle w:val="paragraph"/>
              <w:spacing w:before="120" w:beforeAutospacing="0" w:after="120" w:afterAutospacing="0"/>
              <w:textAlignment w:val="baseline"/>
              <w:rPr>
                <w:b/>
                <w:bCs/>
                <w:noProof/>
                <w:highlight w:val="lightGray"/>
              </w:rPr>
            </w:pPr>
            <w:r w:rsidRPr="00E8450A">
              <w:rPr>
                <w:rStyle w:val="normaltextrun"/>
                <w:b/>
                <w:noProof/>
                <w:color w:val="000000"/>
                <w:highlight w:val="lightGray"/>
              </w:rPr>
              <w:t xml:space="preserve">Olovo </w:t>
            </w:r>
          </w:p>
        </w:tc>
        <w:tc>
          <w:tcPr>
            <w:tcW w:w="1417" w:type="dxa"/>
            <w:tcMar>
              <w:left w:w="57" w:type="dxa"/>
              <w:right w:w="57" w:type="dxa"/>
            </w:tcMar>
            <w:vAlign w:val="center"/>
            <w:hideMark/>
          </w:tcPr>
          <w:p w:rsidR="004F4CD1" w:rsidRPr="00E8450A" w:rsidRDefault="004F4CD1" w:rsidP="00FC53B5">
            <w:pPr>
              <w:pStyle w:val="paragraph"/>
              <w:spacing w:before="120" w:beforeAutospacing="0" w:after="120" w:afterAutospacing="0"/>
              <w:textAlignment w:val="baseline"/>
              <w:rPr>
                <w:noProof/>
                <w:highlight w:val="lightGray"/>
              </w:rPr>
            </w:pPr>
            <w:r w:rsidRPr="00E8450A">
              <w:rPr>
                <w:rStyle w:val="normaltextrun"/>
                <w:noProof/>
                <w:highlight w:val="lightGray"/>
              </w:rPr>
              <w:t>0,125 µg/m</w:t>
            </w:r>
            <w:r w:rsidRPr="00E8450A">
              <w:rPr>
                <w:rStyle w:val="normaltextrun"/>
                <w:noProof/>
                <w:highlight w:val="lightGray"/>
                <w:vertAlign w:val="superscript"/>
              </w:rPr>
              <w:t>3</w:t>
            </w:r>
          </w:p>
        </w:tc>
        <w:tc>
          <w:tcPr>
            <w:tcW w:w="1191" w:type="dxa"/>
            <w:tcMar>
              <w:left w:w="57" w:type="dxa"/>
              <w:right w:w="57" w:type="dxa"/>
            </w:tcMar>
            <w:vAlign w:val="center"/>
            <w:hideMark/>
          </w:tcPr>
          <w:p w:rsidR="004F4CD1" w:rsidRPr="00E8450A" w:rsidRDefault="004F4CD1" w:rsidP="00FC53B5">
            <w:pPr>
              <w:pStyle w:val="paragraph"/>
              <w:spacing w:before="120" w:beforeAutospacing="0" w:after="120" w:afterAutospacing="0"/>
              <w:textAlignment w:val="baseline"/>
              <w:rPr>
                <w:noProof/>
                <w:highlight w:val="lightGray"/>
              </w:rPr>
            </w:pPr>
            <w:r w:rsidRPr="00E8450A">
              <w:rPr>
                <w:rStyle w:val="normaltextrun"/>
                <w:noProof/>
                <w:highlight w:val="lightGray"/>
              </w:rPr>
              <w:t>25 %</w:t>
            </w:r>
          </w:p>
        </w:tc>
        <w:tc>
          <w:tcPr>
            <w:tcW w:w="1369" w:type="dxa"/>
            <w:tcMar>
              <w:left w:w="57" w:type="dxa"/>
              <w:right w:w="57" w:type="dxa"/>
            </w:tcMar>
            <w:vAlign w:val="center"/>
            <w:hideMark/>
          </w:tcPr>
          <w:p w:rsidR="004F4CD1" w:rsidRPr="00E8450A" w:rsidRDefault="004F4CD1" w:rsidP="00FC53B5">
            <w:pPr>
              <w:pStyle w:val="paragraph"/>
              <w:spacing w:before="120" w:beforeAutospacing="0" w:after="120" w:afterAutospacing="0"/>
              <w:textAlignment w:val="baseline"/>
              <w:rPr>
                <w:noProof/>
                <w:highlight w:val="lightGray"/>
              </w:rPr>
            </w:pPr>
            <w:r w:rsidRPr="00E8450A">
              <w:rPr>
                <w:rStyle w:val="normaltextrun"/>
                <w:noProof/>
                <w:highlight w:val="lightGray"/>
              </w:rPr>
              <w:t>0,175 µg/m</w:t>
            </w:r>
            <w:r w:rsidRPr="00E8450A">
              <w:rPr>
                <w:rStyle w:val="normaltextrun"/>
                <w:noProof/>
                <w:highlight w:val="lightGray"/>
                <w:vertAlign w:val="superscript"/>
              </w:rPr>
              <w:t>3</w:t>
            </w:r>
          </w:p>
        </w:tc>
        <w:tc>
          <w:tcPr>
            <w:tcW w:w="1171" w:type="dxa"/>
            <w:tcMar>
              <w:left w:w="57" w:type="dxa"/>
              <w:right w:w="57" w:type="dxa"/>
            </w:tcMar>
            <w:vAlign w:val="center"/>
            <w:hideMark/>
          </w:tcPr>
          <w:p w:rsidR="004F4CD1" w:rsidRPr="00E8450A" w:rsidRDefault="004F4CD1" w:rsidP="00FC53B5">
            <w:pPr>
              <w:pStyle w:val="paragraph"/>
              <w:spacing w:before="120" w:beforeAutospacing="0" w:after="120" w:afterAutospacing="0"/>
              <w:textAlignment w:val="baseline"/>
              <w:rPr>
                <w:noProof/>
                <w:highlight w:val="lightGray"/>
              </w:rPr>
            </w:pPr>
            <w:r w:rsidRPr="00E8450A">
              <w:rPr>
                <w:rStyle w:val="normaltextrun"/>
                <w:noProof/>
                <w:highlight w:val="lightGray"/>
              </w:rPr>
              <w:t>35 %</w:t>
            </w:r>
          </w:p>
        </w:tc>
        <w:tc>
          <w:tcPr>
            <w:tcW w:w="2231" w:type="dxa"/>
            <w:tcMar>
              <w:left w:w="57" w:type="dxa"/>
              <w:right w:w="57" w:type="dxa"/>
            </w:tcMar>
            <w:hideMark/>
          </w:tcPr>
          <w:p w:rsidR="004F4CD1" w:rsidRPr="00E8450A" w:rsidRDefault="004F4CD1" w:rsidP="00FC53B5">
            <w:pPr>
              <w:pStyle w:val="paragraph"/>
              <w:spacing w:before="120" w:beforeAutospacing="0" w:after="120" w:afterAutospacing="0"/>
              <w:textAlignment w:val="baseline"/>
              <w:rPr>
                <w:noProof/>
                <w:highlight w:val="lightGray"/>
              </w:rPr>
            </w:pPr>
            <w:r w:rsidRPr="00E8450A">
              <w:rPr>
                <w:rStyle w:val="normaltextrun"/>
                <w:noProof/>
                <w:highlight w:val="lightGray"/>
              </w:rPr>
              <w:t>1,7</w:t>
            </w:r>
          </w:p>
        </w:tc>
      </w:tr>
      <w:tr w:rsidR="004F4CD1" w:rsidRPr="00E8450A" w:rsidTr="00FC53B5">
        <w:trPr>
          <w:trHeight w:val="300"/>
        </w:trPr>
        <w:tc>
          <w:tcPr>
            <w:tcW w:w="1928" w:type="dxa"/>
            <w:tcBorders>
              <w:left w:val="nil"/>
            </w:tcBorders>
            <w:tcMar>
              <w:left w:w="57" w:type="dxa"/>
              <w:right w:w="57" w:type="dxa"/>
            </w:tcMar>
            <w:vAlign w:val="center"/>
            <w:hideMark/>
          </w:tcPr>
          <w:p w:rsidR="004F4CD1" w:rsidRPr="00E8450A" w:rsidRDefault="004F4CD1" w:rsidP="005742DB">
            <w:pPr>
              <w:pStyle w:val="paragraph"/>
              <w:spacing w:before="120" w:beforeAutospacing="0" w:after="120" w:afterAutospacing="0"/>
              <w:textAlignment w:val="baseline"/>
              <w:rPr>
                <w:b/>
                <w:bCs/>
                <w:noProof/>
                <w:highlight w:val="lightGray"/>
              </w:rPr>
            </w:pPr>
            <w:r w:rsidRPr="00E8450A">
              <w:rPr>
                <w:rStyle w:val="normaltextrun"/>
                <w:b/>
                <w:noProof/>
                <w:color w:val="000000"/>
                <w:highlight w:val="lightGray"/>
              </w:rPr>
              <w:t xml:space="preserve">Arzén </w:t>
            </w:r>
          </w:p>
        </w:tc>
        <w:tc>
          <w:tcPr>
            <w:tcW w:w="1417" w:type="dxa"/>
            <w:tcMar>
              <w:left w:w="57" w:type="dxa"/>
              <w:right w:w="57" w:type="dxa"/>
            </w:tcMar>
            <w:vAlign w:val="center"/>
            <w:hideMark/>
          </w:tcPr>
          <w:p w:rsidR="004F4CD1" w:rsidRPr="00E8450A" w:rsidRDefault="004F4CD1" w:rsidP="00FC53B5">
            <w:pPr>
              <w:pStyle w:val="paragraph"/>
              <w:spacing w:before="120" w:beforeAutospacing="0" w:after="120" w:afterAutospacing="0"/>
              <w:textAlignment w:val="baseline"/>
              <w:rPr>
                <w:noProof/>
                <w:highlight w:val="lightGray"/>
              </w:rPr>
            </w:pPr>
            <w:r w:rsidRPr="00E8450A">
              <w:rPr>
                <w:rStyle w:val="normaltextrun"/>
                <w:noProof/>
                <w:highlight w:val="lightGray"/>
              </w:rPr>
              <w:t>2,4 ng/m</w:t>
            </w:r>
            <w:r w:rsidRPr="00E8450A">
              <w:rPr>
                <w:rStyle w:val="normaltextrun"/>
                <w:noProof/>
                <w:highlight w:val="lightGray"/>
                <w:vertAlign w:val="superscript"/>
              </w:rPr>
              <w:t>3</w:t>
            </w:r>
          </w:p>
        </w:tc>
        <w:tc>
          <w:tcPr>
            <w:tcW w:w="1191" w:type="dxa"/>
            <w:tcMar>
              <w:left w:w="57" w:type="dxa"/>
              <w:right w:w="57" w:type="dxa"/>
            </w:tcMar>
            <w:vAlign w:val="center"/>
            <w:hideMark/>
          </w:tcPr>
          <w:p w:rsidR="004F4CD1" w:rsidRPr="00E8450A" w:rsidRDefault="004F4CD1" w:rsidP="00FC53B5">
            <w:pPr>
              <w:pStyle w:val="paragraph"/>
              <w:spacing w:before="120" w:beforeAutospacing="0" w:after="120" w:afterAutospacing="0"/>
              <w:textAlignment w:val="baseline"/>
              <w:rPr>
                <w:noProof/>
                <w:highlight w:val="lightGray"/>
              </w:rPr>
            </w:pPr>
            <w:r w:rsidRPr="00E8450A">
              <w:rPr>
                <w:rStyle w:val="normaltextrun"/>
                <w:noProof/>
                <w:highlight w:val="lightGray"/>
              </w:rPr>
              <w:t>40 %</w:t>
            </w:r>
          </w:p>
        </w:tc>
        <w:tc>
          <w:tcPr>
            <w:tcW w:w="1369" w:type="dxa"/>
            <w:tcMar>
              <w:left w:w="57" w:type="dxa"/>
              <w:right w:w="57" w:type="dxa"/>
            </w:tcMar>
            <w:vAlign w:val="center"/>
            <w:hideMark/>
          </w:tcPr>
          <w:p w:rsidR="004F4CD1" w:rsidRPr="00E8450A" w:rsidRDefault="004F4CD1" w:rsidP="00FC53B5">
            <w:pPr>
              <w:pStyle w:val="paragraph"/>
              <w:spacing w:before="120" w:beforeAutospacing="0" w:after="120" w:afterAutospacing="0"/>
              <w:textAlignment w:val="baseline"/>
              <w:rPr>
                <w:noProof/>
                <w:highlight w:val="lightGray"/>
              </w:rPr>
            </w:pPr>
            <w:r w:rsidRPr="00E8450A">
              <w:rPr>
                <w:rStyle w:val="normaltextrun"/>
                <w:noProof/>
                <w:highlight w:val="lightGray"/>
              </w:rPr>
              <w:t>3,0 ng/m</w:t>
            </w:r>
            <w:r w:rsidRPr="00E8450A">
              <w:rPr>
                <w:rStyle w:val="normaltextrun"/>
                <w:noProof/>
                <w:highlight w:val="lightGray"/>
                <w:vertAlign w:val="superscript"/>
              </w:rPr>
              <w:t>3</w:t>
            </w:r>
          </w:p>
        </w:tc>
        <w:tc>
          <w:tcPr>
            <w:tcW w:w="1171" w:type="dxa"/>
            <w:tcMar>
              <w:left w:w="57" w:type="dxa"/>
              <w:right w:w="57" w:type="dxa"/>
            </w:tcMar>
            <w:vAlign w:val="center"/>
            <w:hideMark/>
          </w:tcPr>
          <w:p w:rsidR="004F4CD1" w:rsidRPr="00E8450A" w:rsidRDefault="004F4CD1" w:rsidP="00FC53B5">
            <w:pPr>
              <w:pStyle w:val="paragraph"/>
              <w:spacing w:before="120" w:beforeAutospacing="0" w:after="120" w:afterAutospacing="0"/>
              <w:textAlignment w:val="baseline"/>
              <w:rPr>
                <w:noProof/>
                <w:highlight w:val="lightGray"/>
              </w:rPr>
            </w:pPr>
            <w:r w:rsidRPr="00E8450A">
              <w:rPr>
                <w:rStyle w:val="normaltextrun"/>
                <w:noProof/>
                <w:highlight w:val="lightGray"/>
              </w:rPr>
              <w:t>50 %</w:t>
            </w:r>
          </w:p>
        </w:tc>
        <w:tc>
          <w:tcPr>
            <w:tcW w:w="2231" w:type="dxa"/>
            <w:tcMar>
              <w:left w:w="57" w:type="dxa"/>
              <w:right w:w="57" w:type="dxa"/>
            </w:tcMar>
            <w:hideMark/>
          </w:tcPr>
          <w:p w:rsidR="004F4CD1" w:rsidRPr="00E8450A" w:rsidRDefault="004F4CD1" w:rsidP="00FC53B5">
            <w:pPr>
              <w:pStyle w:val="paragraph"/>
              <w:spacing w:before="120" w:beforeAutospacing="0" w:after="120" w:afterAutospacing="0"/>
              <w:textAlignment w:val="baseline"/>
              <w:rPr>
                <w:noProof/>
                <w:highlight w:val="lightGray"/>
              </w:rPr>
            </w:pPr>
            <w:r w:rsidRPr="00E8450A">
              <w:rPr>
                <w:rStyle w:val="normaltextrun"/>
                <w:noProof/>
                <w:highlight w:val="lightGray"/>
              </w:rPr>
              <w:t>1,1</w:t>
            </w:r>
          </w:p>
        </w:tc>
      </w:tr>
      <w:tr w:rsidR="004F4CD1" w:rsidRPr="00E8450A" w:rsidTr="00FC53B5">
        <w:trPr>
          <w:trHeight w:val="300"/>
        </w:trPr>
        <w:tc>
          <w:tcPr>
            <w:tcW w:w="1928" w:type="dxa"/>
            <w:tcBorders>
              <w:left w:val="nil"/>
            </w:tcBorders>
            <w:tcMar>
              <w:left w:w="57" w:type="dxa"/>
              <w:right w:w="57" w:type="dxa"/>
            </w:tcMar>
            <w:vAlign w:val="center"/>
            <w:hideMark/>
          </w:tcPr>
          <w:p w:rsidR="004F4CD1" w:rsidRPr="00E8450A" w:rsidRDefault="004F4CD1" w:rsidP="005742DB">
            <w:pPr>
              <w:pStyle w:val="paragraph"/>
              <w:spacing w:before="120" w:beforeAutospacing="0" w:after="120" w:afterAutospacing="0"/>
              <w:textAlignment w:val="baseline"/>
              <w:rPr>
                <w:b/>
                <w:bCs/>
                <w:noProof/>
                <w:highlight w:val="lightGray"/>
              </w:rPr>
            </w:pPr>
            <w:r w:rsidRPr="00E8450A">
              <w:rPr>
                <w:rStyle w:val="normaltextrun"/>
                <w:b/>
                <w:noProof/>
                <w:color w:val="000000"/>
                <w:highlight w:val="lightGray"/>
              </w:rPr>
              <w:t xml:space="preserve">Kadmium </w:t>
            </w:r>
          </w:p>
        </w:tc>
        <w:tc>
          <w:tcPr>
            <w:tcW w:w="1417" w:type="dxa"/>
            <w:tcMar>
              <w:left w:w="57" w:type="dxa"/>
              <w:right w:w="57" w:type="dxa"/>
            </w:tcMar>
            <w:vAlign w:val="center"/>
            <w:hideMark/>
          </w:tcPr>
          <w:p w:rsidR="004F4CD1" w:rsidRPr="00E8450A" w:rsidRDefault="004F4CD1" w:rsidP="00FC53B5">
            <w:pPr>
              <w:pStyle w:val="paragraph"/>
              <w:spacing w:before="120" w:beforeAutospacing="0" w:after="120" w:afterAutospacing="0"/>
              <w:textAlignment w:val="baseline"/>
              <w:rPr>
                <w:noProof/>
                <w:highlight w:val="lightGray"/>
              </w:rPr>
            </w:pPr>
            <w:r w:rsidRPr="00E8450A">
              <w:rPr>
                <w:rStyle w:val="normaltextrun"/>
                <w:noProof/>
                <w:highlight w:val="lightGray"/>
              </w:rPr>
              <w:t>2,0 ng/m</w:t>
            </w:r>
            <w:r w:rsidRPr="00E8450A">
              <w:rPr>
                <w:rStyle w:val="normaltextrun"/>
                <w:noProof/>
                <w:highlight w:val="lightGray"/>
                <w:vertAlign w:val="superscript"/>
              </w:rPr>
              <w:t>3</w:t>
            </w:r>
          </w:p>
        </w:tc>
        <w:tc>
          <w:tcPr>
            <w:tcW w:w="1191" w:type="dxa"/>
            <w:tcMar>
              <w:left w:w="57" w:type="dxa"/>
              <w:right w:w="57" w:type="dxa"/>
            </w:tcMar>
            <w:vAlign w:val="center"/>
            <w:hideMark/>
          </w:tcPr>
          <w:p w:rsidR="004F4CD1" w:rsidRPr="00E8450A" w:rsidRDefault="004F4CD1" w:rsidP="00FC53B5">
            <w:pPr>
              <w:pStyle w:val="paragraph"/>
              <w:spacing w:before="120" w:beforeAutospacing="0" w:after="120" w:afterAutospacing="0"/>
              <w:textAlignment w:val="baseline"/>
              <w:rPr>
                <w:noProof/>
                <w:highlight w:val="lightGray"/>
              </w:rPr>
            </w:pPr>
            <w:r w:rsidRPr="00E8450A">
              <w:rPr>
                <w:rStyle w:val="normaltextrun"/>
                <w:noProof/>
                <w:highlight w:val="lightGray"/>
              </w:rPr>
              <w:t>40 %</w:t>
            </w:r>
          </w:p>
        </w:tc>
        <w:tc>
          <w:tcPr>
            <w:tcW w:w="1369" w:type="dxa"/>
            <w:tcMar>
              <w:left w:w="57" w:type="dxa"/>
              <w:right w:w="57" w:type="dxa"/>
            </w:tcMar>
            <w:vAlign w:val="center"/>
            <w:hideMark/>
          </w:tcPr>
          <w:p w:rsidR="004F4CD1" w:rsidRPr="00E8450A" w:rsidRDefault="004F4CD1" w:rsidP="00FC53B5">
            <w:pPr>
              <w:pStyle w:val="paragraph"/>
              <w:spacing w:before="120" w:beforeAutospacing="0" w:after="120" w:afterAutospacing="0"/>
              <w:textAlignment w:val="baseline"/>
              <w:rPr>
                <w:noProof/>
                <w:highlight w:val="lightGray"/>
              </w:rPr>
            </w:pPr>
            <w:r w:rsidRPr="00E8450A">
              <w:rPr>
                <w:rStyle w:val="normaltextrun"/>
                <w:noProof/>
                <w:highlight w:val="lightGray"/>
              </w:rPr>
              <w:t>2,5 ng/m</w:t>
            </w:r>
            <w:r w:rsidRPr="00E8450A">
              <w:rPr>
                <w:rStyle w:val="normaltextrun"/>
                <w:noProof/>
                <w:highlight w:val="lightGray"/>
                <w:vertAlign w:val="superscript"/>
              </w:rPr>
              <w:t>3</w:t>
            </w:r>
          </w:p>
        </w:tc>
        <w:tc>
          <w:tcPr>
            <w:tcW w:w="1171" w:type="dxa"/>
            <w:tcMar>
              <w:left w:w="57" w:type="dxa"/>
              <w:right w:w="57" w:type="dxa"/>
            </w:tcMar>
            <w:vAlign w:val="center"/>
            <w:hideMark/>
          </w:tcPr>
          <w:p w:rsidR="004F4CD1" w:rsidRPr="00E8450A" w:rsidRDefault="004F4CD1" w:rsidP="00FC53B5">
            <w:pPr>
              <w:pStyle w:val="paragraph"/>
              <w:spacing w:before="120" w:beforeAutospacing="0" w:after="120" w:afterAutospacing="0"/>
              <w:textAlignment w:val="baseline"/>
              <w:rPr>
                <w:noProof/>
                <w:highlight w:val="lightGray"/>
              </w:rPr>
            </w:pPr>
            <w:r w:rsidRPr="00E8450A">
              <w:rPr>
                <w:rStyle w:val="normaltextrun"/>
                <w:noProof/>
                <w:highlight w:val="lightGray"/>
              </w:rPr>
              <w:t>50 %</w:t>
            </w:r>
          </w:p>
        </w:tc>
        <w:tc>
          <w:tcPr>
            <w:tcW w:w="2231" w:type="dxa"/>
            <w:tcMar>
              <w:left w:w="57" w:type="dxa"/>
              <w:right w:w="57" w:type="dxa"/>
            </w:tcMar>
            <w:hideMark/>
          </w:tcPr>
          <w:p w:rsidR="004F4CD1" w:rsidRPr="00E8450A" w:rsidRDefault="004F4CD1" w:rsidP="00FC53B5">
            <w:pPr>
              <w:pStyle w:val="paragraph"/>
              <w:spacing w:before="120" w:beforeAutospacing="0" w:after="120" w:afterAutospacing="0"/>
              <w:textAlignment w:val="baseline"/>
              <w:rPr>
                <w:noProof/>
                <w:highlight w:val="lightGray"/>
              </w:rPr>
            </w:pPr>
            <w:r w:rsidRPr="00E8450A">
              <w:rPr>
                <w:rStyle w:val="normaltextrun"/>
                <w:noProof/>
                <w:highlight w:val="lightGray"/>
              </w:rPr>
              <w:t>1,1</w:t>
            </w:r>
          </w:p>
        </w:tc>
      </w:tr>
      <w:tr w:rsidR="004F4CD1" w:rsidRPr="00E8450A" w:rsidTr="00FC53B5">
        <w:trPr>
          <w:trHeight w:val="300"/>
        </w:trPr>
        <w:tc>
          <w:tcPr>
            <w:tcW w:w="1928" w:type="dxa"/>
            <w:tcBorders>
              <w:left w:val="nil"/>
            </w:tcBorders>
            <w:tcMar>
              <w:left w:w="57" w:type="dxa"/>
              <w:right w:w="57" w:type="dxa"/>
            </w:tcMar>
            <w:vAlign w:val="center"/>
            <w:hideMark/>
          </w:tcPr>
          <w:p w:rsidR="004F4CD1" w:rsidRPr="00E8450A" w:rsidRDefault="004F4CD1" w:rsidP="005742DB">
            <w:pPr>
              <w:pStyle w:val="paragraph"/>
              <w:spacing w:before="120" w:beforeAutospacing="0" w:after="120" w:afterAutospacing="0"/>
              <w:textAlignment w:val="baseline"/>
              <w:rPr>
                <w:b/>
                <w:bCs/>
                <w:noProof/>
                <w:highlight w:val="lightGray"/>
              </w:rPr>
            </w:pPr>
            <w:r w:rsidRPr="00E8450A">
              <w:rPr>
                <w:rStyle w:val="normaltextrun"/>
                <w:b/>
                <w:noProof/>
                <w:color w:val="000000"/>
                <w:highlight w:val="lightGray"/>
              </w:rPr>
              <w:t xml:space="preserve">Nikel </w:t>
            </w:r>
          </w:p>
        </w:tc>
        <w:tc>
          <w:tcPr>
            <w:tcW w:w="1417" w:type="dxa"/>
            <w:tcMar>
              <w:left w:w="57" w:type="dxa"/>
              <w:right w:w="57" w:type="dxa"/>
            </w:tcMar>
            <w:vAlign w:val="center"/>
            <w:hideMark/>
          </w:tcPr>
          <w:p w:rsidR="004F4CD1" w:rsidRPr="00E8450A" w:rsidRDefault="004F4CD1" w:rsidP="00FC53B5">
            <w:pPr>
              <w:pStyle w:val="paragraph"/>
              <w:spacing w:before="120" w:beforeAutospacing="0" w:after="120" w:afterAutospacing="0"/>
              <w:textAlignment w:val="baseline"/>
              <w:rPr>
                <w:noProof/>
                <w:highlight w:val="lightGray"/>
              </w:rPr>
            </w:pPr>
            <w:r w:rsidRPr="00E8450A">
              <w:rPr>
                <w:rStyle w:val="normaltextrun"/>
                <w:noProof/>
                <w:highlight w:val="lightGray"/>
              </w:rPr>
              <w:t>8,0 ng/m</w:t>
            </w:r>
            <w:r w:rsidRPr="00E8450A">
              <w:rPr>
                <w:rStyle w:val="normaltextrun"/>
                <w:noProof/>
                <w:highlight w:val="lightGray"/>
                <w:vertAlign w:val="superscript"/>
              </w:rPr>
              <w:t>3</w:t>
            </w:r>
          </w:p>
        </w:tc>
        <w:tc>
          <w:tcPr>
            <w:tcW w:w="1191" w:type="dxa"/>
            <w:tcMar>
              <w:left w:w="57" w:type="dxa"/>
              <w:right w:w="57" w:type="dxa"/>
            </w:tcMar>
            <w:vAlign w:val="center"/>
            <w:hideMark/>
          </w:tcPr>
          <w:p w:rsidR="004F4CD1" w:rsidRPr="00E8450A" w:rsidRDefault="004F4CD1" w:rsidP="00FC53B5">
            <w:pPr>
              <w:pStyle w:val="paragraph"/>
              <w:spacing w:before="120" w:beforeAutospacing="0" w:after="120" w:afterAutospacing="0"/>
              <w:textAlignment w:val="baseline"/>
              <w:rPr>
                <w:noProof/>
                <w:highlight w:val="lightGray"/>
              </w:rPr>
            </w:pPr>
            <w:r w:rsidRPr="00E8450A">
              <w:rPr>
                <w:rStyle w:val="normaltextrun"/>
                <w:noProof/>
                <w:highlight w:val="lightGray"/>
              </w:rPr>
              <w:t>40 %</w:t>
            </w:r>
          </w:p>
        </w:tc>
        <w:tc>
          <w:tcPr>
            <w:tcW w:w="1369" w:type="dxa"/>
            <w:tcMar>
              <w:left w:w="57" w:type="dxa"/>
              <w:right w:w="57" w:type="dxa"/>
            </w:tcMar>
            <w:vAlign w:val="center"/>
            <w:hideMark/>
          </w:tcPr>
          <w:p w:rsidR="004F4CD1" w:rsidRPr="00E8450A" w:rsidRDefault="004F4CD1" w:rsidP="00FC53B5">
            <w:pPr>
              <w:pStyle w:val="paragraph"/>
              <w:spacing w:before="120" w:beforeAutospacing="0" w:after="120" w:afterAutospacing="0"/>
              <w:textAlignment w:val="baseline"/>
              <w:rPr>
                <w:noProof/>
                <w:highlight w:val="lightGray"/>
              </w:rPr>
            </w:pPr>
            <w:r w:rsidRPr="00E8450A">
              <w:rPr>
                <w:rStyle w:val="normaltextrun"/>
                <w:noProof/>
                <w:highlight w:val="lightGray"/>
              </w:rPr>
              <w:t>10,0 ng/m</w:t>
            </w:r>
            <w:r w:rsidRPr="00E8450A">
              <w:rPr>
                <w:rStyle w:val="normaltextrun"/>
                <w:noProof/>
                <w:highlight w:val="lightGray"/>
                <w:vertAlign w:val="superscript"/>
              </w:rPr>
              <w:t>3</w:t>
            </w:r>
          </w:p>
        </w:tc>
        <w:tc>
          <w:tcPr>
            <w:tcW w:w="1171" w:type="dxa"/>
            <w:tcMar>
              <w:left w:w="57" w:type="dxa"/>
              <w:right w:w="57" w:type="dxa"/>
            </w:tcMar>
            <w:vAlign w:val="center"/>
            <w:hideMark/>
          </w:tcPr>
          <w:p w:rsidR="004F4CD1" w:rsidRPr="00E8450A" w:rsidRDefault="004F4CD1" w:rsidP="00FC53B5">
            <w:pPr>
              <w:pStyle w:val="paragraph"/>
              <w:spacing w:before="120" w:beforeAutospacing="0" w:after="120" w:afterAutospacing="0"/>
              <w:textAlignment w:val="baseline"/>
              <w:rPr>
                <w:noProof/>
                <w:highlight w:val="lightGray"/>
              </w:rPr>
            </w:pPr>
            <w:r w:rsidRPr="00E8450A">
              <w:rPr>
                <w:rStyle w:val="normaltextrun"/>
                <w:noProof/>
                <w:highlight w:val="lightGray"/>
              </w:rPr>
              <w:t>50 %</w:t>
            </w:r>
          </w:p>
        </w:tc>
        <w:tc>
          <w:tcPr>
            <w:tcW w:w="2231" w:type="dxa"/>
            <w:tcMar>
              <w:left w:w="57" w:type="dxa"/>
              <w:right w:w="57" w:type="dxa"/>
            </w:tcMar>
            <w:hideMark/>
          </w:tcPr>
          <w:p w:rsidR="004F4CD1" w:rsidRPr="00E8450A" w:rsidRDefault="004F4CD1" w:rsidP="00FC53B5">
            <w:pPr>
              <w:pStyle w:val="paragraph"/>
              <w:spacing w:before="120" w:beforeAutospacing="0" w:after="120" w:afterAutospacing="0"/>
              <w:textAlignment w:val="baseline"/>
              <w:rPr>
                <w:noProof/>
                <w:highlight w:val="lightGray"/>
              </w:rPr>
            </w:pPr>
            <w:r w:rsidRPr="00E8450A">
              <w:rPr>
                <w:rStyle w:val="normaltextrun"/>
                <w:noProof/>
                <w:highlight w:val="lightGray"/>
              </w:rPr>
              <w:t>1,1</w:t>
            </w:r>
          </w:p>
        </w:tc>
      </w:tr>
      <w:tr w:rsidR="004F4CD1" w:rsidRPr="00E8450A" w:rsidTr="00FC53B5">
        <w:trPr>
          <w:trHeight w:val="300"/>
        </w:trPr>
        <w:tc>
          <w:tcPr>
            <w:tcW w:w="1928" w:type="dxa"/>
            <w:tcBorders>
              <w:left w:val="nil"/>
            </w:tcBorders>
            <w:tcMar>
              <w:left w:w="57" w:type="dxa"/>
              <w:right w:w="57" w:type="dxa"/>
            </w:tcMar>
            <w:vAlign w:val="center"/>
            <w:hideMark/>
          </w:tcPr>
          <w:p w:rsidR="004F4CD1" w:rsidRPr="00E8450A" w:rsidRDefault="004F4CD1" w:rsidP="005742DB">
            <w:pPr>
              <w:pStyle w:val="paragraph"/>
              <w:spacing w:before="120" w:beforeAutospacing="0" w:after="120" w:afterAutospacing="0"/>
              <w:textAlignment w:val="baseline"/>
              <w:rPr>
                <w:b/>
                <w:bCs/>
                <w:noProof/>
                <w:highlight w:val="lightGray"/>
              </w:rPr>
            </w:pPr>
            <w:r w:rsidRPr="00E8450A">
              <w:rPr>
                <w:rStyle w:val="normaltextrun"/>
                <w:b/>
                <w:noProof/>
                <w:color w:val="000000"/>
                <w:highlight w:val="lightGray"/>
              </w:rPr>
              <w:t xml:space="preserve">Benzo[a]pyrén </w:t>
            </w:r>
          </w:p>
        </w:tc>
        <w:tc>
          <w:tcPr>
            <w:tcW w:w="1417" w:type="dxa"/>
            <w:tcMar>
              <w:left w:w="57" w:type="dxa"/>
              <w:right w:w="57" w:type="dxa"/>
            </w:tcMar>
            <w:vAlign w:val="center"/>
            <w:hideMark/>
          </w:tcPr>
          <w:p w:rsidR="004F4CD1" w:rsidRPr="00E8450A" w:rsidRDefault="004F4CD1" w:rsidP="00FC53B5">
            <w:pPr>
              <w:pStyle w:val="paragraph"/>
              <w:spacing w:before="120" w:beforeAutospacing="0" w:after="120" w:afterAutospacing="0"/>
              <w:textAlignment w:val="baseline"/>
              <w:rPr>
                <w:noProof/>
                <w:highlight w:val="lightGray"/>
              </w:rPr>
            </w:pPr>
            <w:r w:rsidRPr="00E8450A">
              <w:rPr>
                <w:rStyle w:val="normaltextrun"/>
                <w:noProof/>
                <w:highlight w:val="lightGray"/>
              </w:rPr>
              <w:t>0,5 ng/m</w:t>
            </w:r>
            <w:r w:rsidRPr="00E8450A">
              <w:rPr>
                <w:rStyle w:val="normaltextrun"/>
                <w:noProof/>
                <w:highlight w:val="lightGray"/>
                <w:vertAlign w:val="superscript"/>
              </w:rPr>
              <w:t>3</w:t>
            </w:r>
          </w:p>
        </w:tc>
        <w:tc>
          <w:tcPr>
            <w:tcW w:w="1191" w:type="dxa"/>
            <w:tcMar>
              <w:left w:w="57" w:type="dxa"/>
              <w:right w:w="57" w:type="dxa"/>
            </w:tcMar>
            <w:vAlign w:val="center"/>
            <w:hideMark/>
          </w:tcPr>
          <w:p w:rsidR="004F4CD1" w:rsidRPr="00E8450A" w:rsidRDefault="004F4CD1" w:rsidP="00FC53B5">
            <w:pPr>
              <w:pStyle w:val="paragraph"/>
              <w:spacing w:before="120" w:beforeAutospacing="0" w:after="120" w:afterAutospacing="0"/>
              <w:textAlignment w:val="baseline"/>
              <w:rPr>
                <w:noProof/>
                <w:highlight w:val="lightGray"/>
              </w:rPr>
            </w:pPr>
            <w:r w:rsidRPr="00E8450A">
              <w:rPr>
                <w:rStyle w:val="normaltextrun"/>
                <w:noProof/>
                <w:highlight w:val="lightGray"/>
              </w:rPr>
              <w:t>50 %</w:t>
            </w:r>
          </w:p>
        </w:tc>
        <w:tc>
          <w:tcPr>
            <w:tcW w:w="1369" w:type="dxa"/>
            <w:tcMar>
              <w:left w:w="57" w:type="dxa"/>
              <w:right w:w="57" w:type="dxa"/>
            </w:tcMar>
            <w:vAlign w:val="center"/>
            <w:hideMark/>
          </w:tcPr>
          <w:p w:rsidR="004F4CD1" w:rsidRPr="00E8450A" w:rsidRDefault="004F4CD1" w:rsidP="00FC53B5">
            <w:pPr>
              <w:pStyle w:val="paragraph"/>
              <w:spacing w:before="120" w:beforeAutospacing="0" w:after="120" w:afterAutospacing="0"/>
              <w:textAlignment w:val="baseline"/>
              <w:rPr>
                <w:noProof/>
                <w:highlight w:val="lightGray"/>
              </w:rPr>
            </w:pPr>
            <w:r w:rsidRPr="00E8450A">
              <w:rPr>
                <w:rStyle w:val="normaltextrun"/>
                <w:noProof/>
                <w:highlight w:val="lightGray"/>
              </w:rPr>
              <w:t>0,6 ng/m</w:t>
            </w:r>
            <w:r w:rsidRPr="00E8450A">
              <w:rPr>
                <w:rStyle w:val="normaltextrun"/>
                <w:noProof/>
                <w:highlight w:val="lightGray"/>
                <w:vertAlign w:val="superscript"/>
              </w:rPr>
              <w:t>3</w:t>
            </w:r>
          </w:p>
        </w:tc>
        <w:tc>
          <w:tcPr>
            <w:tcW w:w="1171" w:type="dxa"/>
            <w:tcMar>
              <w:left w:w="57" w:type="dxa"/>
              <w:right w:w="57" w:type="dxa"/>
            </w:tcMar>
            <w:vAlign w:val="center"/>
            <w:hideMark/>
          </w:tcPr>
          <w:p w:rsidR="004F4CD1" w:rsidRPr="00E8450A" w:rsidRDefault="004F4CD1" w:rsidP="00FC53B5">
            <w:pPr>
              <w:pStyle w:val="paragraph"/>
              <w:spacing w:before="120" w:beforeAutospacing="0" w:after="120" w:afterAutospacing="0"/>
              <w:textAlignment w:val="baseline"/>
              <w:rPr>
                <w:noProof/>
                <w:highlight w:val="lightGray"/>
              </w:rPr>
            </w:pPr>
            <w:r w:rsidRPr="00E8450A">
              <w:rPr>
                <w:rStyle w:val="normaltextrun"/>
                <w:noProof/>
                <w:highlight w:val="lightGray"/>
              </w:rPr>
              <w:t>60 %</w:t>
            </w:r>
          </w:p>
        </w:tc>
        <w:tc>
          <w:tcPr>
            <w:tcW w:w="2231" w:type="dxa"/>
            <w:tcMar>
              <w:left w:w="57" w:type="dxa"/>
              <w:right w:w="57" w:type="dxa"/>
            </w:tcMar>
            <w:hideMark/>
          </w:tcPr>
          <w:p w:rsidR="004F4CD1" w:rsidRPr="00E8450A" w:rsidRDefault="004F4CD1" w:rsidP="00FC53B5">
            <w:pPr>
              <w:pStyle w:val="paragraph"/>
              <w:spacing w:before="120" w:beforeAutospacing="0" w:after="120" w:afterAutospacing="0"/>
              <w:textAlignment w:val="baseline"/>
              <w:rPr>
                <w:noProof/>
                <w:highlight w:val="lightGray"/>
              </w:rPr>
            </w:pPr>
            <w:r w:rsidRPr="00E8450A">
              <w:rPr>
                <w:rStyle w:val="normaltextrun"/>
                <w:noProof/>
                <w:highlight w:val="lightGray"/>
              </w:rPr>
              <w:t>1,1</w:t>
            </w:r>
          </w:p>
        </w:tc>
      </w:tr>
      <w:tr w:rsidR="004F4CD1" w:rsidRPr="00E8450A" w:rsidTr="00FC53B5">
        <w:trPr>
          <w:trHeight w:val="300"/>
        </w:trPr>
        <w:tc>
          <w:tcPr>
            <w:tcW w:w="9307" w:type="dxa"/>
            <w:gridSpan w:val="6"/>
            <w:tcBorders>
              <w:left w:val="nil"/>
            </w:tcBorders>
            <w:vAlign w:val="center"/>
          </w:tcPr>
          <w:p w:rsidR="004F4CD1" w:rsidRPr="00E8450A" w:rsidRDefault="004F4CD1" w:rsidP="00027D24">
            <w:pPr>
              <w:pStyle w:val="ListParagraph"/>
              <w:numPr>
                <w:ilvl w:val="0"/>
                <w:numId w:val="13"/>
              </w:numPr>
              <w:shd w:val="clear" w:color="auto" w:fill="FFFFFF"/>
              <w:ind w:left="567" w:hanging="426"/>
              <w:contextualSpacing w:val="0"/>
              <w:rPr>
                <w:rStyle w:val="normaltextrun"/>
                <w:noProof/>
                <w:sz w:val="20"/>
                <w:szCs w:val="20"/>
                <w:highlight w:val="lightGray"/>
              </w:rPr>
            </w:pPr>
            <w:r w:rsidRPr="00E8450A">
              <w:rPr>
                <w:noProof/>
                <w:sz w:val="20"/>
                <w:highlight w:val="lightGray"/>
              </w:rPr>
              <w:t xml:space="preserve">Pri použití indikatívnych meraní na iné účely, ako je posúdenie súladu, okrem iného napr.: na navrhnutie alebo preskúmanie monitorovacej siete, kalibráciu a validáciu modelu, neistota môže byť neistotou stanovenou pre modelovacie aplikácie. </w:t>
            </w:r>
          </w:p>
        </w:tc>
      </w:tr>
    </w:tbl>
    <w:p w:rsidR="004F4CD1" w:rsidRPr="00E8450A" w:rsidRDefault="004F4CD1" w:rsidP="004F4CD1">
      <w:pPr>
        <w:jc w:val="center"/>
        <w:rPr>
          <w:b/>
          <w:noProof/>
          <w:highlight w:val="lightGray"/>
        </w:rPr>
      </w:pPr>
    </w:p>
    <w:p w:rsidR="004F4CD1" w:rsidRPr="00E8450A" w:rsidRDefault="004F4CD1" w:rsidP="004F4CD1">
      <w:pPr>
        <w:rPr>
          <w:i/>
          <w:iCs/>
          <w:noProof/>
          <w:color w:val="000000"/>
          <w:highlight w:val="lightGray"/>
        </w:rPr>
      </w:pPr>
      <w:r w:rsidRPr="00E8450A">
        <w:rPr>
          <w:noProof/>
        </w:rPr>
        <w:br w:type="page"/>
      </w:r>
    </w:p>
    <w:p w:rsidR="004F4CD1" w:rsidRPr="00E8450A" w:rsidRDefault="004F4CD1" w:rsidP="004F4CD1">
      <w:pPr>
        <w:rPr>
          <w:i/>
          <w:noProof/>
          <w:highlight w:val="lightGray"/>
        </w:rPr>
      </w:pPr>
      <w:r w:rsidRPr="00E8450A">
        <w:rPr>
          <w:i/>
          <w:noProof/>
          <w:highlight w:val="lightGray"/>
        </w:rPr>
        <w:lastRenderedPageBreak/>
        <w:t>2. Neistota merania a modelovania krátkodobej strednej hodnoty koncentrácií</w:t>
      </w:r>
    </w:p>
    <w:tbl>
      <w:tblPr>
        <w:tblW w:w="9364" w:type="dxa"/>
        <w:tblBorders>
          <w:top w:val="single" w:sz="6" w:space="0" w:color="auto"/>
          <w:left w:val="single" w:sz="4" w:space="0" w:color="auto"/>
          <w:bottom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918"/>
        <w:gridCol w:w="1499"/>
        <w:gridCol w:w="1119"/>
        <w:gridCol w:w="1414"/>
        <w:gridCol w:w="1049"/>
        <w:gridCol w:w="2365"/>
      </w:tblGrid>
      <w:tr w:rsidR="004F4CD1" w:rsidRPr="00E8450A" w:rsidTr="00FC53B5">
        <w:trPr>
          <w:trHeight w:val="585"/>
        </w:trPr>
        <w:tc>
          <w:tcPr>
            <w:tcW w:w="1918" w:type="dxa"/>
            <w:vMerge w:val="restart"/>
            <w:tcBorders>
              <w:left w:val="nil"/>
            </w:tcBorders>
            <w:tcMar>
              <w:left w:w="57" w:type="dxa"/>
              <w:right w:w="57" w:type="dxa"/>
            </w:tcMar>
            <w:vAlign w:val="center"/>
            <w:hideMark/>
          </w:tcPr>
          <w:p w:rsidR="004F4CD1" w:rsidRPr="00E8450A" w:rsidRDefault="004F4CD1" w:rsidP="00FC53B5">
            <w:pPr>
              <w:pStyle w:val="paragraph"/>
              <w:spacing w:before="120" w:beforeAutospacing="0" w:after="120" w:afterAutospacing="0"/>
              <w:textAlignment w:val="baseline"/>
              <w:rPr>
                <w:b/>
                <w:bCs/>
                <w:noProof/>
                <w:highlight w:val="lightGray"/>
              </w:rPr>
            </w:pPr>
            <w:r w:rsidRPr="00E8450A">
              <w:rPr>
                <w:rStyle w:val="eop"/>
                <w:b/>
                <w:noProof/>
                <w:highlight w:val="lightGray"/>
              </w:rPr>
              <w:t xml:space="preserve"> </w:t>
            </w:r>
          </w:p>
          <w:p w:rsidR="004F4CD1" w:rsidRPr="00E8450A" w:rsidRDefault="004F4CD1" w:rsidP="00FC53B5">
            <w:pPr>
              <w:pStyle w:val="paragraph"/>
              <w:spacing w:before="120" w:beforeAutospacing="0" w:after="120" w:afterAutospacing="0"/>
              <w:textAlignment w:val="baseline"/>
              <w:rPr>
                <w:b/>
                <w:bCs/>
                <w:noProof/>
                <w:highlight w:val="lightGray"/>
              </w:rPr>
            </w:pPr>
            <w:r w:rsidRPr="00E8450A">
              <w:rPr>
                <w:rStyle w:val="normaltextrun"/>
                <w:b/>
                <w:noProof/>
                <w:highlight w:val="lightGray"/>
              </w:rPr>
              <w:t>Látka znečisťujúca ovzdušie</w:t>
            </w:r>
            <w:r w:rsidRPr="00E8450A">
              <w:rPr>
                <w:rStyle w:val="normaltextrun"/>
                <w:b/>
                <w:noProof/>
                <w:color w:val="000000"/>
                <w:highlight w:val="lightGray"/>
              </w:rPr>
              <w:t xml:space="preserve"> </w:t>
            </w:r>
          </w:p>
        </w:tc>
        <w:tc>
          <w:tcPr>
            <w:tcW w:w="2618" w:type="dxa"/>
            <w:gridSpan w:val="2"/>
            <w:tcMar>
              <w:left w:w="57" w:type="dxa"/>
              <w:right w:w="57" w:type="dxa"/>
            </w:tcMar>
            <w:vAlign w:val="bottom"/>
            <w:hideMark/>
          </w:tcPr>
          <w:p w:rsidR="004F4CD1" w:rsidRPr="00E8450A" w:rsidRDefault="004F4CD1" w:rsidP="00FC53B5">
            <w:pPr>
              <w:pStyle w:val="paragraph"/>
              <w:spacing w:before="120" w:beforeAutospacing="0" w:after="120" w:afterAutospacing="0"/>
              <w:textAlignment w:val="baseline"/>
              <w:rPr>
                <w:b/>
                <w:bCs/>
                <w:noProof/>
                <w:highlight w:val="lightGray"/>
              </w:rPr>
            </w:pPr>
            <w:r w:rsidRPr="00E8450A">
              <w:rPr>
                <w:rStyle w:val="normaltextrun"/>
                <w:b/>
                <w:noProof/>
                <w:highlight w:val="lightGray"/>
              </w:rPr>
              <w:t>Najväčšia neistota stálych meraní</w:t>
            </w:r>
          </w:p>
        </w:tc>
        <w:tc>
          <w:tcPr>
            <w:tcW w:w="2463" w:type="dxa"/>
            <w:gridSpan w:val="2"/>
            <w:tcMar>
              <w:left w:w="57" w:type="dxa"/>
              <w:right w:w="57" w:type="dxa"/>
            </w:tcMar>
            <w:vAlign w:val="bottom"/>
            <w:hideMark/>
          </w:tcPr>
          <w:p w:rsidR="004F4CD1" w:rsidRPr="00E8450A" w:rsidRDefault="004F4CD1" w:rsidP="00FC53B5">
            <w:pPr>
              <w:pStyle w:val="paragraph"/>
              <w:spacing w:before="120" w:beforeAutospacing="0" w:after="120" w:afterAutospacing="0"/>
              <w:textAlignment w:val="baseline"/>
              <w:rPr>
                <w:b/>
                <w:bCs/>
                <w:noProof/>
                <w:highlight w:val="lightGray"/>
              </w:rPr>
            </w:pPr>
            <w:r w:rsidRPr="00E8450A">
              <w:rPr>
                <w:rStyle w:val="normaltextrun"/>
                <w:b/>
                <w:noProof/>
                <w:highlight w:val="lightGray"/>
              </w:rPr>
              <w:t xml:space="preserve">Najväčšia neistota indikatívnych meraní </w:t>
            </w:r>
            <w:r w:rsidRPr="00E8450A">
              <w:rPr>
                <w:rStyle w:val="normaltextrun"/>
                <w:b/>
                <w:noProof/>
                <w:highlight w:val="lightGray"/>
                <w:vertAlign w:val="superscript"/>
              </w:rPr>
              <w:t>(1)</w:t>
            </w:r>
          </w:p>
        </w:tc>
        <w:tc>
          <w:tcPr>
            <w:tcW w:w="2365" w:type="dxa"/>
            <w:tcMar>
              <w:left w:w="57" w:type="dxa"/>
              <w:right w:w="57" w:type="dxa"/>
            </w:tcMar>
            <w:hideMark/>
          </w:tcPr>
          <w:p w:rsidR="004F4CD1" w:rsidRPr="00E8450A" w:rsidRDefault="004F4CD1" w:rsidP="00FC53B5">
            <w:pPr>
              <w:pStyle w:val="paragraph"/>
              <w:spacing w:before="120" w:beforeAutospacing="0" w:after="120" w:afterAutospacing="0"/>
              <w:textAlignment w:val="baseline"/>
              <w:rPr>
                <w:b/>
                <w:bCs/>
                <w:noProof/>
                <w:highlight w:val="lightGray"/>
              </w:rPr>
            </w:pPr>
            <w:r w:rsidRPr="00E8450A">
              <w:rPr>
                <w:rStyle w:val="normaltextrun"/>
                <w:b/>
                <w:noProof/>
                <w:highlight w:val="lightGray"/>
              </w:rPr>
              <w:t>Najväčší pomer medzi neistotou modelovania a objektívneho odhadu</w:t>
            </w:r>
            <w:r w:rsidRPr="00E8450A">
              <w:rPr>
                <w:b/>
                <w:noProof/>
                <w:highlight w:val="lightGray"/>
              </w:rPr>
              <w:t xml:space="preserve"> a neistotou stálych meraní</w:t>
            </w:r>
          </w:p>
        </w:tc>
      </w:tr>
      <w:tr w:rsidR="004F4CD1" w:rsidRPr="00E8450A" w:rsidTr="00FC53B5">
        <w:trPr>
          <w:trHeight w:val="585"/>
        </w:trPr>
        <w:tc>
          <w:tcPr>
            <w:tcW w:w="1918" w:type="dxa"/>
            <w:vMerge/>
            <w:tcBorders>
              <w:left w:val="nil"/>
            </w:tcBorders>
            <w:tcMar>
              <w:left w:w="57" w:type="dxa"/>
              <w:right w:w="57" w:type="dxa"/>
            </w:tcMar>
            <w:vAlign w:val="center"/>
            <w:hideMark/>
          </w:tcPr>
          <w:p w:rsidR="004F4CD1" w:rsidRPr="00E8450A" w:rsidRDefault="004F4CD1" w:rsidP="00FC53B5">
            <w:pPr>
              <w:jc w:val="left"/>
              <w:rPr>
                <w:b/>
                <w:bCs/>
                <w:noProof/>
                <w:highlight w:val="lightGray"/>
              </w:rPr>
            </w:pPr>
          </w:p>
        </w:tc>
        <w:tc>
          <w:tcPr>
            <w:tcW w:w="1499" w:type="dxa"/>
            <w:tcMar>
              <w:left w:w="57" w:type="dxa"/>
              <w:right w:w="57" w:type="dxa"/>
            </w:tcMar>
            <w:vAlign w:val="center"/>
            <w:hideMark/>
          </w:tcPr>
          <w:p w:rsidR="004F4CD1" w:rsidRPr="00E8450A" w:rsidRDefault="004F4CD1" w:rsidP="00FC53B5">
            <w:pPr>
              <w:pStyle w:val="paragraph"/>
              <w:spacing w:before="120" w:beforeAutospacing="0" w:after="120" w:afterAutospacing="0"/>
              <w:textAlignment w:val="baseline"/>
              <w:rPr>
                <w:b/>
                <w:bCs/>
                <w:noProof/>
                <w:highlight w:val="lightGray"/>
              </w:rPr>
            </w:pPr>
            <w:r w:rsidRPr="00E8450A">
              <w:rPr>
                <w:b/>
                <w:noProof/>
                <w:color w:val="000000"/>
                <w:highlight w:val="lightGray"/>
              </w:rPr>
              <w:t xml:space="preserve">Absolútna hodnota </w:t>
            </w:r>
          </w:p>
        </w:tc>
        <w:tc>
          <w:tcPr>
            <w:tcW w:w="1119" w:type="dxa"/>
            <w:tcMar>
              <w:left w:w="57" w:type="dxa"/>
              <w:right w:w="57" w:type="dxa"/>
            </w:tcMar>
            <w:vAlign w:val="center"/>
            <w:hideMark/>
          </w:tcPr>
          <w:p w:rsidR="004F4CD1" w:rsidRPr="00E8450A" w:rsidRDefault="004F4CD1" w:rsidP="00FC53B5">
            <w:pPr>
              <w:jc w:val="left"/>
              <w:rPr>
                <w:rFonts w:eastAsia="Times New Roman"/>
                <w:b/>
                <w:bCs/>
                <w:noProof/>
                <w:color w:val="000000"/>
                <w:highlight w:val="lightGray"/>
              </w:rPr>
            </w:pPr>
            <w:r w:rsidRPr="00E8450A">
              <w:rPr>
                <w:b/>
                <w:noProof/>
                <w:color w:val="000000"/>
                <w:highlight w:val="lightGray"/>
              </w:rPr>
              <w:t>Relatívna hodnota</w:t>
            </w:r>
          </w:p>
        </w:tc>
        <w:tc>
          <w:tcPr>
            <w:tcW w:w="1414" w:type="dxa"/>
            <w:tcMar>
              <w:left w:w="57" w:type="dxa"/>
              <w:right w:w="57" w:type="dxa"/>
            </w:tcMar>
            <w:hideMark/>
          </w:tcPr>
          <w:p w:rsidR="004F4CD1" w:rsidRPr="00E8450A" w:rsidRDefault="004F4CD1" w:rsidP="00FC53B5">
            <w:pPr>
              <w:pStyle w:val="paragraph"/>
              <w:spacing w:before="120" w:beforeAutospacing="0" w:after="120" w:afterAutospacing="0"/>
              <w:textAlignment w:val="baseline"/>
              <w:rPr>
                <w:b/>
                <w:bCs/>
                <w:noProof/>
                <w:highlight w:val="lightGray"/>
              </w:rPr>
            </w:pPr>
            <w:r w:rsidRPr="00E8450A">
              <w:rPr>
                <w:b/>
                <w:noProof/>
                <w:color w:val="000000"/>
                <w:highlight w:val="lightGray"/>
              </w:rPr>
              <w:t xml:space="preserve">Absolútna hodnota </w:t>
            </w:r>
          </w:p>
        </w:tc>
        <w:tc>
          <w:tcPr>
            <w:tcW w:w="1049" w:type="dxa"/>
            <w:tcMar>
              <w:left w:w="57" w:type="dxa"/>
              <w:right w:w="57" w:type="dxa"/>
            </w:tcMar>
            <w:vAlign w:val="center"/>
            <w:hideMark/>
          </w:tcPr>
          <w:p w:rsidR="004F4CD1" w:rsidRPr="00E8450A" w:rsidRDefault="004F4CD1" w:rsidP="00FC53B5">
            <w:pPr>
              <w:jc w:val="left"/>
              <w:rPr>
                <w:rFonts w:eastAsia="Times New Roman"/>
                <w:b/>
                <w:bCs/>
                <w:noProof/>
                <w:color w:val="000000"/>
                <w:highlight w:val="lightGray"/>
              </w:rPr>
            </w:pPr>
            <w:r w:rsidRPr="00E8450A">
              <w:rPr>
                <w:b/>
                <w:noProof/>
                <w:color w:val="000000"/>
                <w:highlight w:val="lightGray"/>
              </w:rPr>
              <w:t>Relatívna hodnota</w:t>
            </w:r>
          </w:p>
        </w:tc>
        <w:tc>
          <w:tcPr>
            <w:tcW w:w="2365" w:type="dxa"/>
            <w:tcMar>
              <w:left w:w="57" w:type="dxa"/>
              <w:right w:w="57" w:type="dxa"/>
            </w:tcMar>
            <w:hideMark/>
          </w:tcPr>
          <w:p w:rsidR="004F4CD1" w:rsidRPr="00E8450A" w:rsidRDefault="004F4CD1" w:rsidP="00FC53B5">
            <w:pPr>
              <w:pStyle w:val="paragraph"/>
              <w:spacing w:before="120" w:beforeAutospacing="0" w:after="120" w:afterAutospacing="0"/>
              <w:textAlignment w:val="baseline"/>
              <w:rPr>
                <w:b/>
                <w:bCs/>
                <w:noProof/>
                <w:highlight w:val="lightGray"/>
              </w:rPr>
            </w:pPr>
            <w:r w:rsidRPr="00E8450A">
              <w:rPr>
                <w:rStyle w:val="normaltextrun"/>
                <w:b/>
                <w:noProof/>
                <w:highlight w:val="lightGray"/>
              </w:rPr>
              <w:t>Najväčší pomer</w:t>
            </w:r>
          </w:p>
        </w:tc>
      </w:tr>
      <w:tr w:rsidR="004F4CD1" w:rsidRPr="00E8450A" w:rsidTr="00FC53B5">
        <w:trPr>
          <w:trHeight w:val="300"/>
        </w:trPr>
        <w:tc>
          <w:tcPr>
            <w:tcW w:w="1918" w:type="dxa"/>
            <w:tcBorders>
              <w:left w:val="nil"/>
            </w:tcBorders>
            <w:tcMar>
              <w:left w:w="57" w:type="dxa"/>
              <w:right w:w="57" w:type="dxa"/>
            </w:tcMar>
            <w:vAlign w:val="center"/>
            <w:hideMark/>
          </w:tcPr>
          <w:p w:rsidR="004F4CD1" w:rsidRPr="00E8450A" w:rsidRDefault="004F4CD1" w:rsidP="00FC53B5">
            <w:pPr>
              <w:pStyle w:val="paragraph"/>
              <w:spacing w:before="120" w:beforeAutospacing="0" w:after="120" w:afterAutospacing="0"/>
              <w:textAlignment w:val="baseline"/>
              <w:rPr>
                <w:rStyle w:val="normaltextrun"/>
                <w:b/>
                <w:bCs/>
                <w:noProof/>
                <w:color w:val="000000"/>
                <w:highlight w:val="lightGray"/>
              </w:rPr>
            </w:pPr>
            <w:r w:rsidRPr="00E8450A">
              <w:rPr>
                <w:b/>
                <w:noProof/>
                <w:color w:val="000000"/>
                <w:highlight w:val="lightGray"/>
              </w:rPr>
              <w:t>PM</w:t>
            </w:r>
            <w:r w:rsidRPr="00E8450A">
              <w:rPr>
                <w:b/>
                <w:noProof/>
                <w:color w:val="000000"/>
                <w:highlight w:val="lightGray"/>
                <w:vertAlign w:val="subscript"/>
              </w:rPr>
              <w:t xml:space="preserve">2,5 </w:t>
            </w:r>
            <w:r w:rsidRPr="00E8450A">
              <w:rPr>
                <w:b/>
                <w:noProof/>
                <w:color w:val="000000"/>
                <w:highlight w:val="lightGray"/>
              </w:rPr>
              <w:t>(24-hodinové hodnoty)</w:t>
            </w:r>
          </w:p>
        </w:tc>
        <w:tc>
          <w:tcPr>
            <w:tcW w:w="1499" w:type="dxa"/>
            <w:tcMar>
              <w:left w:w="57" w:type="dxa"/>
              <w:right w:w="57" w:type="dxa"/>
            </w:tcMar>
            <w:vAlign w:val="center"/>
            <w:hideMark/>
          </w:tcPr>
          <w:p w:rsidR="004F4CD1" w:rsidRPr="00E8450A" w:rsidRDefault="004F4CD1" w:rsidP="00FC53B5">
            <w:pPr>
              <w:pStyle w:val="paragraph"/>
              <w:spacing w:before="120" w:beforeAutospacing="0" w:after="120" w:afterAutospacing="0"/>
              <w:textAlignment w:val="baseline"/>
              <w:rPr>
                <w:noProof/>
                <w:highlight w:val="lightGray"/>
              </w:rPr>
            </w:pPr>
            <w:r w:rsidRPr="00E8450A">
              <w:rPr>
                <w:noProof/>
                <w:color w:val="000000"/>
                <w:highlight w:val="lightGray"/>
              </w:rPr>
              <w:t>6,3 </w:t>
            </w:r>
            <w:r w:rsidRPr="00E8450A">
              <w:rPr>
                <w:rStyle w:val="normaltextrun"/>
                <w:noProof/>
                <w:highlight w:val="lightGray"/>
              </w:rPr>
              <w:t>µg/m</w:t>
            </w:r>
            <w:r w:rsidRPr="00E8450A">
              <w:rPr>
                <w:rStyle w:val="normaltextrun"/>
                <w:noProof/>
                <w:highlight w:val="lightGray"/>
                <w:vertAlign w:val="superscript"/>
              </w:rPr>
              <w:t>3</w:t>
            </w:r>
          </w:p>
        </w:tc>
        <w:tc>
          <w:tcPr>
            <w:tcW w:w="1119" w:type="dxa"/>
            <w:tcMar>
              <w:left w:w="57" w:type="dxa"/>
              <w:right w:w="57" w:type="dxa"/>
            </w:tcMar>
            <w:vAlign w:val="center"/>
            <w:hideMark/>
          </w:tcPr>
          <w:p w:rsidR="004F4CD1" w:rsidRPr="00E8450A" w:rsidRDefault="004F4CD1" w:rsidP="00FC53B5">
            <w:pPr>
              <w:pStyle w:val="paragraph"/>
              <w:spacing w:before="120" w:beforeAutospacing="0" w:after="120" w:afterAutospacing="0"/>
              <w:textAlignment w:val="baseline"/>
              <w:rPr>
                <w:noProof/>
                <w:highlight w:val="lightGray"/>
              </w:rPr>
            </w:pPr>
            <w:r w:rsidRPr="00E8450A">
              <w:rPr>
                <w:noProof/>
                <w:color w:val="000000"/>
                <w:highlight w:val="lightGray"/>
              </w:rPr>
              <w:t>25 %</w:t>
            </w:r>
          </w:p>
        </w:tc>
        <w:tc>
          <w:tcPr>
            <w:tcW w:w="1414" w:type="dxa"/>
            <w:tcMar>
              <w:left w:w="57" w:type="dxa"/>
              <w:right w:w="57" w:type="dxa"/>
            </w:tcMar>
            <w:vAlign w:val="center"/>
            <w:hideMark/>
          </w:tcPr>
          <w:p w:rsidR="004F4CD1" w:rsidRPr="00E8450A" w:rsidRDefault="004F4CD1" w:rsidP="00FC53B5">
            <w:pPr>
              <w:pStyle w:val="paragraph"/>
              <w:spacing w:before="120" w:beforeAutospacing="0" w:after="120" w:afterAutospacing="0"/>
              <w:textAlignment w:val="baseline"/>
              <w:rPr>
                <w:noProof/>
                <w:highlight w:val="lightGray"/>
              </w:rPr>
            </w:pPr>
            <w:r w:rsidRPr="00E8450A">
              <w:rPr>
                <w:noProof/>
                <w:color w:val="000000"/>
                <w:highlight w:val="lightGray"/>
              </w:rPr>
              <w:t>8,8 </w:t>
            </w:r>
            <w:r w:rsidRPr="00E8450A">
              <w:rPr>
                <w:rStyle w:val="normaltextrun"/>
                <w:noProof/>
                <w:highlight w:val="lightGray"/>
              </w:rPr>
              <w:t>µg/m</w:t>
            </w:r>
            <w:r w:rsidRPr="00E8450A">
              <w:rPr>
                <w:rStyle w:val="normaltextrun"/>
                <w:noProof/>
                <w:highlight w:val="lightGray"/>
                <w:vertAlign w:val="superscript"/>
              </w:rPr>
              <w:t>3</w:t>
            </w:r>
          </w:p>
        </w:tc>
        <w:tc>
          <w:tcPr>
            <w:tcW w:w="1049" w:type="dxa"/>
            <w:tcMar>
              <w:left w:w="57" w:type="dxa"/>
              <w:right w:w="57" w:type="dxa"/>
            </w:tcMar>
            <w:vAlign w:val="center"/>
            <w:hideMark/>
          </w:tcPr>
          <w:p w:rsidR="004F4CD1" w:rsidRPr="00E8450A" w:rsidRDefault="004F4CD1" w:rsidP="00FC53B5">
            <w:pPr>
              <w:pStyle w:val="paragraph"/>
              <w:spacing w:before="120" w:beforeAutospacing="0" w:after="120" w:afterAutospacing="0"/>
              <w:textAlignment w:val="baseline"/>
              <w:rPr>
                <w:noProof/>
                <w:highlight w:val="lightGray"/>
              </w:rPr>
            </w:pPr>
            <w:r w:rsidRPr="00E8450A">
              <w:rPr>
                <w:noProof/>
                <w:color w:val="000000"/>
                <w:highlight w:val="lightGray"/>
              </w:rPr>
              <w:t>35 %</w:t>
            </w:r>
          </w:p>
        </w:tc>
        <w:tc>
          <w:tcPr>
            <w:tcW w:w="2365" w:type="dxa"/>
            <w:tcMar>
              <w:left w:w="57" w:type="dxa"/>
              <w:right w:w="57" w:type="dxa"/>
            </w:tcMar>
            <w:hideMark/>
          </w:tcPr>
          <w:p w:rsidR="004F4CD1" w:rsidRPr="00E8450A" w:rsidRDefault="004F4CD1" w:rsidP="00FC53B5">
            <w:pPr>
              <w:pStyle w:val="paragraph"/>
              <w:spacing w:before="120" w:beforeAutospacing="0" w:after="120" w:afterAutospacing="0"/>
              <w:textAlignment w:val="baseline"/>
              <w:rPr>
                <w:noProof/>
                <w:highlight w:val="lightGray"/>
              </w:rPr>
            </w:pPr>
            <w:r w:rsidRPr="00E8450A">
              <w:rPr>
                <w:noProof/>
                <w:color w:val="000000"/>
                <w:highlight w:val="lightGray"/>
              </w:rPr>
              <w:t>2,5</w:t>
            </w:r>
          </w:p>
        </w:tc>
      </w:tr>
      <w:tr w:rsidR="004F4CD1" w:rsidRPr="00E8450A" w:rsidTr="00FC53B5">
        <w:trPr>
          <w:trHeight w:val="300"/>
        </w:trPr>
        <w:tc>
          <w:tcPr>
            <w:tcW w:w="1918" w:type="dxa"/>
            <w:tcBorders>
              <w:left w:val="nil"/>
            </w:tcBorders>
            <w:tcMar>
              <w:left w:w="57" w:type="dxa"/>
              <w:right w:w="57" w:type="dxa"/>
            </w:tcMar>
            <w:vAlign w:val="center"/>
            <w:hideMark/>
          </w:tcPr>
          <w:p w:rsidR="004F4CD1" w:rsidRPr="00E8450A" w:rsidRDefault="004F4CD1" w:rsidP="00FC53B5">
            <w:pPr>
              <w:pStyle w:val="paragraph"/>
              <w:spacing w:before="120" w:beforeAutospacing="0" w:after="120" w:afterAutospacing="0"/>
              <w:textAlignment w:val="baseline"/>
              <w:rPr>
                <w:rStyle w:val="normaltextrun"/>
                <w:b/>
                <w:bCs/>
                <w:noProof/>
                <w:color w:val="000000"/>
                <w:highlight w:val="lightGray"/>
              </w:rPr>
            </w:pPr>
            <w:r w:rsidRPr="00E8450A">
              <w:rPr>
                <w:b/>
                <w:noProof/>
                <w:color w:val="000000"/>
                <w:highlight w:val="lightGray"/>
              </w:rPr>
              <w:t>PM</w:t>
            </w:r>
            <w:r w:rsidRPr="00E8450A">
              <w:rPr>
                <w:b/>
                <w:noProof/>
                <w:color w:val="000000"/>
                <w:highlight w:val="lightGray"/>
                <w:vertAlign w:val="subscript"/>
              </w:rPr>
              <w:t>10</w:t>
            </w:r>
            <w:r w:rsidRPr="00E8450A">
              <w:rPr>
                <w:b/>
                <w:noProof/>
                <w:color w:val="000000"/>
                <w:highlight w:val="lightGray"/>
              </w:rPr>
              <w:t xml:space="preserve"> (24-hodinové hodnoty)</w:t>
            </w:r>
          </w:p>
        </w:tc>
        <w:tc>
          <w:tcPr>
            <w:tcW w:w="1499" w:type="dxa"/>
            <w:tcMar>
              <w:left w:w="57" w:type="dxa"/>
              <w:right w:w="57" w:type="dxa"/>
            </w:tcMar>
            <w:vAlign w:val="center"/>
            <w:hideMark/>
          </w:tcPr>
          <w:p w:rsidR="004F4CD1" w:rsidRPr="00E8450A" w:rsidRDefault="004F4CD1" w:rsidP="00FC53B5">
            <w:pPr>
              <w:pStyle w:val="paragraph"/>
              <w:spacing w:before="120" w:beforeAutospacing="0" w:after="120" w:afterAutospacing="0"/>
              <w:textAlignment w:val="baseline"/>
              <w:rPr>
                <w:noProof/>
                <w:highlight w:val="lightGray"/>
              </w:rPr>
            </w:pPr>
            <w:r w:rsidRPr="00E8450A">
              <w:rPr>
                <w:noProof/>
                <w:color w:val="000000"/>
                <w:highlight w:val="lightGray"/>
              </w:rPr>
              <w:t>11,3 </w:t>
            </w:r>
            <w:r w:rsidRPr="00E8450A">
              <w:rPr>
                <w:rStyle w:val="normaltextrun"/>
                <w:noProof/>
                <w:highlight w:val="lightGray"/>
              </w:rPr>
              <w:t>µg/m</w:t>
            </w:r>
            <w:r w:rsidRPr="00E8450A">
              <w:rPr>
                <w:rStyle w:val="normaltextrun"/>
                <w:noProof/>
                <w:highlight w:val="lightGray"/>
                <w:vertAlign w:val="superscript"/>
              </w:rPr>
              <w:t>3</w:t>
            </w:r>
          </w:p>
        </w:tc>
        <w:tc>
          <w:tcPr>
            <w:tcW w:w="1119" w:type="dxa"/>
            <w:tcMar>
              <w:left w:w="57" w:type="dxa"/>
              <w:right w:w="57" w:type="dxa"/>
            </w:tcMar>
            <w:vAlign w:val="center"/>
            <w:hideMark/>
          </w:tcPr>
          <w:p w:rsidR="004F4CD1" w:rsidRPr="00E8450A" w:rsidRDefault="004F4CD1" w:rsidP="00FC53B5">
            <w:pPr>
              <w:pStyle w:val="paragraph"/>
              <w:spacing w:before="120" w:beforeAutospacing="0" w:after="120" w:afterAutospacing="0"/>
              <w:textAlignment w:val="baseline"/>
              <w:rPr>
                <w:noProof/>
                <w:highlight w:val="lightGray"/>
              </w:rPr>
            </w:pPr>
            <w:r w:rsidRPr="00E8450A">
              <w:rPr>
                <w:noProof/>
                <w:color w:val="000000"/>
                <w:highlight w:val="lightGray"/>
              </w:rPr>
              <w:t>25 %</w:t>
            </w:r>
          </w:p>
        </w:tc>
        <w:tc>
          <w:tcPr>
            <w:tcW w:w="1414" w:type="dxa"/>
            <w:tcMar>
              <w:left w:w="57" w:type="dxa"/>
              <w:right w:w="57" w:type="dxa"/>
            </w:tcMar>
            <w:vAlign w:val="center"/>
            <w:hideMark/>
          </w:tcPr>
          <w:p w:rsidR="004F4CD1" w:rsidRPr="00E8450A" w:rsidRDefault="004F4CD1" w:rsidP="00FC53B5">
            <w:pPr>
              <w:pStyle w:val="paragraph"/>
              <w:spacing w:before="120" w:beforeAutospacing="0" w:after="120" w:afterAutospacing="0"/>
              <w:textAlignment w:val="baseline"/>
              <w:rPr>
                <w:noProof/>
                <w:highlight w:val="lightGray"/>
              </w:rPr>
            </w:pPr>
            <w:r w:rsidRPr="00E8450A">
              <w:rPr>
                <w:noProof/>
                <w:color w:val="000000"/>
                <w:highlight w:val="lightGray"/>
              </w:rPr>
              <w:t>22,5 </w:t>
            </w:r>
            <w:r w:rsidRPr="00E8450A">
              <w:rPr>
                <w:rStyle w:val="normaltextrun"/>
                <w:noProof/>
                <w:highlight w:val="lightGray"/>
              </w:rPr>
              <w:t>µg/m</w:t>
            </w:r>
            <w:r w:rsidRPr="00E8450A">
              <w:rPr>
                <w:rStyle w:val="normaltextrun"/>
                <w:noProof/>
                <w:highlight w:val="lightGray"/>
                <w:vertAlign w:val="superscript"/>
              </w:rPr>
              <w:t>3</w:t>
            </w:r>
          </w:p>
        </w:tc>
        <w:tc>
          <w:tcPr>
            <w:tcW w:w="1049" w:type="dxa"/>
            <w:tcMar>
              <w:left w:w="57" w:type="dxa"/>
              <w:right w:w="57" w:type="dxa"/>
            </w:tcMar>
            <w:vAlign w:val="center"/>
            <w:hideMark/>
          </w:tcPr>
          <w:p w:rsidR="004F4CD1" w:rsidRPr="00E8450A" w:rsidRDefault="004F4CD1" w:rsidP="00FC53B5">
            <w:pPr>
              <w:pStyle w:val="paragraph"/>
              <w:spacing w:before="120" w:beforeAutospacing="0" w:after="120" w:afterAutospacing="0"/>
              <w:textAlignment w:val="baseline"/>
              <w:rPr>
                <w:noProof/>
                <w:highlight w:val="lightGray"/>
              </w:rPr>
            </w:pPr>
            <w:r w:rsidRPr="00E8450A">
              <w:rPr>
                <w:noProof/>
                <w:color w:val="000000"/>
                <w:highlight w:val="lightGray"/>
              </w:rPr>
              <w:t>50 %</w:t>
            </w:r>
          </w:p>
        </w:tc>
        <w:tc>
          <w:tcPr>
            <w:tcW w:w="2365" w:type="dxa"/>
            <w:tcMar>
              <w:left w:w="57" w:type="dxa"/>
              <w:right w:w="57" w:type="dxa"/>
            </w:tcMar>
            <w:hideMark/>
          </w:tcPr>
          <w:p w:rsidR="004F4CD1" w:rsidRPr="00E8450A" w:rsidRDefault="004F4CD1" w:rsidP="00FC53B5">
            <w:pPr>
              <w:pStyle w:val="paragraph"/>
              <w:spacing w:before="120" w:beforeAutospacing="0" w:after="120" w:afterAutospacing="0"/>
              <w:textAlignment w:val="baseline"/>
              <w:rPr>
                <w:noProof/>
                <w:highlight w:val="lightGray"/>
              </w:rPr>
            </w:pPr>
            <w:r w:rsidRPr="00E8450A">
              <w:rPr>
                <w:noProof/>
                <w:color w:val="000000"/>
                <w:highlight w:val="lightGray"/>
              </w:rPr>
              <w:t>2,2</w:t>
            </w:r>
          </w:p>
        </w:tc>
      </w:tr>
      <w:tr w:rsidR="004F4CD1" w:rsidRPr="00E8450A" w:rsidTr="00FC53B5">
        <w:trPr>
          <w:trHeight w:val="300"/>
        </w:trPr>
        <w:tc>
          <w:tcPr>
            <w:tcW w:w="1918" w:type="dxa"/>
            <w:tcBorders>
              <w:left w:val="nil"/>
            </w:tcBorders>
            <w:tcMar>
              <w:left w:w="57" w:type="dxa"/>
              <w:right w:w="57" w:type="dxa"/>
            </w:tcMar>
            <w:vAlign w:val="center"/>
            <w:hideMark/>
          </w:tcPr>
          <w:p w:rsidR="004F4CD1" w:rsidRPr="00E8450A" w:rsidRDefault="004F4CD1" w:rsidP="00FC53B5">
            <w:pPr>
              <w:pStyle w:val="paragraph"/>
              <w:spacing w:before="120" w:beforeAutospacing="0" w:after="120" w:afterAutospacing="0"/>
              <w:textAlignment w:val="baseline"/>
              <w:rPr>
                <w:b/>
                <w:bCs/>
                <w:noProof/>
                <w:highlight w:val="lightGray"/>
              </w:rPr>
            </w:pPr>
            <w:r w:rsidRPr="00E8450A">
              <w:rPr>
                <w:b/>
                <w:noProof/>
                <w:color w:val="000000"/>
                <w:highlight w:val="lightGray"/>
              </w:rPr>
              <w:t>NO</w:t>
            </w:r>
            <w:r w:rsidRPr="00E8450A">
              <w:rPr>
                <w:b/>
                <w:noProof/>
                <w:color w:val="000000"/>
                <w:highlight w:val="lightGray"/>
                <w:vertAlign w:val="subscript"/>
              </w:rPr>
              <w:t>2</w:t>
            </w:r>
            <w:r w:rsidRPr="00E8450A">
              <w:rPr>
                <w:b/>
                <w:noProof/>
                <w:color w:val="000000"/>
                <w:highlight w:val="lightGray"/>
              </w:rPr>
              <w:t xml:space="preserve"> (denné hodnoty)</w:t>
            </w:r>
          </w:p>
        </w:tc>
        <w:tc>
          <w:tcPr>
            <w:tcW w:w="1499" w:type="dxa"/>
            <w:tcMar>
              <w:left w:w="57" w:type="dxa"/>
              <w:right w:w="57" w:type="dxa"/>
            </w:tcMar>
            <w:vAlign w:val="center"/>
            <w:hideMark/>
          </w:tcPr>
          <w:p w:rsidR="004F4CD1" w:rsidRPr="00E8450A" w:rsidRDefault="004F4CD1" w:rsidP="00FC53B5">
            <w:pPr>
              <w:pStyle w:val="paragraph"/>
              <w:spacing w:before="120" w:beforeAutospacing="0" w:after="120" w:afterAutospacing="0"/>
              <w:textAlignment w:val="baseline"/>
              <w:rPr>
                <w:noProof/>
                <w:highlight w:val="lightGray"/>
              </w:rPr>
            </w:pPr>
            <w:r w:rsidRPr="00E8450A">
              <w:rPr>
                <w:noProof/>
                <w:color w:val="000000"/>
                <w:highlight w:val="lightGray"/>
              </w:rPr>
              <w:t>7,5 </w:t>
            </w:r>
            <w:r w:rsidRPr="00E8450A">
              <w:rPr>
                <w:rStyle w:val="normaltextrun"/>
                <w:noProof/>
                <w:highlight w:val="lightGray"/>
              </w:rPr>
              <w:t>µg/m</w:t>
            </w:r>
            <w:r w:rsidRPr="00E8450A">
              <w:rPr>
                <w:rStyle w:val="normaltextrun"/>
                <w:noProof/>
                <w:highlight w:val="lightGray"/>
                <w:vertAlign w:val="superscript"/>
              </w:rPr>
              <w:t>3</w:t>
            </w:r>
          </w:p>
        </w:tc>
        <w:tc>
          <w:tcPr>
            <w:tcW w:w="1119" w:type="dxa"/>
            <w:tcMar>
              <w:left w:w="57" w:type="dxa"/>
              <w:right w:w="57" w:type="dxa"/>
            </w:tcMar>
            <w:vAlign w:val="center"/>
            <w:hideMark/>
          </w:tcPr>
          <w:p w:rsidR="004F4CD1" w:rsidRPr="00E8450A" w:rsidRDefault="004F4CD1" w:rsidP="00FC53B5">
            <w:pPr>
              <w:pStyle w:val="paragraph"/>
              <w:spacing w:before="120" w:beforeAutospacing="0" w:after="120" w:afterAutospacing="0"/>
              <w:textAlignment w:val="baseline"/>
              <w:rPr>
                <w:noProof/>
                <w:highlight w:val="lightGray"/>
              </w:rPr>
            </w:pPr>
            <w:r w:rsidRPr="00E8450A">
              <w:rPr>
                <w:noProof/>
                <w:color w:val="000000"/>
                <w:highlight w:val="lightGray"/>
              </w:rPr>
              <w:t>15 %</w:t>
            </w:r>
          </w:p>
        </w:tc>
        <w:tc>
          <w:tcPr>
            <w:tcW w:w="1414" w:type="dxa"/>
            <w:tcMar>
              <w:left w:w="57" w:type="dxa"/>
              <w:right w:w="57" w:type="dxa"/>
            </w:tcMar>
            <w:vAlign w:val="center"/>
            <w:hideMark/>
          </w:tcPr>
          <w:p w:rsidR="004F4CD1" w:rsidRPr="00E8450A" w:rsidRDefault="004F4CD1" w:rsidP="00FC53B5">
            <w:pPr>
              <w:pStyle w:val="paragraph"/>
              <w:spacing w:before="120" w:beforeAutospacing="0" w:after="120" w:afterAutospacing="0"/>
              <w:textAlignment w:val="baseline"/>
              <w:rPr>
                <w:noProof/>
                <w:highlight w:val="lightGray"/>
              </w:rPr>
            </w:pPr>
            <w:r w:rsidRPr="00E8450A">
              <w:rPr>
                <w:noProof/>
                <w:color w:val="000000"/>
                <w:highlight w:val="lightGray"/>
              </w:rPr>
              <w:t>12,5 </w:t>
            </w:r>
            <w:r w:rsidRPr="00E8450A">
              <w:rPr>
                <w:rStyle w:val="normaltextrun"/>
                <w:noProof/>
                <w:highlight w:val="lightGray"/>
              </w:rPr>
              <w:t>µg/m</w:t>
            </w:r>
            <w:r w:rsidRPr="00E8450A">
              <w:rPr>
                <w:rStyle w:val="normaltextrun"/>
                <w:noProof/>
                <w:highlight w:val="lightGray"/>
                <w:vertAlign w:val="superscript"/>
              </w:rPr>
              <w:t>3</w:t>
            </w:r>
          </w:p>
        </w:tc>
        <w:tc>
          <w:tcPr>
            <w:tcW w:w="1049" w:type="dxa"/>
            <w:tcMar>
              <w:left w:w="57" w:type="dxa"/>
              <w:right w:w="57" w:type="dxa"/>
            </w:tcMar>
            <w:vAlign w:val="center"/>
            <w:hideMark/>
          </w:tcPr>
          <w:p w:rsidR="004F4CD1" w:rsidRPr="00E8450A" w:rsidRDefault="004F4CD1" w:rsidP="00FC53B5">
            <w:pPr>
              <w:pStyle w:val="paragraph"/>
              <w:spacing w:before="120" w:beforeAutospacing="0" w:after="120" w:afterAutospacing="0"/>
              <w:textAlignment w:val="baseline"/>
              <w:rPr>
                <w:noProof/>
                <w:highlight w:val="lightGray"/>
              </w:rPr>
            </w:pPr>
            <w:r w:rsidRPr="00E8450A">
              <w:rPr>
                <w:noProof/>
                <w:color w:val="000000"/>
                <w:highlight w:val="lightGray"/>
              </w:rPr>
              <w:t>25 %</w:t>
            </w:r>
          </w:p>
        </w:tc>
        <w:tc>
          <w:tcPr>
            <w:tcW w:w="2365" w:type="dxa"/>
            <w:tcMar>
              <w:left w:w="57" w:type="dxa"/>
              <w:right w:w="57" w:type="dxa"/>
            </w:tcMar>
            <w:hideMark/>
          </w:tcPr>
          <w:p w:rsidR="004F4CD1" w:rsidRPr="00E8450A" w:rsidRDefault="004F4CD1" w:rsidP="00FC53B5">
            <w:pPr>
              <w:pStyle w:val="paragraph"/>
              <w:spacing w:before="120" w:beforeAutospacing="0" w:after="120" w:afterAutospacing="0"/>
              <w:textAlignment w:val="baseline"/>
              <w:rPr>
                <w:noProof/>
                <w:highlight w:val="lightGray"/>
              </w:rPr>
            </w:pPr>
            <w:r w:rsidRPr="00E8450A">
              <w:rPr>
                <w:noProof/>
                <w:color w:val="000000"/>
                <w:highlight w:val="lightGray"/>
              </w:rPr>
              <w:t>3,2</w:t>
            </w:r>
          </w:p>
        </w:tc>
      </w:tr>
      <w:tr w:rsidR="004F4CD1" w:rsidRPr="00E8450A" w:rsidTr="00FC53B5">
        <w:trPr>
          <w:trHeight w:val="300"/>
        </w:trPr>
        <w:tc>
          <w:tcPr>
            <w:tcW w:w="1918" w:type="dxa"/>
            <w:tcBorders>
              <w:left w:val="nil"/>
            </w:tcBorders>
            <w:tcMar>
              <w:left w:w="57" w:type="dxa"/>
              <w:right w:w="57" w:type="dxa"/>
            </w:tcMar>
            <w:vAlign w:val="center"/>
            <w:hideMark/>
          </w:tcPr>
          <w:p w:rsidR="004F4CD1" w:rsidRPr="00E8450A" w:rsidRDefault="004F4CD1" w:rsidP="00FC53B5">
            <w:pPr>
              <w:pStyle w:val="paragraph"/>
              <w:spacing w:before="120" w:beforeAutospacing="0" w:after="120" w:afterAutospacing="0"/>
              <w:textAlignment w:val="baseline"/>
              <w:rPr>
                <w:b/>
                <w:bCs/>
                <w:noProof/>
                <w:highlight w:val="lightGray"/>
              </w:rPr>
            </w:pPr>
            <w:r w:rsidRPr="00E8450A">
              <w:rPr>
                <w:b/>
                <w:noProof/>
                <w:color w:val="000000"/>
                <w:highlight w:val="lightGray"/>
              </w:rPr>
              <w:t>NO</w:t>
            </w:r>
            <w:r w:rsidRPr="00E8450A">
              <w:rPr>
                <w:b/>
                <w:noProof/>
                <w:color w:val="000000"/>
                <w:highlight w:val="lightGray"/>
                <w:vertAlign w:val="subscript"/>
              </w:rPr>
              <w:t>2</w:t>
            </w:r>
            <w:r w:rsidRPr="00E8450A">
              <w:rPr>
                <w:b/>
                <w:noProof/>
                <w:color w:val="000000"/>
                <w:highlight w:val="lightGray"/>
              </w:rPr>
              <w:t xml:space="preserve"> (hodinové hodnoty)</w:t>
            </w:r>
          </w:p>
        </w:tc>
        <w:tc>
          <w:tcPr>
            <w:tcW w:w="1499" w:type="dxa"/>
            <w:tcMar>
              <w:left w:w="57" w:type="dxa"/>
              <w:right w:w="57" w:type="dxa"/>
            </w:tcMar>
            <w:vAlign w:val="center"/>
            <w:hideMark/>
          </w:tcPr>
          <w:p w:rsidR="004F4CD1" w:rsidRPr="00E8450A" w:rsidRDefault="004F4CD1" w:rsidP="00FC53B5">
            <w:pPr>
              <w:pStyle w:val="paragraph"/>
              <w:spacing w:before="120" w:beforeAutospacing="0" w:after="120" w:afterAutospacing="0"/>
              <w:textAlignment w:val="baseline"/>
              <w:rPr>
                <w:noProof/>
                <w:highlight w:val="lightGray"/>
              </w:rPr>
            </w:pPr>
            <w:r w:rsidRPr="00E8450A">
              <w:rPr>
                <w:noProof/>
                <w:color w:val="000000"/>
                <w:highlight w:val="lightGray"/>
              </w:rPr>
              <w:t>30 </w:t>
            </w:r>
            <w:r w:rsidRPr="00E8450A">
              <w:rPr>
                <w:rStyle w:val="normaltextrun"/>
                <w:noProof/>
                <w:highlight w:val="lightGray"/>
              </w:rPr>
              <w:t>µg/m</w:t>
            </w:r>
            <w:r w:rsidRPr="00E8450A">
              <w:rPr>
                <w:rStyle w:val="normaltextrun"/>
                <w:noProof/>
                <w:highlight w:val="lightGray"/>
                <w:vertAlign w:val="superscript"/>
              </w:rPr>
              <w:t>3</w:t>
            </w:r>
          </w:p>
        </w:tc>
        <w:tc>
          <w:tcPr>
            <w:tcW w:w="1119" w:type="dxa"/>
            <w:tcMar>
              <w:left w:w="57" w:type="dxa"/>
              <w:right w:w="57" w:type="dxa"/>
            </w:tcMar>
            <w:vAlign w:val="center"/>
            <w:hideMark/>
          </w:tcPr>
          <w:p w:rsidR="004F4CD1" w:rsidRPr="00E8450A" w:rsidRDefault="004F4CD1" w:rsidP="00FC53B5">
            <w:pPr>
              <w:pStyle w:val="paragraph"/>
              <w:spacing w:before="120" w:beforeAutospacing="0" w:after="120" w:afterAutospacing="0"/>
              <w:textAlignment w:val="baseline"/>
              <w:rPr>
                <w:noProof/>
                <w:highlight w:val="lightGray"/>
              </w:rPr>
            </w:pPr>
            <w:r w:rsidRPr="00E8450A">
              <w:rPr>
                <w:noProof/>
                <w:color w:val="000000"/>
                <w:highlight w:val="lightGray"/>
              </w:rPr>
              <w:t>15 %</w:t>
            </w:r>
          </w:p>
        </w:tc>
        <w:tc>
          <w:tcPr>
            <w:tcW w:w="1414" w:type="dxa"/>
            <w:tcMar>
              <w:left w:w="57" w:type="dxa"/>
              <w:right w:w="57" w:type="dxa"/>
            </w:tcMar>
            <w:vAlign w:val="center"/>
            <w:hideMark/>
          </w:tcPr>
          <w:p w:rsidR="004F4CD1" w:rsidRPr="00E8450A" w:rsidRDefault="004F4CD1" w:rsidP="00FC53B5">
            <w:pPr>
              <w:pStyle w:val="paragraph"/>
              <w:spacing w:before="120" w:beforeAutospacing="0" w:after="120" w:afterAutospacing="0"/>
              <w:textAlignment w:val="baseline"/>
              <w:rPr>
                <w:noProof/>
                <w:highlight w:val="lightGray"/>
              </w:rPr>
            </w:pPr>
            <w:r w:rsidRPr="00E8450A">
              <w:rPr>
                <w:noProof/>
                <w:color w:val="000000"/>
                <w:highlight w:val="lightGray"/>
              </w:rPr>
              <w:t>50 </w:t>
            </w:r>
            <w:r w:rsidRPr="00E8450A">
              <w:rPr>
                <w:rStyle w:val="normaltextrun"/>
                <w:noProof/>
                <w:highlight w:val="lightGray"/>
              </w:rPr>
              <w:t>µg/m</w:t>
            </w:r>
            <w:r w:rsidRPr="00E8450A">
              <w:rPr>
                <w:rStyle w:val="normaltextrun"/>
                <w:noProof/>
                <w:highlight w:val="lightGray"/>
                <w:vertAlign w:val="superscript"/>
              </w:rPr>
              <w:t>3</w:t>
            </w:r>
          </w:p>
        </w:tc>
        <w:tc>
          <w:tcPr>
            <w:tcW w:w="1049" w:type="dxa"/>
            <w:tcMar>
              <w:left w:w="57" w:type="dxa"/>
              <w:right w:w="57" w:type="dxa"/>
            </w:tcMar>
            <w:vAlign w:val="center"/>
            <w:hideMark/>
          </w:tcPr>
          <w:p w:rsidR="004F4CD1" w:rsidRPr="00E8450A" w:rsidRDefault="004F4CD1" w:rsidP="00FC53B5">
            <w:pPr>
              <w:pStyle w:val="paragraph"/>
              <w:spacing w:before="120" w:beforeAutospacing="0" w:after="120" w:afterAutospacing="0"/>
              <w:textAlignment w:val="baseline"/>
              <w:rPr>
                <w:noProof/>
                <w:highlight w:val="lightGray"/>
              </w:rPr>
            </w:pPr>
            <w:r w:rsidRPr="00E8450A">
              <w:rPr>
                <w:noProof/>
                <w:color w:val="000000"/>
                <w:highlight w:val="lightGray"/>
              </w:rPr>
              <w:t xml:space="preserve">25 % </w:t>
            </w:r>
          </w:p>
        </w:tc>
        <w:tc>
          <w:tcPr>
            <w:tcW w:w="2365" w:type="dxa"/>
            <w:tcMar>
              <w:left w:w="57" w:type="dxa"/>
              <w:right w:w="57" w:type="dxa"/>
            </w:tcMar>
            <w:hideMark/>
          </w:tcPr>
          <w:p w:rsidR="004F4CD1" w:rsidRPr="00E8450A" w:rsidRDefault="004F4CD1" w:rsidP="00FC53B5">
            <w:pPr>
              <w:pStyle w:val="paragraph"/>
              <w:spacing w:before="120" w:beforeAutospacing="0" w:after="120" w:afterAutospacing="0"/>
              <w:textAlignment w:val="baseline"/>
              <w:rPr>
                <w:noProof/>
                <w:highlight w:val="lightGray"/>
              </w:rPr>
            </w:pPr>
            <w:r w:rsidRPr="00E8450A">
              <w:rPr>
                <w:noProof/>
                <w:color w:val="000000"/>
                <w:highlight w:val="lightGray"/>
              </w:rPr>
              <w:t>3,2</w:t>
            </w:r>
          </w:p>
        </w:tc>
      </w:tr>
      <w:tr w:rsidR="004F4CD1" w:rsidRPr="00E8450A" w:rsidTr="00FC53B5">
        <w:trPr>
          <w:trHeight w:val="300"/>
        </w:trPr>
        <w:tc>
          <w:tcPr>
            <w:tcW w:w="1918" w:type="dxa"/>
            <w:tcBorders>
              <w:left w:val="nil"/>
            </w:tcBorders>
            <w:tcMar>
              <w:left w:w="57" w:type="dxa"/>
              <w:right w:w="57" w:type="dxa"/>
            </w:tcMar>
            <w:vAlign w:val="center"/>
            <w:hideMark/>
          </w:tcPr>
          <w:p w:rsidR="004F4CD1" w:rsidRPr="00E8450A" w:rsidRDefault="004F4CD1" w:rsidP="00FC53B5">
            <w:pPr>
              <w:pStyle w:val="paragraph"/>
              <w:spacing w:before="120" w:beforeAutospacing="0" w:after="120" w:afterAutospacing="0"/>
              <w:textAlignment w:val="baseline"/>
              <w:rPr>
                <w:b/>
                <w:bCs/>
                <w:noProof/>
                <w:highlight w:val="lightGray"/>
              </w:rPr>
            </w:pPr>
            <w:r w:rsidRPr="00E8450A">
              <w:rPr>
                <w:b/>
                <w:noProof/>
                <w:color w:val="000000"/>
                <w:highlight w:val="lightGray"/>
              </w:rPr>
              <w:t>SO</w:t>
            </w:r>
            <w:r w:rsidRPr="00E8450A">
              <w:rPr>
                <w:b/>
                <w:noProof/>
                <w:color w:val="000000"/>
                <w:highlight w:val="lightGray"/>
                <w:vertAlign w:val="subscript"/>
              </w:rPr>
              <w:t>2</w:t>
            </w:r>
            <w:r w:rsidRPr="00E8450A">
              <w:rPr>
                <w:b/>
                <w:noProof/>
                <w:color w:val="000000"/>
                <w:highlight w:val="lightGray"/>
              </w:rPr>
              <w:t xml:space="preserve"> (denné hodnoty)</w:t>
            </w:r>
          </w:p>
        </w:tc>
        <w:tc>
          <w:tcPr>
            <w:tcW w:w="1499" w:type="dxa"/>
            <w:tcMar>
              <w:left w:w="57" w:type="dxa"/>
              <w:right w:w="57" w:type="dxa"/>
            </w:tcMar>
            <w:vAlign w:val="center"/>
            <w:hideMark/>
          </w:tcPr>
          <w:p w:rsidR="004F4CD1" w:rsidRPr="00E8450A" w:rsidRDefault="004F4CD1" w:rsidP="00FC53B5">
            <w:pPr>
              <w:pStyle w:val="paragraph"/>
              <w:spacing w:before="120" w:beforeAutospacing="0" w:after="120" w:afterAutospacing="0"/>
              <w:textAlignment w:val="baseline"/>
              <w:rPr>
                <w:noProof/>
                <w:highlight w:val="lightGray"/>
              </w:rPr>
            </w:pPr>
            <w:r w:rsidRPr="00E8450A">
              <w:rPr>
                <w:noProof/>
                <w:color w:val="000000"/>
                <w:highlight w:val="lightGray"/>
              </w:rPr>
              <w:t>7,5 </w:t>
            </w:r>
            <w:r w:rsidRPr="00E8450A">
              <w:rPr>
                <w:rStyle w:val="normaltextrun"/>
                <w:noProof/>
                <w:highlight w:val="lightGray"/>
              </w:rPr>
              <w:t>µg/m</w:t>
            </w:r>
            <w:r w:rsidRPr="00E8450A">
              <w:rPr>
                <w:rStyle w:val="normaltextrun"/>
                <w:noProof/>
                <w:highlight w:val="lightGray"/>
                <w:vertAlign w:val="superscript"/>
              </w:rPr>
              <w:t>3</w:t>
            </w:r>
          </w:p>
        </w:tc>
        <w:tc>
          <w:tcPr>
            <w:tcW w:w="1119" w:type="dxa"/>
            <w:tcMar>
              <w:left w:w="57" w:type="dxa"/>
              <w:right w:w="57" w:type="dxa"/>
            </w:tcMar>
            <w:vAlign w:val="center"/>
            <w:hideMark/>
          </w:tcPr>
          <w:p w:rsidR="004F4CD1" w:rsidRPr="00E8450A" w:rsidRDefault="004F4CD1" w:rsidP="00FC53B5">
            <w:pPr>
              <w:pStyle w:val="paragraph"/>
              <w:spacing w:before="120" w:beforeAutospacing="0" w:after="120" w:afterAutospacing="0"/>
              <w:textAlignment w:val="baseline"/>
              <w:rPr>
                <w:noProof/>
                <w:highlight w:val="lightGray"/>
              </w:rPr>
            </w:pPr>
            <w:r w:rsidRPr="00E8450A">
              <w:rPr>
                <w:noProof/>
                <w:color w:val="000000"/>
                <w:highlight w:val="lightGray"/>
              </w:rPr>
              <w:t>15 %</w:t>
            </w:r>
          </w:p>
        </w:tc>
        <w:tc>
          <w:tcPr>
            <w:tcW w:w="1414" w:type="dxa"/>
            <w:tcMar>
              <w:left w:w="57" w:type="dxa"/>
              <w:right w:w="57" w:type="dxa"/>
            </w:tcMar>
            <w:vAlign w:val="center"/>
            <w:hideMark/>
          </w:tcPr>
          <w:p w:rsidR="004F4CD1" w:rsidRPr="00E8450A" w:rsidRDefault="004F4CD1" w:rsidP="00FC53B5">
            <w:pPr>
              <w:pStyle w:val="paragraph"/>
              <w:spacing w:before="120" w:beforeAutospacing="0" w:after="120" w:afterAutospacing="0"/>
              <w:textAlignment w:val="baseline"/>
              <w:rPr>
                <w:noProof/>
                <w:highlight w:val="lightGray"/>
              </w:rPr>
            </w:pPr>
            <w:r w:rsidRPr="00E8450A">
              <w:rPr>
                <w:noProof/>
                <w:color w:val="000000"/>
                <w:highlight w:val="lightGray"/>
              </w:rPr>
              <w:t>12,5 </w:t>
            </w:r>
            <w:r w:rsidRPr="00E8450A">
              <w:rPr>
                <w:rStyle w:val="normaltextrun"/>
                <w:noProof/>
                <w:highlight w:val="lightGray"/>
              </w:rPr>
              <w:t>µg/m</w:t>
            </w:r>
            <w:r w:rsidRPr="00E8450A">
              <w:rPr>
                <w:rStyle w:val="normaltextrun"/>
                <w:noProof/>
                <w:highlight w:val="lightGray"/>
                <w:vertAlign w:val="superscript"/>
              </w:rPr>
              <w:t>3</w:t>
            </w:r>
          </w:p>
        </w:tc>
        <w:tc>
          <w:tcPr>
            <w:tcW w:w="1049" w:type="dxa"/>
            <w:tcMar>
              <w:left w:w="57" w:type="dxa"/>
              <w:right w:w="57" w:type="dxa"/>
            </w:tcMar>
            <w:vAlign w:val="center"/>
            <w:hideMark/>
          </w:tcPr>
          <w:p w:rsidR="004F4CD1" w:rsidRPr="00E8450A" w:rsidRDefault="004F4CD1" w:rsidP="00FC53B5">
            <w:pPr>
              <w:pStyle w:val="paragraph"/>
              <w:spacing w:before="120" w:beforeAutospacing="0" w:after="120" w:afterAutospacing="0"/>
              <w:textAlignment w:val="baseline"/>
              <w:rPr>
                <w:noProof/>
                <w:highlight w:val="lightGray"/>
              </w:rPr>
            </w:pPr>
            <w:r w:rsidRPr="00E8450A">
              <w:rPr>
                <w:noProof/>
                <w:color w:val="000000"/>
                <w:highlight w:val="lightGray"/>
              </w:rPr>
              <w:t>25 %</w:t>
            </w:r>
          </w:p>
        </w:tc>
        <w:tc>
          <w:tcPr>
            <w:tcW w:w="2365" w:type="dxa"/>
            <w:tcMar>
              <w:left w:w="57" w:type="dxa"/>
              <w:right w:w="57" w:type="dxa"/>
            </w:tcMar>
            <w:hideMark/>
          </w:tcPr>
          <w:p w:rsidR="004F4CD1" w:rsidRPr="00E8450A" w:rsidRDefault="004F4CD1" w:rsidP="00FC53B5">
            <w:pPr>
              <w:pStyle w:val="paragraph"/>
              <w:spacing w:before="120" w:beforeAutospacing="0" w:after="120" w:afterAutospacing="0"/>
              <w:textAlignment w:val="baseline"/>
              <w:rPr>
                <w:noProof/>
                <w:highlight w:val="lightGray"/>
              </w:rPr>
            </w:pPr>
            <w:r w:rsidRPr="00E8450A">
              <w:rPr>
                <w:noProof/>
                <w:color w:val="000000"/>
                <w:highlight w:val="lightGray"/>
              </w:rPr>
              <w:t>3,2</w:t>
            </w:r>
          </w:p>
        </w:tc>
      </w:tr>
      <w:tr w:rsidR="004F4CD1" w:rsidRPr="00E8450A" w:rsidTr="00FC53B5">
        <w:trPr>
          <w:trHeight w:val="300"/>
        </w:trPr>
        <w:tc>
          <w:tcPr>
            <w:tcW w:w="1918" w:type="dxa"/>
            <w:tcBorders>
              <w:left w:val="nil"/>
            </w:tcBorders>
            <w:tcMar>
              <w:left w:w="57" w:type="dxa"/>
              <w:right w:w="57" w:type="dxa"/>
            </w:tcMar>
            <w:vAlign w:val="center"/>
            <w:hideMark/>
          </w:tcPr>
          <w:p w:rsidR="004F4CD1" w:rsidRPr="00E8450A" w:rsidRDefault="004F4CD1" w:rsidP="00FC53B5">
            <w:pPr>
              <w:pStyle w:val="paragraph"/>
              <w:spacing w:before="120" w:beforeAutospacing="0" w:after="120" w:afterAutospacing="0"/>
              <w:textAlignment w:val="baseline"/>
              <w:rPr>
                <w:b/>
                <w:bCs/>
                <w:noProof/>
                <w:highlight w:val="lightGray"/>
              </w:rPr>
            </w:pPr>
            <w:r w:rsidRPr="00E8450A">
              <w:rPr>
                <w:b/>
                <w:noProof/>
                <w:color w:val="000000"/>
                <w:highlight w:val="lightGray"/>
              </w:rPr>
              <w:t>SO</w:t>
            </w:r>
            <w:r w:rsidRPr="00E8450A">
              <w:rPr>
                <w:b/>
                <w:noProof/>
                <w:color w:val="000000"/>
                <w:highlight w:val="lightGray"/>
                <w:vertAlign w:val="subscript"/>
              </w:rPr>
              <w:t>2</w:t>
            </w:r>
            <w:r w:rsidRPr="00E8450A">
              <w:rPr>
                <w:b/>
                <w:noProof/>
                <w:color w:val="000000"/>
                <w:highlight w:val="lightGray"/>
              </w:rPr>
              <w:t xml:space="preserve"> (hodinové hodnoty)</w:t>
            </w:r>
          </w:p>
        </w:tc>
        <w:tc>
          <w:tcPr>
            <w:tcW w:w="1499" w:type="dxa"/>
            <w:tcMar>
              <w:left w:w="57" w:type="dxa"/>
              <w:right w:w="57" w:type="dxa"/>
            </w:tcMar>
            <w:vAlign w:val="center"/>
            <w:hideMark/>
          </w:tcPr>
          <w:p w:rsidR="004F4CD1" w:rsidRPr="00E8450A" w:rsidRDefault="004F4CD1" w:rsidP="00FC53B5">
            <w:pPr>
              <w:pStyle w:val="paragraph"/>
              <w:spacing w:before="120" w:beforeAutospacing="0" w:after="120" w:afterAutospacing="0"/>
              <w:textAlignment w:val="baseline"/>
              <w:rPr>
                <w:noProof/>
                <w:highlight w:val="lightGray"/>
              </w:rPr>
            </w:pPr>
            <w:r w:rsidRPr="00E8450A">
              <w:rPr>
                <w:noProof/>
                <w:color w:val="000000"/>
                <w:highlight w:val="lightGray"/>
              </w:rPr>
              <w:t>52,5 </w:t>
            </w:r>
            <w:r w:rsidRPr="00E8450A">
              <w:rPr>
                <w:rStyle w:val="normaltextrun"/>
                <w:noProof/>
                <w:highlight w:val="lightGray"/>
              </w:rPr>
              <w:t>µg/m</w:t>
            </w:r>
            <w:r w:rsidRPr="00E8450A">
              <w:rPr>
                <w:rStyle w:val="normaltextrun"/>
                <w:noProof/>
                <w:highlight w:val="lightGray"/>
                <w:vertAlign w:val="superscript"/>
              </w:rPr>
              <w:t>3</w:t>
            </w:r>
          </w:p>
        </w:tc>
        <w:tc>
          <w:tcPr>
            <w:tcW w:w="1119" w:type="dxa"/>
            <w:tcMar>
              <w:left w:w="57" w:type="dxa"/>
              <w:right w:w="57" w:type="dxa"/>
            </w:tcMar>
            <w:vAlign w:val="center"/>
            <w:hideMark/>
          </w:tcPr>
          <w:p w:rsidR="004F4CD1" w:rsidRPr="00E8450A" w:rsidRDefault="004F4CD1" w:rsidP="00FC53B5">
            <w:pPr>
              <w:pStyle w:val="paragraph"/>
              <w:spacing w:before="120" w:beforeAutospacing="0" w:after="120" w:afterAutospacing="0"/>
              <w:textAlignment w:val="baseline"/>
              <w:rPr>
                <w:noProof/>
                <w:highlight w:val="lightGray"/>
              </w:rPr>
            </w:pPr>
            <w:r w:rsidRPr="00E8450A">
              <w:rPr>
                <w:noProof/>
                <w:color w:val="000000"/>
                <w:highlight w:val="lightGray"/>
              </w:rPr>
              <w:t>15 %</w:t>
            </w:r>
          </w:p>
        </w:tc>
        <w:tc>
          <w:tcPr>
            <w:tcW w:w="1414" w:type="dxa"/>
            <w:tcMar>
              <w:left w:w="57" w:type="dxa"/>
              <w:right w:w="57" w:type="dxa"/>
            </w:tcMar>
            <w:vAlign w:val="center"/>
            <w:hideMark/>
          </w:tcPr>
          <w:p w:rsidR="004F4CD1" w:rsidRPr="00E8450A" w:rsidRDefault="004F4CD1" w:rsidP="00FC53B5">
            <w:pPr>
              <w:pStyle w:val="paragraph"/>
              <w:spacing w:before="120" w:beforeAutospacing="0" w:after="120" w:afterAutospacing="0"/>
              <w:textAlignment w:val="baseline"/>
              <w:rPr>
                <w:noProof/>
                <w:highlight w:val="lightGray"/>
              </w:rPr>
            </w:pPr>
            <w:r w:rsidRPr="00E8450A">
              <w:rPr>
                <w:noProof/>
                <w:color w:val="000000"/>
                <w:highlight w:val="lightGray"/>
              </w:rPr>
              <w:t>87,5 </w:t>
            </w:r>
            <w:r w:rsidRPr="00E8450A">
              <w:rPr>
                <w:rStyle w:val="normaltextrun"/>
                <w:noProof/>
                <w:highlight w:val="lightGray"/>
              </w:rPr>
              <w:t>µg/m</w:t>
            </w:r>
            <w:r w:rsidRPr="00E8450A">
              <w:rPr>
                <w:rStyle w:val="normaltextrun"/>
                <w:noProof/>
                <w:highlight w:val="lightGray"/>
                <w:vertAlign w:val="superscript"/>
              </w:rPr>
              <w:t>3</w:t>
            </w:r>
          </w:p>
        </w:tc>
        <w:tc>
          <w:tcPr>
            <w:tcW w:w="1049" w:type="dxa"/>
            <w:tcMar>
              <w:left w:w="57" w:type="dxa"/>
              <w:right w:w="57" w:type="dxa"/>
            </w:tcMar>
            <w:vAlign w:val="center"/>
            <w:hideMark/>
          </w:tcPr>
          <w:p w:rsidR="004F4CD1" w:rsidRPr="00E8450A" w:rsidRDefault="004F4CD1" w:rsidP="00FC53B5">
            <w:pPr>
              <w:pStyle w:val="paragraph"/>
              <w:spacing w:before="120" w:beforeAutospacing="0" w:after="120" w:afterAutospacing="0"/>
              <w:textAlignment w:val="baseline"/>
              <w:rPr>
                <w:noProof/>
                <w:highlight w:val="lightGray"/>
              </w:rPr>
            </w:pPr>
            <w:r w:rsidRPr="00E8450A">
              <w:rPr>
                <w:noProof/>
                <w:color w:val="000000"/>
                <w:highlight w:val="lightGray"/>
              </w:rPr>
              <w:t>25 %</w:t>
            </w:r>
          </w:p>
        </w:tc>
        <w:tc>
          <w:tcPr>
            <w:tcW w:w="2365" w:type="dxa"/>
            <w:tcMar>
              <w:left w:w="57" w:type="dxa"/>
              <w:right w:w="57" w:type="dxa"/>
            </w:tcMar>
            <w:hideMark/>
          </w:tcPr>
          <w:p w:rsidR="004F4CD1" w:rsidRPr="00E8450A" w:rsidRDefault="004F4CD1" w:rsidP="00FC53B5">
            <w:pPr>
              <w:pStyle w:val="paragraph"/>
              <w:spacing w:before="120" w:beforeAutospacing="0" w:after="120" w:afterAutospacing="0"/>
              <w:textAlignment w:val="baseline"/>
              <w:rPr>
                <w:noProof/>
                <w:highlight w:val="lightGray"/>
              </w:rPr>
            </w:pPr>
            <w:r w:rsidRPr="00E8450A">
              <w:rPr>
                <w:noProof/>
                <w:color w:val="000000"/>
                <w:highlight w:val="lightGray"/>
              </w:rPr>
              <w:t>3,2</w:t>
            </w:r>
          </w:p>
        </w:tc>
      </w:tr>
      <w:tr w:rsidR="004F4CD1" w:rsidRPr="00E8450A" w:rsidTr="00FC53B5">
        <w:trPr>
          <w:trHeight w:val="300"/>
        </w:trPr>
        <w:tc>
          <w:tcPr>
            <w:tcW w:w="1918" w:type="dxa"/>
            <w:tcBorders>
              <w:left w:val="nil"/>
            </w:tcBorders>
            <w:tcMar>
              <w:left w:w="57" w:type="dxa"/>
              <w:right w:w="57" w:type="dxa"/>
            </w:tcMar>
            <w:vAlign w:val="center"/>
            <w:hideMark/>
          </w:tcPr>
          <w:p w:rsidR="004F4CD1" w:rsidRPr="00E8450A" w:rsidRDefault="004F4CD1" w:rsidP="00FC53B5">
            <w:pPr>
              <w:pStyle w:val="paragraph"/>
              <w:spacing w:before="120" w:beforeAutospacing="0" w:after="120" w:afterAutospacing="0"/>
              <w:textAlignment w:val="baseline"/>
              <w:rPr>
                <w:b/>
                <w:bCs/>
                <w:noProof/>
                <w:highlight w:val="lightGray"/>
              </w:rPr>
            </w:pPr>
            <w:r w:rsidRPr="00E8450A">
              <w:rPr>
                <w:b/>
                <w:noProof/>
                <w:color w:val="000000"/>
                <w:highlight w:val="lightGray"/>
              </w:rPr>
              <w:t>CO (24-hodinové hodnoty)</w:t>
            </w:r>
          </w:p>
        </w:tc>
        <w:tc>
          <w:tcPr>
            <w:tcW w:w="1499" w:type="dxa"/>
            <w:tcMar>
              <w:left w:w="57" w:type="dxa"/>
              <w:right w:w="57" w:type="dxa"/>
            </w:tcMar>
            <w:vAlign w:val="center"/>
            <w:hideMark/>
          </w:tcPr>
          <w:p w:rsidR="004F4CD1" w:rsidRPr="00E8450A" w:rsidRDefault="004F4CD1" w:rsidP="00FC53B5">
            <w:pPr>
              <w:pStyle w:val="paragraph"/>
              <w:spacing w:before="120" w:beforeAutospacing="0" w:after="120" w:afterAutospacing="0"/>
              <w:textAlignment w:val="baseline"/>
              <w:rPr>
                <w:noProof/>
                <w:highlight w:val="lightGray"/>
              </w:rPr>
            </w:pPr>
            <w:r w:rsidRPr="00E8450A">
              <w:rPr>
                <w:noProof/>
                <w:color w:val="000000"/>
                <w:highlight w:val="lightGray"/>
              </w:rPr>
              <w:t>0,6</w:t>
            </w:r>
            <w:r w:rsidRPr="00E8450A">
              <w:rPr>
                <w:noProof/>
                <w:highlight w:val="lightGray"/>
              </w:rPr>
              <w:t> </w:t>
            </w:r>
            <w:r w:rsidRPr="00E8450A">
              <w:rPr>
                <w:noProof/>
                <w:color w:val="000000"/>
                <w:highlight w:val="lightGray"/>
              </w:rPr>
              <w:t>mg/m</w:t>
            </w:r>
            <w:r w:rsidRPr="00E8450A">
              <w:rPr>
                <w:noProof/>
                <w:color w:val="000000"/>
                <w:highlight w:val="lightGray"/>
                <w:vertAlign w:val="superscript"/>
              </w:rPr>
              <w:t>3</w:t>
            </w:r>
          </w:p>
        </w:tc>
        <w:tc>
          <w:tcPr>
            <w:tcW w:w="1119" w:type="dxa"/>
            <w:tcMar>
              <w:left w:w="57" w:type="dxa"/>
              <w:right w:w="57" w:type="dxa"/>
            </w:tcMar>
            <w:vAlign w:val="center"/>
            <w:hideMark/>
          </w:tcPr>
          <w:p w:rsidR="004F4CD1" w:rsidRPr="00E8450A" w:rsidRDefault="004F4CD1" w:rsidP="00FC53B5">
            <w:pPr>
              <w:pStyle w:val="paragraph"/>
              <w:spacing w:before="120" w:beforeAutospacing="0" w:after="120" w:afterAutospacing="0"/>
              <w:textAlignment w:val="baseline"/>
              <w:rPr>
                <w:noProof/>
                <w:highlight w:val="lightGray"/>
              </w:rPr>
            </w:pPr>
            <w:r w:rsidRPr="00E8450A">
              <w:rPr>
                <w:noProof/>
                <w:color w:val="000000"/>
                <w:highlight w:val="lightGray"/>
              </w:rPr>
              <w:t>15 %</w:t>
            </w:r>
          </w:p>
        </w:tc>
        <w:tc>
          <w:tcPr>
            <w:tcW w:w="1414" w:type="dxa"/>
            <w:tcMar>
              <w:left w:w="57" w:type="dxa"/>
              <w:right w:w="57" w:type="dxa"/>
            </w:tcMar>
            <w:vAlign w:val="center"/>
            <w:hideMark/>
          </w:tcPr>
          <w:p w:rsidR="004F4CD1" w:rsidRPr="00E8450A" w:rsidRDefault="004F4CD1" w:rsidP="00FC53B5">
            <w:pPr>
              <w:pStyle w:val="paragraph"/>
              <w:spacing w:before="120" w:beforeAutospacing="0" w:after="120" w:afterAutospacing="0"/>
              <w:textAlignment w:val="baseline"/>
              <w:rPr>
                <w:noProof/>
                <w:highlight w:val="lightGray"/>
              </w:rPr>
            </w:pPr>
            <w:r w:rsidRPr="00E8450A">
              <w:rPr>
                <w:noProof/>
                <w:color w:val="000000"/>
                <w:highlight w:val="lightGray"/>
              </w:rPr>
              <w:t>1,0 mg/m</w:t>
            </w:r>
            <w:r w:rsidRPr="00E8450A">
              <w:rPr>
                <w:noProof/>
                <w:color w:val="000000"/>
                <w:highlight w:val="lightGray"/>
                <w:vertAlign w:val="superscript"/>
              </w:rPr>
              <w:t>3</w:t>
            </w:r>
          </w:p>
        </w:tc>
        <w:tc>
          <w:tcPr>
            <w:tcW w:w="1049" w:type="dxa"/>
            <w:tcMar>
              <w:left w:w="57" w:type="dxa"/>
              <w:right w:w="57" w:type="dxa"/>
            </w:tcMar>
            <w:vAlign w:val="center"/>
            <w:hideMark/>
          </w:tcPr>
          <w:p w:rsidR="004F4CD1" w:rsidRPr="00E8450A" w:rsidRDefault="004F4CD1" w:rsidP="00FC53B5">
            <w:pPr>
              <w:pStyle w:val="paragraph"/>
              <w:spacing w:before="120" w:beforeAutospacing="0" w:after="120" w:afterAutospacing="0"/>
              <w:textAlignment w:val="baseline"/>
              <w:rPr>
                <w:noProof/>
                <w:highlight w:val="lightGray"/>
              </w:rPr>
            </w:pPr>
            <w:r w:rsidRPr="00E8450A">
              <w:rPr>
                <w:noProof/>
                <w:color w:val="000000"/>
                <w:highlight w:val="lightGray"/>
              </w:rPr>
              <w:t>25 %</w:t>
            </w:r>
          </w:p>
        </w:tc>
        <w:tc>
          <w:tcPr>
            <w:tcW w:w="2365" w:type="dxa"/>
            <w:tcMar>
              <w:left w:w="57" w:type="dxa"/>
              <w:right w:w="57" w:type="dxa"/>
            </w:tcMar>
            <w:hideMark/>
          </w:tcPr>
          <w:p w:rsidR="004F4CD1" w:rsidRPr="00E8450A" w:rsidRDefault="004F4CD1" w:rsidP="00FC53B5">
            <w:pPr>
              <w:pStyle w:val="paragraph"/>
              <w:spacing w:before="120" w:beforeAutospacing="0" w:after="120" w:afterAutospacing="0"/>
              <w:textAlignment w:val="baseline"/>
              <w:rPr>
                <w:noProof/>
                <w:highlight w:val="lightGray"/>
              </w:rPr>
            </w:pPr>
            <w:r w:rsidRPr="00E8450A">
              <w:rPr>
                <w:noProof/>
                <w:color w:val="000000"/>
                <w:highlight w:val="lightGray"/>
              </w:rPr>
              <w:t>3,2</w:t>
            </w:r>
          </w:p>
        </w:tc>
      </w:tr>
      <w:tr w:rsidR="004F4CD1" w:rsidRPr="00E8450A" w:rsidTr="00FC53B5">
        <w:trPr>
          <w:trHeight w:val="300"/>
        </w:trPr>
        <w:tc>
          <w:tcPr>
            <w:tcW w:w="1918" w:type="dxa"/>
            <w:tcBorders>
              <w:left w:val="nil"/>
            </w:tcBorders>
            <w:tcMar>
              <w:left w:w="57" w:type="dxa"/>
              <w:right w:w="57" w:type="dxa"/>
            </w:tcMar>
            <w:vAlign w:val="center"/>
          </w:tcPr>
          <w:p w:rsidR="004F4CD1" w:rsidRPr="00E8450A" w:rsidRDefault="004F4CD1" w:rsidP="00FC53B5">
            <w:pPr>
              <w:pStyle w:val="paragraph"/>
              <w:spacing w:before="120" w:beforeAutospacing="0" w:after="120" w:afterAutospacing="0"/>
              <w:textAlignment w:val="baseline"/>
              <w:rPr>
                <w:rStyle w:val="normaltextrun"/>
                <w:b/>
                <w:bCs/>
                <w:noProof/>
                <w:color w:val="000000"/>
                <w:highlight w:val="lightGray"/>
              </w:rPr>
            </w:pPr>
            <w:r w:rsidRPr="00E8450A">
              <w:rPr>
                <w:b/>
                <w:noProof/>
                <w:color w:val="000000"/>
                <w:highlight w:val="lightGray"/>
              </w:rPr>
              <w:t>CO (8-hodinové hodnoty)</w:t>
            </w:r>
          </w:p>
        </w:tc>
        <w:tc>
          <w:tcPr>
            <w:tcW w:w="1499" w:type="dxa"/>
            <w:tcMar>
              <w:left w:w="57" w:type="dxa"/>
              <w:right w:w="57" w:type="dxa"/>
            </w:tcMar>
            <w:vAlign w:val="center"/>
          </w:tcPr>
          <w:p w:rsidR="004F4CD1" w:rsidRPr="00E8450A" w:rsidRDefault="004F4CD1" w:rsidP="00FC53B5">
            <w:pPr>
              <w:pStyle w:val="paragraph"/>
              <w:spacing w:before="120" w:beforeAutospacing="0" w:after="120" w:afterAutospacing="0"/>
              <w:textAlignment w:val="baseline"/>
              <w:rPr>
                <w:rStyle w:val="normaltextrun"/>
                <w:noProof/>
                <w:highlight w:val="lightGray"/>
              </w:rPr>
            </w:pPr>
            <w:r w:rsidRPr="00E8450A">
              <w:rPr>
                <w:noProof/>
                <w:color w:val="000000"/>
                <w:highlight w:val="lightGray"/>
              </w:rPr>
              <w:t>1,0 mg/m</w:t>
            </w:r>
            <w:r w:rsidRPr="00E8450A">
              <w:rPr>
                <w:noProof/>
                <w:color w:val="000000"/>
                <w:highlight w:val="lightGray"/>
                <w:vertAlign w:val="superscript"/>
              </w:rPr>
              <w:t>3</w:t>
            </w:r>
          </w:p>
        </w:tc>
        <w:tc>
          <w:tcPr>
            <w:tcW w:w="1119" w:type="dxa"/>
            <w:tcMar>
              <w:left w:w="57" w:type="dxa"/>
              <w:right w:w="57" w:type="dxa"/>
            </w:tcMar>
            <w:vAlign w:val="center"/>
          </w:tcPr>
          <w:p w:rsidR="004F4CD1" w:rsidRPr="00E8450A" w:rsidRDefault="004F4CD1" w:rsidP="00FC53B5">
            <w:pPr>
              <w:pStyle w:val="paragraph"/>
              <w:spacing w:before="120" w:beforeAutospacing="0" w:after="120" w:afterAutospacing="0"/>
              <w:textAlignment w:val="baseline"/>
              <w:rPr>
                <w:rStyle w:val="normaltextrun"/>
                <w:noProof/>
                <w:highlight w:val="lightGray"/>
              </w:rPr>
            </w:pPr>
            <w:r w:rsidRPr="00E8450A">
              <w:rPr>
                <w:noProof/>
                <w:color w:val="000000"/>
                <w:highlight w:val="lightGray"/>
              </w:rPr>
              <w:t>10 %</w:t>
            </w:r>
          </w:p>
        </w:tc>
        <w:tc>
          <w:tcPr>
            <w:tcW w:w="1414" w:type="dxa"/>
            <w:tcMar>
              <w:left w:w="57" w:type="dxa"/>
              <w:right w:w="57" w:type="dxa"/>
            </w:tcMar>
            <w:vAlign w:val="center"/>
          </w:tcPr>
          <w:p w:rsidR="004F4CD1" w:rsidRPr="00E8450A" w:rsidRDefault="004F4CD1" w:rsidP="00FC53B5">
            <w:pPr>
              <w:pStyle w:val="paragraph"/>
              <w:spacing w:before="120" w:beforeAutospacing="0" w:after="120" w:afterAutospacing="0"/>
              <w:textAlignment w:val="baseline"/>
              <w:rPr>
                <w:rStyle w:val="normaltextrun"/>
                <w:noProof/>
                <w:highlight w:val="lightGray"/>
              </w:rPr>
            </w:pPr>
            <w:r w:rsidRPr="00E8450A">
              <w:rPr>
                <w:noProof/>
                <w:color w:val="000000"/>
                <w:highlight w:val="lightGray"/>
              </w:rPr>
              <w:t>2,0 mg/m</w:t>
            </w:r>
            <w:r w:rsidRPr="00E8450A">
              <w:rPr>
                <w:noProof/>
                <w:color w:val="000000"/>
                <w:highlight w:val="lightGray"/>
                <w:vertAlign w:val="superscript"/>
              </w:rPr>
              <w:t>3</w:t>
            </w:r>
          </w:p>
        </w:tc>
        <w:tc>
          <w:tcPr>
            <w:tcW w:w="1049" w:type="dxa"/>
            <w:tcMar>
              <w:left w:w="57" w:type="dxa"/>
              <w:right w:w="57" w:type="dxa"/>
            </w:tcMar>
            <w:vAlign w:val="center"/>
          </w:tcPr>
          <w:p w:rsidR="004F4CD1" w:rsidRPr="00E8450A" w:rsidRDefault="004F4CD1" w:rsidP="00FC53B5">
            <w:pPr>
              <w:pStyle w:val="paragraph"/>
              <w:spacing w:before="120" w:beforeAutospacing="0" w:after="120" w:afterAutospacing="0"/>
              <w:textAlignment w:val="baseline"/>
              <w:rPr>
                <w:rStyle w:val="normaltextrun"/>
                <w:noProof/>
                <w:highlight w:val="lightGray"/>
              </w:rPr>
            </w:pPr>
            <w:r w:rsidRPr="00E8450A">
              <w:rPr>
                <w:noProof/>
                <w:color w:val="000000"/>
                <w:highlight w:val="lightGray"/>
              </w:rPr>
              <w:t>20 %</w:t>
            </w:r>
          </w:p>
        </w:tc>
        <w:tc>
          <w:tcPr>
            <w:tcW w:w="2365" w:type="dxa"/>
            <w:tcMar>
              <w:left w:w="57" w:type="dxa"/>
              <w:right w:w="57" w:type="dxa"/>
            </w:tcMar>
          </w:tcPr>
          <w:p w:rsidR="004F4CD1" w:rsidRPr="00E8450A" w:rsidRDefault="004F4CD1" w:rsidP="00FC53B5">
            <w:pPr>
              <w:pStyle w:val="paragraph"/>
              <w:spacing w:before="120" w:beforeAutospacing="0" w:after="120" w:afterAutospacing="0"/>
              <w:textAlignment w:val="baseline"/>
              <w:rPr>
                <w:rStyle w:val="normaltextrun"/>
                <w:noProof/>
                <w:highlight w:val="lightGray"/>
              </w:rPr>
            </w:pPr>
            <w:r w:rsidRPr="00E8450A">
              <w:rPr>
                <w:noProof/>
                <w:color w:val="000000"/>
                <w:highlight w:val="lightGray"/>
              </w:rPr>
              <w:t>4,9</w:t>
            </w:r>
          </w:p>
        </w:tc>
      </w:tr>
      <w:tr w:rsidR="004F4CD1" w:rsidRPr="00E8450A" w:rsidTr="00FC53B5">
        <w:trPr>
          <w:trHeight w:val="300"/>
        </w:trPr>
        <w:tc>
          <w:tcPr>
            <w:tcW w:w="1918" w:type="dxa"/>
            <w:tcBorders>
              <w:left w:val="nil"/>
            </w:tcBorders>
            <w:tcMar>
              <w:left w:w="57" w:type="dxa"/>
              <w:right w:w="57" w:type="dxa"/>
            </w:tcMar>
            <w:vAlign w:val="center"/>
            <w:hideMark/>
          </w:tcPr>
          <w:p w:rsidR="004F4CD1" w:rsidRPr="00E8450A" w:rsidRDefault="004F4CD1" w:rsidP="00FC53B5">
            <w:pPr>
              <w:pStyle w:val="paragraph"/>
              <w:spacing w:before="120" w:beforeAutospacing="0" w:after="120" w:afterAutospacing="0"/>
              <w:textAlignment w:val="baseline"/>
              <w:rPr>
                <w:b/>
                <w:bCs/>
                <w:noProof/>
                <w:highlight w:val="lightGray"/>
              </w:rPr>
            </w:pPr>
            <w:r w:rsidRPr="00E8450A">
              <w:rPr>
                <w:b/>
                <w:noProof/>
                <w:color w:val="000000"/>
                <w:highlight w:val="lightGray"/>
              </w:rPr>
              <w:t>Ozón (v období najvyšších hodnôt): neistota 8-hodinových hodnôt</w:t>
            </w:r>
          </w:p>
        </w:tc>
        <w:tc>
          <w:tcPr>
            <w:tcW w:w="1499" w:type="dxa"/>
            <w:tcMar>
              <w:left w:w="57" w:type="dxa"/>
              <w:right w:w="57" w:type="dxa"/>
            </w:tcMar>
            <w:vAlign w:val="center"/>
            <w:hideMark/>
          </w:tcPr>
          <w:p w:rsidR="004F4CD1" w:rsidRPr="00E8450A" w:rsidRDefault="004F4CD1" w:rsidP="00FC53B5">
            <w:pPr>
              <w:pStyle w:val="paragraph"/>
              <w:spacing w:before="120" w:beforeAutospacing="0" w:after="120" w:afterAutospacing="0"/>
              <w:textAlignment w:val="baseline"/>
              <w:rPr>
                <w:noProof/>
                <w:highlight w:val="lightGray"/>
              </w:rPr>
            </w:pPr>
            <w:r w:rsidRPr="00E8450A">
              <w:rPr>
                <w:noProof/>
                <w:color w:val="000000"/>
                <w:highlight w:val="lightGray"/>
              </w:rPr>
              <w:t>10,5 </w:t>
            </w:r>
            <w:r w:rsidRPr="00E8450A">
              <w:rPr>
                <w:rStyle w:val="normaltextrun"/>
                <w:noProof/>
                <w:highlight w:val="lightGray"/>
              </w:rPr>
              <w:t>µg/m</w:t>
            </w:r>
            <w:r w:rsidRPr="00E8450A">
              <w:rPr>
                <w:rStyle w:val="normaltextrun"/>
                <w:noProof/>
                <w:highlight w:val="lightGray"/>
                <w:vertAlign w:val="superscript"/>
              </w:rPr>
              <w:t>3</w:t>
            </w:r>
          </w:p>
        </w:tc>
        <w:tc>
          <w:tcPr>
            <w:tcW w:w="1119" w:type="dxa"/>
            <w:tcMar>
              <w:left w:w="57" w:type="dxa"/>
              <w:right w:w="57" w:type="dxa"/>
            </w:tcMar>
            <w:vAlign w:val="center"/>
            <w:hideMark/>
          </w:tcPr>
          <w:p w:rsidR="004F4CD1" w:rsidRPr="00E8450A" w:rsidRDefault="004F4CD1" w:rsidP="00FC53B5">
            <w:pPr>
              <w:pStyle w:val="paragraph"/>
              <w:spacing w:before="120" w:beforeAutospacing="0" w:after="120" w:afterAutospacing="0"/>
              <w:textAlignment w:val="baseline"/>
              <w:rPr>
                <w:noProof/>
                <w:highlight w:val="lightGray"/>
              </w:rPr>
            </w:pPr>
            <w:r w:rsidRPr="00E8450A">
              <w:rPr>
                <w:noProof/>
                <w:color w:val="000000"/>
                <w:highlight w:val="lightGray"/>
              </w:rPr>
              <w:t>15 %</w:t>
            </w:r>
          </w:p>
        </w:tc>
        <w:tc>
          <w:tcPr>
            <w:tcW w:w="1414" w:type="dxa"/>
            <w:tcMar>
              <w:left w:w="57" w:type="dxa"/>
              <w:right w:w="57" w:type="dxa"/>
            </w:tcMar>
            <w:vAlign w:val="center"/>
            <w:hideMark/>
          </w:tcPr>
          <w:p w:rsidR="004F4CD1" w:rsidRPr="00E8450A" w:rsidRDefault="004F4CD1" w:rsidP="00FC53B5">
            <w:pPr>
              <w:pStyle w:val="paragraph"/>
              <w:spacing w:before="120" w:beforeAutospacing="0" w:after="120" w:afterAutospacing="0"/>
              <w:textAlignment w:val="baseline"/>
              <w:rPr>
                <w:noProof/>
                <w:highlight w:val="lightGray"/>
              </w:rPr>
            </w:pPr>
            <w:r w:rsidRPr="00E8450A">
              <w:rPr>
                <w:noProof/>
                <w:color w:val="000000"/>
                <w:highlight w:val="lightGray"/>
              </w:rPr>
              <w:t>17,5 </w:t>
            </w:r>
            <w:r w:rsidRPr="00E8450A">
              <w:rPr>
                <w:rStyle w:val="normaltextrun"/>
                <w:noProof/>
                <w:highlight w:val="lightGray"/>
              </w:rPr>
              <w:t>µg/m</w:t>
            </w:r>
            <w:r w:rsidRPr="00E8450A">
              <w:rPr>
                <w:rStyle w:val="normaltextrun"/>
                <w:noProof/>
                <w:highlight w:val="lightGray"/>
                <w:vertAlign w:val="superscript"/>
              </w:rPr>
              <w:t>3</w:t>
            </w:r>
          </w:p>
        </w:tc>
        <w:tc>
          <w:tcPr>
            <w:tcW w:w="1049" w:type="dxa"/>
            <w:tcMar>
              <w:left w:w="57" w:type="dxa"/>
              <w:right w:w="57" w:type="dxa"/>
            </w:tcMar>
            <w:vAlign w:val="center"/>
            <w:hideMark/>
          </w:tcPr>
          <w:p w:rsidR="004F4CD1" w:rsidRPr="00E8450A" w:rsidRDefault="004F4CD1" w:rsidP="00FC53B5">
            <w:pPr>
              <w:pStyle w:val="paragraph"/>
              <w:spacing w:before="120" w:beforeAutospacing="0" w:after="120" w:afterAutospacing="0"/>
              <w:textAlignment w:val="baseline"/>
              <w:rPr>
                <w:noProof/>
                <w:highlight w:val="lightGray"/>
              </w:rPr>
            </w:pPr>
            <w:r w:rsidRPr="00E8450A">
              <w:rPr>
                <w:noProof/>
                <w:color w:val="000000"/>
                <w:highlight w:val="lightGray"/>
              </w:rPr>
              <w:t>25 %</w:t>
            </w:r>
          </w:p>
        </w:tc>
        <w:tc>
          <w:tcPr>
            <w:tcW w:w="2365" w:type="dxa"/>
            <w:tcMar>
              <w:left w:w="57" w:type="dxa"/>
              <w:right w:w="57" w:type="dxa"/>
            </w:tcMar>
            <w:vAlign w:val="center"/>
            <w:hideMark/>
          </w:tcPr>
          <w:p w:rsidR="004F4CD1" w:rsidRPr="00E8450A" w:rsidRDefault="004F4CD1" w:rsidP="00FC53B5">
            <w:pPr>
              <w:pStyle w:val="paragraph"/>
              <w:spacing w:before="120" w:beforeAutospacing="0" w:after="120" w:afterAutospacing="0"/>
              <w:textAlignment w:val="baseline"/>
              <w:rPr>
                <w:noProof/>
                <w:highlight w:val="lightGray"/>
              </w:rPr>
            </w:pPr>
            <w:r w:rsidRPr="00E8450A">
              <w:rPr>
                <w:noProof/>
                <w:color w:val="000000"/>
                <w:highlight w:val="lightGray"/>
              </w:rPr>
              <w:t>1,7</w:t>
            </w:r>
          </w:p>
        </w:tc>
      </w:tr>
      <w:tr w:rsidR="004F4CD1" w:rsidRPr="00E8450A" w:rsidTr="00FC53B5">
        <w:trPr>
          <w:trHeight w:val="300"/>
        </w:trPr>
        <w:tc>
          <w:tcPr>
            <w:tcW w:w="1918" w:type="dxa"/>
            <w:tcBorders>
              <w:left w:val="nil"/>
            </w:tcBorders>
            <w:tcMar>
              <w:left w:w="57" w:type="dxa"/>
              <w:right w:w="57" w:type="dxa"/>
            </w:tcMar>
            <w:vAlign w:val="center"/>
            <w:hideMark/>
          </w:tcPr>
          <w:p w:rsidR="004F4CD1" w:rsidRPr="00E8450A" w:rsidRDefault="004F4CD1" w:rsidP="00FC53B5">
            <w:pPr>
              <w:pStyle w:val="paragraph"/>
              <w:spacing w:before="120" w:beforeAutospacing="0" w:after="120" w:afterAutospacing="0"/>
              <w:textAlignment w:val="baseline"/>
              <w:rPr>
                <w:b/>
                <w:bCs/>
                <w:noProof/>
                <w:highlight w:val="lightGray"/>
              </w:rPr>
            </w:pPr>
            <w:r w:rsidRPr="00E8450A">
              <w:rPr>
                <w:b/>
                <w:noProof/>
                <w:color w:val="000000"/>
                <w:highlight w:val="lightGray"/>
              </w:rPr>
              <w:t>Ozón (8-hodinová stredná hodnota)</w:t>
            </w:r>
          </w:p>
        </w:tc>
        <w:tc>
          <w:tcPr>
            <w:tcW w:w="1499" w:type="dxa"/>
            <w:tcMar>
              <w:left w:w="57" w:type="dxa"/>
              <w:right w:w="57" w:type="dxa"/>
            </w:tcMar>
            <w:vAlign w:val="center"/>
            <w:hideMark/>
          </w:tcPr>
          <w:p w:rsidR="004F4CD1" w:rsidRPr="00E8450A" w:rsidRDefault="004F4CD1" w:rsidP="00FC53B5">
            <w:pPr>
              <w:pStyle w:val="paragraph"/>
              <w:spacing w:before="120" w:beforeAutospacing="0" w:after="120" w:afterAutospacing="0"/>
              <w:textAlignment w:val="baseline"/>
              <w:rPr>
                <w:noProof/>
                <w:highlight w:val="lightGray"/>
              </w:rPr>
            </w:pPr>
            <w:r w:rsidRPr="00E8450A">
              <w:rPr>
                <w:noProof/>
                <w:color w:val="000000"/>
                <w:highlight w:val="lightGray"/>
              </w:rPr>
              <w:t>18 </w:t>
            </w:r>
            <w:r w:rsidRPr="00E8450A">
              <w:rPr>
                <w:rStyle w:val="normaltextrun"/>
                <w:noProof/>
                <w:highlight w:val="lightGray"/>
              </w:rPr>
              <w:t>µg/m</w:t>
            </w:r>
            <w:r w:rsidRPr="00E8450A">
              <w:rPr>
                <w:rStyle w:val="normaltextrun"/>
                <w:noProof/>
                <w:highlight w:val="lightGray"/>
                <w:vertAlign w:val="superscript"/>
              </w:rPr>
              <w:t>3</w:t>
            </w:r>
          </w:p>
        </w:tc>
        <w:tc>
          <w:tcPr>
            <w:tcW w:w="1119" w:type="dxa"/>
            <w:tcMar>
              <w:left w:w="57" w:type="dxa"/>
              <w:right w:w="57" w:type="dxa"/>
            </w:tcMar>
            <w:vAlign w:val="center"/>
            <w:hideMark/>
          </w:tcPr>
          <w:p w:rsidR="004F4CD1" w:rsidRPr="00E8450A" w:rsidRDefault="004F4CD1" w:rsidP="00FC53B5">
            <w:pPr>
              <w:pStyle w:val="paragraph"/>
              <w:spacing w:before="120" w:beforeAutospacing="0" w:after="120" w:afterAutospacing="0"/>
              <w:textAlignment w:val="baseline"/>
              <w:rPr>
                <w:noProof/>
                <w:highlight w:val="lightGray"/>
              </w:rPr>
            </w:pPr>
            <w:r w:rsidRPr="00E8450A">
              <w:rPr>
                <w:noProof/>
                <w:color w:val="000000"/>
                <w:highlight w:val="lightGray"/>
              </w:rPr>
              <w:t>15 %</w:t>
            </w:r>
          </w:p>
        </w:tc>
        <w:tc>
          <w:tcPr>
            <w:tcW w:w="1414" w:type="dxa"/>
            <w:tcMar>
              <w:left w:w="57" w:type="dxa"/>
              <w:right w:w="57" w:type="dxa"/>
            </w:tcMar>
            <w:vAlign w:val="center"/>
            <w:hideMark/>
          </w:tcPr>
          <w:p w:rsidR="004F4CD1" w:rsidRPr="00E8450A" w:rsidRDefault="004F4CD1" w:rsidP="00FC53B5">
            <w:pPr>
              <w:pStyle w:val="paragraph"/>
              <w:spacing w:before="120" w:beforeAutospacing="0" w:after="120" w:afterAutospacing="0"/>
              <w:textAlignment w:val="baseline"/>
              <w:rPr>
                <w:noProof/>
                <w:highlight w:val="lightGray"/>
              </w:rPr>
            </w:pPr>
            <w:r w:rsidRPr="00E8450A">
              <w:rPr>
                <w:noProof/>
                <w:color w:val="000000"/>
                <w:highlight w:val="lightGray"/>
              </w:rPr>
              <w:t>30 </w:t>
            </w:r>
            <w:r w:rsidRPr="00E8450A">
              <w:rPr>
                <w:rStyle w:val="normaltextrun"/>
                <w:noProof/>
                <w:highlight w:val="lightGray"/>
              </w:rPr>
              <w:t>µg/m</w:t>
            </w:r>
            <w:r w:rsidRPr="00E8450A">
              <w:rPr>
                <w:rStyle w:val="normaltextrun"/>
                <w:noProof/>
                <w:highlight w:val="lightGray"/>
                <w:vertAlign w:val="superscript"/>
              </w:rPr>
              <w:t>3</w:t>
            </w:r>
          </w:p>
        </w:tc>
        <w:tc>
          <w:tcPr>
            <w:tcW w:w="1049" w:type="dxa"/>
            <w:tcMar>
              <w:left w:w="57" w:type="dxa"/>
              <w:right w:w="57" w:type="dxa"/>
            </w:tcMar>
            <w:vAlign w:val="center"/>
            <w:hideMark/>
          </w:tcPr>
          <w:p w:rsidR="004F4CD1" w:rsidRPr="00E8450A" w:rsidRDefault="004F4CD1" w:rsidP="00FC53B5">
            <w:pPr>
              <w:pStyle w:val="paragraph"/>
              <w:spacing w:before="120" w:beforeAutospacing="0" w:after="120" w:afterAutospacing="0"/>
              <w:textAlignment w:val="baseline"/>
              <w:rPr>
                <w:noProof/>
                <w:highlight w:val="lightGray"/>
              </w:rPr>
            </w:pPr>
            <w:r w:rsidRPr="00E8450A">
              <w:rPr>
                <w:noProof/>
                <w:color w:val="000000"/>
                <w:highlight w:val="lightGray"/>
              </w:rPr>
              <w:t>25 %</w:t>
            </w:r>
          </w:p>
        </w:tc>
        <w:tc>
          <w:tcPr>
            <w:tcW w:w="2365" w:type="dxa"/>
            <w:tcMar>
              <w:left w:w="57" w:type="dxa"/>
              <w:right w:w="57" w:type="dxa"/>
            </w:tcMar>
            <w:hideMark/>
          </w:tcPr>
          <w:p w:rsidR="004F4CD1" w:rsidRPr="00E8450A" w:rsidRDefault="004F4CD1" w:rsidP="00FC53B5">
            <w:pPr>
              <w:pStyle w:val="paragraph"/>
              <w:spacing w:before="120" w:beforeAutospacing="0" w:after="120" w:afterAutospacing="0"/>
              <w:textAlignment w:val="baseline"/>
              <w:rPr>
                <w:noProof/>
                <w:highlight w:val="lightGray"/>
              </w:rPr>
            </w:pPr>
            <w:r w:rsidRPr="00E8450A">
              <w:rPr>
                <w:noProof/>
                <w:color w:val="000000"/>
                <w:highlight w:val="lightGray"/>
              </w:rPr>
              <w:t>2,2</w:t>
            </w:r>
          </w:p>
        </w:tc>
      </w:tr>
      <w:tr w:rsidR="004F4CD1" w:rsidRPr="00E8450A" w:rsidTr="00FC53B5">
        <w:trPr>
          <w:trHeight w:val="300"/>
        </w:trPr>
        <w:tc>
          <w:tcPr>
            <w:tcW w:w="9364" w:type="dxa"/>
            <w:gridSpan w:val="6"/>
            <w:tcBorders>
              <w:left w:val="nil"/>
            </w:tcBorders>
            <w:vAlign w:val="center"/>
          </w:tcPr>
          <w:p w:rsidR="004F4CD1" w:rsidRPr="00E8450A" w:rsidRDefault="004F4CD1" w:rsidP="00027D24">
            <w:pPr>
              <w:pStyle w:val="ListParagraph"/>
              <w:numPr>
                <w:ilvl w:val="0"/>
                <w:numId w:val="20"/>
              </w:numPr>
              <w:shd w:val="clear" w:color="auto" w:fill="FFFFFF"/>
              <w:rPr>
                <w:rStyle w:val="normaltextrun"/>
                <w:noProof/>
                <w:sz w:val="20"/>
                <w:szCs w:val="20"/>
                <w:highlight w:val="lightGray"/>
              </w:rPr>
            </w:pPr>
            <w:r w:rsidRPr="00E8450A">
              <w:rPr>
                <w:noProof/>
                <w:sz w:val="20"/>
                <w:highlight w:val="lightGray"/>
              </w:rPr>
              <w:t xml:space="preserve">Pri použití indikatívnych meraní na iné účely, ako je posúdenie súladu, okrem iného napr.: na navrhnutie alebo preskúmanie monitorovacej siete, kalibráciu a validáciu modelu, neistota môže byť neistotou stanovenou pre modelovacie aplikácie. </w:t>
            </w:r>
          </w:p>
        </w:tc>
      </w:tr>
    </w:tbl>
    <w:p w:rsidR="004F4CD1" w:rsidRPr="00E8450A" w:rsidRDefault="004F4CD1" w:rsidP="004F4CD1">
      <w:pPr>
        <w:shd w:val="clear" w:color="auto" w:fill="FFFFFF"/>
        <w:ind w:left="426"/>
        <w:rPr>
          <w:rFonts w:eastAsia="Times New Roman"/>
          <w:noProof/>
          <w:highlight w:val="lightGray"/>
        </w:rPr>
      </w:pPr>
      <w:r w:rsidRPr="00E8450A">
        <w:rPr>
          <w:noProof/>
          <w:highlight w:val="lightGray"/>
        </w:rPr>
        <w:lastRenderedPageBreak/>
        <w:t>Neistota merania (vyjadrená pri 95 % úrovni spoľahlivosti) metód hodnotenia sa vypočíta v súlade s príslušnou normou EN pre každú znečisťujúcu látku. V prípade metód, pri ktorých nie je k dispozícii žiadna norma, sa neistota metódy hodnotenia vyhodnotí v súlade so zásadami Spoločného výboru pre usmernenie v metrológii (</w:t>
      </w:r>
      <w:r w:rsidRPr="00E8450A">
        <w:rPr>
          <w:i/>
          <w:iCs/>
          <w:noProof/>
          <w:highlight w:val="lightGray"/>
        </w:rPr>
        <w:t>Joint Committee for Guidance in Metrology</w:t>
      </w:r>
      <w:r w:rsidRPr="00E8450A">
        <w:rPr>
          <w:noProof/>
          <w:highlight w:val="lightGray"/>
        </w:rPr>
        <w:t xml:space="preserve"> – JCGM) 100:2008 „</w:t>
      </w:r>
      <w:r w:rsidRPr="00E8450A">
        <w:rPr>
          <w:i/>
          <w:iCs/>
          <w:noProof/>
          <w:highlight w:val="lightGray"/>
        </w:rPr>
        <w:t>Evaluation of measurement data - Guide to the Expression of Uncertainty in Measurement</w:t>
      </w:r>
      <w:r w:rsidRPr="00E8450A">
        <w:rPr>
          <w:noProof/>
          <w:highlight w:val="lightGray"/>
        </w:rPr>
        <w:t>“ (Hodnotenie nameraných údajov – Príručka vyjadrovania neistoty merania) a s metodikou uvedenou v časti 5 normy ISO 5725:1998. Pri indikatívnych meraniach sa neistota vypočíta podľa usmernení k preukazovaniu rovnocennosti uvedených v časti B prílohy VI.</w:t>
      </w:r>
    </w:p>
    <w:p w:rsidR="004F4CD1" w:rsidRPr="00E8450A" w:rsidRDefault="004F4CD1" w:rsidP="004F4CD1">
      <w:pPr>
        <w:shd w:val="clear" w:color="auto" w:fill="FFFFFF"/>
        <w:ind w:left="426"/>
        <w:rPr>
          <w:rFonts w:eastAsia="Times New Roman"/>
          <w:noProof/>
          <w:highlight w:val="lightGray"/>
        </w:rPr>
      </w:pPr>
      <w:r w:rsidRPr="00E8450A">
        <w:rPr>
          <w:noProof/>
          <w:highlight w:val="lightGray"/>
        </w:rPr>
        <w:t xml:space="preserve">Percentuálne hodnoty neistoty v tabuľkách v tomto oddiele sa uplatňujú na všetky limitné hodnoty (a cieľovú hodnotu pre ozón), ktoré sa vypočítavajú jednoduchým spriemerovaním jednotlivých meraní, ako sú hodinová stredná hodnota, denná stredná hodnota alebo ročná stredná hodnota bez zohľadnenia dodatočnej neistoty, pokiaľ ide o výpočet počtu prekročení hodnôt. Neistota sa interpretuje ako neistota, ktorú možno uplatňovať v oblasti príslušnej limitnej hodnoty (alebo cieľovej hodnoty pre ozón). Výpočet neistoty sa nevzťahuje na AOT40 a na hodnoty, ktoré zahŕňajú viac ako 1 rok, viac ako jednu stanicu (napr. IPE) alebo viac ako 1 zložku. Nevzťahuje sa ani na informačné prahy, výstražné prahy a kritické úrovne na ochranu vegetácie a prírodných ekosystémov. </w:t>
      </w:r>
    </w:p>
    <w:p w:rsidR="004F4CD1" w:rsidRPr="00E8450A" w:rsidRDefault="004F4CD1" w:rsidP="004F4CD1">
      <w:pPr>
        <w:shd w:val="clear" w:color="auto" w:fill="FFFFFF"/>
        <w:ind w:left="426"/>
        <w:rPr>
          <w:rFonts w:eastAsia="Times New Roman"/>
          <w:noProof/>
          <w:highlight w:val="lightGray"/>
        </w:rPr>
      </w:pPr>
      <w:r w:rsidRPr="00E8450A">
        <w:rPr>
          <w:noProof/>
          <w:highlight w:val="lightGray"/>
        </w:rPr>
        <w:t>Neistota nameraných údajov použitých na hodnotenie kvality okolitého ovzdušia nesmie presiahnuť ani absolútnu hodnotu, ani relatívnu hodnotu vyjadrenú v tomto oddiele.</w:t>
      </w:r>
    </w:p>
    <w:p w:rsidR="004F4CD1" w:rsidRPr="00E8450A" w:rsidRDefault="004F4CD1" w:rsidP="004F4CD1">
      <w:pPr>
        <w:shd w:val="clear" w:color="auto" w:fill="FFFFFF"/>
        <w:ind w:left="426"/>
        <w:rPr>
          <w:noProof/>
          <w:highlight w:val="lightGray"/>
        </w:rPr>
      </w:pPr>
      <w:r w:rsidRPr="00E8450A">
        <w:rPr>
          <w:noProof/>
          <w:highlight w:val="lightGray"/>
        </w:rPr>
        <w:t xml:space="preserve">Najväčšia neistota modelovania sa nastaví na neistotu stálych meraní vynásobenú uplatniteľným najväčším pomerom. Cieľ v oblasti kvality modelovania (t. j. ukazovateľ kvality modelovania menší alebo rovný 1) sa overí aspoň na úrovni 90 % dostupných monitorovacích bodov v hodnotenej oblasti a danom období. V danom monitorovacom bode sa ukazovateľ kvality modelovania vypočíta ako pomer medzi odmocninou strednej kvadratickej odchýlky (stredných kvadratických odchýlok) výsledkov modelovania od meraní a medzi druhou odmocninou súčtu (súčtov) štvorcov neistôt výsledkov modelovania a meraní za celé obdobie hodnotenia. Treba poznamenať, že pri zvažovaní ročných stredných hodnôt sa súčet zníži na jednu hodnotu. Na vyhodnotenie neistoty modelovania sa použijú všetky stále merania, ktoré spĺňajú ciele v oblasti kvality údajov (t. j. neistota merania a pokrytie údajmi z merania, ako sa uvádza v častiach A a B tejto prílohy) umiestnené v oblasti hodnotenia modelovania. Treba poznamenať, že najväčší pomer sa interpretuje tak, že sa uplatňuje na celý rozsah koncentrácie. </w:t>
      </w:r>
    </w:p>
    <w:p w:rsidR="004F4CD1" w:rsidRPr="00E8450A" w:rsidRDefault="004F4CD1" w:rsidP="004F4CD1">
      <w:pPr>
        <w:shd w:val="clear" w:color="auto" w:fill="FFFFFF"/>
        <w:ind w:left="426"/>
        <w:rPr>
          <w:rFonts w:eastAsia="Times New Roman"/>
          <w:noProof/>
          <w:highlight w:val="lightGray"/>
        </w:rPr>
      </w:pPr>
      <w:r w:rsidRPr="00E8450A">
        <w:rPr>
          <w:noProof/>
          <w:highlight w:val="lightGray"/>
        </w:rPr>
        <w:t>Pokiaľ ide o krátkodobé stredné koncentrácie, najväčšou neistotou nameraných údajov použitých na posúdenie cieľa kvality modelovania je absolútna neistota vypočítaná pomocou relatívnej hodnoty vyjadrenej v tomto oddiele nad limitnou hodnotou a lineárne sa znižuje z absolútnej hodnoty pri limitnej hodnote na prahovú hodnotu pri nulovej koncentrácii</w:t>
      </w:r>
      <w:r w:rsidRPr="00E8450A">
        <w:rPr>
          <w:rStyle w:val="FootnoteReference"/>
          <w:noProof/>
          <w:highlight w:val="lightGray"/>
        </w:rPr>
        <w:footnoteReference w:id="4"/>
      </w:r>
      <w:r w:rsidRPr="00E8450A">
        <w:rPr>
          <w:noProof/>
          <w:highlight w:val="lightGray"/>
        </w:rPr>
        <w:t>. Krátkodobé aj dlhodobé ciele kvality modelovania sa musia splniť.</w:t>
      </w:r>
    </w:p>
    <w:p w:rsidR="004F4CD1" w:rsidRPr="00E8450A" w:rsidRDefault="004F4CD1" w:rsidP="004F4CD1">
      <w:pPr>
        <w:shd w:val="clear" w:color="auto" w:fill="FFFFFF"/>
        <w:ind w:left="426"/>
        <w:rPr>
          <w:rFonts w:eastAsia="Times New Roman"/>
          <w:noProof/>
          <w:highlight w:val="lightGray"/>
        </w:rPr>
      </w:pPr>
      <w:r w:rsidRPr="00E8450A">
        <w:rPr>
          <w:noProof/>
          <w:highlight w:val="lightGray"/>
        </w:rPr>
        <w:t>Pri modelovaní ročných stredných hodnôt koncentrácií benzénu, olova, arzénu, kadmia, niklu a benzo[a]pyrénu nesmie najväčšia neistota nameraných údajov použitých na hodnotenie cieľa kvality modelovania presiahnuť relatívnu hodnotu vyjadrenú v tomto oddiele.</w:t>
      </w:r>
    </w:p>
    <w:p w:rsidR="004F4CD1" w:rsidRPr="00E8450A" w:rsidRDefault="004F4CD1" w:rsidP="004F4CD1">
      <w:pPr>
        <w:shd w:val="clear" w:color="auto" w:fill="FFFFFF"/>
        <w:ind w:left="426"/>
        <w:rPr>
          <w:noProof/>
          <w:highlight w:val="lightGray"/>
        </w:rPr>
      </w:pPr>
      <w:r w:rsidRPr="00E8450A">
        <w:rPr>
          <w:noProof/>
          <w:highlight w:val="lightGray"/>
        </w:rPr>
        <w:lastRenderedPageBreak/>
        <w:t>Pri modelovaní ročných stredných hodnôt koncentrácií PM</w:t>
      </w:r>
      <w:r w:rsidRPr="00E8450A">
        <w:rPr>
          <w:noProof/>
          <w:highlight w:val="lightGray"/>
          <w:vertAlign w:val="subscript"/>
        </w:rPr>
        <w:t>2,5</w:t>
      </w:r>
      <w:r w:rsidRPr="00E8450A">
        <w:rPr>
          <w:noProof/>
          <w:highlight w:val="lightGray"/>
        </w:rPr>
        <w:t>, PM</w:t>
      </w:r>
      <w:r w:rsidRPr="00E8450A">
        <w:rPr>
          <w:noProof/>
          <w:highlight w:val="lightGray"/>
          <w:vertAlign w:val="subscript"/>
        </w:rPr>
        <w:t>10</w:t>
      </w:r>
      <w:r w:rsidRPr="00E8450A">
        <w:rPr>
          <w:noProof/>
          <w:highlight w:val="lightGray"/>
        </w:rPr>
        <w:t xml:space="preserve"> a oxidu dusičitého nesmie najväčšia neistota nameraných údajov použitých na hodnotenie cieľa kvality modelovania presiahnuť absolútnu hodnotu, ani relatívnu hodnotu vyjadrené v tomto oddiele.</w:t>
      </w:r>
    </w:p>
    <w:p w:rsidR="004F4CD1" w:rsidRPr="00E8450A" w:rsidRDefault="004F4CD1" w:rsidP="004F4CD1">
      <w:pPr>
        <w:shd w:val="clear" w:color="auto" w:fill="FFFFFF"/>
        <w:ind w:left="426"/>
        <w:rPr>
          <w:rFonts w:eastAsia="Times New Roman"/>
          <w:noProof/>
          <w:highlight w:val="lightGray"/>
        </w:rPr>
      </w:pPr>
      <w:r w:rsidRPr="00E8450A">
        <w:rPr>
          <w:noProof/>
          <w:highlight w:val="lightGray"/>
        </w:rPr>
        <w:t>Ak sa na hodnotenie používa model kvality ovzdušia, zostavia sa odkazy na opisy modelu a informácie o výpočte cieľa kvality modelovania.</w:t>
      </w:r>
    </w:p>
    <w:p w:rsidR="004F4CD1" w:rsidRPr="00E8450A" w:rsidRDefault="004F4CD1" w:rsidP="004F4CD1">
      <w:pPr>
        <w:shd w:val="clear" w:color="auto" w:fill="FFFFFF"/>
        <w:ind w:left="426"/>
        <w:rPr>
          <w:noProof/>
          <w:highlight w:val="lightGray"/>
        </w:rPr>
      </w:pPr>
      <w:r w:rsidRPr="00E8450A">
        <w:rPr>
          <w:noProof/>
          <w:highlight w:val="lightGray"/>
        </w:rPr>
        <w:t>Neistota objektívneho odhadu nesmie presiahnuť neistotu indikatívnych meraní o viac ako uplatniteľný najväčší pomer a nesmie presiahnuť 85 %. Neistota objektívneho odhadu sa definuje ako najväčšia odchýlka nameraných a vypočítaných úrovní koncentrácie za dané obdobie vo vzťahu k limitnej hodnote (alebo cieľovej hodnote pre ozón) bez zohľadnenia času udalostí.</w:t>
      </w:r>
    </w:p>
    <w:p w:rsidR="00A67F2E" w:rsidRPr="00E8450A" w:rsidRDefault="00A67F2E" w:rsidP="00A67F2E">
      <w:pPr>
        <w:shd w:val="clear" w:color="auto" w:fill="FFFFFF"/>
        <w:rPr>
          <w:rFonts w:eastAsia="Times New Roman"/>
          <w:noProof/>
          <w:highlight w:val="lightGray"/>
          <w:lang w:eastAsia="sv-SE"/>
        </w:rPr>
      </w:pPr>
    </w:p>
    <w:p w:rsidR="00A67F2E" w:rsidRPr="00E8450A" w:rsidRDefault="00A67F2E">
      <w:pPr>
        <w:spacing w:before="0" w:after="200" w:line="276" w:lineRule="auto"/>
        <w:jc w:val="left"/>
        <w:rPr>
          <w:b/>
          <w:noProof/>
          <w:highlight w:val="lightGray"/>
        </w:rPr>
      </w:pPr>
      <w:r w:rsidRPr="00E8450A">
        <w:rPr>
          <w:noProof/>
        </w:rPr>
        <w:br w:type="page"/>
      </w:r>
    </w:p>
    <w:p w:rsidR="004F4CD1" w:rsidRPr="00E8450A" w:rsidRDefault="004F4CD1" w:rsidP="00A52FD4">
      <w:pPr>
        <w:rPr>
          <w:b/>
          <w:noProof/>
          <w:highlight w:val="lightGray"/>
        </w:rPr>
      </w:pPr>
      <w:r w:rsidRPr="00E8450A">
        <w:rPr>
          <w:b/>
          <w:noProof/>
          <w:highlight w:val="lightGray"/>
        </w:rPr>
        <w:lastRenderedPageBreak/>
        <w:t>B</w:t>
      </w:r>
      <w:r w:rsidR="00A52FD4">
        <w:rPr>
          <w:b/>
          <w:noProof/>
          <w:highlight w:val="lightGray"/>
        </w:rPr>
        <w:t>)</w:t>
      </w:r>
      <w:r w:rsidRPr="00E8450A">
        <w:rPr>
          <w:b/>
          <w:noProof/>
          <w:highlight w:val="lightGray"/>
        </w:rPr>
        <w:t xml:space="preserve"> Pokrytie údajmi z merania pre hodnotenie kvality okolitého ovzdušia</w:t>
      </w:r>
    </w:p>
    <w:p w:rsidR="004F4CD1" w:rsidRPr="00E8450A" w:rsidRDefault="004F4CD1" w:rsidP="004F4CD1">
      <w:pPr>
        <w:ind w:left="426"/>
        <w:rPr>
          <w:noProof/>
          <w:highlight w:val="lightGray"/>
        </w:rPr>
      </w:pPr>
      <w:r w:rsidRPr="00E8450A">
        <w:rPr>
          <w:noProof/>
          <w:highlight w:val="lightGray"/>
        </w:rPr>
        <w:t xml:space="preserve">„Pokrytie údajmi“ je podiel obdobia merania, za ktorý sú k dispozícii platné namerané údaje, vyjadrený v percentách. </w:t>
      </w:r>
    </w:p>
    <w:tbl>
      <w:tblPr>
        <w:tblStyle w:val="TableGrid"/>
        <w:tblW w:w="9356" w:type="dxa"/>
        <w:tblInd w:w="-34" w:type="dxa"/>
        <w:tblLayout w:type="fixed"/>
        <w:tblLook w:val="04A0" w:firstRow="1" w:lastRow="0" w:firstColumn="1" w:lastColumn="0" w:noHBand="0" w:noVBand="1"/>
      </w:tblPr>
      <w:tblGrid>
        <w:gridCol w:w="3261"/>
        <w:gridCol w:w="1147"/>
        <w:gridCol w:w="1830"/>
        <w:gridCol w:w="1138"/>
        <w:gridCol w:w="1980"/>
      </w:tblGrid>
      <w:tr w:rsidR="004F4CD1" w:rsidRPr="00E8450A" w:rsidTr="00A058F2">
        <w:trPr>
          <w:trHeight w:val="416"/>
        </w:trPr>
        <w:tc>
          <w:tcPr>
            <w:tcW w:w="3261" w:type="dxa"/>
            <w:vMerge w:val="restart"/>
            <w:tcBorders>
              <w:left w:val="nil"/>
            </w:tcBorders>
          </w:tcPr>
          <w:p w:rsidR="004F4CD1" w:rsidRPr="00E8450A" w:rsidRDefault="004F4CD1" w:rsidP="0026263A">
            <w:pPr>
              <w:ind w:left="851" w:hanging="851"/>
              <w:jc w:val="left"/>
              <w:rPr>
                <w:b/>
                <w:bCs/>
                <w:noProof/>
                <w:color w:val="000000"/>
                <w:szCs w:val="24"/>
                <w:highlight w:val="lightGray"/>
              </w:rPr>
            </w:pPr>
          </w:p>
          <w:p w:rsidR="004F4CD1" w:rsidRPr="00E8450A" w:rsidRDefault="004F4CD1" w:rsidP="0026263A">
            <w:pPr>
              <w:ind w:left="851" w:hanging="851"/>
              <w:jc w:val="left"/>
              <w:rPr>
                <w:b/>
                <w:bCs/>
                <w:noProof/>
                <w:color w:val="000000"/>
                <w:szCs w:val="24"/>
                <w:highlight w:val="lightGray"/>
              </w:rPr>
            </w:pPr>
            <w:r w:rsidRPr="00E8450A">
              <w:rPr>
                <w:b/>
                <w:noProof/>
                <w:color w:val="000000"/>
                <w:highlight w:val="lightGray"/>
              </w:rPr>
              <w:t>Látka znečisťujúca ovzdušie</w:t>
            </w:r>
          </w:p>
        </w:tc>
        <w:tc>
          <w:tcPr>
            <w:tcW w:w="6095" w:type="dxa"/>
            <w:gridSpan w:val="4"/>
            <w:tcBorders>
              <w:right w:val="nil"/>
            </w:tcBorders>
          </w:tcPr>
          <w:p w:rsidR="004F4CD1" w:rsidRPr="00E8450A" w:rsidRDefault="004F4CD1" w:rsidP="0026263A">
            <w:pPr>
              <w:ind w:left="851" w:hanging="851"/>
              <w:jc w:val="left"/>
              <w:rPr>
                <w:b/>
                <w:bCs/>
                <w:noProof/>
                <w:color w:val="000000"/>
                <w:szCs w:val="24"/>
                <w:highlight w:val="lightGray"/>
              </w:rPr>
            </w:pPr>
            <w:r w:rsidRPr="00E8450A">
              <w:rPr>
                <w:rStyle w:val="normaltextrun"/>
                <w:b/>
                <w:noProof/>
                <w:color w:val="000000"/>
                <w:highlight w:val="lightGray"/>
              </w:rPr>
              <w:t>Najmenšie pokrytie údajmi</w:t>
            </w:r>
          </w:p>
        </w:tc>
      </w:tr>
      <w:tr w:rsidR="004F4CD1" w:rsidRPr="00E8450A" w:rsidTr="0026263A">
        <w:tc>
          <w:tcPr>
            <w:tcW w:w="3261" w:type="dxa"/>
            <w:vMerge/>
            <w:tcBorders>
              <w:left w:val="nil"/>
            </w:tcBorders>
          </w:tcPr>
          <w:p w:rsidR="004F4CD1" w:rsidRPr="00E8450A" w:rsidRDefault="004F4CD1" w:rsidP="0026263A">
            <w:pPr>
              <w:ind w:left="851" w:hanging="851"/>
              <w:jc w:val="left"/>
              <w:rPr>
                <w:b/>
                <w:bCs/>
                <w:noProof/>
                <w:color w:val="000000"/>
                <w:szCs w:val="24"/>
                <w:highlight w:val="lightGray"/>
              </w:rPr>
            </w:pPr>
          </w:p>
        </w:tc>
        <w:tc>
          <w:tcPr>
            <w:tcW w:w="2977" w:type="dxa"/>
            <w:gridSpan w:val="2"/>
          </w:tcPr>
          <w:p w:rsidR="004F4CD1" w:rsidRPr="00E8450A" w:rsidRDefault="004F4CD1" w:rsidP="0026263A">
            <w:pPr>
              <w:ind w:left="851" w:hanging="851"/>
              <w:jc w:val="left"/>
              <w:rPr>
                <w:rStyle w:val="normaltextrun"/>
                <w:b/>
                <w:bCs/>
                <w:noProof/>
                <w:color w:val="000000"/>
                <w:highlight w:val="lightGray"/>
              </w:rPr>
            </w:pPr>
            <w:r w:rsidRPr="00E8450A">
              <w:rPr>
                <w:rStyle w:val="normaltextrun"/>
                <w:b/>
                <w:noProof/>
                <w:color w:val="000000"/>
                <w:highlight w:val="lightGray"/>
              </w:rPr>
              <w:t>Stále merania</w:t>
            </w:r>
          </w:p>
        </w:tc>
        <w:tc>
          <w:tcPr>
            <w:tcW w:w="3118" w:type="dxa"/>
            <w:gridSpan w:val="2"/>
            <w:tcBorders>
              <w:right w:val="nil"/>
            </w:tcBorders>
          </w:tcPr>
          <w:p w:rsidR="004F4CD1" w:rsidRPr="00E8450A" w:rsidRDefault="004F4CD1" w:rsidP="0026263A">
            <w:pPr>
              <w:ind w:left="851" w:hanging="851"/>
              <w:jc w:val="left"/>
              <w:rPr>
                <w:rStyle w:val="normaltextrun"/>
                <w:b/>
                <w:bCs/>
                <w:noProof/>
                <w:color w:val="000000"/>
                <w:highlight w:val="lightGray"/>
              </w:rPr>
            </w:pPr>
            <w:r w:rsidRPr="00E8450A">
              <w:rPr>
                <w:rStyle w:val="normaltextrun"/>
                <w:b/>
                <w:noProof/>
                <w:color w:val="000000"/>
                <w:highlight w:val="lightGray"/>
              </w:rPr>
              <w:t>Indikatívne merania</w:t>
            </w:r>
          </w:p>
        </w:tc>
      </w:tr>
      <w:tr w:rsidR="004F4CD1" w:rsidRPr="00E8450A" w:rsidTr="0026263A">
        <w:tc>
          <w:tcPr>
            <w:tcW w:w="3261" w:type="dxa"/>
            <w:vMerge/>
            <w:tcBorders>
              <w:left w:val="nil"/>
            </w:tcBorders>
          </w:tcPr>
          <w:p w:rsidR="004F4CD1" w:rsidRPr="00E8450A" w:rsidRDefault="004F4CD1" w:rsidP="0026263A">
            <w:pPr>
              <w:ind w:left="851" w:hanging="851"/>
              <w:jc w:val="left"/>
              <w:rPr>
                <w:b/>
                <w:bCs/>
                <w:noProof/>
                <w:color w:val="000000"/>
                <w:szCs w:val="24"/>
                <w:highlight w:val="lightGray"/>
              </w:rPr>
            </w:pPr>
          </w:p>
        </w:tc>
        <w:tc>
          <w:tcPr>
            <w:tcW w:w="1147" w:type="dxa"/>
          </w:tcPr>
          <w:p w:rsidR="004F4CD1" w:rsidRPr="00E8450A" w:rsidRDefault="004F4CD1" w:rsidP="00BB3B2F">
            <w:pPr>
              <w:jc w:val="left"/>
              <w:rPr>
                <w:rStyle w:val="normaltextrun"/>
                <w:b/>
                <w:bCs/>
                <w:noProof/>
                <w:color w:val="000000"/>
                <w:highlight w:val="lightGray"/>
              </w:rPr>
            </w:pPr>
            <w:r w:rsidRPr="00E8450A">
              <w:rPr>
                <w:rStyle w:val="normaltextrun"/>
                <w:b/>
                <w:noProof/>
                <w:color w:val="000000"/>
                <w:highlight w:val="lightGray"/>
              </w:rPr>
              <w:t>Ročné stredné hodnoty</w:t>
            </w:r>
          </w:p>
        </w:tc>
        <w:tc>
          <w:tcPr>
            <w:tcW w:w="1830" w:type="dxa"/>
          </w:tcPr>
          <w:p w:rsidR="004F4CD1" w:rsidRPr="00E8450A" w:rsidRDefault="004F4CD1" w:rsidP="0026263A">
            <w:pPr>
              <w:jc w:val="left"/>
              <w:rPr>
                <w:rStyle w:val="normaltextrun"/>
                <w:b/>
                <w:bCs/>
                <w:noProof/>
                <w:color w:val="000000"/>
                <w:highlight w:val="lightGray"/>
              </w:rPr>
            </w:pPr>
            <w:r w:rsidRPr="00E8450A">
              <w:rPr>
                <w:rStyle w:val="normaltextrun"/>
                <w:b/>
                <w:noProof/>
                <w:color w:val="000000"/>
                <w:highlight w:val="lightGray"/>
              </w:rPr>
              <w:t xml:space="preserve">1-hodinové, 8-hodinové alebo 24-hodinové stredné hodnoty </w:t>
            </w:r>
            <w:r w:rsidRPr="00E8450A">
              <w:rPr>
                <w:rStyle w:val="eop"/>
                <w:b/>
                <w:noProof/>
                <w:color w:val="000000"/>
                <w:highlight w:val="lightGray"/>
              </w:rPr>
              <w:t>(</w:t>
            </w:r>
            <w:r w:rsidRPr="00E8450A">
              <w:rPr>
                <w:rStyle w:val="eop"/>
                <w:b/>
                <w:noProof/>
                <w:color w:val="000000"/>
                <w:highlight w:val="lightGray"/>
                <w:vertAlign w:val="superscript"/>
              </w:rPr>
              <w:t>1</w:t>
            </w:r>
            <w:r w:rsidRPr="00E8450A">
              <w:rPr>
                <w:rStyle w:val="eop"/>
                <w:b/>
                <w:noProof/>
                <w:color w:val="000000"/>
                <w:highlight w:val="lightGray"/>
              </w:rPr>
              <w:t>)</w:t>
            </w:r>
          </w:p>
        </w:tc>
        <w:tc>
          <w:tcPr>
            <w:tcW w:w="1138" w:type="dxa"/>
          </w:tcPr>
          <w:p w:rsidR="004F4CD1" w:rsidRPr="00E8450A" w:rsidRDefault="004F4CD1" w:rsidP="0026263A">
            <w:pPr>
              <w:jc w:val="left"/>
              <w:rPr>
                <w:rStyle w:val="normaltextrun"/>
                <w:b/>
                <w:bCs/>
                <w:noProof/>
                <w:color w:val="000000"/>
                <w:highlight w:val="lightGray"/>
              </w:rPr>
            </w:pPr>
            <w:r w:rsidRPr="00E8450A">
              <w:rPr>
                <w:rStyle w:val="normaltextrun"/>
                <w:b/>
                <w:noProof/>
                <w:color w:val="000000"/>
                <w:highlight w:val="lightGray"/>
              </w:rPr>
              <w:t>Ročné stredné hodnoty</w:t>
            </w:r>
          </w:p>
        </w:tc>
        <w:tc>
          <w:tcPr>
            <w:tcW w:w="1980" w:type="dxa"/>
            <w:tcBorders>
              <w:right w:val="nil"/>
            </w:tcBorders>
          </w:tcPr>
          <w:p w:rsidR="004F4CD1" w:rsidRPr="00E8450A" w:rsidRDefault="004F4CD1" w:rsidP="0026263A">
            <w:pPr>
              <w:jc w:val="left"/>
              <w:rPr>
                <w:rStyle w:val="normaltextrun"/>
                <w:b/>
                <w:bCs/>
                <w:noProof/>
                <w:color w:val="000000"/>
                <w:highlight w:val="lightGray"/>
              </w:rPr>
            </w:pPr>
            <w:r w:rsidRPr="00E8450A">
              <w:rPr>
                <w:rStyle w:val="normaltextrun"/>
                <w:b/>
                <w:noProof/>
                <w:color w:val="000000"/>
                <w:highlight w:val="lightGray"/>
              </w:rPr>
              <w:t xml:space="preserve">1-hodinové, 8-hodinové alebo 24-hodinové stredné hodnoty </w:t>
            </w:r>
            <w:r w:rsidRPr="00E8450A">
              <w:rPr>
                <w:rStyle w:val="eop"/>
                <w:b/>
                <w:noProof/>
                <w:color w:val="000000"/>
                <w:highlight w:val="lightGray"/>
              </w:rPr>
              <w:t>(</w:t>
            </w:r>
            <w:r w:rsidRPr="00E8450A">
              <w:rPr>
                <w:rStyle w:val="eop"/>
                <w:b/>
                <w:noProof/>
                <w:color w:val="000000"/>
                <w:highlight w:val="lightGray"/>
                <w:vertAlign w:val="superscript"/>
              </w:rPr>
              <w:t>1</w:t>
            </w:r>
            <w:r w:rsidRPr="00E8450A">
              <w:rPr>
                <w:rStyle w:val="eop"/>
                <w:b/>
                <w:noProof/>
                <w:color w:val="000000"/>
                <w:highlight w:val="lightGray"/>
              </w:rPr>
              <w:t>)</w:t>
            </w:r>
          </w:p>
        </w:tc>
      </w:tr>
      <w:tr w:rsidR="004F4CD1" w:rsidRPr="00E8450A" w:rsidTr="0026263A">
        <w:tc>
          <w:tcPr>
            <w:tcW w:w="3261" w:type="dxa"/>
            <w:tcBorders>
              <w:left w:val="nil"/>
            </w:tcBorders>
          </w:tcPr>
          <w:p w:rsidR="004F4CD1" w:rsidRPr="00E8450A" w:rsidRDefault="004F4CD1" w:rsidP="004F4CD1">
            <w:pPr>
              <w:ind w:left="851" w:hanging="851"/>
              <w:rPr>
                <w:b/>
                <w:bCs/>
                <w:noProof/>
                <w:color w:val="000000"/>
                <w:szCs w:val="24"/>
                <w:highlight w:val="lightGray"/>
              </w:rPr>
            </w:pPr>
            <w:r w:rsidRPr="00E8450A">
              <w:rPr>
                <w:rStyle w:val="normaltextrun"/>
                <w:b/>
                <w:noProof/>
                <w:color w:val="000000"/>
                <w:highlight w:val="lightGray"/>
              </w:rPr>
              <w:t>SO</w:t>
            </w:r>
            <w:r w:rsidRPr="00E8450A">
              <w:rPr>
                <w:rStyle w:val="normaltextrun"/>
                <w:b/>
                <w:noProof/>
                <w:color w:val="000000"/>
                <w:highlight w:val="lightGray"/>
                <w:vertAlign w:val="subscript"/>
              </w:rPr>
              <w:t>2</w:t>
            </w:r>
            <w:r w:rsidRPr="00E8450A">
              <w:rPr>
                <w:rStyle w:val="normaltextrun"/>
                <w:b/>
                <w:noProof/>
                <w:color w:val="000000"/>
                <w:highlight w:val="lightGray"/>
              </w:rPr>
              <w:t>, NO</w:t>
            </w:r>
            <w:r w:rsidRPr="00E8450A">
              <w:rPr>
                <w:rStyle w:val="normaltextrun"/>
                <w:b/>
                <w:noProof/>
                <w:color w:val="000000"/>
                <w:highlight w:val="lightGray"/>
                <w:vertAlign w:val="subscript"/>
              </w:rPr>
              <w:t>2</w:t>
            </w:r>
            <w:r w:rsidRPr="00E8450A">
              <w:rPr>
                <w:rStyle w:val="normaltextrun"/>
                <w:b/>
                <w:noProof/>
                <w:color w:val="000000"/>
                <w:highlight w:val="lightGray"/>
              </w:rPr>
              <w:t>/NO</w:t>
            </w:r>
            <w:r w:rsidRPr="00E8450A">
              <w:rPr>
                <w:rStyle w:val="normaltextrun"/>
                <w:b/>
                <w:noProof/>
                <w:color w:val="000000"/>
                <w:highlight w:val="lightGray"/>
                <w:vertAlign w:val="subscript"/>
              </w:rPr>
              <w:t>x</w:t>
            </w:r>
            <w:r w:rsidRPr="00E8450A">
              <w:rPr>
                <w:rStyle w:val="normaltextrun"/>
                <w:b/>
                <w:noProof/>
                <w:color w:val="000000"/>
                <w:highlight w:val="lightGray"/>
              </w:rPr>
              <w:t>, CO, O</w:t>
            </w:r>
            <w:r w:rsidRPr="00E8450A">
              <w:rPr>
                <w:rStyle w:val="normaltextrun"/>
                <w:b/>
                <w:noProof/>
                <w:color w:val="000000"/>
                <w:highlight w:val="lightGray"/>
                <w:vertAlign w:val="subscript"/>
              </w:rPr>
              <w:t>3</w:t>
            </w:r>
            <w:r w:rsidRPr="00E8450A">
              <w:rPr>
                <w:rStyle w:val="eop"/>
                <w:b/>
                <w:noProof/>
                <w:color w:val="000000"/>
                <w:highlight w:val="lightGray"/>
              </w:rPr>
              <w:t xml:space="preserve"> </w:t>
            </w:r>
          </w:p>
        </w:tc>
        <w:tc>
          <w:tcPr>
            <w:tcW w:w="1147" w:type="dxa"/>
          </w:tcPr>
          <w:p w:rsidR="004F4CD1" w:rsidRPr="00E8450A" w:rsidRDefault="004F4CD1" w:rsidP="004F4CD1">
            <w:pPr>
              <w:ind w:left="851" w:hanging="851"/>
              <w:rPr>
                <w:noProof/>
                <w:color w:val="000000"/>
                <w:szCs w:val="24"/>
                <w:highlight w:val="lightGray"/>
              </w:rPr>
            </w:pPr>
            <w:r w:rsidRPr="00E8450A">
              <w:rPr>
                <w:rStyle w:val="normaltextrun"/>
                <w:noProof/>
                <w:color w:val="000000"/>
                <w:highlight w:val="lightGray"/>
              </w:rPr>
              <w:t>85 % (</w:t>
            </w:r>
            <w:r w:rsidRPr="00E8450A">
              <w:rPr>
                <w:rStyle w:val="normaltextrun"/>
                <w:noProof/>
                <w:color w:val="000000"/>
                <w:highlight w:val="lightGray"/>
                <w:vertAlign w:val="superscript"/>
              </w:rPr>
              <w:t>2</w:t>
            </w:r>
            <w:r w:rsidRPr="00E8450A">
              <w:rPr>
                <w:rStyle w:val="normaltextrun"/>
                <w:noProof/>
                <w:color w:val="000000"/>
                <w:highlight w:val="lightGray"/>
              </w:rPr>
              <w:t>)</w:t>
            </w:r>
          </w:p>
        </w:tc>
        <w:tc>
          <w:tcPr>
            <w:tcW w:w="1830" w:type="dxa"/>
          </w:tcPr>
          <w:p w:rsidR="004F4CD1" w:rsidRPr="00E8450A" w:rsidRDefault="004F4CD1" w:rsidP="004F4CD1">
            <w:pPr>
              <w:ind w:left="851" w:hanging="851"/>
              <w:rPr>
                <w:noProof/>
                <w:color w:val="000000"/>
                <w:szCs w:val="24"/>
                <w:highlight w:val="lightGray"/>
              </w:rPr>
            </w:pPr>
            <w:r w:rsidRPr="00E8450A">
              <w:rPr>
                <w:rStyle w:val="normaltextrun"/>
                <w:noProof/>
                <w:color w:val="000000"/>
                <w:highlight w:val="lightGray"/>
              </w:rPr>
              <w:t>75 % (</w:t>
            </w:r>
            <w:r w:rsidRPr="00E8450A">
              <w:rPr>
                <w:rStyle w:val="normaltextrun"/>
                <w:noProof/>
                <w:color w:val="000000"/>
                <w:highlight w:val="lightGray"/>
                <w:vertAlign w:val="superscript"/>
              </w:rPr>
              <w:t>3</w:t>
            </w:r>
            <w:r w:rsidRPr="00E8450A">
              <w:rPr>
                <w:rStyle w:val="normaltextrun"/>
                <w:noProof/>
                <w:color w:val="000000"/>
                <w:highlight w:val="lightGray"/>
              </w:rPr>
              <w:t>)</w:t>
            </w:r>
          </w:p>
        </w:tc>
        <w:tc>
          <w:tcPr>
            <w:tcW w:w="1138" w:type="dxa"/>
          </w:tcPr>
          <w:p w:rsidR="004F4CD1" w:rsidRPr="00E8450A" w:rsidRDefault="004F4CD1" w:rsidP="004F4CD1">
            <w:pPr>
              <w:ind w:left="851" w:hanging="851"/>
              <w:rPr>
                <w:noProof/>
                <w:color w:val="000000"/>
                <w:szCs w:val="24"/>
                <w:highlight w:val="lightGray"/>
              </w:rPr>
            </w:pPr>
            <w:r w:rsidRPr="00E8450A">
              <w:rPr>
                <w:rStyle w:val="normaltextrun"/>
                <w:noProof/>
                <w:color w:val="000000"/>
                <w:highlight w:val="lightGray"/>
              </w:rPr>
              <w:t>13 %</w:t>
            </w:r>
            <w:r w:rsidR="008A1F90">
              <w:rPr>
                <w:rStyle w:val="normaltextrun"/>
                <w:noProof/>
                <w:color w:val="000000"/>
                <w:highlight w:val="lightGray"/>
              </w:rPr>
              <w:t xml:space="preserve"> </w:t>
            </w:r>
          </w:p>
        </w:tc>
        <w:tc>
          <w:tcPr>
            <w:tcW w:w="1980" w:type="dxa"/>
            <w:tcBorders>
              <w:right w:val="nil"/>
            </w:tcBorders>
          </w:tcPr>
          <w:p w:rsidR="004F4CD1" w:rsidRPr="00E8450A" w:rsidRDefault="004F4CD1" w:rsidP="004F4CD1">
            <w:pPr>
              <w:ind w:left="851" w:hanging="851"/>
              <w:rPr>
                <w:noProof/>
                <w:color w:val="000000"/>
                <w:szCs w:val="24"/>
                <w:highlight w:val="lightGray"/>
              </w:rPr>
            </w:pPr>
            <w:r w:rsidRPr="00E8450A">
              <w:rPr>
                <w:noProof/>
                <w:color w:val="000000"/>
                <w:highlight w:val="lightGray"/>
              </w:rPr>
              <w:t>50 % (</w:t>
            </w:r>
            <w:r w:rsidRPr="00E8450A">
              <w:rPr>
                <w:noProof/>
                <w:color w:val="000000"/>
                <w:highlight w:val="lightGray"/>
                <w:vertAlign w:val="superscript"/>
              </w:rPr>
              <w:t>4</w:t>
            </w:r>
            <w:r w:rsidRPr="00E8450A">
              <w:rPr>
                <w:noProof/>
                <w:color w:val="000000"/>
                <w:highlight w:val="lightGray"/>
              </w:rPr>
              <w:t>)</w:t>
            </w:r>
          </w:p>
        </w:tc>
      </w:tr>
      <w:tr w:rsidR="004F4CD1" w:rsidRPr="00E8450A" w:rsidTr="0026263A">
        <w:tc>
          <w:tcPr>
            <w:tcW w:w="3261" w:type="dxa"/>
            <w:tcBorders>
              <w:left w:val="nil"/>
            </w:tcBorders>
          </w:tcPr>
          <w:p w:rsidR="004F4CD1" w:rsidRPr="00E8450A" w:rsidRDefault="004F4CD1" w:rsidP="004F4CD1">
            <w:pPr>
              <w:ind w:left="851" w:hanging="851"/>
              <w:rPr>
                <w:b/>
                <w:bCs/>
                <w:noProof/>
                <w:color w:val="000000"/>
                <w:szCs w:val="24"/>
                <w:highlight w:val="lightGray"/>
                <w:vertAlign w:val="subscript"/>
              </w:rPr>
            </w:pPr>
            <w:r w:rsidRPr="00E8450A">
              <w:rPr>
                <w:rStyle w:val="normaltextrun"/>
                <w:b/>
                <w:noProof/>
                <w:color w:val="000000"/>
                <w:highlight w:val="lightGray"/>
              </w:rPr>
              <w:t>PM</w:t>
            </w:r>
            <w:r w:rsidRPr="00E8450A">
              <w:rPr>
                <w:rStyle w:val="normaltextrun"/>
                <w:b/>
                <w:noProof/>
                <w:color w:val="000000"/>
                <w:highlight w:val="lightGray"/>
                <w:vertAlign w:val="subscript"/>
              </w:rPr>
              <w:t>10</w:t>
            </w:r>
            <w:r w:rsidRPr="00E8450A">
              <w:rPr>
                <w:rStyle w:val="normaltextrun"/>
                <w:b/>
                <w:noProof/>
                <w:color w:val="000000"/>
                <w:highlight w:val="lightGray"/>
              </w:rPr>
              <w:t>, PM</w:t>
            </w:r>
            <w:r w:rsidRPr="00E8450A">
              <w:rPr>
                <w:rStyle w:val="normaltextrun"/>
                <w:b/>
                <w:noProof/>
                <w:color w:val="000000"/>
                <w:highlight w:val="lightGray"/>
                <w:vertAlign w:val="subscript"/>
              </w:rPr>
              <w:t>2,5</w:t>
            </w:r>
            <w:r w:rsidRPr="00E8450A">
              <w:rPr>
                <w:rStyle w:val="eop"/>
                <w:b/>
                <w:noProof/>
                <w:color w:val="000000"/>
                <w:highlight w:val="lightGray"/>
              </w:rPr>
              <w:t xml:space="preserve"> </w:t>
            </w:r>
          </w:p>
        </w:tc>
        <w:tc>
          <w:tcPr>
            <w:tcW w:w="1147" w:type="dxa"/>
          </w:tcPr>
          <w:p w:rsidR="004F4CD1" w:rsidRPr="00E8450A" w:rsidRDefault="004F4CD1" w:rsidP="004F4CD1">
            <w:pPr>
              <w:ind w:left="851" w:hanging="851"/>
              <w:rPr>
                <w:noProof/>
                <w:color w:val="000000"/>
                <w:szCs w:val="24"/>
                <w:highlight w:val="lightGray"/>
              </w:rPr>
            </w:pPr>
            <w:r w:rsidRPr="00E8450A">
              <w:rPr>
                <w:rStyle w:val="normaltextrun"/>
                <w:noProof/>
                <w:color w:val="000000"/>
                <w:highlight w:val="lightGray"/>
              </w:rPr>
              <w:t>85 %</w:t>
            </w:r>
          </w:p>
        </w:tc>
        <w:tc>
          <w:tcPr>
            <w:tcW w:w="1830" w:type="dxa"/>
          </w:tcPr>
          <w:p w:rsidR="004F4CD1" w:rsidRPr="00E8450A" w:rsidRDefault="004F4CD1" w:rsidP="004F4CD1">
            <w:pPr>
              <w:ind w:left="851" w:hanging="851"/>
              <w:rPr>
                <w:noProof/>
                <w:color w:val="000000"/>
                <w:szCs w:val="24"/>
                <w:highlight w:val="lightGray"/>
              </w:rPr>
            </w:pPr>
            <w:r w:rsidRPr="00E8450A">
              <w:rPr>
                <w:rStyle w:val="normaltextrun"/>
                <w:noProof/>
                <w:color w:val="000000"/>
                <w:highlight w:val="lightGray"/>
              </w:rPr>
              <w:t>75 %</w:t>
            </w:r>
          </w:p>
        </w:tc>
        <w:tc>
          <w:tcPr>
            <w:tcW w:w="1138" w:type="dxa"/>
          </w:tcPr>
          <w:p w:rsidR="004F4CD1" w:rsidRPr="00E8450A" w:rsidRDefault="004F4CD1" w:rsidP="004F4CD1">
            <w:pPr>
              <w:ind w:left="851" w:hanging="851"/>
              <w:rPr>
                <w:noProof/>
                <w:color w:val="000000"/>
                <w:szCs w:val="24"/>
                <w:highlight w:val="lightGray"/>
              </w:rPr>
            </w:pPr>
            <w:r w:rsidRPr="00E8450A">
              <w:rPr>
                <w:rStyle w:val="normaltextrun"/>
                <w:noProof/>
                <w:color w:val="000000"/>
                <w:highlight w:val="lightGray"/>
              </w:rPr>
              <w:t>13 %</w:t>
            </w:r>
            <w:r w:rsidR="008A1F90">
              <w:rPr>
                <w:rStyle w:val="normaltextrun"/>
                <w:noProof/>
                <w:color w:val="000000"/>
                <w:highlight w:val="lightGray"/>
              </w:rPr>
              <w:t xml:space="preserve"> </w:t>
            </w:r>
          </w:p>
        </w:tc>
        <w:tc>
          <w:tcPr>
            <w:tcW w:w="1980" w:type="dxa"/>
            <w:tcBorders>
              <w:right w:val="nil"/>
            </w:tcBorders>
          </w:tcPr>
          <w:p w:rsidR="004F4CD1" w:rsidRPr="00E8450A" w:rsidRDefault="004F4CD1" w:rsidP="004F4CD1">
            <w:pPr>
              <w:ind w:left="851" w:hanging="851"/>
              <w:rPr>
                <w:noProof/>
                <w:color w:val="000000"/>
                <w:szCs w:val="24"/>
                <w:highlight w:val="lightGray"/>
              </w:rPr>
            </w:pPr>
            <w:r w:rsidRPr="00E8450A">
              <w:rPr>
                <w:noProof/>
                <w:color w:val="000000"/>
                <w:highlight w:val="lightGray"/>
              </w:rPr>
              <w:t xml:space="preserve">50 % </w:t>
            </w:r>
          </w:p>
        </w:tc>
      </w:tr>
      <w:tr w:rsidR="004F4CD1" w:rsidRPr="00E8450A" w:rsidTr="0026263A">
        <w:tc>
          <w:tcPr>
            <w:tcW w:w="3261" w:type="dxa"/>
            <w:tcBorders>
              <w:left w:val="nil"/>
            </w:tcBorders>
          </w:tcPr>
          <w:p w:rsidR="004F4CD1" w:rsidRPr="00E8450A" w:rsidRDefault="004F4CD1" w:rsidP="004F4CD1">
            <w:pPr>
              <w:ind w:left="851" w:hanging="851"/>
              <w:rPr>
                <w:b/>
                <w:bCs/>
                <w:noProof/>
                <w:color w:val="000000"/>
                <w:szCs w:val="24"/>
                <w:highlight w:val="lightGray"/>
              </w:rPr>
            </w:pPr>
            <w:r w:rsidRPr="00E8450A">
              <w:rPr>
                <w:rStyle w:val="normaltextrun"/>
                <w:b/>
                <w:noProof/>
                <w:color w:val="000000"/>
                <w:highlight w:val="lightGray"/>
              </w:rPr>
              <w:t>Benzén</w:t>
            </w:r>
          </w:p>
        </w:tc>
        <w:tc>
          <w:tcPr>
            <w:tcW w:w="1147" w:type="dxa"/>
          </w:tcPr>
          <w:p w:rsidR="004F4CD1" w:rsidRPr="00E8450A" w:rsidRDefault="004F4CD1" w:rsidP="004F4CD1">
            <w:pPr>
              <w:ind w:left="851" w:hanging="851"/>
              <w:rPr>
                <w:noProof/>
                <w:color w:val="000000"/>
                <w:szCs w:val="24"/>
                <w:highlight w:val="lightGray"/>
              </w:rPr>
            </w:pPr>
            <w:r w:rsidRPr="00E8450A">
              <w:rPr>
                <w:rStyle w:val="normaltextrun"/>
                <w:noProof/>
                <w:color w:val="000000"/>
                <w:highlight w:val="lightGray"/>
              </w:rPr>
              <w:t>85 %</w:t>
            </w:r>
          </w:p>
        </w:tc>
        <w:tc>
          <w:tcPr>
            <w:tcW w:w="1830" w:type="dxa"/>
          </w:tcPr>
          <w:p w:rsidR="004F4CD1" w:rsidRPr="00E8450A" w:rsidRDefault="004F4CD1" w:rsidP="004F4CD1">
            <w:pPr>
              <w:ind w:left="851" w:hanging="851"/>
              <w:rPr>
                <w:noProof/>
                <w:color w:val="000000"/>
                <w:szCs w:val="24"/>
                <w:highlight w:val="lightGray"/>
              </w:rPr>
            </w:pPr>
            <w:r w:rsidRPr="00E8450A">
              <w:rPr>
                <w:noProof/>
                <w:color w:val="000000"/>
                <w:highlight w:val="lightGray"/>
              </w:rPr>
              <w:t>–</w:t>
            </w:r>
          </w:p>
        </w:tc>
        <w:tc>
          <w:tcPr>
            <w:tcW w:w="1138" w:type="dxa"/>
          </w:tcPr>
          <w:p w:rsidR="004F4CD1" w:rsidRPr="00E8450A" w:rsidRDefault="004F4CD1" w:rsidP="004F4CD1">
            <w:pPr>
              <w:ind w:left="851" w:hanging="851"/>
              <w:rPr>
                <w:noProof/>
                <w:color w:val="000000"/>
                <w:szCs w:val="24"/>
                <w:highlight w:val="lightGray"/>
              </w:rPr>
            </w:pPr>
            <w:r w:rsidRPr="00E8450A">
              <w:rPr>
                <w:rStyle w:val="normaltextrun"/>
                <w:noProof/>
                <w:color w:val="000000"/>
                <w:highlight w:val="lightGray"/>
              </w:rPr>
              <w:t>13 %</w:t>
            </w:r>
            <w:r w:rsidR="008A1F90">
              <w:rPr>
                <w:rStyle w:val="normaltextrun"/>
                <w:noProof/>
                <w:color w:val="000000"/>
                <w:highlight w:val="lightGray"/>
              </w:rPr>
              <w:t xml:space="preserve"> </w:t>
            </w:r>
          </w:p>
        </w:tc>
        <w:tc>
          <w:tcPr>
            <w:tcW w:w="1980" w:type="dxa"/>
            <w:tcBorders>
              <w:right w:val="nil"/>
            </w:tcBorders>
          </w:tcPr>
          <w:p w:rsidR="004F4CD1" w:rsidRPr="00E8450A" w:rsidRDefault="004F4CD1" w:rsidP="004F4CD1">
            <w:pPr>
              <w:ind w:left="851" w:hanging="851"/>
              <w:rPr>
                <w:noProof/>
                <w:color w:val="000000"/>
                <w:szCs w:val="24"/>
                <w:highlight w:val="lightGray"/>
              </w:rPr>
            </w:pPr>
            <w:r w:rsidRPr="00E8450A">
              <w:rPr>
                <w:noProof/>
                <w:color w:val="000000"/>
                <w:highlight w:val="lightGray"/>
              </w:rPr>
              <w:t>–</w:t>
            </w:r>
          </w:p>
        </w:tc>
      </w:tr>
      <w:tr w:rsidR="004F4CD1" w:rsidRPr="00E8450A" w:rsidTr="0026263A">
        <w:tc>
          <w:tcPr>
            <w:tcW w:w="3261" w:type="dxa"/>
            <w:tcBorders>
              <w:left w:val="nil"/>
            </w:tcBorders>
          </w:tcPr>
          <w:p w:rsidR="004F4CD1" w:rsidRPr="00E8450A" w:rsidRDefault="00D37B2F" w:rsidP="00A44799">
            <w:pPr>
              <w:pStyle w:val="paragraph"/>
              <w:spacing w:before="120" w:beforeAutospacing="0" w:after="120" w:afterAutospacing="0"/>
              <w:textAlignment w:val="baseline"/>
              <w:rPr>
                <w:b/>
                <w:bCs/>
                <w:noProof/>
                <w:color w:val="000000"/>
                <w:highlight w:val="lightGray"/>
              </w:rPr>
            </w:pPr>
            <w:r w:rsidRPr="00E8450A">
              <w:rPr>
                <w:b/>
                <w:noProof/>
                <w:highlight w:val="lightGray"/>
              </w:rPr>
              <w:t>Benzo[a]pyrén</w:t>
            </w:r>
            <w:r w:rsidRPr="00E8450A">
              <w:rPr>
                <w:rStyle w:val="normaltextrun"/>
                <w:b/>
                <w:noProof/>
                <w:highlight w:val="lightGray"/>
              </w:rPr>
              <w:t>, polycyklické aromatické uhľovodíky (PAU), celková plynná ortuť</w:t>
            </w:r>
            <w:r w:rsidRPr="00E8450A">
              <w:rPr>
                <w:rStyle w:val="eop"/>
                <w:b/>
                <w:noProof/>
                <w:color w:val="000000"/>
                <w:highlight w:val="lightGray"/>
              </w:rPr>
              <w:t xml:space="preserve"> </w:t>
            </w:r>
          </w:p>
        </w:tc>
        <w:tc>
          <w:tcPr>
            <w:tcW w:w="1147" w:type="dxa"/>
          </w:tcPr>
          <w:p w:rsidR="004F4CD1" w:rsidRPr="00E8450A" w:rsidRDefault="004F4CD1" w:rsidP="004F4CD1">
            <w:pPr>
              <w:ind w:left="851" w:hanging="851"/>
              <w:rPr>
                <w:noProof/>
                <w:color w:val="000000"/>
                <w:szCs w:val="24"/>
                <w:highlight w:val="lightGray"/>
              </w:rPr>
            </w:pPr>
            <w:r w:rsidRPr="00E8450A">
              <w:rPr>
                <w:noProof/>
                <w:color w:val="000000"/>
                <w:highlight w:val="lightGray"/>
              </w:rPr>
              <w:t>30 %</w:t>
            </w:r>
          </w:p>
        </w:tc>
        <w:tc>
          <w:tcPr>
            <w:tcW w:w="1830" w:type="dxa"/>
          </w:tcPr>
          <w:p w:rsidR="004F4CD1" w:rsidRPr="00E8450A" w:rsidRDefault="004F4CD1" w:rsidP="004F4CD1">
            <w:pPr>
              <w:ind w:left="851" w:hanging="851"/>
              <w:rPr>
                <w:noProof/>
                <w:color w:val="000000"/>
                <w:szCs w:val="24"/>
                <w:highlight w:val="lightGray"/>
              </w:rPr>
            </w:pPr>
            <w:r w:rsidRPr="00E8450A">
              <w:rPr>
                <w:noProof/>
                <w:color w:val="000000"/>
                <w:highlight w:val="lightGray"/>
              </w:rPr>
              <w:t>–</w:t>
            </w:r>
          </w:p>
        </w:tc>
        <w:tc>
          <w:tcPr>
            <w:tcW w:w="1138" w:type="dxa"/>
          </w:tcPr>
          <w:p w:rsidR="004F4CD1" w:rsidRPr="00E8450A" w:rsidRDefault="004F4CD1" w:rsidP="004F4CD1">
            <w:pPr>
              <w:ind w:left="851" w:hanging="851"/>
              <w:rPr>
                <w:noProof/>
                <w:color w:val="000000"/>
                <w:szCs w:val="24"/>
                <w:highlight w:val="lightGray"/>
              </w:rPr>
            </w:pPr>
            <w:r w:rsidRPr="00E8450A">
              <w:rPr>
                <w:rStyle w:val="normaltextrun"/>
                <w:noProof/>
                <w:color w:val="000000"/>
                <w:highlight w:val="lightGray"/>
              </w:rPr>
              <w:t>13 %</w:t>
            </w:r>
            <w:r w:rsidR="008A1F90">
              <w:rPr>
                <w:rStyle w:val="normaltextrun"/>
                <w:noProof/>
                <w:color w:val="000000"/>
                <w:highlight w:val="lightGray"/>
              </w:rPr>
              <w:t xml:space="preserve"> </w:t>
            </w:r>
          </w:p>
        </w:tc>
        <w:tc>
          <w:tcPr>
            <w:tcW w:w="1980" w:type="dxa"/>
            <w:tcBorders>
              <w:right w:val="nil"/>
            </w:tcBorders>
          </w:tcPr>
          <w:p w:rsidR="004F4CD1" w:rsidRPr="00E8450A" w:rsidRDefault="004F4CD1" w:rsidP="004F4CD1">
            <w:pPr>
              <w:ind w:left="851" w:hanging="851"/>
              <w:rPr>
                <w:noProof/>
                <w:color w:val="000000"/>
                <w:szCs w:val="24"/>
                <w:highlight w:val="lightGray"/>
              </w:rPr>
            </w:pPr>
            <w:r w:rsidRPr="00E8450A">
              <w:rPr>
                <w:noProof/>
                <w:color w:val="000000"/>
                <w:highlight w:val="lightGray"/>
              </w:rPr>
              <w:t>–</w:t>
            </w:r>
          </w:p>
        </w:tc>
      </w:tr>
      <w:tr w:rsidR="004F4CD1" w:rsidRPr="00E8450A" w:rsidTr="0026263A">
        <w:tc>
          <w:tcPr>
            <w:tcW w:w="3261" w:type="dxa"/>
            <w:tcBorders>
              <w:left w:val="nil"/>
            </w:tcBorders>
          </w:tcPr>
          <w:p w:rsidR="004F4CD1" w:rsidRPr="00E8450A" w:rsidRDefault="004F4CD1" w:rsidP="004F4CD1">
            <w:pPr>
              <w:ind w:left="851" w:hanging="851"/>
              <w:rPr>
                <w:b/>
                <w:bCs/>
                <w:noProof/>
                <w:color w:val="000000"/>
                <w:szCs w:val="24"/>
                <w:highlight w:val="lightGray"/>
              </w:rPr>
            </w:pPr>
            <w:r w:rsidRPr="00E8450A">
              <w:rPr>
                <w:rStyle w:val="normaltextrun"/>
                <w:b/>
                <w:noProof/>
                <w:color w:val="000000"/>
                <w:highlight w:val="lightGray"/>
              </w:rPr>
              <w:t>As, Cd, Ni, Pb</w:t>
            </w:r>
            <w:r w:rsidRPr="00E8450A">
              <w:rPr>
                <w:rStyle w:val="eop"/>
                <w:b/>
                <w:noProof/>
                <w:color w:val="000000"/>
                <w:highlight w:val="lightGray"/>
              </w:rPr>
              <w:t xml:space="preserve"> </w:t>
            </w:r>
          </w:p>
        </w:tc>
        <w:tc>
          <w:tcPr>
            <w:tcW w:w="1147" w:type="dxa"/>
          </w:tcPr>
          <w:p w:rsidR="004F4CD1" w:rsidRPr="00E8450A" w:rsidRDefault="004F4CD1" w:rsidP="004F4CD1">
            <w:pPr>
              <w:ind w:left="851" w:hanging="851"/>
              <w:rPr>
                <w:noProof/>
                <w:color w:val="000000"/>
                <w:szCs w:val="24"/>
                <w:highlight w:val="lightGray"/>
              </w:rPr>
            </w:pPr>
            <w:r w:rsidRPr="00E8450A">
              <w:rPr>
                <w:noProof/>
                <w:color w:val="000000"/>
                <w:highlight w:val="lightGray"/>
              </w:rPr>
              <w:t>45 %</w:t>
            </w:r>
          </w:p>
        </w:tc>
        <w:tc>
          <w:tcPr>
            <w:tcW w:w="1830" w:type="dxa"/>
          </w:tcPr>
          <w:p w:rsidR="004F4CD1" w:rsidRPr="00E8450A" w:rsidRDefault="004F4CD1" w:rsidP="004F4CD1">
            <w:pPr>
              <w:ind w:left="851" w:hanging="851"/>
              <w:rPr>
                <w:noProof/>
                <w:color w:val="000000"/>
                <w:szCs w:val="24"/>
                <w:highlight w:val="lightGray"/>
              </w:rPr>
            </w:pPr>
            <w:r w:rsidRPr="00E8450A">
              <w:rPr>
                <w:noProof/>
                <w:color w:val="000000"/>
                <w:highlight w:val="lightGray"/>
              </w:rPr>
              <w:t>–</w:t>
            </w:r>
          </w:p>
        </w:tc>
        <w:tc>
          <w:tcPr>
            <w:tcW w:w="1138" w:type="dxa"/>
          </w:tcPr>
          <w:p w:rsidR="004F4CD1" w:rsidRPr="00E8450A" w:rsidRDefault="004F4CD1" w:rsidP="004F4CD1">
            <w:pPr>
              <w:ind w:left="851" w:hanging="851"/>
              <w:rPr>
                <w:noProof/>
                <w:color w:val="000000"/>
                <w:szCs w:val="24"/>
                <w:highlight w:val="lightGray"/>
              </w:rPr>
            </w:pPr>
            <w:r w:rsidRPr="00E8450A">
              <w:rPr>
                <w:rStyle w:val="normaltextrun"/>
                <w:noProof/>
                <w:color w:val="000000"/>
                <w:highlight w:val="lightGray"/>
              </w:rPr>
              <w:t>13 %</w:t>
            </w:r>
            <w:r w:rsidR="008A1F90">
              <w:rPr>
                <w:rStyle w:val="normaltextrun"/>
                <w:noProof/>
                <w:color w:val="000000"/>
                <w:highlight w:val="lightGray"/>
              </w:rPr>
              <w:t xml:space="preserve"> </w:t>
            </w:r>
          </w:p>
        </w:tc>
        <w:tc>
          <w:tcPr>
            <w:tcW w:w="1980" w:type="dxa"/>
            <w:tcBorders>
              <w:right w:val="nil"/>
            </w:tcBorders>
          </w:tcPr>
          <w:p w:rsidR="004F4CD1" w:rsidRPr="00E8450A" w:rsidRDefault="004F4CD1" w:rsidP="004F4CD1">
            <w:pPr>
              <w:ind w:left="851" w:hanging="851"/>
              <w:rPr>
                <w:noProof/>
                <w:color w:val="000000"/>
                <w:szCs w:val="24"/>
                <w:highlight w:val="lightGray"/>
              </w:rPr>
            </w:pPr>
            <w:r w:rsidRPr="00E8450A">
              <w:rPr>
                <w:noProof/>
                <w:color w:val="000000"/>
                <w:highlight w:val="lightGray"/>
              </w:rPr>
              <w:t>–</w:t>
            </w:r>
          </w:p>
        </w:tc>
      </w:tr>
      <w:tr w:rsidR="004F4CD1" w:rsidRPr="00E8450A" w:rsidTr="0026263A">
        <w:tc>
          <w:tcPr>
            <w:tcW w:w="3261" w:type="dxa"/>
            <w:tcBorders>
              <w:left w:val="nil"/>
            </w:tcBorders>
          </w:tcPr>
          <w:p w:rsidR="004F4CD1" w:rsidRPr="00E8450A" w:rsidRDefault="00A8121A" w:rsidP="00A44799">
            <w:pPr>
              <w:pStyle w:val="paragraph"/>
              <w:spacing w:before="120" w:beforeAutospacing="0" w:after="120" w:afterAutospacing="0"/>
              <w:textAlignment w:val="baseline"/>
              <w:rPr>
                <w:b/>
                <w:bCs/>
                <w:noProof/>
                <w:color w:val="000000"/>
                <w:highlight w:val="lightGray"/>
              </w:rPr>
            </w:pPr>
            <w:r w:rsidRPr="00E8450A">
              <w:rPr>
                <w:rStyle w:val="normaltextrun"/>
                <w:b/>
                <w:noProof/>
                <w:color w:val="000000"/>
                <w:highlight w:val="lightGray"/>
              </w:rPr>
              <w:t>BC, amoniak (NH</w:t>
            </w:r>
            <w:r w:rsidRPr="00E8450A">
              <w:rPr>
                <w:rStyle w:val="normaltextrun"/>
                <w:b/>
                <w:noProof/>
                <w:color w:val="000000"/>
                <w:highlight w:val="lightGray"/>
                <w:vertAlign w:val="subscript"/>
              </w:rPr>
              <w:t>3</w:t>
            </w:r>
            <w:r w:rsidRPr="00E8450A">
              <w:rPr>
                <w:rStyle w:val="normaltextrun"/>
                <w:b/>
                <w:noProof/>
                <w:color w:val="000000"/>
                <w:highlight w:val="lightGray"/>
              </w:rPr>
              <w:t>), UFP, granulometrické zloženie UFP</w:t>
            </w:r>
          </w:p>
        </w:tc>
        <w:tc>
          <w:tcPr>
            <w:tcW w:w="1147" w:type="dxa"/>
          </w:tcPr>
          <w:p w:rsidR="004F4CD1" w:rsidRPr="00E8450A" w:rsidRDefault="004F4CD1" w:rsidP="004F4CD1">
            <w:pPr>
              <w:ind w:left="851" w:hanging="851"/>
              <w:rPr>
                <w:noProof/>
                <w:color w:val="000000"/>
                <w:szCs w:val="24"/>
                <w:highlight w:val="lightGray"/>
              </w:rPr>
            </w:pPr>
            <w:r w:rsidRPr="00E8450A">
              <w:rPr>
                <w:noProof/>
                <w:color w:val="000000"/>
                <w:highlight w:val="lightGray"/>
              </w:rPr>
              <w:t>80 %</w:t>
            </w:r>
          </w:p>
        </w:tc>
        <w:tc>
          <w:tcPr>
            <w:tcW w:w="1830" w:type="dxa"/>
          </w:tcPr>
          <w:p w:rsidR="004F4CD1" w:rsidRPr="00E8450A" w:rsidRDefault="004F4CD1" w:rsidP="004F4CD1">
            <w:pPr>
              <w:ind w:left="851" w:hanging="851"/>
              <w:rPr>
                <w:noProof/>
                <w:color w:val="000000"/>
                <w:szCs w:val="24"/>
                <w:highlight w:val="lightGray"/>
              </w:rPr>
            </w:pPr>
            <w:r w:rsidRPr="00E8450A">
              <w:rPr>
                <w:noProof/>
                <w:color w:val="000000"/>
                <w:highlight w:val="lightGray"/>
              </w:rPr>
              <w:t>–</w:t>
            </w:r>
          </w:p>
        </w:tc>
        <w:tc>
          <w:tcPr>
            <w:tcW w:w="1138" w:type="dxa"/>
          </w:tcPr>
          <w:p w:rsidR="004F4CD1" w:rsidRPr="00E8450A" w:rsidRDefault="004F4CD1" w:rsidP="004F4CD1">
            <w:pPr>
              <w:ind w:left="851" w:hanging="851"/>
              <w:rPr>
                <w:noProof/>
                <w:color w:val="000000"/>
                <w:szCs w:val="24"/>
                <w:highlight w:val="lightGray"/>
              </w:rPr>
            </w:pPr>
            <w:r w:rsidRPr="00E8450A">
              <w:rPr>
                <w:rStyle w:val="normaltextrun"/>
                <w:noProof/>
                <w:color w:val="000000"/>
                <w:highlight w:val="lightGray"/>
              </w:rPr>
              <w:t>13 %</w:t>
            </w:r>
            <w:r w:rsidR="008A1F90">
              <w:rPr>
                <w:rStyle w:val="normaltextrun"/>
                <w:noProof/>
                <w:color w:val="000000"/>
                <w:highlight w:val="lightGray"/>
              </w:rPr>
              <w:t xml:space="preserve"> </w:t>
            </w:r>
          </w:p>
        </w:tc>
        <w:tc>
          <w:tcPr>
            <w:tcW w:w="1980" w:type="dxa"/>
            <w:tcBorders>
              <w:right w:val="nil"/>
            </w:tcBorders>
          </w:tcPr>
          <w:p w:rsidR="004F4CD1" w:rsidRPr="00E8450A" w:rsidRDefault="004F4CD1" w:rsidP="004F4CD1">
            <w:pPr>
              <w:ind w:left="851" w:hanging="851"/>
              <w:rPr>
                <w:noProof/>
                <w:color w:val="000000"/>
                <w:szCs w:val="24"/>
                <w:highlight w:val="lightGray"/>
              </w:rPr>
            </w:pPr>
            <w:r w:rsidRPr="00E8450A">
              <w:rPr>
                <w:noProof/>
                <w:color w:val="000000"/>
                <w:highlight w:val="lightGray"/>
              </w:rPr>
              <w:t>–</w:t>
            </w:r>
          </w:p>
        </w:tc>
      </w:tr>
      <w:tr w:rsidR="004F4CD1" w:rsidRPr="00E8450A" w:rsidTr="0026263A">
        <w:tc>
          <w:tcPr>
            <w:tcW w:w="3261" w:type="dxa"/>
            <w:tcBorders>
              <w:left w:val="nil"/>
            </w:tcBorders>
          </w:tcPr>
          <w:p w:rsidR="004F4CD1" w:rsidRPr="00E8450A" w:rsidRDefault="004F4CD1" w:rsidP="004F4CD1">
            <w:pPr>
              <w:ind w:left="851" w:hanging="851"/>
              <w:rPr>
                <w:b/>
                <w:bCs/>
                <w:noProof/>
                <w:color w:val="000000"/>
                <w:szCs w:val="24"/>
                <w:highlight w:val="lightGray"/>
              </w:rPr>
            </w:pPr>
            <w:r w:rsidRPr="00E8450A">
              <w:rPr>
                <w:rStyle w:val="normaltextrun"/>
                <w:b/>
                <w:noProof/>
                <w:color w:val="000000"/>
                <w:highlight w:val="lightGray"/>
              </w:rPr>
              <w:t>Celková depozícia</w:t>
            </w:r>
            <w:r w:rsidRPr="00E8450A">
              <w:rPr>
                <w:rStyle w:val="eop"/>
                <w:b/>
                <w:noProof/>
                <w:color w:val="000000"/>
                <w:highlight w:val="lightGray"/>
              </w:rPr>
              <w:t xml:space="preserve"> </w:t>
            </w:r>
          </w:p>
        </w:tc>
        <w:tc>
          <w:tcPr>
            <w:tcW w:w="1147" w:type="dxa"/>
          </w:tcPr>
          <w:p w:rsidR="004F4CD1" w:rsidRPr="00E8450A" w:rsidRDefault="004F4CD1" w:rsidP="004F4CD1">
            <w:pPr>
              <w:ind w:left="851" w:hanging="851"/>
              <w:rPr>
                <w:noProof/>
                <w:color w:val="000000"/>
                <w:szCs w:val="24"/>
                <w:highlight w:val="lightGray"/>
              </w:rPr>
            </w:pPr>
            <w:r w:rsidRPr="00E8450A">
              <w:rPr>
                <w:noProof/>
                <w:color w:val="000000"/>
                <w:highlight w:val="lightGray"/>
              </w:rPr>
              <w:t>–</w:t>
            </w:r>
          </w:p>
        </w:tc>
        <w:tc>
          <w:tcPr>
            <w:tcW w:w="1830" w:type="dxa"/>
          </w:tcPr>
          <w:p w:rsidR="004F4CD1" w:rsidRPr="00E8450A" w:rsidRDefault="004F4CD1" w:rsidP="004F4CD1">
            <w:pPr>
              <w:ind w:left="851" w:hanging="851"/>
              <w:rPr>
                <w:noProof/>
                <w:color w:val="000000"/>
                <w:szCs w:val="24"/>
                <w:highlight w:val="lightGray"/>
              </w:rPr>
            </w:pPr>
            <w:r w:rsidRPr="00E8450A">
              <w:rPr>
                <w:noProof/>
                <w:color w:val="000000"/>
                <w:highlight w:val="lightGray"/>
              </w:rPr>
              <w:t>–</w:t>
            </w:r>
          </w:p>
        </w:tc>
        <w:tc>
          <w:tcPr>
            <w:tcW w:w="1138" w:type="dxa"/>
          </w:tcPr>
          <w:p w:rsidR="004F4CD1" w:rsidRPr="00E8450A" w:rsidRDefault="004F4CD1" w:rsidP="004F4CD1">
            <w:pPr>
              <w:ind w:left="851" w:hanging="851"/>
              <w:rPr>
                <w:noProof/>
                <w:color w:val="000000"/>
                <w:szCs w:val="24"/>
                <w:highlight w:val="lightGray"/>
              </w:rPr>
            </w:pPr>
            <w:r w:rsidRPr="00E8450A">
              <w:rPr>
                <w:noProof/>
                <w:color w:val="000000"/>
                <w:highlight w:val="lightGray"/>
              </w:rPr>
              <w:t>30 %</w:t>
            </w:r>
          </w:p>
        </w:tc>
        <w:tc>
          <w:tcPr>
            <w:tcW w:w="1980" w:type="dxa"/>
            <w:tcBorders>
              <w:right w:val="nil"/>
            </w:tcBorders>
          </w:tcPr>
          <w:p w:rsidR="004F4CD1" w:rsidRPr="00E8450A" w:rsidRDefault="004F4CD1" w:rsidP="004F4CD1">
            <w:pPr>
              <w:ind w:left="851" w:hanging="851"/>
              <w:rPr>
                <w:noProof/>
                <w:color w:val="000000"/>
                <w:szCs w:val="24"/>
                <w:highlight w:val="lightGray"/>
              </w:rPr>
            </w:pPr>
            <w:r w:rsidRPr="00E8450A">
              <w:rPr>
                <w:noProof/>
                <w:color w:val="000000"/>
                <w:highlight w:val="lightGray"/>
              </w:rPr>
              <w:t>–</w:t>
            </w:r>
          </w:p>
        </w:tc>
      </w:tr>
      <w:tr w:rsidR="004F4CD1" w:rsidRPr="00E8450A" w:rsidTr="00A058F2">
        <w:tc>
          <w:tcPr>
            <w:tcW w:w="9356" w:type="dxa"/>
            <w:gridSpan w:val="5"/>
            <w:tcBorders>
              <w:left w:val="nil"/>
              <w:right w:val="nil"/>
            </w:tcBorders>
          </w:tcPr>
          <w:p w:rsidR="004F4CD1" w:rsidRPr="00E8450A" w:rsidRDefault="004F4CD1" w:rsidP="00F06FB6">
            <w:pPr>
              <w:pStyle w:val="FootnoteText"/>
              <w:numPr>
                <w:ilvl w:val="0"/>
                <w:numId w:val="21"/>
              </w:numPr>
              <w:autoSpaceDE w:val="0"/>
              <w:autoSpaceDN w:val="0"/>
              <w:spacing w:before="120" w:after="120"/>
              <w:rPr>
                <w:noProof/>
                <w:highlight w:val="lightGray"/>
              </w:rPr>
            </w:pPr>
            <w:r w:rsidRPr="00E8450A">
              <w:rPr>
                <w:noProof/>
                <w:highlight w:val="lightGray"/>
              </w:rPr>
              <w:t>V prípade O</w:t>
            </w:r>
            <w:r w:rsidRPr="00E8450A">
              <w:rPr>
                <w:noProof/>
                <w:highlight w:val="lightGray"/>
                <w:vertAlign w:val="subscript"/>
              </w:rPr>
              <w:t>3</w:t>
            </w:r>
            <w:r w:rsidRPr="00E8450A">
              <w:rPr>
                <w:noProof/>
                <w:highlight w:val="lightGray"/>
              </w:rPr>
              <w:t xml:space="preserve"> a CO si výpočet „najväčšej dennej 8-hodinovej strednej hodnoty“ za ktorýkoľvek konkrétny deň vyžaduje najmenej 75 % 8-hodinových kĺzavých priemerov aktualizovaných každú hodinu (t. j. 18 osemhodinových priemerov za deň). </w:t>
            </w:r>
          </w:p>
          <w:p w:rsidR="0026263A" w:rsidRPr="00E8450A" w:rsidRDefault="004F4CD1" w:rsidP="00F06FB6">
            <w:pPr>
              <w:pStyle w:val="FootnoteText"/>
              <w:numPr>
                <w:ilvl w:val="0"/>
                <w:numId w:val="21"/>
              </w:numPr>
              <w:autoSpaceDE w:val="0"/>
              <w:autoSpaceDN w:val="0"/>
              <w:spacing w:before="120" w:after="120"/>
              <w:rPr>
                <w:noProof/>
                <w:highlight w:val="lightGray"/>
              </w:rPr>
            </w:pPr>
            <w:r w:rsidRPr="00E8450A">
              <w:rPr>
                <w:noProof/>
                <w:highlight w:val="lightGray"/>
              </w:rPr>
              <w:t>V prípade O</w:t>
            </w:r>
            <w:r w:rsidRPr="00E8450A">
              <w:rPr>
                <w:noProof/>
                <w:highlight w:val="lightGray"/>
                <w:vertAlign w:val="subscript"/>
              </w:rPr>
              <w:t>3</w:t>
            </w:r>
            <w:r w:rsidRPr="00E8450A">
              <w:rPr>
                <w:noProof/>
                <w:highlight w:val="lightGray"/>
              </w:rPr>
              <w:t xml:space="preserve"> musia byť splnené požiadavky na najmenšie pokrytie údajmi za celý kalendárny rok, ako aj za obdobie od apríla do septembra a od októbra do marca. </w:t>
            </w:r>
          </w:p>
          <w:p w:rsidR="004F4CD1" w:rsidRPr="00E8450A" w:rsidRDefault="00FC18DA" w:rsidP="00F06FB6">
            <w:pPr>
              <w:pStyle w:val="FootnoteText"/>
              <w:autoSpaceDE w:val="0"/>
              <w:autoSpaceDN w:val="0"/>
              <w:spacing w:before="120" w:after="120"/>
              <w:ind w:left="360" w:firstLine="0"/>
              <w:rPr>
                <w:noProof/>
                <w:highlight w:val="lightGray"/>
              </w:rPr>
            </w:pPr>
            <w:r w:rsidRPr="00E8450A">
              <w:rPr>
                <w:noProof/>
                <w:highlight w:val="lightGray"/>
              </w:rPr>
              <w:t>Hodnotenie požiadavky na najmenšie pokrytie údajmi o AOT40 v prípade ozónu musí byť splnené počas časového obdobia vymedzeného na výpočet hodnoty AOT40.</w:t>
            </w:r>
          </w:p>
          <w:p w:rsidR="004F4CD1" w:rsidRPr="00E8450A" w:rsidRDefault="004F4CD1" w:rsidP="00F06FB6">
            <w:pPr>
              <w:pStyle w:val="FootnoteText"/>
              <w:numPr>
                <w:ilvl w:val="0"/>
                <w:numId w:val="21"/>
              </w:numPr>
              <w:autoSpaceDE w:val="0"/>
              <w:autoSpaceDN w:val="0"/>
              <w:spacing w:before="120" w:after="120"/>
              <w:rPr>
                <w:noProof/>
                <w:highlight w:val="lightGray"/>
              </w:rPr>
            </w:pPr>
            <w:r w:rsidRPr="00E8450A">
              <w:rPr>
                <w:noProof/>
                <w:highlight w:val="lightGray"/>
              </w:rPr>
              <w:t>Členské štáty môžu na vyhodnotenie ročných stredných hodnôt uplatňovať náhodné merania namiesto nepretržitých meraní, ak môžu Komisii dokázať, že neistota vrátane neistoty v dôsledku náhodného výberu vzoriek spĺňa ciele kvality uvedené v tabuľke a časové pokrytie je naďalej rozsiahlejšie ako najmenšie pokrytie údajmi z indikatívnych meraní. Náhodný výber vzoriek sa musí rozdeliť v rámci roka rovnomerne, aby sa zabránilo skresleniu údajov. Neistotu v rámci náhodného výberu vzoriek možno určiť postupom stanoveným v norme ISO 11222:2002 „Ochrana ovzdušia. Vonkajšie ovzdušie. Stanovenie neistoty časového priemeru pri meraniach na zisťovanie kvality ovzdušia“.</w:t>
            </w:r>
          </w:p>
          <w:p w:rsidR="004F4CD1" w:rsidRPr="00E8450A" w:rsidRDefault="004F4CD1" w:rsidP="00F06FB6">
            <w:pPr>
              <w:pStyle w:val="FootnoteText"/>
              <w:numPr>
                <w:ilvl w:val="0"/>
                <w:numId w:val="21"/>
              </w:numPr>
              <w:autoSpaceDE w:val="0"/>
              <w:autoSpaceDN w:val="0"/>
              <w:spacing w:before="120" w:after="120"/>
              <w:rPr>
                <w:noProof/>
                <w:highlight w:val="lightGray"/>
              </w:rPr>
            </w:pPr>
            <w:r w:rsidRPr="00E8450A">
              <w:rPr>
                <w:noProof/>
                <w:highlight w:val="lightGray"/>
              </w:rPr>
              <w:t>V prípade O</w:t>
            </w:r>
            <w:r w:rsidRPr="00E8450A">
              <w:rPr>
                <w:noProof/>
                <w:highlight w:val="lightGray"/>
                <w:vertAlign w:val="subscript"/>
              </w:rPr>
              <w:t>3</w:t>
            </w:r>
            <w:r w:rsidRPr="00E8450A">
              <w:rPr>
                <w:noProof/>
                <w:highlight w:val="lightGray"/>
              </w:rPr>
              <w:t xml:space="preserve"> sa najmenšie pokrytie údajmi uplatňuje v období od apríla do septembra (v zimnom období sa nevyžaduje splnenie žiadneho kritéria najmenšieho pokrytia údajmi). </w:t>
            </w:r>
          </w:p>
        </w:tc>
      </w:tr>
    </w:tbl>
    <w:p w:rsidR="004F4CD1" w:rsidRPr="00E8450A" w:rsidRDefault="004F4CD1" w:rsidP="004F4CD1">
      <w:pPr>
        <w:rPr>
          <w:noProof/>
          <w:highlight w:val="lightGray"/>
        </w:rPr>
      </w:pPr>
      <w:r w:rsidRPr="00E8450A">
        <w:rPr>
          <w:noProof/>
          <w:highlight w:val="lightGray"/>
        </w:rPr>
        <w:t xml:space="preserve"> </w:t>
      </w:r>
    </w:p>
    <w:p w:rsidR="004F4CD1" w:rsidRPr="00E8450A" w:rsidRDefault="004F4CD1" w:rsidP="004F4CD1">
      <w:pPr>
        <w:shd w:val="clear" w:color="auto" w:fill="FFFFFF"/>
        <w:ind w:left="426"/>
        <w:rPr>
          <w:rFonts w:eastAsia="Times New Roman"/>
          <w:noProof/>
          <w:highlight w:val="lightGray"/>
        </w:rPr>
      </w:pPr>
      <w:r w:rsidRPr="00E8450A">
        <w:rPr>
          <w:noProof/>
          <w:highlight w:val="lightGray"/>
        </w:rPr>
        <w:t>Stále merania SO</w:t>
      </w:r>
      <w:r w:rsidRPr="00E8450A">
        <w:rPr>
          <w:noProof/>
          <w:highlight w:val="lightGray"/>
          <w:vertAlign w:val="subscript"/>
        </w:rPr>
        <w:t>2</w:t>
      </w:r>
      <w:r w:rsidRPr="00E8450A">
        <w:rPr>
          <w:noProof/>
          <w:highlight w:val="lightGray"/>
        </w:rPr>
        <w:t>, NO</w:t>
      </w:r>
      <w:r w:rsidRPr="00E8450A">
        <w:rPr>
          <w:noProof/>
          <w:highlight w:val="lightGray"/>
          <w:vertAlign w:val="subscript"/>
        </w:rPr>
        <w:t>2</w:t>
      </w:r>
      <w:r w:rsidRPr="00E8450A">
        <w:rPr>
          <w:noProof/>
          <w:highlight w:val="lightGray"/>
        </w:rPr>
        <w:t>, CO, O</w:t>
      </w:r>
      <w:r w:rsidRPr="00E8450A">
        <w:rPr>
          <w:noProof/>
          <w:highlight w:val="lightGray"/>
          <w:vertAlign w:val="subscript"/>
        </w:rPr>
        <w:t>3</w:t>
      </w:r>
      <w:r w:rsidRPr="00E8450A">
        <w:rPr>
          <w:noProof/>
          <w:highlight w:val="lightGray"/>
        </w:rPr>
        <w:t>, PM</w:t>
      </w:r>
      <w:r w:rsidRPr="00E8450A">
        <w:rPr>
          <w:noProof/>
          <w:highlight w:val="lightGray"/>
          <w:vertAlign w:val="subscript"/>
        </w:rPr>
        <w:t>10</w:t>
      </w:r>
      <w:r w:rsidRPr="00E8450A">
        <w:rPr>
          <w:noProof/>
          <w:highlight w:val="lightGray"/>
        </w:rPr>
        <w:t>, PM</w:t>
      </w:r>
      <w:r w:rsidRPr="00E8450A">
        <w:rPr>
          <w:noProof/>
          <w:highlight w:val="lightGray"/>
          <w:vertAlign w:val="subscript"/>
        </w:rPr>
        <w:t>2,5</w:t>
      </w:r>
      <w:r w:rsidRPr="00E8450A">
        <w:rPr>
          <w:noProof/>
          <w:highlight w:val="lightGray"/>
        </w:rPr>
        <w:t xml:space="preserve"> a benzénu sa majú vykonávať nepretržite počas celého kalendárneho roka. </w:t>
      </w:r>
    </w:p>
    <w:p w:rsidR="004F4CD1" w:rsidRPr="00E8450A" w:rsidRDefault="004F4CD1" w:rsidP="004F4CD1">
      <w:pPr>
        <w:shd w:val="clear" w:color="auto" w:fill="FFFFFF"/>
        <w:ind w:left="426"/>
        <w:rPr>
          <w:rFonts w:eastAsia="Times New Roman"/>
          <w:noProof/>
          <w:highlight w:val="lightGray"/>
        </w:rPr>
      </w:pPr>
      <w:r w:rsidRPr="00E8450A">
        <w:rPr>
          <w:noProof/>
          <w:highlight w:val="lightGray"/>
        </w:rPr>
        <w:lastRenderedPageBreak/>
        <w:t>V ostatných prípadoch sa merania majú rovnomerne rozdeliť počas kalendárneho roka (alebo v období od apríla do septembra v prípade indikatívnych meraní O</w:t>
      </w:r>
      <w:r w:rsidRPr="00E8450A">
        <w:rPr>
          <w:noProof/>
          <w:highlight w:val="lightGray"/>
          <w:vertAlign w:val="subscript"/>
        </w:rPr>
        <w:t>3</w:t>
      </w:r>
      <w:r w:rsidRPr="00E8450A">
        <w:rPr>
          <w:noProof/>
          <w:highlight w:val="lightGray"/>
        </w:rPr>
        <w:t xml:space="preserve">). S cieľom splniť tieto požiadavky a zabezpečiť, aby žiadne potenciálne straty údajov neskreslili výsledky, musia sa v konkrétnych obdobiach (štvrťrok, mesiac, deň v týždni) celého roka splniť požiadavky na najmenšie pokrytie údajmi, a to v závislosti od znečisťujúcej látky a metódy/frekvencie merania. </w:t>
      </w:r>
    </w:p>
    <w:p w:rsidR="004F4CD1" w:rsidRPr="00E8450A" w:rsidRDefault="004F4CD1" w:rsidP="004F4CD1">
      <w:pPr>
        <w:ind w:left="426"/>
        <w:rPr>
          <w:rFonts w:eastAsia="Times New Roman"/>
          <w:noProof/>
          <w:highlight w:val="lightGray"/>
        </w:rPr>
      </w:pPr>
      <w:r w:rsidRPr="00E8450A">
        <w:rPr>
          <w:noProof/>
          <w:highlight w:val="lightGray"/>
        </w:rPr>
        <w:t>Členské štáty môžu na vyhodnotenie ročných stredných hodnôt prostredníctvom indikatívnych meraní uplatňovať náhodné merania namiesto nepretržitých meraní, ak môžu dokázať, že neistota vrátane neistoty v dôsledku náhodného výberu vzoriek spĺňa vyžadované ciele v oblasti kvality údajov a najmenšie pokrytie údajmi z indikatívnych meraní. Takýto náhodný výber vzoriek sa musí rozdeliť v rámci roka rovnomerne, aby sa zabránilo skresleniu údajov. Neistotu v rámci náhodného výberu vzoriek možno určiť postupom stanoveným v norme ISO 11222:2002 „Ochrana ovzdušia. Vonkajšie ovzdušie. Stanovenie neistoty časového priemeru pri meraniach na zisťovanie kvality ovzdušia“.</w:t>
      </w:r>
    </w:p>
    <w:p w:rsidR="004F4CD1" w:rsidRPr="00E8450A" w:rsidRDefault="004F4CD1" w:rsidP="004F4CD1">
      <w:pPr>
        <w:shd w:val="clear" w:color="auto" w:fill="FFFFFF"/>
        <w:ind w:left="426"/>
        <w:rPr>
          <w:rFonts w:eastAsia="Times New Roman"/>
          <w:noProof/>
          <w:highlight w:val="lightGray"/>
        </w:rPr>
      </w:pPr>
      <w:r w:rsidRPr="00E8450A">
        <w:rPr>
          <w:noProof/>
          <w:highlight w:val="lightGray"/>
        </w:rPr>
        <w:t>Požiadavky na najmenšie pokrytie údajmi nezahŕňajú stratu(-y) údajov spôsobené pravidelnou kalibráciou alebo bežnou údržbou prístrojov. Takáto údržba sa nesmie vykonávať v obdobiach najväčšieho znečistenia.</w:t>
      </w:r>
    </w:p>
    <w:p w:rsidR="004F4CD1" w:rsidRPr="00E8450A" w:rsidRDefault="004F4CD1" w:rsidP="004F4CD1">
      <w:pPr>
        <w:ind w:left="426"/>
        <w:rPr>
          <w:noProof/>
          <w:highlight w:val="lightGray"/>
        </w:rPr>
      </w:pPr>
      <w:r w:rsidRPr="00E8450A">
        <w:rPr>
          <w:noProof/>
          <w:highlight w:val="lightGray"/>
        </w:rPr>
        <w:t>Na meranie benzo[a]pyrénu a ďalších polycyklických aromatických uhľovodíkov sa vyžaduje 24-hodinový odber vzoriek. Jednotlivé vzorky odobraté v období do jedného mesiaca možno spájať a analyzovať ako súhrnnú vzorku za predpokladu, že danou metódou sa zabezpečí, aby boli vzorky počas tohto obdobia stabilné. Tri rovnorodé zlúčeniny benzo[b]fluorantén, benzo[j]fluorantén, benzo[k]fluorantén môže byť ťažké analyticky rozložiť. V takýchto prípadoch možno oznamovať ich súčet. Odber vzoriek sa musí rozložiť rovnomerne na dni v týždni a počas roka. Na meranie mesačnej alebo týždennej rýchlosti depozície sa odporúčajú odbery vzoriek počas celého roka.</w:t>
      </w:r>
    </w:p>
    <w:p w:rsidR="004F4CD1" w:rsidRPr="00E8450A" w:rsidRDefault="004F4CD1" w:rsidP="004F4CD1">
      <w:pPr>
        <w:ind w:left="426"/>
        <w:rPr>
          <w:noProof/>
          <w:highlight w:val="lightGray"/>
        </w:rPr>
      </w:pPr>
      <w:r w:rsidRPr="00E8450A">
        <w:rPr>
          <w:noProof/>
          <w:highlight w:val="lightGray"/>
        </w:rPr>
        <w:t>Ustanovenia týkajúce sa jednotlivých vzoriek sa pritom uplatňujú aj na arzén, kadmium, nikel a celkovú plynnú ortuť. Okrem toho sa povoľuje z filtrov PM</w:t>
      </w:r>
      <w:r w:rsidRPr="00E8450A">
        <w:rPr>
          <w:noProof/>
          <w:highlight w:val="lightGray"/>
          <w:vertAlign w:val="subscript"/>
        </w:rPr>
        <w:t>10</w:t>
      </w:r>
      <w:r w:rsidRPr="00E8450A">
        <w:rPr>
          <w:noProof/>
          <w:highlight w:val="lightGray"/>
        </w:rPr>
        <w:t xml:space="preserve"> odberať podvzorky určené na následnú analýzu kovov, ak existujú dôkazy o tom, že podvzorka je reprezentatívna pre celok a ak v prípade porovnania s príslušnými cieľmi v oblasti kvality údajov nedochádza k ohrozeniu citlivosti detekcie. Ako alternatíva k dennému odberu vzoriek sa povoľuje týždenný odber vzoriek na stanovenie kovov v časticiach PM</w:t>
      </w:r>
      <w:r w:rsidRPr="00E8450A">
        <w:rPr>
          <w:noProof/>
          <w:highlight w:val="lightGray"/>
          <w:vertAlign w:val="subscript"/>
        </w:rPr>
        <w:t>10</w:t>
      </w:r>
      <w:r w:rsidRPr="00E8450A">
        <w:rPr>
          <w:noProof/>
          <w:highlight w:val="lightGray"/>
        </w:rPr>
        <w:t>, a to za predpokladu, že nie sú ohrozené charakteristické znaky celkovej odobranej vzorky.</w:t>
      </w:r>
    </w:p>
    <w:p w:rsidR="004F4CD1" w:rsidRPr="00E8450A" w:rsidRDefault="004F4CD1" w:rsidP="004F4CD1">
      <w:pPr>
        <w:ind w:left="426"/>
        <w:rPr>
          <w:noProof/>
          <w:highlight w:val="lightGray"/>
        </w:rPr>
      </w:pPr>
      <w:r w:rsidRPr="00E8450A">
        <w:rPr>
          <w:noProof/>
          <w:highlight w:val="lightGray"/>
        </w:rPr>
        <w:t>Členské štáty môžu robiť iba mokrý (</w:t>
      </w:r>
      <w:r w:rsidRPr="00E8450A">
        <w:rPr>
          <w:i/>
          <w:iCs/>
          <w:noProof/>
          <w:highlight w:val="lightGray"/>
        </w:rPr>
        <w:t>wet-only</w:t>
      </w:r>
      <w:r w:rsidRPr="00E8450A">
        <w:rPr>
          <w:noProof/>
          <w:highlight w:val="lightGray"/>
        </w:rPr>
        <w:t>) odber vzorky namiesto odberu súhrnnej (</w:t>
      </w:r>
      <w:r w:rsidRPr="00E8450A">
        <w:rPr>
          <w:i/>
          <w:iCs/>
          <w:noProof/>
          <w:highlight w:val="lightGray"/>
        </w:rPr>
        <w:t>bulk</w:t>
      </w:r>
      <w:r w:rsidRPr="00E8450A">
        <w:rPr>
          <w:noProof/>
          <w:highlight w:val="lightGray"/>
        </w:rPr>
        <w:t>) vzorky, ak dokážu, že rozdiel medzi nimi je menej ako 10 %. Rýchlosti depozície sa vo všeobecnosti musia uvádzať v μg/m</w:t>
      </w:r>
      <w:r w:rsidRPr="00E8450A">
        <w:rPr>
          <w:noProof/>
          <w:highlight w:val="lightGray"/>
          <w:vertAlign w:val="superscript"/>
        </w:rPr>
        <w:t>2</w:t>
      </w:r>
      <w:r w:rsidRPr="00E8450A">
        <w:rPr>
          <w:noProof/>
          <w:highlight w:val="lightGray"/>
        </w:rPr>
        <w:t xml:space="preserve"> za deň.</w:t>
      </w:r>
    </w:p>
    <w:p w:rsidR="004F4CD1" w:rsidRPr="00E8450A" w:rsidRDefault="004F4CD1" w:rsidP="004F4CD1">
      <w:pPr>
        <w:rPr>
          <w:noProof/>
          <w:highlight w:val="lightGray"/>
        </w:rPr>
      </w:pPr>
    </w:p>
    <w:p w:rsidR="004F4CD1" w:rsidRPr="00E8450A" w:rsidRDefault="004F4CD1" w:rsidP="00A52FD4">
      <w:pPr>
        <w:rPr>
          <w:b/>
          <w:noProof/>
          <w:highlight w:val="lightGray"/>
        </w:rPr>
      </w:pPr>
      <w:r w:rsidRPr="00E8450A">
        <w:rPr>
          <w:b/>
          <w:noProof/>
          <w:highlight w:val="lightGray"/>
        </w:rPr>
        <w:t>C</w:t>
      </w:r>
      <w:r w:rsidR="00A52FD4">
        <w:rPr>
          <w:b/>
          <w:noProof/>
          <w:highlight w:val="lightGray"/>
        </w:rPr>
        <w:t>)</w:t>
      </w:r>
      <w:r w:rsidRPr="00E8450A">
        <w:rPr>
          <w:noProof/>
        </w:rPr>
        <w:tab/>
      </w:r>
      <w:r w:rsidRPr="00E8450A">
        <w:rPr>
          <w:b/>
          <w:noProof/>
          <w:highlight w:val="lightGray"/>
        </w:rPr>
        <w:t>Metódy hodnotenia súladu a odhadovania štatistických parametrov s cieľom zohľadniť nízke pokrytie údajmi alebo významné straty údajov</w:t>
      </w:r>
    </w:p>
    <w:p w:rsidR="004F4CD1" w:rsidRPr="00E8450A" w:rsidRDefault="004F4CD1" w:rsidP="00A44799">
      <w:pPr>
        <w:pStyle w:val="norm"/>
        <w:shd w:val="clear" w:color="auto" w:fill="FFFFFF"/>
        <w:spacing w:before="120" w:beforeAutospacing="0" w:after="120" w:afterAutospacing="0"/>
        <w:ind w:left="426"/>
        <w:jc w:val="both"/>
        <w:rPr>
          <w:noProof/>
          <w:highlight w:val="lightGray"/>
        </w:rPr>
      </w:pPr>
      <w:r w:rsidRPr="00E8450A">
        <w:rPr>
          <w:noProof/>
          <w:highlight w:val="lightGray"/>
        </w:rPr>
        <w:t xml:space="preserve">Hodnotenie súladu s príslušnou limitnou hodnotou a cieľovou hodnotou pre ozón sa vykoná bez ohľadu na to, či sa dosiahli ciele v oblasti kvality údajov, za predpokladu, že dostupné údaje umožňujú jednoznačné posúdenie. V prípadoch týkajúcich sa krátkodobých limitných hodnôt a cieľových hodnôt pre ozón môžu merania, ktoré pokrývajú len zlomok kalendárneho roka a ktoré neposkytli dostatok platných údajov, ako sa vyžaduje podľa časti B, stále predstavovať nesúlad. V takom prípade a v prípade, že neexistujú jasné dôvody pochybovať o kvalite získaných platných údajov, sa to považuje za prekročenie limitnej alebo cieľovej hodnoty a vykazuje sa ako také. </w:t>
      </w:r>
    </w:p>
    <w:p w:rsidR="004F4CD1" w:rsidRPr="00E8450A" w:rsidRDefault="004F4CD1" w:rsidP="00A44799">
      <w:pPr>
        <w:pStyle w:val="norm"/>
        <w:shd w:val="clear" w:color="auto" w:fill="FFFFFF"/>
        <w:spacing w:before="120" w:beforeAutospacing="0" w:after="120" w:afterAutospacing="0"/>
        <w:jc w:val="both"/>
        <w:rPr>
          <w:noProof/>
          <w:highlight w:val="lightGray"/>
        </w:rPr>
      </w:pPr>
    </w:p>
    <w:p w:rsidR="004F4CD1" w:rsidRPr="00E8450A" w:rsidRDefault="004F4CD1" w:rsidP="00A52FD4">
      <w:pPr>
        <w:rPr>
          <w:b/>
          <w:noProof/>
          <w:highlight w:val="lightGray"/>
        </w:rPr>
      </w:pPr>
      <w:r w:rsidRPr="00E8450A">
        <w:rPr>
          <w:b/>
          <w:noProof/>
          <w:highlight w:val="lightGray"/>
        </w:rPr>
        <w:lastRenderedPageBreak/>
        <w:t>D</w:t>
      </w:r>
      <w:r w:rsidR="00A52FD4">
        <w:rPr>
          <w:b/>
          <w:noProof/>
          <w:highlight w:val="lightGray"/>
        </w:rPr>
        <w:t>)</w:t>
      </w:r>
      <w:r w:rsidRPr="00E8450A">
        <w:rPr>
          <w:noProof/>
        </w:rPr>
        <w:tab/>
      </w:r>
      <w:r w:rsidRPr="00E8450A">
        <w:rPr>
          <w:b/>
          <w:noProof/>
          <w:highlight w:val="lightGray"/>
        </w:rPr>
        <w:t>Výsledky hodnotenia kvality ovzdušia</w:t>
      </w:r>
    </w:p>
    <w:p w:rsidR="004F4CD1" w:rsidRPr="00E8450A" w:rsidRDefault="004F4CD1" w:rsidP="004F4CD1">
      <w:pPr>
        <w:ind w:left="426"/>
        <w:rPr>
          <w:noProof/>
          <w:highlight w:val="lightGray"/>
        </w:rPr>
      </w:pPr>
      <w:r w:rsidRPr="00E8450A">
        <w:rPr>
          <w:noProof/>
          <w:highlight w:val="lightGray"/>
        </w:rPr>
        <w:t xml:space="preserve">Pre zóny, v ktorých sa používa modelovanie kvality ovzdušia alebo objektívny odhad, sa zostavujú tieto informácie: </w:t>
      </w:r>
    </w:p>
    <w:p w:rsidR="004F4CD1" w:rsidRPr="00E8450A" w:rsidRDefault="00A52FD4" w:rsidP="00A52FD4">
      <w:pPr>
        <w:pStyle w:val="Point0"/>
        <w:ind w:hanging="370"/>
        <w:rPr>
          <w:noProof/>
          <w:highlight w:val="lightGray"/>
        </w:rPr>
      </w:pPr>
      <w:r>
        <w:rPr>
          <w:noProof/>
          <w:highlight w:val="lightGray"/>
        </w:rPr>
        <w:t>a)</w:t>
      </w:r>
      <w:r w:rsidRPr="00A52FD4">
        <w:rPr>
          <w:noProof/>
          <w:highlight w:val="lightGray"/>
        </w:rPr>
        <w:tab/>
      </w:r>
      <w:r w:rsidR="004F4CD1" w:rsidRPr="00E8450A">
        <w:rPr>
          <w:noProof/>
          <w:highlight w:val="lightGray"/>
        </w:rPr>
        <w:t>opis vykonaných hodnotiacich činností,</w:t>
      </w:r>
    </w:p>
    <w:p w:rsidR="004F4CD1" w:rsidRPr="00E8450A" w:rsidRDefault="00A52FD4" w:rsidP="00A52FD4">
      <w:pPr>
        <w:pStyle w:val="Point0"/>
        <w:ind w:hanging="370"/>
        <w:rPr>
          <w:noProof/>
          <w:highlight w:val="lightGray"/>
        </w:rPr>
      </w:pPr>
      <w:r>
        <w:rPr>
          <w:noProof/>
          <w:highlight w:val="lightGray"/>
        </w:rPr>
        <w:t>b)</w:t>
      </w:r>
      <w:r w:rsidRPr="00A52FD4">
        <w:rPr>
          <w:noProof/>
          <w:highlight w:val="lightGray"/>
        </w:rPr>
        <w:tab/>
      </w:r>
      <w:r w:rsidR="004F4CD1" w:rsidRPr="00E8450A">
        <w:rPr>
          <w:noProof/>
          <w:highlight w:val="lightGray"/>
        </w:rPr>
        <w:t>konkrétne použité metódy s odkazmi na opis daných metód,</w:t>
      </w:r>
    </w:p>
    <w:p w:rsidR="004F4CD1" w:rsidRPr="00E8450A" w:rsidRDefault="00A52FD4" w:rsidP="00A52FD4">
      <w:pPr>
        <w:pStyle w:val="Point0"/>
        <w:ind w:hanging="370"/>
        <w:rPr>
          <w:noProof/>
          <w:highlight w:val="lightGray"/>
        </w:rPr>
      </w:pPr>
      <w:r>
        <w:rPr>
          <w:noProof/>
          <w:highlight w:val="lightGray"/>
        </w:rPr>
        <w:t>c)</w:t>
      </w:r>
      <w:r w:rsidRPr="00A52FD4">
        <w:rPr>
          <w:noProof/>
          <w:highlight w:val="lightGray"/>
        </w:rPr>
        <w:tab/>
      </w:r>
      <w:r w:rsidR="004F4CD1" w:rsidRPr="00E8450A">
        <w:rPr>
          <w:noProof/>
          <w:highlight w:val="lightGray"/>
        </w:rPr>
        <w:t>zdroje údajov a informácií,</w:t>
      </w:r>
    </w:p>
    <w:p w:rsidR="004F4CD1" w:rsidRPr="00E8450A" w:rsidRDefault="00A52FD4" w:rsidP="00A52FD4">
      <w:pPr>
        <w:pStyle w:val="Point0"/>
        <w:ind w:hanging="370"/>
        <w:rPr>
          <w:noProof/>
          <w:highlight w:val="lightGray"/>
        </w:rPr>
      </w:pPr>
      <w:r>
        <w:rPr>
          <w:noProof/>
          <w:highlight w:val="lightGray"/>
        </w:rPr>
        <w:t>d)</w:t>
      </w:r>
      <w:r w:rsidRPr="00A52FD4">
        <w:rPr>
          <w:noProof/>
          <w:highlight w:val="lightGray"/>
        </w:rPr>
        <w:tab/>
      </w:r>
      <w:r w:rsidR="004F4CD1" w:rsidRPr="00E8450A">
        <w:rPr>
          <w:noProof/>
          <w:highlight w:val="lightGray"/>
        </w:rPr>
        <w:t>opis výsledkov vrátane neistôt, a najmä rozsah všetkých oblastí alebo prípadne dĺžka cesty v zóne, nad ktorou koncentrácie prekračujú ktorúkoľvek limitnú hodnotu, cieľovú hodnotu pre ozón alebo dlhodobý cieľ, a rozsah všetkých oblastí, v ktorých koncentrácie prekračujú prah na hodnotenie,</w:t>
      </w:r>
    </w:p>
    <w:p w:rsidR="004F4CD1" w:rsidRPr="00E8450A" w:rsidRDefault="00A52FD4" w:rsidP="00A52FD4">
      <w:pPr>
        <w:pStyle w:val="Point0"/>
        <w:ind w:hanging="370"/>
        <w:rPr>
          <w:noProof/>
          <w:highlight w:val="lightGray"/>
        </w:rPr>
      </w:pPr>
      <w:r>
        <w:rPr>
          <w:noProof/>
          <w:highlight w:val="lightGray"/>
        </w:rPr>
        <w:t>e)</w:t>
      </w:r>
      <w:r w:rsidRPr="00A52FD4">
        <w:rPr>
          <w:noProof/>
          <w:highlight w:val="lightGray"/>
        </w:rPr>
        <w:tab/>
      </w:r>
      <w:r w:rsidR="004F4CD1" w:rsidRPr="00E8450A">
        <w:rPr>
          <w:noProof/>
          <w:highlight w:val="lightGray"/>
        </w:rPr>
        <w:t>počet obyvateľov, ktorí sú potenciálne vystavení úrovniam prekračujúcim ktorúkoľvek limitnú hodnotu stanovenú na účely ochrany ľudského zdravia.</w:t>
      </w:r>
    </w:p>
    <w:p w:rsidR="004F4CD1" w:rsidRPr="00E8450A" w:rsidRDefault="004F4CD1" w:rsidP="004F4CD1">
      <w:pPr>
        <w:ind w:left="851"/>
        <w:rPr>
          <w:noProof/>
          <w:highlight w:val="lightGray"/>
        </w:rPr>
      </w:pPr>
    </w:p>
    <w:p w:rsidR="004F4CD1" w:rsidRPr="00E8450A" w:rsidRDefault="004F4CD1" w:rsidP="00A52FD4">
      <w:pPr>
        <w:rPr>
          <w:b/>
          <w:noProof/>
          <w:highlight w:val="lightGray"/>
        </w:rPr>
      </w:pPr>
      <w:r w:rsidRPr="00E8450A">
        <w:rPr>
          <w:b/>
          <w:noProof/>
          <w:highlight w:val="lightGray"/>
        </w:rPr>
        <w:t>E</w:t>
      </w:r>
      <w:r w:rsidR="00A52FD4">
        <w:rPr>
          <w:b/>
          <w:noProof/>
          <w:highlight w:val="lightGray"/>
        </w:rPr>
        <w:t>)</w:t>
      </w:r>
      <w:r w:rsidRPr="00E8450A">
        <w:rPr>
          <w:noProof/>
        </w:rPr>
        <w:tab/>
      </w:r>
      <w:r w:rsidRPr="00E8450A">
        <w:rPr>
          <w:b/>
          <w:noProof/>
          <w:highlight w:val="lightGray"/>
        </w:rPr>
        <w:t>Zabezpečovanie kvality na účely hodnotenia kvality okolitého ovzdušia. Validácia údajov</w:t>
      </w:r>
    </w:p>
    <w:p w:rsidR="004F4CD1" w:rsidRPr="00E8450A" w:rsidRDefault="004F4CD1" w:rsidP="004F4CD1">
      <w:pPr>
        <w:ind w:left="426"/>
        <w:rPr>
          <w:noProof/>
          <w:highlight w:val="lightGray"/>
        </w:rPr>
      </w:pPr>
      <w:r w:rsidRPr="00E8450A">
        <w:rPr>
          <w:noProof/>
          <w:highlight w:val="lightGray"/>
        </w:rPr>
        <w:t>1. V záujme presnosti meraní a dodržiavania cieľov v oblasti kvality údajov stanovených v časti A náležité príslušné orgány a subjekty určené podľa článku 5 zabezpečia:</w:t>
      </w:r>
    </w:p>
    <w:p w:rsidR="004F4CD1" w:rsidRPr="00E8450A" w:rsidRDefault="00A52FD4" w:rsidP="00A52FD4">
      <w:pPr>
        <w:pStyle w:val="Point0"/>
        <w:ind w:hanging="370"/>
        <w:rPr>
          <w:noProof/>
          <w:highlight w:val="lightGray"/>
        </w:rPr>
      </w:pPr>
      <w:r>
        <w:rPr>
          <w:noProof/>
          <w:highlight w:val="lightGray"/>
        </w:rPr>
        <w:t>a)</w:t>
      </w:r>
      <w:r w:rsidRPr="00A52FD4">
        <w:rPr>
          <w:noProof/>
          <w:highlight w:val="lightGray"/>
        </w:rPr>
        <w:tab/>
      </w:r>
      <w:r w:rsidR="004F4CD1" w:rsidRPr="00E8450A">
        <w:rPr>
          <w:noProof/>
          <w:highlight w:val="lightGray"/>
        </w:rPr>
        <w:t>aby boli všetky merania vykonávané v súvislosti s hodnotením kvality okolitého ovzdušia podľa článku 8 vysledovateľné v súlade s požiadavkami stanovenými v harmonizovanej norme pre skúšobné a kalibračné laboratóriá;</w:t>
      </w:r>
    </w:p>
    <w:p w:rsidR="004F4CD1" w:rsidRPr="00E8450A" w:rsidRDefault="00A52FD4" w:rsidP="00A52FD4">
      <w:pPr>
        <w:pStyle w:val="Point0"/>
        <w:ind w:hanging="370"/>
        <w:rPr>
          <w:noProof/>
          <w:highlight w:val="lightGray"/>
        </w:rPr>
      </w:pPr>
      <w:r>
        <w:rPr>
          <w:noProof/>
          <w:highlight w:val="lightGray"/>
        </w:rPr>
        <w:t>b)</w:t>
      </w:r>
      <w:r w:rsidRPr="00A52FD4">
        <w:rPr>
          <w:noProof/>
          <w:highlight w:val="lightGray"/>
        </w:rPr>
        <w:tab/>
      </w:r>
      <w:r w:rsidR="004F4CD1" w:rsidRPr="00E8450A">
        <w:rPr>
          <w:noProof/>
          <w:highlight w:val="lightGray"/>
        </w:rPr>
        <w:t>aby mali inštitúcie prevádzkujúce siete a jednotlivé vzorkovacie miesta zavedený systém zabezpečovania a kontroly kvality, ktorého údržba sa s cieľom zabezpečiť nepretržitú presnosť meracích prístrojov vykonáva pravidelne. Príslušné národné referenčné laboratórium daný systém kvality podľa potreby, no aspoň každých päť rokov, preskúmava;</w:t>
      </w:r>
    </w:p>
    <w:p w:rsidR="004F4CD1" w:rsidRPr="00E8450A" w:rsidRDefault="00A52FD4" w:rsidP="00A52FD4">
      <w:pPr>
        <w:pStyle w:val="Point0"/>
        <w:ind w:hanging="370"/>
        <w:rPr>
          <w:noProof/>
          <w:highlight w:val="lightGray"/>
        </w:rPr>
      </w:pPr>
      <w:r>
        <w:rPr>
          <w:noProof/>
          <w:highlight w:val="lightGray"/>
        </w:rPr>
        <w:t>c)</w:t>
      </w:r>
      <w:r w:rsidRPr="00A52FD4">
        <w:rPr>
          <w:noProof/>
          <w:highlight w:val="lightGray"/>
        </w:rPr>
        <w:tab/>
      </w:r>
      <w:r w:rsidR="004F4CD1" w:rsidRPr="00E8450A">
        <w:rPr>
          <w:noProof/>
          <w:highlight w:val="lightGray"/>
        </w:rPr>
        <w:t>aby sa v súvislosti so zberom údajov a podávaním správ zaviedol postup slúžiaci na zabezpečovanie/kontrolu kvality a aby sa organizácie poverené touto úlohou aktívne podieľali na súvisiacich programoch Únie na zabezpečovanie kvality;</w:t>
      </w:r>
    </w:p>
    <w:p w:rsidR="004F4CD1" w:rsidRPr="00E8450A" w:rsidRDefault="00A52FD4" w:rsidP="00A52FD4">
      <w:pPr>
        <w:pStyle w:val="Point0"/>
        <w:ind w:hanging="370"/>
        <w:rPr>
          <w:noProof/>
          <w:highlight w:val="lightGray"/>
        </w:rPr>
      </w:pPr>
      <w:r>
        <w:rPr>
          <w:noProof/>
          <w:highlight w:val="lightGray"/>
        </w:rPr>
        <w:t>d)</w:t>
      </w:r>
      <w:r w:rsidRPr="00A52FD4">
        <w:rPr>
          <w:noProof/>
          <w:highlight w:val="lightGray"/>
        </w:rPr>
        <w:tab/>
      </w:r>
      <w:r w:rsidR="004F4CD1" w:rsidRPr="00E8450A">
        <w:rPr>
          <w:noProof/>
          <w:highlight w:val="lightGray"/>
        </w:rPr>
        <w:t>aby boli národné referenčné laboratóriá vymenované náležitým príslušným orgánom alebo subjektom určeným podľa článku 5 tejto smernice a aby boli akreditované na používanie referenčných metód uvedených v prílohe VI k tejto smernici, a to aspoň v prípade tých znečisťujúcich látok, ktorých koncentrácie prekračujú prah na hodnotenie, podľa relevantnej harmonizovanej normy pre skúšobné a kalibračné laboratóriá, odkaz na ktorú bol uverejnený v </w:t>
      </w:r>
      <w:r w:rsidR="004F4CD1" w:rsidRPr="00E8450A">
        <w:rPr>
          <w:i/>
          <w:noProof/>
          <w:highlight w:val="lightGray"/>
        </w:rPr>
        <w:t>Úradnom vestníku Európskej únie</w:t>
      </w:r>
      <w:r w:rsidR="004F4CD1" w:rsidRPr="00E8450A">
        <w:rPr>
          <w:noProof/>
          <w:highlight w:val="lightGray"/>
        </w:rPr>
        <w:t xml:space="preserve"> v súlade s článkom 2 bodom 9 nariadenia Európskeho parlamentu a Rady (ES) č. 765/2008</w:t>
      </w:r>
      <w:r w:rsidR="004F4CD1" w:rsidRPr="00E8450A">
        <w:rPr>
          <w:rStyle w:val="FootnoteReference"/>
          <w:noProof/>
          <w:highlight w:val="lightGray"/>
        </w:rPr>
        <w:footnoteReference w:id="5"/>
      </w:r>
      <w:r w:rsidR="004F4CD1" w:rsidRPr="00E8450A">
        <w:rPr>
          <w:noProof/>
          <w:highlight w:val="lightGray"/>
        </w:rPr>
        <w:t xml:space="preserve">, ktorým sa stanovujú požiadavky akreditácie a dohľadu nad trhom. Tieto laboratóriá sú zodpovedné aj za koordináciu programov Únie na zabezpečovanie kvality organizovaných Spoločným výskumným centrom Komisie na území daného členského štátu a zároveň sú na vnútroštátnej úrovni zodpovedné aj </w:t>
      </w:r>
      <w:r w:rsidR="004F4CD1" w:rsidRPr="00E8450A">
        <w:rPr>
          <w:noProof/>
          <w:highlight w:val="lightGray"/>
        </w:rPr>
        <w:lastRenderedPageBreak/>
        <w:t>za koordináciu náležitého používania referenčných metód a preukazovania rovnocennosti nereferenčných metód. Národné referenčné laboratóriá, ktoré organizujú vzájomné porovnávanie na vnútroštátnej úrovni, musia byť zároveň akreditované podľa príslušnej harmonizovanej normy na skúšanie spôsobilosti;</w:t>
      </w:r>
    </w:p>
    <w:p w:rsidR="004F4CD1" w:rsidRPr="00E8450A" w:rsidRDefault="00A52FD4" w:rsidP="00A52FD4">
      <w:pPr>
        <w:pStyle w:val="Point0"/>
        <w:ind w:hanging="370"/>
        <w:rPr>
          <w:noProof/>
          <w:highlight w:val="lightGray"/>
        </w:rPr>
      </w:pPr>
      <w:r>
        <w:rPr>
          <w:noProof/>
          <w:highlight w:val="lightGray"/>
        </w:rPr>
        <w:t>e)</w:t>
      </w:r>
      <w:r w:rsidRPr="00A52FD4">
        <w:rPr>
          <w:noProof/>
          <w:highlight w:val="lightGray"/>
        </w:rPr>
        <w:tab/>
      </w:r>
      <w:r w:rsidR="004F4CD1" w:rsidRPr="00E8450A">
        <w:rPr>
          <w:noProof/>
          <w:highlight w:val="lightGray"/>
        </w:rPr>
        <w:t>aby sa národné referenčné laboratóriá aspoň každé tri roky zúčastňovali na programoch Únie na zabezpečovanie kvality organizovaných Spoločným výskumným centrom aspoň v prípade tých znečisťujúcich látok, ktorých koncentrácie sú nad prahom na hodnotenie. Účasť sa odporúča, aj pokiaľ ide o iné znečisťujúce látky. Ak daná účasť prinesie neuspokojivé výsledky, dotknuté národné laboratórium musí pri svojej ďalšej účasti na vzájomnom porovnávaní preukázať uspokojivé nápravné opatrenia a predložiť o nich správu Spoločnému výskumnému centru;</w:t>
      </w:r>
    </w:p>
    <w:p w:rsidR="004F4CD1" w:rsidRPr="00E8450A" w:rsidRDefault="00A52FD4" w:rsidP="00A52FD4">
      <w:pPr>
        <w:pStyle w:val="Point0"/>
        <w:ind w:hanging="370"/>
        <w:rPr>
          <w:noProof/>
          <w:highlight w:val="lightGray"/>
        </w:rPr>
      </w:pPr>
      <w:r>
        <w:rPr>
          <w:noProof/>
          <w:highlight w:val="lightGray"/>
        </w:rPr>
        <w:t>f)</w:t>
      </w:r>
      <w:r w:rsidRPr="00A52FD4">
        <w:rPr>
          <w:noProof/>
          <w:highlight w:val="lightGray"/>
        </w:rPr>
        <w:tab/>
      </w:r>
      <w:r w:rsidR="004F4CD1" w:rsidRPr="00E8450A">
        <w:rPr>
          <w:noProof/>
          <w:highlight w:val="lightGray"/>
        </w:rPr>
        <w:t>aby národné referenčné laboratóriá podporovali pôsobenie Európskej siete národných referenčných laboratórií zriadenej Spoločným výskumným centrom Komisie;</w:t>
      </w:r>
    </w:p>
    <w:p w:rsidR="004F4CD1" w:rsidRPr="00E8450A" w:rsidRDefault="00A52FD4" w:rsidP="00A52FD4">
      <w:pPr>
        <w:pStyle w:val="Point0"/>
        <w:ind w:hanging="370"/>
        <w:rPr>
          <w:noProof/>
          <w:highlight w:val="lightGray"/>
        </w:rPr>
      </w:pPr>
      <w:r>
        <w:rPr>
          <w:noProof/>
          <w:highlight w:val="lightGray"/>
        </w:rPr>
        <w:t>g)</w:t>
      </w:r>
      <w:r w:rsidRPr="00A52FD4">
        <w:rPr>
          <w:noProof/>
          <w:highlight w:val="lightGray"/>
        </w:rPr>
        <w:tab/>
      </w:r>
      <w:r w:rsidR="004F4CD1" w:rsidRPr="00E8450A">
        <w:rPr>
          <w:noProof/>
          <w:highlight w:val="lightGray"/>
        </w:rPr>
        <w:t>aby bola Európska sieť národných referenčných laboratórií zodpovedná za pravidelné preskúmavanie (aspoň raz za päť rokov) neistôt meraní uvedených v prvých dvoch stĺpcoch tabuliek 1 a 2 tejto prílohy a za následné vypracovanie návrhu všetkých potrebných zmien určeného Komisii.</w:t>
      </w:r>
    </w:p>
    <w:p w:rsidR="004F4CD1" w:rsidRPr="00E8450A" w:rsidRDefault="004F4CD1" w:rsidP="004F4CD1">
      <w:pPr>
        <w:ind w:left="426"/>
        <w:rPr>
          <w:noProof/>
          <w:highlight w:val="lightGray"/>
        </w:rPr>
      </w:pPr>
      <w:r w:rsidRPr="00E8450A">
        <w:rPr>
          <w:noProof/>
          <w:highlight w:val="lightGray"/>
        </w:rPr>
        <w:t>2.</w:t>
      </w:r>
      <w:r w:rsidRPr="00E8450A">
        <w:rPr>
          <w:noProof/>
        </w:rPr>
        <w:tab/>
      </w:r>
      <w:r w:rsidRPr="00E8450A">
        <w:rPr>
          <w:noProof/>
          <w:highlight w:val="lightGray"/>
        </w:rPr>
        <w:t>Všetky údaje oznamované podľa článku 23 sa považujú za platné okrem údajov označených za predbežné.</w:t>
      </w:r>
    </w:p>
    <w:p w:rsidR="004F4CD1" w:rsidRPr="00E8450A" w:rsidRDefault="004F4CD1" w:rsidP="004F4CD1">
      <w:pPr>
        <w:ind w:left="426" w:hanging="426"/>
        <w:rPr>
          <w:noProof/>
          <w:highlight w:val="lightGray"/>
        </w:rPr>
      </w:pPr>
    </w:p>
    <w:p w:rsidR="004F4CD1" w:rsidRPr="00E8450A" w:rsidRDefault="004F4CD1" w:rsidP="00A52FD4">
      <w:pPr>
        <w:rPr>
          <w:b/>
          <w:noProof/>
          <w:highlight w:val="lightGray"/>
        </w:rPr>
      </w:pPr>
      <w:r w:rsidRPr="00E8450A">
        <w:rPr>
          <w:b/>
          <w:noProof/>
          <w:highlight w:val="lightGray"/>
        </w:rPr>
        <w:t>F</w:t>
      </w:r>
      <w:r w:rsidR="00A52FD4">
        <w:rPr>
          <w:b/>
          <w:noProof/>
          <w:highlight w:val="lightGray"/>
        </w:rPr>
        <w:t>)</w:t>
      </w:r>
      <w:r w:rsidRPr="00E8450A">
        <w:rPr>
          <w:noProof/>
        </w:rPr>
        <w:tab/>
      </w:r>
      <w:r w:rsidRPr="00E8450A">
        <w:rPr>
          <w:b/>
          <w:noProof/>
          <w:highlight w:val="lightGray"/>
        </w:rPr>
        <w:t>Presadzovanie harmonizovaných prístupov k modelovaniu kvality ovzdušia</w:t>
      </w:r>
    </w:p>
    <w:p w:rsidR="004F4CD1" w:rsidRPr="00E8450A" w:rsidRDefault="004F4CD1" w:rsidP="004F4CD1">
      <w:pPr>
        <w:ind w:left="426"/>
        <w:rPr>
          <w:noProof/>
          <w:highlight w:val="lightGray"/>
        </w:rPr>
      </w:pPr>
      <w:r w:rsidRPr="00E8450A">
        <w:rPr>
          <w:noProof/>
          <w:highlight w:val="lightGray"/>
        </w:rPr>
        <w:t>1. S cieľom presadzovať a podporovať harmonizované používanie vedecky podložených prístupov k modelovaniu kvality ovzdušia príslušnými orgánmi s dôrazom na modelovacie aplikácie zabezpečia náležité príslušné orgány a subjekty určené podľa článku 5:</w:t>
      </w:r>
    </w:p>
    <w:p w:rsidR="004F4CD1" w:rsidRPr="00E8450A" w:rsidRDefault="004F4CD1" w:rsidP="004F4CD1">
      <w:pPr>
        <w:ind w:left="852" w:hanging="426"/>
        <w:rPr>
          <w:noProof/>
          <w:highlight w:val="lightGray"/>
        </w:rPr>
      </w:pPr>
      <w:r w:rsidRPr="00E8450A">
        <w:rPr>
          <w:noProof/>
          <w:highlight w:val="lightGray"/>
        </w:rPr>
        <w:t>a) </w:t>
      </w:r>
      <w:r w:rsidRPr="00E8450A">
        <w:rPr>
          <w:noProof/>
        </w:rPr>
        <w:tab/>
      </w:r>
      <w:r w:rsidRPr="00E8450A">
        <w:rPr>
          <w:noProof/>
          <w:highlight w:val="lightGray"/>
        </w:rPr>
        <w:t>aby sa určené referenčné inštitúcie zapojili do Európskej siete modelovania kvality ovzdušia zriadenej Spoločným výskumným centrom Komisie;</w:t>
      </w:r>
    </w:p>
    <w:p w:rsidR="004F4CD1" w:rsidRPr="00E8450A" w:rsidRDefault="004F4CD1" w:rsidP="004F4CD1">
      <w:pPr>
        <w:ind w:left="852" w:hanging="426"/>
        <w:rPr>
          <w:noProof/>
          <w:highlight w:val="lightGray"/>
        </w:rPr>
      </w:pPr>
      <w:r w:rsidRPr="00E8450A">
        <w:rPr>
          <w:noProof/>
          <w:highlight w:val="lightGray"/>
        </w:rPr>
        <w:t>b) </w:t>
      </w:r>
      <w:r w:rsidRPr="00E8450A">
        <w:rPr>
          <w:noProof/>
        </w:rPr>
        <w:tab/>
      </w:r>
      <w:r w:rsidRPr="00E8450A">
        <w:rPr>
          <w:noProof/>
          <w:highlight w:val="lightGray"/>
        </w:rPr>
        <w:t>aby sa na účely splnenia právnych požiadaviek podľa právnych predpisov Únie v rámci príslušných aplikácií modelovania kvality ovzdušia prijali najlepšie postupy modelovania kvality ovzdušia identifikované sieťou vedeckým konsenzom, a to bez toho, aby boli dotknuté adaptácie modelov potrebné v dôsledku osobitných okolností;</w:t>
      </w:r>
    </w:p>
    <w:p w:rsidR="004F4CD1" w:rsidRPr="00E8450A" w:rsidRDefault="004F4CD1" w:rsidP="004F4CD1">
      <w:pPr>
        <w:ind w:left="852" w:hanging="426"/>
        <w:rPr>
          <w:noProof/>
          <w:highlight w:val="lightGray"/>
        </w:rPr>
      </w:pPr>
      <w:r w:rsidRPr="00E8450A">
        <w:rPr>
          <w:noProof/>
          <w:highlight w:val="lightGray"/>
        </w:rPr>
        <w:t xml:space="preserve">c) </w:t>
      </w:r>
      <w:r w:rsidRPr="00E8450A">
        <w:rPr>
          <w:noProof/>
        </w:rPr>
        <w:tab/>
      </w:r>
      <w:r w:rsidRPr="00E8450A">
        <w:rPr>
          <w:noProof/>
          <w:highlight w:val="lightGray"/>
        </w:rPr>
        <w:t>aby sa kvalita príslušných aplikácií modelovania kvality ovzdušia pravidelne kontrolovala a zlepšovala vzájomným porovnávaním, ktoré organizuje Spoločné výskumné centrum Komisie;</w:t>
      </w:r>
    </w:p>
    <w:p w:rsidR="004F4CD1" w:rsidRPr="00E8450A" w:rsidRDefault="004F4CD1" w:rsidP="004F4CD1">
      <w:pPr>
        <w:ind w:left="852" w:hanging="426"/>
        <w:rPr>
          <w:bCs/>
          <w:noProof/>
          <w:highlight w:val="lightGray"/>
          <w:u w:val="single"/>
        </w:rPr>
      </w:pPr>
      <w:r w:rsidRPr="00E8450A">
        <w:rPr>
          <w:noProof/>
          <w:highlight w:val="lightGray"/>
        </w:rPr>
        <w:t xml:space="preserve">d) </w:t>
      </w:r>
      <w:r w:rsidRPr="00E8450A">
        <w:rPr>
          <w:noProof/>
        </w:rPr>
        <w:tab/>
      </w:r>
      <w:r w:rsidRPr="00E8450A">
        <w:rPr>
          <w:noProof/>
          <w:highlight w:val="lightGray"/>
        </w:rPr>
        <w:t>aby bola Európska sieť modelovania kvality ovzdušia zodpovedná za pravidelné preskúmavanie (aspoň raz za päť rokov) podielu modelovania neistôt uvedených v posledných stĺpcoch tabuliek 1 a 2 tejto prílohy a za následné vypracovanie návrhu všetkých potrebných zmien určeného Komisii.</w:t>
      </w:r>
    </w:p>
    <w:p w:rsidR="004F4CD1" w:rsidRPr="00E8450A" w:rsidRDefault="004F4CD1" w:rsidP="004F4CD1">
      <w:pPr>
        <w:ind w:left="852" w:hanging="426"/>
        <w:rPr>
          <w:b/>
          <w:bCs/>
          <w:noProof/>
          <w:highlight w:val="lightGray"/>
          <w:u w:val="single"/>
        </w:rPr>
      </w:pPr>
    </w:p>
    <w:p w:rsidR="004F4CD1" w:rsidRPr="00E8450A" w:rsidRDefault="004F4CD1" w:rsidP="004F4CD1">
      <w:pPr>
        <w:rPr>
          <w:bCs/>
          <w:i/>
          <w:smallCaps/>
          <w:noProof/>
          <w:highlight w:val="lightGray"/>
        </w:rPr>
      </w:pPr>
      <w:r w:rsidRPr="00E8450A">
        <w:rPr>
          <w:noProof/>
        </w:rPr>
        <w:br w:type="page"/>
      </w:r>
    </w:p>
    <w:p w:rsidR="004F4CD1" w:rsidRPr="00E8450A" w:rsidRDefault="004F4CD1" w:rsidP="00BC180F">
      <w:pPr>
        <w:pStyle w:val="Annexetitre"/>
        <w:rPr>
          <w:caps/>
          <w:noProof/>
          <w:highlight w:val="lightGray"/>
        </w:rPr>
      </w:pPr>
      <w:r w:rsidRPr="00E8450A">
        <w:rPr>
          <w:caps/>
          <w:noProof/>
          <w:highlight w:val="lightGray"/>
        </w:rPr>
        <w:lastRenderedPageBreak/>
        <w:t>PRÍLOHA VI</w:t>
      </w:r>
    </w:p>
    <w:p w:rsidR="004F4CD1" w:rsidRPr="00E8450A" w:rsidRDefault="004F4CD1" w:rsidP="004F4CD1">
      <w:pPr>
        <w:jc w:val="center"/>
        <w:rPr>
          <w:b/>
          <w:i/>
          <w:caps/>
          <w:noProof/>
          <w:highlight w:val="lightGray"/>
        </w:rPr>
      </w:pPr>
      <w:r w:rsidRPr="00E8450A">
        <w:rPr>
          <w:b/>
          <w:caps/>
          <w:noProof/>
          <w:highlight w:val="lightGray"/>
        </w:rPr>
        <w:t>Referenčné metódy hodnotenia koncentrácií v okolitom ovzduší a rýchlostí depozície</w:t>
      </w:r>
    </w:p>
    <w:p w:rsidR="004F4CD1" w:rsidRPr="00E8450A" w:rsidRDefault="004F4CD1" w:rsidP="004F4CD1">
      <w:pPr>
        <w:rPr>
          <w:noProof/>
          <w:highlight w:val="lightGray"/>
        </w:rPr>
      </w:pPr>
    </w:p>
    <w:p w:rsidR="004F4CD1" w:rsidRPr="00E8450A" w:rsidRDefault="004F4CD1" w:rsidP="00A52FD4">
      <w:pPr>
        <w:rPr>
          <w:b/>
          <w:noProof/>
          <w:highlight w:val="lightGray"/>
        </w:rPr>
      </w:pPr>
      <w:r w:rsidRPr="00E8450A">
        <w:rPr>
          <w:b/>
          <w:noProof/>
          <w:highlight w:val="lightGray"/>
        </w:rPr>
        <w:t>A</w:t>
      </w:r>
      <w:r w:rsidR="00A52FD4">
        <w:rPr>
          <w:b/>
          <w:noProof/>
          <w:highlight w:val="lightGray"/>
        </w:rPr>
        <w:t>)</w:t>
      </w:r>
      <w:r w:rsidRPr="00E8450A">
        <w:rPr>
          <w:noProof/>
        </w:rPr>
        <w:tab/>
      </w:r>
      <w:r w:rsidRPr="00E8450A">
        <w:rPr>
          <w:b/>
          <w:noProof/>
          <w:highlight w:val="lightGray"/>
        </w:rPr>
        <w:t>Referenčné metódy hodnotenia koncentrácií oxidu siričitého, oxidu dusičitého, oxidov dusíka, tuhých častíc (PM</w:t>
      </w:r>
      <w:r w:rsidRPr="00E8450A">
        <w:rPr>
          <w:b/>
          <w:noProof/>
          <w:highlight w:val="lightGray"/>
          <w:vertAlign w:val="subscript"/>
        </w:rPr>
        <w:t>10</w:t>
      </w:r>
      <w:r w:rsidRPr="00E8450A">
        <w:rPr>
          <w:b/>
          <w:noProof/>
          <w:highlight w:val="lightGray"/>
        </w:rPr>
        <w:t xml:space="preserve"> a PM</w:t>
      </w:r>
      <w:r w:rsidRPr="00E8450A">
        <w:rPr>
          <w:b/>
          <w:noProof/>
          <w:highlight w:val="lightGray"/>
          <w:vertAlign w:val="subscript"/>
        </w:rPr>
        <w:t>2,5</w:t>
      </w:r>
      <w:r w:rsidRPr="00E8450A">
        <w:rPr>
          <w:b/>
          <w:noProof/>
          <w:highlight w:val="lightGray"/>
        </w:rPr>
        <w:t>), olova, benzénu, oxidu uhoľnatého, arzénu, kadmia, ortuti, niklu, polycyklických aromatických uhľovodíkov, ozónu a iných znečisťujúcich látok v okolitom ovzduší, ako aj rýchlostí depozície</w:t>
      </w:r>
    </w:p>
    <w:p w:rsidR="004F4CD1" w:rsidRPr="00E8450A" w:rsidRDefault="004F4CD1" w:rsidP="00A44799">
      <w:pPr>
        <w:pStyle w:val="Text1"/>
        <w:rPr>
          <w:i/>
          <w:noProof/>
          <w:highlight w:val="lightGray"/>
        </w:rPr>
      </w:pPr>
      <w:r w:rsidRPr="00E8450A">
        <w:rPr>
          <w:i/>
          <w:noProof/>
          <w:highlight w:val="lightGray"/>
        </w:rPr>
        <w:t>1.</w:t>
      </w:r>
      <w:r w:rsidRPr="00E8450A">
        <w:rPr>
          <w:noProof/>
        </w:rPr>
        <w:tab/>
      </w:r>
      <w:r w:rsidRPr="00E8450A">
        <w:rPr>
          <w:i/>
          <w:noProof/>
          <w:highlight w:val="lightGray"/>
        </w:rPr>
        <w:t>Referenčná metóda merania oxidu siričitého v okolitom ovzduší</w:t>
      </w:r>
    </w:p>
    <w:p w:rsidR="004F4CD1" w:rsidRPr="00E8450A" w:rsidRDefault="004F4CD1" w:rsidP="00F965F6">
      <w:pPr>
        <w:ind w:left="284"/>
        <w:rPr>
          <w:noProof/>
          <w:highlight w:val="lightGray"/>
        </w:rPr>
      </w:pPr>
      <w:r w:rsidRPr="00E8450A">
        <w:rPr>
          <w:noProof/>
          <w:highlight w:val="lightGray"/>
        </w:rPr>
        <w:t>Referenčná metóda merania oxidu siričitého je opísaná v norme EN 14212:2012 „Ochrana ovzdušia. Vonkajšie ovzdušie. Štandardná ultrafialová fluorescenčná metóda merania koncentrácie oxidu siričitého“.</w:t>
      </w:r>
    </w:p>
    <w:p w:rsidR="004F4CD1" w:rsidRPr="00E8450A" w:rsidRDefault="004F4CD1" w:rsidP="00A44799">
      <w:pPr>
        <w:pStyle w:val="Text1"/>
        <w:rPr>
          <w:i/>
          <w:noProof/>
          <w:highlight w:val="lightGray"/>
        </w:rPr>
      </w:pPr>
      <w:r w:rsidRPr="00E8450A">
        <w:rPr>
          <w:i/>
          <w:noProof/>
          <w:highlight w:val="lightGray"/>
        </w:rPr>
        <w:t>2.</w:t>
      </w:r>
      <w:r w:rsidRPr="00E8450A">
        <w:rPr>
          <w:noProof/>
        </w:rPr>
        <w:tab/>
      </w:r>
      <w:r w:rsidRPr="00E8450A">
        <w:rPr>
          <w:i/>
          <w:noProof/>
          <w:highlight w:val="lightGray"/>
        </w:rPr>
        <w:t>Referenčná metóda merania oxidu dusičitého a oxidov dusíka v okolitom ovzduší</w:t>
      </w:r>
    </w:p>
    <w:p w:rsidR="004F4CD1" w:rsidRPr="00E8450A" w:rsidRDefault="004F4CD1" w:rsidP="00F965F6">
      <w:pPr>
        <w:ind w:left="284"/>
        <w:rPr>
          <w:noProof/>
          <w:highlight w:val="lightGray"/>
        </w:rPr>
      </w:pPr>
      <w:r w:rsidRPr="00E8450A">
        <w:rPr>
          <w:noProof/>
          <w:highlight w:val="lightGray"/>
        </w:rPr>
        <w:t>Referenčná metóda merania oxidu dusičitého a oxidov dusíka je opísaná v norme EN 14211:2012 „Ochrana ovzdušia. Vonkajšie ovzdušie. Štandardná chemiluminiscenčná metóda merania koncentrácie oxidu dusičitého a oxidu dusnatého“.</w:t>
      </w:r>
    </w:p>
    <w:p w:rsidR="004F4CD1" w:rsidRPr="00E8450A" w:rsidRDefault="004F4CD1" w:rsidP="00A44799">
      <w:pPr>
        <w:pStyle w:val="Text1"/>
        <w:rPr>
          <w:i/>
          <w:noProof/>
          <w:highlight w:val="lightGray"/>
        </w:rPr>
      </w:pPr>
      <w:r w:rsidRPr="00E8450A">
        <w:rPr>
          <w:i/>
          <w:noProof/>
          <w:highlight w:val="lightGray"/>
        </w:rPr>
        <w:t>3.</w:t>
      </w:r>
      <w:r w:rsidRPr="00E8450A">
        <w:rPr>
          <w:noProof/>
        </w:rPr>
        <w:tab/>
      </w:r>
      <w:r w:rsidRPr="00E8450A">
        <w:rPr>
          <w:i/>
          <w:noProof/>
          <w:highlight w:val="lightGray"/>
        </w:rPr>
        <w:t>Referenčná metóda odberu vzoriek a merania PM</w:t>
      </w:r>
      <w:r w:rsidRPr="00E8450A">
        <w:rPr>
          <w:i/>
          <w:noProof/>
          <w:highlight w:val="lightGray"/>
          <w:vertAlign w:val="subscript"/>
        </w:rPr>
        <w:t>10</w:t>
      </w:r>
      <w:r w:rsidRPr="00E8450A">
        <w:rPr>
          <w:i/>
          <w:noProof/>
          <w:highlight w:val="lightGray"/>
        </w:rPr>
        <w:t xml:space="preserve"> v okolitom ovzduší </w:t>
      </w:r>
    </w:p>
    <w:p w:rsidR="004F4CD1" w:rsidRPr="00E8450A" w:rsidRDefault="004F4CD1" w:rsidP="00F965F6">
      <w:pPr>
        <w:ind w:left="284"/>
        <w:rPr>
          <w:noProof/>
          <w:highlight w:val="lightGray"/>
        </w:rPr>
      </w:pPr>
      <w:r w:rsidRPr="00E8450A">
        <w:rPr>
          <w:noProof/>
          <w:highlight w:val="lightGray"/>
        </w:rPr>
        <w:t>Referenčná metóda odberu vzoriek a merania PM</w:t>
      </w:r>
      <w:r w:rsidRPr="00E8450A">
        <w:rPr>
          <w:noProof/>
          <w:highlight w:val="lightGray"/>
          <w:vertAlign w:val="subscript"/>
        </w:rPr>
        <w:t>10</w:t>
      </w:r>
      <w:r w:rsidRPr="00E8450A">
        <w:rPr>
          <w:noProof/>
          <w:highlight w:val="lightGray"/>
        </w:rPr>
        <w:t xml:space="preserve"> je opísaná v norme EN 12341:2014 „Ochrana ovzdušia. Vonkajšie ovzdušie. Stanovenie hmotnostnej koncentrácie suspendovaných častíc PM</w:t>
      </w:r>
      <w:r w:rsidRPr="00E8450A">
        <w:rPr>
          <w:noProof/>
          <w:highlight w:val="lightGray"/>
          <w:vertAlign w:val="subscript"/>
        </w:rPr>
        <w:t>10</w:t>
      </w:r>
      <w:r w:rsidRPr="00E8450A">
        <w:rPr>
          <w:noProof/>
          <w:highlight w:val="lightGray"/>
        </w:rPr>
        <w:t xml:space="preserve"> alebo PM</w:t>
      </w:r>
      <w:r w:rsidRPr="00E8450A">
        <w:rPr>
          <w:noProof/>
          <w:highlight w:val="lightGray"/>
          <w:vertAlign w:val="subscript"/>
        </w:rPr>
        <w:t>2,5</w:t>
      </w:r>
      <w:r w:rsidRPr="00E8450A">
        <w:rPr>
          <w:noProof/>
          <w:highlight w:val="lightGray"/>
        </w:rPr>
        <w:t xml:space="preserve"> štandardnou gravimetrickou metódou merania“.</w:t>
      </w:r>
    </w:p>
    <w:p w:rsidR="004F4CD1" w:rsidRPr="00E8450A" w:rsidRDefault="004F4CD1" w:rsidP="00A44799">
      <w:pPr>
        <w:pStyle w:val="Text1"/>
        <w:rPr>
          <w:i/>
          <w:noProof/>
          <w:highlight w:val="lightGray"/>
        </w:rPr>
      </w:pPr>
      <w:r w:rsidRPr="00E8450A">
        <w:rPr>
          <w:i/>
          <w:noProof/>
          <w:highlight w:val="lightGray"/>
        </w:rPr>
        <w:t>4.</w:t>
      </w:r>
      <w:r w:rsidRPr="00E8450A">
        <w:rPr>
          <w:noProof/>
        </w:rPr>
        <w:tab/>
      </w:r>
      <w:r w:rsidRPr="00E8450A">
        <w:rPr>
          <w:i/>
          <w:noProof/>
          <w:highlight w:val="lightGray"/>
        </w:rPr>
        <w:t>Referenčná metóda odberu vzoriek a merania PM</w:t>
      </w:r>
      <w:r w:rsidRPr="00E8450A">
        <w:rPr>
          <w:i/>
          <w:noProof/>
          <w:highlight w:val="lightGray"/>
          <w:vertAlign w:val="subscript"/>
        </w:rPr>
        <w:t>2,5</w:t>
      </w:r>
      <w:r w:rsidRPr="00E8450A">
        <w:rPr>
          <w:i/>
          <w:noProof/>
          <w:highlight w:val="lightGray"/>
        </w:rPr>
        <w:t xml:space="preserve"> v okolitom ovzduší</w:t>
      </w:r>
    </w:p>
    <w:p w:rsidR="004F4CD1" w:rsidRPr="00E8450A" w:rsidRDefault="004F4CD1" w:rsidP="00F965F6">
      <w:pPr>
        <w:ind w:left="284"/>
        <w:rPr>
          <w:noProof/>
          <w:highlight w:val="lightGray"/>
        </w:rPr>
      </w:pPr>
      <w:r w:rsidRPr="00E8450A">
        <w:rPr>
          <w:noProof/>
          <w:highlight w:val="lightGray"/>
        </w:rPr>
        <w:t>Referenčná metóda odberu vzoriek a merania PM</w:t>
      </w:r>
      <w:r w:rsidRPr="00E8450A">
        <w:rPr>
          <w:noProof/>
          <w:highlight w:val="lightGray"/>
          <w:vertAlign w:val="subscript"/>
        </w:rPr>
        <w:t>2,5</w:t>
      </w:r>
      <w:r w:rsidRPr="00E8450A">
        <w:rPr>
          <w:noProof/>
          <w:highlight w:val="lightGray"/>
        </w:rPr>
        <w:t xml:space="preserve"> je opísaná v norme EN 12341:2014 „Ochrana ovzdušia. Vonkajšie ovzdušie. Stanovenie hmotnostnej koncentrácie suspendovaných častíc PM</w:t>
      </w:r>
      <w:r w:rsidRPr="00E8450A">
        <w:rPr>
          <w:noProof/>
          <w:highlight w:val="lightGray"/>
          <w:vertAlign w:val="subscript"/>
        </w:rPr>
        <w:t>10</w:t>
      </w:r>
      <w:r w:rsidRPr="00E8450A">
        <w:rPr>
          <w:noProof/>
          <w:highlight w:val="lightGray"/>
        </w:rPr>
        <w:t xml:space="preserve"> alebo PM</w:t>
      </w:r>
      <w:r w:rsidRPr="00E8450A">
        <w:rPr>
          <w:noProof/>
          <w:highlight w:val="lightGray"/>
          <w:vertAlign w:val="subscript"/>
        </w:rPr>
        <w:t>2,5</w:t>
      </w:r>
      <w:r w:rsidRPr="00E8450A">
        <w:rPr>
          <w:noProof/>
          <w:highlight w:val="lightGray"/>
        </w:rPr>
        <w:t xml:space="preserve"> štandardnou gravimetrickou metódou merania“.</w:t>
      </w:r>
    </w:p>
    <w:p w:rsidR="004F4CD1" w:rsidRPr="00E8450A" w:rsidRDefault="004F4CD1" w:rsidP="00A44799">
      <w:pPr>
        <w:pStyle w:val="Text1"/>
        <w:rPr>
          <w:i/>
          <w:noProof/>
          <w:highlight w:val="lightGray"/>
        </w:rPr>
      </w:pPr>
      <w:r w:rsidRPr="00E8450A">
        <w:rPr>
          <w:i/>
          <w:noProof/>
          <w:highlight w:val="lightGray"/>
        </w:rPr>
        <w:t>5.</w:t>
      </w:r>
      <w:r w:rsidRPr="00E8450A">
        <w:rPr>
          <w:noProof/>
        </w:rPr>
        <w:tab/>
      </w:r>
      <w:r w:rsidRPr="00E8450A">
        <w:rPr>
          <w:i/>
          <w:noProof/>
          <w:highlight w:val="lightGray"/>
        </w:rPr>
        <w:t>Referenčná metóda odberu vzoriek a merania olova, arzénu, kadmia a niklu v okolitom ovzduší</w:t>
      </w:r>
    </w:p>
    <w:p w:rsidR="004F4CD1" w:rsidRPr="00E8450A" w:rsidRDefault="004F4CD1" w:rsidP="00F965F6">
      <w:pPr>
        <w:ind w:left="284"/>
        <w:rPr>
          <w:noProof/>
          <w:highlight w:val="lightGray"/>
        </w:rPr>
      </w:pPr>
      <w:r w:rsidRPr="00E8450A">
        <w:rPr>
          <w:noProof/>
          <w:highlight w:val="lightGray"/>
        </w:rPr>
        <w:t>Referenčná metóda odberu vzoriek olova, arzénu, kadmia a niklu je opísaná v norme EN 12341:2014 „Ochrana ovzdušia. Vonkajšie ovzdušie. Stanovenie hmotnostnej koncentrácie suspendovaných častíc PM</w:t>
      </w:r>
      <w:r w:rsidRPr="00E8450A">
        <w:rPr>
          <w:noProof/>
          <w:highlight w:val="lightGray"/>
          <w:vertAlign w:val="subscript"/>
        </w:rPr>
        <w:t>10</w:t>
      </w:r>
      <w:r w:rsidRPr="00E8450A">
        <w:rPr>
          <w:noProof/>
          <w:highlight w:val="lightGray"/>
        </w:rPr>
        <w:t xml:space="preserve"> alebo PM</w:t>
      </w:r>
      <w:r w:rsidRPr="00E8450A">
        <w:rPr>
          <w:noProof/>
          <w:highlight w:val="lightGray"/>
          <w:vertAlign w:val="subscript"/>
        </w:rPr>
        <w:t>2,5</w:t>
      </w:r>
      <w:r w:rsidRPr="00E8450A">
        <w:rPr>
          <w:noProof/>
          <w:highlight w:val="lightGray"/>
        </w:rPr>
        <w:t xml:space="preserve"> štandardnou gravimetrickou metódou merania“. Referenčná metóda merania olova, arzénu, kadmia a niklu je opísaná v norme EN 14902:2005 „Ochrana ovzdušia. Vonkajšie ovzdušie. Štandardná metóda na stanovenie Pb, Cd, As a Ni vo frakcii PM</w:t>
      </w:r>
      <w:r w:rsidRPr="00E8450A">
        <w:rPr>
          <w:noProof/>
          <w:highlight w:val="lightGray"/>
          <w:vertAlign w:val="subscript"/>
        </w:rPr>
        <w:t>10</w:t>
      </w:r>
      <w:r w:rsidRPr="00E8450A">
        <w:rPr>
          <w:noProof/>
          <w:highlight w:val="lightGray"/>
        </w:rPr>
        <w:t xml:space="preserve"> suspendovaných častíc“.</w:t>
      </w:r>
    </w:p>
    <w:p w:rsidR="004F4CD1" w:rsidRPr="00E8450A" w:rsidRDefault="004F4CD1" w:rsidP="00A44799">
      <w:pPr>
        <w:pStyle w:val="Text1"/>
        <w:rPr>
          <w:i/>
          <w:noProof/>
          <w:highlight w:val="lightGray"/>
        </w:rPr>
      </w:pPr>
      <w:r w:rsidRPr="00E8450A">
        <w:rPr>
          <w:i/>
          <w:noProof/>
          <w:highlight w:val="lightGray"/>
        </w:rPr>
        <w:t>6.</w:t>
      </w:r>
      <w:r w:rsidR="008A1F90">
        <w:rPr>
          <w:i/>
          <w:noProof/>
          <w:highlight w:val="lightGray"/>
        </w:rPr>
        <w:t xml:space="preserve"> </w:t>
      </w:r>
      <w:r w:rsidRPr="00E8450A">
        <w:rPr>
          <w:i/>
          <w:noProof/>
          <w:highlight w:val="lightGray"/>
        </w:rPr>
        <w:t>Referenčná metóda odberu vzoriek a merania benzénu v okolitom ovzduší</w:t>
      </w:r>
    </w:p>
    <w:p w:rsidR="004F4CD1" w:rsidRPr="00E8450A" w:rsidRDefault="004F4CD1" w:rsidP="00F965F6">
      <w:pPr>
        <w:ind w:left="284"/>
        <w:rPr>
          <w:noProof/>
          <w:highlight w:val="lightGray"/>
        </w:rPr>
      </w:pPr>
      <w:r w:rsidRPr="00E8450A">
        <w:rPr>
          <w:noProof/>
          <w:highlight w:val="lightGray"/>
        </w:rPr>
        <w:t>Referenčná metóda odberu vzoriek a merania benzénu je opísaná v norme EN 14662, častiach 1 (2005), 2 (2005) a 3 (2016) „Ochrana ovzdušia. Vonkajšie ovzdušie. Štandardná metóda na meranie koncentrácií benzénu“.</w:t>
      </w:r>
    </w:p>
    <w:p w:rsidR="004F4CD1" w:rsidRPr="00E8450A" w:rsidRDefault="004F4CD1" w:rsidP="00A44799">
      <w:pPr>
        <w:pStyle w:val="Text1"/>
        <w:rPr>
          <w:i/>
          <w:noProof/>
          <w:highlight w:val="lightGray"/>
        </w:rPr>
      </w:pPr>
      <w:r w:rsidRPr="00E8450A">
        <w:rPr>
          <w:i/>
          <w:noProof/>
          <w:highlight w:val="lightGray"/>
        </w:rPr>
        <w:t>7.</w:t>
      </w:r>
      <w:r w:rsidRPr="00E8450A">
        <w:rPr>
          <w:noProof/>
        </w:rPr>
        <w:tab/>
      </w:r>
      <w:r w:rsidRPr="00E8450A">
        <w:rPr>
          <w:i/>
          <w:noProof/>
          <w:highlight w:val="lightGray"/>
        </w:rPr>
        <w:t>Referenčná metóda merania oxidu uhoľnatého v okolitom ovzduší</w:t>
      </w:r>
    </w:p>
    <w:p w:rsidR="004F4CD1" w:rsidRPr="00E8450A" w:rsidRDefault="004F4CD1" w:rsidP="004F4CD1">
      <w:pPr>
        <w:ind w:left="284"/>
        <w:rPr>
          <w:noProof/>
          <w:highlight w:val="lightGray"/>
        </w:rPr>
      </w:pPr>
      <w:r w:rsidRPr="00E8450A">
        <w:rPr>
          <w:noProof/>
          <w:highlight w:val="lightGray"/>
        </w:rPr>
        <w:t>Referenčná metóda merania oxidu uhoľnatého je opísaná v norme EN 14626:2012 „Ochrana ovzdušia. Vonkajšie ovzdušie. Štandardná nedisperzná infračervená spektroskopická metóda merania koncentrácie oxidu uhoľnatého“.</w:t>
      </w:r>
    </w:p>
    <w:p w:rsidR="004F4CD1" w:rsidRPr="00E8450A" w:rsidRDefault="004F4CD1" w:rsidP="004F4CD1">
      <w:pPr>
        <w:rPr>
          <w:noProof/>
          <w:highlight w:val="lightGray"/>
        </w:rPr>
      </w:pPr>
    </w:p>
    <w:p w:rsidR="004F4CD1" w:rsidRPr="00E8450A" w:rsidRDefault="004F4CD1" w:rsidP="00A44799">
      <w:pPr>
        <w:pStyle w:val="Text1"/>
        <w:ind w:left="1248" w:hanging="397"/>
        <w:rPr>
          <w:i/>
          <w:noProof/>
          <w:highlight w:val="lightGray"/>
        </w:rPr>
      </w:pPr>
      <w:r w:rsidRPr="00E8450A">
        <w:rPr>
          <w:i/>
          <w:noProof/>
          <w:highlight w:val="lightGray"/>
        </w:rPr>
        <w:lastRenderedPageBreak/>
        <w:t>8. Referenčná metóda odberu vzoriek a merania polycyklických aromatických uhľovodíkov v okolitom ovzduší</w:t>
      </w:r>
    </w:p>
    <w:p w:rsidR="004F4CD1" w:rsidRPr="00E8450A" w:rsidRDefault="004F4CD1" w:rsidP="00F965F6">
      <w:pPr>
        <w:ind w:left="360"/>
        <w:rPr>
          <w:noProof/>
          <w:highlight w:val="lightGray"/>
        </w:rPr>
      </w:pPr>
      <w:r w:rsidRPr="00E8450A">
        <w:rPr>
          <w:noProof/>
          <w:highlight w:val="lightGray"/>
        </w:rPr>
        <w:t>Referenčná metóda odberu vzoriek polycyklických aromatických uhľovodíkov v okolitom ovzduší je opísaná v norme EN 12341:2014 „Ochrana ovzdušia. Vonkajšie ovzdušie. Stanovenie hmotnostnej koncentrácie suspendovaných častíc PM</w:t>
      </w:r>
      <w:r w:rsidRPr="00E8450A">
        <w:rPr>
          <w:noProof/>
          <w:highlight w:val="lightGray"/>
          <w:vertAlign w:val="subscript"/>
        </w:rPr>
        <w:t>10</w:t>
      </w:r>
      <w:r w:rsidRPr="00E8450A">
        <w:rPr>
          <w:noProof/>
          <w:highlight w:val="lightGray"/>
        </w:rPr>
        <w:t xml:space="preserve"> alebo PM</w:t>
      </w:r>
      <w:r w:rsidRPr="00E8450A">
        <w:rPr>
          <w:noProof/>
          <w:highlight w:val="lightGray"/>
          <w:vertAlign w:val="subscript"/>
        </w:rPr>
        <w:t>2,5</w:t>
      </w:r>
      <w:r w:rsidRPr="00E8450A">
        <w:rPr>
          <w:noProof/>
          <w:highlight w:val="lightGray"/>
        </w:rPr>
        <w:t xml:space="preserve"> štandardnou gravimetrickou metódou merania“. Referenčná metóda merania benzo[a]pyrénu v okolitom ovzduší je opísaná v norme EN 15549:2008 „Ochrana ovzdušia. Normalizovaná metóda na meranie koncentrácie benzo[a]pyrénu vo vonkajšom ovzduší“. V prípade absencie metódy podľa normy CEN pre iné polycyklické aromatické uhľovodíky uvedené v článku 8 ods. 6 môžu členské štáty použiť metódy podľa vnútroštátnych noriem alebo podľa noriem ISO, akou je norma ISO 12884.</w:t>
      </w:r>
    </w:p>
    <w:p w:rsidR="004F4CD1" w:rsidRPr="00E8450A" w:rsidRDefault="004F4CD1" w:rsidP="00A44799">
      <w:pPr>
        <w:pStyle w:val="Text1"/>
        <w:rPr>
          <w:i/>
          <w:noProof/>
          <w:highlight w:val="lightGray"/>
        </w:rPr>
      </w:pPr>
      <w:r w:rsidRPr="00E8450A">
        <w:rPr>
          <w:i/>
          <w:noProof/>
          <w:highlight w:val="lightGray"/>
        </w:rPr>
        <w:t>9. Referenčná metóda odberu vzoriek a merania ortuti v okolitom ovzduší</w:t>
      </w:r>
    </w:p>
    <w:p w:rsidR="004F4CD1" w:rsidRPr="00E8450A" w:rsidRDefault="004F4CD1" w:rsidP="00F965F6">
      <w:pPr>
        <w:ind w:left="360"/>
        <w:rPr>
          <w:noProof/>
          <w:highlight w:val="lightGray"/>
        </w:rPr>
      </w:pPr>
      <w:r w:rsidRPr="00E8450A">
        <w:rPr>
          <w:noProof/>
          <w:highlight w:val="lightGray"/>
        </w:rPr>
        <w:t>Referenčná metóda merania koncentrácií celkovej plynnej ortuti v okolitom ovzduší je opísaná v norme EN 15852:2010 „Ochrana ovzdušia. Vonkajšie ovzdušie. Štandardná metóda na stanovenie celkovej plynnej ortuti“.</w:t>
      </w:r>
    </w:p>
    <w:p w:rsidR="004F4CD1" w:rsidRPr="00E8450A" w:rsidRDefault="004F4CD1" w:rsidP="00A44799">
      <w:pPr>
        <w:pStyle w:val="Text1"/>
        <w:ind w:left="1248" w:hanging="397"/>
        <w:rPr>
          <w:i/>
          <w:noProof/>
          <w:highlight w:val="lightGray"/>
        </w:rPr>
      </w:pPr>
      <w:r w:rsidRPr="00E8450A">
        <w:rPr>
          <w:i/>
          <w:noProof/>
          <w:highlight w:val="lightGray"/>
        </w:rPr>
        <w:t>10. Referenčná metóda odberu vzoriek a analýzy depozície arzénu, kadmia, niklu, ortuti a polycyklických aromatických uhľovodíkov</w:t>
      </w:r>
    </w:p>
    <w:p w:rsidR="004F4CD1" w:rsidRPr="00E8450A" w:rsidRDefault="004F4CD1" w:rsidP="004F4CD1">
      <w:pPr>
        <w:ind w:left="360"/>
        <w:rPr>
          <w:noProof/>
          <w:highlight w:val="lightGray"/>
        </w:rPr>
      </w:pPr>
      <w:r w:rsidRPr="00E8450A">
        <w:rPr>
          <w:noProof/>
          <w:highlight w:val="lightGray"/>
        </w:rPr>
        <w:t>Referenčná metóda stanovenia depozície arzénu, kadmia a niklu je opísaná v norme EN 15841:2009 „Ochrana ovzdušia. Vonkajšie ovzdušie. Štandardná metóda stanovenia atmosférickej depozície arzénu, kadmia, olova a niklu“.</w:t>
      </w:r>
    </w:p>
    <w:p w:rsidR="004F4CD1" w:rsidRPr="00E8450A" w:rsidRDefault="004F4CD1" w:rsidP="004F4CD1">
      <w:pPr>
        <w:ind w:left="360"/>
        <w:rPr>
          <w:noProof/>
          <w:highlight w:val="lightGray"/>
        </w:rPr>
      </w:pPr>
      <w:r w:rsidRPr="00E8450A">
        <w:rPr>
          <w:noProof/>
          <w:highlight w:val="lightGray"/>
        </w:rPr>
        <w:t>Referenčná metóda stanovenia depozície ortuti je opísaná v norme EN 15853:2010 „Ochrana ovzdušia. Vonkajšie ovzdušie. Štandardná metóda na stanovenie depozície ortuti“.</w:t>
      </w:r>
    </w:p>
    <w:p w:rsidR="004F4CD1" w:rsidRPr="00E8450A" w:rsidRDefault="004F4CD1" w:rsidP="00F965F6">
      <w:pPr>
        <w:ind w:left="360"/>
        <w:rPr>
          <w:noProof/>
          <w:highlight w:val="lightGray"/>
        </w:rPr>
      </w:pPr>
      <w:r w:rsidRPr="00E8450A">
        <w:rPr>
          <w:noProof/>
          <w:highlight w:val="lightGray"/>
        </w:rPr>
        <w:t>Referenčná metóda stanovenia depozície benzo[a]pyrénu a iných polycyklických uhľovodíkov uvedených v článku 8 ods. 6 je opísaná v norme EN 15980:2011 „Ochrana ovzdušia. Stanovenie depozície benzo[a]antracénu, benzo[b]fluoranténu, benzo[j]fluoranténu, benzo[k]fluoranténu, benzo[a]pyrénu, dibenzo[a,h]antracénu a indeno[1,2,3-cd]pyrénu“.</w:t>
      </w:r>
    </w:p>
    <w:p w:rsidR="004F4CD1" w:rsidRPr="00E8450A" w:rsidRDefault="004F4CD1" w:rsidP="00A44799">
      <w:pPr>
        <w:pStyle w:val="Text1"/>
        <w:rPr>
          <w:i/>
          <w:noProof/>
          <w:highlight w:val="lightGray"/>
        </w:rPr>
      </w:pPr>
      <w:r w:rsidRPr="00E8450A">
        <w:rPr>
          <w:i/>
          <w:noProof/>
          <w:highlight w:val="lightGray"/>
        </w:rPr>
        <w:t>11. Referenčná metóda merania ozónu v okolitom ovzduší</w:t>
      </w:r>
    </w:p>
    <w:p w:rsidR="004F4CD1" w:rsidRPr="00E8450A" w:rsidRDefault="004F4CD1" w:rsidP="00F965F6">
      <w:pPr>
        <w:ind w:left="360"/>
        <w:rPr>
          <w:noProof/>
          <w:highlight w:val="lightGray"/>
        </w:rPr>
      </w:pPr>
      <w:r w:rsidRPr="00E8450A">
        <w:rPr>
          <w:noProof/>
          <w:highlight w:val="lightGray"/>
        </w:rPr>
        <w:t>Referenčná metóda merania ozónu je opísaná v norme EN 14625:2012 „Ochrana ovzdušia. Vonkajšie ovzdušie. Štandardná ultrafialová fotometrická metóda merania koncentrácie ozónu“.</w:t>
      </w:r>
    </w:p>
    <w:p w:rsidR="004F4CD1" w:rsidRPr="00E8450A" w:rsidRDefault="004F4CD1" w:rsidP="00A44799">
      <w:pPr>
        <w:pStyle w:val="Text1"/>
        <w:ind w:left="1248" w:hanging="397"/>
        <w:rPr>
          <w:i/>
          <w:noProof/>
          <w:highlight w:val="lightGray"/>
        </w:rPr>
      </w:pPr>
      <w:r w:rsidRPr="00E8450A">
        <w:rPr>
          <w:i/>
          <w:noProof/>
          <w:highlight w:val="lightGray"/>
        </w:rPr>
        <w:t>12. Referenčná metóda odberu vzoriek a merania prchavých organických zlúčenín, ktoré sú prekurzormi ozónu, v okolitom ovzduší</w:t>
      </w:r>
    </w:p>
    <w:p w:rsidR="004F4CD1" w:rsidRPr="00E8450A" w:rsidRDefault="004F4CD1" w:rsidP="00F965F6">
      <w:pPr>
        <w:ind w:left="360"/>
        <w:rPr>
          <w:noProof/>
          <w:highlight w:val="lightGray"/>
        </w:rPr>
      </w:pPr>
      <w:r w:rsidRPr="00E8450A">
        <w:rPr>
          <w:noProof/>
          <w:highlight w:val="lightGray"/>
        </w:rPr>
        <w:t>Ak neexistuje štandardná metóda Európskeho výboru pre normalizáciu (CEN) na odber vzoriek a meranie prchavých organických zlúčenín, ktoré sú prekurzormi ozónu, v okolitom ovzduší, okrem benzénu, členské štáty si môžu zvoliť metódy odberu vzoriek a merania, ktoré používajú, v súlade s prílohou V a s ohľadom na ciele merania stanovené v oddiele 2 časti A prílohy VII.</w:t>
      </w:r>
      <w:r w:rsidR="008A1F90">
        <w:rPr>
          <w:noProof/>
          <w:highlight w:val="lightGray"/>
        </w:rPr>
        <w:t xml:space="preserve"> </w:t>
      </w:r>
    </w:p>
    <w:p w:rsidR="004F4CD1" w:rsidRPr="00E8450A" w:rsidRDefault="004F4CD1" w:rsidP="00A44799">
      <w:pPr>
        <w:pStyle w:val="Text1"/>
        <w:ind w:left="1248" w:hanging="397"/>
        <w:rPr>
          <w:i/>
          <w:noProof/>
          <w:highlight w:val="lightGray"/>
        </w:rPr>
      </w:pPr>
      <w:r w:rsidRPr="00E8450A">
        <w:rPr>
          <w:i/>
          <w:noProof/>
          <w:highlight w:val="lightGray"/>
        </w:rPr>
        <w:t>13. Referenčná metóda odberu vzoriek a merania elementárneho uhlíka a organického uhlíka v okolitom ovzduší</w:t>
      </w:r>
    </w:p>
    <w:p w:rsidR="004F4CD1" w:rsidRPr="00E8450A" w:rsidRDefault="004F4CD1" w:rsidP="00F965F6">
      <w:pPr>
        <w:ind w:left="360"/>
        <w:rPr>
          <w:noProof/>
          <w:highlight w:val="lightGray"/>
        </w:rPr>
      </w:pPr>
      <w:r w:rsidRPr="00E8450A">
        <w:rPr>
          <w:noProof/>
          <w:highlight w:val="lightGray"/>
        </w:rPr>
        <w:t>Referenčná metóda odberu vzoriek elementárneho uhlíka a organického uhlíka je opísaná v norme EN 12341:2014 „Ochrana ovzdušia. Vonkajšie ovzdušie. Stanovenie hmotnostnej koncentrácie suspendovaných častíc PM</w:t>
      </w:r>
      <w:r w:rsidRPr="00E8450A">
        <w:rPr>
          <w:noProof/>
          <w:highlight w:val="lightGray"/>
          <w:vertAlign w:val="subscript"/>
        </w:rPr>
        <w:t>10</w:t>
      </w:r>
      <w:r w:rsidRPr="00E8450A">
        <w:rPr>
          <w:noProof/>
          <w:highlight w:val="lightGray"/>
        </w:rPr>
        <w:t xml:space="preserve"> alebo PM</w:t>
      </w:r>
      <w:r w:rsidRPr="00E8450A">
        <w:rPr>
          <w:noProof/>
          <w:highlight w:val="lightGray"/>
          <w:vertAlign w:val="subscript"/>
        </w:rPr>
        <w:t>2,5</w:t>
      </w:r>
      <w:r w:rsidRPr="00E8450A">
        <w:rPr>
          <w:noProof/>
          <w:highlight w:val="lightGray"/>
        </w:rPr>
        <w:t xml:space="preserve"> štandardnou gravimetrickou metódou merania“. Referenčná metóda merania elementárneho uhlíka a </w:t>
      </w:r>
      <w:r w:rsidRPr="00E8450A">
        <w:rPr>
          <w:noProof/>
          <w:highlight w:val="lightGray"/>
        </w:rPr>
        <w:lastRenderedPageBreak/>
        <w:t>organického uhlíka v okolitom ovzduší je opísaná v norme EN 16909:2017 „Ochrana ovzdušia. Vonkajšie ovzdušie. Meranie elementárneho uhlíka a organického uhlíka zachyteného na filtroch“.</w:t>
      </w:r>
    </w:p>
    <w:p w:rsidR="004F4CD1" w:rsidRPr="00E8450A" w:rsidRDefault="004F4CD1" w:rsidP="00A44799">
      <w:pPr>
        <w:pStyle w:val="Text1"/>
        <w:ind w:left="1248" w:hanging="397"/>
        <w:rPr>
          <w:i/>
          <w:noProof/>
          <w:highlight w:val="lightGray"/>
        </w:rPr>
      </w:pPr>
      <w:r w:rsidRPr="00E8450A">
        <w:rPr>
          <w:i/>
          <w:noProof/>
          <w:highlight w:val="lightGray"/>
        </w:rPr>
        <w:t>14. Referenčná metóda odberu vzoriek a merania</w:t>
      </w:r>
      <w:r w:rsidRPr="00E8450A">
        <w:rPr>
          <w:i/>
          <w:noProof/>
          <w:color w:val="881798"/>
          <w:highlight w:val="lightGray"/>
          <w:shd w:val="clear" w:color="auto" w:fill="FFFFFF"/>
        </w:rPr>
        <w:t xml:space="preserve"> </w:t>
      </w:r>
      <w:r w:rsidRPr="00E8450A">
        <w:rPr>
          <w:i/>
          <w:noProof/>
          <w:highlight w:val="lightGray"/>
        </w:rPr>
        <w:t>NO</w:t>
      </w:r>
      <w:r w:rsidRPr="00E8450A">
        <w:rPr>
          <w:i/>
          <w:noProof/>
          <w:highlight w:val="lightGray"/>
          <w:vertAlign w:val="subscript"/>
        </w:rPr>
        <w:t>3</w:t>
      </w:r>
      <w:r w:rsidRPr="00E8450A">
        <w:rPr>
          <w:i/>
          <w:noProof/>
          <w:highlight w:val="lightGray"/>
          <w:vertAlign w:val="superscript"/>
        </w:rPr>
        <w:t>-</w:t>
      </w:r>
      <w:r w:rsidRPr="00E8450A">
        <w:rPr>
          <w:i/>
          <w:noProof/>
          <w:highlight w:val="lightGray"/>
        </w:rPr>
        <w:t>, SO</w:t>
      </w:r>
      <w:r w:rsidRPr="00E8450A">
        <w:rPr>
          <w:i/>
          <w:noProof/>
          <w:highlight w:val="lightGray"/>
          <w:vertAlign w:val="subscript"/>
        </w:rPr>
        <w:t>4</w:t>
      </w:r>
      <w:r w:rsidRPr="00E8450A">
        <w:rPr>
          <w:i/>
          <w:noProof/>
          <w:highlight w:val="lightGray"/>
        </w:rPr>
        <w:t>²</w:t>
      </w:r>
      <w:r w:rsidRPr="00E8450A">
        <w:rPr>
          <w:i/>
          <w:noProof/>
          <w:highlight w:val="lightGray"/>
          <w:vertAlign w:val="superscript"/>
        </w:rPr>
        <w:t>-</w:t>
      </w:r>
      <w:r w:rsidRPr="00E8450A">
        <w:rPr>
          <w:i/>
          <w:noProof/>
          <w:highlight w:val="lightGray"/>
        </w:rPr>
        <w:t>, Cl</w:t>
      </w:r>
      <w:r w:rsidRPr="00E8450A">
        <w:rPr>
          <w:i/>
          <w:noProof/>
          <w:highlight w:val="lightGray"/>
          <w:vertAlign w:val="superscript"/>
        </w:rPr>
        <w:t>-</w:t>
      </w:r>
      <w:r w:rsidRPr="00E8450A">
        <w:rPr>
          <w:i/>
          <w:noProof/>
          <w:highlight w:val="lightGray"/>
        </w:rPr>
        <w:t>, NH</w:t>
      </w:r>
      <w:r w:rsidRPr="00E8450A">
        <w:rPr>
          <w:i/>
          <w:noProof/>
          <w:highlight w:val="lightGray"/>
          <w:vertAlign w:val="subscript"/>
        </w:rPr>
        <w:t>4</w:t>
      </w:r>
      <w:r w:rsidRPr="00E8450A">
        <w:rPr>
          <w:i/>
          <w:noProof/>
          <w:highlight w:val="lightGray"/>
          <w:vertAlign w:val="superscript"/>
        </w:rPr>
        <w:t>+</w:t>
      </w:r>
      <w:r w:rsidRPr="00E8450A">
        <w:rPr>
          <w:i/>
          <w:noProof/>
          <w:highlight w:val="lightGray"/>
        </w:rPr>
        <w:t>, Na</w:t>
      </w:r>
      <w:r w:rsidRPr="00E8450A">
        <w:rPr>
          <w:i/>
          <w:noProof/>
          <w:highlight w:val="lightGray"/>
          <w:vertAlign w:val="superscript"/>
        </w:rPr>
        <w:t>+</w:t>
      </w:r>
      <w:r w:rsidRPr="00E8450A">
        <w:rPr>
          <w:i/>
          <w:noProof/>
          <w:highlight w:val="lightGray"/>
        </w:rPr>
        <w:t>, K</w:t>
      </w:r>
      <w:r w:rsidRPr="00E8450A">
        <w:rPr>
          <w:i/>
          <w:noProof/>
          <w:highlight w:val="lightGray"/>
          <w:vertAlign w:val="superscript"/>
        </w:rPr>
        <w:t>+</w:t>
      </w:r>
      <w:r w:rsidRPr="00E8450A">
        <w:rPr>
          <w:i/>
          <w:noProof/>
          <w:highlight w:val="lightGray"/>
        </w:rPr>
        <w:t>, Mg²</w:t>
      </w:r>
      <w:r w:rsidRPr="00E8450A">
        <w:rPr>
          <w:i/>
          <w:noProof/>
          <w:highlight w:val="lightGray"/>
          <w:vertAlign w:val="superscript"/>
        </w:rPr>
        <w:t>+</w:t>
      </w:r>
      <w:r w:rsidRPr="00E8450A">
        <w:rPr>
          <w:i/>
          <w:noProof/>
          <w:highlight w:val="lightGray"/>
        </w:rPr>
        <w:t>, Ca²</w:t>
      </w:r>
      <w:r w:rsidRPr="00E8450A">
        <w:rPr>
          <w:i/>
          <w:noProof/>
          <w:highlight w:val="lightGray"/>
          <w:vertAlign w:val="superscript"/>
        </w:rPr>
        <w:t>+</w:t>
      </w:r>
      <w:r w:rsidRPr="00E8450A">
        <w:rPr>
          <w:i/>
          <w:noProof/>
          <w:highlight w:val="lightGray"/>
        </w:rPr>
        <w:t xml:space="preserve"> v časticiach PM</w:t>
      </w:r>
      <w:r w:rsidRPr="00E8450A">
        <w:rPr>
          <w:i/>
          <w:noProof/>
          <w:highlight w:val="lightGray"/>
          <w:vertAlign w:val="subscript"/>
        </w:rPr>
        <w:t>2,5</w:t>
      </w:r>
      <w:r w:rsidRPr="00E8450A">
        <w:rPr>
          <w:i/>
          <w:noProof/>
          <w:highlight w:val="lightGray"/>
        </w:rPr>
        <w:t xml:space="preserve"> v okolitom ovzduší</w:t>
      </w:r>
    </w:p>
    <w:p w:rsidR="004F4CD1" w:rsidRPr="00E8450A" w:rsidRDefault="004F4CD1" w:rsidP="004F4CD1">
      <w:pPr>
        <w:ind w:left="360"/>
        <w:rPr>
          <w:noProof/>
          <w:highlight w:val="lightGray"/>
        </w:rPr>
      </w:pPr>
      <w:r w:rsidRPr="00E8450A">
        <w:rPr>
          <w:noProof/>
          <w:highlight w:val="lightGray"/>
        </w:rPr>
        <w:t>Referenčná metóda odberu vzoriek elementárneho uhlíka a organického uhlíka je opísaná v norme EN 12341:2014 „Ochrana ovzdušia. Vonkajšie ovzdušie. Stanovenie hmotnostnej koncentrácie suspendovaných častíc PM</w:t>
      </w:r>
      <w:r w:rsidRPr="00E8450A">
        <w:rPr>
          <w:noProof/>
          <w:highlight w:val="lightGray"/>
          <w:vertAlign w:val="subscript"/>
        </w:rPr>
        <w:t>10</w:t>
      </w:r>
      <w:r w:rsidRPr="00E8450A">
        <w:rPr>
          <w:noProof/>
          <w:highlight w:val="lightGray"/>
        </w:rPr>
        <w:t xml:space="preserve"> alebo PM</w:t>
      </w:r>
      <w:r w:rsidRPr="00E8450A">
        <w:rPr>
          <w:noProof/>
          <w:highlight w:val="lightGray"/>
          <w:vertAlign w:val="subscript"/>
        </w:rPr>
        <w:t>2,5</w:t>
      </w:r>
      <w:r w:rsidRPr="00E8450A">
        <w:rPr>
          <w:noProof/>
          <w:highlight w:val="lightGray"/>
        </w:rPr>
        <w:t xml:space="preserve"> štandardnou gravimetrickou metódou merania“. Referenčná metóda merania NO</w:t>
      </w:r>
      <w:r w:rsidRPr="00E8450A">
        <w:rPr>
          <w:noProof/>
          <w:highlight w:val="lightGray"/>
          <w:vertAlign w:val="subscript"/>
        </w:rPr>
        <w:t>3</w:t>
      </w:r>
      <w:r w:rsidRPr="00E8450A">
        <w:rPr>
          <w:noProof/>
          <w:highlight w:val="lightGray"/>
          <w:vertAlign w:val="superscript"/>
        </w:rPr>
        <w:t>-</w:t>
      </w:r>
      <w:r w:rsidRPr="00E8450A">
        <w:rPr>
          <w:noProof/>
          <w:highlight w:val="lightGray"/>
        </w:rPr>
        <w:t>, SO</w:t>
      </w:r>
      <w:r w:rsidRPr="00E8450A">
        <w:rPr>
          <w:noProof/>
          <w:highlight w:val="lightGray"/>
          <w:vertAlign w:val="subscript"/>
        </w:rPr>
        <w:t>4</w:t>
      </w:r>
      <w:r w:rsidRPr="00E8450A">
        <w:rPr>
          <w:noProof/>
          <w:highlight w:val="lightGray"/>
        </w:rPr>
        <w:t>²</w:t>
      </w:r>
      <w:r w:rsidRPr="00E8450A">
        <w:rPr>
          <w:noProof/>
          <w:highlight w:val="lightGray"/>
          <w:vertAlign w:val="superscript"/>
        </w:rPr>
        <w:t>-</w:t>
      </w:r>
      <w:r w:rsidRPr="00E8450A">
        <w:rPr>
          <w:noProof/>
          <w:highlight w:val="lightGray"/>
        </w:rPr>
        <w:t>, Cl</w:t>
      </w:r>
      <w:r w:rsidRPr="00E8450A">
        <w:rPr>
          <w:noProof/>
          <w:highlight w:val="lightGray"/>
          <w:vertAlign w:val="superscript"/>
        </w:rPr>
        <w:t>-</w:t>
      </w:r>
      <w:r w:rsidRPr="00E8450A">
        <w:rPr>
          <w:noProof/>
          <w:highlight w:val="lightGray"/>
        </w:rPr>
        <w:t>, NH</w:t>
      </w:r>
      <w:r w:rsidRPr="00E8450A">
        <w:rPr>
          <w:noProof/>
          <w:highlight w:val="lightGray"/>
          <w:vertAlign w:val="subscript"/>
        </w:rPr>
        <w:t>4</w:t>
      </w:r>
      <w:r w:rsidRPr="00E8450A">
        <w:rPr>
          <w:noProof/>
          <w:highlight w:val="lightGray"/>
          <w:vertAlign w:val="superscript"/>
        </w:rPr>
        <w:t>+</w:t>
      </w:r>
      <w:r w:rsidRPr="00E8450A">
        <w:rPr>
          <w:noProof/>
          <w:highlight w:val="lightGray"/>
        </w:rPr>
        <w:t>, Na</w:t>
      </w:r>
      <w:r w:rsidRPr="00E8450A">
        <w:rPr>
          <w:noProof/>
          <w:highlight w:val="lightGray"/>
          <w:vertAlign w:val="superscript"/>
        </w:rPr>
        <w:t>+</w:t>
      </w:r>
      <w:r w:rsidRPr="00E8450A">
        <w:rPr>
          <w:noProof/>
          <w:highlight w:val="lightGray"/>
        </w:rPr>
        <w:t>, K</w:t>
      </w:r>
      <w:r w:rsidRPr="00E8450A">
        <w:rPr>
          <w:noProof/>
          <w:highlight w:val="lightGray"/>
          <w:vertAlign w:val="superscript"/>
        </w:rPr>
        <w:t>+</w:t>
      </w:r>
      <w:r w:rsidRPr="00E8450A">
        <w:rPr>
          <w:noProof/>
          <w:highlight w:val="lightGray"/>
        </w:rPr>
        <w:t>, Mg²</w:t>
      </w:r>
      <w:r w:rsidRPr="00E8450A">
        <w:rPr>
          <w:noProof/>
          <w:highlight w:val="lightGray"/>
          <w:vertAlign w:val="superscript"/>
        </w:rPr>
        <w:t>+</w:t>
      </w:r>
      <w:r w:rsidRPr="00E8450A">
        <w:rPr>
          <w:noProof/>
          <w:highlight w:val="lightGray"/>
        </w:rPr>
        <w:t>, Ca²</w:t>
      </w:r>
      <w:r w:rsidRPr="00E8450A">
        <w:rPr>
          <w:noProof/>
          <w:highlight w:val="lightGray"/>
          <w:vertAlign w:val="superscript"/>
        </w:rPr>
        <w:t>+</w:t>
      </w:r>
      <w:r w:rsidRPr="00E8450A">
        <w:rPr>
          <w:noProof/>
          <w:highlight w:val="lightGray"/>
        </w:rPr>
        <w:t xml:space="preserve"> v časticiach PM</w:t>
      </w:r>
      <w:r w:rsidRPr="00E8450A">
        <w:rPr>
          <w:noProof/>
          <w:highlight w:val="lightGray"/>
          <w:vertAlign w:val="subscript"/>
        </w:rPr>
        <w:t>2,5</w:t>
      </w:r>
      <w:r w:rsidRPr="00E8450A">
        <w:rPr>
          <w:noProof/>
          <w:highlight w:val="lightGray"/>
        </w:rPr>
        <w:t xml:space="preserve"> v okolitom ovzduší je opísaná v norme EN 16913:2017 „Ochrana ovzdušia. Vonkajšie ovzdušie. Štandardná metóda merania NO</w:t>
      </w:r>
      <w:r w:rsidRPr="00E8450A">
        <w:rPr>
          <w:noProof/>
          <w:highlight w:val="lightGray"/>
          <w:vertAlign w:val="subscript"/>
        </w:rPr>
        <w:t>3</w:t>
      </w:r>
      <w:r w:rsidRPr="00E8450A">
        <w:rPr>
          <w:noProof/>
          <w:highlight w:val="lightGray"/>
          <w:vertAlign w:val="superscript"/>
        </w:rPr>
        <w:t>-</w:t>
      </w:r>
      <w:r w:rsidRPr="00E8450A">
        <w:rPr>
          <w:noProof/>
          <w:highlight w:val="lightGray"/>
        </w:rPr>
        <w:t>, SO</w:t>
      </w:r>
      <w:r w:rsidRPr="00E8450A">
        <w:rPr>
          <w:noProof/>
          <w:highlight w:val="lightGray"/>
          <w:vertAlign w:val="subscript"/>
        </w:rPr>
        <w:t>4</w:t>
      </w:r>
      <w:r w:rsidRPr="00E8450A">
        <w:rPr>
          <w:noProof/>
          <w:highlight w:val="lightGray"/>
        </w:rPr>
        <w:t>²</w:t>
      </w:r>
      <w:r w:rsidRPr="00E8450A">
        <w:rPr>
          <w:noProof/>
          <w:highlight w:val="lightGray"/>
          <w:vertAlign w:val="superscript"/>
        </w:rPr>
        <w:t>-</w:t>
      </w:r>
      <w:r w:rsidRPr="00E8450A">
        <w:rPr>
          <w:noProof/>
          <w:highlight w:val="lightGray"/>
        </w:rPr>
        <w:t>, Cl</w:t>
      </w:r>
      <w:r w:rsidRPr="00E8450A">
        <w:rPr>
          <w:noProof/>
          <w:highlight w:val="lightGray"/>
          <w:vertAlign w:val="superscript"/>
        </w:rPr>
        <w:t>-</w:t>
      </w:r>
      <w:r w:rsidRPr="00E8450A">
        <w:rPr>
          <w:noProof/>
          <w:highlight w:val="lightGray"/>
        </w:rPr>
        <w:t>, NH</w:t>
      </w:r>
      <w:r w:rsidRPr="00E8450A">
        <w:rPr>
          <w:noProof/>
          <w:highlight w:val="lightGray"/>
          <w:vertAlign w:val="subscript"/>
        </w:rPr>
        <w:t>4</w:t>
      </w:r>
      <w:r w:rsidRPr="00E8450A">
        <w:rPr>
          <w:noProof/>
          <w:highlight w:val="lightGray"/>
          <w:vertAlign w:val="superscript"/>
        </w:rPr>
        <w:t>+</w:t>
      </w:r>
      <w:r w:rsidRPr="00E8450A">
        <w:rPr>
          <w:noProof/>
          <w:highlight w:val="lightGray"/>
        </w:rPr>
        <w:t>, Na</w:t>
      </w:r>
      <w:r w:rsidRPr="00E8450A">
        <w:rPr>
          <w:noProof/>
          <w:highlight w:val="lightGray"/>
          <w:vertAlign w:val="superscript"/>
        </w:rPr>
        <w:t>+</w:t>
      </w:r>
      <w:r w:rsidRPr="00E8450A">
        <w:rPr>
          <w:noProof/>
          <w:highlight w:val="lightGray"/>
        </w:rPr>
        <w:t>, K</w:t>
      </w:r>
      <w:r w:rsidRPr="00E8450A">
        <w:rPr>
          <w:noProof/>
          <w:highlight w:val="lightGray"/>
          <w:vertAlign w:val="superscript"/>
        </w:rPr>
        <w:t>+</w:t>
      </w:r>
      <w:r w:rsidRPr="00E8450A">
        <w:rPr>
          <w:noProof/>
          <w:highlight w:val="lightGray"/>
        </w:rPr>
        <w:t>, Mg²</w:t>
      </w:r>
      <w:r w:rsidRPr="00E8450A">
        <w:rPr>
          <w:noProof/>
          <w:highlight w:val="lightGray"/>
          <w:vertAlign w:val="superscript"/>
        </w:rPr>
        <w:t>+</w:t>
      </w:r>
      <w:r w:rsidRPr="00E8450A">
        <w:rPr>
          <w:noProof/>
          <w:highlight w:val="lightGray"/>
        </w:rPr>
        <w:t>, Ca²</w:t>
      </w:r>
      <w:r w:rsidRPr="00E8450A">
        <w:rPr>
          <w:noProof/>
          <w:highlight w:val="lightGray"/>
          <w:vertAlign w:val="superscript"/>
        </w:rPr>
        <w:t>+</w:t>
      </w:r>
      <w:r w:rsidRPr="00E8450A">
        <w:rPr>
          <w:noProof/>
          <w:highlight w:val="lightGray"/>
        </w:rPr>
        <w:t xml:space="preserve"> v časticiach PM</w:t>
      </w:r>
      <w:r w:rsidRPr="00E8450A">
        <w:rPr>
          <w:noProof/>
          <w:highlight w:val="lightGray"/>
          <w:vertAlign w:val="subscript"/>
        </w:rPr>
        <w:t>2,5</w:t>
      </w:r>
      <w:r w:rsidRPr="00E8450A">
        <w:rPr>
          <w:noProof/>
          <w:highlight w:val="lightGray"/>
        </w:rPr>
        <w:t xml:space="preserve"> zachytených na filtroch“. </w:t>
      </w:r>
    </w:p>
    <w:p w:rsidR="004F4CD1" w:rsidRPr="00E8450A" w:rsidRDefault="004F4CD1" w:rsidP="004F4CD1">
      <w:pPr>
        <w:rPr>
          <w:noProof/>
          <w:highlight w:val="lightGray"/>
        </w:rPr>
      </w:pPr>
    </w:p>
    <w:p w:rsidR="004F4CD1" w:rsidRPr="00E8450A" w:rsidRDefault="004F4CD1" w:rsidP="00A52FD4">
      <w:pPr>
        <w:rPr>
          <w:b/>
          <w:noProof/>
          <w:highlight w:val="lightGray"/>
        </w:rPr>
      </w:pPr>
      <w:r w:rsidRPr="00E8450A">
        <w:rPr>
          <w:b/>
          <w:noProof/>
          <w:highlight w:val="lightGray"/>
        </w:rPr>
        <w:t>B</w:t>
      </w:r>
      <w:r w:rsidR="00A52FD4">
        <w:rPr>
          <w:b/>
          <w:noProof/>
          <w:highlight w:val="lightGray"/>
        </w:rPr>
        <w:t>)</w:t>
      </w:r>
      <w:r w:rsidRPr="00E8450A">
        <w:rPr>
          <w:noProof/>
        </w:rPr>
        <w:tab/>
      </w:r>
      <w:r w:rsidRPr="00E8450A">
        <w:rPr>
          <w:b/>
          <w:noProof/>
          <w:highlight w:val="lightGray"/>
        </w:rPr>
        <w:t>Preukazovanie rovnocennosti</w:t>
      </w:r>
    </w:p>
    <w:p w:rsidR="004F4CD1" w:rsidRPr="00E8450A" w:rsidRDefault="004F4CD1" w:rsidP="004F4CD1">
      <w:pPr>
        <w:ind w:left="426"/>
        <w:rPr>
          <w:noProof/>
          <w:highlight w:val="lightGray"/>
        </w:rPr>
      </w:pPr>
      <w:r w:rsidRPr="00E8450A">
        <w:rPr>
          <w:noProof/>
          <w:highlight w:val="lightGray"/>
        </w:rPr>
        <w:t>1. Členský štát môže použiť akúkoľvek inú metódu, pri ktorej môže preukázať, že ňou dosahuje rovnocenné výsledky ako ktoroukoľvek z referenčných metód uvedených v časti A, alebo v prípade tuhých častíc akúkoľvek inú metódu, pri ktorej môže dotknutý členský štát preukázať zodpovedajúci vzťah k referenčnej metóde. V tom prípade sa výsledky dosiahnuté pomocou takejto inej metódy musia korigovať, aby sa získali výsledky rovnocenné s tými, ktoré by sa dosiahli pri použití referenčnej metódy.</w:t>
      </w:r>
    </w:p>
    <w:p w:rsidR="004F4CD1" w:rsidRPr="00E8450A" w:rsidRDefault="004F4CD1" w:rsidP="004F4CD1">
      <w:pPr>
        <w:ind w:left="426"/>
        <w:rPr>
          <w:noProof/>
          <w:highlight w:val="lightGray"/>
        </w:rPr>
      </w:pPr>
      <w:r w:rsidRPr="00E8450A">
        <w:rPr>
          <w:noProof/>
          <w:highlight w:val="lightGray"/>
        </w:rPr>
        <w:t>2. Komisia môže od členských štátov požadovať vypracovanie a predloženie správy o preukázaní rovnocennosti v súlade s bodom 1.</w:t>
      </w:r>
    </w:p>
    <w:p w:rsidR="004F4CD1" w:rsidRPr="00E8450A" w:rsidRDefault="004F4CD1" w:rsidP="004F4CD1">
      <w:pPr>
        <w:ind w:left="426"/>
        <w:rPr>
          <w:noProof/>
          <w:highlight w:val="lightGray"/>
        </w:rPr>
      </w:pPr>
      <w:r w:rsidRPr="00E8450A">
        <w:rPr>
          <w:noProof/>
          <w:highlight w:val="lightGray"/>
        </w:rPr>
        <w:t>3. Pri hodnotení prijateľnosti správy uvedenej v odseku 2 sa Komisia odvoláva na svoje usmernenia k preukazovaniu rovnocennosti. V prípade, že členské štáty na aproximáciu rovnocennosti využívali dočasné faktory, aproximovaná rovnocennosť sa musí potvrdiť alebo zmeniť s odvolaním sa na dané usmernenie Komisie.</w:t>
      </w:r>
    </w:p>
    <w:p w:rsidR="004F4CD1" w:rsidRPr="00E8450A" w:rsidRDefault="004F4CD1" w:rsidP="004F4CD1">
      <w:pPr>
        <w:ind w:left="426"/>
        <w:rPr>
          <w:noProof/>
          <w:highlight w:val="lightGray"/>
        </w:rPr>
      </w:pPr>
      <w:r w:rsidRPr="00E8450A">
        <w:rPr>
          <w:noProof/>
          <w:highlight w:val="lightGray"/>
        </w:rPr>
        <w:t>4. Členské štáty zabezpečia, aby sa v prípade potreby aj spätne vykonali opravy predchádzajúcich nameraných údajov s cieľom dosiahnuť lepšiu porovnateľnosť údajov.</w:t>
      </w:r>
    </w:p>
    <w:p w:rsidR="004F4CD1" w:rsidRPr="00E8450A" w:rsidRDefault="004F4CD1" w:rsidP="004F4CD1">
      <w:pPr>
        <w:rPr>
          <w:noProof/>
          <w:highlight w:val="lightGray"/>
        </w:rPr>
      </w:pPr>
    </w:p>
    <w:p w:rsidR="004F4CD1" w:rsidRPr="00E8450A" w:rsidRDefault="004F4CD1" w:rsidP="00A52FD4">
      <w:pPr>
        <w:rPr>
          <w:b/>
          <w:noProof/>
          <w:highlight w:val="lightGray"/>
        </w:rPr>
      </w:pPr>
      <w:r w:rsidRPr="00E8450A">
        <w:rPr>
          <w:b/>
          <w:noProof/>
          <w:highlight w:val="lightGray"/>
        </w:rPr>
        <w:t>C</w:t>
      </w:r>
      <w:r w:rsidR="00A52FD4">
        <w:rPr>
          <w:b/>
          <w:noProof/>
          <w:highlight w:val="lightGray"/>
        </w:rPr>
        <w:t>)</w:t>
      </w:r>
      <w:r w:rsidRPr="00E8450A">
        <w:rPr>
          <w:noProof/>
        </w:rPr>
        <w:tab/>
      </w:r>
      <w:r w:rsidRPr="00E8450A">
        <w:rPr>
          <w:b/>
          <w:noProof/>
          <w:highlight w:val="lightGray"/>
        </w:rPr>
        <w:t>Štandardizácia</w:t>
      </w:r>
    </w:p>
    <w:p w:rsidR="004F4CD1" w:rsidRPr="00E8450A" w:rsidRDefault="004F4CD1" w:rsidP="004F4CD1">
      <w:pPr>
        <w:ind w:left="426"/>
        <w:rPr>
          <w:noProof/>
          <w:highlight w:val="lightGray"/>
        </w:rPr>
      </w:pPr>
      <w:r w:rsidRPr="00E8450A">
        <w:rPr>
          <w:noProof/>
          <w:highlight w:val="lightGray"/>
        </w:rPr>
        <w:t>Pri plynných znečisťujúcich látkach sa musí objem štandardizovať pri teplote 293 K a atmosférickom tlaku 101,3 kPa. V prípade tuhých častíc a látok, ktoré sa majú v tuhých časticiach analyzovať (vrátane olova, arzénu, kadmia a benzo[a]pyrénu), sa objem odoberanej vzorky vzťahuje na okolité podmienky, pokiaľ ide o teplotu a atmosférický tlak v deň merania.</w:t>
      </w:r>
    </w:p>
    <w:p w:rsidR="004F4CD1" w:rsidRPr="00E8450A" w:rsidRDefault="004F4CD1" w:rsidP="004F4CD1">
      <w:pPr>
        <w:ind w:left="426"/>
        <w:rPr>
          <w:noProof/>
          <w:highlight w:val="lightGray"/>
        </w:rPr>
      </w:pPr>
      <w:r w:rsidRPr="00E8450A">
        <w:rPr>
          <w:noProof/>
          <w:highlight w:val="lightGray"/>
        </w:rPr>
        <w:t>Ak sa preukáže, že zariadenie spĺňa výkonnostné požiadavky referenčných metód uvedených v časti A, príslušné orgány a subjekty určené podľa článku 5 akceptujú skúšobné protokoly vydané v iných členských štátoch pod podmienkou, že dané skúšobné laboratóriá sú akreditované podľa príslušnej harmonizovanej normy týkajúcej sa skúšobných a kalibračných laboratórií.</w:t>
      </w:r>
    </w:p>
    <w:p w:rsidR="004F4CD1" w:rsidRPr="00E8450A" w:rsidRDefault="004F4CD1" w:rsidP="004F4CD1">
      <w:pPr>
        <w:ind w:left="426"/>
        <w:rPr>
          <w:noProof/>
          <w:highlight w:val="lightGray"/>
        </w:rPr>
      </w:pPr>
      <w:r w:rsidRPr="00E8450A">
        <w:rPr>
          <w:noProof/>
          <w:highlight w:val="lightGray"/>
        </w:rPr>
        <w:t xml:space="preserve">Podrobné skúšobné protokoly a všetky výsledky skúšok sa musia sprístupniť iným príslušným orgánom alebo nimi určeným subjektom. V skúšobných protokoloch sa musí preukázať, že zariadenie spĺňa všetky výkonnostné požiadavky vrátane niektorých podmienok špecifických pre daný štát, ktoré sa týkajú životného prostredia </w:t>
      </w:r>
      <w:r w:rsidRPr="00E8450A">
        <w:rPr>
          <w:noProof/>
          <w:highlight w:val="lightGray"/>
        </w:rPr>
        <w:lastRenderedPageBreak/>
        <w:t xml:space="preserve">a predmetného miesta a ktoré presahujú rámec podmienok, pre ktoré sa už dané zariadenie odskúšalo a typovo schválilo v inom členskom štáte. </w:t>
      </w:r>
    </w:p>
    <w:p w:rsidR="004F4CD1" w:rsidRPr="00E8450A" w:rsidRDefault="004F4CD1" w:rsidP="004F4CD1">
      <w:pPr>
        <w:rPr>
          <w:noProof/>
          <w:highlight w:val="lightGray"/>
        </w:rPr>
      </w:pPr>
    </w:p>
    <w:p w:rsidR="004F4CD1" w:rsidRPr="00E8450A" w:rsidRDefault="004F4CD1" w:rsidP="00A52FD4">
      <w:pPr>
        <w:rPr>
          <w:b/>
          <w:noProof/>
          <w:highlight w:val="lightGray"/>
        </w:rPr>
      </w:pPr>
      <w:r w:rsidRPr="00E8450A">
        <w:rPr>
          <w:b/>
          <w:noProof/>
          <w:highlight w:val="lightGray"/>
        </w:rPr>
        <w:t>D</w:t>
      </w:r>
      <w:r w:rsidR="00A52FD4">
        <w:rPr>
          <w:b/>
          <w:noProof/>
          <w:highlight w:val="lightGray"/>
        </w:rPr>
        <w:t>)</w:t>
      </w:r>
      <w:r w:rsidRPr="00E8450A">
        <w:rPr>
          <w:noProof/>
        </w:rPr>
        <w:tab/>
      </w:r>
      <w:r w:rsidRPr="00E8450A">
        <w:rPr>
          <w:b/>
          <w:noProof/>
          <w:highlight w:val="lightGray"/>
        </w:rPr>
        <w:t>Vzájomné uznávanie údajov</w:t>
      </w:r>
    </w:p>
    <w:p w:rsidR="004F4CD1" w:rsidRPr="00E8450A" w:rsidRDefault="004F4CD1" w:rsidP="004F4CD1">
      <w:pPr>
        <w:ind w:left="426"/>
        <w:rPr>
          <w:noProof/>
          <w:highlight w:val="lightGray"/>
        </w:rPr>
      </w:pPr>
      <w:r w:rsidRPr="00E8450A">
        <w:rPr>
          <w:noProof/>
          <w:highlight w:val="lightGray"/>
        </w:rPr>
        <w:t>Ak sa preukáže, že zariadenie spĺňa výkonnostné požiadavky referenčných metód uvedených v časti A, príslušné orgány a subjekty určené podľa článku 5 akceptujú skúšobné protokoly vydané v iných členských štátoch pod podmienkou, že dané skúšobné laboratóriá sú akreditované podľa príslušnej harmonizovanej normy týkajúcej sa skúšobných a kalibračných laboratórií.</w:t>
      </w:r>
    </w:p>
    <w:p w:rsidR="004F4CD1" w:rsidRPr="00E8450A" w:rsidRDefault="004F4CD1" w:rsidP="004F4CD1">
      <w:pPr>
        <w:ind w:left="426"/>
        <w:rPr>
          <w:noProof/>
          <w:highlight w:val="lightGray"/>
        </w:rPr>
      </w:pPr>
      <w:r w:rsidRPr="00E8450A">
        <w:rPr>
          <w:noProof/>
          <w:highlight w:val="lightGray"/>
        </w:rPr>
        <w:t>Podrobné skúšobné protokoly a všetky výsledky skúšok sa musia sprístupniť iným príslušným orgánom alebo nimi určeným subjektom. V skúšobných protokoloch sa musí preukázať, že zariadenie spĺňa všetky výkonnostné požiadavky vrátane niektorých podmienok špecifických pre daný štát, ktoré sa týkajú životného prostredia a predmetného miesta a ktoré presahujú rámec podmienok, pre ktoré sa už dané zariadenie odskúšalo a typovo schválilo v inom členskom štáte.</w:t>
      </w:r>
    </w:p>
    <w:p w:rsidR="004F4CD1" w:rsidRPr="00E8450A" w:rsidRDefault="004F4CD1" w:rsidP="004F4CD1">
      <w:pPr>
        <w:rPr>
          <w:noProof/>
          <w:highlight w:val="lightGray"/>
        </w:rPr>
      </w:pPr>
    </w:p>
    <w:p w:rsidR="004F4CD1" w:rsidRPr="00E8450A" w:rsidRDefault="004F4CD1" w:rsidP="00A52FD4">
      <w:pPr>
        <w:rPr>
          <w:b/>
          <w:noProof/>
          <w:highlight w:val="lightGray"/>
        </w:rPr>
      </w:pPr>
      <w:r w:rsidRPr="00E8450A">
        <w:rPr>
          <w:b/>
          <w:noProof/>
          <w:highlight w:val="lightGray"/>
        </w:rPr>
        <w:t>E</w:t>
      </w:r>
      <w:r w:rsidR="00A52FD4">
        <w:rPr>
          <w:b/>
          <w:noProof/>
          <w:highlight w:val="lightGray"/>
        </w:rPr>
        <w:t>)</w:t>
      </w:r>
      <w:r w:rsidRPr="00E8450A">
        <w:rPr>
          <w:noProof/>
        </w:rPr>
        <w:tab/>
      </w:r>
      <w:r w:rsidRPr="00E8450A">
        <w:rPr>
          <w:b/>
          <w:noProof/>
          <w:highlight w:val="lightGray"/>
        </w:rPr>
        <w:t>Referenčné aplikácie modelovania kvality ovzdušia</w:t>
      </w:r>
    </w:p>
    <w:p w:rsidR="004F4CD1" w:rsidRPr="00E8450A" w:rsidRDefault="004F4CD1" w:rsidP="004F4CD1">
      <w:pPr>
        <w:ind w:left="426"/>
        <w:rPr>
          <w:noProof/>
          <w:highlight w:val="lightGray"/>
        </w:rPr>
      </w:pPr>
      <w:r w:rsidRPr="00E8450A">
        <w:rPr>
          <w:noProof/>
          <w:highlight w:val="lightGray"/>
        </w:rPr>
        <w:t>Ak neexistuje norma CEN o cieľoch v oblasti kvality modelovania, členské štáty si môžu v súlade s prílohou V časťou F zvoliť modelovacie aplikácie, ktoré používajú.</w:t>
      </w:r>
      <w:r w:rsidR="008A1F90">
        <w:rPr>
          <w:noProof/>
          <w:highlight w:val="lightGray"/>
        </w:rPr>
        <w:t xml:space="preserve"> </w:t>
      </w:r>
    </w:p>
    <w:p w:rsidR="00BC180F" w:rsidRPr="00E8450A" w:rsidRDefault="005C7768" w:rsidP="00BA3DB8">
      <w:pPr>
        <w:spacing w:before="0" w:after="200" w:line="276" w:lineRule="auto"/>
        <w:jc w:val="left"/>
        <w:rPr>
          <w:noProof/>
          <w:highlight w:val="lightGray"/>
        </w:rPr>
      </w:pPr>
      <w:r w:rsidRPr="00E8450A">
        <w:rPr>
          <w:noProof/>
        </w:rPr>
        <w:br w:type="page"/>
      </w:r>
    </w:p>
    <w:p w:rsidR="005C7768" w:rsidRPr="00E8450A" w:rsidRDefault="005C7768" w:rsidP="00BC180F">
      <w:pPr>
        <w:pStyle w:val="Annexetitre"/>
        <w:rPr>
          <w:noProof/>
          <w:highlight w:val="lightGray"/>
        </w:rPr>
      </w:pPr>
      <w:r w:rsidRPr="00E8450A">
        <w:rPr>
          <w:noProof/>
          <w:highlight w:val="lightGray"/>
        </w:rPr>
        <w:lastRenderedPageBreak/>
        <w:t>PRÍLOHA VII</w:t>
      </w:r>
    </w:p>
    <w:p w:rsidR="005C7768" w:rsidRPr="00E8450A" w:rsidRDefault="006F3F11" w:rsidP="00EC0578">
      <w:pPr>
        <w:jc w:val="center"/>
        <w:rPr>
          <w:b/>
          <w:noProof/>
          <w:highlight w:val="lightGray"/>
        </w:rPr>
      </w:pPr>
      <w:r w:rsidRPr="00E8450A">
        <w:rPr>
          <w:b/>
          <w:noProof/>
          <w:highlight w:val="lightGray"/>
        </w:rPr>
        <w:t>MONITOROVANIE HMOTNOSTNEJ KONCENTRÁCIE A CHEMICKÉHO ZLOŽENIA ČASTÍC PM</w:t>
      </w:r>
      <w:r w:rsidRPr="00E8450A">
        <w:rPr>
          <w:b/>
          <w:noProof/>
          <w:highlight w:val="lightGray"/>
          <w:vertAlign w:val="subscript"/>
        </w:rPr>
        <w:t>2,5</w:t>
      </w:r>
      <w:r w:rsidRPr="00E8450A">
        <w:rPr>
          <w:b/>
          <w:noProof/>
          <w:highlight w:val="lightGray"/>
        </w:rPr>
        <w:t>, PREKURZOROV OZÓNU A ULTRAJEMNÝCH ČASTÍC</w:t>
      </w:r>
    </w:p>
    <w:p w:rsidR="00515EDB" w:rsidRPr="00E8450A" w:rsidRDefault="00515EDB" w:rsidP="006862AF">
      <w:pPr>
        <w:rPr>
          <w:rFonts w:eastAsiaTheme="minorEastAsia"/>
          <w:noProof/>
          <w:szCs w:val="24"/>
          <w:highlight w:val="lightGray"/>
          <w:lang w:eastAsia="en-GB"/>
        </w:rPr>
      </w:pPr>
    </w:p>
    <w:p w:rsidR="006862AF" w:rsidRPr="00E8450A" w:rsidRDefault="00515EDB" w:rsidP="006862AF">
      <w:pPr>
        <w:rPr>
          <w:caps/>
          <w:noProof/>
          <w:highlight w:val="lightGray"/>
          <w:u w:val="single"/>
        </w:rPr>
      </w:pPr>
      <w:r w:rsidRPr="00E8450A">
        <w:rPr>
          <w:caps/>
          <w:noProof/>
          <w:highlight w:val="lightGray"/>
          <w:u w:val="single"/>
        </w:rPr>
        <w:t>Oddiel 1 – Merania HMOTNOSTNEJ KONCENTRÁCIE A chemického zloženia PM</w:t>
      </w:r>
      <w:r w:rsidRPr="00E8450A">
        <w:rPr>
          <w:caps/>
          <w:noProof/>
          <w:highlight w:val="lightGray"/>
          <w:u w:val="single"/>
          <w:vertAlign w:val="subscript"/>
        </w:rPr>
        <w:t>2,5</w:t>
      </w:r>
      <w:r w:rsidR="008A1F90">
        <w:rPr>
          <w:noProof/>
          <w:highlight w:val="lightGray"/>
          <w:u w:val="single"/>
        </w:rPr>
        <w:t xml:space="preserve"> </w:t>
      </w:r>
    </w:p>
    <w:p w:rsidR="005C7768" w:rsidRPr="00E8450A" w:rsidRDefault="005C7768" w:rsidP="00A52FD4">
      <w:pPr>
        <w:keepNext/>
        <w:spacing w:before="360"/>
        <w:ind w:left="851" w:hanging="851"/>
        <w:outlineLvl w:val="0"/>
        <w:rPr>
          <w:b/>
          <w:bCs/>
          <w:smallCaps/>
          <w:noProof/>
          <w:highlight w:val="lightGray"/>
        </w:rPr>
      </w:pPr>
      <w:r w:rsidRPr="00E8450A">
        <w:rPr>
          <w:b/>
          <w:smallCaps/>
          <w:noProof/>
          <w:highlight w:val="lightGray"/>
        </w:rPr>
        <w:t>A</w:t>
      </w:r>
      <w:r w:rsidR="00A52FD4">
        <w:rPr>
          <w:b/>
          <w:smallCaps/>
          <w:noProof/>
          <w:highlight w:val="lightGray"/>
        </w:rPr>
        <w:t>)</w:t>
      </w:r>
      <w:r w:rsidRPr="00E8450A">
        <w:rPr>
          <w:noProof/>
        </w:rPr>
        <w:tab/>
      </w:r>
      <w:r w:rsidRPr="00E8450A">
        <w:rPr>
          <w:b/>
          <w:noProof/>
          <w:highlight w:val="lightGray"/>
        </w:rPr>
        <w:t>Ciele</w:t>
      </w:r>
    </w:p>
    <w:p w:rsidR="006862AF" w:rsidRPr="00E8450A" w:rsidRDefault="006862AF" w:rsidP="006862AF">
      <w:pPr>
        <w:rPr>
          <w:noProof/>
          <w:highlight w:val="lightGray"/>
        </w:rPr>
      </w:pPr>
      <w:r w:rsidRPr="00E8450A">
        <w:rPr>
          <w:noProof/>
          <w:highlight w:val="lightGray"/>
        </w:rPr>
        <w:t>Hlavnými cieľmi týchto meraní je zabezpečiť, aby boli k dispozícii primerané informácie o úrovniach na mestských a vidieckych pozaďových miestach. Tieto informácie majú zásadný význam pri posudzovaní zvýšených úrovní v znečistenejších oblastiach (ako sú mestské pozaďové miesta, miesta spojené s priemyslom lokality, miesta spojené s dopravou), pri hodnotení možného príspevku diaľkového prenosu znečisťujúcich látok, pri podpore analýzy rozčlenenia zdrojov a pri získavaní vedomostí o špecifických znečisťujúcich látkach, ako sú tuhé častice. Takisto sú dôležité pre zvýšené využívanie modelovania aj v mestských oblastiach.</w:t>
      </w:r>
    </w:p>
    <w:p w:rsidR="005C7768" w:rsidRPr="00E8450A" w:rsidRDefault="005C7768" w:rsidP="00A52FD4">
      <w:pPr>
        <w:keepNext/>
        <w:spacing w:before="360"/>
        <w:ind w:left="851" w:hanging="851"/>
        <w:outlineLvl w:val="0"/>
        <w:rPr>
          <w:b/>
          <w:bCs/>
          <w:smallCaps/>
          <w:noProof/>
          <w:highlight w:val="lightGray"/>
        </w:rPr>
      </w:pPr>
      <w:r w:rsidRPr="00E8450A">
        <w:rPr>
          <w:b/>
          <w:smallCaps/>
          <w:noProof/>
          <w:highlight w:val="lightGray"/>
        </w:rPr>
        <w:t>B</w:t>
      </w:r>
      <w:r w:rsidR="00A52FD4">
        <w:rPr>
          <w:b/>
          <w:smallCaps/>
          <w:noProof/>
          <w:highlight w:val="lightGray"/>
        </w:rPr>
        <w:t>)</w:t>
      </w:r>
      <w:r w:rsidRPr="00E8450A">
        <w:rPr>
          <w:noProof/>
        </w:rPr>
        <w:tab/>
      </w:r>
      <w:r w:rsidRPr="00E8450A">
        <w:rPr>
          <w:b/>
          <w:noProof/>
          <w:highlight w:val="lightGray"/>
        </w:rPr>
        <w:t>Látky</w:t>
      </w:r>
    </w:p>
    <w:p w:rsidR="005C7768" w:rsidRPr="00E8450A" w:rsidRDefault="005C7768" w:rsidP="005C7768">
      <w:pPr>
        <w:rPr>
          <w:noProof/>
          <w:highlight w:val="lightGray"/>
        </w:rPr>
      </w:pPr>
      <w:r w:rsidRPr="00E8450A">
        <w:rPr>
          <w:noProof/>
          <w:highlight w:val="lightGray"/>
        </w:rPr>
        <w:t>Meranie častíc PM</w:t>
      </w:r>
      <w:r w:rsidRPr="00E8450A">
        <w:rPr>
          <w:noProof/>
          <w:highlight w:val="lightGray"/>
          <w:vertAlign w:val="subscript"/>
        </w:rPr>
        <w:t>2,5</w:t>
      </w:r>
      <w:r w:rsidRPr="00E8450A">
        <w:rPr>
          <w:noProof/>
          <w:highlight w:val="lightGray"/>
        </w:rPr>
        <w:t xml:space="preserve"> musí zahŕňať aspoň celkovú hmotnostnú koncentráciu a koncentrácie zlúčenín vhodných na stanovenie ich chemického zloženia. Musí sa zahrnúť aspoň tento zoznam chemických látok:</w:t>
      </w:r>
    </w:p>
    <w:tbl>
      <w:tblPr>
        <w:tblW w:w="0" w:type="auto"/>
        <w:tblInd w:w="108" w:type="dxa"/>
        <w:tblBorders>
          <w:top w:val="single" w:sz="2" w:space="0" w:color="auto"/>
          <w:left w:val="single" w:sz="4" w:space="0" w:color="auto"/>
          <w:bottom w:val="single" w:sz="2" w:space="0" w:color="auto"/>
          <w:insideH w:val="single" w:sz="2" w:space="0" w:color="auto"/>
          <w:insideV w:val="single" w:sz="2" w:space="0" w:color="auto"/>
        </w:tblBorders>
        <w:tblLayout w:type="fixed"/>
        <w:tblLook w:val="0000" w:firstRow="0" w:lastRow="0" w:firstColumn="0" w:lastColumn="0" w:noHBand="0" w:noVBand="0"/>
      </w:tblPr>
      <w:tblGrid>
        <w:gridCol w:w="1452"/>
        <w:gridCol w:w="1453"/>
        <w:gridCol w:w="1453"/>
        <w:gridCol w:w="1453"/>
        <w:gridCol w:w="3261"/>
      </w:tblGrid>
      <w:tr w:rsidR="005C7768" w:rsidRPr="00E8450A" w:rsidTr="00724F80">
        <w:tc>
          <w:tcPr>
            <w:tcW w:w="1452" w:type="dxa"/>
            <w:tcBorders>
              <w:left w:val="nil"/>
            </w:tcBorders>
          </w:tcPr>
          <w:p w:rsidR="005C7768" w:rsidRPr="00E8450A" w:rsidRDefault="005C7768" w:rsidP="00335440">
            <w:pPr>
              <w:rPr>
                <w:noProof/>
                <w:highlight w:val="lightGray"/>
              </w:rPr>
            </w:pPr>
            <w:r w:rsidRPr="00E8450A">
              <w:rPr>
                <w:noProof/>
                <w:highlight w:val="lightGray"/>
              </w:rPr>
              <w:t>SO</w:t>
            </w:r>
            <w:r w:rsidRPr="00E8450A">
              <w:rPr>
                <w:noProof/>
                <w:highlight w:val="lightGray"/>
                <w:vertAlign w:val="subscript"/>
              </w:rPr>
              <w:t>4</w:t>
            </w:r>
            <w:r w:rsidRPr="00E8450A">
              <w:rPr>
                <w:noProof/>
                <w:highlight w:val="lightGray"/>
                <w:vertAlign w:val="superscript"/>
              </w:rPr>
              <w:t>2–</w:t>
            </w:r>
          </w:p>
        </w:tc>
        <w:tc>
          <w:tcPr>
            <w:tcW w:w="1453" w:type="dxa"/>
          </w:tcPr>
          <w:p w:rsidR="005C7768" w:rsidRPr="00E8450A" w:rsidRDefault="005C7768" w:rsidP="00335440">
            <w:pPr>
              <w:rPr>
                <w:noProof/>
                <w:highlight w:val="lightGray"/>
              </w:rPr>
            </w:pPr>
            <w:r w:rsidRPr="00E8450A">
              <w:rPr>
                <w:noProof/>
                <w:highlight w:val="lightGray"/>
              </w:rPr>
              <w:t>Na</w:t>
            </w:r>
            <w:r w:rsidRPr="00E8450A">
              <w:rPr>
                <w:noProof/>
                <w:highlight w:val="lightGray"/>
                <w:vertAlign w:val="superscript"/>
              </w:rPr>
              <w:t>+</w:t>
            </w:r>
          </w:p>
        </w:tc>
        <w:tc>
          <w:tcPr>
            <w:tcW w:w="1453" w:type="dxa"/>
          </w:tcPr>
          <w:p w:rsidR="005C7768" w:rsidRPr="00E8450A" w:rsidRDefault="005C7768" w:rsidP="00335440">
            <w:pPr>
              <w:rPr>
                <w:noProof/>
                <w:highlight w:val="lightGray"/>
              </w:rPr>
            </w:pPr>
            <w:r w:rsidRPr="00E8450A">
              <w:rPr>
                <w:noProof/>
                <w:highlight w:val="lightGray"/>
              </w:rPr>
              <w:t>NH</w:t>
            </w:r>
            <w:r w:rsidRPr="00E8450A">
              <w:rPr>
                <w:noProof/>
                <w:highlight w:val="lightGray"/>
                <w:vertAlign w:val="subscript"/>
              </w:rPr>
              <w:t>4</w:t>
            </w:r>
            <w:r w:rsidRPr="00E8450A">
              <w:rPr>
                <w:noProof/>
                <w:highlight w:val="lightGray"/>
                <w:vertAlign w:val="superscript"/>
              </w:rPr>
              <w:t>+</w:t>
            </w:r>
          </w:p>
        </w:tc>
        <w:tc>
          <w:tcPr>
            <w:tcW w:w="1453" w:type="dxa"/>
          </w:tcPr>
          <w:p w:rsidR="005C7768" w:rsidRPr="00E8450A" w:rsidRDefault="005C7768" w:rsidP="00335440">
            <w:pPr>
              <w:rPr>
                <w:noProof/>
                <w:highlight w:val="lightGray"/>
              </w:rPr>
            </w:pPr>
            <w:r w:rsidRPr="00E8450A">
              <w:rPr>
                <w:noProof/>
                <w:highlight w:val="lightGray"/>
              </w:rPr>
              <w:t>Ca</w:t>
            </w:r>
            <w:r w:rsidRPr="00E8450A">
              <w:rPr>
                <w:noProof/>
                <w:highlight w:val="lightGray"/>
                <w:vertAlign w:val="superscript"/>
              </w:rPr>
              <w:t>2+</w:t>
            </w:r>
          </w:p>
        </w:tc>
        <w:tc>
          <w:tcPr>
            <w:tcW w:w="3261" w:type="dxa"/>
          </w:tcPr>
          <w:p w:rsidR="005C7768" w:rsidRPr="00E8450A" w:rsidRDefault="005C7768" w:rsidP="00335440">
            <w:pPr>
              <w:rPr>
                <w:noProof/>
                <w:highlight w:val="lightGray"/>
              </w:rPr>
            </w:pPr>
            <w:r w:rsidRPr="00E8450A">
              <w:rPr>
                <w:noProof/>
                <w:highlight w:val="lightGray"/>
              </w:rPr>
              <w:t>elementárny uhlík (EC)</w:t>
            </w:r>
          </w:p>
        </w:tc>
      </w:tr>
      <w:tr w:rsidR="005C7768" w:rsidRPr="00E8450A" w:rsidTr="00724F80">
        <w:tc>
          <w:tcPr>
            <w:tcW w:w="1452" w:type="dxa"/>
            <w:tcBorders>
              <w:left w:val="nil"/>
            </w:tcBorders>
          </w:tcPr>
          <w:p w:rsidR="005C7768" w:rsidRPr="00E8450A" w:rsidRDefault="005C7768" w:rsidP="00335440">
            <w:pPr>
              <w:rPr>
                <w:noProof/>
                <w:highlight w:val="lightGray"/>
              </w:rPr>
            </w:pPr>
            <w:r w:rsidRPr="00E8450A">
              <w:rPr>
                <w:noProof/>
                <w:highlight w:val="lightGray"/>
              </w:rPr>
              <w:t>NO</w:t>
            </w:r>
            <w:r w:rsidRPr="00E8450A">
              <w:rPr>
                <w:noProof/>
                <w:highlight w:val="lightGray"/>
                <w:vertAlign w:val="subscript"/>
              </w:rPr>
              <w:t>3</w:t>
            </w:r>
            <w:r w:rsidRPr="00E8450A">
              <w:rPr>
                <w:noProof/>
                <w:highlight w:val="lightGray"/>
                <w:vertAlign w:val="superscript"/>
              </w:rPr>
              <w:t>–</w:t>
            </w:r>
          </w:p>
        </w:tc>
        <w:tc>
          <w:tcPr>
            <w:tcW w:w="1453" w:type="dxa"/>
          </w:tcPr>
          <w:p w:rsidR="005C7768" w:rsidRPr="00E8450A" w:rsidRDefault="005C7768" w:rsidP="00335440">
            <w:pPr>
              <w:rPr>
                <w:noProof/>
                <w:highlight w:val="lightGray"/>
              </w:rPr>
            </w:pPr>
            <w:r w:rsidRPr="00E8450A">
              <w:rPr>
                <w:noProof/>
                <w:highlight w:val="lightGray"/>
              </w:rPr>
              <w:t>K</w:t>
            </w:r>
            <w:r w:rsidRPr="00E8450A">
              <w:rPr>
                <w:noProof/>
                <w:highlight w:val="lightGray"/>
                <w:vertAlign w:val="superscript"/>
              </w:rPr>
              <w:t>+</w:t>
            </w:r>
          </w:p>
        </w:tc>
        <w:tc>
          <w:tcPr>
            <w:tcW w:w="1453" w:type="dxa"/>
          </w:tcPr>
          <w:p w:rsidR="005C7768" w:rsidRPr="00E8450A" w:rsidRDefault="005C7768" w:rsidP="00335440">
            <w:pPr>
              <w:rPr>
                <w:noProof/>
                <w:highlight w:val="lightGray"/>
              </w:rPr>
            </w:pPr>
            <w:r w:rsidRPr="00E8450A">
              <w:rPr>
                <w:noProof/>
                <w:highlight w:val="lightGray"/>
              </w:rPr>
              <w:t>Cl</w:t>
            </w:r>
            <w:r w:rsidRPr="00E8450A">
              <w:rPr>
                <w:noProof/>
                <w:highlight w:val="lightGray"/>
                <w:vertAlign w:val="superscript"/>
              </w:rPr>
              <w:t>–</w:t>
            </w:r>
          </w:p>
        </w:tc>
        <w:tc>
          <w:tcPr>
            <w:tcW w:w="1453" w:type="dxa"/>
          </w:tcPr>
          <w:p w:rsidR="005C7768" w:rsidRPr="00E8450A" w:rsidRDefault="005C7768" w:rsidP="00335440">
            <w:pPr>
              <w:rPr>
                <w:noProof/>
                <w:highlight w:val="lightGray"/>
              </w:rPr>
            </w:pPr>
            <w:r w:rsidRPr="00E8450A">
              <w:rPr>
                <w:noProof/>
                <w:highlight w:val="lightGray"/>
              </w:rPr>
              <w:t>Mg</w:t>
            </w:r>
            <w:r w:rsidRPr="00E8450A">
              <w:rPr>
                <w:noProof/>
                <w:highlight w:val="lightGray"/>
                <w:vertAlign w:val="superscript"/>
              </w:rPr>
              <w:t>2+</w:t>
            </w:r>
          </w:p>
        </w:tc>
        <w:tc>
          <w:tcPr>
            <w:tcW w:w="3261" w:type="dxa"/>
          </w:tcPr>
          <w:p w:rsidR="005C7768" w:rsidRPr="00E8450A" w:rsidRDefault="005C7768" w:rsidP="00335440">
            <w:pPr>
              <w:rPr>
                <w:noProof/>
                <w:highlight w:val="lightGray"/>
              </w:rPr>
            </w:pPr>
            <w:r w:rsidRPr="00E8450A">
              <w:rPr>
                <w:noProof/>
                <w:highlight w:val="lightGray"/>
              </w:rPr>
              <w:t>organický uhlík (OC)</w:t>
            </w:r>
          </w:p>
        </w:tc>
      </w:tr>
    </w:tbl>
    <w:p w:rsidR="005C7768" w:rsidRPr="00E8450A" w:rsidRDefault="005C7768" w:rsidP="00A52FD4">
      <w:pPr>
        <w:keepNext/>
        <w:spacing w:before="360"/>
        <w:ind w:left="851" w:hanging="851"/>
        <w:outlineLvl w:val="0"/>
        <w:rPr>
          <w:b/>
          <w:bCs/>
          <w:smallCaps/>
          <w:noProof/>
          <w:highlight w:val="lightGray"/>
        </w:rPr>
      </w:pPr>
      <w:r w:rsidRPr="00E8450A">
        <w:rPr>
          <w:b/>
          <w:smallCaps/>
          <w:noProof/>
          <w:highlight w:val="lightGray"/>
        </w:rPr>
        <w:t>C</w:t>
      </w:r>
      <w:r w:rsidR="00A52FD4">
        <w:rPr>
          <w:b/>
          <w:smallCaps/>
          <w:noProof/>
          <w:highlight w:val="lightGray"/>
        </w:rPr>
        <w:t>)</w:t>
      </w:r>
      <w:r w:rsidRPr="00E8450A">
        <w:rPr>
          <w:noProof/>
        </w:rPr>
        <w:tab/>
      </w:r>
      <w:r w:rsidRPr="00E8450A">
        <w:rPr>
          <w:b/>
          <w:noProof/>
          <w:highlight w:val="lightGray"/>
        </w:rPr>
        <w:t>Umiestnenie</w:t>
      </w:r>
    </w:p>
    <w:p w:rsidR="0026263A" w:rsidRPr="00E8450A" w:rsidRDefault="006862AF" w:rsidP="00515EDB">
      <w:pPr>
        <w:rPr>
          <w:noProof/>
          <w:highlight w:val="lightGray"/>
        </w:rPr>
      </w:pPr>
      <w:r w:rsidRPr="00E8450A">
        <w:rPr>
          <w:noProof/>
          <w:highlight w:val="lightGray"/>
        </w:rPr>
        <w:t>Merania sa v súlade s prílohou IV vykonávajú v mestských pozaďových a vidieckych pozaďových miestach.</w:t>
      </w:r>
    </w:p>
    <w:p w:rsidR="00515EDB" w:rsidRPr="00E8450A" w:rsidRDefault="00515EDB" w:rsidP="00515EDB">
      <w:pPr>
        <w:rPr>
          <w:caps/>
          <w:noProof/>
          <w:highlight w:val="lightGray"/>
          <w:u w:val="single"/>
        </w:rPr>
      </w:pPr>
    </w:p>
    <w:p w:rsidR="005C7768" w:rsidRPr="00E8450A" w:rsidRDefault="005C7768" w:rsidP="002D45B0">
      <w:pPr>
        <w:rPr>
          <w:caps/>
          <w:noProof/>
          <w:highlight w:val="lightGray"/>
          <w:u w:val="single"/>
        </w:rPr>
      </w:pPr>
      <w:r w:rsidRPr="00E8450A">
        <w:rPr>
          <w:caps/>
          <w:noProof/>
          <w:highlight w:val="lightGray"/>
          <w:u w:val="single"/>
        </w:rPr>
        <w:t>Oddiel 2 – Merania prekurzorov ozónu</w:t>
      </w:r>
    </w:p>
    <w:p w:rsidR="005C7768" w:rsidRPr="00E8450A" w:rsidRDefault="005C7768" w:rsidP="00A52FD4">
      <w:pPr>
        <w:rPr>
          <w:b/>
          <w:noProof/>
          <w:highlight w:val="lightGray"/>
        </w:rPr>
      </w:pPr>
      <w:r w:rsidRPr="00E8450A">
        <w:rPr>
          <w:b/>
          <w:noProof/>
          <w:highlight w:val="lightGray"/>
        </w:rPr>
        <w:t>A</w:t>
      </w:r>
      <w:r w:rsidR="00A52FD4">
        <w:rPr>
          <w:b/>
          <w:noProof/>
          <w:highlight w:val="lightGray"/>
        </w:rPr>
        <w:t>)</w:t>
      </w:r>
      <w:r w:rsidRPr="00E8450A">
        <w:rPr>
          <w:noProof/>
        </w:rPr>
        <w:tab/>
      </w:r>
      <w:r w:rsidRPr="00E8450A">
        <w:rPr>
          <w:b/>
          <w:noProof/>
          <w:highlight w:val="lightGray"/>
        </w:rPr>
        <w:t>Ciele</w:t>
      </w:r>
    </w:p>
    <w:p w:rsidR="005C7768" w:rsidRPr="00E8450A" w:rsidRDefault="005C7768" w:rsidP="005C7768">
      <w:pPr>
        <w:ind w:left="426"/>
        <w:rPr>
          <w:noProof/>
          <w:highlight w:val="lightGray"/>
        </w:rPr>
      </w:pPr>
      <w:r w:rsidRPr="00E8450A">
        <w:rPr>
          <w:noProof/>
          <w:highlight w:val="lightGray"/>
        </w:rPr>
        <w:t>Hlavnými cieľmi meraní prekurzorov ozónu je analýza všetkých trendov, pokiaľ ide o prekurzory ozónu, kontrola účinnosti stratégií znižovania emisií, kontrola súladu emisných inventúr a podpora pochopenia procesov tvorby ozónu a rozptylu prekurzorov, ako aj uplatnenie fotochemických modelov a pomoc pri priraďovaní zdrojov emisií k sledovaným koncentráciám znečistenia.</w:t>
      </w:r>
    </w:p>
    <w:p w:rsidR="005C7768" w:rsidRPr="00E8450A" w:rsidRDefault="005C7768" w:rsidP="005C7768">
      <w:pPr>
        <w:rPr>
          <w:noProof/>
          <w:highlight w:val="lightGray"/>
        </w:rPr>
      </w:pPr>
    </w:p>
    <w:p w:rsidR="005C7768" w:rsidRPr="00E8450A" w:rsidRDefault="005C7768" w:rsidP="00A52FD4">
      <w:pPr>
        <w:rPr>
          <w:b/>
          <w:noProof/>
          <w:highlight w:val="lightGray"/>
        </w:rPr>
      </w:pPr>
      <w:r w:rsidRPr="00E8450A">
        <w:rPr>
          <w:b/>
          <w:noProof/>
          <w:highlight w:val="lightGray"/>
        </w:rPr>
        <w:t>B</w:t>
      </w:r>
      <w:r w:rsidR="00A52FD4">
        <w:rPr>
          <w:b/>
          <w:noProof/>
          <w:highlight w:val="lightGray"/>
        </w:rPr>
        <w:t>)</w:t>
      </w:r>
      <w:r w:rsidRPr="00E8450A">
        <w:rPr>
          <w:noProof/>
        </w:rPr>
        <w:tab/>
      </w:r>
      <w:r w:rsidRPr="00E8450A">
        <w:rPr>
          <w:b/>
          <w:noProof/>
          <w:highlight w:val="lightGray"/>
        </w:rPr>
        <w:t>Látky</w:t>
      </w:r>
    </w:p>
    <w:p w:rsidR="005C7768" w:rsidRPr="00E8450A" w:rsidRDefault="005C7768" w:rsidP="005C7768">
      <w:pPr>
        <w:ind w:left="425"/>
        <w:rPr>
          <w:noProof/>
          <w:highlight w:val="lightGray"/>
        </w:rPr>
      </w:pPr>
      <w:r w:rsidRPr="00E8450A">
        <w:rPr>
          <w:noProof/>
          <w:highlight w:val="lightGray"/>
        </w:rPr>
        <w:t>Merania prekurzorov ozónu musia zahŕňať aspoň oxidy dusíka (NO a NO</w:t>
      </w:r>
      <w:r w:rsidRPr="00E8450A">
        <w:rPr>
          <w:noProof/>
          <w:highlight w:val="lightGray"/>
          <w:vertAlign w:val="subscript"/>
        </w:rPr>
        <w:t>2</w:t>
      </w:r>
      <w:r w:rsidRPr="00E8450A">
        <w:rPr>
          <w:noProof/>
          <w:highlight w:val="lightGray"/>
        </w:rPr>
        <w:t>) a príslušné prchavé organické zlúčeniny (VOC). Výber špecifických zlúčenín, ktoré sa majú merať, doplnené o iné zlúčeniny, ktoré sú predmetom záujmu, bude závisieť od sledovaného cieľa.</w:t>
      </w:r>
    </w:p>
    <w:p w:rsidR="005C7768" w:rsidRPr="00E8450A" w:rsidRDefault="005C7768" w:rsidP="002D45B0">
      <w:pPr>
        <w:pStyle w:val="Text1"/>
        <w:rPr>
          <w:noProof/>
          <w:highlight w:val="lightGray"/>
        </w:rPr>
      </w:pPr>
      <w:r w:rsidRPr="00E8450A">
        <w:rPr>
          <w:noProof/>
          <w:highlight w:val="lightGray"/>
        </w:rPr>
        <w:lastRenderedPageBreak/>
        <w:t xml:space="preserve">a) </w:t>
      </w:r>
      <w:r w:rsidRPr="00E8450A">
        <w:rPr>
          <w:noProof/>
        </w:rPr>
        <w:tab/>
      </w:r>
      <w:r w:rsidRPr="00E8450A">
        <w:rPr>
          <w:noProof/>
          <w:highlight w:val="lightGray"/>
        </w:rPr>
        <w:t>členské štáty môžu použiť metódu, ktorú považujú za vhodnú na dosiahnutie sledovaného cieľa;</w:t>
      </w:r>
    </w:p>
    <w:p w:rsidR="005C7768" w:rsidRPr="00E8450A" w:rsidDel="00F313FF" w:rsidRDefault="005C7768" w:rsidP="002D45B0">
      <w:pPr>
        <w:pStyle w:val="Text1"/>
        <w:rPr>
          <w:noProof/>
          <w:highlight w:val="lightGray"/>
        </w:rPr>
      </w:pPr>
      <w:r w:rsidRPr="00E8450A">
        <w:rPr>
          <w:noProof/>
          <w:highlight w:val="lightGray"/>
        </w:rPr>
        <w:t xml:space="preserve">b) </w:t>
      </w:r>
      <w:r w:rsidRPr="00E8450A">
        <w:rPr>
          <w:noProof/>
        </w:rPr>
        <w:tab/>
      </w:r>
      <w:r w:rsidRPr="00E8450A">
        <w:rPr>
          <w:noProof/>
          <w:highlight w:val="lightGray"/>
        </w:rPr>
        <w:t>referenčná metóda špecifikovaná v prílohe VI sa uplatňuje na oxid dusičitý a oxidy dusíka;</w:t>
      </w:r>
    </w:p>
    <w:p w:rsidR="005C7768" w:rsidRPr="00E8450A" w:rsidRDefault="005C7768" w:rsidP="002D45B0">
      <w:pPr>
        <w:pStyle w:val="Text1"/>
        <w:rPr>
          <w:noProof/>
          <w:highlight w:val="lightGray"/>
        </w:rPr>
      </w:pPr>
      <w:r w:rsidRPr="00E8450A">
        <w:rPr>
          <w:noProof/>
          <w:highlight w:val="lightGray"/>
        </w:rPr>
        <w:t xml:space="preserve">c) </w:t>
      </w:r>
      <w:r w:rsidRPr="00E8450A">
        <w:rPr>
          <w:noProof/>
        </w:rPr>
        <w:tab/>
      </w:r>
      <w:r w:rsidRPr="00E8450A">
        <w:rPr>
          <w:noProof/>
          <w:highlight w:val="lightGray"/>
        </w:rPr>
        <w:t>metódy, ktoré CEN štandardizuje, sa použijú hneď, ako budú k dispozícii.</w:t>
      </w:r>
    </w:p>
    <w:p w:rsidR="000665C0" w:rsidRPr="00E8450A" w:rsidRDefault="000665C0" w:rsidP="002D45B0">
      <w:pPr>
        <w:pStyle w:val="Text1"/>
        <w:rPr>
          <w:noProof/>
          <w:highlight w:val="lightGray"/>
        </w:rPr>
      </w:pPr>
    </w:p>
    <w:p w:rsidR="005C7768" w:rsidRPr="00E8450A" w:rsidRDefault="006F3F11" w:rsidP="005C7768">
      <w:pPr>
        <w:ind w:left="425"/>
        <w:rPr>
          <w:noProof/>
          <w:highlight w:val="lightGray"/>
        </w:rPr>
      </w:pPr>
      <w:r w:rsidRPr="00E8450A">
        <w:rPr>
          <w:noProof/>
          <w:highlight w:val="lightGray"/>
        </w:rPr>
        <w:t>Zoznam VOC, ktorých meranie sa odporúča:</w:t>
      </w:r>
    </w:p>
    <w:tbl>
      <w:tblPr>
        <w:tblStyle w:val="TableGrid"/>
        <w:tblW w:w="8646" w:type="dxa"/>
        <w:tblInd w:w="534" w:type="dxa"/>
        <w:tblBorders>
          <w:left w:val="none" w:sz="0" w:space="0" w:color="auto"/>
          <w:right w:val="none" w:sz="0" w:space="0" w:color="auto"/>
        </w:tblBorders>
        <w:tblLayout w:type="fixed"/>
        <w:tblLook w:val="04A0" w:firstRow="1" w:lastRow="0" w:firstColumn="1" w:lastColumn="0" w:noHBand="0" w:noVBand="1"/>
      </w:tblPr>
      <w:tblGrid>
        <w:gridCol w:w="1417"/>
        <w:gridCol w:w="2268"/>
        <w:gridCol w:w="2552"/>
        <w:gridCol w:w="1134"/>
        <w:gridCol w:w="1275"/>
      </w:tblGrid>
      <w:tr w:rsidR="005C7768" w:rsidRPr="00E8450A" w:rsidTr="00236AB6">
        <w:trPr>
          <w:trHeight w:val="392"/>
        </w:trPr>
        <w:tc>
          <w:tcPr>
            <w:tcW w:w="1417" w:type="dxa"/>
            <w:vMerge w:val="restart"/>
            <w:vAlign w:val="center"/>
          </w:tcPr>
          <w:p w:rsidR="005C7768" w:rsidRPr="00E8450A" w:rsidRDefault="005C7768" w:rsidP="00236AB6">
            <w:pPr>
              <w:jc w:val="left"/>
              <w:rPr>
                <w:b/>
                <w:noProof/>
                <w:highlight w:val="lightGray"/>
              </w:rPr>
            </w:pPr>
            <w:r w:rsidRPr="00E8450A">
              <w:rPr>
                <w:b/>
                <w:noProof/>
                <w:highlight w:val="lightGray"/>
              </w:rPr>
              <w:t>Skupina chemikálií</w:t>
            </w:r>
          </w:p>
        </w:tc>
        <w:tc>
          <w:tcPr>
            <w:tcW w:w="7229" w:type="dxa"/>
            <w:gridSpan w:val="4"/>
            <w:vAlign w:val="center"/>
          </w:tcPr>
          <w:p w:rsidR="005C7768" w:rsidRPr="00E8450A" w:rsidRDefault="005C7768" w:rsidP="0026263A">
            <w:pPr>
              <w:ind w:left="851" w:hanging="851"/>
              <w:jc w:val="left"/>
              <w:rPr>
                <w:b/>
                <w:noProof/>
                <w:highlight w:val="lightGray"/>
              </w:rPr>
            </w:pPr>
            <w:r w:rsidRPr="00E8450A">
              <w:rPr>
                <w:b/>
                <w:noProof/>
                <w:highlight w:val="lightGray"/>
              </w:rPr>
              <w:t>Látka</w:t>
            </w:r>
          </w:p>
        </w:tc>
      </w:tr>
      <w:tr w:rsidR="005C7768" w:rsidRPr="00E8450A" w:rsidTr="00236AB6">
        <w:trPr>
          <w:trHeight w:val="426"/>
        </w:trPr>
        <w:tc>
          <w:tcPr>
            <w:tcW w:w="1417" w:type="dxa"/>
            <w:vMerge/>
          </w:tcPr>
          <w:p w:rsidR="005C7768" w:rsidRPr="00E8450A" w:rsidRDefault="005C7768" w:rsidP="0026263A">
            <w:pPr>
              <w:ind w:left="851" w:hanging="851"/>
              <w:jc w:val="left"/>
              <w:rPr>
                <w:b/>
                <w:noProof/>
                <w:highlight w:val="lightGray"/>
              </w:rPr>
            </w:pPr>
          </w:p>
        </w:tc>
        <w:tc>
          <w:tcPr>
            <w:tcW w:w="2268" w:type="dxa"/>
            <w:vAlign w:val="center"/>
          </w:tcPr>
          <w:p w:rsidR="005C7768" w:rsidRPr="00E8450A" w:rsidRDefault="005C7768" w:rsidP="0026263A">
            <w:pPr>
              <w:ind w:left="851" w:hanging="851"/>
              <w:jc w:val="left"/>
              <w:rPr>
                <w:b/>
                <w:noProof/>
                <w:highlight w:val="lightGray"/>
              </w:rPr>
            </w:pPr>
            <w:r w:rsidRPr="00E8450A">
              <w:rPr>
                <w:b/>
                <w:noProof/>
                <w:highlight w:val="lightGray"/>
              </w:rPr>
              <w:t>Triviálny názov</w:t>
            </w:r>
          </w:p>
        </w:tc>
        <w:tc>
          <w:tcPr>
            <w:tcW w:w="2552" w:type="dxa"/>
            <w:vAlign w:val="center"/>
          </w:tcPr>
          <w:p w:rsidR="005C7768" w:rsidRPr="00E8450A" w:rsidRDefault="005C7768" w:rsidP="0026263A">
            <w:pPr>
              <w:jc w:val="left"/>
              <w:rPr>
                <w:b/>
                <w:noProof/>
                <w:highlight w:val="lightGray"/>
              </w:rPr>
            </w:pPr>
            <w:r w:rsidRPr="00E8450A">
              <w:rPr>
                <w:b/>
                <w:noProof/>
                <w:highlight w:val="lightGray"/>
              </w:rPr>
              <w:t>Názov IUPAC</w:t>
            </w:r>
          </w:p>
        </w:tc>
        <w:tc>
          <w:tcPr>
            <w:tcW w:w="1134" w:type="dxa"/>
            <w:vAlign w:val="center"/>
          </w:tcPr>
          <w:p w:rsidR="005C7768" w:rsidRPr="00E8450A" w:rsidRDefault="005C7768" w:rsidP="0026263A">
            <w:pPr>
              <w:ind w:left="851" w:hanging="851"/>
              <w:jc w:val="left"/>
              <w:rPr>
                <w:b/>
                <w:noProof/>
                <w:highlight w:val="lightGray"/>
              </w:rPr>
            </w:pPr>
            <w:r w:rsidRPr="00E8450A">
              <w:rPr>
                <w:b/>
                <w:noProof/>
                <w:highlight w:val="lightGray"/>
              </w:rPr>
              <w:t>Vzorec</w:t>
            </w:r>
          </w:p>
        </w:tc>
        <w:tc>
          <w:tcPr>
            <w:tcW w:w="1275" w:type="dxa"/>
            <w:vAlign w:val="center"/>
          </w:tcPr>
          <w:p w:rsidR="005C7768" w:rsidRPr="00E8450A" w:rsidRDefault="005C7768" w:rsidP="0026263A">
            <w:pPr>
              <w:jc w:val="left"/>
              <w:rPr>
                <w:b/>
                <w:noProof/>
                <w:highlight w:val="lightGray"/>
              </w:rPr>
            </w:pPr>
            <w:r w:rsidRPr="00E8450A">
              <w:rPr>
                <w:b/>
                <w:noProof/>
                <w:highlight w:val="lightGray"/>
              </w:rPr>
              <w:t>CAS číslo</w:t>
            </w:r>
          </w:p>
        </w:tc>
      </w:tr>
      <w:tr w:rsidR="005C7768" w:rsidRPr="00E8450A" w:rsidTr="00236AB6">
        <w:tc>
          <w:tcPr>
            <w:tcW w:w="1417" w:type="dxa"/>
            <w:vMerge w:val="restart"/>
            <w:vAlign w:val="center"/>
          </w:tcPr>
          <w:p w:rsidR="005C7768" w:rsidRPr="00E8450A" w:rsidRDefault="005C7768" w:rsidP="00236AB6">
            <w:pPr>
              <w:jc w:val="left"/>
              <w:rPr>
                <w:noProof/>
                <w:sz w:val="20"/>
                <w:highlight w:val="lightGray"/>
              </w:rPr>
            </w:pPr>
            <w:r w:rsidRPr="00E8450A">
              <w:rPr>
                <w:noProof/>
                <w:sz w:val="20"/>
                <w:highlight w:val="lightGray"/>
              </w:rPr>
              <w:t>Alkoholy</w:t>
            </w:r>
          </w:p>
        </w:tc>
        <w:tc>
          <w:tcPr>
            <w:tcW w:w="2268" w:type="dxa"/>
            <w:vAlign w:val="center"/>
          </w:tcPr>
          <w:p w:rsidR="005C7768" w:rsidRPr="00E8450A" w:rsidRDefault="005C7768" w:rsidP="0026263A">
            <w:pPr>
              <w:ind w:left="851" w:hanging="851"/>
              <w:jc w:val="left"/>
              <w:rPr>
                <w:noProof/>
                <w:sz w:val="20"/>
                <w:highlight w:val="lightGray"/>
              </w:rPr>
            </w:pPr>
            <w:r w:rsidRPr="00E8450A">
              <w:rPr>
                <w:noProof/>
                <w:sz w:val="20"/>
                <w:highlight w:val="lightGray"/>
              </w:rPr>
              <w:t>metanol</w:t>
            </w:r>
          </w:p>
        </w:tc>
        <w:tc>
          <w:tcPr>
            <w:tcW w:w="2552" w:type="dxa"/>
          </w:tcPr>
          <w:p w:rsidR="005C7768" w:rsidRPr="00E8450A" w:rsidRDefault="005C7768" w:rsidP="0026263A">
            <w:pPr>
              <w:jc w:val="left"/>
              <w:rPr>
                <w:noProof/>
                <w:sz w:val="20"/>
                <w:highlight w:val="lightGray"/>
              </w:rPr>
            </w:pPr>
            <w:r w:rsidRPr="00E8450A">
              <w:rPr>
                <w:noProof/>
                <w:sz w:val="20"/>
                <w:highlight w:val="lightGray"/>
              </w:rPr>
              <w:t>metanol</w:t>
            </w:r>
          </w:p>
        </w:tc>
        <w:tc>
          <w:tcPr>
            <w:tcW w:w="1134" w:type="dxa"/>
          </w:tcPr>
          <w:p w:rsidR="005C7768" w:rsidRPr="00E8450A" w:rsidRDefault="005C7768" w:rsidP="0026263A">
            <w:pPr>
              <w:ind w:left="851" w:hanging="851"/>
              <w:jc w:val="left"/>
              <w:rPr>
                <w:noProof/>
                <w:sz w:val="20"/>
                <w:highlight w:val="lightGray"/>
              </w:rPr>
            </w:pPr>
            <w:r w:rsidRPr="00E8450A">
              <w:rPr>
                <w:noProof/>
                <w:sz w:val="20"/>
                <w:highlight w:val="lightGray"/>
              </w:rPr>
              <w:t>CH</w:t>
            </w:r>
            <w:r w:rsidRPr="00E8450A">
              <w:rPr>
                <w:noProof/>
                <w:sz w:val="20"/>
                <w:highlight w:val="lightGray"/>
                <w:vertAlign w:val="subscript"/>
              </w:rPr>
              <w:t>4</w:t>
            </w:r>
            <w:r w:rsidRPr="00E8450A">
              <w:rPr>
                <w:noProof/>
                <w:sz w:val="20"/>
                <w:highlight w:val="lightGray"/>
              </w:rPr>
              <w:t>O</w:t>
            </w:r>
          </w:p>
        </w:tc>
        <w:tc>
          <w:tcPr>
            <w:tcW w:w="1275" w:type="dxa"/>
            <w:vAlign w:val="center"/>
          </w:tcPr>
          <w:p w:rsidR="005C7768" w:rsidRPr="00E8450A" w:rsidRDefault="005C7768" w:rsidP="0026263A">
            <w:pPr>
              <w:ind w:left="851" w:hanging="851"/>
              <w:jc w:val="left"/>
              <w:rPr>
                <w:noProof/>
                <w:sz w:val="20"/>
                <w:highlight w:val="lightGray"/>
              </w:rPr>
            </w:pPr>
            <w:r w:rsidRPr="00E8450A">
              <w:rPr>
                <w:noProof/>
                <w:sz w:val="20"/>
                <w:highlight w:val="lightGray"/>
              </w:rPr>
              <w:t>67-56-1</w:t>
            </w:r>
          </w:p>
        </w:tc>
      </w:tr>
      <w:tr w:rsidR="005C7768" w:rsidRPr="00E8450A" w:rsidTr="00236AB6">
        <w:tc>
          <w:tcPr>
            <w:tcW w:w="1417" w:type="dxa"/>
            <w:vMerge/>
            <w:vAlign w:val="center"/>
          </w:tcPr>
          <w:p w:rsidR="005C7768" w:rsidRPr="00E8450A" w:rsidRDefault="005C7768" w:rsidP="0026263A">
            <w:pPr>
              <w:ind w:left="851" w:hanging="851"/>
              <w:jc w:val="left"/>
              <w:rPr>
                <w:noProof/>
                <w:sz w:val="20"/>
                <w:highlight w:val="lightGray"/>
              </w:rPr>
            </w:pPr>
          </w:p>
        </w:tc>
        <w:tc>
          <w:tcPr>
            <w:tcW w:w="2268" w:type="dxa"/>
            <w:vAlign w:val="center"/>
          </w:tcPr>
          <w:p w:rsidR="005C7768" w:rsidRPr="00E8450A" w:rsidRDefault="005C7768" w:rsidP="0026263A">
            <w:pPr>
              <w:ind w:left="851" w:hanging="851"/>
              <w:jc w:val="left"/>
              <w:rPr>
                <w:noProof/>
                <w:sz w:val="20"/>
                <w:highlight w:val="lightGray"/>
              </w:rPr>
            </w:pPr>
            <w:r w:rsidRPr="00E8450A">
              <w:rPr>
                <w:noProof/>
                <w:sz w:val="20"/>
                <w:highlight w:val="lightGray"/>
              </w:rPr>
              <w:t>etanol</w:t>
            </w:r>
          </w:p>
        </w:tc>
        <w:tc>
          <w:tcPr>
            <w:tcW w:w="2552" w:type="dxa"/>
          </w:tcPr>
          <w:p w:rsidR="005C7768" w:rsidRPr="00E8450A" w:rsidRDefault="005C7768" w:rsidP="0026263A">
            <w:pPr>
              <w:jc w:val="left"/>
              <w:rPr>
                <w:noProof/>
                <w:sz w:val="20"/>
                <w:highlight w:val="lightGray"/>
              </w:rPr>
            </w:pPr>
            <w:r w:rsidRPr="00E8450A">
              <w:rPr>
                <w:noProof/>
                <w:sz w:val="20"/>
                <w:highlight w:val="lightGray"/>
              </w:rPr>
              <w:t>etanol</w:t>
            </w:r>
          </w:p>
        </w:tc>
        <w:tc>
          <w:tcPr>
            <w:tcW w:w="1134" w:type="dxa"/>
          </w:tcPr>
          <w:p w:rsidR="005C7768" w:rsidRPr="00E8450A" w:rsidRDefault="005C7768" w:rsidP="0026263A">
            <w:pPr>
              <w:ind w:left="851" w:hanging="851"/>
              <w:jc w:val="left"/>
              <w:rPr>
                <w:noProof/>
                <w:sz w:val="20"/>
                <w:highlight w:val="lightGray"/>
              </w:rPr>
            </w:pPr>
            <w:r w:rsidRPr="00E8450A">
              <w:rPr>
                <w:noProof/>
                <w:sz w:val="20"/>
                <w:highlight w:val="lightGray"/>
              </w:rPr>
              <w:t>C</w:t>
            </w:r>
            <w:r w:rsidRPr="00E8450A">
              <w:rPr>
                <w:noProof/>
                <w:sz w:val="20"/>
                <w:highlight w:val="lightGray"/>
                <w:vertAlign w:val="subscript"/>
              </w:rPr>
              <w:t>2</w:t>
            </w:r>
            <w:r w:rsidRPr="00E8450A">
              <w:rPr>
                <w:noProof/>
                <w:sz w:val="20"/>
                <w:highlight w:val="lightGray"/>
              </w:rPr>
              <w:t>H</w:t>
            </w:r>
            <w:r w:rsidRPr="00E8450A">
              <w:rPr>
                <w:noProof/>
                <w:sz w:val="20"/>
                <w:highlight w:val="lightGray"/>
                <w:vertAlign w:val="subscript"/>
              </w:rPr>
              <w:t>6</w:t>
            </w:r>
            <w:r w:rsidRPr="00E8450A">
              <w:rPr>
                <w:noProof/>
                <w:sz w:val="20"/>
                <w:highlight w:val="lightGray"/>
              </w:rPr>
              <w:t>O</w:t>
            </w:r>
          </w:p>
        </w:tc>
        <w:tc>
          <w:tcPr>
            <w:tcW w:w="1275" w:type="dxa"/>
            <w:vAlign w:val="center"/>
          </w:tcPr>
          <w:p w:rsidR="005C7768" w:rsidRPr="00E8450A" w:rsidRDefault="005C7768" w:rsidP="0026263A">
            <w:pPr>
              <w:ind w:left="851" w:hanging="851"/>
              <w:jc w:val="left"/>
              <w:rPr>
                <w:noProof/>
                <w:sz w:val="20"/>
                <w:highlight w:val="lightGray"/>
              </w:rPr>
            </w:pPr>
            <w:r w:rsidRPr="00E8450A">
              <w:rPr>
                <w:noProof/>
                <w:sz w:val="20"/>
                <w:highlight w:val="lightGray"/>
              </w:rPr>
              <w:t>64-17-5</w:t>
            </w:r>
          </w:p>
        </w:tc>
      </w:tr>
      <w:tr w:rsidR="005C7768" w:rsidRPr="00E8450A" w:rsidTr="00236AB6">
        <w:tc>
          <w:tcPr>
            <w:tcW w:w="1417" w:type="dxa"/>
            <w:vMerge w:val="restart"/>
            <w:vAlign w:val="center"/>
          </w:tcPr>
          <w:p w:rsidR="005C7768" w:rsidRPr="00E8450A" w:rsidRDefault="005C7768" w:rsidP="0026263A">
            <w:pPr>
              <w:ind w:left="851" w:hanging="851"/>
              <w:jc w:val="left"/>
              <w:rPr>
                <w:noProof/>
                <w:sz w:val="20"/>
                <w:highlight w:val="lightGray"/>
              </w:rPr>
            </w:pPr>
            <w:r w:rsidRPr="00E8450A">
              <w:rPr>
                <w:noProof/>
                <w:sz w:val="20"/>
                <w:highlight w:val="lightGray"/>
              </w:rPr>
              <w:t>Aldehydy</w:t>
            </w:r>
          </w:p>
        </w:tc>
        <w:tc>
          <w:tcPr>
            <w:tcW w:w="2268" w:type="dxa"/>
            <w:vAlign w:val="center"/>
          </w:tcPr>
          <w:p w:rsidR="005C7768" w:rsidRPr="00E8450A" w:rsidRDefault="005C7768" w:rsidP="0026263A">
            <w:pPr>
              <w:ind w:left="851" w:hanging="851"/>
              <w:jc w:val="left"/>
              <w:rPr>
                <w:noProof/>
                <w:sz w:val="20"/>
                <w:highlight w:val="lightGray"/>
              </w:rPr>
            </w:pPr>
            <w:r w:rsidRPr="00E8450A">
              <w:rPr>
                <w:noProof/>
                <w:sz w:val="20"/>
                <w:highlight w:val="lightGray"/>
              </w:rPr>
              <w:t>formaldehyd</w:t>
            </w:r>
          </w:p>
        </w:tc>
        <w:tc>
          <w:tcPr>
            <w:tcW w:w="2552" w:type="dxa"/>
          </w:tcPr>
          <w:p w:rsidR="005C7768" w:rsidRPr="00E8450A" w:rsidRDefault="005C7768" w:rsidP="0026263A">
            <w:pPr>
              <w:jc w:val="left"/>
              <w:rPr>
                <w:noProof/>
                <w:sz w:val="20"/>
                <w:highlight w:val="lightGray"/>
              </w:rPr>
            </w:pPr>
            <w:r w:rsidRPr="00E8450A">
              <w:rPr>
                <w:noProof/>
                <w:sz w:val="20"/>
                <w:highlight w:val="lightGray"/>
              </w:rPr>
              <w:t>metanál</w:t>
            </w:r>
          </w:p>
        </w:tc>
        <w:tc>
          <w:tcPr>
            <w:tcW w:w="1134" w:type="dxa"/>
          </w:tcPr>
          <w:p w:rsidR="005C7768" w:rsidRPr="00E8450A" w:rsidRDefault="005C7768" w:rsidP="0026263A">
            <w:pPr>
              <w:ind w:left="851" w:hanging="851"/>
              <w:jc w:val="left"/>
              <w:rPr>
                <w:noProof/>
                <w:sz w:val="20"/>
                <w:highlight w:val="lightGray"/>
              </w:rPr>
            </w:pPr>
            <w:r w:rsidRPr="00E8450A">
              <w:rPr>
                <w:noProof/>
                <w:sz w:val="20"/>
                <w:highlight w:val="lightGray"/>
              </w:rPr>
              <w:t>CH</w:t>
            </w:r>
            <w:r w:rsidRPr="00E8450A">
              <w:rPr>
                <w:noProof/>
                <w:sz w:val="20"/>
                <w:highlight w:val="lightGray"/>
                <w:vertAlign w:val="subscript"/>
              </w:rPr>
              <w:t>2</w:t>
            </w:r>
            <w:r w:rsidRPr="00E8450A">
              <w:rPr>
                <w:noProof/>
                <w:sz w:val="20"/>
                <w:highlight w:val="lightGray"/>
              </w:rPr>
              <w:t>O</w:t>
            </w:r>
          </w:p>
        </w:tc>
        <w:tc>
          <w:tcPr>
            <w:tcW w:w="1275" w:type="dxa"/>
            <w:vAlign w:val="center"/>
          </w:tcPr>
          <w:p w:rsidR="005C7768" w:rsidRPr="00E8450A" w:rsidRDefault="005C7768" w:rsidP="0026263A">
            <w:pPr>
              <w:ind w:left="851" w:hanging="851"/>
              <w:jc w:val="left"/>
              <w:rPr>
                <w:noProof/>
                <w:sz w:val="20"/>
                <w:highlight w:val="lightGray"/>
              </w:rPr>
            </w:pPr>
            <w:r w:rsidRPr="00E8450A">
              <w:rPr>
                <w:noProof/>
                <w:sz w:val="20"/>
                <w:highlight w:val="lightGray"/>
              </w:rPr>
              <w:t>50-00-0</w:t>
            </w:r>
          </w:p>
        </w:tc>
      </w:tr>
      <w:tr w:rsidR="005C7768" w:rsidRPr="00E8450A" w:rsidTr="00236AB6">
        <w:tc>
          <w:tcPr>
            <w:tcW w:w="1417" w:type="dxa"/>
            <w:vMerge/>
          </w:tcPr>
          <w:p w:rsidR="005C7768" w:rsidRPr="00E8450A" w:rsidRDefault="005C7768" w:rsidP="0026263A">
            <w:pPr>
              <w:ind w:left="851" w:hanging="851"/>
              <w:jc w:val="left"/>
              <w:rPr>
                <w:noProof/>
                <w:sz w:val="20"/>
                <w:highlight w:val="lightGray"/>
              </w:rPr>
            </w:pPr>
          </w:p>
        </w:tc>
        <w:tc>
          <w:tcPr>
            <w:tcW w:w="2268" w:type="dxa"/>
            <w:vAlign w:val="center"/>
          </w:tcPr>
          <w:p w:rsidR="005C7768" w:rsidRPr="00E8450A" w:rsidRDefault="005C7768" w:rsidP="0026263A">
            <w:pPr>
              <w:ind w:left="851" w:hanging="851"/>
              <w:jc w:val="left"/>
              <w:rPr>
                <w:noProof/>
                <w:sz w:val="20"/>
                <w:highlight w:val="lightGray"/>
              </w:rPr>
            </w:pPr>
            <w:r w:rsidRPr="00E8450A">
              <w:rPr>
                <w:noProof/>
                <w:sz w:val="20"/>
                <w:highlight w:val="lightGray"/>
              </w:rPr>
              <w:t>acetaldehyd</w:t>
            </w:r>
          </w:p>
        </w:tc>
        <w:tc>
          <w:tcPr>
            <w:tcW w:w="2552" w:type="dxa"/>
          </w:tcPr>
          <w:p w:rsidR="005C7768" w:rsidRPr="00E8450A" w:rsidRDefault="005C7768" w:rsidP="0026263A">
            <w:pPr>
              <w:jc w:val="left"/>
              <w:rPr>
                <w:noProof/>
                <w:sz w:val="20"/>
                <w:highlight w:val="lightGray"/>
              </w:rPr>
            </w:pPr>
            <w:r w:rsidRPr="00E8450A">
              <w:rPr>
                <w:noProof/>
                <w:sz w:val="20"/>
                <w:highlight w:val="lightGray"/>
              </w:rPr>
              <w:t>etanál</w:t>
            </w:r>
          </w:p>
        </w:tc>
        <w:tc>
          <w:tcPr>
            <w:tcW w:w="1134" w:type="dxa"/>
          </w:tcPr>
          <w:p w:rsidR="005C7768" w:rsidRPr="00E8450A" w:rsidRDefault="005C7768" w:rsidP="0026263A">
            <w:pPr>
              <w:ind w:left="851" w:hanging="851"/>
              <w:jc w:val="left"/>
              <w:rPr>
                <w:noProof/>
                <w:sz w:val="20"/>
                <w:highlight w:val="lightGray"/>
              </w:rPr>
            </w:pPr>
            <w:r w:rsidRPr="00E8450A">
              <w:rPr>
                <w:noProof/>
                <w:sz w:val="20"/>
                <w:highlight w:val="lightGray"/>
              </w:rPr>
              <w:t>C</w:t>
            </w:r>
            <w:r w:rsidRPr="00E8450A">
              <w:rPr>
                <w:noProof/>
                <w:sz w:val="20"/>
                <w:highlight w:val="lightGray"/>
                <w:vertAlign w:val="subscript"/>
              </w:rPr>
              <w:t>2</w:t>
            </w:r>
            <w:r w:rsidRPr="00E8450A">
              <w:rPr>
                <w:noProof/>
                <w:sz w:val="20"/>
                <w:highlight w:val="lightGray"/>
              </w:rPr>
              <w:t>H</w:t>
            </w:r>
            <w:r w:rsidRPr="00E8450A">
              <w:rPr>
                <w:noProof/>
                <w:sz w:val="20"/>
                <w:highlight w:val="lightGray"/>
                <w:vertAlign w:val="subscript"/>
              </w:rPr>
              <w:t>4</w:t>
            </w:r>
            <w:r w:rsidRPr="00E8450A">
              <w:rPr>
                <w:noProof/>
                <w:sz w:val="20"/>
                <w:highlight w:val="lightGray"/>
              </w:rPr>
              <w:t>O</w:t>
            </w:r>
          </w:p>
        </w:tc>
        <w:tc>
          <w:tcPr>
            <w:tcW w:w="1275" w:type="dxa"/>
            <w:vAlign w:val="center"/>
          </w:tcPr>
          <w:p w:rsidR="005C7768" w:rsidRPr="00E8450A" w:rsidRDefault="005C7768" w:rsidP="0026263A">
            <w:pPr>
              <w:ind w:left="851" w:hanging="851"/>
              <w:jc w:val="left"/>
              <w:rPr>
                <w:noProof/>
                <w:sz w:val="20"/>
                <w:highlight w:val="lightGray"/>
              </w:rPr>
            </w:pPr>
            <w:r w:rsidRPr="00E8450A">
              <w:rPr>
                <w:noProof/>
                <w:sz w:val="20"/>
                <w:highlight w:val="lightGray"/>
              </w:rPr>
              <w:t>75-07-0</w:t>
            </w:r>
          </w:p>
        </w:tc>
      </w:tr>
      <w:tr w:rsidR="005C7768" w:rsidRPr="00E8450A" w:rsidTr="00236AB6">
        <w:tc>
          <w:tcPr>
            <w:tcW w:w="1417" w:type="dxa"/>
            <w:vMerge/>
          </w:tcPr>
          <w:p w:rsidR="005C7768" w:rsidRPr="00E8450A" w:rsidRDefault="005C7768" w:rsidP="0026263A">
            <w:pPr>
              <w:ind w:left="851" w:hanging="851"/>
              <w:jc w:val="left"/>
              <w:rPr>
                <w:noProof/>
                <w:sz w:val="20"/>
                <w:highlight w:val="lightGray"/>
              </w:rPr>
            </w:pPr>
          </w:p>
        </w:tc>
        <w:tc>
          <w:tcPr>
            <w:tcW w:w="2268" w:type="dxa"/>
            <w:vAlign w:val="center"/>
          </w:tcPr>
          <w:p w:rsidR="005C7768" w:rsidRPr="00E8450A" w:rsidRDefault="005C7768" w:rsidP="0026263A">
            <w:pPr>
              <w:ind w:left="851" w:hanging="851"/>
              <w:jc w:val="left"/>
              <w:rPr>
                <w:noProof/>
                <w:sz w:val="20"/>
                <w:highlight w:val="lightGray"/>
              </w:rPr>
            </w:pPr>
            <w:r w:rsidRPr="00E8450A">
              <w:rPr>
                <w:noProof/>
                <w:sz w:val="20"/>
                <w:highlight w:val="lightGray"/>
              </w:rPr>
              <w:t>metakroleín</w:t>
            </w:r>
          </w:p>
        </w:tc>
        <w:tc>
          <w:tcPr>
            <w:tcW w:w="2552" w:type="dxa"/>
          </w:tcPr>
          <w:p w:rsidR="005C7768" w:rsidRPr="00E8450A" w:rsidRDefault="005C7768" w:rsidP="0026263A">
            <w:pPr>
              <w:jc w:val="left"/>
              <w:rPr>
                <w:noProof/>
                <w:sz w:val="20"/>
                <w:highlight w:val="lightGray"/>
              </w:rPr>
            </w:pPr>
            <w:r w:rsidRPr="00E8450A">
              <w:rPr>
                <w:noProof/>
                <w:sz w:val="20"/>
                <w:highlight w:val="lightGray"/>
              </w:rPr>
              <w:t>2-metylprop-2-enál</w:t>
            </w:r>
          </w:p>
        </w:tc>
        <w:tc>
          <w:tcPr>
            <w:tcW w:w="1134" w:type="dxa"/>
          </w:tcPr>
          <w:p w:rsidR="005C7768" w:rsidRPr="00E8450A" w:rsidRDefault="005C7768" w:rsidP="0026263A">
            <w:pPr>
              <w:ind w:left="851" w:hanging="851"/>
              <w:jc w:val="left"/>
              <w:rPr>
                <w:noProof/>
                <w:sz w:val="20"/>
                <w:highlight w:val="lightGray"/>
              </w:rPr>
            </w:pPr>
            <w:r w:rsidRPr="00E8450A">
              <w:rPr>
                <w:noProof/>
                <w:sz w:val="20"/>
                <w:highlight w:val="lightGray"/>
              </w:rPr>
              <w:t>C</w:t>
            </w:r>
            <w:r w:rsidRPr="00E8450A">
              <w:rPr>
                <w:noProof/>
                <w:sz w:val="20"/>
                <w:highlight w:val="lightGray"/>
                <w:vertAlign w:val="subscript"/>
              </w:rPr>
              <w:t>4</w:t>
            </w:r>
            <w:r w:rsidRPr="00E8450A">
              <w:rPr>
                <w:noProof/>
                <w:sz w:val="20"/>
                <w:highlight w:val="lightGray"/>
              </w:rPr>
              <w:t>H</w:t>
            </w:r>
            <w:r w:rsidRPr="00E8450A">
              <w:rPr>
                <w:noProof/>
                <w:sz w:val="20"/>
                <w:highlight w:val="lightGray"/>
                <w:vertAlign w:val="subscript"/>
              </w:rPr>
              <w:t>6</w:t>
            </w:r>
            <w:r w:rsidRPr="00E8450A">
              <w:rPr>
                <w:noProof/>
                <w:sz w:val="20"/>
                <w:highlight w:val="lightGray"/>
              </w:rPr>
              <w:t>O</w:t>
            </w:r>
          </w:p>
        </w:tc>
        <w:tc>
          <w:tcPr>
            <w:tcW w:w="1275" w:type="dxa"/>
            <w:vAlign w:val="center"/>
          </w:tcPr>
          <w:p w:rsidR="005C7768" w:rsidRPr="00E8450A" w:rsidRDefault="005C7768" w:rsidP="0026263A">
            <w:pPr>
              <w:ind w:left="851" w:hanging="851"/>
              <w:jc w:val="left"/>
              <w:rPr>
                <w:noProof/>
                <w:sz w:val="20"/>
                <w:highlight w:val="lightGray"/>
              </w:rPr>
            </w:pPr>
            <w:r w:rsidRPr="00E8450A">
              <w:rPr>
                <w:noProof/>
                <w:sz w:val="20"/>
                <w:highlight w:val="lightGray"/>
              </w:rPr>
              <w:t>78-85-3</w:t>
            </w:r>
          </w:p>
        </w:tc>
      </w:tr>
      <w:tr w:rsidR="005C7768" w:rsidRPr="00E8450A" w:rsidTr="00236AB6">
        <w:tc>
          <w:tcPr>
            <w:tcW w:w="1417" w:type="dxa"/>
          </w:tcPr>
          <w:p w:rsidR="005C7768" w:rsidRPr="00E8450A" w:rsidRDefault="005C7768" w:rsidP="0026263A">
            <w:pPr>
              <w:ind w:left="851" w:hanging="851"/>
              <w:jc w:val="left"/>
              <w:rPr>
                <w:noProof/>
                <w:sz w:val="20"/>
                <w:highlight w:val="lightGray"/>
              </w:rPr>
            </w:pPr>
            <w:r w:rsidRPr="00E8450A">
              <w:rPr>
                <w:noProof/>
                <w:sz w:val="20"/>
                <w:highlight w:val="lightGray"/>
              </w:rPr>
              <w:t>Alkíny</w:t>
            </w:r>
          </w:p>
        </w:tc>
        <w:tc>
          <w:tcPr>
            <w:tcW w:w="2268" w:type="dxa"/>
            <w:vAlign w:val="center"/>
          </w:tcPr>
          <w:p w:rsidR="005C7768" w:rsidRPr="00E8450A" w:rsidRDefault="005C7768" w:rsidP="0026263A">
            <w:pPr>
              <w:ind w:left="851" w:hanging="851"/>
              <w:jc w:val="left"/>
              <w:rPr>
                <w:noProof/>
                <w:sz w:val="20"/>
                <w:highlight w:val="lightGray"/>
              </w:rPr>
            </w:pPr>
            <w:r w:rsidRPr="00E8450A">
              <w:rPr>
                <w:noProof/>
                <w:sz w:val="20"/>
                <w:highlight w:val="lightGray"/>
              </w:rPr>
              <w:t>acetylén</w:t>
            </w:r>
          </w:p>
        </w:tc>
        <w:tc>
          <w:tcPr>
            <w:tcW w:w="2552" w:type="dxa"/>
          </w:tcPr>
          <w:p w:rsidR="005C7768" w:rsidRPr="00E8450A" w:rsidRDefault="005C7768" w:rsidP="0026263A">
            <w:pPr>
              <w:jc w:val="left"/>
              <w:rPr>
                <w:noProof/>
                <w:sz w:val="20"/>
                <w:highlight w:val="lightGray"/>
              </w:rPr>
            </w:pPr>
            <w:r w:rsidRPr="00E8450A">
              <w:rPr>
                <w:noProof/>
                <w:sz w:val="20"/>
                <w:highlight w:val="lightGray"/>
              </w:rPr>
              <w:t>etín</w:t>
            </w:r>
          </w:p>
        </w:tc>
        <w:tc>
          <w:tcPr>
            <w:tcW w:w="1134" w:type="dxa"/>
          </w:tcPr>
          <w:p w:rsidR="005C7768" w:rsidRPr="00E8450A" w:rsidRDefault="005C7768" w:rsidP="0026263A">
            <w:pPr>
              <w:ind w:left="851" w:hanging="851"/>
              <w:jc w:val="left"/>
              <w:rPr>
                <w:noProof/>
                <w:sz w:val="20"/>
                <w:highlight w:val="lightGray"/>
              </w:rPr>
            </w:pPr>
            <w:r w:rsidRPr="00E8450A">
              <w:rPr>
                <w:noProof/>
                <w:sz w:val="20"/>
                <w:highlight w:val="lightGray"/>
              </w:rPr>
              <w:t>C</w:t>
            </w:r>
            <w:r w:rsidRPr="00E8450A">
              <w:rPr>
                <w:noProof/>
                <w:sz w:val="20"/>
                <w:highlight w:val="lightGray"/>
                <w:vertAlign w:val="subscript"/>
              </w:rPr>
              <w:t>2</w:t>
            </w:r>
            <w:r w:rsidRPr="00E8450A">
              <w:rPr>
                <w:noProof/>
                <w:sz w:val="20"/>
                <w:highlight w:val="lightGray"/>
              </w:rPr>
              <w:t>H</w:t>
            </w:r>
            <w:r w:rsidRPr="00E8450A">
              <w:rPr>
                <w:noProof/>
                <w:sz w:val="20"/>
                <w:highlight w:val="lightGray"/>
                <w:vertAlign w:val="subscript"/>
              </w:rPr>
              <w:t>2</w:t>
            </w:r>
          </w:p>
        </w:tc>
        <w:tc>
          <w:tcPr>
            <w:tcW w:w="1275" w:type="dxa"/>
            <w:vAlign w:val="center"/>
          </w:tcPr>
          <w:p w:rsidR="005C7768" w:rsidRPr="00E8450A" w:rsidRDefault="005C7768" w:rsidP="0026263A">
            <w:pPr>
              <w:ind w:left="851" w:hanging="851"/>
              <w:jc w:val="left"/>
              <w:rPr>
                <w:noProof/>
                <w:sz w:val="20"/>
                <w:highlight w:val="lightGray"/>
              </w:rPr>
            </w:pPr>
            <w:r w:rsidRPr="00E8450A">
              <w:rPr>
                <w:noProof/>
                <w:sz w:val="20"/>
                <w:highlight w:val="lightGray"/>
              </w:rPr>
              <w:t>74-86-2</w:t>
            </w:r>
          </w:p>
        </w:tc>
      </w:tr>
      <w:tr w:rsidR="005C7768" w:rsidRPr="00E8450A" w:rsidTr="00236AB6">
        <w:tc>
          <w:tcPr>
            <w:tcW w:w="1417" w:type="dxa"/>
            <w:vMerge w:val="restart"/>
            <w:vAlign w:val="center"/>
          </w:tcPr>
          <w:p w:rsidR="005C7768" w:rsidRPr="00E8450A" w:rsidRDefault="005C7768" w:rsidP="0026263A">
            <w:pPr>
              <w:ind w:left="851" w:hanging="851"/>
              <w:jc w:val="left"/>
              <w:rPr>
                <w:noProof/>
                <w:sz w:val="20"/>
                <w:highlight w:val="lightGray"/>
              </w:rPr>
            </w:pPr>
            <w:r w:rsidRPr="00E8450A">
              <w:rPr>
                <w:noProof/>
                <w:sz w:val="20"/>
                <w:highlight w:val="lightGray"/>
              </w:rPr>
              <w:t>Alkány</w:t>
            </w:r>
          </w:p>
        </w:tc>
        <w:tc>
          <w:tcPr>
            <w:tcW w:w="2268" w:type="dxa"/>
            <w:vAlign w:val="center"/>
          </w:tcPr>
          <w:p w:rsidR="005C7768" w:rsidRPr="00E8450A" w:rsidRDefault="005C7768" w:rsidP="0026263A">
            <w:pPr>
              <w:ind w:left="851" w:hanging="851"/>
              <w:jc w:val="left"/>
              <w:rPr>
                <w:noProof/>
                <w:sz w:val="20"/>
                <w:highlight w:val="lightGray"/>
              </w:rPr>
            </w:pPr>
            <w:r w:rsidRPr="00E8450A">
              <w:rPr>
                <w:noProof/>
                <w:sz w:val="20"/>
                <w:highlight w:val="lightGray"/>
              </w:rPr>
              <w:t>etán</w:t>
            </w:r>
          </w:p>
        </w:tc>
        <w:tc>
          <w:tcPr>
            <w:tcW w:w="2552" w:type="dxa"/>
          </w:tcPr>
          <w:p w:rsidR="005C7768" w:rsidRPr="00E8450A" w:rsidRDefault="005C7768" w:rsidP="0026263A">
            <w:pPr>
              <w:jc w:val="left"/>
              <w:rPr>
                <w:noProof/>
                <w:sz w:val="20"/>
                <w:highlight w:val="lightGray"/>
              </w:rPr>
            </w:pPr>
            <w:r w:rsidRPr="00E8450A">
              <w:rPr>
                <w:noProof/>
                <w:sz w:val="20"/>
                <w:highlight w:val="lightGray"/>
              </w:rPr>
              <w:t>etán</w:t>
            </w:r>
          </w:p>
        </w:tc>
        <w:tc>
          <w:tcPr>
            <w:tcW w:w="1134" w:type="dxa"/>
          </w:tcPr>
          <w:p w:rsidR="005C7768" w:rsidRPr="00E8450A" w:rsidRDefault="005C7768" w:rsidP="0026263A">
            <w:pPr>
              <w:ind w:left="851" w:hanging="851"/>
              <w:jc w:val="left"/>
              <w:rPr>
                <w:noProof/>
                <w:sz w:val="20"/>
                <w:highlight w:val="lightGray"/>
              </w:rPr>
            </w:pPr>
            <w:r w:rsidRPr="00E8450A">
              <w:rPr>
                <w:noProof/>
                <w:sz w:val="20"/>
                <w:highlight w:val="lightGray"/>
              </w:rPr>
              <w:t>C</w:t>
            </w:r>
            <w:r w:rsidRPr="00E8450A">
              <w:rPr>
                <w:noProof/>
                <w:sz w:val="20"/>
                <w:highlight w:val="lightGray"/>
                <w:vertAlign w:val="subscript"/>
              </w:rPr>
              <w:t>2</w:t>
            </w:r>
            <w:r w:rsidRPr="00E8450A">
              <w:rPr>
                <w:noProof/>
                <w:sz w:val="20"/>
                <w:highlight w:val="lightGray"/>
              </w:rPr>
              <w:t>H</w:t>
            </w:r>
            <w:r w:rsidRPr="00E8450A">
              <w:rPr>
                <w:noProof/>
                <w:sz w:val="20"/>
                <w:highlight w:val="lightGray"/>
                <w:vertAlign w:val="subscript"/>
              </w:rPr>
              <w:t>6</w:t>
            </w:r>
          </w:p>
        </w:tc>
        <w:tc>
          <w:tcPr>
            <w:tcW w:w="1275" w:type="dxa"/>
            <w:vAlign w:val="center"/>
          </w:tcPr>
          <w:p w:rsidR="005C7768" w:rsidRPr="00E8450A" w:rsidRDefault="005C7768" w:rsidP="0026263A">
            <w:pPr>
              <w:ind w:left="851" w:hanging="851"/>
              <w:jc w:val="left"/>
              <w:rPr>
                <w:noProof/>
                <w:sz w:val="20"/>
                <w:highlight w:val="lightGray"/>
              </w:rPr>
            </w:pPr>
            <w:r w:rsidRPr="00E8450A">
              <w:rPr>
                <w:noProof/>
                <w:sz w:val="20"/>
                <w:highlight w:val="lightGray"/>
              </w:rPr>
              <w:t>74-84-0</w:t>
            </w:r>
          </w:p>
        </w:tc>
      </w:tr>
      <w:tr w:rsidR="005C7768" w:rsidRPr="00E8450A" w:rsidTr="00236AB6">
        <w:tc>
          <w:tcPr>
            <w:tcW w:w="1417" w:type="dxa"/>
            <w:vMerge/>
          </w:tcPr>
          <w:p w:rsidR="005C7768" w:rsidRPr="00E8450A" w:rsidRDefault="005C7768" w:rsidP="0026263A">
            <w:pPr>
              <w:ind w:left="851" w:hanging="851"/>
              <w:jc w:val="left"/>
              <w:rPr>
                <w:noProof/>
                <w:sz w:val="20"/>
                <w:highlight w:val="lightGray"/>
              </w:rPr>
            </w:pPr>
          </w:p>
        </w:tc>
        <w:tc>
          <w:tcPr>
            <w:tcW w:w="2268" w:type="dxa"/>
            <w:vAlign w:val="center"/>
          </w:tcPr>
          <w:p w:rsidR="005C7768" w:rsidRPr="00E8450A" w:rsidRDefault="005C7768" w:rsidP="0026263A">
            <w:pPr>
              <w:ind w:left="851" w:hanging="851"/>
              <w:jc w:val="left"/>
              <w:rPr>
                <w:noProof/>
                <w:sz w:val="20"/>
                <w:highlight w:val="lightGray"/>
              </w:rPr>
            </w:pPr>
            <w:r w:rsidRPr="00E8450A">
              <w:rPr>
                <w:noProof/>
                <w:sz w:val="20"/>
                <w:highlight w:val="lightGray"/>
              </w:rPr>
              <w:t>propán</w:t>
            </w:r>
          </w:p>
        </w:tc>
        <w:tc>
          <w:tcPr>
            <w:tcW w:w="2552" w:type="dxa"/>
          </w:tcPr>
          <w:p w:rsidR="005C7768" w:rsidRPr="00E8450A" w:rsidRDefault="005C7768" w:rsidP="0026263A">
            <w:pPr>
              <w:jc w:val="left"/>
              <w:rPr>
                <w:noProof/>
                <w:sz w:val="20"/>
                <w:highlight w:val="lightGray"/>
              </w:rPr>
            </w:pPr>
            <w:r w:rsidRPr="00E8450A">
              <w:rPr>
                <w:noProof/>
                <w:sz w:val="20"/>
                <w:highlight w:val="lightGray"/>
              </w:rPr>
              <w:t>propán</w:t>
            </w:r>
          </w:p>
        </w:tc>
        <w:tc>
          <w:tcPr>
            <w:tcW w:w="1134" w:type="dxa"/>
          </w:tcPr>
          <w:p w:rsidR="005C7768" w:rsidRPr="00E8450A" w:rsidRDefault="005C7768" w:rsidP="0026263A">
            <w:pPr>
              <w:ind w:left="851" w:hanging="851"/>
              <w:jc w:val="left"/>
              <w:rPr>
                <w:noProof/>
                <w:sz w:val="20"/>
                <w:highlight w:val="lightGray"/>
              </w:rPr>
            </w:pPr>
            <w:r w:rsidRPr="00E8450A">
              <w:rPr>
                <w:noProof/>
                <w:sz w:val="20"/>
                <w:highlight w:val="lightGray"/>
              </w:rPr>
              <w:t>C</w:t>
            </w:r>
            <w:r w:rsidRPr="00E8450A">
              <w:rPr>
                <w:noProof/>
                <w:sz w:val="20"/>
                <w:highlight w:val="lightGray"/>
                <w:vertAlign w:val="subscript"/>
              </w:rPr>
              <w:t>3</w:t>
            </w:r>
            <w:r w:rsidRPr="00E8450A">
              <w:rPr>
                <w:noProof/>
                <w:sz w:val="20"/>
                <w:highlight w:val="lightGray"/>
              </w:rPr>
              <w:t>H</w:t>
            </w:r>
            <w:r w:rsidRPr="00E8450A">
              <w:rPr>
                <w:noProof/>
                <w:sz w:val="20"/>
                <w:highlight w:val="lightGray"/>
                <w:vertAlign w:val="subscript"/>
              </w:rPr>
              <w:t>8</w:t>
            </w:r>
          </w:p>
        </w:tc>
        <w:tc>
          <w:tcPr>
            <w:tcW w:w="1275" w:type="dxa"/>
            <w:vAlign w:val="center"/>
          </w:tcPr>
          <w:p w:rsidR="005C7768" w:rsidRPr="00E8450A" w:rsidRDefault="005C7768" w:rsidP="0026263A">
            <w:pPr>
              <w:ind w:left="851" w:hanging="851"/>
              <w:jc w:val="left"/>
              <w:rPr>
                <w:noProof/>
                <w:sz w:val="20"/>
                <w:highlight w:val="lightGray"/>
              </w:rPr>
            </w:pPr>
            <w:r w:rsidRPr="00E8450A">
              <w:rPr>
                <w:noProof/>
                <w:sz w:val="20"/>
                <w:highlight w:val="lightGray"/>
              </w:rPr>
              <w:t>74-98-6</w:t>
            </w:r>
          </w:p>
        </w:tc>
      </w:tr>
      <w:tr w:rsidR="005C7768" w:rsidRPr="00E8450A" w:rsidTr="00236AB6">
        <w:tc>
          <w:tcPr>
            <w:tcW w:w="1417" w:type="dxa"/>
            <w:vMerge/>
          </w:tcPr>
          <w:p w:rsidR="005C7768" w:rsidRPr="00E8450A" w:rsidRDefault="005C7768" w:rsidP="0026263A">
            <w:pPr>
              <w:ind w:left="851" w:hanging="851"/>
              <w:jc w:val="left"/>
              <w:rPr>
                <w:noProof/>
                <w:sz w:val="20"/>
                <w:highlight w:val="lightGray"/>
              </w:rPr>
            </w:pPr>
          </w:p>
        </w:tc>
        <w:tc>
          <w:tcPr>
            <w:tcW w:w="2268" w:type="dxa"/>
            <w:vAlign w:val="center"/>
          </w:tcPr>
          <w:p w:rsidR="005C7768" w:rsidRPr="00E8450A" w:rsidRDefault="005C7768" w:rsidP="0026263A">
            <w:pPr>
              <w:ind w:left="851" w:hanging="851"/>
              <w:jc w:val="left"/>
              <w:rPr>
                <w:noProof/>
                <w:sz w:val="20"/>
                <w:highlight w:val="lightGray"/>
              </w:rPr>
            </w:pPr>
            <w:r w:rsidRPr="00E8450A">
              <w:rPr>
                <w:i/>
                <w:iCs/>
                <w:noProof/>
                <w:sz w:val="20"/>
                <w:highlight w:val="lightGray"/>
              </w:rPr>
              <w:t>n</w:t>
            </w:r>
            <w:r w:rsidRPr="00E8450A">
              <w:rPr>
                <w:noProof/>
                <w:sz w:val="20"/>
                <w:highlight w:val="lightGray"/>
              </w:rPr>
              <w:t>-bután</w:t>
            </w:r>
          </w:p>
        </w:tc>
        <w:tc>
          <w:tcPr>
            <w:tcW w:w="2552" w:type="dxa"/>
          </w:tcPr>
          <w:p w:rsidR="005C7768" w:rsidRPr="00E8450A" w:rsidRDefault="005C7768" w:rsidP="0026263A">
            <w:pPr>
              <w:jc w:val="left"/>
              <w:rPr>
                <w:noProof/>
                <w:sz w:val="20"/>
                <w:highlight w:val="lightGray"/>
              </w:rPr>
            </w:pPr>
            <w:r w:rsidRPr="00E8450A">
              <w:rPr>
                <w:noProof/>
                <w:sz w:val="20"/>
                <w:highlight w:val="lightGray"/>
              </w:rPr>
              <w:t>bután</w:t>
            </w:r>
          </w:p>
        </w:tc>
        <w:tc>
          <w:tcPr>
            <w:tcW w:w="1134" w:type="dxa"/>
          </w:tcPr>
          <w:p w:rsidR="005C7768" w:rsidRPr="00E8450A" w:rsidRDefault="005C7768" w:rsidP="0026263A">
            <w:pPr>
              <w:ind w:left="851" w:hanging="851"/>
              <w:jc w:val="left"/>
              <w:rPr>
                <w:noProof/>
                <w:sz w:val="20"/>
                <w:highlight w:val="lightGray"/>
              </w:rPr>
            </w:pPr>
            <w:r w:rsidRPr="00E8450A">
              <w:rPr>
                <w:noProof/>
                <w:sz w:val="20"/>
                <w:highlight w:val="lightGray"/>
              </w:rPr>
              <w:t>C</w:t>
            </w:r>
            <w:r w:rsidRPr="00E8450A">
              <w:rPr>
                <w:noProof/>
                <w:sz w:val="20"/>
                <w:highlight w:val="lightGray"/>
                <w:vertAlign w:val="subscript"/>
              </w:rPr>
              <w:t>4</w:t>
            </w:r>
            <w:r w:rsidRPr="00E8450A">
              <w:rPr>
                <w:noProof/>
                <w:sz w:val="20"/>
                <w:highlight w:val="lightGray"/>
              </w:rPr>
              <w:t>H</w:t>
            </w:r>
            <w:r w:rsidRPr="00E8450A">
              <w:rPr>
                <w:noProof/>
                <w:sz w:val="20"/>
                <w:highlight w:val="lightGray"/>
                <w:vertAlign w:val="subscript"/>
              </w:rPr>
              <w:t>10</w:t>
            </w:r>
          </w:p>
        </w:tc>
        <w:tc>
          <w:tcPr>
            <w:tcW w:w="1275" w:type="dxa"/>
            <w:vAlign w:val="center"/>
          </w:tcPr>
          <w:p w:rsidR="005C7768" w:rsidRPr="00E8450A" w:rsidRDefault="005C7768" w:rsidP="0026263A">
            <w:pPr>
              <w:ind w:left="851" w:hanging="851"/>
              <w:jc w:val="left"/>
              <w:rPr>
                <w:noProof/>
                <w:sz w:val="20"/>
                <w:highlight w:val="lightGray"/>
              </w:rPr>
            </w:pPr>
            <w:r w:rsidRPr="00E8450A">
              <w:rPr>
                <w:noProof/>
                <w:sz w:val="20"/>
                <w:highlight w:val="lightGray"/>
              </w:rPr>
              <w:t>106-97-8</w:t>
            </w:r>
          </w:p>
        </w:tc>
      </w:tr>
      <w:tr w:rsidR="005C7768" w:rsidRPr="00E8450A" w:rsidTr="00236AB6">
        <w:tc>
          <w:tcPr>
            <w:tcW w:w="1417" w:type="dxa"/>
            <w:vMerge/>
          </w:tcPr>
          <w:p w:rsidR="005C7768" w:rsidRPr="00E8450A" w:rsidRDefault="005C7768" w:rsidP="0026263A">
            <w:pPr>
              <w:ind w:left="851" w:hanging="851"/>
              <w:jc w:val="left"/>
              <w:rPr>
                <w:noProof/>
                <w:sz w:val="20"/>
                <w:highlight w:val="lightGray"/>
              </w:rPr>
            </w:pPr>
          </w:p>
        </w:tc>
        <w:tc>
          <w:tcPr>
            <w:tcW w:w="2268" w:type="dxa"/>
            <w:vAlign w:val="center"/>
          </w:tcPr>
          <w:p w:rsidR="005C7768" w:rsidRPr="00E8450A" w:rsidRDefault="005C7768" w:rsidP="0026263A">
            <w:pPr>
              <w:ind w:left="851" w:hanging="851"/>
              <w:jc w:val="left"/>
              <w:rPr>
                <w:noProof/>
                <w:sz w:val="20"/>
                <w:highlight w:val="lightGray"/>
              </w:rPr>
            </w:pPr>
            <w:r w:rsidRPr="00E8450A">
              <w:rPr>
                <w:noProof/>
                <w:sz w:val="20"/>
                <w:highlight w:val="lightGray"/>
              </w:rPr>
              <w:t>izobután</w:t>
            </w:r>
          </w:p>
        </w:tc>
        <w:tc>
          <w:tcPr>
            <w:tcW w:w="2552" w:type="dxa"/>
          </w:tcPr>
          <w:p w:rsidR="005C7768" w:rsidRPr="00E8450A" w:rsidRDefault="005C7768" w:rsidP="0026263A">
            <w:pPr>
              <w:jc w:val="left"/>
              <w:rPr>
                <w:noProof/>
                <w:sz w:val="20"/>
                <w:highlight w:val="lightGray"/>
              </w:rPr>
            </w:pPr>
            <w:r w:rsidRPr="00E8450A">
              <w:rPr>
                <w:noProof/>
                <w:sz w:val="20"/>
                <w:highlight w:val="lightGray"/>
              </w:rPr>
              <w:t>2-metylpropán</w:t>
            </w:r>
          </w:p>
        </w:tc>
        <w:tc>
          <w:tcPr>
            <w:tcW w:w="1134" w:type="dxa"/>
          </w:tcPr>
          <w:p w:rsidR="005C7768" w:rsidRPr="00E8450A" w:rsidRDefault="005C7768" w:rsidP="0026263A">
            <w:pPr>
              <w:ind w:left="851" w:hanging="851"/>
              <w:jc w:val="left"/>
              <w:rPr>
                <w:noProof/>
                <w:sz w:val="20"/>
                <w:highlight w:val="lightGray"/>
              </w:rPr>
            </w:pPr>
            <w:r w:rsidRPr="00E8450A">
              <w:rPr>
                <w:noProof/>
                <w:sz w:val="20"/>
                <w:highlight w:val="lightGray"/>
              </w:rPr>
              <w:t>C</w:t>
            </w:r>
            <w:r w:rsidRPr="00E8450A">
              <w:rPr>
                <w:noProof/>
                <w:sz w:val="20"/>
                <w:highlight w:val="lightGray"/>
                <w:vertAlign w:val="subscript"/>
              </w:rPr>
              <w:t>4</w:t>
            </w:r>
            <w:r w:rsidRPr="00E8450A">
              <w:rPr>
                <w:noProof/>
                <w:sz w:val="20"/>
                <w:highlight w:val="lightGray"/>
              </w:rPr>
              <w:t>H</w:t>
            </w:r>
            <w:r w:rsidRPr="00E8450A">
              <w:rPr>
                <w:noProof/>
                <w:sz w:val="20"/>
                <w:highlight w:val="lightGray"/>
                <w:vertAlign w:val="subscript"/>
              </w:rPr>
              <w:t>10</w:t>
            </w:r>
          </w:p>
        </w:tc>
        <w:tc>
          <w:tcPr>
            <w:tcW w:w="1275" w:type="dxa"/>
            <w:vAlign w:val="center"/>
          </w:tcPr>
          <w:p w:rsidR="005C7768" w:rsidRPr="00E8450A" w:rsidRDefault="005C7768" w:rsidP="0026263A">
            <w:pPr>
              <w:ind w:left="851" w:hanging="851"/>
              <w:jc w:val="left"/>
              <w:rPr>
                <w:noProof/>
                <w:sz w:val="20"/>
                <w:highlight w:val="lightGray"/>
              </w:rPr>
            </w:pPr>
            <w:r w:rsidRPr="00E8450A">
              <w:rPr>
                <w:noProof/>
                <w:sz w:val="20"/>
                <w:highlight w:val="lightGray"/>
              </w:rPr>
              <w:t>75-28-5</w:t>
            </w:r>
          </w:p>
        </w:tc>
      </w:tr>
      <w:tr w:rsidR="005C7768" w:rsidRPr="00E8450A" w:rsidTr="00236AB6">
        <w:tc>
          <w:tcPr>
            <w:tcW w:w="1417" w:type="dxa"/>
            <w:vMerge/>
          </w:tcPr>
          <w:p w:rsidR="005C7768" w:rsidRPr="00E8450A" w:rsidRDefault="005C7768" w:rsidP="0026263A">
            <w:pPr>
              <w:ind w:left="851" w:hanging="851"/>
              <w:jc w:val="left"/>
              <w:rPr>
                <w:noProof/>
                <w:sz w:val="20"/>
                <w:highlight w:val="lightGray"/>
              </w:rPr>
            </w:pPr>
          </w:p>
        </w:tc>
        <w:tc>
          <w:tcPr>
            <w:tcW w:w="2268" w:type="dxa"/>
            <w:vAlign w:val="center"/>
          </w:tcPr>
          <w:p w:rsidR="005C7768" w:rsidRPr="00E8450A" w:rsidRDefault="005C7768" w:rsidP="0026263A">
            <w:pPr>
              <w:ind w:left="851" w:hanging="851"/>
              <w:jc w:val="left"/>
              <w:rPr>
                <w:noProof/>
                <w:sz w:val="20"/>
                <w:highlight w:val="lightGray"/>
              </w:rPr>
            </w:pPr>
            <w:r w:rsidRPr="00E8450A">
              <w:rPr>
                <w:i/>
                <w:iCs/>
                <w:noProof/>
                <w:sz w:val="20"/>
                <w:highlight w:val="lightGray"/>
              </w:rPr>
              <w:t>n</w:t>
            </w:r>
            <w:r w:rsidRPr="00E8450A">
              <w:rPr>
                <w:noProof/>
                <w:sz w:val="20"/>
                <w:highlight w:val="lightGray"/>
              </w:rPr>
              <w:t>-pentán</w:t>
            </w:r>
          </w:p>
        </w:tc>
        <w:tc>
          <w:tcPr>
            <w:tcW w:w="2552" w:type="dxa"/>
          </w:tcPr>
          <w:p w:rsidR="005C7768" w:rsidRPr="00E8450A" w:rsidRDefault="005C7768" w:rsidP="0026263A">
            <w:pPr>
              <w:jc w:val="left"/>
              <w:rPr>
                <w:noProof/>
                <w:sz w:val="20"/>
                <w:highlight w:val="lightGray"/>
              </w:rPr>
            </w:pPr>
            <w:r w:rsidRPr="00E8450A">
              <w:rPr>
                <w:noProof/>
                <w:sz w:val="20"/>
                <w:highlight w:val="lightGray"/>
              </w:rPr>
              <w:t>pentán</w:t>
            </w:r>
          </w:p>
        </w:tc>
        <w:tc>
          <w:tcPr>
            <w:tcW w:w="1134" w:type="dxa"/>
          </w:tcPr>
          <w:p w:rsidR="005C7768" w:rsidRPr="00E8450A" w:rsidRDefault="005C7768" w:rsidP="0026263A">
            <w:pPr>
              <w:ind w:left="851" w:hanging="851"/>
              <w:jc w:val="left"/>
              <w:rPr>
                <w:noProof/>
                <w:sz w:val="20"/>
                <w:highlight w:val="lightGray"/>
              </w:rPr>
            </w:pPr>
            <w:r w:rsidRPr="00E8450A">
              <w:rPr>
                <w:noProof/>
                <w:sz w:val="20"/>
                <w:highlight w:val="lightGray"/>
              </w:rPr>
              <w:t>C</w:t>
            </w:r>
            <w:r w:rsidRPr="00E8450A">
              <w:rPr>
                <w:noProof/>
                <w:sz w:val="20"/>
                <w:highlight w:val="lightGray"/>
                <w:vertAlign w:val="subscript"/>
              </w:rPr>
              <w:t>5</w:t>
            </w:r>
            <w:r w:rsidRPr="00E8450A">
              <w:rPr>
                <w:noProof/>
                <w:sz w:val="20"/>
                <w:highlight w:val="lightGray"/>
              </w:rPr>
              <w:t>H</w:t>
            </w:r>
            <w:r w:rsidRPr="00E8450A">
              <w:rPr>
                <w:noProof/>
                <w:sz w:val="20"/>
                <w:highlight w:val="lightGray"/>
                <w:vertAlign w:val="subscript"/>
              </w:rPr>
              <w:t>12</w:t>
            </w:r>
          </w:p>
        </w:tc>
        <w:tc>
          <w:tcPr>
            <w:tcW w:w="1275" w:type="dxa"/>
            <w:vAlign w:val="center"/>
          </w:tcPr>
          <w:p w:rsidR="005C7768" w:rsidRPr="00E8450A" w:rsidRDefault="005C7768" w:rsidP="0026263A">
            <w:pPr>
              <w:ind w:left="851" w:hanging="851"/>
              <w:jc w:val="left"/>
              <w:rPr>
                <w:noProof/>
                <w:sz w:val="20"/>
                <w:highlight w:val="lightGray"/>
              </w:rPr>
            </w:pPr>
            <w:r w:rsidRPr="00E8450A">
              <w:rPr>
                <w:noProof/>
                <w:sz w:val="20"/>
                <w:highlight w:val="lightGray"/>
              </w:rPr>
              <w:t>109-66-0</w:t>
            </w:r>
          </w:p>
        </w:tc>
      </w:tr>
      <w:tr w:rsidR="005C7768" w:rsidRPr="00E8450A" w:rsidTr="00236AB6">
        <w:tc>
          <w:tcPr>
            <w:tcW w:w="1417" w:type="dxa"/>
            <w:vMerge/>
          </w:tcPr>
          <w:p w:rsidR="005C7768" w:rsidRPr="00E8450A" w:rsidRDefault="005C7768" w:rsidP="0026263A">
            <w:pPr>
              <w:ind w:left="851" w:hanging="851"/>
              <w:jc w:val="left"/>
              <w:rPr>
                <w:noProof/>
                <w:sz w:val="20"/>
                <w:highlight w:val="lightGray"/>
              </w:rPr>
            </w:pPr>
          </w:p>
        </w:tc>
        <w:tc>
          <w:tcPr>
            <w:tcW w:w="2268" w:type="dxa"/>
            <w:vAlign w:val="center"/>
          </w:tcPr>
          <w:p w:rsidR="005C7768" w:rsidRPr="00E8450A" w:rsidRDefault="005C7768" w:rsidP="0026263A">
            <w:pPr>
              <w:ind w:left="851" w:hanging="851"/>
              <w:jc w:val="left"/>
              <w:rPr>
                <w:noProof/>
                <w:sz w:val="20"/>
                <w:highlight w:val="lightGray"/>
              </w:rPr>
            </w:pPr>
            <w:r w:rsidRPr="00E8450A">
              <w:rPr>
                <w:noProof/>
                <w:sz w:val="20"/>
                <w:highlight w:val="lightGray"/>
              </w:rPr>
              <w:t>izopentán</w:t>
            </w:r>
          </w:p>
        </w:tc>
        <w:tc>
          <w:tcPr>
            <w:tcW w:w="2552" w:type="dxa"/>
          </w:tcPr>
          <w:p w:rsidR="005C7768" w:rsidRPr="00E8450A" w:rsidRDefault="005C7768" w:rsidP="0026263A">
            <w:pPr>
              <w:jc w:val="left"/>
              <w:rPr>
                <w:noProof/>
                <w:sz w:val="20"/>
                <w:highlight w:val="lightGray"/>
              </w:rPr>
            </w:pPr>
            <w:r w:rsidRPr="00E8450A">
              <w:rPr>
                <w:noProof/>
                <w:sz w:val="20"/>
                <w:highlight w:val="lightGray"/>
              </w:rPr>
              <w:t>2-metylbután</w:t>
            </w:r>
          </w:p>
        </w:tc>
        <w:tc>
          <w:tcPr>
            <w:tcW w:w="1134" w:type="dxa"/>
          </w:tcPr>
          <w:p w:rsidR="005C7768" w:rsidRPr="00E8450A" w:rsidRDefault="005C7768" w:rsidP="0026263A">
            <w:pPr>
              <w:ind w:left="851" w:hanging="851"/>
              <w:jc w:val="left"/>
              <w:rPr>
                <w:noProof/>
                <w:sz w:val="20"/>
                <w:highlight w:val="lightGray"/>
              </w:rPr>
            </w:pPr>
            <w:r w:rsidRPr="00E8450A">
              <w:rPr>
                <w:noProof/>
                <w:sz w:val="20"/>
                <w:highlight w:val="lightGray"/>
              </w:rPr>
              <w:t>C</w:t>
            </w:r>
            <w:r w:rsidRPr="00E8450A">
              <w:rPr>
                <w:noProof/>
                <w:sz w:val="20"/>
                <w:highlight w:val="lightGray"/>
                <w:vertAlign w:val="subscript"/>
              </w:rPr>
              <w:t>5</w:t>
            </w:r>
            <w:r w:rsidRPr="00E8450A">
              <w:rPr>
                <w:noProof/>
                <w:sz w:val="20"/>
                <w:highlight w:val="lightGray"/>
              </w:rPr>
              <w:t>H</w:t>
            </w:r>
            <w:r w:rsidRPr="00E8450A">
              <w:rPr>
                <w:noProof/>
                <w:sz w:val="20"/>
                <w:highlight w:val="lightGray"/>
                <w:vertAlign w:val="subscript"/>
              </w:rPr>
              <w:t>12</w:t>
            </w:r>
          </w:p>
        </w:tc>
        <w:tc>
          <w:tcPr>
            <w:tcW w:w="1275" w:type="dxa"/>
            <w:vAlign w:val="center"/>
          </w:tcPr>
          <w:p w:rsidR="005C7768" w:rsidRPr="00E8450A" w:rsidRDefault="005C7768" w:rsidP="0026263A">
            <w:pPr>
              <w:ind w:left="851" w:hanging="851"/>
              <w:jc w:val="left"/>
              <w:rPr>
                <w:noProof/>
                <w:sz w:val="20"/>
                <w:highlight w:val="lightGray"/>
              </w:rPr>
            </w:pPr>
            <w:r w:rsidRPr="00E8450A">
              <w:rPr>
                <w:noProof/>
                <w:sz w:val="20"/>
                <w:highlight w:val="lightGray"/>
              </w:rPr>
              <w:t>78-78-4</w:t>
            </w:r>
          </w:p>
        </w:tc>
      </w:tr>
      <w:tr w:rsidR="005C7768" w:rsidRPr="00E8450A" w:rsidTr="00236AB6">
        <w:tc>
          <w:tcPr>
            <w:tcW w:w="1417" w:type="dxa"/>
            <w:vMerge/>
          </w:tcPr>
          <w:p w:rsidR="005C7768" w:rsidRPr="00E8450A" w:rsidRDefault="005C7768" w:rsidP="0026263A">
            <w:pPr>
              <w:ind w:left="851" w:hanging="851"/>
              <w:jc w:val="left"/>
              <w:rPr>
                <w:noProof/>
                <w:sz w:val="20"/>
                <w:highlight w:val="lightGray"/>
              </w:rPr>
            </w:pPr>
          </w:p>
        </w:tc>
        <w:tc>
          <w:tcPr>
            <w:tcW w:w="2268" w:type="dxa"/>
            <w:vAlign w:val="center"/>
          </w:tcPr>
          <w:p w:rsidR="005C7768" w:rsidRPr="00E8450A" w:rsidRDefault="005C7768" w:rsidP="0026263A">
            <w:pPr>
              <w:ind w:left="851" w:hanging="851"/>
              <w:jc w:val="left"/>
              <w:rPr>
                <w:noProof/>
                <w:sz w:val="20"/>
                <w:highlight w:val="lightGray"/>
              </w:rPr>
            </w:pPr>
            <w:r w:rsidRPr="00E8450A">
              <w:rPr>
                <w:i/>
                <w:iCs/>
                <w:noProof/>
                <w:sz w:val="20"/>
                <w:highlight w:val="lightGray"/>
              </w:rPr>
              <w:t>n</w:t>
            </w:r>
            <w:r w:rsidRPr="00E8450A">
              <w:rPr>
                <w:noProof/>
                <w:sz w:val="20"/>
                <w:highlight w:val="lightGray"/>
              </w:rPr>
              <w:t>-hexán</w:t>
            </w:r>
          </w:p>
        </w:tc>
        <w:tc>
          <w:tcPr>
            <w:tcW w:w="2552" w:type="dxa"/>
          </w:tcPr>
          <w:p w:rsidR="005C7768" w:rsidRPr="00E8450A" w:rsidRDefault="005C7768" w:rsidP="0026263A">
            <w:pPr>
              <w:jc w:val="left"/>
              <w:rPr>
                <w:noProof/>
                <w:sz w:val="20"/>
                <w:highlight w:val="lightGray"/>
              </w:rPr>
            </w:pPr>
            <w:r w:rsidRPr="00E8450A">
              <w:rPr>
                <w:noProof/>
                <w:sz w:val="20"/>
                <w:highlight w:val="lightGray"/>
              </w:rPr>
              <w:t>hexán</w:t>
            </w:r>
          </w:p>
        </w:tc>
        <w:tc>
          <w:tcPr>
            <w:tcW w:w="1134" w:type="dxa"/>
          </w:tcPr>
          <w:p w:rsidR="005C7768" w:rsidRPr="00E8450A" w:rsidRDefault="005C7768" w:rsidP="0026263A">
            <w:pPr>
              <w:ind w:left="851" w:hanging="851"/>
              <w:jc w:val="left"/>
              <w:rPr>
                <w:noProof/>
                <w:sz w:val="20"/>
                <w:highlight w:val="lightGray"/>
              </w:rPr>
            </w:pPr>
            <w:r w:rsidRPr="00E8450A">
              <w:rPr>
                <w:noProof/>
                <w:sz w:val="20"/>
                <w:highlight w:val="lightGray"/>
              </w:rPr>
              <w:t>C</w:t>
            </w:r>
            <w:r w:rsidRPr="00E8450A">
              <w:rPr>
                <w:noProof/>
                <w:sz w:val="20"/>
                <w:highlight w:val="lightGray"/>
                <w:vertAlign w:val="subscript"/>
              </w:rPr>
              <w:t>6</w:t>
            </w:r>
            <w:r w:rsidRPr="00E8450A">
              <w:rPr>
                <w:noProof/>
                <w:sz w:val="20"/>
                <w:highlight w:val="lightGray"/>
              </w:rPr>
              <w:t>H</w:t>
            </w:r>
            <w:r w:rsidRPr="00E8450A">
              <w:rPr>
                <w:noProof/>
                <w:sz w:val="20"/>
                <w:highlight w:val="lightGray"/>
                <w:vertAlign w:val="subscript"/>
              </w:rPr>
              <w:t>14</w:t>
            </w:r>
          </w:p>
        </w:tc>
        <w:tc>
          <w:tcPr>
            <w:tcW w:w="1275" w:type="dxa"/>
            <w:vAlign w:val="center"/>
          </w:tcPr>
          <w:p w:rsidR="005C7768" w:rsidRPr="00E8450A" w:rsidRDefault="005C7768" w:rsidP="0026263A">
            <w:pPr>
              <w:ind w:left="851" w:hanging="851"/>
              <w:jc w:val="left"/>
              <w:rPr>
                <w:noProof/>
                <w:sz w:val="20"/>
                <w:highlight w:val="lightGray"/>
              </w:rPr>
            </w:pPr>
            <w:r w:rsidRPr="00E8450A">
              <w:rPr>
                <w:noProof/>
                <w:sz w:val="20"/>
                <w:highlight w:val="lightGray"/>
              </w:rPr>
              <w:t>110-54-3</w:t>
            </w:r>
          </w:p>
        </w:tc>
      </w:tr>
      <w:tr w:rsidR="005C7768" w:rsidRPr="00E8450A" w:rsidTr="00236AB6">
        <w:tc>
          <w:tcPr>
            <w:tcW w:w="1417" w:type="dxa"/>
            <w:vMerge/>
          </w:tcPr>
          <w:p w:rsidR="005C7768" w:rsidRPr="00E8450A" w:rsidRDefault="005C7768" w:rsidP="0026263A">
            <w:pPr>
              <w:ind w:left="851" w:hanging="851"/>
              <w:jc w:val="left"/>
              <w:rPr>
                <w:noProof/>
                <w:sz w:val="20"/>
                <w:highlight w:val="lightGray"/>
              </w:rPr>
            </w:pPr>
          </w:p>
        </w:tc>
        <w:tc>
          <w:tcPr>
            <w:tcW w:w="2268" w:type="dxa"/>
            <w:vAlign w:val="center"/>
          </w:tcPr>
          <w:p w:rsidR="005C7768" w:rsidRPr="00E8450A" w:rsidRDefault="005C7768" w:rsidP="0026263A">
            <w:pPr>
              <w:ind w:left="851" w:hanging="851"/>
              <w:jc w:val="left"/>
              <w:rPr>
                <w:noProof/>
                <w:sz w:val="20"/>
                <w:highlight w:val="lightGray"/>
              </w:rPr>
            </w:pPr>
            <w:r w:rsidRPr="00E8450A">
              <w:rPr>
                <w:noProof/>
                <w:sz w:val="20"/>
                <w:highlight w:val="lightGray"/>
              </w:rPr>
              <w:t>izohexán</w:t>
            </w:r>
          </w:p>
        </w:tc>
        <w:tc>
          <w:tcPr>
            <w:tcW w:w="2552" w:type="dxa"/>
          </w:tcPr>
          <w:p w:rsidR="005C7768" w:rsidRPr="00E8450A" w:rsidRDefault="005C7768" w:rsidP="0026263A">
            <w:pPr>
              <w:jc w:val="left"/>
              <w:rPr>
                <w:noProof/>
                <w:sz w:val="20"/>
                <w:highlight w:val="lightGray"/>
              </w:rPr>
            </w:pPr>
            <w:r w:rsidRPr="00E8450A">
              <w:rPr>
                <w:noProof/>
                <w:sz w:val="20"/>
                <w:highlight w:val="lightGray"/>
              </w:rPr>
              <w:t>2-metylpentán</w:t>
            </w:r>
          </w:p>
        </w:tc>
        <w:tc>
          <w:tcPr>
            <w:tcW w:w="1134" w:type="dxa"/>
          </w:tcPr>
          <w:p w:rsidR="005C7768" w:rsidRPr="00E8450A" w:rsidRDefault="005C7768" w:rsidP="0026263A">
            <w:pPr>
              <w:ind w:left="851" w:hanging="851"/>
              <w:jc w:val="left"/>
              <w:rPr>
                <w:noProof/>
                <w:sz w:val="20"/>
                <w:highlight w:val="lightGray"/>
              </w:rPr>
            </w:pPr>
            <w:r w:rsidRPr="00E8450A">
              <w:rPr>
                <w:noProof/>
                <w:sz w:val="20"/>
                <w:highlight w:val="lightGray"/>
              </w:rPr>
              <w:t>C</w:t>
            </w:r>
            <w:r w:rsidRPr="00E8450A">
              <w:rPr>
                <w:noProof/>
                <w:sz w:val="20"/>
                <w:highlight w:val="lightGray"/>
                <w:vertAlign w:val="subscript"/>
              </w:rPr>
              <w:t>6</w:t>
            </w:r>
            <w:r w:rsidRPr="00E8450A">
              <w:rPr>
                <w:noProof/>
                <w:sz w:val="20"/>
                <w:highlight w:val="lightGray"/>
              </w:rPr>
              <w:t>H</w:t>
            </w:r>
            <w:r w:rsidRPr="00E8450A">
              <w:rPr>
                <w:noProof/>
                <w:sz w:val="20"/>
                <w:highlight w:val="lightGray"/>
                <w:vertAlign w:val="subscript"/>
              </w:rPr>
              <w:t>14</w:t>
            </w:r>
          </w:p>
        </w:tc>
        <w:tc>
          <w:tcPr>
            <w:tcW w:w="1275" w:type="dxa"/>
            <w:vAlign w:val="center"/>
          </w:tcPr>
          <w:p w:rsidR="005C7768" w:rsidRPr="00E8450A" w:rsidRDefault="005C7768" w:rsidP="0026263A">
            <w:pPr>
              <w:ind w:left="851" w:hanging="851"/>
              <w:jc w:val="left"/>
              <w:rPr>
                <w:noProof/>
                <w:sz w:val="20"/>
                <w:highlight w:val="lightGray"/>
              </w:rPr>
            </w:pPr>
            <w:r w:rsidRPr="00E8450A">
              <w:rPr>
                <w:noProof/>
                <w:sz w:val="20"/>
                <w:highlight w:val="lightGray"/>
              </w:rPr>
              <w:t>107-83-5</w:t>
            </w:r>
          </w:p>
        </w:tc>
      </w:tr>
      <w:tr w:rsidR="005C7768" w:rsidRPr="00E8450A" w:rsidTr="00236AB6">
        <w:tc>
          <w:tcPr>
            <w:tcW w:w="1417" w:type="dxa"/>
            <w:vMerge/>
          </w:tcPr>
          <w:p w:rsidR="005C7768" w:rsidRPr="00E8450A" w:rsidRDefault="005C7768" w:rsidP="0026263A">
            <w:pPr>
              <w:ind w:left="851" w:hanging="851"/>
              <w:jc w:val="left"/>
              <w:rPr>
                <w:noProof/>
                <w:sz w:val="20"/>
                <w:highlight w:val="lightGray"/>
              </w:rPr>
            </w:pPr>
          </w:p>
        </w:tc>
        <w:tc>
          <w:tcPr>
            <w:tcW w:w="2268" w:type="dxa"/>
            <w:vAlign w:val="center"/>
          </w:tcPr>
          <w:p w:rsidR="005C7768" w:rsidRPr="00E8450A" w:rsidRDefault="005C7768" w:rsidP="0026263A">
            <w:pPr>
              <w:ind w:left="851" w:hanging="851"/>
              <w:jc w:val="left"/>
              <w:rPr>
                <w:noProof/>
                <w:sz w:val="20"/>
                <w:highlight w:val="lightGray"/>
              </w:rPr>
            </w:pPr>
            <w:r w:rsidRPr="00E8450A">
              <w:rPr>
                <w:i/>
                <w:iCs/>
                <w:noProof/>
                <w:sz w:val="20"/>
                <w:highlight w:val="lightGray"/>
              </w:rPr>
              <w:t>n</w:t>
            </w:r>
            <w:r w:rsidRPr="00E8450A">
              <w:rPr>
                <w:noProof/>
                <w:sz w:val="20"/>
                <w:highlight w:val="lightGray"/>
              </w:rPr>
              <w:t>-heptán</w:t>
            </w:r>
          </w:p>
        </w:tc>
        <w:tc>
          <w:tcPr>
            <w:tcW w:w="2552" w:type="dxa"/>
          </w:tcPr>
          <w:p w:rsidR="005C7768" w:rsidRPr="00E8450A" w:rsidRDefault="005C7768" w:rsidP="0026263A">
            <w:pPr>
              <w:jc w:val="left"/>
              <w:rPr>
                <w:noProof/>
                <w:sz w:val="20"/>
                <w:highlight w:val="lightGray"/>
              </w:rPr>
            </w:pPr>
            <w:r w:rsidRPr="00E8450A">
              <w:rPr>
                <w:noProof/>
                <w:sz w:val="20"/>
                <w:highlight w:val="lightGray"/>
              </w:rPr>
              <w:t>heptán</w:t>
            </w:r>
          </w:p>
        </w:tc>
        <w:tc>
          <w:tcPr>
            <w:tcW w:w="1134" w:type="dxa"/>
          </w:tcPr>
          <w:p w:rsidR="005C7768" w:rsidRPr="00E8450A" w:rsidRDefault="005C7768" w:rsidP="0026263A">
            <w:pPr>
              <w:ind w:left="851" w:hanging="851"/>
              <w:jc w:val="left"/>
              <w:rPr>
                <w:noProof/>
                <w:sz w:val="20"/>
                <w:highlight w:val="lightGray"/>
              </w:rPr>
            </w:pPr>
            <w:r w:rsidRPr="00E8450A">
              <w:rPr>
                <w:noProof/>
                <w:sz w:val="20"/>
                <w:highlight w:val="lightGray"/>
              </w:rPr>
              <w:t>C</w:t>
            </w:r>
            <w:r w:rsidRPr="00E8450A">
              <w:rPr>
                <w:noProof/>
                <w:sz w:val="20"/>
                <w:highlight w:val="lightGray"/>
                <w:vertAlign w:val="subscript"/>
              </w:rPr>
              <w:t>7</w:t>
            </w:r>
            <w:r w:rsidRPr="00E8450A">
              <w:rPr>
                <w:noProof/>
                <w:sz w:val="20"/>
                <w:highlight w:val="lightGray"/>
              </w:rPr>
              <w:t>H</w:t>
            </w:r>
            <w:r w:rsidRPr="00E8450A">
              <w:rPr>
                <w:noProof/>
                <w:sz w:val="20"/>
                <w:highlight w:val="lightGray"/>
                <w:vertAlign w:val="subscript"/>
              </w:rPr>
              <w:t>16</w:t>
            </w:r>
          </w:p>
        </w:tc>
        <w:tc>
          <w:tcPr>
            <w:tcW w:w="1275" w:type="dxa"/>
            <w:vAlign w:val="center"/>
          </w:tcPr>
          <w:p w:rsidR="005C7768" w:rsidRPr="00E8450A" w:rsidRDefault="005C7768" w:rsidP="0026263A">
            <w:pPr>
              <w:ind w:left="851" w:hanging="851"/>
              <w:jc w:val="left"/>
              <w:rPr>
                <w:noProof/>
                <w:sz w:val="20"/>
                <w:highlight w:val="lightGray"/>
              </w:rPr>
            </w:pPr>
            <w:r w:rsidRPr="00E8450A">
              <w:rPr>
                <w:noProof/>
                <w:sz w:val="20"/>
                <w:highlight w:val="lightGray"/>
              </w:rPr>
              <w:t>142-82-5</w:t>
            </w:r>
          </w:p>
        </w:tc>
      </w:tr>
      <w:tr w:rsidR="005C7768" w:rsidRPr="00E8450A" w:rsidTr="00236AB6">
        <w:tc>
          <w:tcPr>
            <w:tcW w:w="1417" w:type="dxa"/>
            <w:vMerge/>
          </w:tcPr>
          <w:p w:rsidR="005C7768" w:rsidRPr="00E8450A" w:rsidRDefault="005C7768" w:rsidP="0026263A">
            <w:pPr>
              <w:ind w:left="851" w:hanging="851"/>
              <w:jc w:val="left"/>
              <w:rPr>
                <w:noProof/>
                <w:sz w:val="20"/>
                <w:highlight w:val="lightGray"/>
              </w:rPr>
            </w:pPr>
          </w:p>
        </w:tc>
        <w:tc>
          <w:tcPr>
            <w:tcW w:w="2268" w:type="dxa"/>
            <w:vAlign w:val="center"/>
          </w:tcPr>
          <w:p w:rsidR="005C7768" w:rsidRPr="00E8450A" w:rsidRDefault="005C7768" w:rsidP="0026263A">
            <w:pPr>
              <w:ind w:left="851" w:hanging="851"/>
              <w:jc w:val="left"/>
              <w:rPr>
                <w:noProof/>
                <w:sz w:val="20"/>
                <w:highlight w:val="lightGray"/>
              </w:rPr>
            </w:pPr>
            <w:r w:rsidRPr="00E8450A">
              <w:rPr>
                <w:i/>
                <w:iCs/>
                <w:noProof/>
                <w:sz w:val="20"/>
                <w:highlight w:val="lightGray"/>
              </w:rPr>
              <w:t>n</w:t>
            </w:r>
            <w:r w:rsidRPr="00E8450A">
              <w:rPr>
                <w:noProof/>
                <w:sz w:val="20"/>
                <w:highlight w:val="lightGray"/>
              </w:rPr>
              <w:t>-oktán</w:t>
            </w:r>
          </w:p>
        </w:tc>
        <w:tc>
          <w:tcPr>
            <w:tcW w:w="2552" w:type="dxa"/>
          </w:tcPr>
          <w:p w:rsidR="005C7768" w:rsidRPr="00E8450A" w:rsidRDefault="005C7768" w:rsidP="0026263A">
            <w:pPr>
              <w:jc w:val="left"/>
              <w:rPr>
                <w:noProof/>
                <w:sz w:val="20"/>
                <w:highlight w:val="lightGray"/>
              </w:rPr>
            </w:pPr>
            <w:r w:rsidRPr="00E8450A">
              <w:rPr>
                <w:noProof/>
                <w:sz w:val="20"/>
                <w:highlight w:val="lightGray"/>
              </w:rPr>
              <w:t>oktán</w:t>
            </w:r>
          </w:p>
        </w:tc>
        <w:tc>
          <w:tcPr>
            <w:tcW w:w="1134" w:type="dxa"/>
          </w:tcPr>
          <w:p w:rsidR="005C7768" w:rsidRPr="00E8450A" w:rsidRDefault="005C7768" w:rsidP="0026263A">
            <w:pPr>
              <w:ind w:left="851" w:hanging="851"/>
              <w:jc w:val="left"/>
              <w:rPr>
                <w:noProof/>
                <w:sz w:val="20"/>
                <w:highlight w:val="lightGray"/>
              </w:rPr>
            </w:pPr>
            <w:r w:rsidRPr="00E8450A">
              <w:rPr>
                <w:noProof/>
                <w:sz w:val="20"/>
                <w:highlight w:val="lightGray"/>
              </w:rPr>
              <w:t>C</w:t>
            </w:r>
            <w:r w:rsidRPr="00E8450A">
              <w:rPr>
                <w:noProof/>
                <w:sz w:val="20"/>
                <w:highlight w:val="lightGray"/>
                <w:vertAlign w:val="subscript"/>
              </w:rPr>
              <w:t>8</w:t>
            </w:r>
            <w:r w:rsidRPr="00E8450A">
              <w:rPr>
                <w:noProof/>
                <w:sz w:val="20"/>
                <w:highlight w:val="lightGray"/>
              </w:rPr>
              <w:t>H</w:t>
            </w:r>
            <w:r w:rsidRPr="00E8450A">
              <w:rPr>
                <w:noProof/>
                <w:sz w:val="20"/>
                <w:highlight w:val="lightGray"/>
                <w:vertAlign w:val="subscript"/>
              </w:rPr>
              <w:t>18</w:t>
            </w:r>
          </w:p>
        </w:tc>
        <w:tc>
          <w:tcPr>
            <w:tcW w:w="1275" w:type="dxa"/>
            <w:vAlign w:val="center"/>
          </w:tcPr>
          <w:p w:rsidR="005C7768" w:rsidRPr="00E8450A" w:rsidRDefault="005C7768" w:rsidP="0026263A">
            <w:pPr>
              <w:ind w:left="851" w:hanging="851"/>
              <w:jc w:val="left"/>
              <w:rPr>
                <w:noProof/>
                <w:sz w:val="20"/>
                <w:highlight w:val="lightGray"/>
              </w:rPr>
            </w:pPr>
            <w:r w:rsidRPr="00E8450A">
              <w:rPr>
                <w:noProof/>
                <w:sz w:val="20"/>
                <w:highlight w:val="lightGray"/>
              </w:rPr>
              <w:t>111-65-9</w:t>
            </w:r>
          </w:p>
        </w:tc>
      </w:tr>
      <w:tr w:rsidR="005C7768" w:rsidRPr="00E8450A" w:rsidTr="00236AB6">
        <w:tc>
          <w:tcPr>
            <w:tcW w:w="1417" w:type="dxa"/>
            <w:vMerge/>
          </w:tcPr>
          <w:p w:rsidR="005C7768" w:rsidRPr="00E8450A" w:rsidRDefault="005C7768" w:rsidP="0026263A">
            <w:pPr>
              <w:ind w:left="851" w:hanging="851"/>
              <w:jc w:val="left"/>
              <w:rPr>
                <w:noProof/>
                <w:sz w:val="20"/>
                <w:highlight w:val="lightGray"/>
              </w:rPr>
            </w:pPr>
          </w:p>
        </w:tc>
        <w:tc>
          <w:tcPr>
            <w:tcW w:w="2268" w:type="dxa"/>
            <w:vAlign w:val="center"/>
          </w:tcPr>
          <w:p w:rsidR="005C7768" w:rsidRPr="00E8450A" w:rsidRDefault="005C7768" w:rsidP="0026263A">
            <w:pPr>
              <w:ind w:left="851" w:hanging="851"/>
              <w:jc w:val="left"/>
              <w:rPr>
                <w:noProof/>
                <w:sz w:val="20"/>
                <w:highlight w:val="lightGray"/>
              </w:rPr>
            </w:pPr>
            <w:r w:rsidRPr="00E8450A">
              <w:rPr>
                <w:noProof/>
                <w:sz w:val="20"/>
                <w:highlight w:val="lightGray"/>
              </w:rPr>
              <w:t>izooktán</w:t>
            </w:r>
          </w:p>
        </w:tc>
        <w:tc>
          <w:tcPr>
            <w:tcW w:w="2552" w:type="dxa"/>
          </w:tcPr>
          <w:p w:rsidR="005C7768" w:rsidRPr="00E8450A" w:rsidRDefault="005C7768" w:rsidP="0026263A">
            <w:pPr>
              <w:jc w:val="left"/>
              <w:rPr>
                <w:noProof/>
                <w:sz w:val="20"/>
                <w:highlight w:val="lightGray"/>
              </w:rPr>
            </w:pPr>
            <w:r w:rsidRPr="00E8450A">
              <w:rPr>
                <w:noProof/>
                <w:sz w:val="20"/>
                <w:highlight w:val="lightGray"/>
              </w:rPr>
              <w:t>2,2,4-trimetylpentán</w:t>
            </w:r>
          </w:p>
        </w:tc>
        <w:tc>
          <w:tcPr>
            <w:tcW w:w="1134" w:type="dxa"/>
          </w:tcPr>
          <w:p w:rsidR="005C7768" w:rsidRPr="00E8450A" w:rsidRDefault="005C7768" w:rsidP="0026263A">
            <w:pPr>
              <w:ind w:left="851" w:hanging="851"/>
              <w:jc w:val="left"/>
              <w:rPr>
                <w:noProof/>
                <w:sz w:val="20"/>
                <w:highlight w:val="lightGray"/>
              </w:rPr>
            </w:pPr>
            <w:r w:rsidRPr="00E8450A">
              <w:rPr>
                <w:noProof/>
                <w:sz w:val="20"/>
                <w:highlight w:val="lightGray"/>
              </w:rPr>
              <w:t>C</w:t>
            </w:r>
            <w:r w:rsidRPr="00E8450A">
              <w:rPr>
                <w:noProof/>
                <w:sz w:val="20"/>
                <w:highlight w:val="lightGray"/>
                <w:vertAlign w:val="subscript"/>
              </w:rPr>
              <w:t>8</w:t>
            </w:r>
            <w:r w:rsidRPr="00E8450A">
              <w:rPr>
                <w:noProof/>
                <w:sz w:val="20"/>
                <w:highlight w:val="lightGray"/>
              </w:rPr>
              <w:t>H</w:t>
            </w:r>
            <w:r w:rsidRPr="00E8450A">
              <w:rPr>
                <w:noProof/>
                <w:sz w:val="20"/>
                <w:highlight w:val="lightGray"/>
                <w:vertAlign w:val="subscript"/>
              </w:rPr>
              <w:t>18</w:t>
            </w:r>
          </w:p>
        </w:tc>
        <w:tc>
          <w:tcPr>
            <w:tcW w:w="1275" w:type="dxa"/>
            <w:vAlign w:val="center"/>
          </w:tcPr>
          <w:p w:rsidR="005C7768" w:rsidRPr="00E8450A" w:rsidRDefault="005C7768" w:rsidP="0026263A">
            <w:pPr>
              <w:ind w:left="851" w:hanging="851"/>
              <w:jc w:val="left"/>
              <w:rPr>
                <w:noProof/>
                <w:sz w:val="20"/>
                <w:highlight w:val="lightGray"/>
              </w:rPr>
            </w:pPr>
            <w:r w:rsidRPr="00E8450A">
              <w:rPr>
                <w:noProof/>
                <w:sz w:val="20"/>
                <w:highlight w:val="lightGray"/>
              </w:rPr>
              <w:t>540-84-1</w:t>
            </w:r>
          </w:p>
        </w:tc>
      </w:tr>
      <w:tr w:rsidR="005C7768" w:rsidRPr="00E8450A" w:rsidTr="00236AB6">
        <w:tc>
          <w:tcPr>
            <w:tcW w:w="1417" w:type="dxa"/>
            <w:vMerge w:val="restart"/>
            <w:vAlign w:val="center"/>
          </w:tcPr>
          <w:p w:rsidR="005C7768" w:rsidRPr="00E8450A" w:rsidRDefault="005C7768" w:rsidP="0026263A">
            <w:pPr>
              <w:ind w:left="851" w:hanging="851"/>
              <w:jc w:val="left"/>
              <w:rPr>
                <w:noProof/>
                <w:sz w:val="20"/>
                <w:highlight w:val="lightGray"/>
              </w:rPr>
            </w:pPr>
            <w:r w:rsidRPr="00E8450A">
              <w:rPr>
                <w:noProof/>
                <w:sz w:val="20"/>
                <w:highlight w:val="lightGray"/>
              </w:rPr>
              <w:t>Alkény</w:t>
            </w:r>
          </w:p>
        </w:tc>
        <w:tc>
          <w:tcPr>
            <w:tcW w:w="2268" w:type="dxa"/>
            <w:vAlign w:val="center"/>
          </w:tcPr>
          <w:p w:rsidR="005C7768" w:rsidRPr="00E8450A" w:rsidRDefault="005C7768" w:rsidP="0026263A">
            <w:pPr>
              <w:ind w:left="851" w:hanging="851"/>
              <w:jc w:val="left"/>
              <w:rPr>
                <w:noProof/>
                <w:sz w:val="20"/>
                <w:highlight w:val="lightGray"/>
              </w:rPr>
            </w:pPr>
            <w:r w:rsidRPr="00E8450A">
              <w:rPr>
                <w:noProof/>
                <w:sz w:val="20"/>
                <w:highlight w:val="lightGray"/>
              </w:rPr>
              <w:t>etylén</w:t>
            </w:r>
          </w:p>
        </w:tc>
        <w:tc>
          <w:tcPr>
            <w:tcW w:w="2552" w:type="dxa"/>
          </w:tcPr>
          <w:p w:rsidR="005C7768" w:rsidRPr="00E8450A" w:rsidRDefault="005C7768" w:rsidP="0026263A">
            <w:pPr>
              <w:jc w:val="left"/>
              <w:rPr>
                <w:noProof/>
                <w:sz w:val="20"/>
                <w:highlight w:val="lightGray"/>
              </w:rPr>
            </w:pPr>
            <w:r w:rsidRPr="00E8450A">
              <w:rPr>
                <w:noProof/>
                <w:sz w:val="20"/>
                <w:highlight w:val="lightGray"/>
              </w:rPr>
              <w:t>etén</w:t>
            </w:r>
          </w:p>
        </w:tc>
        <w:tc>
          <w:tcPr>
            <w:tcW w:w="1134" w:type="dxa"/>
          </w:tcPr>
          <w:p w:rsidR="005C7768" w:rsidRPr="00E8450A" w:rsidRDefault="005C7768" w:rsidP="0026263A">
            <w:pPr>
              <w:ind w:left="851" w:hanging="851"/>
              <w:jc w:val="left"/>
              <w:rPr>
                <w:noProof/>
                <w:sz w:val="20"/>
                <w:highlight w:val="lightGray"/>
              </w:rPr>
            </w:pPr>
            <w:r w:rsidRPr="00E8450A">
              <w:rPr>
                <w:noProof/>
                <w:sz w:val="20"/>
                <w:highlight w:val="lightGray"/>
              </w:rPr>
              <w:t>C</w:t>
            </w:r>
            <w:r w:rsidRPr="00E8450A">
              <w:rPr>
                <w:noProof/>
                <w:sz w:val="20"/>
                <w:highlight w:val="lightGray"/>
                <w:vertAlign w:val="subscript"/>
              </w:rPr>
              <w:t>2</w:t>
            </w:r>
            <w:r w:rsidRPr="00E8450A">
              <w:rPr>
                <w:noProof/>
                <w:sz w:val="20"/>
                <w:highlight w:val="lightGray"/>
              </w:rPr>
              <w:t>H</w:t>
            </w:r>
            <w:r w:rsidRPr="00E8450A">
              <w:rPr>
                <w:noProof/>
                <w:sz w:val="20"/>
                <w:highlight w:val="lightGray"/>
                <w:vertAlign w:val="subscript"/>
              </w:rPr>
              <w:t>4</w:t>
            </w:r>
          </w:p>
        </w:tc>
        <w:tc>
          <w:tcPr>
            <w:tcW w:w="1275" w:type="dxa"/>
            <w:vAlign w:val="center"/>
          </w:tcPr>
          <w:p w:rsidR="005C7768" w:rsidRPr="00E8450A" w:rsidRDefault="005C7768" w:rsidP="0026263A">
            <w:pPr>
              <w:ind w:left="851" w:hanging="851"/>
              <w:jc w:val="left"/>
              <w:rPr>
                <w:noProof/>
                <w:sz w:val="20"/>
                <w:highlight w:val="lightGray"/>
              </w:rPr>
            </w:pPr>
            <w:r w:rsidRPr="00E8450A">
              <w:rPr>
                <w:noProof/>
                <w:sz w:val="20"/>
                <w:highlight w:val="lightGray"/>
              </w:rPr>
              <w:t>75-21-8</w:t>
            </w:r>
          </w:p>
        </w:tc>
      </w:tr>
      <w:tr w:rsidR="005C7768" w:rsidRPr="00E8450A" w:rsidTr="00236AB6">
        <w:tc>
          <w:tcPr>
            <w:tcW w:w="1417" w:type="dxa"/>
            <w:vMerge/>
          </w:tcPr>
          <w:p w:rsidR="005C7768" w:rsidRPr="00E8450A" w:rsidRDefault="005C7768" w:rsidP="0026263A">
            <w:pPr>
              <w:ind w:left="851" w:hanging="851"/>
              <w:jc w:val="left"/>
              <w:rPr>
                <w:noProof/>
                <w:sz w:val="20"/>
                <w:highlight w:val="lightGray"/>
              </w:rPr>
            </w:pPr>
          </w:p>
        </w:tc>
        <w:tc>
          <w:tcPr>
            <w:tcW w:w="2268" w:type="dxa"/>
            <w:vAlign w:val="center"/>
          </w:tcPr>
          <w:p w:rsidR="005C7768" w:rsidRPr="00E8450A" w:rsidRDefault="005C7768" w:rsidP="0026263A">
            <w:pPr>
              <w:ind w:left="851" w:hanging="851"/>
              <w:jc w:val="left"/>
              <w:rPr>
                <w:noProof/>
                <w:sz w:val="20"/>
                <w:highlight w:val="lightGray"/>
              </w:rPr>
            </w:pPr>
            <w:r w:rsidRPr="00E8450A">
              <w:rPr>
                <w:noProof/>
                <w:sz w:val="20"/>
                <w:highlight w:val="lightGray"/>
              </w:rPr>
              <w:t>propén/propylén</w:t>
            </w:r>
          </w:p>
        </w:tc>
        <w:tc>
          <w:tcPr>
            <w:tcW w:w="2552" w:type="dxa"/>
          </w:tcPr>
          <w:p w:rsidR="005C7768" w:rsidRPr="00E8450A" w:rsidRDefault="005C7768" w:rsidP="0026263A">
            <w:pPr>
              <w:jc w:val="left"/>
              <w:rPr>
                <w:noProof/>
                <w:sz w:val="20"/>
                <w:highlight w:val="lightGray"/>
              </w:rPr>
            </w:pPr>
            <w:r w:rsidRPr="00E8450A">
              <w:rPr>
                <w:noProof/>
                <w:sz w:val="20"/>
                <w:highlight w:val="lightGray"/>
              </w:rPr>
              <w:t>propén</w:t>
            </w:r>
          </w:p>
        </w:tc>
        <w:tc>
          <w:tcPr>
            <w:tcW w:w="1134" w:type="dxa"/>
          </w:tcPr>
          <w:p w:rsidR="005C7768" w:rsidRPr="00E8450A" w:rsidRDefault="005C7768" w:rsidP="0026263A">
            <w:pPr>
              <w:ind w:left="851" w:hanging="851"/>
              <w:jc w:val="left"/>
              <w:rPr>
                <w:noProof/>
                <w:sz w:val="20"/>
                <w:highlight w:val="lightGray"/>
              </w:rPr>
            </w:pPr>
            <w:r w:rsidRPr="00E8450A">
              <w:rPr>
                <w:noProof/>
                <w:sz w:val="20"/>
                <w:highlight w:val="lightGray"/>
              </w:rPr>
              <w:t>C</w:t>
            </w:r>
            <w:r w:rsidRPr="00E8450A">
              <w:rPr>
                <w:noProof/>
                <w:sz w:val="20"/>
                <w:highlight w:val="lightGray"/>
                <w:vertAlign w:val="subscript"/>
              </w:rPr>
              <w:t>3</w:t>
            </w:r>
            <w:r w:rsidRPr="00E8450A">
              <w:rPr>
                <w:noProof/>
                <w:sz w:val="20"/>
                <w:highlight w:val="lightGray"/>
              </w:rPr>
              <w:t>H</w:t>
            </w:r>
            <w:r w:rsidRPr="00E8450A">
              <w:rPr>
                <w:noProof/>
                <w:sz w:val="20"/>
                <w:highlight w:val="lightGray"/>
                <w:vertAlign w:val="subscript"/>
              </w:rPr>
              <w:t>6</w:t>
            </w:r>
          </w:p>
        </w:tc>
        <w:tc>
          <w:tcPr>
            <w:tcW w:w="1275" w:type="dxa"/>
            <w:vAlign w:val="center"/>
          </w:tcPr>
          <w:p w:rsidR="005C7768" w:rsidRPr="00E8450A" w:rsidRDefault="005C7768" w:rsidP="0026263A">
            <w:pPr>
              <w:ind w:left="851" w:hanging="851"/>
              <w:jc w:val="left"/>
              <w:rPr>
                <w:noProof/>
                <w:sz w:val="20"/>
                <w:highlight w:val="lightGray"/>
              </w:rPr>
            </w:pPr>
            <w:r w:rsidRPr="00E8450A">
              <w:rPr>
                <w:noProof/>
                <w:sz w:val="20"/>
                <w:highlight w:val="lightGray"/>
              </w:rPr>
              <w:t>115-07-1</w:t>
            </w:r>
          </w:p>
        </w:tc>
      </w:tr>
      <w:tr w:rsidR="005C7768" w:rsidRPr="00E8450A" w:rsidTr="00236AB6">
        <w:tc>
          <w:tcPr>
            <w:tcW w:w="1417" w:type="dxa"/>
            <w:vMerge/>
          </w:tcPr>
          <w:p w:rsidR="005C7768" w:rsidRPr="00E8450A" w:rsidRDefault="005C7768" w:rsidP="0026263A">
            <w:pPr>
              <w:ind w:left="851" w:hanging="851"/>
              <w:jc w:val="left"/>
              <w:rPr>
                <w:noProof/>
                <w:sz w:val="20"/>
                <w:highlight w:val="lightGray"/>
              </w:rPr>
            </w:pPr>
          </w:p>
        </w:tc>
        <w:tc>
          <w:tcPr>
            <w:tcW w:w="2268" w:type="dxa"/>
            <w:vAlign w:val="center"/>
          </w:tcPr>
          <w:p w:rsidR="005C7768" w:rsidRPr="00E8450A" w:rsidRDefault="005C7768" w:rsidP="0026263A">
            <w:pPr>
              <w:ind w:left="851" w:hanging="851"/>
              <w:jc w:val="left"/>
              <w:rPr>
                <w:noProof/>
                <w:sz w:val="20"/>
                <w:highlight w:val="lightGray"/>
              </w:rPr>
            </w:pPr>
            <w:r w:rsidRPr="00E8450A">
              <w:rPr>
                <w:noProof/>
                <w:sz w:val="20"/>
                <w:highlight w:val="lightGray"/>
              </w:rPr>
              <w:t>1,3-butadién</w:t>
            </w:r>
          </w:p>
        </w:tc>
        <w:tc>
          <w:tcPr>
            <w:tcW w:w="2552" w:type="dxa"/>
          </w:tcPr>
          <w:p w:rsidR="005C7768" w:rsidRPr="00E8450A" w:rsidRDefault="005C7768" w:rsidP="0026263A">
            <w:pPr>
              <w:jc w:val="left"/>
              <w:rPr>
                <w:noProof/>
                <w:sz w:val="20"/>
                <w:highlight w:val="lightGray"/>
              </w:rPr>
            </w:pPr>
            <w:r w:rsidRPr="00E8450A">
              <w:rPr>
                <w:noProof/>
                <w:sz w:val="20"/>
                <w:highlight w:val="lightGray"/>
              </w:rPr>
              <w:t>buta-1,3-dién</w:t>
            </w:r>
          </w:p>
        </w:tc>
        <w:tc>
          <w:tcPr>
            <w:tcW w:w="1134" w:type="dxa"/>
          </w:tcPr>
          <w:p w:rsidR="005C7768" w:rsidRPr="00E8450A" w:rsidRDefault="005C7768" w:rsidP="0026263A">
            <w:pPr>
              <w:ind w:left="851" w:hanging="851"/>
              <w:jc w:val="left"/>
              <w:rPr>
                <w:noProof/>
                <w:sz w:val="20"/>
                <w:highlight w:val="lightGray"/>
              </w:rPr>
            </w:pPr>
            <w:r w:rsidRPr="00E8450A">
              <w:rPr>
                <w:noProof/>
                <w:sz w:val="20"/>
                <w:highlight w:val="lightGray"/>
              </w:rPr>
              <w:t>C</w:t>
            </w:r>
            <w:r w:rsidRPr="00E8450A">
              <w:rPr>
                <w:noProof/>
                <w:sz w:val="20"/>
                <w:highlight w:val="lightGray"/>
                <w:vertAlign w:val="subscript"/>
              </w:rPr>
              <w:t>4</w:t>
            </w:r>
            <w:r w:rsidRPr="00E8450A">
              <w:rPr>
                <w:noProof/>
                <w:sz w:val="20"/>
                <w:highlight w:val="lightGray"/>
              </w:rPr>
              <w:t>H</w:t>
            </w:r>
            <w:r w:rsidRPr="00E8450A">
              <w:rPr>
                <w:noProof/>
                <w:sz w:val="20"/>
                <w:highlight w:val="lightGray"/>
                <w:vertAlign w:val="subscript"/>
              </w:rPr>
              <w:t>6</w:t>
            </w:r>
          </w:p>
        </w:tc>
        <w:tc>
          <w:tcPr>
            <w:tcW w:w="1275" w:type="dxa"/>
            <w:vAlign w:val="center"/>
          </w:tcPr>
          <w:p w:rsidR="005C7768" w:rsidRPr="00E8450A" w:rsidRDefault="005C7768" w:rsidP="0026263A">
            <w:pPr>
              <w:ind w:left="851" w:hanging="851"/>
              <w:jc w:val="left"/>
              <w:rPr>
                <w:noProof/>
                <w:sz w:val="20"/>
                <w:highlight w:val="lightGray"/>
              </w:rPr>
            </w:pPr>
            <w:r w:rsidRPr="00E8450A">
              <w:rPr>
                <w:noProof/>
                <w:sz w:val="20"/>
                <w:highlight w:val="lightGray"/>
              </w:rPr>
              <w:t>106-99-0</w:t>
            </w:r>
          </w:p>
        </w:tc>
      </w:tr>
      <w:tr w:rsidR="005C7768" w:rsidRPr="00E8450A" w:rsidTr="00236AB6">
        <w:tc>
          <w:tcPr>
            <w:tcW w:w="1417" w:type="dxa"/>
            <w:vMerge/>
          </w:tcPr>
          <w:p w:rsidR="005C7768" w:rsidRPr="00E8450A" w:rsidRDefault="005C7768" w:rsidP="0026263A">
            <w:pPr>
              <w:ind w:left="851" w:hanging="851"/>
              <w:jc w:val="left"/>
              <w:rPr>
                <w:noProof/>
                <w:sz w:val="20"/>
                <w:highlight w:val="lightGray"/>
              </w:rPr>
            </w:pPr>
          </w:p>
        </w:tc>
        <w:tc>
          <w:tcPr>
            <w:tcW w:w="2268" w:type="dxa"/>
            <w:vAlign w:val="center"/>
          </w:tcPr>
          <w:p w:rsidR="005C7768" w:rsidRPr="00E8450A" w:rsidRDefault="005C7768" w:rsidP="0026263A">
            <w:pPr>
              <w:ind w:left="851" w:hanging="851"/>
              <w:jc w:val="left"/>
              <w:rPr>
                <w:noProof/>
                <w:sz w:val="20"/>
                <w:highlight w:val="lightGray"/>
              </w:rPr>
            </w:pPr>
            <w:r w:rsidRPr="00E8450A">
              <w:rPr>
                <w:noProof/>
                <w:sz w:val="20"/>
                <w:highlight w:val="lightGray"/>
              </w:rPr>
              <w:t>1-butén</w:t>
            </w:r>
          </w:p>
        </w:tc>
        <w:tc>
          <w:tcPr>
            <w:tcW w:w="2552" w:type="dxa"/>
          </w:tcPr>
          <w:p w:rsidR="005C7768" w:rsidRPr="00E8450A" w:rsidRDefault="005C7768" w:rsidP="0026263A">
            <w:pPr>
              <w:jc w:val="left"/>
              <w:rPr>
                <w:noProof/>
                <w:sz w:val="20"/>
                <w:highlight w:val="lightGray"/>
              </w:rPr>
            </w:pPr>
            <w:r w:rsidRPr="00E8450A">
              <w:rPr>
                <w:noProof/>
                <w:sz w:val="20"/>
                <w:highlight w:val="lightGray"/>
              </w:rPr>
              <w:t>but-1-én</w:t>
            </w:r>
          </w:p>
        </w:tc>
        <w:tc>
          <w:tcPr>
            <w:tcW w:w="1134" w:type="dxa"/>
          </w:tcPr>
          <w:p w:rsidR="005C7768" w:rsidRPr="00E8450A" w:rsidRDefault="005C7768" w:rsidP="0026263A">
            <w:pPr>
              <w:ind w:left="851" w:hanging="851"/>
              <w:jc w:val="left"/>
              <w:rPr>
                <w:noProof/>
                <w:sz w:val="20"/>
                <w:highlight w:val="lightGray"/>
              </w:rPr>
            </w:pPr>
            <w:r w:rsidRPr="00E8450A">
              <w:rPr>
                <w:noProof/>
                <w:sz w:val="20"/>
                <w:highlight w:val="lightGray"/>
              </w:rPr>
              <w:t>C</w:t>
            </w:r>
            <w:r w:rsidRPr="00E8450A">
              <w:rPr>
                <w:noProof/>
                <w:sz w:val="20"/>
                <w:highlight w:val="lightGray"/>
                <w:vertAlign w:val="subscript"/>
              </w:rPr>
              <w:t>4</w:t>
            </w:r>
            <w:r w:rsidRPr="00E8450A">
              <w:rPr>
                <w:noProof/>
                <w:sz w:val="20"/>
                <w:highlight w:val="lightGray"/>
              </w:rPr>
              <w:t>H</w:t>
            </w:r>
            <w:r w:rsidRPr="00E8450A">
              <w:rPr>
                <w:noProof/>
                <w:sz w:val="20"/>
                <w:highlight w:val="lightGray"/>
                <w:vertAlign w:val="subscript"/>
              </w:rPr>
              <w:t>8</w:t>
            </w:r>
          </w:p>
        </w:tc>
        <w:tc>
          <w:tcPr>
            <w:tcW w:w="1275" w:type="dxa"/>
            <w:vAlign w:val="center"/>
          </w:tcPr>
          <w:p w:rsidR="005C7768" w:rsidRPr="00E8450A" w:rsidRDefault="005C7768" w:rsidP="0026263A">
            <w:pPr>
              <w:ind w:left="851" w:hanging="851"/>
              <w:jc w:val="left"/>
              <w:rPr>
                <w:noProof/>
                <w:sz w:val="20"/>
                <w:highlight w:val="lightGray"/>
              </w:rPr>
            </w:pPr>
            <w:r w:rsidRPr="00E8450A">
              <w:rPr>
                <w:noProof/>
                <w:sz w:val="20"/>
                <w:highlight w:val="lightGray"/>
              </w:rPr>
              <w:t>106-98-9</w:t>
            </w:r>
          </w:p>
        </w:tc>
      </w:tr>
      <w:tr w:rsidR="005C7768" w:rsidRPr="00E8450A" w:rsidTr="00236AB6">
        <w:tc>
          <w:tcPr>
            <w:tcW w:w="1417" w:type="dxa"/>
            <w:vMerge/>
          </w:tcPr>
          <w:p w:rsidR="005C7768" w:rsidRPr="00E8450A" w:rsidRDefault="005C7768" w:rsidP="0026263A">
            <w:pPr>
              <w:ind w:left="851" w:hanging="851"/>
              <w:jc w:val="left"/>
              <w:rPr>
                <w:noProof/>
                <w:sz w:val="20"/>
                <w:highlight w:val="lightGray"/>
              </w:rPr>
            </w:pPr>
          </w:p>
        </w:tc>
        <w:tc>
          <w:tcPr>
            <w:tcW w:w="2268" w:type="dxa"/>
            <w:vAlign w:val="center"/>
          </w:tcPr>
          <w:p w:rsidR="005C7768" w:rsidRPr="00E8450A" w:rsidRDefault="005C7768" w:rsidP="0026263A">
            <w:pPr>
              <w:ind w:left="851" w:hanging="851"/>
              <w:jc w:val="left"/>
              <w:rPr>
                <w:noProof/>
                <w:sz w:val="20"/>
                <w:highlight w:val="lightGray"/>
              </w:rPr>
            </w:pPr>
            <w:r w:rsidRPr="00E8450A">
              <w:rPr>
                <w:noProof/>
                <w:sz w:val="20"/>
                <w:highlight w:val="lightGray"/>
              </w:rPr>
              <w:t>trans-2-butén</w:t>
            </w:r>
          </w:p>
        </w:tc>
        <w:tc>
          <w:tcPr>
            <w:tcW w:w="2552" w:type="dxa"/>
          </w:tcPr>
          <w:p w:rsidR="005C7768" w:rsidRPr="00E8450A" w:rsidRDefault="005C7768" w:rsidP="0026263A">
            <w:pPr>
              <w:jc w:val="left"/>
              <w:rPr>
                <w:noProof/>
                <w:sz w:val="20"/>
                <w:highlight w:val="lightGray"/>
              </w:rPr>
            </w:pPr>
            <w:r w:rsidRPr="00E8450A">
              <w:rPr>
                <w:noProof/>
                <w:sz w:val="20"/>
                <w:highlight w:val="lightGray"/>
              </w:rPr>
              <w:t>(</w:t>
            </w:r>
            <w:r w:rsidRPr="00E8450A">
              <w:rPr>
                <w:i/>
                <w:iCs/>
                <w:noProof/>
                <w:sz w:val="20"/>
                <w:highlight w:val="lightGray"/>
              </w:rPr>
              <w:t>E</w:t>
            </w:r>
            <w:r w:rsidRPr="00E8450A">
              <w:rPr>
                <w:noProof/>
                <w:sz w:val="20"/>
                <w:highlight w:val="lightGray"/>
              </w:rPr>
              <w:t>)-but-2-én</w:t>
            </w:r>
          </w:p>
        </w:tc>
        <w:tc>
          <w:tcPr>
            <w:tcW w:w="1134" w:type="dxa"/>
          </w:tcPr>
          <w:p w:rsidR="005C7768" w:rsidRPr="00E8450A" w:rsidRDefault="005C7768" w:rsidP="0026263A">
            <w:pPr>
              <w:ind w:left="851" w:hanging="851"/>
              <w:jc w:val="left"/>
              <w:rPr>
                <w:noProof/>
                <w:sz w:val="20"/>
                <w:highlight w:val="lightGray"/>
              </w:rPr>
            </w:pPr>
            <w:r w:rsidRPr="00E8450A">
              <w:rPr>
                <w:noProof/>
                <w:sz w:val="20"/>
                <w:highlight w:val="lightGray"/>
              </w:rPr>
              <w:t>C</w:t>
            </w:r>
            <w:r w:rsidRPr="00E8450A">
              <w:rPr>
                <w:noProof/>
                <w:sz w:val="20"/>
                <w:highlight w:val="lightGray"/>
                <w:vertAlign w:val="subscript"/>
              </w:rPr>
              <w:t>4</w:t>
            </w:r>
            <w:r w:rsidRPr="00E8450A">
              <w:rPr>
                <w:noProof/>
                <w:sz w:val="20"/>
                <w:highlight w:val="lightGray"/>
              </w:rPr>
              <w:t>H</w:t>
            </w:r>
            <w:r w:rsidRPr="00E8450A">
              <w:rPr>
                <w:noProof/>
                <w:sz w:val="20"/>
                <w:highlight w:val="lightGray"/>
                <w:vertAlign w:val="subscript"/>
              </w:rPr>
              <w:t>8</w:t>
            </w:r>
          </w:p>
        </w:tc>
        <w:tc>
          <w:tcPr>
            <w:tcW w:w="1275" w:type="dxa"/>
            <w:vAlign w:val="center"/>
          </w:tcPr>
          <w:p w:rsidR="005C7768" w:rsidRPr="00E8450A" w:rsidRDefault="005C7768" w:rsidP="0026263A">
            <w:pPr>
              <w:ind w:left="851" w:hanging="851"/>
              <w:jc w:val="left"/>
              <w:rPr>
                <w:noProof/>
                <w:sz w:val="20"/>
                <w:highlight w:val="lightGray"/>
              </w:rPr>
            </w:pPr>
            <w:r w:rsidRPr="00E8450A">
              <w:rPr>
                <w:noProof/>
                <w:sz w:val="20"/>
                <w:highlight w:val="lightGray"/>
              </w:rPr>
              <w:t>624-64-6</w:t>
            </w:r>
          </w:p>
        </w:tc>
      </w:tr>
      <w:tr w:rsidR="005C7768" w:rsidRPr="00E8450A" w:rsidTr="00236AB6">
        <w:tc>
          <w:tcPr>
            <w:tcW w:w="1417" w:type="dxa"/>
            <w:vMerge/>
          </w:tcPr>
          <w:p w:rsidR="005C7768" w:rsidRPr="00E8450A" w:rsidRDefault="005C7768" w:rsidP="0026263A">
            <w:pPr>
              <w:ind w:left="851" w:hanging="851"/>
              <w:jc w:val="left"/>
              <w:rPr>
                <w:noProof/>
                <w:sz w:val="20"/>
                <w:highlight w:val="lightGray"/>
              </w:rPr>
            </w:pPr>
          </w:p>
        </w:tc>
        <w:tc>
          <w:tcPr>
            <w:tcW w:w="2268" w:type="dxa"/>
            <w:vAlign w:val="center"/>
          </w:tcPr>
          <w:p w:rsidR="005C7768" w:rsidRPr="00E8450A" w:rsidRDefault="005C7768" w:rsidP="0026263A">
            <w:pPr>
              <w:ind w:left="851" w:hanging="851"/>
              <w:jc w:val="left"/>
              <w:rPr>
                <w:noProof/>
                <w:sz w:val="20"/>
                <w:highlight w:val="lightGray"/>
              </w:rPr>
            </w:pPr>
            <w:r w:rsidRPr="00E8450A">
              <w:rPr>
                <w:noProof/>
                <w:sz w:val="20"/>
                <w:highlight w:val="lightGray"/>
              </w:rPr>
              <w:t>cis-2-butén</w:t>
            </w:r>
          </w:p>
        </w:tc>
        <w:tc>
          <w:tcPr>
            <w:tcW w:w="2552" w:type="dxa"/>
          </w:tcPr>
          <w:p w:rsidR="005C7768" w:rsidRPr="00E8450A" w:rsidRDefault="005C7768" w:rsidP="0026263A">
            <w:pPr>
              <w:jc w:val="left"/>
              <w:rPr>
                <w:noProof/>
                <w:sz w:val="20"/>
                <w:highlight w:val="lightGray"/>
              </w:rPr>
            </w:pPr>
            <w:r w:rsidRPr="00E8450A">
              <w:rPr>
                <w:noProof/>
                <w:sz w:val="20"/>
                <w:highlight w:val="lightGray"/>
              </w:rPr>
              <w:t>(</w:t>
            </w:r>
            <w:r w:rsidRPr="00E8450A">
              <w:rPr>
                <w:i/>
                <w:iCs/>
                <w:noProof/>
                <w:sz w:val="20"/>
                <w:highlight w:val="lightGray"/>
              </w:rPr>
              <w:t>Z</w:t>
            </w:r>
            <w:r w:rsidRPr="00E8450A">
              <w:rPr>
                <w:noProof/>
                <w:sz w:val="20"/>
                <w:highlight w:val="lightGray"/>
              </w:rPr>
              <w:t>)-but-2-én</w:t>
            </w:r>
          </w:p>
        </w:tc>
        <w:tc>
          <w:tcPr>
            <w:tcW w:w="1134" w:type="dxa"/>
          </w:tcPr>
          <w:p w:rsidR="005C7768" w:rsidRPr="00E8450A" w:rsidRDefault="005C7768" w:rsidP="0026263A">
            <w:pPr>
              <w:ind w:left="851" w:hanging="851"/>
              <w:jc w:val="left"/>
              <w:rPr>
                <w:noProof/>
                <w:sz w:val="20"/>
                <w:highlight w:val="lightGray"/>
              </w:rPr>
            </w:pPr>
            <w:r w:rsidRPr="00E8450A">
              <w:rPr>
                <w:noProof/>
                <w:sz w:val="20"/>
                <w:highlight w:val="lightGray"/>
              </w:rPr>
              <w:t>C</w:t>
            </w:r>
            <w:r w:rsidRPr="00E8450A">
              <w:rPr>
                <w:noProof/>
                <w:sz w:val="20"/>
                <w:highlight w:val="lightGray"/>
                <w:vertAlign w:val="subscript"/>
              </w:rPr>
              <w:t>4</w:t>
            </w:r>
            <w:r w:rsidRPr="00E8450A">
              <w:rPr>
                <w:noProof/>
                <w:sz w:val="20"/>
                <w:highlight w:val="lightGray"/>
              </w:rPr>
              <w:t>H</w:t>
            </w:r>
            <w:r w:rsidRPr="00E8450A">
              <w:rPr>
                <w:noProof/>
                <w:sz w:val="20"/>
                <w:highlight w:val="lightGray"/>
                <w:vertAlign w:val="subscript"/>
              </w:rPr>
              <w:t>8</w:t>
            </w:r>
          </w:p>
        </w:tc>
        <w:tc>
          <w:tcPr>
            <w:tcW w:w="1275" w:type="dxa"/>
            <w:vAlign w:val="center"/>
          </w:tcPr>
          <w:p w:rsidR="005C7768" w:rsidRPr="00E8450A" w:rsidRDefault="005C7768" w:rsidP="0026263A">
            <w:pPr>
              <w:ind w:left="851" w:hanging="851"/>
              <w:jc w:val="left"/>
              <w:rPr>
                <w:noProof/>
                <w:sz w:val="20"/>
                <w:highlight w:val="lightGray"/>
              </w:rPr>
            </w:pPr>
            <w:r w:rsidRPr="00E8450A">
              <w:rPr>
                <w:noProof/>
                <w:sz w:val="20"/>
                <w:highlight w:val="lightGray"/>
              </w:rPr>
              <w:t>590-18-1</w:t>
            </w:r>
          </w:p>
        </w:tc>
      </w:tr>
      <w:tr w:rsidR="005C7768" w:rsidRPr="00E8450A" w:rsidTr="00236AB6">
        <w:tc>
          <w:tcPr>
            <w:tcW w:w="1417" w:type="dxa"/>
            <w:vMerge/>
          </w:tcPr>
          <w:p w:rsidR="005C7768" w:rsidRPr="00E8450A" w:rsidRDefault="005C7768" w:rsidP="0026263A">
            <w:pPr>
              <w:ind w:left="851" w:hanging="851"/>
              <w:jc w:val="left"/>
              <w:rPr>
                <w:noProof/>
                <w:sz w:val="20"/>
                <w:highlight w:val="lightGray"/>
              </w:rPr>
            </w:pPr>
          </w:p>
        </w:tc>
        <w:tc>
          <w:tcPr>
            <w:tcW w:w="2268" w:type="dxa"/>
            <w:vAlign w:val="center"/>
          </w:tcPr>
          <w:p w:rsidR="005C7768" w:rsidRPr="00E8450A" w:rsidRDefault="005C7768" w:rsidP="0026263A">
            <w:pPr>
              <w:ind w:left="851" w:hanging="851"/>
              <w:jc w:val="left"/>
              <w:rPr>
                <w:noProof/>
                <w:sz w:val="20"/>
                <w:highlight w:val="lightGray"/>
              </w:rPr>
            </w:pPr>
            <w:r w:rsidRPr="00E8450A">
              <w:rPr>
                <w:noProof/>
                <w:sz w:val="20"/>
                <w:highlight w:val="lightGray"/>
              </w:rPr>
              <w:t>1-pentén</w:t>
            </w:r>
          </w:p>
        </w:tc>
        <w:tc>
          <w:tcPr>
            <w:tcW w:w="2552" w:type="dxa"/>
          </w:tcPr>
          <w:p w:rsidR="005C7768" w:rsidRPr="00E8450A" w:rsidRDefault="005C7768" w:rsidP="0026263A">
            <w:pPr>
              <w:jc w:val="left"/>
              <w:rPr>
                <w:noProof/>
                <w:sz w:val="20"/>
                <w:highlight w:val="lightGray"/>
              </w:rPr>
            </w:pPr>
            <w:r w:rsidRPr="00E8450A">
              <w:rPr>
                <w:noProof/>
                <w:sz w:val="20"/>
                <w:highlight w:val="lightGray"/>
              </w:rPr>
              <w:t>pent-1-én</w:t>
            </w:r>
          </w:p>
        </w:tc>
        <w:tc>
          <w:tcPr>
            <w:tcW w:w="1134" w:type="dxa"/>
          </w:tcPr>
          <w:p w:rsidR="005C7768" w:rsidRPr="00E8450A" w:rsidRDefault="005C7768" w:rsidP="0026263A">
            <w:pPr>
              <w:ind w:left="851" w:hanging="851"/>
              <w:jc w:val="left"/>
              <w:rPr>
                <w:noProof/>
                <w:sz w:val="20"/>
                <w:highlight w:val="lightGray"/>
              </w:rPr>
            </w:pPr>
            <w:r w:rsidRPr="00E8450A">
              <w:rPr>
                <w:noProof/>
                <w:sz w:val="20"/>
                <w:highlight w:val="lightGray"/>
              </w:rPr>
              <w:t>C</w:t>
            </w:r>
            <w:r w:rsidRPr="00E8450A">
              <w:rPr>
                <w:noProof/>
                <w:sz w:val="20"/>
                <w:highlight w:val="lightGray"/>
                <w:vertAlign w:val="subscript"/>
              </w:rPr>
              <w:t>5</w:t>
            </w:r>
            <w:r w:rsidRPr="00E8450A">
              <w:rPr>
                <w:noProof/>
                <w:sz w:val="20"/>
                <w:highlight w:val="lightGray"/>
              </w:rPr>
              <w:t>H</w:t>
            </w:r>
            <w:r w:rsidRPr="00E8450A">
              <w:rPr>
                <w:noProof/>
                <w:sz w:val="20"/>
                <w:highlight w:val="lightGray"/>
                <w:vertAlign w:val="subscript"/>
              </w:rPr>
              <w:t>10</w:t>
            </w:r>
          </w:p>
        </w:tc>
        <w:tc>
          <w:tcPr>
            <w:tcW w:w="1275" w:type="dxa"/>
            <w:vAlign w:val="center"/>
          </w:tcPr>
          <w:p w:rsidR="005C7768" w:rsidRPr="00E8450A" w:rsidRDefault="005C7768" w:rsidP="0026263A">
            <w:pPr>
              <w:ind w:left="851" w:hanging="851"/>
              <w:jc w:val="left"/>
              <w:rPr>
                <w:noProof/>
                <w:sz w:val="20"/>
                <w:highlight w:val="lightGray"/>
              </w:rPr>
            </w:pPr>
            <w:r w:rsidRPr="00E8450A">
              <w:rPr>
                <w:noProof/>
                <w:sz w:val="20"/>
                <w:highlight w:val="lightGray"/>
              </w:rPr>
              <w:t>109-67-1</w:t>
            </w:r>
          </w:p>
        </w:tc>
      </w:tr>
      <w:tr w:rsidR="00F965F6" w:rsidRPr="00E8450A" w:rsidTr="00236AB6">
        <w:tc>
          <w:tcPr>
            <w:tcW w:w="1417" w:type="dxa"/>
            <w:vMerge/>
            <w:vAlign w:val="center"/>
          </w:tcPr>
          <w:p w:rsidR="00F965F6" w:rsidRPr="00E8450A" w:rsidRDefault="00F965F6" w:rsidP="0026263A">
            <w:pPr>
              <w:ind w:left="851" w:hanging="851"/>
              <w:jc w:val="left"/>
              <w:rPr>
                <w:noProof/>
                <w:sz w:val="20"/>
                <w:highlight w:val="lightGray"/>
              </w:rPr>
            </w:pPr>
          </w:p>
        </w:tc>
        <w:tc>
          <w:tcPr>
            <w:tcW w:w="2268" w:type="dxa"/>
            <w:vMerge w:val="restart"/>
            <w:vAlign w:val="center"/>
          </w:tcPr>
          <w:p w:rsidR="00F965F6" w:rsidRPr="00E8450A" w:rsidRDefault="00F965F6" w:rsidP="0026263A">
            <w:pPr>
              <w:ind w:left="851" w:hanging="851"/>
              <w:jc w:val="left"/>
              <w:rPr>
                <w:noProof/>
                <w:sz w:val="20"/>
                <w:highlight w:val="lightGray"/>
              </w:rPr>
            </w:pPr>
            <w:r w:rsidRPr="00E8450A">
              <w:rPr>
                <w:noProof/>
                <w:sz w:val="20"/>
                <w:highlight w:val="lightGray"/>
              </w:rPr>
              <w:t>2-pentén</w:t>
            </w:r>
          </w:p>
        </w:tc>
        <w:tc>
          <w:tcPr>
            <w:tcW w:w="2552" w:type="dxa"/>
          </w:tcPr>
          <w:p w:rsidR="00F965F6" w:rsidRPr="00E8450A" w:rsidRDefault="00F965F6" w:rsidP="0026263A">
            <w:pPr>
              <w:jc w:val="left"/>
              <w:rPr>
                <w:noProof/>
                <w:sz w:val="20"/>
                <w:highlight w:val="lightGray"/>
              </w:rPr>
            </w:pPr>
            <w:r w:rsidRPr="00E8450A">
              <w:rPr>
                <w:noProof/>
                <w:sz w:val="20"/>
                <w:highlight w:val="lightGray"/>
              </w:rPr>
              <w:t>(</w:t>
            </w:r>
            <w:r w:rsidRPr="00E8450A">
              <w:rPr>
                <w:i/>
                <w:iCs/>
                <w:noProof/>
                <w:sz w:val="20"/>
                <w:highlight w:val="lightGray"/>
              </w:rPr>
              <w:t>Z</w:t>
            </w:r>
            <w:r w:rsidRPr="00E8450A">
              <w:rPr>
                <w:noProof/>
                <w:sz w:val="20"/>
                <w:highlight w:val="lightGray"/>
              </w:rPr>
              <w:t>)-pent-2-én</w:t>
            </w:r>
          </w:p>
          <w:p w:rsidR="00F965F6" w:rsidRPr="00E8450A" w:rsidRDefault="00F965F6" w:rsidP="0026263A">
            <w:pPr>
              <w:jc w:val="left"/>
              <w:rPr>
                <w:noProof/>
                <w:sz w:val="20"/>
                <w:highlight w:val="lightGray"/>
              </w:rPr>
            </w:pPr>
          </w:p>
        </w:tc>
        <w:tc>
          <w:tcPr>
            <w:tcW w:w="1134" w:type="dxa"/>
            <w:vMerge w:val="restart"/>
            <w:vAlign w:val="center"/>
          </w:tcPr>
          <w:p w:rsidR="00F965F6" w:rsidRPr="00E8450A" w:rsidRDefault="00F965F6" w:rsidP="0026263A">
            <w:pPr>
              <w:ind w:left="851" w:hanging="851"/>
              <w:jc w:val="left"/>
              <w:rPr>
                <w:noProof/>
                <w:sz w:val="20"/>
                <w:highlight w:val="lightGray"/>
              </w:rPr>
            </w:pPr>
            <w:r w:rsidRPr="00E8450A">
              <w:rPr>
                <w:noProof/>
                <w:sz w:val="20"/>
                <w:highlight w:val="lightGray"/>
              </w:rPr>
              <w:t>C</w:t>
            </w:r>
            <w:r w:rsidRPr="00E8450A">
              <w:rPr>
                <w:noProof/>
                <w:sz w:val="20"/>
                <w:highlight w:val="lightGray"/>
                <w:vertAlign w:val="subscript"/>
              </w:rPr>
              <w:t>5</w:t>
            </w:r>
            <w:r w:rsidRPr="00E8450A">
              <w:rPr>
                <w:noProof/>
                <w:sz w:val="20"/>
                <w:highlight w:val="lightGray"/>
              </w:rPr>
              <w:t>H</w:t>
            </w:r>
            <w:r w:rsidRPr="00E8450A">
              <w:rPr>
                <w:noProof/>
                <w:sz w:val="20"/>
                <w:highlight w:val="lightGray"/>
                <w:vertAlign w:val="subscript"/>
              </w:rPr>
              <w:t>10</w:t>
            </w:r>
          </w:p>
        </w:tc>
        <w:tc>
          <w:tcPr>
            <w:tcW w:w="1275" w:type="dxa"/>
            <w:vAlign w:val="center"/>
          </w:tcPr>
          <w:p w:rsidR="00F965F6" w:rsidRPr="00E8450A" w:rsidRDefault="00F965F6" w:rsidP="009D16E9">
            <w:pPr>
              <w:ind w:left="-3" w:firstLine="3"/>
              <w:jc w:val="left"/>
              <w:rPr>
                <w:noProof/>
                <w:sz w:val="20"/>
                <w:highlight w:val="lightGray"/>
              </w:rPr>
            </w:pPr>
            <w:r w:rsidRPr="00E8450A">
              <w:rPr>
                <w:noProof/>
                <w:sz w:val="20"/>
                <w:highlight w:val="lightGray"/>
              </w:rPr>
              <w:t>627-20-3 (</w:t>
            </w:r>
            <w:r w:rsidRPr="00E8450A">
              <w:rPr>
                <w:i/>
                <w:iCs/>
                <w:noProof/>
                <w:sz w:val="20"/>
                <w:highlight w:val="lightGray"/>
              </w:rPr>
              <w:t>cis</w:t>
            </w:r>
            <w:r w:rsidRPr="00E8450A">
              <w:rPr>
                <w:noProof/>
                <w:sz w:val="20"/>
                <w:highlight w:val="lightGray"/>
              </w:rPr>
              <w:t>-2 pentén)</w:t>
            </w:r>
          </w:p>
        </w:tc>
      </w:tr>
      <w:tr w:rsidR="00F965F6" w:rsidRPr="00E8450A" w:rsidTr="00236AB6">
        <w:tc>
          <w:tcPr>
            <w:tcW w:w="1417" w:type="dxa"/>
            <w:vMerge/>
            <w:vAlign w:val="center"/>
          </w:tcPr>
          <w:p w:rsidR="00F965F6" w:rsidRPr="00E8450A" w:rsidRDefault="00F965F6" w:rsidP="0026263A">
            <w:pPr>
              <w:ind w:left="851" w:hanging="851"/>
              <w:jc w:val="left"/>
              <w:rPr>
                <w:noProof/>
                <w:sz w:val="20"/>
                <w:highlight w:val="lightGray"/>
              </w:rPr>
            </w:pPr>
          </w:p>
        </w:tc>
        <w:tc>
          <w:tcPr>
            <w:tcW w:w="2268" w:type="dxa"/>
            <w:vMerge/>
            <w:vAlign w:val="center"/>
          </w:tcPr>
          <w:p w:rsidR="00F965F6" w:rsidRPr="00E8450A" w:rsidRDefault="00F965F6" w:rsidP="0026263A">
            <w:pPr>
              <w:ind w:left="851" w:hanging="851"/>
              <w:jc w:val="left"/>
              <w:rPr>
                <w:noProof/>
                <w:sz w:val="20"/>
                <w:highlight w:val="lightGray"/>
              </w:rPr>
            </w:pPr>
          </w:p>
        </w:tc>
        <w:tc>
          <w:tcPr>
            <w:tcW w:w="2552" w:type="dxa"/>
          </w:tcPr>
          <w:p w:rsidR="00F965F6" w:rsidRPr="00E8450A" w:rsidRDefault="00F965F6" w:rsidP="0026263A">
            <w:pPr>
              <w:jc w:val="left"/>
              <w:rPr>
                <w:noProof/>
                <w:sz w:val="20"/>
                <w:highlight w:val="lightGray"/>
              </w:rPr>
            </w:pPr>
            <w:r w:rsidRPr="00E8450A">
              <w:rPr>
                <w:noProof/>
                <w:sz w:val="20"/>
                <w:highlight w:val="lightGray"/>
              </w:rPr>
              <w:t>(</w:t>
            </w:r>
            <w:r w:rsidRPr="00E8450A">
              <w:rPr>
                <w:i/>
                <w:iCs/>
                <w:noProof/>
                <w:sz w:val="20"/>
                <w:highlight w:val="lightGray"/>
              </w:rPr>
              <w:t>E</w:t>
            </w:r>
            <w:r w:rsidRPr="00E8450A">
              <w:rPr>
                <w:noProof/>
                <w:sz w:val="20"/>
                <w:highlight w:val="lightGray"/>
              </w:rPr>
              <w:t>)-pent-2-én</w:t>
            </w:r>
          </w:p>
        </w:tc>
        <w:tc>
          <w:tcPr>
            <w:tcW w:w="1134" w:type="dxa"/>
            <w:vMerge/>
            <w:vAlign w:val="center"/>
          </w:tcPr>
          <w:p w:rsidR="00F965F6" w:rsidRPr="00E8450A" w:rsidRDefault="00F965F6" w:rsidP="0026263A">
            <w:pPr>
              <w:ind w:left="851" w:hanging="851"/>
              <w:jc w:val="left"/>
              <w:rPr>
                <w:noProof/>
                <w:sz w:val="20"/>
                <w:highlight w:val="lightGray"/>
              </w:rPr>
            </w:pPr>
          </w:p>
        </w:tc>
        <w:tc>
          <w:tcPr>
            <w:tcW w:w="1275" w:type="dxa"/>
            <w:vAlign w:val="center"/>
          </w:tcPr>
          <w:p w:rsidR="00F965F6" w:rsidRPr="00E8450A" w:rsidRDefault="00F965F6" w:rsidP="009D16E9">
            <w:pPr>
              <w:ind w:left="-3"/>
              <w:jc w:val="left"/>
              <w:rPr>
                <w:noProof/>
                <w:sz w:val="20"/>
                <w:highlight w:val="lightGray"/>
              </w:rPr>
            </w:pPr>
            <w:r w:rsidRPr="00E8450A">
              <w:rPr>
                <w:noProof/>
                <w:sz w:val="20"/>
                <w:highlight w:val="lightGray"/>
              </w:rPr>
              <w:t>646-04-8 (</w:t>
            </w:r>
            <w:r w:rsidRPr="00E8450A">
              <w:rPr>
                <w:i/>
                <w:iCs/>
                <w:noProof/>
                <w:sz w:val="20"/>
                <w:highlight w:val="lightGray"/>
              </w:rPr>
              <w:t>trans</w:t>
            </w:r>
            <w:r w:rsidRPr="00E8450A">
              <w:rPr>
                <w:noProof/>
                <w:sz w:val="20"/>
                <w:highlight w:val="lightGray"/>
              </w:rPr>
              <w:t>-2 pentén)</w:t>
            </w:r>
          </w:p>
        </w:tc>
      </w:tr>
      <w:tr w:rsidR="005C7768" w:rsidRPr="00E8450A" w:rsidTr="00236AB6">
        <w:tc>
          <w:tcPr>
            <w:tcW w:w="1417" w:type="dxa"/>
            <w:vMerge w:val="restart"/>
            <w:vAlign w:val="center"/>
          </w:tcPr>
          <w:p w:rsidR="005C7768" w:rsidRPr="00E8450A" w:rsidRDefault="005C7768" w:rsidP="00236AB6">
            <w:pPr>
              <w:jc w:val="left"/>
              <w:rPr>
                <w:noProof/>
                <w:sz w:val="20"/>
                <w:highlight w:val="lightGray"/>
              </w:rPr>
            </w:pPr>
            <w:r w:rsidRPr="00E8450A">
              <w:rPr>
                <w:noProof/>
                <w:sz w:val="20"/>
                <w:highlight w:val="lightGray"/>
              </w:rPr>
              <w:t>Aromatické uhľovodíky</w:t>
            </w:r>
          </w:p>
        </w:tc>
        <w:tc>
          <w:tcPr>
            <w:tcW w:w="2268" w:type="dxa"/>
            <w:vAlign w:val="center"/>
          </w:tcPr>
          <w:p w:rsidR="005C7768" w:rsidRPr="00E8450A" w:rsidRDefault="005C7768" w:rsidP="0026263A">
            <w:pPr>
              <w:ind w:left="851" w:hanging="851"/>
              <w:jc w:val="left"/>
              <w:rPr>
                <w:noProof/>
                <w:sz w:val="20"/>
                <w:highlight w:val="lightGray"/>
              </w:rPr>
            </w:pPr>
            <w:r w:rsidRPr="00E8450A">
              <w:rPr>
                <w:noProof/>
                <w:sz w:val="20"/>
                <w:highlight w:val="lightGray"/>
              </w:rPr>
              <w:t>benzén</w:t>
            </w:r>
          </w:p>
        </w:tc>
        <w:tc>
          <w:tcPr>
            <w:tcW w:w="2552" w:type="dxa"/>
          </w:tcPr>
          <w:p w:rsidR="005C7768" w:rsidRPr="00E8450A" w:rsidRDefault="005C7768" w:rsidP="0026263A">
            <w:pPr>
              <w:jc w:val="left"/>
              <w:rPr>
                <w:noProof/>
                <w:sz w:val="20"/>
                <w:highlight w:val="lightGray"/>
              </w:rPr>
            </w:pPr>
            <w:r w:rsidRPr="00E8450A">
              <w:rPr>
                <w:noProof/>
                <w:sz w:val="20"/>
                <w:highlight w:val="lightGray"/>
              </w:rPr>
              <w:t>benzén</w:t>
            </w:r>
          </w:p>
        </w:tc>
        <w:tc>
          <w:tcPr>
            <w:tcW w:w="1134" w:type="dxa"/>
          </w:tcPr>
          <w:p w:rsidR="005C7768" w:rsidRPr="00E8450A" w:rsidRDefault="005C7768" w:rsidP="0026263A">
            <w:pPr>
              <w:ind w:left="851" w:hanging="851"/>
              <w:jc w:val="left"/>
              <w:rPr>
                <w:noProof/>
                <w:sz w:val="20"/>
                <w:highlight w:val="lightGray"/>
              </w:rPr>
            </w:pPr>
            <w:r w:rsidRPr="00E8450A">
              <w:rPr>
                <w:noProof/>
                <w:sz w:val="20"/>
                <w:highlight w:val="lightGray"/>
              </w:rPr>
              <w:t>C</w:t>
            </w:r>
            <w:r w:rsidRPr="00E8450A">
              <w:rPr>
                <w:noProof/>
                <w:sz w:val="20"/>
                <w:highlight w:val="lightGray"/>
                <w:vertAlign w:val="subscript"/>
              </w:rPr>
              <w:t>6</w:t>
            </w:r>
            <w:r w:rsidRPr="00E8450A">
              <w:rPr>
                <w:noProof/>
                <w:sz w:val="20"/>
                <w:highlight w:val="lightGray"/>
              </w:rPr>
              <w:t>H</w:t>
            </w:r>
            <w:r w:rsidRPr="00E8450A">
              <w:rPr>
                <w:noProof/>
                <w:sz w:val="20"/>
                <w:highlight w:val="lightGray"/>
                <w:vertAlign w:val="subscript"/>
              </w:rPr>
              <w:t>6</w:t>
            </w:r>
          </w:p>
        </w:tc>
        <w:tc>
          <w:tcPr>
            <w:tcW w:w="1275" w:type="dxa"/>
            <w:vAlign w:val="center"/>
          </w:tcPr>
          <w:p w:rsidR="005C7768" w:rsidRPr="00E8450A" w:rsidRDefault="005C7768" w:rsidP="0026263A">
            <w:pPr>
              <w:ind w:left="851" w:hanging="851"/>
              <w:jc w:val="left"/>
              <w:rPr>
                <w:noProof/>
                <w:sz w:val="20"/>
                <w:highlight w:val="lightGray"/>
              </w:rPr>
            </w:pPr>
            <w:r w:rsidRPr="00E8450A">
              <w:rPr>
                <w:noProof/>
                <w:sz w:val="20"/>
                <w:highlight w:val="lightGray"/>
              </w:rPr>
              <w:t>71-43-2</w:t>
            </w:r>
          </w:p>
        </w:tc>
      </w:tr>
      <w:tr w:rsidR="005C7768" w:rsidRPr="00E8450A" w:rsidTr="00236AB6">
        <w:tc>
          <w:tcPr>
            <w:tcW w:w="1417" w:type="dxa"/>
            <w:vMerge/>
          </w:tcPr>
          <w:p w:rsidR="005C7768" w:rsidRPr="00E8450A" w:rsidRDefault="005C7768" w:rsidP="0026263A">
            <w:pPr>
              <w:ind w:left="851" w:hanging="851"/>
              <w:jc w:val="left"/>
              <w:rPr>
                <w:noProof/>
                <w:sz w:val="20"/>
                <w:highlight w:val="lightGray"/>
              </w:rPr>
            </w:pPr>
          </w:p>
        </w:tc>
        <w:tc>
          <w:tcPr>
            <w:tcW w:w="2268" w:type="dxa"/>
            <w:vAlign w:val="center"/>
          </w:tcPr>
          <w:p w:rsidR="005C7768" w:rsidRPr="00E8450A" w:rsidRDefault="005C7768" w:rsidP="0026263A">
            <w:pPr>
              <w:ind w:left="851" w:hanging="851"/>
              <w:jc w:val="left"/>
              <w:rPr>
                <w:noProof/>
                <w:sz w:val="20"/>
                <w:highlight w:val="lightGray"/>
              </w:rPr>
            </w:pPr>
            <w:r w:rsidRPr="00E8450A">
              <w:rPr>
                <w:noProof/>
                <w:sz w:val="20"/>
                <w:highlight w:val="lightGray"/>
              </w:rPr>
              <w:t>toluén/metylbenzén</w:t>
            </w:r>
          </w:p>
        </w:tc>
        <w:tc>
          <w:tcPr>
            <w:tcW w:w="2552" w:type="dxa"/>
          </w:tcPr>
          <w:p w:rsidR="005C7768" w:rsidRPr="00E8450A" w:rsidRDefault="005C7768" w:rsidP="0026263A">
            <w:pPr>
              <w:jc w:val="left"/>
              <w:rPr>
                <w:noProof/>
                <w:sz w:val="20"/>
                <w:highlight w:val="lightGray"/>
              </w:rPr>
            </w:pPr>
            <w:r w:rsidRPr="00E8450A">
              <w:rPr>
                <w:noProof/>
                <w:sz w:val="20"/>
                <w:highlight w:val="lightGray"/>
              </w:rPr>
              <w:t>toluén</w:t>
            </w:r>
          </w:p>
        </w:tc>
        <w:tc>
          <w:tcPr>
            <w:tcW w:w="1134" w:type="dxa"/>
          </w:tcPr>
          <w:p w:rsidR="005C7768" w:rsidRPr="00E8450A" w:rsidRDefault="005C7768" w:rsidP="0026263A">
            <w:pPr>
              <w:ind w:left="851" w:hanging="851"/>
              <w:jc w:val="left"/>
              <w:rPr>
                <w:noProof/>
                <w:sz w:val="20"/>
                <w:highlight w:val="lightGray"/>
              </w:rPr>
            </w:pPr>
            <w:r w:rsidRPr="00E8450A">
              <w:rPr>
                <w:noProof/>
                <w:sz w:val="20"/>
                <w:highlight w:val="lightGray"/>
              </w:rPr>
              <w:t>C</w:t>
            </w:r>
            <w:r w:rsidRPr="00E8450A">
              <w:rPr>
                <w:noProof/>
                <w:sz w:val="20"/>
                <w:highlight w:val="lightGray"/>
                <w:vertAlign w:val="subscript"/>
              </w:rPr>
              <w:t>7</w:t>
            </w:r>
            <w:r w:rsidRPr="00E8450A">
              <w:rPr>
                <w:noProof/>
                <w:sz w:val="20"/>
                <w:highlight w:val="lightGray"/>
              </w:rPr>
              <w:t>H</w:t>
            </w:r>
            <w:r w:rsidRPr="00E8450A">
              <w:rPr>
                <w:noProof/>
                <w:sz w:val="20"/>
                <w:highlight w:val="lightGray"/>
                <w:vertAlign w:val="subscript"/>
              </w:rPr>
              <w:t>8</w:t>
            </w:r>
          </w:p>
        </w:tc>
        <w:tc>
          <w:tcPr>
            <w:tcW w:w="1275" w:type="dxa"/>
            <w:vAlign w:val="center"/>
          </w:tcPr>
          <w:p w:rsidR="005C7768" w:rsidRPr="00E8450A" w:rsidRDefault="005C7768" w:rsidP="0026263A">
            <w:pPr>
              <w:ind w:left="851" w:hanging="851"/>
              <w:jc w:val="left"/>
              <w:rPr>
                <w:noProof/>
                <w:sz w:val="20"/>
                <w:highlight w:val="lightGray"/>
              </w:rPr>
            </w:pPr>
            <w:r w:rsidRPr="00E8450A">
              <w:rPr>
                <w:noProof/>
                <w:sz w:val="20"/>
                <w:highlight w:val="lightGray"/>
              </w:rPr>
              <w:t>108-88-3</w:t>
            </w:r>
          </w:p>
        </w:tc>
      </w:tr>
      <w:tr w:rsidR="005C7768" w:rsidRPr="00E8450A" w:rsidTr="00236AB6">
        <w:tc>
          <w:tcPr>
            <w:tcW w:w="1417" w:type="dxa"/>
            <w:vMerge/>
          </w:tcPr>
          <w:p w:rsidR="005C7768" w:rsidRPr="00E8450A" w:rsidRDefault="005C7768" w:rsidP="0026263A">
            <w:pPr>
              <w:ind w:left="851" w:hanging="851"/>
              <w:jc w:val="left"/>
              <w:rPr>
                <w:noProof/>
                <w:sz w:val="20"/>
                <w:highlight w:val="lightGray"/>
              </w:rPr>
            </w:pPr>
          </w:p>
        </w:tc>
        <w:tc>
          <w:tcPr>
            <w:tcW w:w="2268" w:type="dxa"/>
            <w:vAlign w:val="center"/>
          </w:tcPr>
          <w:p w:rsidR="005C7768" w:rsidRPr="00E8450A" w:rsidRDefault="005C7768" w:rsidP="0026263A">
            <w:pPr>
              <w:ind w:left="851" w:hanging="851"/>
              <w:jc w:val="left"/>
              <w:rPr>
                <w:noProof/>
                <w:sz w:val="20"/>
                <w:highlight w:val="lightGray"/>
              </w:rPr>
            </w:pPr>
            <w:r w:rsidRPr="00E8450A">
              <w:rPr>
                <w:noProof/>
                <w:sz w:val="20"/>
                <w:highlight w:val="lightGray"/>
              </w:rPr>
              <w:t>etylbenzén</w:t>
            </w:r>
          </w:p>
        </w:tc>
        <w:tc>
          <w:tcPr>
            <w:tcW w:w="2552" w:type="dxa"/>
          </w:tcPr>
          <w:p w:rsidR="005C7768" w:rsidRPr="00E8450A" w:rsidRDefault="005C7768" w:rsidP="0026263A">
            <w:pPr>
              <w:jc w:val="left"/>
              <w:rPr>
                <w:noProof/>
                <w:sz w:val="20"/>
                <w:highlight w:val="lightGray"/>
              </w:rPr>
            </w:pPr>
            <w:r w:rsidRPr="00E8450A">
              <w:rPr>
                <w:noProof/>
                <w:sz w:val="20"/>
                <w:highlight w:val="lightGray"/>
              </w:rPr>
              <w:t>etylbenzén</w:t>
            </w:r>
          </w:p>
        </w:tc>
        <w:tc>
          <w:tcPr>
            <w:tcW w:w="1134" w:type="dxa"/>
          </w:tcPr>
          <w:p w:rsidR="005C7768" w:rsidRPr="00E8450A" w:rsidRDefault="005C7768" w:rsidP="0026263A">
            <w:pPr>
              <w:ind w:left="851" w:hanging="851"/>
              <w:jc w:val="left"/>
              <w:rPr>
                <w:noProof/>
                <w:sz w:val="20"/>
                <w:highlight w:val="lightGray"/>
              </w:rPr>
            </w:pPr>
            <w:r w:rsidRPr="00E8450A">
              <w:rPr>
                <w:noProof/>
                <w:sz w:val="20"/>
                <w:highlight w:val="lightGray"/>
              </w:rPr>
              <w:t>C</w:t>
            </w:r>
            <w:r w:rsidRPr="00E8450A">
              <w:rPr>
                <w:noProof/>
                <w:sz w:val="20"/>
                <w:highlight w:val="lightGray"/>
                <w:vertAlign w:val="subscript"/>
              </w:rPr>
              <w:t>8</w:t>
            </w:r>
            <w:r w:rsidRPr="00E8450A">
              <w:rPr>
                <w:noProof/>
                <w:sz w:val="20"/>
                <w:highlight w:val="lightGray"/>
              </w:rPr>
              <w:t>H</w:t>
            </w:r>
            <w:r w:rsidRPr="00E8450A">
              <w:rPr>
                <w:noProof/>
                <w:sz w:val="20"/>
                <w:highlight w:val="lightGray"/>
                <w:vertAlign w:val="subscript"/>
              </w:rPr>
              <w:t>10</w:t>
            </w:r>
          </w:p>
        </w:tc>
        <w:tc>
          <w:tcPr>
            <w:tcW w:w="1275" w:type="dxa"/>
            <w:vAlign w:val="center"/>
          </w:tcPr>
          <w:p w:rsidR="005C7768" w:rsidRPr="00E8450A" w:rsidRDefault="005C7768" w:rsidP="0026263A">
            <w:pPr>
              <w:ind w:left="851" w:hanging="851"/>
              <w:jc w:val="left"/>
              <w:rPr>
                <w:noProof/>
                <w:sz w:val="20"/>
                <w:highlight w:val="lightGray"/>
              </w:rPr>
            </w:pPr>
            <w:r w:rsidRPr="00E8450A">
              <w:rPr>
                <w:noProof/>
                <w:sz w:val="20"/>
                <w:highlight w:val="lightGray"/>
              </w:rPr>
              <w:t>100-41-4</w:t>
            </w:r>
          </w:p>
        </w:tc>
      </w:tr>
      <w:tr w:rsidR="00F965F6" w:rsidRPr="00E8450A" w:rsidTr="00236AB6">
        <w:tc>
          <w:tcPr>
            <w:tcW w:w="1417" w:type="dxa"/>
            <w:vMerge/>
            <w:vAlign w:val="center"/>
          </w:tcPr>
          <w:p w:rsidR="00F965F6" w:rsidRPr="00E8450A" w:rsidRDefault="00F965F6" w:rsidP="0026263A">
            <w:pPr>
              <w:ind w:left="851" w:hanging="851"/>
              <w:jc w:val="left"/>
              <w:rPr>
                <w:noProof/>
                <w:sz w:val="20"/>
                <w:highlight w:val="lightGray"/>
              </w:rPr>
            </w:pPr>
          </w:p>
        </w:tc>
        <w:tc>
          <w:tcPr>
            <w:tcW w:w="2268" w:type="dxa"/>
            <w:vMerge w:val="restart"/>
            <w:vAlign w:val="center"/>
          </w:tcPr>
          <w:p w:rsidR="00F965F6" w:rsidRPr="00E8450A" w:rsidRDefault="00F965F6" w:rsidP="0026263A">
            <w:pPr>
              <w:ind w:left="851" w:hanging="851"/>
              <w:jc w:val="left"/>
              <w:rPr>
                <w:noProof/>
                <w:sz w:val="20"/>
                <w:highlight w:val="lightGray"/>
              </w:rPr>
            </w:pPr>
            <w:r w:rsidRPr="00E8450A">
              <w:rPr>
                <w:i/>
                <w:iCs/>
                <w:noProof/>
                <w:sz w:val="20"/>
                <w:highlight w:val="lightGray"/>
              </w:rPr>
              <w:t>m</w:t>
            </w:r>
            <w:r w:rsidRPr="00E8450A">
              <w:rPr>
                <w:noProof/>
                <w:sz w:val="20"/>
                <w:highlight w:val="lightGray"/>
              </w:rPr>
              <w:t> + </w:t>
            </w:r>
            <w:r w:rsidRPr="00E8450A">
              <w:rPr>
                <w:i/>
                <w:iCs/>
                <w:noProof/>
                <w:sz w:val="20"/>
                <w:highlight w:val="lightGray"/>
              </w:rPr>
              <w:t>p</w:t>
            </w:r>
            <w:r w:rsidRPr="00E8450A">
              <w:rPr>
                <w:noProof/>
                <w:sz w:val="20"/>
                <w:highlight w:val="lightGray"/>
              </w:rPr>
              <w:t>-xylén</w:t>
            </w:r>
          </w:p>
        </w:tc>
        <w:tc>
          <w:tcPr>
            <w:tcW w:w="2552" w:type="dxa"/>
          </w:tcPr>
          <w:p w:rsidR="00F965F6" w:rsidRPr="00E8450A" w:rsidRDefault="00F965F6" w:rsidP="0026263A">
            <w:pPr>
              <w:jc w:val="left"/>
              <w:rPr>
                <w:rFonts w:cs="Arial"/>
                <w:noProof/>
                <w:sz w:val="20"/>
                <w:highlight w:val="lightGray"/>
              </w:rPr>
            </w:pPr>
            <w:r w:rsidRPr="00E8450A">
              <w:rPr>
                <w:noProof/>
                <w:sz w:val="20"/>
                <w:highlight w:val="lightGray"/>
              </w:rPr>
              <w:t>1,3-dimetylbenzén</w:t>
            </w:r>
            <w:r w:rsidR="008A1F90">
              <w:rPr>
                <w:noProof/>
                <w:sz w:val="20"/>
                <w:highlight w:val="lightGray"/>
              </w:rPr>
              <w:t xml:space="preserve"> </w:t>
            </w:r>
            <w:r w:rsidRPr="00E8450A">
              <w:rPr>
                <w:noProof/>
              </w:rPr>
              <w:br/>
            </w:r>
            <w:r w:rsidRPr="00E8450A">
              <w:rPr>
                <w:noProof/>
                <w:sz w:val="20"/>
                <w:highlight w:val="lightGray"/>
              </w:rPr>
              <w:t>(</w:t>
            </w:r>
            <w:r w:rsidRPr="00E8450A">
              <w:rPr>
                <w:i/>
                <w:iCs/>
                <w:noProof/>
                <w:sz w:val="20"/>
                <w:highlight w:val="lightGray"/>
              </w:rPr>
              <w:t>m</w:t>
            </w:r>
            <w:r w:rsidRPr="00E8450A">
              <w:rPr>
                <w:noProof/>
                <w:sz w:val="20"/>
                <w:highlight w:val="lightGray"/>
              </w:rPr>
              <w:t>-xylén)</w:t>
            </w:r>
          </w:p>
        </w:tc>
        <w:tc>
          <w:tcPr>
            <w:tcW w:w="1134" w:type="dxa"/>
            <w:vMerge w:val="restart"/>
            <w:vAlign w:val="center"/>
          </w:tcPr>
          <w:p w:rsidR="00F965F6" w:rsidRPr="00E8450A" w:rsidRDefault="00F965F6" w:rsidP="0026263A">
            <w:pPr>
              <w:ind w:left="851" w:hanging="851"/>
              <w:jc w:val="left"/>
              <w:rPr>
                <w:noProof/>
                <w:sz w:val="20"/>
                <w:highlight w:val="lightGray"/>
              </w:rPr>
            </w:pPr>
            <w:r w:rsidRPr="00E8450A">
              <w:rPr>
                <w:noProof/>
                <w:sz w:val="20"/>
                <w:highlight w:val="lightGray"/>
              </w:rPr>
              <w:t>C</w:t>
            </w:r>
            <w:r w:rsidRPr="00E8450A">
              <w:rPr>
                <w:noProof/>
                <w:sz w:val="20"/>
                <w:highlight w:val="lightGray"/>
                <w:vertAlign w:val="subscript"/>
              </w:rPr>
              <w:t>8</w:t>
            </w:r>
            <w:r w:rsidRPr="00E8450A">
              <w:rPr>
                <w:noProof/>
                <w:sz w:val="20"/>
                <w:highlight w:val="lightGray"/>
              </w:rPr>
              <w:t>H</w:t>
            </w:r>
            <w:r w:rsidRPr="00E8450A">
              <w:rPr>
                <w:noProof/>
                <w:sz w:val="20"/>
                <w:highlight w:val="lightGray"/>
                <w:vertAlign w:val="subscript"/>
              </w:rPr>
              <w:t>10</w:t>
            </w:r>
          </w:p>
        </w:tc>
        <w:tc>
          <w:tcPr>
            <w:tcW w:w="1275" w:type="dxa"/>
            <w:vAlign w:val="center"/>
          </w:tcPr>
          <w:p w:rsidR="00F965F6" w:rsidRPr="00E8450A" w:rsidRDefault="00F965F6" w:rsidP="009D16E9">
            <w:pPr>
              <w:ind w:left="-3" w:firstLine="3"/>
              <w:jc w:val="left"/>
              <w:rPr>
                <w:noProof/>
                <w:sz w:val="20"/>
                <w:highlight w:val="lightGray"/>
              </w:rPr>
            </w:pPr>
            <w:r w:rsidRPr="00E8450A">
              <w:rPr>
                <w:noProof/>
                <w:sz w:val="20"/>
                <w:highlight w:val="lightGray"/>
              </w:rPr>
              <w:t>108-38-3</w:t>
            </w:r>
            <w:r w:rsidRPr="00E8450A">
              <w:rPr>
                <w:noProof/>
              </w:rPr>
              <w:t xml:space="preserve"> </w:t>
            </w:r>
            <w:r w:rsidRPr="00E8450A">
              <w:rPr>
                <w:noProof/>
              </w:rPr>
              <w:br/>
            </w:r>
            <w:r w:rsidRPr="00E8450A">
              <w:rPr>
                <w:noProof/>
                <w:sz w:val="20"/>
                <w:highlight w:val="lightGray"/>
              </w:rPr>
              <w:t>(</w:t>
            </w:r>
            <w:r w:rsidRPr="00E8450A">
              <w:rPr>
                <w:i/>
                <w:iCs/>
                <w:noProof/>
                <w:sz w:val="20"/>
                <w:highlight w:val="lightGray"/>
              </w:rPr>
              <w:t>m</w:t>
            </w:r>
            <w:r w:rsidRPr="00E8450A">
              <w:rPr>
                <w:noProof/>
                <w:sz w:val="20"/>
                <w:highlight w:val="lightGray"/>
              </w:rPr>
              <w:t>-xylén)</w:t>
            </w:r>
          </w:p>
        </w:tc>
      </w:tr>
      <w:tr w:rsidR="00F965F6" w:rsidRPr="00E8450A" w:rsidTr="00236AB6">
        <w:tc>
          <w:tcPr>
            <w:tcW w:w="1417" w:type="dxa"/>
            <w:vMerge/>
            <w:vAlign w:val="center"/>
          </w:tcPr>
          <w:p w:rsidR="00F965F6" w:rsidRPr="00E8450A" w:rsidRDefault="00F965F6" w:rsidP="0026263A">
            <w:pPr>
              <w:ind w:left="851" w:hanging="851"/>
              <w:jc w:val="left"/>
              <w:rPr>
                <w:noProof/>
                <w:sz w:val="20"/>
                <w:highlight w:val="lightGray"/>
              </w:rPr>
            </w:pPr>
          </w:p>
        </w:tc>
        <w:tc>
          <w:tcPr>
            <w:tcW w:w="2268" w:type="dxa"/>
            <w:vMerge/>
            <w:vAlign w:val="center"/>
          </w:tcPr>
          <w:p w:rsidR="00F965F6" w:rsidRPr="00E8450A" w:rsidRDefault="00F965F6" w:rsidP="0026263A">
            <w:pPr>
              <w:ind w:left="851" w:hanging="851"/>
              <w:jc w:val="left"/>
              <w:rPr>
                <w:noProof/>
                <w:sz w:val="20"/>
                <w:highlight w:val="lightGray"/>
              </w:rPr>
            </w:pPr>
          </w:p>
        </w:tc>
        <w:tc>
          <w:tcPr>
            <w:tcW w:w="2552" w:type="dxa"/>
          </w:tcPr>
          <w:p w:rsidR="00F965F6" w:rsidRPr="00E8450A" w:rsidRDefault="00F965F6" w:rsidP="0026263A">
            <w:pPr>
              <w:jc w:val="left"/>
              <w:rPr>
                <w:rFonts w:cs="Arial"/>
                <w:noProof/>
                <w:sz w:val="20"/>
                <w:highlight w:val="lightGray"/>
              </w:rPr>
            </w:pPr>
            <w:r w:rsidRPr="00E8450A">
              <w:rPr>
                <w:noProof/>
                <w:sz w:val="20"/>
                <w:highlight w:val="lightGray"/>
              </w:rPr>
              <w:t>1,4-dimetylbenzén</w:t>
            </w:r>
            <w:r w:rsidR="008A1F90">
              <w:rPr>
                <w:noProof/>
                <w:sz w:val="20"/>
                <w:highlight w:val="lightGray"/>
              </w:rPr>
              <w:t xml:space="preserve"> </w:t>
            </w:r>
            <w:r w:rsidRPr="00E8450A">
              <w:rPr>
                <w:noProof/>
              </w:rPr>
              <w:br/>
            </w:r>
            <w:r w:rsidRPr="00E8450A">
              <w:rPr>
                <w:noProof/>
                <w:sz w:val="20"/>
                <w:highlight w:val="lightGray"/>
              </w:rPr>
              <w:t>(</w:t>
            </w:r>
            <w:r w:rsidRPr="00E8450A">
              <w:rPr>
                <w:i/>
                <w:iCs/>
                <w:noProof/>
                <w:sz w:val="20"/>
                <w:highlight w:val="lightGray"/>
              </w:rPr>
              <w:t>p</w:t>
            </w:r>
            <w:r w:rsidRPr="00E8450A">
              <w:rPr>
                <w:noProof/>
                <w:sz w:val="20"/>
                <w:highlight w:val="lightGray"/>
              </w:rPr>
              <w:t>-xylén)</w:t>
            </w:r>
          </w:p>
        </w:tc>
        <w:tc>
          <w:tcPr>
            <w:tcW w:w="1134" w:type="dxa"/>
            <w:vMerge/>
            <w:vAlign w:val="center"/>
          </w:tcPr>
          <w:p w:rsidR="00F965F6" w:rsidRPr="00E8450A" w:rsidRDefault="00F965F6" w:rsidP="0026263A">
            <w:pPr>
              <w:ind w:left="851" w:hanging="851"/>
              <w:jc w:val="left"/>
              <w:rPr>
                <w:noProof/>
                <w:sz w:val="20"/>
                <w:highlight w:val="lightGray"/>
              </w:rPr>
            </w:pPr>
          </w:p>
        </w:tc>
        <w:tc>
          <w:tcPr>
            <w:tcW w:w="1275" w:type="dxa"/>
            <w:vAlign w:val="center"/>
          </w:tcPr>
          <w:p w:rsidR="00F965F6" w:rsidRPr="00E8450A" w:rsidRDefault="00F965F6" w:rsidP="009D16E9">
            <w:pPr>
              <w:jc w:val="left"/>
              <w:rPr>
                <w:rFonts w:cs="Arial"/>
                <w:noProof/>
                <w:sz w:val="20"/>
                <w:highlight w:val="lightGray"/>
              </w:rPr>
            </w:pPr>
            <w:r w:rsidRPr="00E8450A">
              <w:rPr>
                <w:noProof/>
                <w:sz w:val="20"/>
                <w:highlight w:val="lightGray"/>
              </w:rPr>
              <w:t>106-42-3</w:t>
            </w:r>
            <w:r w:rsidRPr="00E8450A">
              <w:rPr>
                <w:noProof/>
              </w:rPr>
              <w:t xml:space="preserve"> </w:t>
            </w:r>
            <w:r w:rsidRPr="00E8450A">
              <w:rPr>
                <w:noProof/>
              </w:rPr>
              <w:br/>
            </w:r>
            <w:r w:rsidRPr="00E8450A">
              <w:rPr>
                <w:noProof/>
                <w:sz w:val="20"/>
                <w:highlight w:val="lightGray"/>
              </w:rPr>
              <w:t>(</w:t>
            </w:r>
            <w:r w:rsidRPr="00E8450A">
              <w:rPr>
                <w:i/>
                <w:iCs/>
                <w:noProof/>
                <w:sz w:val="20"/>
                <w:highlight w:val="lightGray"/>
              </w:rPr>
              <w:t>p</w:t>
            </w:r>
            <w:r w:rsidRPr="00E8450A">
              <w:rPr>
                <w:noProof/>
                <w:sz w:val="20"/>
                <w:highlight w:val="lightGray"/>
              </w:rPr>
              <w:t>-xylén)</w:t>
            </w:r>
          </w:p>
        </w:tc>
      </w:tr>
      <w:tr w:rsidR="005C7768" w:rsidRPr="00E8450A" w:rsidTr="00236AB6">
        <w:tc>
          <w:tcPr>
            <w:tcW w:w="1417" w:type="dxa"/>
            <w:vMerge/>
          </w:tcPr>
          <w:p w:rsidR="005C7768" w:rsidRPr="00E8450A" w:rsidRDefault="005C7768" w:rsidP="0026263A">
            <w:pPr>
              <w:ind w:left="851" w:hanging="851"/>
              <w:jc w:val="left"/>
              <w:rPr>
                <w:noProof/>
                <w:sz w:val="20"/>
                <w:highlight w:val="lightGray"/>
              </w:rPr>
            </w:pPr>
          </w:p>
        </w:tc>
        <w:tc>
          <w:tcPr>
            <w:tcW w:w="2268" w:type="dxa"/>
            <w:vAlign w:val="center"/>
          </w:tcPr>
          <w:p w:rsidR="005C7768" w:rsidRPr="00E8450A" w:rsidRDefault="005C7768" w:rsidP="0026263A">
            <w:pPr>
              <w:ind w:left="851" w:hanging="851"/>
              <w:jc w:val="left"/>
              <w:rPr>
                <w:noProof/>
                <w:sz w:val="20"/>
                <w:highlight w:val="lightGray"/>
              </w:rPr>
            </w:pPr>
            <w:r w:rsidRPr="00E8450A">
              <w:rPr>
                <w:i/>
                <w:iCs/>
                <w:noProof/>
                <w:sz w:val="20"/>
                <w:highlight w:val="lightGray"/>
              </w:rPr>
              <w:t>o</w:t>
            </w:r>
            <w:r w:rsidRPr="00E8450A">
              <w:rPr>
                <w:noProof/>
                <w:sz w:val="20"/>
                <w:highlight w:val="lightGray"/>
              </w:rPr>
              <w:t>-xylén</w:t>
            </w:r>
          </w:p>
        </w:tc>
        <w:tc>
          <w:tcPr>
            <w:tcW w:w="2552" w:type="dxa"/>
          </w:tcPr>
          <w:p w:rsidR="005C7768" w:rsidRPr="00E8450A" w:rsidRDefault="005C7768" w:rsidP="0026263A">
            <w:pPr>
              <w:jc w:val="left"/>
              <w:rPr>
                <w:rFonts w:cs="Arial"/>
                <w:noProof/>
                <w:sz w:val="20"/>
                <w:highlight w:val="lightGray"/>
              </w:rPr>
            </w:pPr>
            <w:r w:rsidRPr="00E8450A">
              <w:rPr>
                <w:noProof/>
                <w:sz w:val="20"/>
                <w:highlight w:val="lightGray"/>
              </w:rPr>
              <w:t>1,2-dimetylbenzén</w:t>
            </w:r>
            <w:r w:rsidR="008A1F90">
              <w:rPr>
                <w:noProof/>
                <w:sz w:val="20"/>
                <w:highlight w:val="lightGray"/>
              </w:rPr>
              <w:t xml:space="preserve"> </w:t>
            </w:r>
            <w:r w:rsidRPr="00E8450A">
              <w:rPr>
                <w:noProof/>
              </w:rPr>
              <w:br/>
            </w:r>
            <w:r w:rsidRPr="00E8450A">
              <w:rPr>
                <w:noProof/>
                <w:sz w:val="20"/>
                <w:highlight w:val="lightGray"/>
              </w:rPr>
              <w:t>(</w:t>
            </w:r>
            <w:r w:rsidRPr="00E8450A">
              <w:rPr>
                <w:i/>
                <w:iCs/>
                <w:noProof/>
                <w:sz w:val="20"/>
                <w:highlight w:val="lightGray"/>
              </w:rPr>
              <w:t>o</w:t>
            </w:r>
            <w:r w:rsidRPr="00E8450A">
              <w:rPr>
                <w:noProof/>
                <w:sz w:val="20"/>
                <w:highlight w:val="lightGray"/>
              </w:rPr>
              <w:t>-xylén)</w:t>
            </w:r>
          </w:p>
        </w:tc>
        <w:tc>
          <w:tcPr>
            <w:tcW w:w="1134" w:type="dxa"/>
          </w:tcPr>
          <w:p w:rsidR="005C7768" w:rsidRPr="00E8450A" w:rsidRDefault="005C7768" w:rsidP="0026263A">
            <w:pPr>
              <w:ind w:left="851" w:hanging="851"/>
              <w:jc w:val="left"/>
              <w:rPr>
                <w:noProof/>
                <w:sz w:val="20"/>
                <w:highlight w:val="lightGray"/>
              </w:rPr>
            </w:pPr>
            <w:r w:rsidRPr="00E8450A">
              <w:rPr>
                <w:noProof/>
                <w:sz w:val="20"/>
                <w:highlight w:val="lightGray"/>
              </w:rPr>
              <w:t>C</w:t>
            </w:r>
            <w:r w:rsidRPr="00E8450A">
              <w:rPr>
                <w:noProof/>
                <w:sz w:val="20"/>
                <w:highlight w:val="lightGray"/>
                <w:vertAlign w:val="subscript"/>
              </w:rPr>
              <w:t>8</w:t>
            </w:r>
            <w:r w:rsidRPr="00E8450A">
              <w:rPr>
                <w:noProof/>
                <w:sz w:val="20"/>
                <w:highlight w:val="lightGray"/>
              </w:rPr>
              <w:t>H</w:t>
            </w:r>
            <w:r w:rsidRPr="00E8450A">
              <w:rPr>
                <w:noProof/>
                <w:sz w:val="20"/>
                <w:highlight w:val="lightGray"/>
                <w:vertAlign w:val="subscript"/>
              </w:rPr>
              <w:t>10</w:t>
            </w:r>
          </w:p>
        </w:tc>
        <w:tc>
          <w:tcPr>
            <w:tcW w:w="1275" w:type="dxa"/>
            <w:vAlign w:val="center"/>
          </w:tcPr>
          <w:p w:rsidR="005C7768" w:rsidRPr="00E8450A" w:rsidRDefault="005C7768" w:rsidP="0026263A">
            <w:pPr>
              <w:ind w:left="851" w:hanging="851"/>
              <w:jc w:val="left"/>
              <w:rPr>
                <w:noProof/>
                <w:sz w:val="20"/>
                <w:highlight w:val="lightGray"/>
              </w:rPr>
            </w:pPr>
            <w:r w:rsidRPr="00E8450A">
              <w:rPr>
                <w:noProof/>
                <w:sz w:val="20"/>
                <w:highlight w:val="lightGray"/>
              </w:rPr>
              <w:t>95-47-6</w:t>
            </w:r>
          </w:p>
        </w:tc>
      </w:tr>
      <w:tr w:rsidR="005C7768" w:rsidRPr="00E8450A" w:rsidTr="00236AB6">
        <w:tc>
          <w:tcPr>
            <w:tcW w:w="1417" w:type="dxa"/>
            <w:vMerge/>
          </w:tcPr>
          <w:p w:rsidR="005C7768" w:rsidRPr="00E8450A" w:rsidRDefault="005C7768" w:rsidP="0026263A">
            <w:pPr>
              <w:ind w:left="851" w:hanging="851"/>
              <w:jc w:val="left"/>
              <w:rPr>
                <w:noProof/>
                <w:sz w:val="20"/>
                <w:highlight w:val="lightGray"/>
              </w:rPr>
            </w:pPr>
          </w:p>
        </w:tc>
        <w:tc>
          <w:tcPr>
            <w:tcW w:w="2268" w:type="dxa"/>
            <w:vAlign w:val="center"/>
          </w:tcPr>
          <w:p w:rsidR="005C7768" w:rsidRPr="00E8450A" w:rsidRDefault="005C7768" w:rsidP="0026263A">
            <w:pPr>
              <w:ind w:left="851" w:hanging="851"/>
              <w:jc w:val="left"/>
              <w:rPr>
                <w:noProof/>
                <w:sz w:val="20"/>
                <w:highlight w:val="lightGray"/>
              </w:rPr>
            </w:pPr>
            <w:r w:rsidRPr="00E8450A">
              <w:rPr>
                <w:noProof/>
                <w:sz w:val="20"/>
                <w:highlight w:val="lightGray"/>
              </w:rPr>
              <w:t>1,2,4-trimetylbenzén</w:t>
            </w:r>
          </w:p>
        </w:tc>
        <w:tc>
          <w:tcPr>
            <w:tcW w:w="2552" w:type="dxa"/>
          </w:tcPr>
          <w:p w:rsidR="005C7768" w:rsidRPr="00E8450A" w:rsidRDefault="005C7768" w:rsidP="0026263A">
            <w:pPr>
              <w:jc w:val="left"/>
              <w:rPr>
                <w:b/>
                <w:noProof/>
                <w:sz w:val="20"/>
                <w:highlight w:val="lightGray"/>
              </w:rPr>
            </w:pPr>
            <w:r w:rsidRPr="00E8450A">
              <w:rPr>
                <w:noProof/>
                <w:sz w:val="20"/>
                <w:highlight w:val="lightGray"/>
              </w:rPr>
              <w:t>1,2,4-trimetylbenzén</w:t>
            </w:r>
          </w:p>
        </w:tc>
        <w:tc>
          <w:tcPr>
            <w:tcW w:w="1134" w:type="dxa"/>
          </w:tcPr>
          <w:p w:rsidR="005C7768" w:rsidRPr="00E8450A" w:rsidRDefault="005C7768" w:rsidP="0026263A">
            <w:pPr>
              <w:ind w:left="851" w:hanging="851"/>
              <w:jc w:val="left"/>
              <w:rPr>
                <w:noProof/>
                <w:sz w:val="20"/>
                <w:highlight w:val="lightGray"/>
              </w:rPr>
            </w:pPr>
            <w:r w:rsidRPr="00E8450A">
              <w:rPr>
                <w:noProof/>
                <w:sz w:val="20"/>
                <w:highlight w:val="lightGray"/>
              </w:rPr>
              <w:t>C</w:t>
            </w:r>
            <w:r w:rsidRPr="00E8450A">
              <w:rPr>
                <w:noProof/>
                <w:sz w:val="20"/>
                <w:highlight w:val="lightGray"/>
                <w:vertAlign w:val="subscript"/>
              </w:rPr>
              <w:t>9</w:t>
            </w:r>
            <w:r w:rsidRPr="00E8450A">
              <w:rPr>
                <w:noProof/>
                <w:sz w:val="20"/>
                <w:highlight w:val="lightGray"/>
              </w:rPr>
              <w:t>H</w:t>
            </w:r>
            <w:r w:rsidRPr="00E8450A">
              <w:rPr>
                <w:noProof/>
                <w:sz w:val="20"/>
                <w:highlight w:val="lightGray"/>
                <w:vertAlign w:val="subscript"/>
              </w:rPr>
              <w:t>12</w:t>
            </w:r>
          </w:p>
        </w:tc>
        <w:tc>
          <w:tcPr>
            <w:tcW w:w="1275" w:type="dxa"/>
            <w:vAlign w:val="center"/>
          </w:tcPr>
          <w:p w:rsidR="005C7768" w:rsidRPr="00E8450A" w:rsidRDefault="005C7768" w:rsidP="0026263A">
            <w:pPr>
              <w:ind w:left="851" w:hanging="851"/>
              <w:jc w:val="left"/>
              <w:rPr>
                <w:noProof/>
                <w:sz w:val="20"/>
                <w:highlight w:val="lightGray"/>
              </w:rPr>
            </w:pPr>
            <w:r w:rsidRPr="00E8450A">
              <w:rPr>
                <w:noProof/>
                <w:sz w:val="20"/>
                <w:highlight w:val="lightGray"/>
              </w:rPr>
              <w:t>95-63-6</w:t>
            </w:r>
          </w:p>
        </w:tc>
      </w:tr>
      <w:tr w:rsidR="005C7768" w:rsidRPr="00E8450A" w:rsidTr="00236AB6">
        <w:tc>
          <w:tcPr>
            <w:tcW w:w="1417" w:type="dxa"/>
            <w:vMerge/>
          </w:tcPr>
          <w:p w:rsidR="005C7768" w:rsidRPr="00E8450A" w:rsidRDefault="005C7768" w:rsidP="0026263A">
            <w:pPr>
              <w:ind w:left="851" w:hanging="851"/>
              <w:jc w:val="left"/>
              <w:rPr>
                <w:noProof/>
                <w:sz w:val="20"/>
                <w:highlight w:val="lightGray"/>
              </w:rPr>
            </w:pPr>
          </w:p>
        </w:tc>
        <w:tc>
          <w:tcPr>
            <w:tcW w:w="2268" w:type="dxa"/>
            <w:vAlign w:val="center"/>
          </w:tcPr>
          <w:p w:rsidR="005C7768" w:rsidRPr="00E8450A" w:rsidRDefault="005C7768" w:rsidP="0026263A">
            <w:pPr>
              <w:ind w:left="851" w:hanging="851"/>
              <w:jc w:val="left"/>
              <w:rPr>
                <w:noProof/>
                <w:sz w:val="20"/>
                <w:highlight w:val="lightGray"/>
              </w:rPr>
            </w:pPr>
            <w:r w:rsidRPr="00E8450A">
              <w:rPr>
                <w:noProof/>
                <w:sz w:val="20"/>
                <w:highlight w:val="lightGray"/>
              </w:rPr>
              <w:t>1,2,3-trimetylbenzén</w:t>
            </w:r>
          </w:p>
        </w:tc>
        <w:tc>
          <w:tcPr>
            <w:tcW w:w="2552" w:type="dxa"/>
          </w:tcPr>
          <w:p w:rsidR="005C7768" w:rsidRPr="00E8450A" w:rsidRDefault="005C7768" w:rsidP="0026263A">
            <w:pPr>
              <w:jc w:val="left"/>
              <w:rPr>
                <w:noProof/>
                <w:sz w:val="20"/>
                <w:highlight w:val="lightGray"/>
              </w:rPr>
            </w:pPr>
            <w:r w:rsidRPr="00E8450A">
              <w:rPr>
                <w:noProof/>
                <w:sz w:val="20"/>
                <w:highlight w:val="lightGray"/>
              </w:rPr>
              <w:t>1,2,3-trimetylbenzén</w:t>
            </w:r>
          </w:p>
        </w:tc>
        <w:tc>
          <w:tcPr>
            <w:tcW w:w="1134" w:type="dxa"/>
          </w:tcPr>
          <w:p w:rsidR="005C7768" w:rsidRPr="00E8450A" w:rsidRDefault="005C7768" w:rsidP="0026263A">
            <w:pPr>
              <w:ind w:left="851" w:hanging="851"/>
              <w:jc w:val="left"/>
              <w:rPr>
                <w:noProof/>
                <w:sz w:val="20"/>
                <w:highlight w:val="lightGray"/>
              </w:rPr>
            </w:pPr>
            <w:r w:rsidRPr="00E8450A">
              <w:rPr>
                <w:noProof/>
                <w:sz w:val="20"/>
                <w:highlight w:val="lightGray"/>
              </w:rPr>
              <w:t>C</w:t>
            </w:r>
            <w:r w:rsidRPr="00E8450A">
              <w:rPr>
                <w:noProof/>
                <w:sz w:val="20"/>
                <w:highlight w:val="lightGray"/>
                <w:vertAlign w:val="subscript"/>
              </w:rPr>
              <w:t>9</w:t>
            </w:r>
            <w:r w:rsidRPr="00E8450A">
              <w:rPr>
                <w:noProof/>
                <w:sz w:val="20"/>
                <w:highlight w:val="lightGray"/>
              </w:rPr>
              <w:t>H</w:t>
            </w:r>
            <w:r w:rsidRPr="00E8450A">
              <w:rPr>
                <w:noProof/>
                <w:sz w:val="20"/>
                <w:highlight w:val="lightGray"/>
                <w:vertAlign w:val="subscript"/>
              </w:rPr>
              <w:t>12</w:t>
            </w:r>
          </w:p>
        </w:tc>
        <w:tc>
          <w:tcPr>
            <w:tcW w:w="1275" w:type="dxa"/>
            <w:vAlign w:val="center"/>
          </w:tcPr>
          <w:p w:rsidR="005C7768" w:rsidRPr="00E8450A" w:rsidRDefault="005C7768" w:rsidP="0026263A">
            <w:pPr>
              <w:ind w:left="851" w:hanging="851"/>
              <w:jc w:val="left"/>
              <w:rPr>
                <w:noProof/>
                <w:sz w:val="20"/>
                <w:highlight w:val="lightGray"/>
              </w:rPr>
            </w:pPr>
            <w:r w:rsidRPr="00E8450A">
              <w:rPr>
                <w:noProof/>
                <w:sz w:val="20"/>
                <w:highlight w:val="lightGray"/>
              </w:rPr>
              <w:t>526-73-8</w:t>
            </w:r>
          </w:p>
        </w:tc>
      </w:tr>
      <w:tr w:rsidR="005C7768" w:rsidRPr="00E8450A" w:rsidTr="00236AB6">
        <w:tc>
          <w:tcPr>
            <w:tcW w:w="1417" w:type="dxa"/>
            <w:vMerge/>
          </w:tcPr>
          <w:p w:rsidR="005C7768" w:rsidRPr="00E8450A" w:rsidRDefault="005C7768" w:rsidP="0026263A">
            <w:pPr>
              <w:ind w:left="851" w:hanging="851"/>
              <w:jc w:val="left"/>
              <w:rPr>
                <w:noProof/>
                <w:sz w:val="20"/>
                <w:highlight w:val="lightGray"/>
              </w:rPr>
            </w:pPr>
          </w:p>
        </w:tc>
        <w:tc>
          <w:tcPr>
            <w:tcW w:w="2268" w:type="dxa"/>
            <w:vAlign w:val="center"/>
          </w:tcPr>
          <w:p w:rsidR="005C7768" w:rsidRPr="00E8450A" w:rsidRDefault="005C7768" w:rsidP="0026263A">
            <w:pPr>
              <w:ind w:left="851" w:hanging="851"/>
              <w:jc w:val="left"/>
              <w:rPr>
                <w:noProof/>
                <w:sz w:val="20"/>
                <w:highlight w:val="lightGray"/>
              </w:rPr>
            </w:pPr>
            <w:r w:rsidRPr="00E8450A">
              <w:rPr>
                <w:noProof/>
                <w:sz w:val="20"/>
                <w:highlight w:val="lightGray"/>
              </w:rPr>
              <w:t>1,3,5-trimetylbenzén</w:t>
            </w:r>
          </w:p>
        </w:tc>
        <w:tc>
          <w:tcPr>
            <w:tcW w:w="2552" w:type="dxa"/>
          </w:tcPr>
          <w:p w:rsidR="005C7768" w:rsidRPr="00E8450A" w:rsidRDefault="005C7768" w:rsidP="0026263A">
            <w:pPr>
              <w:jc w:val="left"/>
              <w:rPr>
                <w:noProof/>
                <w:sz w:val="20"/>
                <w:highlight w:val="lightGray"/>
              </w:rPr>
            </w:pPr>
            <w:r w:rsidRPr="00E8450A">
              <w:rPr>
                <w:noProof/>
                <w:sz w:val="20"/>
                <w:highlight w:val="lightGray"/>
              </w:rPr>
              <w:t>1,3,5-trimetylbenzén</w:t>
            </w:r>
          </w:p>
        </w:tc>
        <w:tc>
          <w:tcPr>
            <w:tcW w:w="1134" w:type="dxa"/>
          </w:tcPr>
          <w:p w:rsidR="005C7768" w:rsidRPr="00E8450A" w:rsidRDefault="005C7768" w:rsidP="0026263A">
            <w:pPr>
              <w:ind w:left="851" w:hanging="851"/>
              <w:jc w:val="left"/>
              <w:rPr>
                <w:noProof/>
                <w:sz w:val="20"/>
                <w:highlight w:val="lightGray"/>
              </w:rPr>
            </w:pPr>
            <w:r w:rsidRPr="00E8450A">
              <w:rPr>
                <w:noProof/>
                <w:sz w:val="20"/>
                <w:highlight w:val="lightGray"/>
              </w:rPr>
              <w:t>C</w:t>
            </w:r>
            <w:r w:rsidRPr="00E8450A">
              <w:rPr>
                <w:noProof/>
                <w:sz w:val="20"/>
                <w:highlight w:val="lightGray"/>
                <w:vertAlign w:val="subscript"/>
              </w:rPr>
              <w:t>9</w:t>
            </w:r>
            <w:r w:rsidRPr="00E8450A">
              <w:rPr>
                <w:noProof/>
                <w:sz w:val="20"/>
                <w:highlight w:val="lightGray"/>
              </w:rPr>
              <w:t>H</w:t>
            </w:r>
            <w:r w:rsidRPr="00E8450A">
              <w:rPr>
                <w:noProof/>
                <w:sz w:val="20"/>
                <w:highlight w:val="lightGray"/>
                <w:vertAlign w:val="subscript"/>
              </w:rPr>
              <w:t>12</w:t>
            </w:r>
          </w:p>
        </w:tc>
        <w:tc>
          <w:tcPr>
            <w:tcW w:w="1275" w:type="dxa"/>
            <w:vAlign w:val="center"/>
          </w:tcPr>
          <w:p w:rsidR="005C7768" w:rsidRPr="00E8450A" w:rsidRDefault="005C7768" w:rsidP="0026263A">
            <w:pPr>
              <w:ind w:left="851" w:hanging="851"/>
              <w:jc w:val="left"/>
              <w:rPr>
                <w:noProof/>
                <w:sz w:val="20"/>
                <w:highlight w:val="lightGray"/>
              </w:rPr>
            </w:pPr>
            <w:r w:rsidRPr="00E8450A">
              <w:rPr>
                <w:noProof/>
                <w:sz w:val="20"/>
                <w:highlight w:val="lightGray"/>
              </w:rPr>
              <w:t>108-67-8</w:t>
            </w:r>
          </w:p>
        </w:tc>
      </w:tr>
      <w:tr w:rsidR="005C7768" w:rsidRPr="00E8450A" w:rsidTr="00236AB6">
        <w:tc>
          <w:tcPr>
            <w:tcW w:w="1417" w:type="dxa"/>
            <w:vMerge w:val="restart"/>
            <w:vAlign w:val="center"/>
          </w:tcPr>
          <w:p w:rsidR="005C7768" w:rsidRPr="00E8450A" w:rsidRDefault="005C7768" w:rsidP="0026263A">
            <w:pPr>
              <w:ind w:left="851" w:hanging="851"/>
              <w:jc w:val="left"/>
              <w:rPr>
                <w:noProof/>
                <w:sz w:val="20"/>
                <w:highlight w:val="lightGray"/>
              </w:rPr>
            </w:pPr>
            <w:r w:rsidRPr="00E8450A">
              <w:rPr>
                <w:noProof/>
                <w:sz w:val="20"/>
                <w:highlight w:val="lightGray"/>
              </w:rPr>
              <w:t>Ketóny</w:t>
            </w:r>
          </w:p>
        </w:tc>
        <w:tc>
          <w:tcPr>
            <w:tcW w:w="2268" w:type="dxa"/>
            <w:vAlign w:val="center"/>
          </w:tcPr>
          <w:p w:rsidR="005C7768" w:rsidRPr="00E8450A" w:rsidRDefault="005C7768" w:rsidP="0026263A">
            <w:pPr>
              <w:ind w:left="851" w:hanging="851"/>
              <w:jc w:val="left"/>
              <w:rPr>
                <w:noProof/>
                <w:sz w:val="20"/>
                <w:highlight w:val="lightGray"/>
              </w:rPr>
            </w:pPr>
            <w:r w:rsidRPr="00E8450A">
              <w:rPr>
                <w:noProof/>
                <w:sz w:val="20"/>
                <w:highlight w:val="lightGray"/>
              </w:rPr>
              <w:t>acetón</w:t>
            </w:r>
          </w:p>
        </w:tc>
        <w:tc>
          <w:tcPr>
            <w:tcW w:w="2552" w:type="dxa"/>
          </w:tcPr>
          <w:p w:rsidR="005C7768" w:rsidRPr="00E8450A" w:rsidRDefault="005C7768" w:rsidP="0026263A">
            <w:pPr>
              <w:jc w:val="left"/>
              <w:rPr>
                <w:noProof/>
                <w:sz w:val="20"/>
                <w:highlight w:val="lightGray"/>
              </w:rPr>
            </w:pPr>
            <w:r w:rsidRPr="00E8450A">
              <w:rPr>
                <w:noProof/>
                <w:sz w:val="20"/>
                <w:highlight w:val="lightGray"/>
              </w:rPr>
              <w:t>propán-2-ón</w:t>
            </w:r>
          </w:p>
        </w:tc>
        <w:tc>
          <w:tcPr>
            <w:tcW w:w="1134" w:type="dxa"/>
          </w:tcPr>
          <w:p w:rsidR="005C7768" w:rsidRPr="00E8450A" w:rsidRDefault="005C7768" w:rsidP="0026263A">
            <w:pPr>
              <w:ind w:left="851" w:hanging="851"/>
              <w:jc w:val="left"/>
              <w:rPr>
                <w:noProof/>
                <w:sz w:val="20"/>
                <w:highlight w:val="lightGray"/>
              </w:rPr>
            </w:pPr>
            <w:r w:rsidRPr="00E8450A">
              <w:rPr>
                <w:noProof/>
                <w:sz w:val="20"/>
                <w:highlight w:val="lightGray"/>
              </w:rPr>
              <w:t>C</w:t>
            </w:r>
            <w:r w:rsidRPr="00E8450A">
              <w:rPr>
                <w:noProof/>
                <w:sz w:val="20"/>
                <w:highlight w:val="lightGray"/>
                <w:vertAlign w:val="subscript"/>
              </w:rPr>
              <w:t>3</w:t>
            </w:r>
            <w:r w:rsidRPr="00E8450A">
              <w:rPr>
                <w:noProof/>
                <w:sz w:val="20"/>
                <w:highlight w:val="lightGray"/>
              </w:rPr>
              <w:t>H</w:t>
            </w:r>
            <w:r w:rsidRPr="00E8450A">
              <w:rPr>
                <w:noProof/>
                <w:sz w:val="20"/>
                <w:highlight w:val="lightGray"/>
                <w:vertAlign w:val="subscript"/>
              </w:rPr>
              <w:t>6</w:t>
            </w:r>
            <w:r w:rsidRPr="00E8450A">
              <w:rPr>
                <w:noProof/>
                <w:sz w:val="20"/>
                <w:highlight w:val="lightGray"/>
              </w:rPr>
              <w:t>O</w:t>
            </w:r>
          </w:p>
        </w:tc>
        <w:tc>
          <w:tcPr>
            <w:tcW w:w="1275" w:type="dxa"/>
            <w:vAlign w:val="center"/>
          </w:tcPr>
          <w:p w:rsidR="005C7768" w:rsidRPr="00E8450A" w:rsidRDefault="005C7768" w:rsidP="0026263A">
            <w:pPr>
              <w:ind w:left="851" w:hanging="851"/>
              <w:jc w:val="left"/>
              <w:rPr>
                <w:noProof/>
                <w:sz w:val="20"/>
                <w:highlight w:val="lightGray"/>
              </w:rPr>
            </w:pPr>
            <w:r w:rsidRPr="00E8450A">
              <w:rPr>
                <w:noProof/>
                <w:sz w:val="20"/>
                <w:highlight w:val="lightGray"/>
              </w:rPr>
              <w:t>67-64-1</w:t>
            </w:r>
          </w:p>
        </w:tc>
      </w:tr>
      <w:tr w:rsidR="005C7768" w:rsidRPr="00E8450A" w:rsidTr="00236AB6">
        <w:tc>
          <w:tcPr>
            <w:tcW w:w="1417" w:type="dxa"/>
            <w:vMerge/>
            <w:vAlign w:val="center"/>
          </w:tcPr>
          <w:p w:rsidR="005C7768" w:rsidRPr="00E8450A" w:rsidRDefault="005C7768" w:rsidP="0026263A">
            <w:pPr>
              <w:ind w:left="851" w:hanging="851"/>
              <w:jc w:val="left"/>
              <w:rPr>
                <w:noProof/>
                <w:sz w:val="20"/>
                <w:highlight w:val="lightGray"/>
              </w:rPr>
            </w:pPr>
          </w:p>
        </w:tc>
        <w:tc>
          <w:tcPr>
            <w:tcW w:w="2268" w:type="dxa"/>
            <w:vAlign w:val="center"/>
          </w:tcPr>
          <w:p w:rsidR="005C7768" w:rsidRPr="00E8450A" w:rsidRDefault="005C7768" w:rsidP="0026263A">
            <w:pPr>
              <w:ind w:left="851" w:hanging="851"/>
              <w:jc w:val="left"/>
              <w:rPr>
                <w:noProof/>
                <w:sz w:val="20"/>
                <w:highlight w:val="lightGray"/>
              </w:rPr>
            </w:pPr>
            <w:r w:rsidRPr="00E8450A">
              <w:rPr>
                <w:noProof/>
                <w:sz w:val="20"/>
                <w:highlight w:val="lightGray"/>
              </w:rPr>
              <w:t>metyletylketón</w:t>
            </w:r>
          </w:p>
        </w:tc>
        <w:tc>
          <w:tcPr>
            <w:tcW w:w="2552" w:type="dxa"/>
          </w:tcPr>
          <w:p w:rsidR="005C7768" w:rsidRPr="00E8450A" w:rsidRDefault="005C7768" w:rsidP="0026263A">
            <w:pPr>
              <w:jc w:val="left"/>
              <w:rPr>
                <w:noProof/>
                <w:sz w:val="20"/>
                <w:highlight w:val="lightGray"/>
              </w:rPr>
            </w:pPr>
            <w:r w:rsidRPr="00E8450A">
              <w:rPr>
                <w:noProof/>
                <w:sz w:val="20"/>
                <w:highlight w:val="lightGray"/>
              </w:rPr>
              <w:t>bután-2-ón</w:t>
            </w:r>
          </w:p>
        </w:tc>
        <w:tc>
          <w:tcPr>
            <w:tcW w:w="1134" w:type="dxa"/>
          </w:tcPr>
          <w:p w:rsidR="005C7768" w:rsidRPr="00E8450A" w:rsidRDefault="005C7768" w:rsidP="0026263A">
            <w:pPr>
              <w:ind w:left="851" w:hanging="851"/>
              <w:jc w:val="left"/>
              <w:rPr>
                <w:noProof/>
                <w:sz w:val="20"/>
                <w:highlight w:val="lightGray"/>
              </w:rPr>
            </w:pPr>
            <w:r w:rsidRPr="00E8450A">
              <w:rPr>
                <w:noProof/>
                <w:sz w:val="20"/>
                <w:highlight w:val="lightGray"/>
              </w:rPr>
              <w:t>C</w:t>
            </w:r>
            <w:r w:rsidRPr="00E8450A">
              <w:rPr>
                <w:noProof/>
                <w:sz w:val="20"/>
                <w:highlight w:val="lightGray"/>
                <w:vertAlign w:val="subscript"/>
              </w:rPr>
              <w:t>4</w:t>
            </w:r>
            <w:r w:rsidRPr="00E8450A">
              <w:rPr>
                <w:noProof/>
                <w:sz w:val="20"/>
                <w:highlight w:val="lightGray"/>
              </w:rPr>
              <w:t>H</w:t>
            </w:r>
            <w:r w:rsidRPr="00E8450A">
              <w:rPr>
                <w:noProof/>
                <w:sz w:val="20"/>
                <w:highlight w:val="lightGray"/>
                <w:vertAlign w:val="subscript"/>
              </w:rPr>
              <w:t>8</w:t>
            </w:r>
            <w:r w:rsidRPr="00E8450A">
              <w:rPr>
                <w:noProof/>
                <w:sz w:val="20"/>
                <w:highlight w:val="lightGray"/>
              </w:rPr>
              <w:t>O</w:t>
            </w:r>
          </w:p>
        </w:tc>
        <w:tc>
          <w:tcPr>
            <w:tcW w:w="1275" w:type="dxa"/>
            <w:vAlign w:val="center"/>
          </w:tcPr>
          <w:p w:rsidR="005C7768" w:rsidRPr="00E8450A" w:rsidRDefault="005C7768" w:rsidP="0026263A">
            <w:pPr>
              <w:ind w:left="851" w:hanging="851"/>
              <w:jc w:val="left"/>
              <w:rPr>
                <w:noProof/>
                <w:sz w:val="20"/>
                <w:highlight w:val="lightGray"/>
              </w:rPr>
            </w:pPr>
            <w:r w:rsidRPr="00E8450A">
              <w:rPr>
                <w:noProof/>
                <w:sz w:val="20"/>
                <w:highlight w:val="lightGray"/>
              </w:rPr>
              <w:t>78-93-3</w:t>
            </w:r>
          </w:p>
        </w:tc>
      </w:tr>
      <w:tr w:rsidR="005C7768" w:rsidRPr="00E8450A" w:rsidTr="00236AB6">
        <w:tc>
          <w:tcPr>
            <w:tcW w:w="1417" w:type="dxa"/>
            <w:vMerge/>
            <w:vAlign w:val="center"/>
          </w:tcPr>
          <w:p w:rsidR="005C7768" w:rsidRPr="00E8450A" w:rsidRDefault="005C7768" w:rsidP="0026263A">
            <w:pPr>
              <w:ind w:left="851" w:hanging="851"/>
              <w:jc w:val="left"/>
              <w:rPr>
                <w:noProof/>
                <w:sz w:val="20"/>
                <w:highlight w:val="lightGray"/>
              </w:rPr>
            </w:pPr>
          </w:p>
        </w:tc>
        <w:tc>
          <w:tcPr>
            <w:tcW w:w="2268" w:type="dxa"/>
            <w:vAlign w:val="center"/>
          </w:tcPr>
          <w:p w:rsidR="005C7768" w:rsidRPr="00E8450A" w:rsidRDefault="005C7768" w:rsidP="0026263A">
            <w:pPr>
              <w:ind w:left="851" w:hanging="851"/>
              <w:jc w:val="left"/>
              <w:rPr>
                <w:noProof/>
                <w:sz w:val="20"/>
                <w:highlight w:val="lightGray"/>
              </w:rPr>
            </w:pPr>
            <w:r w:rsidRPr="00E8450A">
              <w:rPr>
                <w:noProof/>
                <w:sz w:val="20"/>
                <w:highlight w:val="lightGray"/>
              </w:rPr>
              <w:t>metylvinylketón</w:t>
            </w:r>
          </w:p>
        </w:tc>
        <w:tc>
          <w:tcPr>
            <w:tcW w:w="2552" w:type="dxa"/>
          </w:tcPr>
          <w:p w:rsidR="005C7768" w:rsidRPr="00E8450A" w:rsidRDefault="005C7768" w:rsidP="0026263A">
            <w:pPr>
              <w:jc w:val="left"/>
              <w:rPr>
                <w:noProof/>
                <w:sz w:val="20"/>
                <w:highlight w:val="lightGray"/>
              </w:rPr>
            </w:pPr>
            <w:r w:rsidRPr="00E8450A">
              <w:rPr>
                <w:noProof/>
                <w:sz w:val="20"/>
                <w:highlight w:val="lightGray"/>
              </w:rPr>
              <w:t>3-butén-2-ón</w:t>
            </w:r>
          </w:p>
        </w:tc>
        <w:tc>
          <w:tcPr>
            <w:tcW w:w="1134" w:type="dxa"/>
          </w:tcPr>
          <w:p w:rsidR="005C7768" w:rsidRPr="00E8450A" w:rsidRDefault="005C7768" w:rsidP="0026263A">
            <w:pPr>
              <w:ind w:left="851" w:hanging="851"/>
              <w:jc w:val="left"/>
              <w:rPr>
                <w:noProof/>
                <w:sz w:val="20"/>
                <w:highlight w:val="lightGray"/>
              </w:rPr>
            </w:pPr>
            <w:r w:rsidRPr="00E8450A">
              <w:rPr>
                <w:noProof/>
                <w:sz w:val="20"/>
                <w:highlight w:val="lightGray"/>
              </w:rPr>
              <w:t>C</w:t>
            </w:r>
            <w:r w:rsidRPr="00E8450A">
              <w:rPr>
                <w:noProof/>
                <w:sz w:val="20"/>
                <w:highlight w:val="lightGray"/>
                <w:vertAlign w:val="subscript"/>
              </w:rPr>
              <w:t>4</w:t>
            </w:r>
            <w:r w:rsidRPr="00E8450A">
              <w:rPr>
                <w:noProof/>
                <w:sz w:val="20"/>
                <w:highlight w:val="lightGray"/>
              </w:rPr>
              <w:t>H</w:t>
            </w:r>
            <w:r w:rsidRPr="00E8450A">
              <w:rPr>
                <w:noProof/>
                <w:sz w:val="20"/>
                <w:highlight w:val="lightGray"/>
                <w:vertAlign w:val="subscript"/>
              </w:rPr>
              <w:t>6</w:t>
            </w:r>
            <w:r w:rsidRPr="00E8450A">
              <w:rPr>
                <w:noProof/>
                <w:sz w:val="20"/>
                <w:highlight w:val="lightGray"/>
              </w:rPr>
              <w:t>O</w:t>
            </w:r>
          </w:p>
        </w:tc>
        <w:tc>
          <w:tcPr>
            <w:tcW w:w="1275" w:type="dxa"/>
            <w:vAlign w:val="center"/>
          </w:tcPr>
          <w:p w:rsidR="005C7768" w:rsidRPr="00E8450A" w:rsidRDefault="005C7768" w:rsidP="0026263A">
            <w:pPr>
              <w:ind w:left="851" w:hanging="851"/>
              <w:jc w:val="left"/>
              <w:rPr>
                <w:noProof/>
                <w:sz w:val="20"/>
                <w:highlight w:val="lightGray"/>
              </w:rPr>
            </w:pPr>
            <w:r w:rsidRPr="00E8450A">
              <w:rPr>
                <w:noProof/>
                <w:sz w:val="20"/>
                <w:highlight w:val="lightGray"/>
              </w:rPr>
              <w:t>78-94-4</w:t>
            </w:r>
          </w:p>
        </w:tc>
      </w:tr>
      <w:tr w:rsidR="00236AB6" w:rsidRPr="00E8450A" w:rsidTr="00236AB6">
        <w:tc>
          <w:tcPr>
            <w:tcW w:w="1417" w:type="dxa"/>
            <w:vMerge w:val="restart"/>
            <w:vAlign w:val="center"/>
          </w:tcPr>
          <w:p w:rsidR="00236AB6" w:rsidRPr="00E8450A" w:rsidRDefault="00236AB6" w:rsidP="00236AB6">
            <w:pPr>
              <w:ind w:left="851" w:hanging="851"/>
              <w:jc w:val="left"/>
              <w:rPr>
                <w:noProof/>
                <w:sz w:val="20"/>
                <w:highlight w:val="lightGray"/>
              </w:rPr>
            </w:pPr>
            <w:r w:rsidRPr="00E8450A">
              <w:rPr>
                <w:noProof/>
                <w:sz w:val="20"/>
                <w:highlight w:val="lightGray"/>
              </w:rPr>
              <w:t>Terpény</w:t>
            </w:r>
          </w:p>
        </w:tc>
        <w:tc>
          <w:tcPr>
            <w:tcW w:w="2268" w:type="dxa"/>
            <w:vAlign w:val="center"/>
          </w:tcPr>
          <w:p w:rsidR="00236AB6" w:rsidRPr="00E8450A" w:rsidRDefault="00236AB6" w:rsidP="00236AB6">
            <w:pPr>
              <w:ind w:left="851" w:hanging="851"/>
              <w:jc w:val="left"/>
              <w:rPr>
                <w:noProof/>
                <w:sz w:val="20"/>
                <w:highlight w:val="lightGray"/>
              </w:rPr>
            </w:pPr>
            <w:r w:rsidRPr="00E8450A">
              <w:rPr>
                <w:noProof/>
                <w:sz w:val="20"/>
                <w:highlight w:val="lightGray"/>
              </w:rPr>
              <w:t>izoprén</w:t>
            </w:r>
          </w:p>
        </w:tc>
        <w:tc>
          <w:tcPr>
            <w:tcW w:w="2552" w:type="dxa"/>
          </w:tcPr>
          <w:p w:rsidR="00236AB6" w:rsidRPr="00E8450A" w:rsidRDefault="00236AB6" w:rsidP="00236AB6">
            <w:pPr>
              <w:jc w:val="left"/>
              <w:rPr>
                <w:noProof/>
                <w:sz w:val="20"/>
                <w:highlight w:val="lightGray"/>
              </w:rPr>
            </w:pPr>
            <w:r w:rsidRPr="00E8450A">
              <w:rPr>
                <w:noProof/>
                <w:sz w:val="20"/>
                <w:highlight w:val="lightGray"/>
              </w:rPr>
              <w:t>2-metylbut-1,3-dién</w:t>
            </w:r>
          </w:p>
        </w:tc>
        <w:tc>
          <w:tcPr>
            <w:tcW w:w="1134" w:type="dxa"/>
          </w:tcPr>
          <w:p w:rsidR="00236AB6" w:rsidRPr="00E8450A" w:rsidRDefault="00236AB6" w:rsidP="00236AB6">
            <w:pPr>
              <w:ind w:left="851" w:hanging="851"/>
              <w:jc w:val="left"/>
              <w:rPr>
                <w:noProof/>
                <w:sz w:val="20"/>
                <w:highlight w:val="lightGray"/>
              </w:rPr>
            </w:pPr>
            <w:r w:rsidRPr="00E8450A">
              <w:rPr>
                <w:noProof/>
                <w:sz w:val="20"/>
                <w:highlight w:val="lightGray"/>
              </w:rPr>
              <w:t>C</w:t>
            </w:r>
            <w:r w:rsidRPr="00E8450A">
              <w:rPr>
                <w:noProof/>
                <w:sz w:val="20"/>
                <w:highlight w:val="lightGray"/>
                <w:vertAlign w:val="subscript"/>
              </w:rPr>
              <w:t>5</w:t>
            </w:r>
            <w:r w:rsidRPr="00E8450A">
              <w:rPr>
                <w:noProof/>
                <w:sz w:val="20"/>
                <w:highlight w:val="lightGray"/>
              </w:rPr>
              <w:t>H</w:t>
            </w:r>
            <w:r w:rsidRPr="00E8450A">
              <w:rPr>
                <w:noProof/>
                <w:sz w:val="20"/>
                <w:highlight w:val="lightGray"/>
                <w:vertAlign w:val="subscript"/>
              </w:rPr>
              <w:t>8</w:t>
            </w:r>
          </w:p>
        </w:tc>
        <w:tc>
          <w:tcPr>
            <w:tcW w:w="1275" w:type="dxa"/>
            <w:vAlign w:val="center"/>
          </w:tcPr>
          <w:p w:rsidR="00236AB6" w:rsidRPr="00E8450A" w:rsidRDefault="00236AB6" w:rsidP="00236AB6">
            <w:pPr>
              <w:ind w:left="851" w:hanging="851"/>
              <w:jc w:val="left"/>
              <w:rPr>
                <w:noProof/>
                <w:sz w:val="20"/>
                <w:highlight w:val="lightGray"/>
              </w:rPr>
            </w:pPr>
            <w:r w:rsidRPr="00E8450A">
              <w:rPr>
                <w:noProof/>
                <w:sz w:val="20"/>
                <w:highlight w:val="lightGray"/>
              </w:rPr>
              <w:t>78-79-5</w:t>
            </w:r>
          </w:p>
        </w:tc>
      </w:tr>
      <w:tr w:rsidR="00236AB6" w:rsidRPr="00E8450A" w:rsidTr="00236AB6">
        <w:tc>
          <w:tcPr>
            <w:tcW w:w="1417" w:type="dxa"/>
            <w:vMerge/>
            <w:vAlign w:val="center"/>
          </w:tcPr>
          <w:p w:rsidR="00236AB6" w:rsidRPr="00E8450A" w:rsidRDefault="00236AB6" w:rsidP="00236AB6">
            <w:pPr>
              <w:ind w:left="851" w:hanging="851"/>
              <w:jc w:val="left"/>
              <w:rPr>
                <w:noProof/>
                <w:sz w:val="20"/>
                <w:highlight w:val="lightGray"/>
              </w:rPr>
            </w:pPr>
          </w:p>
        </w:tc>
        <w:tc>
          <w:tcPr>
            <w:tcW w:w="2268" w:type="dxa"/>
            <w:vAlign w:val="center"/>
          </w:tcPr>
          <w:p w:rsidR="00236AB6" w:rsidRPr="00E8450A" w:rsidRDefault="00236AB6" w:rsidP="00236AB6">
            <w:pPr>
              <w:ind w:left="851" w:hanging="851"/>
              <w:jc w:val="left"/>
              <w:rPr>
                <w:noProof/>
                <w:sz w:val="20"/>
                <w:highlight w:val="lightGray"/>
              </w:rPr>
            </w:pPr>
            <w:r w:rsidRPr="00E8450A">
              <w:rPr>
                <w:i/>
                <w:iCs/>
                <w:noProof/>
                <w:sz w:val="20"/>
                <w:highlight w:val="lightGray"/>
              </w:rPr>
              <w:t>p</w:t>
            </w:r>
            <w:r w:rsidRPr="00E8450A">
              <w:rPr>
                <w:noProof/>
                <w:sz w:val="20"/>
                <w:highlight w:val="lightGray"/>
              </w:rPr>
              <w:t>-cymén</w:t>
            </w:r>
          </w:p>
        </w:tc>
        <w:tc>
          <w:tcPr>
            <w:tcW w:w="2552" w:type="dxa"/>
          </w:tcPr>
          <w:p w:rsidR="00236AB6" w:rsidRPr="00E8450A" w:rsidRDefault="00236AB6" w:rsidP="00236AB6">
            <w:pPr>
              <w:jc w:val="left"/>
              <w:rPr>
                <w:noProof/>
                <w:sz w:val="20"/>
                <w:highlight w:val="lightGray"/>
              </w:rPr>
            </w:pPr>
            <w:r w:rsidRPr="00E8450A">
              <w:rPr>
                <w:noProof/>
                <w:sz w:val="20"/>
                <w:highlight w:val="lightGray"/>
              </w:rPr>
              <w:t>1-metyl-4-izopropylbenzén</w:t>
            </w:r>
          </w:p>
        </w:tc>
        <w:tc>
          <w:tcPr>
            <w:tcW w:w="1134" w:type="dxa"/>
            <w:vAlign w:val="center"/>
          </w:tcPr>
          <w:p w:rsidR="00236AB6" w:rsidRPr="00E8450A" w:rsidRDefault="00236AB6" w:rsidP="00236AB6">
            <w:pPr>
              <w:ind w:left="851" w:hanging="851"/>
              <w:jc w:val="left"/>
              <w:rPr>
                <w:noProof/>
                <w:sz w:val="20"/>
                <w:highlight w:val="lightGray"/>
              </w:rPr>
            </w:pPr>
            <w:r w:rsidRPr="00E8450A">
              <w:rPr>
                <w:noProof/>
                <w:sz w:val="20"/>
                <w:highlight w:val="lightGray"/>
              </w:rPr>
              <w:t>C</w:t>
            </w:r>
            <w:r w:rsidRPr="00E8450A">
              <w:rPr>
                <w:noProof/>
                <w:sz w:val="20"/>
                <w:highlight w:val="lightGray"/>
                <w:vertAlign w:val="subscript"/>
              </w:rPr>
              <w:t>10</w:t>
            </w:r>
            <w:r w:rsidRPr="00E8450A">
              <w:rPr>
                <w:noProof/>
                <w:sz w:val="20"/>
                <w:highlight w:val="lightGray"/>
              </w:rPr>
              <w:t>H</w:t>
            </w:r>
            <w:r w:rsidRPr="00E8450A">
              <w:rPr>
                <w:noProof/>
                <w:sz w:val="20"/>
                <w:highlight w:val="lightGray"/>
                <w:vertAlign w:val="subscript"/>
              </w:rPr>
              <w:t>14</w:t>
            </w:r>
          </w:p>
        </w:tc>
        <w:tc>
          <w:tcPr>
            <w:tcW w:w="1275" w:type="dxa"/>
            <w:vAlign w:val="center"/>
          </w:tcPr>
          <w:p w:rsidR="00236AB6" w:rsidRPr="00E8450A" w:rsidRDefault="00236AB6" w:rsidP="00236AB6">
            <w:pPr>
              <w:ind w:left="851" w:hanging="851"/>
              <w:jc w:val="left"/>
              <w:rPr>
                <w:noProof/>
                <w:sz w:val="20"/>
                <w:highlight w:val="lightGray"/>
              </w:rPr>
            </w:pPr>
            <w:r w:rsidRPr="00E8450A">
              <w:rPr>
                <w:noProof/>
                <w:sz w:val="20"/>
                <w:highlight w:val="lightGray"/>
              </w:rPr>
              <w:t>99-87-6</w:t>
            </w:r>
          </w:p>
        </w:tc>
      </w:tr>
      <w:tr w:rsidR="00236AB6" w:rsidRPr="00E8450A" w:rsidTr="00236AB6">
        <w:tc>
          <w:tcPr>
            <w:tcW w:w="1417" w:type="dxa"/>
            <w:vMerge/>
            <w:vAlign w:val="center"/>
          </w:tcPr>
          <w:p w:rsidR="00236AB6" w:rsidRPr="00E8450A" w:rsidRDefault="00236AB6" w:rsidP="00236AB6">
            <w:pPr>
              <w:ind w:left="851" w:hanging="851"/>
              <w:jc w:val="left"/>
              <w:rPr>
                <w:noProof/>
                <w:sz w:val="20"/>
                <w:highlight w:val="lightGray"/>
              </w:rPr>
            </w:pPr>
          </w:p>
        </w:tc>
        <w:tc>
          <w:tcPr>
            <w:tcW w:w="2268" w:type="dxa"/>
            <w:vAlign w:val="center"/>
          </w:tcPr>
          <w:p w:rsidR="00236AB6" w:rsidRPr="00E8450A" w:rsidRDefault="00236AB6" w:rsidP="00236AB6">
            <w:pPr>
              <w:ind w:left="851" w:hanging="851"/>
              <w:jc w:val="left"/>
              <w:rPr>
                <w:noProof/>
                <w:sz w:val="20"/>
                <w:highlight w:val="lightGray"/>
              </w:rPr>
            </w:pPr>
            <w:r w:rsidRPr="00E8450A">
              <w:rPr>
                <w:noProof/>
                <w:sz w:val="20"/>
                <w:highlight w:val="lightGray"/>
              </w:rPr>
              <w:t>limonén</w:t>
            </w:r>
          </w:p>
        </w:tc>
        <w:tc>
          <w:tcPr>
            <w:tcW w:w="2552" w:type="dxa"/>
          </w:tcPr>
          <w:p w:rsidR="00236AB6" w:rsidRPr="00E8450A" w:rsidRDefault="00236AB6" w:rsidP="00236AB6">
            <w:pPr>
              <w:jc w:val="left"/>
              <w:rPr>
                <w:noProof/>
                <w:sz w:val="20"/>
                <w:highlight w:val="lightGray"/>
              </w:rPr>
            </w:pPr>
            <w:r w:rsidRPr="00E8450A">
              <w:rPr>
                <w:noProof/>
                <w:sz w:val="20"/>
                <w:highlight w:val="lightGray"/>
              </w:rPr>
              <w:t>1-metyl-4-(prop-1-én-2-yl)cyklohexén</w:t>
            </w:r>
          </w:p>
        </w:tc>
        <w:tc>
          <w:tcPr>
            <w:tcW w:w="1134" w:type="dxa"/>
            <w:vAlign w:val="center"/>
          </w:tcPr>
          <w:p w:rsidR="00236AB6" w:rsidRPr="00E8450A" w:rsidRDefault="00236AB6" w:rsidP="00236AB6">
            <w:pPr>
              <w:ind w:left="851" w:hanging="851"/>
              <w:jc w:val="left"/>
              <w:rPr>
                <w:noProof/>
                <w:sz w:val="20"/>
                <w:highlight w:val="lightGray"/>
              </w:rPr>
            </w:pPr>
            <w:r w:rsidRPr="00E8450A">
              <w:rPr>
                <w:noProof/>
                <w:sz w:val="20"/>
                <w:highlight w:val="lightGray"/>
              </w:rPr>
              <w:t>C</w:t>
            </w:r>
            <w:r w:rsidRPr="00E8450A">
              <w:rPr>
                <w:noProof/>
                <w:sz w:val="20"/>
                <w:highlight w:val="lightGray"/>
                <w:vertAlign w:val="subscript"/>
              </w:rPr>
              <w:t>10</w:t>
            </w:r>
            <w:r w:rsidRPr="00E8450A">
              <w:rPr>
                <w:noProof/>
                <w:sz w:val="20"/>
                <w:highlight w:val="lightGray"/>
              </w:rPr>
              <w:t>H</w:t>
            </w:r>
            <w:r w:rsidRPr="00E8450A">
              <w:rPr>
                <w:noProof/>
                <w:sz w:val="20"/>
                <w:highlight w:val="lightGray"/>
                <w:vertAlign w:val="subscript"/>
              </w:rPr>
              <w:t>16</w:t>
            </w:r>
          </w:p>
        </w:tc>
        <w:tc>
          <w:tcPr>
            <w:tcW w:w="1275" w:type="dxa"/>
            <w:vAlign w:val="center"/>
          </w:tcPr>
          <w:p w:rsidR="00236AB6" w:rsidRPr="00E8450A" w:rsidRDefault="00236AB6" w:rsidP="00236AB6">
            <w:pPr>
              <w:ind w:left="851" w:hanging="851"/>
              <w:jc w:val="left"/>
              <w:rPr>
                <w:noProof/>
                <w:sz w:val="20"/>
                <w:highlight w:val="lightGray"/>
              </w:rPr>
            </w:pPr>
            <w:r w:rsidRPr="00E8450A">
              <w:rPr>
                <w:noProof/>
                <w:sz w:val="20"/>
                <w:highlight w:val="lightGray"/>
              </w:rPr>
              <w:t>138-86-3</w:t>
            </w:r>
          </w:p>
        </w:tc>
      </w:tr>
      <w:tr w:rsidR="00236AB6" w:rsidRPr="00E8450A" w:rsidTr="00236AB6">
        <w:tc>
          <w:tcPr>
            <w:tcW w:w="1417" w:type="dxa"/>
            <w:vMerge/>
            <w:vAlign w:val="center"/>
          </w:tcPr>
          <w:p w:rsidR="00236AB6" w:rsidRPr="00E8450A" w:rsidRDefault="00236AB6" w:rsidP="00236AB6">
            <w:pPr>
              <w:ind w:left="851" w:hanging="851"/>
              <w:jc w:val="left"/>
              <w:rPr>
                <w:noProof/>
                <w:sz w:val="20"/>
                <w:highlight w:val="lightGray"/>
              </w:rPr>
            </w:pPr>
          </w:p>
        </w:tc>
        <w:tc>
          <w:tcPr>
            <w:tcW w:w="2268" w:type="dxa"/>
            <w:vAlign w:val="center"/>
          </w:tcPr>
          <w:p w:rsidR="00236AB6" w:rsidRPr="00E8450A" w:rsidRDefault="00236AB6" w:rsidP="00236AB6">
            <w:pPr>
              <w:ind w:left="851" w:hanging="851"/>
              <w:jc w:val="left"/>
              <w:rPr>
                <w:noProof/>
                <w:sz w:val="20"/>
                <w:highlight w:val="lightGray"/>
              </w:rPr>
            </w:pPr>
            <w:r w:rsidRPr="00E8450A">
              <w:rPr>
                <w:rFonts w:ascii="Symbol" w:hAnsi="Symbol"/>
                <w:noProof/>
                <w:sz w:val="18"/>
                <w:highlight w:val="lightGray"/>
              </w:rPr>
              <w:t></w:t>
            </w:r>
            <w:r w:rsidRPr="00E8450A">
              <w:rPr>
                <w:noProof/>
                <w:sz w:val="20"/>
                <w:highlight w:val="lightGray"/>
              </w:rPr>
              <w:t>-myrcén</w:t>
            </w:r>
          </w:p>
        </w:tc>
        <w:tc>
          <w:tcPr>
            <w:tcW w:w="2552" w:type="dxa"/>
          </w:tcPr>
          <w:p w:rsidR="00236AB6" w:rsidRPr="00E8450A" w:rsidRDefault="00236AB6" w:rsidP="00236AB6">
            <w:pPr>
              <w:jc w:val="left"/>
              <w:rPr>
                <w:noProof/>
                <w:sz w:val="20"/>
                <w:highlight w:val="lightGray"/>
              </w:rPr>
            </w:pPr>
            <w:r w:rsidRPr="00E8450A">
              <w:rPr>
                <w:noProof/>
                <w:sz w:val="20"/>
                <w:highlight w:val="lightGray"/>
              </w:rPr>
              <w:t>7-metyl-3-metylidénokta-1,6-dién</w:t>
            </w:r>
          </w:p>
        </w:tc>
        <w:tc>
          <w:tcPr>
            <w:tcW w:w="1134" w:type="dxa"/>
            <w:vAlign w:val="center"/>
          </w:tcPr>
          <w:p w:rsidR="00236AB6" w:rsidRPr="00E8450A" w:rsidRDefault="00236AB6" w:rsidP="00236AB6">
            <w:pPr>
              <w:ind w:left="851" w:hanging="851"/>
              <w:jc w:val="left"/>
              <w:rPr>
                <w:noProof/>
                <w:sz w:val="20"/>
                <w:highlight w:val="lightGray"/>
              </w:rPr>
            </w:pPr>
            <w:r w:rsidRPr="00E8450A">
              <w:rPr>
                <w:noProof/>
                <w:sz w:val="20"/>
                <w:highlight w:val="lightGray"/>
              </w:rPr>
              <w:t>C</w:t>
            </w:r>
            <w:r w:rsidRPr="00E8450A">
              <w:rPr>
                <w:noProof/>
                <w:sz w:val="20"/>
                <w:highlight w:val="lightGray"/>
                <w:vertAlign w:val="subscript"/>
              </w:rPr>
              <w:t>10</w:t>
            </w:r>
            <w:r w:rsidRPr="00E8450A">
              <w:rPr>
                <w:noProof/>
                <w:sz w:val="20"/>
                <w:highlight w:val="lightGray"/>
              </w:rPr>
              <w:t>H</w:t>
            </w:r>
            <w:r w:rsidRPr="00E8450A">
              <w:rPr>
                <w:noProof/>
                <w:sz w:val="20"/>
                <w:highlight w:val="lightGray"/>
                <w:vertAlign w:val="subscript"/>
              </w:rPr>
              <w:t>16</w:t>
            </w:r>
          </w:p>
        </w:tc>
        <w:tc>
          <w:tcPr>
            <w:tcW w:w="1275" w:type="dxa"/>
            <w:vAlign w:val="center"/>
          </w:tcPr>
          <w:p w:rsidR="00236AB6" w:rsidRPr="00E8450A" w:rsidRDefault="00236AB6" w:rsidP="00236AB6">
            <w:pPr>
              <w:ind w:left="851" w:hanging="851"/>
              <w:jc w:val="left"/>
              <w:rPr>
                <w:noProof/>
                <w:sz w:val="20"/>
                <w:highlight w:val="lightGray"/>
              </w:rPr>
            </w:pPr>
            <w:r w:rsidRPr="00E8450A">
              <w:rPr>
                <w:noProof/>
                <w:sz w:val="20"/>
                <w:highlight w:val="lightGray"/>
              </w:rPr>
              <w:t>123-35-3</w:t>
            </w:r>
          </w:p>
        </w:tc>
      </w:tr>
      <w:tr w:rsidR="00236AB6" w:rsidRPr="00E8450A" w:rsidTr="00236AB6">
        <w:tc>
          <w:tcPr>
            <w:tcW w:w="1417" w:type="dxa"/>
            <w:vMerge/>
            <w:vAlign w:val="center"/>
          </w:tcPr>
          <w:p w:rsidR="00236AB6" w:rsidRPr="00E8450A" w:rsidRDefault="00236AB6" w:rsidP="00236AB6">
            <w:pPr>
              <w:ind w:left="851" w:hanging="851"/>
              <w:jc w:val="left"/>
              <w:rPr>
                <w:noProof/>
                <w:sz w:val="20"/>
                <w:highlight w:val="lightGray"/>
              </w:rPr>
            </w:pPr>
          </w:p>
        </w:tc>
        <w:tc>
          <w:tcPr>
            <w:tcW w:w="2268" w:type="dxa"/>
            <w:vAlign w:val="center"/>
          </w:tcPr>
          <w:p w:rsidR="00236AB6" w:rsidRPr="00E8450A" w:rsidRDefault="00236AB6" w:rsidP="00236AB6">
            <w:pPr>
              <w:ind w:left="851" w:hanging="851"/>
              <w:jc w:val="left"/>
              <w:rPr>
                <w:noProof/>
                <w:sz w:val="20"/>
                <w:highlight w:val="lightGray"/>
              </w:rPr>
            </w:pPr>
            <w:r w:rsidRPr="00E8450A">
              <w:rPr>
                <w:rFonts w:ascii="Symbol" w:hAnsi="Symbol"/>
                <w:noProof/>
                <w:sz w:val="18"/>
                <w:highlight w:val="lightGray"/>
              </w:rPr>
              <w:t></w:t>
            </w:r>
            <w:r w:rsidRPr="00E8450A">
              <w:rPr>
                <w:noProof/>
                <w:sz w:val="20"/>
                <w:highlight w:val="lightGray"/>
              </w:rPr>
              <w:t>-pinén</w:t>
            </w:r>
          </w:p>
        </w:tc>
        <w:tc>
          <w:tcPr>
            <w:tcW w:w="2552" w:type="dxa"/>
          </w:tcPr>
          <w:p w:rsidR="00236AB6" w:rsidRPr="00E8450A" w:rsidRDefault="00236AB6" w:rsidP="00236AB6">
            <w:pPr>
              <w:jc w:val="left"/>
              <w:rPr>
                <w:noProof/>
                <w:sz w:val="20"/>
                <w:highlight w:val="lightGray"/>
              </w:rPr>
            </w:pPr>
            <w:r w:rsidRPr="00E8450A">
              <w:rPr>
                <w:noProof/>
                <w:sz w:val="20"/>
                <w:highlight w:val="lightGray"/>
              </w:rPr>
              <w:t>2,6,6-trimetylbicyklo[3.1.1]hept-2-én</w:t>
            </w:r>
          </w:p>
        </w:tc>
        <w:tc>
          <w:tcPr>
            <w:tcW w:w="1134" w:type="dxa"/>
            <w:vAlign w:val="center"/>
          </w:tcPr>
          <w:p w:rsidR="00236AB6" w:rsidRPr="00E8450A" w:rsidRDefault="00236AB6" w:rsidP="00236AB6">
            <w:pPr>
              <w:ind w:left="851" w:hanging="851"/>
              <w:jc w:val="left"/>
              <w:rPr>
                <w:noProof/>
                <w:sz w:val="20"/>
                <w:highlight w:val="lightGray"/>
              </w:rPr>
            </w:pPr>
            <w:r w:rsidRPr="00E8450A">
              <w:rPr>
                <w:noProof/>
                <w:sz w:val="20"/>
                <w:highlight w:val="lightGray"/>
              </w:rPr>
              <w:t>C</w:t>
            </w:r>
            <w:r w:rsidRPr="00E8450A">
              <w:rPr>
                <w:noProof/>
                <w:sz w:val="20"/>
                <w:highlight w:val="lightGray"/>
                <w:vertAlign w:val="subscript"/>
              </w:rPr>
              <w:t>10</w:t>
            </w:r>
            <w:r w:rsidRPr="00E8450A">
              <w:rPr>
                <w:noProof/>
                <w:sz w:val="20"/>
                <w:highlight w:val="lightGray"/>
              </w:rPr>
              <w:t>H</w:t>
            </w:r>
            <w:r w:rsidRPr="00E8450A">
              <w:rPr>
                <w:noProof/>
                <w:sz w:val="20"/>
                <w:highlight w:val="lightGray"/>
                <w:vertAlign w:val="subscript"/>
              </w:rPr>
              <w:t>16</w:t>
            </w:r>
          </w:p>
        </w:tc>
        <w:tc>
          <w:tcPr>
            <w:tcW w:w="1275" w:type="dxa"/>
            <w:vAlign w:val="center"/>
          </w:tcPr>
          <w:p w:rsidR="00236AB6" w:rsidRPr="00E8450A" w:rsidRDefault="00236AB6" w:rsidP="00236AB6">
            <w:pPr>
              <w:ind w:left="851" w:hanging="851"/>
              <w:jc w:val="left"/>
              <w:rPr>
                <w:noProof/>
                <w:sz w:val="20"/>
                <w:highlight w:val="lightGray"/>
              </w:rPr>
            </w:pPr>
            <w:r w:rsidRPr="00E8450A">
              <w:rPr>
                <w:noProof/>
                <w:sz w:val="20"/>
                <w:highlight w:val="lightGray"/>
              </w:rPr>
              <w:t>80-56-8</w:t>
            </w:r>
          </w:p>
        </w:tc>
      </w:tr>
      <w:tr w:rsidR="00236AB6" w:rsidRPr="00E8450A" w:rsidTr="00236AB6">
        <w:tc>
          <w:tcPr>
            <w:tcW w:w="1417" w:type="dxa"/>
            <w:vMerge/>
            <w:vAlign w:val="center"/>
          </w:tcPr>
          <w:p w:rsidR="00236AB6" w:rsidRPr="00E8450A" w:rsidRDefault="00236AB6" w:rsidP="00236AB6">
            <w:pPr>
              <w:ind w:left="851" w:hanging="851"/>
              <w:jc w:val="left"/>
              <w:rPr>
                <w:noProof/>
                <w:sz w:val="20"/>
                <w:highlight w:val="lightGray"/>
              </w:rPr>
            </w:pPr>
          </w:p>
        </w:tc>
        <w:tc>
          <w:tcPr>
            <w:tcW w:w="2268" w:type="dxa"/>
            <w:vAlign w:val="center"/>
          </w:tcPr>
          <w:p w:rsidR="00236AB6" w:rsidRPr="00E8450A" w:rsidRDefault="00236AB6" w:rsidP="00236AB6">
            <w:pPr>
              <w:ind w:left="851" w:hanging="851"/>
              <w:jc w:val="left"/>
              <w:rPr>
                <w:noProof/>
                <w:sz w:val="20"/>
                <w:highlight w:val="lightGray"/>
              </w:rPr>
            </w:pPr>
            <w:r w:rsidRPr="00E8450A">
              <w:rPr>
                <w:rFonts w:ascii="Symbol" w:hAnsi="Symbol"/>
                <w:noProof/>
                <w:sz w:val="18"/>
                <w:highlight w:val="lightGray"/>
              </w:rPr>
              <w:t></w:t>
            </w:r>
            <w:r w:rsidRPr="00E8450A">
              <w:rPr>
                <w:noProof/>
                <w:sz w:val="20"/>
                <w:highlight w:val="lightGray"/>
              </w:rPr>
              <w:t>-pinén</w:t>
            </w:r>
          </w:p>
        </w:tc>
        <w:tc>
          <w:tcPr>
            <w:tcW w:w="2552" w:type="dxa"/>
            <w:vAlign w:val="center"/>
          </w:tcPr>
          <w:p w:rsidR="00236AB6" w:rsidRPr="00E8450A" w:rsidRDefault="00236AB6" w:rsidP="00236AB6">
            <w:pPr>
              <w:jc w:val="left"/>
              <w:rPr>
                <w:noProof/>
                <w:sz w:val="20"/>
                <w:highlight w:val="lightGray"/>
              </w:rPr>
            </w:pPr>
            <w:r w:rsidRPr="00E8450A">
              <w:rPr>
                <w:noProof/>
                <w:sz w:val="20"/>
                <w:highlight w:val="lightGray"/>
              </w:rPr>
              <w:t>6,6-dimetyl-2-metylénbicyklo[3.1.1]heptán</w:t>
            </w:r>
          </w:p>
        </w:tc>
        <w:tc>
          <w:tcPr>
            <w:tcW w:w="1134" w:type="dxa"/>
            <w:vAlign w:val="center"/>
          </w:tcPr>
          <w:p w:rsidR="00236AB6" w:rsidRPr="00E8450A" w:rsidRDefault="00236AB6" w:rsidP="00236AB6">
            <w:pPr>
              <w:ind w:left="851" w:hanging="851"/>
              <w:jc w:val="left"/>
              <w:rPr>
                <w:noProof/>
                <w:sz w:val="20"/>
                <w:highlight w:val="lightGray"/>
              </w:rPr>
            </w:pPr>
            <w:r w:rsidRPr="00E8450A">
              <w:rPr>
                <w:noProof/>
                <w:sz w:val="20"/>
                <w:highlight w:val="lightGray"/>
              </w:rPr>
              <w:t>C</w:t>
            </w:r>
            <w:r w:rsidRPr="00E8450A">
              <w:rPr>
                <w:noProof/>
                <w:sz w:val="20"/>
                <w:highlight w:val="lightGray"/>
                <w:vertAlign w:val="subscript"/>
              </w:rPr>
              <w:t>10</w:t>
            </w:r>
            <w:r w:rsidRPr="00E8450A">
              <w:rPr>
                <w:noProof/>
                <w:sz w:val="20"/>
                <w:highlight w:val="lightGray"/>
              </w:rPr>
              <w:t>H</w:t>
            </w:r>
            <w:r w:rsidRPr="00E8450A">
              <w:rPr>
                <w:noProof/>
                <w:sz w:val="20"/>
                <w:highlight w:val="lightGray"/>
                <w:vertAlign w:val="subscript"/>
              </w:rPr>
              <w:t>16</w:t>
            </w:r>
          </w:p>
        </w:tc>
        <w:tc>
          <w:tcPr>
            <w:tcW w:w="1275" w:type="dxa"/>
            <w:vAlign w:val="center"/>
          </w:tcPr>
          <w:p w:rsidR="00236AB6" w:rsidRPr="00E8450A" w:rsidRDefault="00236AB6" w:rsidP="00236AB6">
            <w:pPr>
              <w:ind w:left="851" w:hanging="851"/>
              <w:jc w:val="left"/>
              <w:rPr>
                <w:noProof/>
                <w:sz w:val="20"/>
                <w:highlight w:val="lightGray"/>
              </w:rPr>
            </w:pPr>
            <w:r w:rsidRPr="00E8450A">
              <w:rPr>
                <w:noProof/>
                <w:sz w:val="20"/>
                <w:highlight w:val="lightGray"/>
              </w:rPr>
              <w:t>127-91-3</w:t>
            </w:r>
          </w:p>
        </w:tc>
      </w:tr>
      <w:tr w:rsidR="00236AB6" w:rsidRPr="00E8450A" w:rsidTr="00236AB6">
        <w:tc>
          <w:tcPr>
            <w:tcW w:w="1417" w:type="dxa"/>
            <w:vMerge/>
            <w:vAlign w:val="center"/>
          </w:tcPr>
          <w:p w:rsidR="00236AB6" w:rsidRPr="00E8450A" w:rsidRDefault="00236AB6" w:rsidP="00236AB6">
            <w:pPr>
              <w:ind w:left="851" w:hanging="851"/>
              <w:jc w:val="left"/>
              <w:rPr>
                <w:noProof/>
                <w:sz w:val="20"/>
                <w:highlight w:val="lightGray"/>
              </w:rPr>
            </w:pPr>
          </w:p>
        </w:tc>
        <w:tc>
          <w:tcPr>
            <w:tcW w:w="2268" w:type="dxa"/>
            <w:vAlign w:val="center"/>
          </w:tcPr>
          <w:p w:rsidR="00236AB6" w:rsidRPr="00E8450A" w:rsidRDefault="00236AB6" w:rsidP="00236AB6">
            <w:pPr>
              <w:ind w:left="851" w:hanging="851"/>
              <w:jc w:val="left"/>
              <w:rPr>
                <w:noProof/>
                <w:sz w:val="20"/>
                <w:highlight w:val="lightGray"/>
              </w:rPr>
            </w:pPr>
            <w:r w:rsidRPr="00E8450A">
              <w:rPr>
                <w:noProof/>
                <w:sz w:val="20"/>
                <w:highlight w:val="lightGray"/>
              </w:rPr>
              <w:t>kamfén</w:t>
            </w:r>
          </w:p>
        </w:tc>
        <w:tc>
          <w:tcPr>
            <w:tcW w:w="2552" w:type="dxa"/>
          </w:tcPr>
          <w:p w:rsidR="00236AB6" w:rsidRPr="00E8450A" w:rsidRDefault="00236AB6" w:rsidP="00236AB6">
            <w:pPr>
              <w:jc w:val="left"/>
              <w:rPr>
                <w:noProof/>
                <w:sz w:val="20"/>
                <w:highlight w:val="lightGray"/>
              </w:rPr>
            </w:pPr>
            <w:r w:rsidRPr="00E8450A">
              <w:rPr>
                <w:noProof/>
                <w:sz w:val="20"/>
                <w:highlight w:val="lightGray"/>
              </w:rPr>
              <w:t>2,2-dimetyl-3-metylidénbicyklo[2.2.1]heptán</w:t>
            </w:r>
          </w:p>
        </w:tc>
        <w:tc>
          <w:tcPr>
            <w:tcW w:w="1134" w:type="dxa"/>
            <w:vAlign w:val="center"/>
          </w:tcPr>
          <w:p w:rsidR="00236AB6" w:rsidRPr="00E8450A" w:rsidRDefault="00236AB6" w:rsidP="00236AB6">
            <w:pPr>
              <w:ind w:left="851" w:hanging="851"/>
              <w:jc w:val="left"/>
              <w:rPr>
                <w:noProof/>
                <w:sz w:val="20"/>
                <w:highlight w:val="lightGray"/>
              </w:rPr>
            </w:pPr>
            <w:r w:rsidRPr="00E8450A">
              <w:rPr>
                <w:noProof/>
                <w:sz w:val="20"/>
                <w:highlight w:val="lightGray"/>
              </w:rPr>
              <w:t>C</w:t>
            </w:r>
            <w:r w:rsidRPr="00E8450A">
              <w:rPr>
                <w:noProof/>
                <w:sz w:val="20"/>
                <w:highlight w:val="lightGray"/>
                <w:vertAlign w:val="subscript"/>
              </w:rPr>
              <w:t>10</w:t>
            </w:r>
            <w:r w:rsidRPr="00E8450A">
              <w:rPr>
                <w:noProof/>
                <w:sz w:val="20"/>
                <w:highlight w:val="lightGray"/>
              </w:rPr>
              <w:t>H</w:t>
            </w:r>
            <w:r w:rsidRPr="00E8450A">
              <w:rPr>
                <w:noProof/>
                <w:sz w:val="20"/>
                <w:highlight w:val="lightGray"/>
                <w:vertAlign w:val="subscript"/>
              </w:rPr>
              <w:t>16</w:t>
            </w:r>
          </w:p>
        </w:tc>
        <w:tc>
          <w:tcPr>
            <w:tcW w:w="1275" w:type="dxa"/>
            <w:vAlign w:val="center"/>
          </w:tcPr>
          <w:p w:rsidR="00236AB6" w:rsidRPr="00E8450A" w:rsidRDefault="00236AB6" w:rsidP="00236AB6">
            <w:pPr>
              <w:ind w:left="851" w:hanging="851"/>
              <w:jc w:val="left"/>
              <w:rPr>
                <w:noProof/>
                <w:sz w:val="20"/>
                <w:highlight w:val="lightGray"/>
              </w:rPr>
            </w:pPr>
            <w:r w:rsidRPr="00E8450A">
              <w:rPr>
                <w:noProof/>
                <w:sz w:val="20"/>
                <w:highlight w:val="lightGray"/>
              </w:rPr>
              <w:t>79-92-5</w:t>
            </w:r>
          </w:p>
        </w:tc>
      </w:tr>
      <w:tr w:rsidR="00236AB6" w:rsidRPr="00E8450A" w:rsidTr="00236AB6">
        <w:tc>
          <w:tcPr>
            <w:tcW w:w="1417" w:type="dxa"/>
            <w:vMerge/>
            <w:vAlign w:val="center"/>
          </w:tcPr>
          <w:p w:rsidR="00236AB6" w:rsidRPr="00E8450A" w:rsidRDefault="00236AB6" w:rsidP="00236AB6">
            <w:pPr>
              <w:ind w:left="851" w:hanging="851"/>
              <w:jc w:val="left"/>
              <w:rPr>
                <w:noProof/>
                <w:sz w:val="20"/>
                <w:highlight w:val="lightGray"/>
              </w:rPr>
            </w:pPr>
          </w:p>
        </w:tc>
        <w:tc>
          <w:tcPr>
            <w:tcW w:w="2268" w:type="dxa"/>
            <w:vAlign w:val="center"/>
          </w:tcPr>
          <w:p w:rsidR="00236AB6" w:rsidRPr="00E8450A" w:rsidRDefault="00236AB6" w:rsidP="00236AB6">
            <w:pPr>
              <w:ind w:left="851" w:hanging="851"/>
              <w:jc w:val="left"/>
              <w:rPr>
                <w:noProof/>
                <w:sz w:val="20"/>
                <w:highlight w:val="lightGray"/>
              </w:rPr>
            </w:pPr>
            <w:r w:rsidRPr="00E8450A">
              <w:rPr>
                <w:rFonts w:ascii="Symbol" w:hAnsi="Symbol"/>
                <w:noProof/>
                <w:sz w:val="18"/>
                <w:highlight w:val="lightGray"/>
              </w:rPr>
              <w:t></w:t>
            </w:r>
            <w:r w:rsidRPr="00E8450A">
              <w:rPr>
                <w:noProof/>
                <w:sz w:val="20"/>
                <w:highlight w:val="lightGray"/>
                <w:vertAlign w:val="superscript"/>
              </w:rPr>
              <w:t>3</w:t>
            </w:r>
            <w:r w:rsidRPr="00E8450A">
              <w:rPr>
                <w:noProof/>
                <w:sz w:val="20"/>
                <w:highlight w:val="lightGray"/>
              </w:rPr>
              <w:t>-karén</w:t>
            </w:r>
          </w:p>
        </w:tc>
        <w:tc>
          <w:tcPr>
            <w:tcW w:w="2552" w:type="dxa"/>
            <w:vAlign w:val="center"/>
          </w:tcPr>
          <w:p w:rsidR="00236AB6" w:rsidRPr="00E8450A" w:rsidRDefault="00236AB6" w:rsidP="00236AB6">
            <w:pPr>
              <w:jc w:val="left"/>
              <w:rPr>
                <w:noProof/>
                <w:sz w:val="20"/>
                <w:highlight w:val="lightGray"/>
              </w:rPr>
            </w:pPr>
            <w:r w:rsidRPr="00E8450A">
              <w:rPr>
                <w:noProof/>
                <w:sz w:val="20"/>
                <w:highlight w:val="lightGray"/>
              </w:rPr>
              <w:t>3,7,7-trimetylbicyklo[4.1.0]hept-3-én</w:t>
            </w:r>
          </w:p>
        </w:tc>
        <w:tc>
          <w:tcPr>
            <w:tcW w:w="1134" w:type="dxa"/>
            <w:vAlign w:val="center"/>
          </w:tcPr>
          <w:p w:rsidR="00236AB6" w:rsidRPr="00E8450A" w:rsidRDefault="00236AB6" w:rsidP="00236AB6">
            <w:pPr>
              <w:ind w:left="851" w:hanging="851"/>
              <w:jc w:val="left"/>
              <w:rPr>
                <w:noProof/>
                <w:sz w:val="20"/>
                <w:highlight w:val="lightGray"/>
              </w:rPr>
            </w:pPr>
            <w:r w:rsidRPr="00E8450A">
              <w:rPr>
                <w:noProof/>
                <w:sz w:val="20"/>
                <w:highlight w:val="lightGray"/>
              </w:rPr>
              <w:t>C</w:t>
            </w:r>
            <w:r w:rsidRPr="00E8450A">
              <w:rPr>
                <w:noProof/>
                <w:sz w:val="20"/>
                <w:highlight w:val="lightGray"/>
                <w:vertAlign w:val="subscript"/>
              </w:rPr>
              <w:t>10</w:t>
            </w:r>
            <w:r w:rsidRPr="00E8450A">
              <w:rPr>
                <w:noProof/>
                <w:sz w:val="20"/>
                <w:highlight w:val="lightGray"/>
              </w:rPr>
              <w:t>H</w:t>
            </w:r>
            <w:r w:rsidRPr="00E8450A">
              <w:rPr>
                <w:noProof/>
                <w:sz w:val="20"/>
                <w:highlight w:val="lightGray"/>
                <w:vertAlign w:val="subscript"/>
              </w:rPr>
              <w:t>16</w:t>
            </w:r>
          </w:p>
        </w:tc>
        <w:tc>
          <w:tcPr>
            <w:tcW w:w="1275" w:type="dxa"/>
            <w:vAlign w:val="center"/>
          </w:tcPr>
          <w:p w:rsidR="00236AB6" w:rsidRPr="00E8450A" w:rsidRDefault="00236AB6" w:rsidP="00236AB6">
            <w:pPr>
              <w:ind w:left="851" w:hanging="851"/>
              <w:jc w:val="left"/>
              <w:rPr>
                <w:noProof/>
                <w:sz w:val="20"/>
                <w:highlight w:val="lightGray"/>
              </w:rPr>
            </w:pPr>
            <w:r w:rsidRPr="00E8450A">
              <w:rPr>
                <w:noProof/>
                <w:sz w:val="20"/>
                <w:highlight w:val="lightGray"/>
              </w:rPr>
              <w:t>13466-78-9</w:t>
            </w:r>
          </w:p>
        </w:tc>
      </w:tr>
      <w:tr w:rsidR="00236AB6" w:rsidRPr="00E8450A" w:rsidTr="00236AB6">
        <w:tc>
          <w:tcPr>
            <w:tcW w:w="1417" w:type="dxa"/>
            <w:vMerge/>
            <w:vAlign w:val="center"/>
          </w:tcPr>
          <w:p w:rsidR="00236AB6" w:rsidRPr="00E8450A" w:rsidRDefault="00236AB6" w:rsidP="00236AB6">
            <w:pPr>
              <w:ind w:left="851" w:hanging="851"/>
              <w:jc w:val="left"/>
              <w:rPr>
                <w:noProof/>
                <w:sz w:val="20"/>
                <w:highlight w:val="lightGray"/>
              </w:rPr>
            </w:pPr>
          </w:p>
        </w:tc>
        <w:tc>
          <w:tcPr>
            <w:tcW w:w="2268" w:type="dxa"/>
            <w:vAlign w:val="center"/>
          </w:tcPr>
          <w:p w:rsidR="00236AB6" w:rsidRPr="00E8450A" w:rsidRDefault="00236AB6" w:rsidP="00236AB6">
            <w:pPr>
              <w:ind w:left="851" w:hanging="851"/>
              <w:jc w:val="left"/>
              <w:rPr>
                <w:noProof/>
                <w:sz w:val="20"/>
                <w:highlight w:val="lightGray"/>
              </w:rPr>
            </w:pPr>
            <w:r w:rsidRPr="00E8450A">
              <w:rPr>
                <w:noProof/>
                <w:sz w:val="20"/>
                <w:highlight w:val="lightGray"/>
              </w:rPr>
              <w:t>1,8-cineol</w:t>
            </w:r>
          </w:p>
        </w:tc>
        <w:tc>
          <w:tcPr>
            <w:tcW w:w="2552" w:type="dxa"/>
            <w:vAlign w:val="center"/>
          </w:tcPr>
          <w:p w:rsidR="00236AB6" w:rsidRPr="00E8450A" w:rsidRDefault="00236AB6" w:rsidP="00236AB6">
            <w:pPr>
              <w:jc w:val="left"/>
              <w:rPr>
                <w:noProof/>
                <w:sz w:val="20"/>
                <w:highlight w:val="lightGray"/>
              </w:rPr>
            </w:pPr>
            <w:r w:rsidRPr="00E8450A">
              <w:rPr>
                <w:noProof/>
                <w:sz w:val="20"/>
                <w:highlight w:val="lightGray"/>
              </w:rPr>
              <w:t>1,3,3-trimetyl-2-oxabicyklo[2.2.2]oktán</w:t>
            </w:r>
          </w:p>
        </w:tc>
        <w:tc>
          <w:tcPr>
            <w:tcW w:w="1134" w:type="dxa"/>
            <w:vAlign w:val="center"/>
          </w:tcPr>
          <w:p w:rsidR="00236AB6" w:rsidRPr="00E8450A" w:rsidRDefault="00236AB6" w:rsidP="00236AB6">
            <w:pPr>
              <w:ind w:left="851" w:hanging="851"/>
              <w:jc w:val="left"/>
              <w:rPr>
                <w:noProof/>
                <w:sz w:val="20"/>
                <w:highlight w:val="lightGray"/>
              </w:rPr>
            </w:pPr>
            <w:r w:rsidRPr="00E8450A">
              <w:rPr>
                <w:noProof/>
                <w:sz w:val="20"/>
                <w:highlight w:val="lightGray"/>
              </w:rPr>
              <w:t>C</w:t>
            </w:r>
            <w:r w:rsidRPr="00E8450A">
              <w:rPr>
                <w:noProof/>
                <w:sz w:val="20"/>
                <w:highlight w:val="lightGray"/>
                <w:vertAlign w:val="subscript"/>
              </w:rPr>
              <w:t>10</w:t>
            </w:r>
            <w:r w:rsidRPr="00E8450A">
              <w:rPr>
                <w:noProof/>
                <w:sz w:val="20"/>
                <w:highlight w:val="lightGray"/>
              </w:rPr>
              <w:t>H</w:t>
            </w:r>
            <w:r w:rsidRPr="00E8450A">
              <w:rPr>
                <w:noProof/>
                <w:sz w:val="20"/>
                <w:highlight w:val="lightGray"/>
                <w:vertAlign w:val="subscript"/>
              </w:rPr>
              <w:t>18</w:t>
            </w:r>
            <w:r w:rsidRPr="00E8450A">
              <w:rPr>
                <w:noProof/>
                <w:sz w:val="20"/>
                <w:highlight w:val="lightGray"/>
              </w:rPr>
              <w:t>O</w:t>
            </w:r>
          </w:p>
        </w:tc>
        <w:tc>
          <w:tcPr>
            <w:tcW w:w="1275" w:type="dxa"/>
            <w:vAlign w:val="center"/>
          </w:tcPr>
          <w:p w:rsidR="00236AB6" w:rsidRPr="00E8450A" w:rsidRDefault="00236AB6" w:rsidP="00236AB6">
            <w:pPr>
              <w:ind w:left="851" w:hanging="851"/>
              <w:jc w:val="left"/>
              <w:rPr>
                <w:noProof/>
                <w:sz w:val="20"/>
                <w:highlight w:val="lightGray"/>
              </w:rPr>
            </w:pPr>
            <w:r w:rsidRPr="00E8450A">
              <w:rPr>
                <w:noProof/>
                <w:sz w:val="20"/>
                <w:highlight w:val="lightGray"/>
              </w:rPr>
              <w:t>470-82-6</w:t>
            </w:r>
          </w:p>
        </w:tc>
      </w:tr>
    </w:tbl>
    <w:p w:rsidR="005C7768" w:rsidRPr="00E8450A" w:rsidRDefault="005C7768" w:rsidP="005C7768">
      <w:pPr>
        <w:rPr>
          <w:noProof/>
          <w:highlight w:val="lightGray"/>
        </w:rPr>
      </w:pPr>
    </w:p>
    <w:p w:rsidR="005C7768" w:rsidRPr="00E8450A" w:rsidRDefault="005C7768" w:rsidP="00A52FD4">
      <w:pPr>
        <w:rPr>
          <w:b/>
          <w:noProof/>
          <w:highlight w:val="lightGray"/>
        </w:rPr>
      </w:pPr>
      <w:r w:rsidRPr="00E8450A">
        <w:rPr>
          <w:b/>
          <w:noProof/>
          <w:highlight w:val="lightGray"/>
        </w:rPr>
        <w:t>C</w:t>
      </w:r>
      <w:r w:rsidR="00A52FD4">
        <w:rPr>
          <w:b/>
          <w:noProof/>
          <w:highlight w:val="lightGray"/>
        </w:rPr>
        <w:t>)</w:t>
      </w:r>
      <w:r w:rsidRPr="00E8450A">
        <w:rPr>
          <w:noProof/>
        </w:rPr>
        <w:tab/>
      </w:r>
      <w:r w:rsidRPr="00E8450A">
        <w:rPr>
          <w:b/>
          <w:noProof/>
          <w:highlight w:val="lightGray"/>
        </w:rPr>
        <w:t>Umiestnenie</w:t>
      </w:r>
    </w:p>
    <w:p w:rsidR="005C7768" w:rsidRPr="00E8450A" w:rsidRDefault="005C7768" w:rsidP="005C7768">
      <w:pPr>
        <w:ind w:left="426"/>
        <w:rPr>
          <w:noProof/>
          <w:highlight w:val="lightGray"/>
          <w:u w:val="single"/>
        </w:rPr>
      </w:pPr>
      <w:r w:rsidRPr="00E8450A">
        <w:rPr>
          <w:noProof/>
          <w:highlight w:val="lightGray"/>
        </w:rPr>
        <w:t>Merania sa uskutočňujú na vzorkovacích miestach, ktoré sú zriadené v súlade s požiadavkami podľa tejto smernice a ktoré sa považujú za vhodné, pokiaľ ide o ciele monitorovania uvedené v časti A tohto oddielu.</w:t>
      </w:r>
    </w:p>
    <w:p w:rsidR="00323EE6" w:rsidRPr="00E8450A" w:rsidRDefault="00323EE6" w:rsidP="005C7768">
      <w:pPr>
        <w:rPr>
          <w:caps/>
          <w:noProof/>
          <w:highlight w:val="lightGray"/>
          <w:u w:val="single"/>
        </w:rPr>
      </w:pPr>
    </w:p>
    <w:p w:rsidR="005C7768" w:rsidRPr="00E8450A" w:rsidRDefault="00337765" w:rsidP="005C7768">
      <w:pPr>
        <w:rPr>
          <w:bCs/>
          <w:smallCaps/>
          <w:noProof/>
          <w:highlight w:val="lightGray"/>
        </w:rPr>
      </w:pPr>
      <w:r w:rsidRPr="00E8450A">
        <w:rPr>
          <w:caps/>
          <w:noProof/>
          <w:highlight w:val="lightGray"/>
          <w:u w:val="single"/>
        </w:rPr>
        <w:t>Oddiel 3 – Meranie</w:t>
      </w:r>
      <w:r w:rsidRPr="00E8450A">
        <w:rPr>
          <w:noProof/>
          <w:highlight w:val="lightGray"/>
          <w:u w:val="single"/>
        </w:rPr>
        <w:t xml:space="preserve"> ULTRAJEMNÝCH ČASTÍC (UFP) </w:t>
      </w:r>
    </w:p>
    <w:p w:rsidR="0049608F" w:rsidRPr="00E8450A" w:rsidRDefault="0049608F" w:rsidP="00A52FD4">
      <w:pPr>
        <w:rPr>
          <w:b/>
          <w:noProof/>
          <w:highlight w:val="lightGray"/>
        </w:rPr>
      </w:pPr>
      <w:r w:rsidRPr="00E8450A">
        <w:rPr>
          <w:b/>
          <w:noProof/>
          <w:highlight w:val="lightGray"/>
        </w:rPr>
        <w:t>A</w:t>
      </w:r>
      <w:r w:rsidR="00A52FD4">
        <w:rPr>
          <w:b/>
          <w:noProof/>
          <w:highlight w:val="lightGray"/>
        </w:rPr>
        <w:t>)</w:t>
      </w:r>
      <w:r w:rsidRPr="00E8450A">
        <w:rPr>
          <w:b/>
          <w:noProof/>
          <w:highlight w:val="lightGray"/>
        </w:rPr>
        <w:t xml:space="preserve"> Ciele</w:t>
      </w:r>
    </w:p>
    <w:p w:rsidR="0049608F" w:rsidRPr="00E8450A" w:rsidRDefault="0049608F" w:rsidP="0049608F">
      <w:pPr>
        <w:ind w:left="426"/>
        <w:rPr>
          <w:noProof/>
          <w:highlight w:val="lightGray"/>
        </w:rPr>
      </w:pPr>
      <w:r w:rsidRPr="00E8450A">
        <w:rPr>
          <w:noProof/>
          <w:highlight w:val="lightGray"/>
        </w:rPr>
        <w:t>Cieľom takýchto meraní je zabezpečiť, aby boli k dispozícii primerané informácie na miestach, kde sa vyskytujú vysoké koncentrácie UFP, ktoré sú ovplyvnené najmä zdrojmi z leteckej, vodnej alebo cestnej dopravy (ako sú letiská, prístavy, cesty), priemyselných areálov alebo vykurovania domácností. Informácie musia byť vhodné na posúdenie zvýšených úrovní koncentrácií UFP z uvedených zdrojov.</w:t>
      </w:r>
    </w:p>
    <w:p w:rsidR="0049608F" w:rsidRPr="00E8450A" w:rsidRDefault="0049608F" w:rsidP="0049608F">
      <w:pPr>
        <w:ind w:left="426"/>
        <w:rPr>
          <w:noProof/>
          <w:highlight w:val="lightGray"/>
        </w:rPr>
      </w:pPr>
    </w:p>
    <w:p w:rsidR="0049608F" w:rsidRPr="00E8450A" w:rsidRDefault="0049608F" w:rsidP="00A52FD4">
      <w:pPr>
        <w:rPr>
          <w:b/>
          <w:noProof/>
          <w:highlight w:val="lightGray"/>
        </w:rPr>
      </w:pPr>
      <w:r w:rsidRPr="00E8450A">
        <w:rPr>
          <w:b/>
          <w:noProof/>
          <w:highlight w:val="lightGray"/>
        </w:rPr>
        <w:t>B</w:t>
      </w:r>
      <w:r w:rsidR="00A52FD4">
        <w:rPr>
          <w:b/>
          <w:noProof/>
          <w:highlight w:val="lightGray"/>
        </w:rPr>
        <w:t>)</w:t>
      </w:r>
      <w:r w:rsidRPr="00E8450A">
        <w:rPr>
          <w:b/>
          <w:noProof/>
          <w:highlight w:val="lightGray"/>
        </w:rPr>
        <w:t xml:space="preserve"> Látky</w:t>
      </w:r>
    </w:p>
    <w:p w:rsidR="0049608F" w:rsidRPr="00E8450A" w:rsidRDefault="00FD3095" w:rsidP="0049608F">
      <w:pPr>
        <w:ind w:left="426"/>
        <w:rPr>
          <w:noProof/>
          <w:highlight w:val="lightGray"/>
        </w:rPr>
      </w:pPr>
      <w:r w:rsidRPr="00E8450A">
        <w:rPr>
          <w:noProof/>
          <w:highlight w:val="lightGray"/>
        </w:rPr>
        <w:t xml:space="preserve">UFP. </w:t>
      </w:r>
    </w:p>
    <w:p w:rsidR="0049608F" w:rsidRPr="00E8450A" w:rsidRDefault="0049608F" w:rsidP="0049608F">
      <w:pPr>
        <w:ind w:left="426"/>
        <w:rPr>
          <w:noProof/>
          <w:highlight w:val="lightGray"/>
        </w:rPr>
      </w:pPr>
    </w:p>
    <w:p w:rsidR="0049608F" w:rsidRPr="00E8450A" w:rsidRDefault="0049608F" w:rsidP="00A52FD4">
      <w:pPr>
        <w:rPr>
          <w:b/>
          <w:noProof/>
          <w:highlight w:val="lightGray"/>
        </w:rPr>
      </w:pPr>
      <w:r w:rsidRPr="00E8450A">
        <w:rPr>
          <w:b/>
          <w:noProof/>
          <w:highlight w:val="lightGray"/>
        </w:rPr>
        <w:t>C</w:t>
      </w:r>
      <w:r w:rsidR="00A52FD4">
        <w:rPr>
          <w:b/>
          <w:noProof/>
          <w:highlight w:val="lightGray"/>
        </w:rPr>
        <w:t>)</w:t>
      </w:r>
      <w:r w:rsidRPr="00E8450A">
        <w:rPr>
          <w:b/>
          <w:noProof/>
          <w:highlight w:val="lightGray"/>
        </w:rPr>
        <w:t xml:space="preserve"> Umiestnenie</w:t>
      </w:r>
    </w:p>
    <w:p w:rsidR="0049608F" w:rsidRPr="00E8450A" w:rsidRDefault="0049608F" w:rsidP="0049608F">
      <w:pPr>
        <w:ind w:left="426"/>
        <w:rPr>
          <w:noProof/>
          <w:highlight w:val="lightGray"/>
        </w:rPr>
      </w:pPr>
      <w:r w:rsidRPr="00E8450A">
        <w:rPr>
          <w:noProof/>
          <w:highlight w:val="lightGray"/>
        </w:rPr>
        <w:t xml:space="preserve">Vzorkovacie miesta sa zriadia v súlade s prílohami IV a V na mieste, kde sa pravdepodobne vyskytujú vysoké koncentrácie UFP, a to v smere prevládajúceho vetra. </w:t>
      </w:r>
    </w:p>
    <w:p w:rsidR="00B124E8" w:rsidRPr="00E8450A" w:rsidRDefault="005C7768" w:rsidP="00B124E8">
      <w:pPr>
        <w:rPr>
          <w:noProof/>
          <w:highlight w:val="lightGray"/>
        </w:rPr>
      </w:pPr>
      <w:r w:rsidRPr="00E8450A">
        <w:rPr>
          <w:noProof/>
        </w:rPr>
        <w:br w:type="page"/>
      </w:r>
    </w:p>
    <w:p w:rsidR="006862AF" w:rsidRPr="00E8450A" w:rsidRDefault="006862AF" w:rsidP="00897B9B">
      <w:pPr>
        <w:pStyle w:val="Annexetitre"/>
        <w:rPr>
          <w:caps/>
          <w:noProof/>
          <w:highlight w:val="lightGray"/>
        </w:rPr>
      </w:pPr>
      <w:r w:rsidRPr="00E8450A">
        <w:rPr>
          <w:caps/>
          <w:noProof/>
          <w:highlight w:val="lightGray"/>
        </w:rPr>
        <w:lastRenderedPageBreak/>
        <w:t>PRÍLOHA VIII</w:t>
      </w:r>
    </w:p>
    <w:p w:rsidR="006862AF" w:rsidRPr="00E8450A" w:rsidRDefault="006862AF" w:rsidP="006862AF">
      <w:pPr>
        <w:jc w:val="center"/>
        <w:rPr>
          <w:b/>
          <w:caps/>
          <w:noProof/>
          <w:highlight w:val="lightGray"/>
        </w:rPr>
      </w:pPr>
      <w:r w:rsidRPr="00E8450A">
        <w:rPr>
          <w:b/>
          <w:caps/>
          <w:noProof/>
          <w:highlight w:val="lightGray"/>
        </w:rPr>
        <w:t>Informácie, ktoré sa majú zahrnúť do plánov kvality ovzdušia s cieľom zlepšiť kvalitu okolitého ovzdušia</w:t>
      </w:r>
    </w:p>
    <w:p w:rsidR="006862AF" w:rsidRPr="00E8450A" w:rsidRDefault="006862AF" w:rsidP="006862AF">
      <w:pPr>
        <w:jc w:val="center"/>
        <w:rPr>
          <w:b/>
          <w:i/>
          <w:caps/>
          <w:noProof/>
          <w:highlight w:val="lightGray"/>
        </w:rPr>
      </w:pPr>
    </w:p>
    <w:p w:rsidR="006862AF" w:rsidRPr="00E8450A" w:rsidRDefault="006862AF" w:rsidP="005812BF">
      <w:pPr>
        <w:rPr>
          <w:b/>
          <w:noProof/>
          <w:highlight w:val="lightGray"/>
        </w:rPr>
      </w:pPr>
      <w:r w:rsidRPr="00E8450A">
        <w:rPr>
          <w:b/>
          <w:noProof/>
          <w:highlight w:val="lightGray"/>
        </w:rPr>
        <w:t>A</w:t>
      </w:r>
      <w:r w:rsidR="005812BF">
        <w:rPr>
          <w:b/>
          <w:noProof/>
          <w:highlight w:val="lightGray"/>
        </w:rPr>
        <w:t>)</w:t>
      </w:r>
      <w:r w:rsidRPr="00E8450A">
        <w:rPr>
          <w:b/>
          <w:noProof/>
          <w:highlight w:val="lightGray"/>
        </w:rPr>
        <w:t xml:space="preserve"> Informácie, ktoré sa majú poskytovať podľa článku 19 ods. 5</w:t>
      </w:r>
    </w:p>
    <w:p w:rsidR="005C7768" w:rsidRPr="00E8450A" w:rsidRDefault="005C7768" w:rsidP="00F72A56">
      <w:pPr>
        <w:rPr>
          <w:noProof/>
          <w:highlight w:val="lightGray"/>
        </w:rPr>
      </w:pPr>
      <w:r w:rsidRPr="00E8450A">
        <w:rPr>
          <w:noProof/>
          <w:highlight w:val="lightGray"/>
        </w:rPr>
        <w:t>1.</w:t>
      </w:r>
      <w:r w:rsidRPr="00E8450A">
        <w:rPr>
          <w:noProof/>
        </w:rPr>
        <w:tab/>
      </w:r>
      <w:r w:rsidRPr="00E8450A">
        <w:rPr>
          <w:noProof/>
          <w:highlight w:val="lightGray"/>
        </w:rPr>
        <w:t>Lokalizácia nadmerného znečistenia</w:t>
      </w:r>
    </w:p>
    <w:p w:rsidR="005C7768" w:rsidRPr="00E8450A" w:rsidRDefault="005812BF" w:rsidP="005812BF">
      <w:pPr>
        <w:pStyle w:val="Point1"/>
        <w:rPr>
          <w:noProof/>
          <w:highlight w:val="lightGray"/>
        </w:rPr>
      </w:pPr>
      <w:r>
        <w:rPr>
          <w:noProof/>
          <w:highlight w:val="lightGray"/>
        </w:rPr>
        <w:t>a)</w:t>
      </w:r>
      <w:r>
        <w:rPr>
          <w:noProof/>
          <w:highlight w:val="lightGray"/>
        </w:rPr>
        <w:tab/>
      </w:r>
      <w:r w:rsidR="005C7768" w:rsidRPr="00E8450A">
        <w:rPr>
          <w:noProof/>
          <w:highlight w:val="lightGray"/>
        </w:rPr>
        <w:t>región;</w:t>
      </w:r>
    </w:p>
    <w:p w:rsidR="005C7768" w:rsidRPr="00E8450A" w:rsidRDefault="005812BF" w:rsidP="005812BF">
      <w:pPr>
        <w:pStyle w:val="Point1"/>
        <w:rPr>
          <w:noProof/>
          <w:highlight w:val="lightGray"/>
        </w:rPr>
      </w:pPr>
      <w:r>
        <w:rPr>
          <w:noProof/>
          <w:highlight w:val="lightGray"/>
        </w:rPr>
        <w:t>b)</w:t>
      </w:r>
      <w:r>
        <w:rPr>
          <w:noProof/>
          <w:highlight w:val="lightGray"/>
        </w:rPr>
        <w:tab/>
      </w:r>
      <w:r w:rsidR="005C7768" w:rsidRPr="00E8450A">
        <w:rPr>
          <w:noProof/>
          <w:highlight w:val="lightGray"/>
        </w:rPr>
        <w:t>mesto (mapa);</w:t>
      </w:r>
    </w:p>
    <w:p w:rsidR="005C7768" w:rsidRPr="00E8450A" w:rsidRDefault="005812BF" w:rsidP="005812BF">
      <w:pPr>
        <w:pStyle w:val="Point1"/>
        <w:rPr>
          <w:noProof/>
          <w:highlight w:val="lightGray"/>
        </w:rPr>
      </w:pPr>
      <w:r>
        <w:rPr>
          <w:noProof/>
          <w:highlight w:val="lightGray"/>
        </w:rPr>
        <w:t>c)</w:t>
      </w:r>
      <w:r>
        <w:rPr>
          <w:noProof/>
          <w:highlight w:val="lightGray"/>
        </w:rPr>
        <w:tab/>
      </w:r>
      <w:r w:rsidR="005C7768" w:rsidRPr="00E8450A">
        <w:rPr>
          <w:noProof/>
          <w:highlight w:val="lightGray"/>
        </w:rPr>
        <w:t>vzorkovacie miesto (-a) (mapy, zemepisné súradnice).</w:t>
      </w:r>
    </w:p>
    <w:p w:rsidR="005C7768" w:rsidRPr="00E8450A" w:rsidRDefault="005C7768" w:rsidP="00393A3E">
      <w:pPr>
        <w:rPr>
          <w:noProof/>
          <w:highlight w:val="lightGray"/>
        </w:rPr>
      </w:pPr>
    </w:p>
    <w:p w:rsidR="005C7768" w:rsidRPr="00E8450A" w:rsidRDefault="005C7768" w:rsidP="00F72A56">
      <w:pPr>
        <w:rPr>
          <w:noProof/>
          <w:highlight w:val="lightGray"/>
        </w:rPr>
      </w:pPr>
      <w:r w:rsidRPr="00E8450A">
        <w:rPr>
          <w:noProof/>
          <w:highlight w:val="lightGray"/>
        </w:rPr>
        <w:t>2.</w:t>
      </w:r>
      <w:r w:rsidRPr="00E8450A">
        <w:rPr>
          <w:noProof/>
        </w:rPr>
        <w:tab/>
      </w:r>
      <w:r w:rsidRPr="00E8450A">
        <w:rPr>
          <w:noProof/>
          <w:highlight w:val="lightGray"/>
        </w:rPr>
        <w:t>Všeobecné informácie</w:t>
      </w:r>
    </w:p>
    <w:p w:rsidR="005C7768" w:rsidRPr="00E8450A" w:rsidRDefault="005812BF" w:rsidP="005812BF">
      <w:pPr>
        <w:pStyle w:val="Point1"/>
        <w:rPr>
          <w:noProof/>
          <w:highlight w:val="lightGray"/>
        </w:rPr>
      </w:pPr>
      <w:r>
        <w:rPr>
          <w:noProof/>
          <w:highlight w:val="lightGray"/>
        </w:rPr>
        <w:t>a)</w:t>
      </w:r>
      <w:r>
        <w:rPr>
          <w:noProof/>
          <w:highlight w:val="lightGray"/>
        </w:rPr>
        <w:tab/>
      </w:r>
      <w:r w:rsidR="005C7768" w:rsidRPr="00E8450A">
        <w:rPr>
          <w:noProof/>
          <w:highlight w:val="lightGray"/>
        </w:rPr>
        <w:t>druh zóny (mestská, priemyselná alebo vidiecka oblasť) alebo charakteristiky územnej jednotky NUTS 1 (vrátane mestských, priemyselných alebo vidieckych oblastí);</w:t>
      </w:r>
    </w:p>
    <w:p w:rsidR="005C7768" w:rsidRPr="00E8450A" w:rsidRDefault="005812BF" w:rsidP="005812BF">
      <w:pPr>
        <w:pStyle w:val="Point1"/>
        <w:rPr>
          <w:noProof/>
          <w:highlight w:val="lightGray"/>
        </w:rPr>
      </w:pPr>
      <w:r>
        <w:rPr>
          <w:noProof/>
          <w:highlight w:val="lightGray"/>
        </w:rPr>
        <w:t>b)</w:t>
      </w:r>
      <w:r>
        <w:rPr>
          <w:noProof/>
          <w:highlight w:val="lightGray"/>
        </w:rPr>
        <w:tab/>
      </w:r>
      <w:r w:rsidR="005C7768" w:rsidRPr="00E8450A">
        <w:rPr>
          <w:noProof/>
          <w:highlight w:val="lightGray"/>
        </w:rPr>
        <w:t>odhad znečistenej oblasti (v km</w:t>
      </w:r>
      <w:r w:rsidR="005C7768" w:rsidRPr="00E8450A">
        <w:rPr>
          <w:noProof/>
          <w:highlight w:val="lightGray"/>
          <w:vertAlign w:val="superscript"/>
        </w:rPr>
        <w:t>2</w:t>
      </w:r>
      <w:r w:rsidR="005C7768" w:rsidRPr="00E8450A">
        <w:rPr>
          <w:noProof/>
          <w:highlight w:val="lightGray"/>
        </w:rPr>
        <w:t>) a počtu obyvateľov vystavených znečisteniu;</w:t>
      </w:r>
    </w:p>
    <w:p w:rsidR="005C7768" w:rsidRPr="00E8450A" w:rsidRDefault="005812BF" w:rsidP="005812BF">
      <w:pPr>
        <w:pStyle w:val="Point1"/>
        <w:rPr>
          <w:noProof/>
          <w:highlight w:val="lightGray"/>
        </w:rPr>
      </w:pPr>
      <w:r>
        <w:rPr>
          <w:noProof/>
          <w:highlight w:val="lightGray"/>
        </w:rPr>
        <w:t>c)</w:t>
      </w:r>
      <w:r>
        <w:rPr>
          <w:noProof/>
          <w:highlight w:val="lightGray"/>
        </w:rPr>
        <w:tab/>
      </w:r>
      <w:r w:rsidR="005C7768" w:rsidRPr="00E8450A">
        <w:rPr>
          <w:noProof/>
          <w:highlight w:val="lightGray"/>
        </w:rPr>
        <w:t xml:space="preserve">koncentrácie alebo indikátor priemernej expozície príslušnej znečisťujúcej látky pozorované najmenej päť rokov pred prekročením. </w:t>
      </w:r>
    </w:p>
    <w:p w:rsidR="005C7768" w:rsidRPr="00E8450A" w:rsidRDefault="005C7768" w:rsidP="005C7768">
      <w:pPr>
        <w:ind w:hanging="425"/>
        <w:rPr>
          <w:noProof/>
          <w:highlight w:val="lightGray"/>
        </w:rPr>
      </w:pPr>
    </w:p>
    <w:p w:rsidR="005C7768" w:rsidRPr="00E8450A" w:rsidRDefault="005C7768" w:rsidP="00F72A56">
      <w:pPr>
        <w:rPr>
          <w:noProof/>
          <w:highlight w:val="lightGray"/>
        </w:rPr>
      </w:pPr>
      <w:r w:rsidRPr="00E8450A">
        <w:rPr>
          <w:noProof/>
          <w:highlight w:val="lightGray"/>
        </w:rPr>
        <w:t>3.</w:t>
      </w:r>
      <w:r w:rsidRPr="00E8450A">
        <w:rPr>
          <w:noProof/>
        </w:rPr>
        <w:tab/>
      </w:r>
      <w:r w:rsidRPr="00E8450A">
        <w:rPr>
          <w:noProof/>
          <w:highlight w:val="lightGray"/>
        </w:rPr>
        <w:t>Zodpovedné orgány</w:t>
      </w:r>
    </w:p>
    <w:p w:rsidR="005C7768" w:rsidRPr="00E8450A" w:rsidRDefault="005C7768" w:rsidP="005C7768">
      <w:pPr>
        <w:ind w:left="851"/>
        <w:rPr>
          <w:noProof/>
          <w:highlight w:val="lightGray"/>
        </w:rPr>
      </w:pPr>
      <w:r w:rsidRPr="00E8450A">
        <w:rPr>
          <w:noProof/>
          <w:highlight w:val="lightGray"/>
        </w:rPr>
        <w:t>Názvy a adresy príslušných orgánov, ktoré sú zodpovedné za vypracovanie a vykonávanie plánov kvality ovzdušia.</w:t>
      </w:r>
    </w:p>
    <w:p w:rsidR="005C7768" w:rsidRPr="00E8450A" w:rsidRDefault="005C7768" w:rsidP="005C7768">
      <w:pPr>
        <w:ind w:left="851" w:hanging="131"/>
        <w:rPr>
          <w:noProof/>
          <w:highlight w:val="lightGray"/>
        </w:rPr>
      </w:pPr>
    </w:p>
    <w:p w:rsidR="005C7768" w:rsidRPr="00E8450A" w:rsidRDefault="005C7768" w:rsidP="00F72A56">
      <w:pPr>
        <w:rPr>
          <w:noProof/>
          <w:highlight w:val="lightGray"/>
        </w:rPr>
      </w:pPr>
      <w:r w:rsidRPr="00E8450A">
        <w:rPr>
          <w:noProof/>
          <w:highlight w:val="lightGray"/>
        </w:rPr>
        <w:t>4.</w:t>
      </w:r>
      <w:r w:rsidRPr="00E8450A">
        <w:rPr>
          <w:noProof/>
        </w:rPr>
        <w:tab/>
      </w:r>
      <w:r w:rsidRPr="00E8450A">
        <w:rPr>
          <w:noProof/>
          <w:highlight w:val="lightGray"/>
        </w:rPr>
        <w:t>Pôvod znečistenia s prihliadnutím na podávanie správ podľa smernice (EÚ) 2016/2284 a na informácie poskytnuté v národnom programe riadenia znečisťovania ovzdušia</w:t>
      </w:r>
    </w:p>
    <w:p w:rsidR="005C7768" w:rsidRPr="00E8450A" w:rsidRDefault="005812BF" w:rsidP="005812BF">
      <w:pPr>
        <w:pStyle w:val="Point1"/>
        <w:rPr>
          <w:noProof/>
          <w:highlight w:val="lightGray"/>
        </w:rPr>
      </w:pPr>
      <w:r>
        <w:rPr>
          <w:noProof/>
          <w:highlight w:val="lightGray"/>
        </w:rPr>
        <w:t>a)</w:t>
      </w:r>
      <w:r>
        <w:rPr>
          <w:noProof/>
          <w:highlight w:val="lightGray"/>
        </w:rPr>
        <w:tab/>
      </w:r>
      <w:r w:rsidR="005C7768" w:rsidRPr="00E8450A">
        <w:rPr>
          <w:noProof/>
          <w:highlight w:val="lightGray"/>
        </w:rPr>
        <w:t>zoznam hlavných zdrojov emisií, ktoré spôsobujú znečistenie;</w:t>
      </w:r>
    </w:p>
    <w:p w:rsidR="005C7768" w:rsidRPr="00E8450A" w:rsidRDefault="005812BF" w:rsidP="005812BF">
      <w:pPr>
        <w:pStyle w:val="Point1"/>
        <w:rPr>
          <w:noProof/>
          <w:highlight w:val="lightGray"/>
        </w:rPr>
      </w:pPr>
      <w:r>
        <w:rPr>
          <w:noProof/>
          <w:highlight w:val="lightGray"/>
        </w:rPr>
        <w:t>b)</w:t>
      </w:r>
      <w:r>
        <w:rPr>
          <w:noProof/>
          <w:highlight w:val="lightGray"/>
        </w:rPr>
        <w:tab/>
      </w:r>
      <w:r w:rsidR="005C7768" w:rsidRPr="00E8450A">
        <w:rPr>
          <w:noProof/>
          <w:highlight w:val="lightGray"/>
        </w:rPr>
        <w:t>celkové množstvo emisií z týchto zdrojov (v tonách/rok);</w:t>
      </w:r>
    </w:p>
    <w:p w:rsidR="005C7768" w:rsidRPr="00E8450A" w:rsidRDefault="005812BF" w:rsidP="005812BF">
      <w:pPr>
        <w:pStyle w:val="Point1"/>
        <w:rPr>
          <w:noProof/>
          <w:highlight w:val="lightGray"/>
        </w:rPr>
      </w:pPr>
      <w:r>
        <w:rPr>
          <w:noProof/>
          <w:highlight w:val="lightGray"/>
        </w:rPr>
        <w:t>c)</w:t>
      </w:r>
      <w:r>
        <w:rPr>
          <w:noProof/>
          <w:highlight w:val="lightGray"/>
        </w:rPr>
        <w:tab/>
      </w:r>
      <w:r w:rsidR="005C7768" w:rsidRPr="00E8450A">
        <w:rPr>
          <w:noProof/>
          <w:highlight w:val="lightGray"/>
        </w:rPr>
        <w:t>posúdenie úrovne emisií (napr. mestská úroveň, regionálna úroveň, vnútroštátna úroveň a cezhraničné príspevky);</w:t>
      </w:r>
    </w:p>
    <w:p w:rsidR="005C7768" w:rsidRPr="00E8450A" w:rsidRDefault="005812BF" w:rsidP="005812BF">
      <w:pPr>
        <w:pStyle w:val="Point1"/>
        <w:rPr>
          <w:noProof/>
          <w:highlight w:val="lightGray"/>
        </w:rPr>
      </w:pPr>
      <w:r>
        <w:rPr>
          <w:noProof/>
          <w:highlight w:val="lightGray"/>
        </w:rPr>
        <w:t>d)</w:t>
      </w:r>
      <w:r>
        <w:rPr>
          <w:noProof/>
          <w:highlight w:val="lightGray"/>
        </w:rPr>
        <w:tab/>
      </w:r>
      <w:r w:rsidR="005C7768" w:rsidRPr="00E8450A">
        <w:rPr>
          <w:noProof/>
          <w:highlight w:val="lightGray"/>
        </w:rPr>
        <w:t>rozdelenie zdrojov podľa príslušných odvetví, ktoré prispievajú k prekračovaniu hodnôt uvedených v národnom programe riadenia znečisťovania ovzdušia.</w:t>
      </w:r>
    </w:p>
    <w:p w:rsidR="005C7768" w:rsidRPr="00E8450A" w:rsidRDefault="005C7768" w:rsidP="005C7768">
      <w:pPr>
        <w:rPr>
          <w:noProof/>
          <w:highlight w:val="lightGray"/>
        </w:rPr>
      </w:pPr>
    </w:p>
    <w:p w:rsidR="005C7768" w:rsidRPr="00E8450A" w:rsidRDefault="005C7768" w:rsidP="00F72A56">
      <w:pPr>
        <w:rPr>
          <w:noProof/>
          <w:highlight w:val="lightGray"/>
        </w:rPr>
      </w:pPr>
      <w:r w:rsidRPr="00E8450A">
        <w:rPr>
          <w:noProof/>
          <w:highlight w:val="lightGray"/>
        </w:rPr>
        <w:t xml:space="preserve">5. </w:t>
      </w:r>
      <w:r w:rsidRPr="00E8450A">
        <w:rPr>
          <w:noProof/>
        </w:rPr>
        <w:tab/>
      </w:r>
      <w:r w:rsidRPr="00E8450A">
        <w:rPr>
          <w:noProof/>
          <w:highlight w:val="lightGray"/>
        </w:rPr>
        <w:t xml:space="preserve">Očakávaný vplyv opatrení na dosiahnutie súladu do troch rokov od prijatia plánu kvality ovzdušia </w:t>
      </w:r>
    </w:p>
    <w:p w:rsidR="005C7768" w:rsidRPr="00E8450A" w:rsidRDefault="005812BF" w:rsidP="005812BF">
      <w:pPr>
        <w:pStyle w:val="Point1"/>
        <w:rPr>
          <w:noProof/>
          <w:highlight w:val="lightGray"/>
        </w:rPr>
      </w:pPr>
      <w:r>
        <w:rPr>
          <w:noProof/>
          <w:highlight w:val="lightGray"/>
        </w:rPr>
        <w:t>a)</w:t>
      </w:r>
      <w:r>
        <w:rPr>
          <w:noProof/>
          <w:highlight w:val="lightGray"/>
        </w:rPr>
        <w:tab/>
      </w:r>
      <w:r w:rsidR="005C7768" w:rsidRPr="00E8450A">
        <w:rPr>
          <w:noProof/>
          <w:highlight w:val="lightGray"/>
        </w:rPr>
        <w:t>očakávané kvantifikované zníženie koncentrácie (v µg/m³) na každom vzorkovacom mieste, v ktorom dochádza k prekračovaniu limitných hodnôt, cieľovej hodnoty pre ozón alebo indikátora priemernej expozície v prípade prekročenia hodnôt povinného zníženia priemernej expozície, na základe opatrení uvedených v bode 6;</w:t>
      </w:r>
    </w:p>
    <w:p w:rsidR="005C7768" w:rsidRPr="00E8450A" w:rsidRDefault="005812BF" w:rsidP="005812BF">
      <w:pPr>
        <w:pStyle w:val="Point1"/>
        <w:rPr>
          <w:noProof/>
          <w:highlight w:val="lightGray"/>
        </w:rPr>
      </w:pPr>
      <w:r>
        <w:rPr>
          <w:noProof/>
          <w:highlight w:val="lightGray"/>
        </w:rPr>
        <w:lastRenderedPageBreak/>
        <w:t>b)</w:t>
      </w:r>
      <w:r>
        <w:rPr>
          <w:noProof/>
          <w:highlight w:val="lightGray"/>
        </w:rPr>
        <w:tab/>
      </w:r>
      <w:r w:rsidR="005C7768" w:rsidRPr="00E8450A">
        <w:rPr>
          <w:noProof/>
          <w:highlight w:val="lightGray"/>
        </w:rPr>
        <w:t>odhadovaný rok dosiahnutia súladu každej jednotlivej látky znečisťujúcej ovzdušie, na ktorú sa vzťahuje plán kvality ovzdušia, s prihliadnutím na opatrenia uvedené v bode 6.</w:t>
      </w:r>
    </w:p>
    <w:p w:rsidR="005C7768" w:rsidRPr="00E8450A" w:rsidRDefault="005C7768" w:rsidP="005C7768">
      <w:pPr>
        <w:rPr>
          <w:noProof/>
          <w:highlight w:val="lightGray"/>
        </w:rPr>
      </w:pPr>
    </w:p>
    <w:p w:rsidR="00E723B8" w:rsidRPr="00E8450A" w:rsidRDefault="005C7768" w:rsidP="00F72A56">
      <w:pPr>
        <w:rPr>
          <w:noProof/>
          <w:highlight w:val="lightGray"/>
        </w:rPr>
      </w:pPr>
      <w:r w:rsidRPr="00E8450A">
        <w:rPr>
          <w:noProof/>
          <w:highlight w:val="lightGray"/>
        </w:rPr>
        <w:t>6. Príloha 1: Podrobnosti o opatreniach na zníženie znečistenia ovzdušia podľa bodu 5</w:t>
      </w:r>
    </w:p>
    <w:p w:rsidR="005C7768" w:rsidRPr="00E8450A" w:rsidRDefault="005812BF" w:rsidP="005812BF">
      <w:pPr>
        <w:pStyle w:val="Point1"/>
        <w:rPr>
          <w:noProof/>
          <w:highlight w:val="lightGray"/>
        </w:rPr>
      </w:pPr>
      <w:r>
        <w:rPr>
          <w:noProof/>
          <w:highlight w:val="lightGray"/>
        </w:rPr>
        <w:t>a)</w:t>
      </w:r>
      <w:r>
        <w:rPr>
          <w:noProof/>
          <w:highlight w:val="lightGray"/>
        </w:rPr>
        <w:tab/>
      </w:r>
      <w:r w:rsidR="00A52CC8" w:rsidRPr="00E8450A">
        <w:rPr>
          <w:noProof/>
          <w:highlight w:val="lightGray"/>
        </w:rPr>
        <w:t xml:space="preserve">vymenovanie a opis všetkých opatrení stanovených v pláne kvality ovzdušia vrátane určenia príslušného orgánu zodpovedného za ich vykonávanie; </w:t>
      </w:r>
    </w:p>
    <w:p w:rsidR="005C7768" w:rsidRPr="00E8450A" w:rsidRDefault="005812BF" w:rsidP="005812BF">
      <w:pPr>
        <w:pStyle w:val="Point1"/>
        <w:rPr>
          <w:noProof/>
          <w:highlight w:val="lightGray"/>
        </w:rPr>
      </w:pPr>
      <w:r>
        <w:rPr>
          <w:noProof/>
          <w:highlight w:val="lightGray"/>
        </w:rPr>
        <w:t>b)</w:t>
      </w:r>
      <w:r>
        <w:rPr>
          <w:noProof/>
          <w:highlight w:val="lightGray"/>
        </w:rPr>
        <w:tab/>
      </w:r>
      <w:r w:rsidR="005C7768" w:rsidRPr="00E8450A">
        <w:rPr>
          <w:noProof/>
          <w:highlight w:val="lightGray"/>
        </w:rPr>
        <w:t>kvantifikácia zníženia emisií (v tonách/rok) na základe každého opatrenia podľa písmena a);</w:t>
      </w:r>
    </w:p>
    <w:p w:rsidR="005C7768" w:rsidRPr="00E8450A" w:rsidRDefault="005812BF" w:rsidP="005812BF">
      <w:pPr>
        <w:pStyle w:val="Point1"/>
        <w:rPr>
          <w:noProof/>
          <w:highlight w:val="lightGray"/>
        </w:rPr>
      </w:pPr>
      <w:r>
        <w:rPr>
          <w:noProof/>
          <w:highlight w:val="lightGray"/>
        </w:rPr>
        <w:t>c)</w:t>
      </w:r>
      <w:r>
        <w:rPr>
          <w:noProof/>
          <w:highlight w:val="lightGray"/>
        </w:rPr>
        <w:tab/>
      </w:r>
      <w:r w:rsidR="005C7768" w:rsidRPr="00E8450A">
        <w:rPr>
          <w:noProof/>
          <w:highlight w:val="lightGray"/>
        </w:rPr>
        <w:t xml:space="preserve">harmonogram vykonávania každého opatrenia a zodpovední aktéri; </w:t>
      </w:r>
    </w:p>
    <w:p w:rsidR="005C7768" w:rsidRPr="00E8450A" w:rsidRDefault="005812BF" w:rsidP="005812BF">
      <w:pPr>
        <w:pStyle w:val="Point1"/>
        <w:rPr>
          <w:noProof/>
          <w:highlight w:val="lightGray"/>
        </w:rPr>
      </w:pPr>
      <w:r>
        <w:rPr>
          <w:noProof/>
          <w:highlight w:val="lightGray"/>
        </w:rPr>
        <w:t>d)</w:t>
      </w:r>
      <w:r>
        <w:rPr>
          <w:noProof/>
          <w:highlight w:val="lightGray"/>
        </w:rPr>
        <w:tab/>
      </w:r>
      <w:r w:rsidR="005C7768" w:rsidRPr="00E8450A">
        <w:rPr>
          <w:noProof/>
          <w:highlight w:val="lightGray"/>
        </w:rPr>
        <w:t>odhad zníženia koncentrácie v dôsledku každého opatrenia v oblasti kvality ovzdušia v súvislosti s príslušným prekročením hodnôt;</w:t>
      </w:r>
    </w:p>
    <w:p w:rsidR="00E723B8" w:rsidRPr="00E8450A" w:rsidRDefault="005812BF" w:rsidP="005812BF">
      <w:pPr>
        <w:pStyle w:val="Point1"/>
        <w:rPr>
          <w:noProof/>
          <w:highlight w:val="lightGray"/>
        </w:rPr>
      </w:pPr>
      <w:r>
        <w:rPr>
          <w:noProof/>
          <w:highlight w:val="lightGray"/>
        </w:rPr>
        <w:t>e)</w:t>
      </w:r>
      <w:r>
        <w:rPr>
          <w:noProof/>
          <w:highlight w:val="lightGray"/>
        </w:rPr>
        <w:tab/>
      </w:r>
      <w:r w:rsidR="005C7768" w:rsidRPr="00E8450A">
        <w:rPr>
          <w:noProof/>
          <w:highlight w:val="lightGray"/>
        </w:rPr>
        <w:t>zoznam informácií (vrátane modelovania a výsledkov hodnotenia opatrení) potrebných na dosiahnutie príslušnej normy kvality ovzdušia v súlade s prílohou I.</w:t>
      </w:r>
    </w:p>
    <w:p w:rsidR="005C7768" w:rsidRPr="00E8450A" w:rsidRDefault="005C7768" w:rsidP="005C7768">
      <w:pPr>
        <w:rPr>
          <w:noProof/>
          <w:highlight w:val="lightGray"/>
        </w:rPr>
      </w:pPr>
    </w:p>
    <w:p w:rsidR="005C7768" w:rsidRPr="00E8450A" w:rsidRDefault="005C7768" w:rsidP="00F72A56">
      <w:pPr>
        <w:rPr>
          <w:noProof/>
          <w:highlight w:val="lightGray"/>
        </w:rPr>
      </w:pPr>
      <w:r w:rsidRPr="00E8450A">
        <w:rPr>
          <w:noProof/>
          <w:highlight w:val="lightGray"/>
        </w:rPr>
        <w:t xml:space="preserve">7. </w:t>
      </w:r>
      <w:r w:rsidRPr="00E8450A">
        <w:rPr>
          <w:noProof/>
        </w:rPr>
        <w:tab/>
      </w:r>
      <w:r w:rsidRPr="00E8450A">
        <w:rPr>
          <w:noProof/>
          <w:highlight w:val="lightGray"/>
        </w:rPr>
        <w:t>Príloha 2: Ďalšie podkladové informácie</w:t>
      </w:r>
    </w:p>
    <w:p w:rsidR="005C7768" w:rsidRPr="00E8450A" w:rsidRDefault="005812BF" w:rsidP="005812BF">
      <w:pPr>
        <w:pStyle w:val="Point1"/>
        <w:rPr>
          <w:noProof/>
          <w:highlight w:val="lightGray"/>
        </w:rPr>
      </w:pPr>
      <w:r>
        <w:rPr>
          <w:noProof/>
          <w:highlight w:val="lightGray"/>
        </w:rPr>
        <w:t>a)</w:t>
      </w:r>
      <w:r>
        <w:rPr>
          <w:noProof/>
          <w:highlight w:val="lightGray"/>
        </w:rPr>
        <w:tab/>
      </w:r>
      <w:r w:rsidR="005C7768" w:rsidRPr="00E8450A">
        <w:rPr>
          <w:noProof/>
          <w:highlight w:val="lightGray"/>
        </w:rPr>
        <w:t>klimatické údaje;</w:t>
      </w:r>
    </w:p>
    <w:p w:rsidR="005C7768" w:rsidRPr="00E8450A" w:rsidRDefault="005812BF" w:rsidP="005812BF">
      <w:pPr>
        <w:pStyle w:val="Point1"/>
        <w:rPr>
          <w:noProof/>
          <w:highlight w:val="lightGray"/>
        </w:rPr>
      </w:pPr>
      <w:r>
        <w:rPr>
          <w:noProof/>
          <w:highlight w:val="lightGray"/>
        </w:rPr>
        <w:t>b)</w:t>
      </w:r>
      <w:r>
        <w:rPr>
          <w:noProof/>
          <w:highlight w:val="lightGray"/>
        </w:rPr>
        <w:tab/>
      </w:r>
      <w:r w:rsidR="005C7768" w:rsidRPr="00E8450A">
        <w:rPr>
          <w:noProof/>
          <w:highlight w:val="lightGray"/>
        </w:rPr>
        <w:t>topografické údaje;</w:t>
      </w:r>
    </w:p>
    <w:p w:rsidR="005C7768" w:rsidRPr="00E8450A" w:rsidRDefault="005812BF" w:rsidP="005812BF">
      <w:pPr>
        <w:pStyle w:val="Point1"/>
        <w:rPr>
          <w:noProof/>
          <w:highlight w:val="lightGray"/>
        </w:rPr>
      </w:pPr>
      <w:r>
        <w:rPr>
          <w:noProof/>
          <w:highlight w:val="lightGray"/>
        </w:rPr>
        <w:t>c)</w:t>
      </w:r>
      <w:r>
        <w:rPr>
          <w:noProof/>
          <w:highlight w:val="lightGray"/>
        </w:rPr>
        <w:tab/>
      </w:r>
      <w:r w:rsidR="005C7768" w:rsidRPr="00E8450A">
        <w:rPr>
          <w:noProof/>
          <w:highlight w:val="lightGray"/>
        </w:rPr>
        <w:t>(prípadne) informácie o druhu cieľov, ktoré si v zóne vyžadujú ochranu;</w:t>
      </w:r>
    </w:p>
    <w:p w:rsidR="005C7768" w:rsidRPr="00E8450A" w:rsidRDefault="005812BF" w:rsidP="005812BF">
      <w:pPr>
        <w:pStyle w:val="Point1"/>
        <w:rPr>
          <w:noProof/>
          <w:highlight w:val="lightGray"/>
        </w:rPr>
      </w:pPr>
      <w:r>
        <w:rPr>
          <w:noProof/>
          <w:highlight w:val="lightGray"/>
        </w:rPr>
        <w:t>d)</w:t>
      </w:r>
      <w:r>
        <w:rPr>
          <w:noProof/>
          <w:highlight w:val="lightGray"/>
        </w:rPr>
        <w:tab/>
      </w:r>
      <w:r w:rsidR="005C7768" w:rsidRPr="00E8450A">
        <w:rPr>
          <w:noProof/>
          <w:highlight w:val="lightGray"/>
        </w:rPr>
        <w:t>vymenovanie a opis všetkých dodatočných opatrení, ktorých vplyv na koncentrácie látok znečisťujúcich ovzdušie sa v plnej miere prejaví za tri roky alebo neskôr.</w:t>
      </w:r>
    </w:p>
    <w:p w:rsidR="005C7768" w:rsidRPr="00E8450A" w:rsidRDefault="005C7768" w:rsidP="006357E0">
      <w:pPr>
        <w:pStyle w:val="Text1"/>
        <w:rPr>
          <w:i/>
          <w:noProof/>
          <w:highlight w:val="lightGray"/>
        </w:rPr>
      </w:pPr>
    </w:p>
    <w:p w:rsidR="005C7768" w:rsidRPr="00E8450A" w:rsidRDefault="005C7768" w:rsidP="00F72A56">
      <w:pPr>
        <w:rPr>
          <w:noProof/>
          <w:highlight w:val="lightGray"/>
        </w:rPr>
      </w:pPr>
      <w:r w:rsidRPr="00E8450A">
        <w:rPr>
          <w:noProof/>
          <w:highlight w:val="lightGray"/>
        </w:rPr>
        <w:t xml:space="preserve">8. </w:t>
      </w:r>
      <w:r w:rsidRPr="00E8450A">
        <w:rPr>
          <w:noProof/>
        </w:rPr>
        <w:tab/>
      </w:r>
      <w:r w:rsidRPr="00E8450A">
        <w:rPr>
          <w:noProof/>
          <w:highlight w:val="lightGray"/>
        </w:rPr>
        <w:t>Príloha 3: Hodnotenie opatrení (v prípade aktualizácie plánu kvality ovzdušia)</w:t>
      </w:r>
      <w:r w:rsidRPr="00E8450A">
        <w:rPr>
          <w:noProof/>
        </w:rPr>
        <w:tab/>
      </w:r>
    </w:p>
    <w:p w:rsidR="005C7768" w:rsidRPr="00E8450A" w:rsidRDefault="005812BF" w:rsidP="005812BF">
      <w:pPr>
        <w:pStyle w:val="Point1"/>
        <w:rPr>
          <w:noProof/>
          <w:highlight w:val="lightGray"/>
        </w:rPr>
      </w:pPr>
      <w:r>
        <w:rPr>
          <w:noProof/>
          <w:highlight w:val="lightGray"/>
        </w:rPr>
        <w:t>a)</w:t>
      </w:r>
      <w:r>
        <w:rPr>
          <w:noProof/>
          <w:highlight w:val="lightGray"/>
        </w:rPr>
        <w:tab/>
      </w:r>
      <w:r w:rsidR="005C7768" w:rsidRPr="00E8450A">
        <w:rPr>
          <w:noProof/>
          <w:highlight w:val="lightGray"/>
        </w:rPr>
        <w:t>posúdenie harmonogramu opatrení z predchádzajúceho plánu kvality ovzdušia;</w:t>
      </w:r>
    </w:p>
    <w:p w:rsidR="005C7768" w:rsidRPr="00E8450A" w:rsidRDefault="005812BF" w:rsidP="005812BF">
      <w:pPr>
        <w:pStyle w:val="Point1"/>
        <w:rPr>
          <w:noProof/>
          <w:highlight w:val="lightGray"/>
        </w:rPr>
      </w:pPr>
      <w:r>
        <w:rPr>
          <w:noProof/>
          <w:highlight w:val="lightGray"/>
        </w:rPr>
        <w:t>b)</w:t>
      </w:r>
      <w:r>
        <w:rPr>
          <w:noProof/>
          <w:highlight w:val="lightGray"/>
        </w:rPr>
        <w:tab/>
      </w:r>
      <w:r w:rsidR="005C7768" w:rsidRPr="00E8450A">
        <w:rPr>
          <w:noProof/>
          <w:highlight w:val="lightGray"/>
        </w:rPr>
        <w:t>odhad vplyvu opatrení z predchádzajúceho plánu kvality ovzdušia na zníženie emisií a koncentrácií znečisťujúcich látok.</w:t>
      </w:r>
    </w:p>
    <w:p w:rsidR="005C7768" w:rsidRPr="00E8450A" w:rsidRDefault="005C7768" w:rsidP="005C7768">
      <w:pPr>
        <w:rPr>
          <w:noProof/>
          <w:highlight w:val="lightGray"/>
        </w:rPr>
      </w:pPr>
    </w:p>
    <w:p w:rsidR="005C7768" w:rsidRPr="00E8450A" w:rsidRDefault="006357E0" w:rsidP="005812BF">
      <w:pPr>
        <w:rPr>
          <w:b/>
          <w:noProof/>
          <w:highlight w:val="lightGray"/>
        </w:rPr>
      </w:pPr>
      <w:r w:rsidRPr="00E8450A">
        <w:rPr>
          <w:b/>
          <w:noProof/>
          <w:highlight w:val="lightGray"/>
        </w:rPr>
        <w:t>B</w:t>
      </w:r>
      <w:r w:rsidR="005812BF">
        <w:rPr>
          <w:b/>
          <w:noProof/>
          <w:highlight w:val="lightGray"/>
        </w:rPr>
        <w:t>)</w:t>
      </w:r>
      <w:r w:rsidRPr="00E8450A">
        <w:rPr>
          <w:b/>
          <w:noProof/>
          <w:highlight w:val="lightGray"/>
        </w:rPr>
        <w:t xml:space="preserve"> Orientačný zoznam opatrení na znižovanie znečistenia ovzdušia</w:t>
      </w:r>
    </w:p>
    <w:p w:rsidR="005C7768" w:rsidRPr="00E8450A" w:rsidRDefault="00633FED" w:rsidP="005C7768">
      <w:pPr>
        <w:rPr>
          <w:noProof/>
          <w:highlight w:val="lightGray"/>
        </w:rPr>
      </w:pPr>
      <w:r w:rsidRPr="00E8450A">
        <w:rPr>
          <w:noProof/>
          <w:highlight w:val="lightGray"/>
        </w:rPr>
        <w:t>1.</w:t>
      </w:r>
      <w:r w:rsidRPr="00E8450A">
        <w:rPr>
          <w:noProof/>
        </w:rPr>
        <w:tab/>
      </w:r>
      <w:r w:rsidRPr="00E8450A">
        <w:rPr>
          <w:noProof/>
          <w:highlight w:val="lightGray"/>
        </w:rPr>
        <w:t>Informácie o stave vykonávania smerníc uvedených v článku 14 ods. 3 písm. b) smernice (EÚ) 2016/2284.</w:t>
      </w:r>
    </w:p>
    <w:p w:rsidR="005C7768" w:rsidRPr="00E8450A" w:rsidRDefault="00633FED" w:rsidP="005C7768">
      <w:pPr>
        <w:rPr>
          <w:noProof/>
          <w:highlight w:val="lightGray"/>
        </w:rPr>
      </w:pPr>
      <w:r w:rsidRPr="00E8450A">
        <w:rPr>
          <w:noProof/>
          <w:highlight w:val="lightGray"/>
        </w:rPr>
        <w:t xml:space="preserve">2. </w:t>
      </w:r>
      <w:r w:rsidRPr="00E8450A">
        <w:rPr>
          <w:noProof/>
        </w:rPr>
        <w:tab/>
      </w:r>
      <w:r w:rsidRPr="00E8450A">
        <w:rPr>
          <w:noProof/>
          <w:highlight w:val="lightGray"/>
        </w:rPr>
        <w:t>Informácie o všetkých opatreniach na znižovanie znečistenia ovzdušia, ktorých vykonávanie sa zvažuje na miestnej, regionálnej alebo celoštátnej úrovni v súvislosti s dosahovaním cieľov kvality ovzdušia vrátane:</w:t>
      </w:r>
    </w:p>
    <w:p w:rsidR="005C7768" w:rsidRPr="00E8450A" w:rsidRDefault="005812BF" w:rsidP="005812BF">
      <w:pPr>
        <w:pStyle w:val="Point1"/>
        <w:rPr>
          <w:noProof/>
          <w:highlight w:val="lightGray"/>
        </w:rPr>
      </w:pPr>
      <w:r>
        <w:rPr>
          <w:noProof/>
          <w:highlight w:val="lightGray"/>
        </w:rPr>
        <w:t>a)</w:t>
      </w:r>
      <w:r>
        <w:rPr>
          <w:noProof/>
          <w:highlight w:val="lightGray"/>
        </w:rPr>
        <w:tab/>
      </w:r>
      <w:r w:rsidR="005C7768" w:rsidRPr="00E8450A">
        <w:rPr>
          <w:noProof/>
          <w:highlight w:val="lightGray"/>
        </w:rPr>
        <w:t>znižovania emisií zo stacionárnych zdrojov tým, že sa zabezpečí, aby boli malé a stredné stacionárne spaľovacie zdroje (vrátane spaľovní biomasy) vybavené zariadením na reguláciu emisií alebo aby boli nahradené a aby sa energetická efektívnosť budov zlepšila;</w:t>
      </w:r>
    </w:p>
    <w:p w:rsidR="005C7768" w:rsidRPr="00E8450A" w:rsidRDefault="005812BF" w:rsidP="005812BF">
      <w:pPr>
        <w:pStyle w:val="Point1"/>
        <w:rPr>
          <w:noProof/>
          <w:highlight w:val="lightGray"/>
        </w:rPr>
      </w:pPr>
      <w:r>
        <w:rPr>
          <w:noProof/>
          <w:highlight w:val="lightGray"/>
        </w:rPr>
        <w:t>b)</w:t>
      </w:r>
      <w:r>
        <w:rPr>
          <w:noProof/>
          <w:highlight w:val="lightGray"/>
        </w:rPr>
        <w:tab/>
      </w:r>
      <w:r w:rsidR="005C7768" w:rsidRPr="00E8450A">
        <w:rPr>
          <w:noProof/>
          <w:highlight w:val="lightGray"/>
        </w:rPr>
        <w:t xml:space="preserve">znižovania emisií z vozidiel prostredníctvom ich dodatočného vybavenia hnacími sústavami s nulovými emisiami a zariadeniami na reguláciu emisií; Na </w:t>
      </w:r>
      <w:r w:rsidR="005C7768" w:rsidRPr="00E8450A">
        <w:rPr>
          <w:noProof/>
          <w:highlight w:val="lightGray"/>
        </w:rPr>
        <w:lastRenderedPageBreak/>
        <w:t>urýchlenie zavedenia tohto opatrenia treba zvážiť využitie ekonomických stimulov;</w:t>
      </w:r>
    </w:p>
    <w:p w:rsidR="005C7768" w:rsidRPr="00E8450A" w:rsidRDefault="005812BF" w:rsidP="005812BF">
      <w:pPr>
        <w:pStyle w:val="Point1"/>
        <w:rPr>
          <w:noProof/>
          <w:highlight w:val="lightGray"/>
        </w:rPr>
      </w:pPr>
      <w:r>
        <w:rPr>
          <w:noProof/>
          <w:highlight w:val="lightGray"/>
        </w:rPr>
        <w:t>c)</w:t>
      </w:r>
      <w:r>
        <w:rPr>
          <w:noProof/>
          <w:highlight w:val="lightGray"/>
        </w:rPr>
        <w:tab/>
      </w:r>
      <w:r w:rsidR="005C7768" w:rsidRPr="00E8450A">
        <w:rPr>
          <w:noProof/>
          <w:highlight w:val="lightGray"/>
        </w:rPr>
        <w:t>obstarávania, ktoré verejné orgány uskutočňujú v súlade s príručkou o environmentálnom verejnom obstarávaní, ktorého predmetom sú cestné vozidlá, palivá a spaľovacie zariadenia s nulovými emisiami a ktorých cieľom je znižovanie emisií:</w:t>
      </w:r>
    </w:p>
    <w:p w:rsidR="005C7768" w:rsidRPr="00E8450A" w:rsidRDefault="005812BF" w:rsidP="005812BF">
      <w:pPr>
        <w:pStyle w:val="Point1"/>
        <w:rPr>
          <w:noProof/>
          <w:highlight w:val="lightGray"/>
        </w:rPr>
      </w:pPr>
      <w:r>
        <w:rPr>
          <w:noProof/>
          <w:highlight w:val="lightGray"/>
        </w:rPr>
        <w:t>d)</w:t>
      </w:r>
      <w:r>
        <w:rPr>
          <w:noProof/>
          <w:highlight w:val="lightGray"/>
        </w:rPr>
        <w:tab/>
      </w:r>
      <w:r w:rsidR="005C7768" w:rsidRPr="00E8450A">
        <w:rPr>
          <w:noProof/>
          <w:highlight w:val="lightGray"/>
        </w:rPr>
        <w:t>opatrení na obmedzenie emisií z dopravy prostredníctvom plánovania a riadenia dopravy (vrátane stanovenia poplatkov za dopravné preťaženie, diferencovaných parkovacích poplatkov alebo iných ekonomických stimulov; zavedenia systémov obmedzovania prístupu vozidiel do miest vrátane nízkoemisných zón);</w:t>
      </w:r>
    </w:p>
    <w:p w:rsidR="005C7768" w:rsidRPr="00E8450A" w:rsidRDefault="005812BF" w:rsidP="005812BF">
      <w:pPr>
        <w:pStyle w:val="Point1"/>
        <w:rPr>
          <w:noProof/>
          <w:highlight w:val="lightGray"/>
        </w:rPr>
      </w:pPr>
      <w:r>
        <w:rPr>
          <w:noProof/>
          <w:highlight w:val="lightGray"/>
        </w:rPr>
        <w:t>e)</w:t>
      </w:r>
      <w:r>
        <w:rPr>
          <w:noProof/>
          <w:highlight w:val="lightGray"/>
        </w:rPr>
        <w:tab/>
      </w:r>
      <w:r w:rsidR="005C7768" w:rsidRPr="00E8450A">
        <w:rPr>
          <w:noProof/>
          <w:highlight w:val="lightGray"/>
        </w:rPr>
        <w:t>opatrení na podporu prechodu na menej znečisťujúce druhy dopravy;</w:t>
      </w:r>
    </w:p>
    <w:p w:rsidR="008830DF" w:rsidRPr="00E8450A" w:rsidRDefault="005812BF" w:rsidP="005812BF">
      <w:pPr>
        <w:pStyle w:val="Point1"/>
        <w:rPr>
          <w:noProof/>
          <w:highlight w:val="lightGray"/>
        </w:rPr>
      </w:pPr>
      <w:r>
        <w:rPr>
          <w:noProof/>
          <w:highlight w:val="lightGray"/>
        </w:rPr>
        <w:t>f)</w:t>
      </w:r>
      <w:r>
        <w:rPr>
          <w:noProof/>
          <w:highlight w:val="lightGray"/>
        </w:rPr>
        <w:tab/>
      </w:r>
      <w:r w:rsidR="008830DF" w:rsidRPr="00E8450A">
        <w:rPr>
          <w:noProof/>
          <w:highlight w:val="lightGray"/>
        </w:rPr>
        <w:t>opatrení na podporu prechodu na vozidlá a necestné stroje s nulovými emisiami na súkromné, ako aj komerčné použitie;</w:t>
      </w:r>
    </w:p>
    <w:p w:rsidR="005C7768" w:rsidRPr="00E8450A" w:rsidRDefault="005812BF" w:rsidP="005812BF">
      <w:pPr>
        <w:pStyle w:val="Point1"/>
        <w:rPr>
          <w:noProof/>
          <w:highlight w:val="lightGray"/>
        </w:rPr>
      </w:pPr>
      <w:r>
        <w:rPr>
          <w:noProof/>
          <w:highlight w:val="lightGray"/>
        </w:rPr>
        <w:t>g)</w:t>
      </w:r>
      <w:r>
        <w:rPr>
          <w:noProof/>
          <w:highlight w:val="lightGray"/>
        </w:rPr>
        <w:tab/>
      </w:r>
      <w:r w:rsidR="005C7768" w:rsidRPr="00E8450A">
        <w:rPr>
          <w:noProof/>
          <w:highlight w:val="lightGray"/>
        </w:rPr>
        <w:t>opatrenia na zabezpečenie toho, aby sa v malých, stredných a veľkých stacionárnych zdrojoch a v mobilných zdrojoch využívali nízkoemisné palivá;</w:t>
      </w:r>
    </w:p>
    <w:p w:rsidR="005C7768" w:rsidRPr="00E8450A" w:rsidRDefault="005812BF" w:rsidP="005812BF">
      <w:pPr>
        <w:pStyle w:val="Point1"/>
        <w:rPr>
          <w:noProof/>
          <w:highlight w:val="lightGray"/>
        </w:rPr>
      </w:pPr>
      <w:r>
        <w:rPr>
          <w:noProof/>
          <w:highlight w:val="lightGray"/>
        </w:rPr>
        <w:t>h)</w:t>
      </w:r>
      <w:r>
        <w:rPr>
          <w:noProof/>
          <w:highlight w:val="lightGray"/>
        </w:rPr>
        <w:tab/>
      </w:r>
      <w:r w:rsidR="005C7768" w:rsidRPr="00E8450A">
        <w:rPr>
          <w:noProof/>
          <w:highlight w:val="lightGray"/>
        </w:rPr>
        <w:t>opatrení na zníženie znečistenia ovzdušia z priemyselných zdrojov podľa smernice 2010/75/EÚ a prostredníctvom využívania hospodárskych nástrojov, ako sú dane, poplatky alebo obchodovanie s emisiami, pri zohľadnení osobitostí MSP;</w:t>
      </w:r>
    </w:p>
    <w:p w:rsidR="005C7768" w:rsidRPr="00E8450A" w:rsidRDefault="005812BF" w:rsidP="005812BF">
      <w:pPr>
        <w:pStyle w:val="Point1"/>
        <w:rPr>
          <w:noProof/>
          <w:highlight w:val="lightGray"/>
        </w:rPr>
      </w:pPr>
      <w:r>
        <w:rPr>
          <w:noProof/>
          <w:highlight w:val="lightGray"/>
        </w:rPr>
        <w:t>i)</w:t>
      </w:r>
      <w:r>
        <w:rPr>
          <w:noProof/>
          <w:highlight w:val="lightGray"/>
        </w:rPr>
        <w:tab/>
      </w:r>
      <w:r w:rsidR="005C7768" w:rsidRPr="00E8450A">
        <w:rPr>
          <w:noProof/>
          <w:highlight w:val="lightGray"/>
        </w:rPr>
        <w:t>opatrení na ochranu zdravia detí alebo iných citlivých skupín obyvateľstva.</w:t>
      </w:r>
    </w:p>
    <w:p w:rsidR="00BC180F" w:rsidRPr="00E8450A" w:rsidRDefault="00BC180F" w:rsidP="00703744">
      <w:pPr>
        <w:jc w:val="center"/>
        <w:rPr>
          <w:noProof/>
          <w:highlight w:val="lightGray"/>
        </w:rPr>
      </w:pPr>
    </w:p>
    <w:p w:rsidR="00961EA5" w:rsidRPr="00E8450A" w:rsidRDefault="00961EA5">
      <w:pPr>
        <w:spacing w:before="0" w:after="200" w:line="276" w:lineRule="auto"/>
        <w:jc w:val="left"/>
        <w:rPr>
          <w:b/>
          <w:noProof/>
          <w:highlight w:val="lightGray"/>
          <w:u w:val="single"/>
        </w:rPr>
      </w:pPr>
      <w:r w:rsidRPr="00E8450A">
        <w:rPr>
          <w:noProof/>
        </w:rPr>
        <w:br w:type="page"/>
      </w:r>
    </w:p>
    <w:p w:rsidR="006862AF" w:rsidRPr="00E8450A" w:rsidRDefault="006862AF" w:rsidP="00897B9B">
      <w:pPr>
        <w:pStyle w:val="Annexetitre"/>
        <w:rPr>
          <w:noProof/>
          <w:highlight w:val="lightGray"/>
        </w:rPr>
      </w:pPr>
      <w:r w:rsidRPr="00E8450A">
        <w:rPr>
          <w:noProof/>
          <w:highlight w:val="lightGray"/>
        </w:rPr>
        <w:lastRenderedPageBreak/>
        <w:t>PRÍLOHA IX</w:t>
      </w:r>
    </w:p>
    <w:p w:rsidR="006862AF" w:rsidRPr="00E8450A" w:rsidRDefault="006862AF" w:rsidP="006862AF">
      <w:pPr>
        <w:jc w:val="center"/>
        <w:rPr>
          <w:b/>
          <w:i/>
          <w:noProof/>
          <w:highlight w:val="lightGray"/>
        </w:rPr>
      </w:pPr>
      <w:r w:rsidRPr="00E8450A">
        <w:rPr>
          <w:b/>
          <w:noProof/>
          <w:highlight w:val="lightGray"/>
        </w:rPr>
        <w:t>INFORMÁCIE PRE VEREJNOSŤ</w:t>
      </w:r>
    </w:p>
    <w:p w:rsidR="00BA3DB8" w:rsidRPr="00E8450A" w:rsidRDefault="00BA3DB8" w:rsidP="006862AF">
      <w:pPr>
        <w:rPr>
          <w:b/>
          <w:i/>
          <w:noProof/>
          <w:highlight w:val="lightGray"/>
        </w:rPr>
      </w:pPr>
    </w:p>
    <w:p w:rsidR="005C7768" w:rsidRPr="00E8450A" w:rsidRDefault="009F6FB3" w:rsidP="00A91799">
      <w:pPr>
        <w:pStyle w:val="ListNumber"/>
        <w:numPr>
          <w:ilvl w:val="0"/>
          <w:numId w:val="32"/>
        </w:numPr>
        <w:rPr>
          <w:noProof/>
          <w:highlight w:val="lightGray"/>
        </w:rPr>
      </w:pPr>
      <w:r w:rsidRPr="00E8450A">
        <w:rPr>
          <w:noProof/>
          <w:highlight w:val="lightGray"/>
        </w:rPr>
        <w:t>Členské štáty poskytujú verejnosti aspoň tieto informácie:</w:t>
      </w:r>
    </w:p>
    <w:p w:rsidR="000C2D47" w:rsidRPr="00E8450A" w:rsidRDefault="005812BF" w:rsidP="005812BF">
      <w:pPr>
        <w:pStyle w:val="Point1"/>
        <w:rPr>
          <w:noProof/>
          <w:highlight w:val="lightGray"/>
        </w:rPr>
      </w:pPr>
      <w:r>
        <w:rPr>
          <w:noProof/>
          <w:highlight w:val="lightGray"/>
        </w:rPr>
        <w:t>a)</w:t>
      </w:r>
      <w:r>
        <w:rPr>
          <w:noProof/>
          <w:highlight w:val="lightGray"/>
        </w:rPr>
        <w:tab/>
      </w:r>
      <w:r w:rsidR="003D2B71" w:rsidRPr="00E8450A">
        <w:rPr>
          <w:noProof/>
          <w:highlight w:val="lightGray"/>
        </w:rPr>
        <w:t>aktuálne hodinové údaje z jednotlivých vzorkovacích miest, pokiaľ ide o oxid siričitý, oxid dusičitý, tuhé častice (PM</w:t>
      </w:r>
      <w:r w:rsidR="003D2B71" w:rsidRPr="00E8450A">
        <w:rPr>
          <w:noProof/>
          <w:highlight w:val="lightGray"/>
          <w:vertAlign w:val="subscript"/>
        </w:rPr>
        <w:t>10</w:t>
      </w:r>
      <w:r w:rsidR="003D2B71" w:rsidRPr="00E8450A">
        <w:rPr>
          <w:noProof/>
          <w:highlight w:val="lightGray"/>
        </w:rPr>
        <w:t xml:space="preserve"> a PM</w:t>
      </w:r>
      <w:r w:rsidR="003D2B71" w:rsidRPr="00E8450A">
        <w:rPr>
          <w:noProof/>
          <w:highlight w:val="lightGray"/>
          <w:vertAlign w:val="subscript"/>
        </w:rPr>
        <w:t>2,5</w:t>
      </w:r>
      <w:r w:rsidR="003D2B71" w:rsidRPr="00E8450A">
        <w:rPr>
          <w:noProof/>
          <w:highlight w:val="lightGray"/>
        </w:rPr>
        <w:t>), oxid uhoľnatý a ozón. Vzťahuje sa to na informácie zo všetkých vzorkovacích miest, kde sú aktuálne informácie k dispozícii, a aspoň na informácie z najmenšieho počtu vzorkovacích miest, ktorý sa vyžaduje podľa prílohy III. Ak sú k dispozícii, poskytnú sa aj aktuálne informácie vyplývajúce z modelovania;</w:t>
      </w:r>
    </w:p>
    <w:p w:rsidR="005C7768" w:rsidRPr="00E8450A" w:rsidRDefault="005812BF" w:rsidP="005812BF">
      <w:pPr>
        <w:pStyle w:val="Point1"/>
        <w:rPr>
          <w:noProof/>
          <w:highlight w:val="lightGray"/>
        </w:rPr>
      </w:pPr>
      <w:r>
        <w:rPr>
          <w:noProof/>
          <w:highlight w:val="lightGray"/>
        </w:rPr>
        <w:t>b)</w:t>
      </w:r>
      <w:r>
        <w:rPr>
          <w:noProof/>
          <w:highlight w:val="lightGray"/>
        </w:rPr>
        <w:tab/>
      </w:r>
      <w:r w:rsidR="0011678F" w:rsidRPr="00E8450A">
        <w:rPr>
          <w:noProof/>
          <w:highlight w:val="lightGray"/>
        </w:rPr>
        <w:t xml:space="preserve">namerané koncentrácie všetkých znečisťujúcich látok prezentované v príslušných obdobiach stanovených v prílohe I; </w:t>
      </w:r>
    </w:p>
    <w:p w:rsidR="005C7768" w:rsidRPr="00E8450A" w:rsidRDefault="005812BF" w:rsidP="005812BF">
      <w:pPr>
        <w:pStyle w:val="Point1"/>
        <w:rPr>
          <w:noProof/>
          <w:highlight w:val="lightGray"/>
        </w:rPr>
      </w:pPr>
      <w:r>
        <w:rPr>
          <w:noProof/>
          <w:highlight w:val="lightGray"/>
        </w:rPr>
        <w:t>c)</w:t>
      </w:r>
      <w:r>
        <w:rPr>
          <w:noProof/>
          <w:highlight w:val="lightGray"/>
        </w:rPr>
        <w:tab/>
      </w:r>
      <w:r w:rsidR="005C7768" w:rsidRPr="00E8450A">
        <w:rPr>
          <w:noProof/>
          <w:highlight w:val="lightGray"/>
        </w:rPr>
        <w:t>informácie, ktoré sa týkajú pozorovaného prekročenia (-í) ktorejkoľvek limitnej hodnoty, cieľovej hodnoty pre ozón a hodnoty povinného zníženia priemernej expozície a ktoré zahŕňajú aspoň:</w:t>
      </w:r>
    </w:p>
    <w:p w:rsidR="005C7768" w:rsidRPr="00E8450A" w:rsidRDefault="005C7768" w:rsidP="00F52FF7">
      <w:pPr>
        <w:pStyle w:val="Text3"/>
        <w:rPr>
          <w:noProof/>
          <w:highlight w:val="lightGray"/>
        </w:rPr>
      </w:pPr>
      <w:r w:rsidRPr="00E8450A">
        <w:rPr>
          <w:noProof/>
          <w:highlight w:val="lightGray"/>
        </w:rPr>
        <w:t>i) miesto alebo oblasť prekročenia;</w:t>
      </w:r>
    </w:p>
    <w:p w:rsidR="005C7768" w:rsidRPr="00E8450A" w:rsidRDefault="005C7768" w:rsidP="00F52FF7">
      <w:pPr>
        <w:pStyle w:val="Text3"/>
        <w:rPr>
          <w:noProof/>
          <w:highlight w:val="lightGray"/>
        </w:rPr>
      </w:pPr>
      <w:r w:rsidRPr="00E8450A">
        <w:rPr>
          <w:noProof/>
          <w:highlight w:val="lightGray"/>
        </w:rPr>
        <w:t>ii) časový údaj o začiatku prekročenia a jeho trvaní;</w:t>
      </w:r>
    </w:p>
    <w:p w:rsidR="005C7768" w:rsidRPr="00E8450A" w:rsidRDefault="005C7768" w:rsidP="00F52FF7">
      <w:pPr>
        <w:pStyle w:val="Text3"/>
        <w:rPr>
          <w:noProof/>
          <w:highlight w:val="lightGray"/>
        </w:rPr>
      </w:pPr>
      <w:r w:rsidRPr="00E8450A">
        <w:rPr>
          <w:noProof/>
          <w:highlight w:val="lightGray"/>
        </w:rPr>
        <w:t>iii) nameranú koncentráciu v porovnaní s normami kvality ovzdušia alebo indikátorom priemernej expozície v prípade prekročenia hodnôt povinného zníženia priemernej expozície;</w:t>
      </w:r>
    </w:p>
    <w:p w:rsidR="005C7768" w:rsidRPr="00E8450A" w:rsidRDefault="005812BF" w:rsidP="005812BF">
      <w:pPr>
        <w:pStyle w:val="Point1"/>
        <w:rPr>
          <w:noProof/>
          <w:highlight w:val="lightGray"/>
        </w:rPr>
      </w:pPr>
      <w:r>
        <w:rPr>
          <w:noProof/>
          <w:highlight w:val="lightGray"/>
        </w:rPr>
        <w:t>d)</w:t>
      </w:r>
      <w:r>
        <w:rPr>
          <w:noProof/>
          <w:highlight w:val="lightGray"/>
        </w:rPr>
        <w:tab/>
      </w:r>
      <w:r w:rsidR="005C7768" w:rsidRPr="00E8450A">
        <w:rPr>
          <w:noProof/>
          <w:highlight w:val="lightGray"/>
        </w:rPr>
        <w:t>informácie, ktoré sa týkajú zdravia a vegetácie a ktoré zahŕňajú aspoň:</w:t>
      </w:r>
    </w:p>
    <w:p w:rsidR="005C7768" w:rsidRPr="00E8450A" w:rsidRDefault="00690B79" w:rsidP="00F52FF7">
      <w:pPr>
        <w:pStyle w:val="Text3"/>
        <w:rPr>
          <w:noProof/>
          <w:highlight w:val="lightGray"/>
        </w:rPr>
      </w:pPr>
      <w:r w:rsidRPr="00E8450A">
        <w:rPr>
          <w:noProof/>
          <w:highlight w:val="lightGray"/>
        </w:rPr>
        <w:t>i) vplyv znečistenia ovzdušia na zdravie bežného obyvateľstva;</w:t>
      </w:r>
    </w:p>
    <w:p w:rsidR="005C7768" w:rsidRPr="00E8450A" w:rsidRDefault="005C7768" w:rsidP="00F52FF7">
      <w:pPr>
        <w:pStyle w:val="Text3"/>
        <w:rPr>
          <w:noProof/>
          <w:highlight w:val="lightGray"/>
        </w:rPr>
      </w:pPr>
      <w:r w:rsidRPr="00E8450A">
        <w:rPr>
          <w:noProof/>
          <w:highlight w:val="lightGray"/>
        </w:rPr>
        <w:t xml:space="preserve">ii) vplyv znečistenia ovzdušia na zdravie zraniteľných skupín; </w:t>
      </w:r>
    </w:p>
    <w:p w:rsidR="005C7768" w:rsidRPr="00E8450A" w:rsidRDefault="005C7768" w:rsidP="00F52FF7">
      <w:pPr>
        <w:pStyle w:val="Text3"/>
        <w:rPr>
          <w:noProof/>
          <w:highlight w:val="lightGray"/>
        </w:rPr>
      </w:pPr>
      <w:r w:rsidRPr="00E8450A">
        <w:rPr>
          <w:noProof/>
          <w:highlight w:val="lightGray"/>
        </w:rPr>
        <w:t>iii) opis pravdepodobných symptómov;</w:t>
      </w:r>
    </w:p>
    <w:p w:rsidR="005C7768" w:rsidRPr="00E8450A" w:rsidRDefault="005C7768" w:rsidP="00F52FF7">
      <w:pPr>
        <w:pStyle w:val="Text3"/>
        <w:rPr>
          <w:noProof/>
          <w:highlight w:val="lightGray"/>
        </w:rPr>
      </w:pPr>
      <w:r w:rsidRPr="00E8450A">
        <w:rPr>
          <w:noProof/>
          <w:highlight w:val="lightGray"/>
        </w:rPr>
        <w:t>iv) odporúčané predbežné opatrenia, ktoré sa majú prijať;</w:t>
      </w:r>
    </w:p>
    <w:p w:rsidR="005C7768" w:rsidRPr="00E8450A" w:rsidRDefault="005C7768" w:rsidP="00F52FF7">
      <w:pPr>
        <w:pStyle w:val="Text3"/>
        <w:rPr>
          <w:noProof/>
          <w:highlight w:val="lightGray"/>
        </w:rPr>
      </w:pPr>
      <w:r w:rsidRPr="00E8450A">
        <w:rPr>
          <w:noProof/>
          <w:highlight w:val="lightGray"/>
        </w:rPr>
        <w:t>v) miesto, kde možno nájsť ďalšie informácie;</w:t>
      </w:r>
    </w:p>
    <w:p w:rsidR="005C7768" w:rsidRPr="00E8450A" w:rsidRDefault="005812BF" w:rsidP="005812BF">
      <w:pPr>
        <w:pStyle w:val="Point1"/>
        <w:rPr>
          <w:noProof/>
          <w:highlight w:val="lightGray"/>
        </w:rPr>
      </w:pPr>
      <w:r>
        <w:rPr>
          <w:noProof/>
          <w:highlight w:val="lightGray"/>
        </w:rPr>
        <w:t>e)</w:t>
      </w:r>
      <w:r>
        <w:rPr>
          <w:noProof/>
          <w:highlight w:val="lightGray"/>
        </w:rPr>
        <w:tab/>
      </w:r>
      <w:r w:rsidR="005C7768" w:rsidRPr="00E8450A">
        <w:rPr>
          <w:noProof/>
          <w:highlight w:val="lightGray"/>
        </w:rPr>
        <w:t>informácie o preventívnych opatreniach na zníženie znečistenia a expozície tomuto znečisteniu: uvedenie odvetví, ktoré sú hlavnými zdrojmi; odporúčania opatrení na zníženie emisií;</w:t>
      </w:r>
    </w:p>
    <w:p w:rsidR="005C7768" w:rsidRPr="00E8450A" w:rsidRDefault="005812BF" w:rsidP="005812BF">
      <w:pPr>
        <w:pStyle w:val="Point1"/>
        <w:rPr>
          <w:noProof/>
          <w:highlight w:val="lightGray"/>
        </w:rPr>
      </w:pPr>
      <w:r>
        <w:rPr>
          <w:noProof/>
          <w:highlight w:val="lightGray"/>
        </w:rPr>
        <w:t>f)</w:t>
      </w:r>
      <w:r>
        <w:rPr>
          <w:noProof/>
          <w:highlight w:val="lightGray"/>
        </w:rPr>
        <w:tab/>
      </w:r>
      <w:r w:rsidR="00935E92" w:rsidRPr="00E8450A">
        <w:rPr>
          <w:noProof/>
          <w:highlight w:val="lightGray"/>
        </w:rPr>
        <w:t>informácie o meracích kampaniach alebo podobných činnostiach a ich výsledkoch, ak boli vykonané.</w:t>
      </w:r>
    </w:p>
    <w:p w:rsidR="000969D8" w:rsidRPr="00E8450A" w:rsidRDefault="000969D8" w:rsidP="005C291E">
      <w:pPr>
        <w:pStyle w:val="ListNumber"/>
        <w:rPr>
          <w:noProof/>
          <w:highlight w:val="lightGray"/>
        </w:rPr>
      </w:pPr>
      <w:r w:rsidRPr="00E8450A">
        <w:rPr>
          <w:noProof/>
          <w:highlight w:val="lightGray"/>
        </w:rPr>
        <w:t>Členské štáty zabezpečia, aby sa verejnosti poskytovali včasné informácie o skutočných alebo predpokladaných prekročeniach výstražných prahov a všetkých informačných prahov. Poskytované údaje musia obsahovať aspoň tieto informácie:</w:t>
      </w:r>
    </w:p>
    <w:p w:rsidR="000969D8" w:rsidRPr="00E8450A" w:rsidRDefault="000969D8" w:rsidP="00F52FF7">
      <w:pPr>
        <w:pStyle w:val="Text1"/>
        <w:rPr>
          <w:noProof/>
          <w:highlight w:val="lightGray"/>
        </w:rPr>
      </w:pPr>
      <w:r w:rsidRPr="00E8450A">
        <w:rPr>
          <w:noProof/>
          <w:highlight w:val="lightGray"/>
        </w:rPr>
        <w:t>a)</w:t>
      </w:r>
      <w:r w:rsidRPr="00E8450A">
        <w:rPr>
          <w:noProof/>
        </w:rPr>
        <w:tab/>
      </w:r>
      <w:r w:rsidRPr="00E8450A">
        <w:rPr>
          <w:noProof/>
          <w:highlight w:val="lightGray"/>
        </w:rPr>
        <w:t>informácie o pozorovaných prekročeniach:</w:t>
      </w:r>
    </w:p>
    <w:p w:rsidR="000969D8" w:rsidRPr="00E8450A" w:rsidRDefault="000969D8" w:rsidP="008B60A5">
      <w:pPr>
        <w:pStyle w:val="Tiret3"/>
        <w:numPr>
          <w:ilvl w:val="0"/>
          <w:numId w:val="31"/>
        </w:numPr>
        <w:rPr>
          <w:noProof/>
          <w:highlight w:val="lightGray"/>
        </w:rPr>
      </w:pPr>
      <w:r w:rsidRPr="00E8450A">
        <w:rPr>
          <w:noProof/>
          <w:highlight w:val="lightGray"/>
        </w:rPr>
        <w:t>miesto alebo oblasť prekročenia,</w:t>
      </w:r>
    </w:p>
    <w:p w:rsidR="000969D8" w:rsidRPr="00E8450A" w:rsidRDefault="000969D8" w:rsidP="00355561">
      <w:pPr>
        <w:pStyle w:val="Tiret3"/>
        <w:rPr>
          <w:noProof/>
          <w:highlight w:val="lightGray"/>
        </w:rPr>
      </w:pPr>
      <w:r w:rsidRPr="00E8450A">
        <w:rPr>
          <w:noProof/>
          <w:highlight w:val="lightGray"/>
        </w:rPr>
        <w:t>druh prekročeného prahu (informačný alebo výstražný),</w:t>
      </w:r>
    </w:p>
    <w:p w:rsidR="000969D8" w:rsidRPr="00E8450A" w:rsidRDefault="000969D8" w:rsidP="00355561">
      <w:pPr>
        <w:pStyle w:val="Tiret3"/>
        <w:rPr>
          <w:noProof/>
          <w:highlight w:val="lightGray"/>
        </w:rPr>
      </w:pPr>
      <w:r w:rsidRPr="00E8450A">
        <w:rPr>
          <w:noProof/>
          <w:highlight w:val="lightGray"/>
        </w:rPr>
        <w:t>časový údaj o začiatku prekročenia a jeho trvaní,</w:t>
      </w:r>
    </w:p>
    <w:p w:rsidR="000969D8" w:rsidRPr="00E8450A" w:rsidRDefault="000969D8" w:rsidP="00355561">
      <w:pPr>
        <w:pStyle w:val="Tiret3"/>
        <w:rPr>
          <w:noProof/>
          <w:highlight w:val="lightGray"/>
        </w:rPr>
      </w:pPr>
      <w:r w:rsidRPr="00E8450A">
        <w:rPr>
          <w:noProof/>
          <w:highlight w:val="lightGray"/>
        </w:rPr>
        <w:t>najvyššiu 1-hodinovú koncentráciu a v prípade ozónu aj najväčšiu 8-hodinovú strednú hodnotu koncentrácie;</w:t>
      </w:r>
    </w:p>
    <w:p w:rsidR="000969D8" w:rsidRPr="00E8450A" w:rsidRDefault="000969D8" w:rsidP="00F52FF7">
      <w:pPr>
        <w:pStyle w:val="Text1"/>
        <w:rPr>
          <w:noProof/>
          <w:highlight w:val="lightGray"/>
        </w:rPr>
      </w:pPr>
      <w:r w:rsidRPr="00E8450A">
        <w:rPr>
          <w:noProof/>
          <w:highlight w:val="lightGray"/>
        </w:rPr>
        <w:lastRenderedPageBreak/>
        <w:t>b)</w:t>
      </w:r>
      <w:r w:rsidRPr="00E8450A">
        <w:rPr>
          <w:noProof/>
        </w:rPr>
        <w:tab/>
      </w:r>
      <w:r w:rsidRPr="00E8450A">
        <w:rPr>
          <w:noProof/>
          <w:highlight w:val="lightGray"/>
        </w:rPr>
        <w:t>predpoveď na nasledujúce popoludnie/nasledujúci deň (dni):</w:t>
      </w:r>
    </w:p>
    <w:p w:rsidR="000969D8" w:rsidRPr="00E8450A" w:rsidRDefault="000969D8" w:rsidP="00355561">
      <w:pPr>
        <w:pStyle w:val="Tiret3"/>
        <w:rPr>
          <w:noProof/>
          <w:highlight w:val="lightGray"/>
        </w:rPr>
      </w:pPr>
      <w:r w:rsidRPr="00E8450A">
        <w:rPr>
          <w:noProof/>
          <w:highlight w:val="lightGray"/>
        </w:rPr>
        <w:t>zemepisnú oblasť očakávaných prekročení informačného a/alebo výstražného prahu,</w:t>
      </w:r>
    </w:p>
    <w:p w:rsidR="000969D8" w:rsidRPr="00E8450A" w:rsidRDefault="000969D8" w:rsidP="00355561">
      <w:pPr>
        <w:pStyle w:val="Tiret3"/>
        <w:rPr>
          <w:noProof/>
          <w:highlight w:val="lightGray"/>
        </w:rPr>
      </w:pPr>
      <w:r w:rsidRPr="00E8450A">
        <w:rPr>
          <w:noProof/>
          <w:highlight w:val="lightGray"/>
        </w:rPr>
        <w:t>predpokladané zmeny znečistenia (zlepšenie, stabilizácia alebo zhoršenie) spolu s dôvodmi týchto zmien;</w:t>
      </w:r>
    </w:p>
    <w:p w:rsidR="000969D8" w:rsidRPr="00E8450A" w:rsidRDefault="000969D8" w:rsidP="00F52FF7">
      <w:pPr>
        <w:pStyle w:val="Text1"/>
        <w:rPr>
          <w:noProof/>
          <w:highlight w:val="lightGray"/>
        </w:rPr>
      </w:pPr>
      <w:r w:rsidRPr="00E8450A">
        <w:rPr>
          <w:noProof/>
          <w:highlight w:val="lightGray"/>
        </w:rPr>
        <w:t>c)</w:t>
      </w:r>
      <w:r w:rsidRPr="00E8450A">
        <w:rPr>
          <w:noProof/>
        </w:rPr>
        <w:tab/>
      </w:r>
      <w:r w:rsidRPr="00E8450A">
        <w:rPr>
          <w:noProof/>
          <w:highlight w:val="lightGray"/>
        </w:rPr>
        <w:t>informácie o druhu dotknutého obyvateľstva, možných vplyvoch na zdravie a o odporúčanom správaní:</w:t>
      </w:r>
    </w:p>
    <w:p w:rsidR="000969D8" w:rsidRPr="00E8450A" w:rsidRDefault="000969D8" w:rsidP="00355561">
      <w:pPr>
        <w:pStyle w:val="Tiret3"/>
        <w:rPr>
          <w:noProof/>
          <w:highlight w:val="lightGray"/>
        </w:rPr>
      </w:pPr>
      <w:r w:rsidRPr="00E8450A">
        <w:rPr>
          <w:noProof/>
          <w:highlight w:val="lightGray"/>
        </w:rPr>
        <w:t>informácie o ohrozených skupinách obyvateľstva,</w:t>
      </w:r>
    </w:p>
    <w:p w:rsidR="000969D8" w:rsidRPr="00E8450A" w:rsidRDefault="000969D8" w:rsidP="00355561">
      <w:pPr>
        <w:pStyle w:val="Tiret3"/>
        <w:rPr>
          <w:noProof/>
          <w:highlight w:val="lightGray"/>
        </w:rPr>
      </w:pPr>
      <w:r w:rsidRPr="00E8450A">
        <w:rPr>
          <w:noProof/>
          <w:highlight w:val="lightGray"/>
        </w:rPr>
        <w:t>opis pravdepodobných symptómov,</w:t>
      </w:r>
    </w:p>
    <w:p w:rsidR="000969D8" w:rsidRPr="00E8450A" w:rsidRDefault="000969D8" w:rsidP="00355561">
      <w:pPr>
        <w:pStyle w:val="Tiret3"/>
        <w:rPr>
          <w:noProof/>
          <w:highlight w:val="lightGray"/>
        </w:rPr>
      </w:pPr>
      <w:r w:rsidRPr="00E8450A">
        <w:rPr>
          <w:noProof/>
          <w:highlight w:val="lightGray"/>
        </w:rPr>
        <w:t>odporúčané predbežné opatrenia, ktoré má dotknuté obyvateľstvo prijať,</w:t>
      </w:r>
    </w:p>
    <w:p w:rsidR="000969D8" w:rsidRPr="00E8450A" w:rsidRDefault="000969D8" w:rsidP="00355561">
      <w:pPr>
        <w:pStyle w:val="Tiret3"/>
        <w:rPr>
          <w:noProof/>
          <w:highlight w:val="lightGray"/>
        </w:rPr>
      </w:pPr>
      <w:r w:rsidRPr="00E8450A">
        <w:rPr>
          <w:noProof/>
          <w:highlight w:val="lightGray"/>
        </w:rPr>
        <w:t>miesto, kde možno nájsť ďalšie informácie;</w:t>
      </w:r>
    </w:p>
    <w:p w:rsidR="000969D8" w:rsidRPr="00E8450A" w:rsidRDefault="000969D8" w:rsidP="00F52FF7">
      <w:pPr>
        <w:pStyle w:val="Text1"/>
        <w:rPr>
          <w:noProof/>
          <w:highlight w:val="lightGray"/>
        </w:rPr>
      </w:pPr>
      <w:r w:rsidRPr="00E8450A">
        <w:rPr>
          <w:noProof/>
          <w:highlight w:val="lightGray"/>
        </w:rPr>
        <w:t>d)</w:t>
      </w:r>
      <w:r w:rsidRPr="00E8450A">
        <w:rPr>
          <w:noProof/>
        </w:rPr>
        <w:tab/>
      </w:r>
      <w:r w:rsidRPr="00E8450A">
        <w:rPr>
          <w:noProof/>
          <w:highlight w:val="lightGray"/>
        </w:rPr>
        <w:t>informácie o preventívnych opatreniach na zníženie znečistenia a/alebo expozície tomuto znečisteniu: uvedenie odvetví, ktoré sú hlavnými zdrojmi; odporúčania opatrení na zníženie emisií;</w:t>
      </w:r>
    </w:p>
    <w:p w:rsidR="000969D8" w:rsidRPr="00E8450A" w:rsidRDefault="000969D8" w:rsidP="00F52FF7">
      <w:pPr>
        <w:pStyle w:val="Text1"/>
        <w:rPr>
          <w:noProof/>
          <w:highlight w:val="lightGray"/>
        </w:rPr>
      </w:pPr>
      <w:r w:rsidRPr="00E8450A">
        <w:rPr>
          <w:noProof/>
          <w:highlight w:val="lightGray"/>
        </w:rPr>
        <w:t>e)</w:t>
      </w:r>
      <w:r w:rsidRPr="00E8450A">
        <w:rPr>
          <w:noProof/>
        </w:rPr>
        <w:tab/>
      </w:r>
      <w:r w:rsidRPr="00E8450A">
        <w:rPr>
          <w:noProof/>
          <w:highlight w:val="lightGray"/>
        </w:rPr>
        <w:t>v prípade predpovedaných prekročení podnikne členský štát kroky na zabezpečenie poskytovania takýchto údajov v uskutočniteľnom rozsahu.</w:t>
      </w:r>
    </w:p>
    <w:p w:rsidR="00E34082" w:rsidRPr="00E8450A" w:rsidRDefault="00E34082" w:rsidP="00E34082">
      <w:pPr>
        <w:pStyle w:val="ListNumber"/>
        <w:rPr>
          <w:noProof/>
          <w:highlight w:val="lightGray"/>
        </w:rPr>
      </w:pPr>
      <w:r w:rsidRPr="00E8450A">
        <w:rPr>
          <w:noProof/>
          <w:highlight w:val="lightGray"/>
        </w:rPr>
        <w:t xml:space="preserve">Ak dôjde k prekročeniu alebo ak existuje riziko prekročenia ktorejkoľvek limitnej hodnoty, cieľovej hodnoty pre ozón, hodnoty povinného zníženia priemernej expozície, výstražných alebo informačných prahov, členské štáty zabezpečia, aby boli informácie uvedené v tejto prílohe dodatočne sprostredkované verejnosti. </w:t>
      </w:r>
    </w:p>
    <w:p w:rsidR="00E34082" w:rsidRPr="00E8450A" w:rsidRDefault="00E34082" w:rsidP="005C291E">
      <w:pPr>
        <w:rPr>
          <w:noProof/>
          <w:highlight w:val="lightGray"/>
        </w:rPr>
      </w:pPr>
    </w:p>
    <w:p w:rsidR="009977DF" w:rsidRPr="00E8450A" w:rsidRDefault="009977DF">
      <w:pPr>
        <w:spacing w:before="0" w:after="200" w:line="276" w:lineRule="auto"/>
        <w:jc w:val="left"/>
        <w:rPr>
          <w:rFonts w:eastAsia="Times New Roman"/>
          <w:noProof/>
          <w:highlight w:val="lightGray"/>
        </w:rPr>
      </w:pPr>
      <w:r w:rsidRPr="00E8450A">
        <w:rPr>
          <w:noProof/>
        </w:rPr>
        <w:br w:type="page"/>
      </w:r>
    </w:p>
    <w:p w:rsidR="006862AF" w:rsidRPr="00E8450A" w:rsidRDefault="006862AF" w:rsidP="00897B9B">
      <w:pPr>
        <w:pStyle w:val="Annexetitre"/>
        <w:rPr>
          <w:noProof/>
          <w:highlight w:val="lightGray"/>
        </w:rPr>
      </w:pPr>
      <w:r w:rsidRPr="00E8450A">
        <w:rPr>
          <w:noProof/>
          <w:highlight w:val="lightGray"/>
        </w:rPr>
        <w:lastRenderedPageBreak/>
        <w:t>PRÍLOHA X</w:t>
      </w:r>
    </w:p>
    <w:p w:rsidR="006862AF" w:rsidRPr="00E8450A" w:rsidRDefault="006862AF" w:rsidP="006862AF">
      <w:pPr>
        <w:widowControl w:val="0"/>
        <w:tabs>
          <w:tab w:val="right" w:pos="9600"/>
        </w:tabs>
        <w:suppressAutoHyphens/>
        <w:spacing w:before="0" w:after="240"/>
        <w:jc w:val="center"/>
        <w:rPr>
          <w:rFonts w:eastAsia="Times New Roman"/>
          <w:noProof/>
          <w:highlight w:val="lightGray"/>
        </w:rPr>
      </w:pPr>
      <w:r w:rsidRPr="00E8450A">
        <w:rPr>
          <w:noProof/>
          <w:highlight w:val="lightGray"/>
        </w:rPr>
        <w:t>Časť A</w:t>
      </w:r>
    </w:p>
    <w:p w:rsidR="0054127C" w:rsidRPr="00E8450A" w:rsidRDefault="0054127C" w:rsidP="0054127C">
      <w:pPr>
        <w:widowControl w:val="0"/>
        <w:tabs>
          <w:tab w:val="left" w:pos="-720"/>
          <w:tab w:val="center" w:pos="7344"/>
        </w:tabs>
        <w:suppressAutoHyphens/>
        <w:spacing w:before="0" w:after="240"/>
        <w:jc w:val="center"/>
        <w:rPr>
          <w:rFonts w:eastAsia="Times New Roman"/>
          <w:b/>
          <w:noProof/>
          <w:highlight w:val="lightGray"/>
        </w:rPr>
      </w:pPr>
      <w:r w:rsidRPr="00E8450A">
        <w:rPr>
          <w:b/>
          <w:noProof/>
          <w:highlight w:val="lightGray"/>
        </w:rPr>
        <w:t>Zrušené smernice so zoznamom neskorších zmien</w:t>
      </w:r>
      <w:r w:rsidRPr="00E8450A">
        <w:rPr>
          <w:noProof/>
        </w:rPr>
        <w:t xml:space="preserve"> </w:t>
      </w:r>
      <w:r w:rsidRPr="00E8450A">
        <w:rPr>
          <w:noProof/>
        </w:rPr>
        <w:br/>
      </w:r>
      <w:r w:rsidRPr="00E8450A">
        <w:rPr>
          <w:b/>
          <w:noProof/>
          <w:highlight w:val="lightGray"/>
        </w:rPr>
        <w:t>(v zmysle článku 30)</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0"/>
        <w:gridCol w:w="4076"/>
      </w:tblGrid>
      <w:tr w:rsidR="0054127C" w:rsidRPr="00E8450A" w:rsidTr="00D22366">
        <w:tc>
          <w:tcPr>
            <w:tcW w:w="5211" w:type="dxa"/>
          </w:tcPr>
          <w:p w:rsidR="0054127C" w:rsidRPr="00E8450A" w:rsidRDefault="0054127C" w:rsidP="00D22366">
            <w:pPr>
              <w:widowControl w:val="0"/>
              <w:tabs>
                <w:tab w:val="left" w:pos="-720"/>
                <w:tab w:val="center" w:pos="7344"/>
              </w:tabs>
              <w:suppressAutoHyphens/>
              <w:jc w:val="left"/>
              <w:rPr>
                <w:b/>
                <w:noProof/>
                <w:szCs w:val="24"/>
                <w:highlight w:val="lightGray"/>
              </w:rPr>
            </w:pPr>
            <w:r w:rsidRPr="00E8450A">
              <w:rPr>
                <w:noProof/>
                <w:highlight w:val="lightGray"/>
              </w:rPr>
              <w:t>Smernica Európskeho parlamentu a Rady 2004/107/ES</w:t>
            </w:r>
            <w:r w:rsidRPr="00E8450A">
              <w:rPr>
                <w:noProof/>
              </w:rPr>
              <w:t xml:space="preserve"> </w:t>
            </w:r>
            <w:r w:rsidRPr="00E8450A">
              <w:rPr>
                <w:noProof/>
              </w:rPr>
              <w:br/>
            </w:r>
            <w:r w:rsidRPr="00E8450A">
              <w:rPr>
                <w:noProof/>
                <w:highlight w:val="lightGray"/>
              </w:rPr>
              <w:t>(Ú. v. EÚ L 23, 26.1.2005, s. 3)</w:t>
            </w:r>
          </w:p>
        </w:tc>
        <w:tc>
          <w:tcPr>
            <w:tcW w:w="4076" w:type="dxa"/>
          </w:tcPr>
          <w:p w:rsidR="0054127C" w:rsidRPr="00E8450A" w:rsidRDefault="0054127C" w:rsidP="00D22366">
            <w:pPr>
              <w:widowControl w:val="0"/>
              <w:tabs>
                <w:tab w:val="left" w:pos="-720"/>
                <w:tab w:val="center" w:pos="7344"/>
              </w:tabs>
              <w:suppressAutoHyphens/>
              <w:jc w:val="left"/>
              <w:rPr>
                <w:b/>
                <w:noProof/>
                <w:szCs w:val="24"/>
                <w:highlight w:val="lightGray"/>
                <w:lang w:eastAsia="fr-BE"/>
              </w:rPr>
            </w:pPr>
          </w:p>
        </w:tc>
      </w:tr>
      <w:tr w:rsidR="0054127C" w:rsidRPr="00E8450A" w:rsidTr="00D22366">
        <w:tc>
          <w:tcPr>
            <w:tcW w:w="5211" w:type="dxa"/>
          </w:tcPr>
          <w:p w:rsidR="0054127C" w:rsidRPr="00E8450A" w:rsidRDefault="0054127C" w:rsidP="00D22366">
            <w:pPr>
              <w:widowControl w:val="0"/>
              <w:tabs>
                <w:tab w:val="left" w:pos="-720"/>
                <w:tab w:val="center" w:pos="7344"/>
              </w:tabs>
              <w:suppressAutoHyphens/>
              <w:jc w:val="left"/>
              <w:rPr>
                <w:b/>
                <w:noProof/>
                <w:szCs w:val="24"/>
                <w:highlight w:val="lightGray"/>
              </w:rPr>
            </w:pPr>
            <w:r w:rsidRPr="00E8450A">
              <w:rPr>
                <w:noProof/>
                <w:highlight w:val="lightGray"/>
              </w:rPr>
              <w:t>Nariadenie Európskeho parlamentu a Rady (ES) č. 219/2009</w:t>
            </w:r>
            <w:r w:rsidRPr="00E8450A">
              <w:rPr>
                <w:noProof/>
              </w:rPr>
              <w:t xml:space="preserve"> </w:t>
            </w:r>
            <w:r w:rsidRPr="00E8450A">
              <w:rPr>
                <w:noProof/>
              </w:rPr>
              <w:br/>
            </w:r>
            <w:r w:rsidRPr="00E8450A">
              <w:rPr>
                <w:noProof/>
                <w:highlight w:val="lightGray"/>
              </w:rPr>
              <w:t>(Ú. v. EÚ L 87, 31.3.2009, s. 109)</w:t>
            </w:r>
          </w:p>
        </w:tc>
        <w:tc>
          <w:tcPr>
            <w:tcW w:w="4076" w:type="dxa"/>
          </w:tcPr>
          <w:p w:rsidR="0054127C" w:rsidRPr="00E8450A" w:rsidRDefault="0054127C" w:rsidP="00D22366">
            <w:pPr>
              <w:widowControl w:val="0"/>
              <w:tabs>
                <w:tab w:val="left" w:pos="-720"/>
                <w:tab w:val="center" w:pos="7344"/>
              </w:tabs>
              <w:suppressAutoHyphens/>
              <w:jc w:val="left"/>
              <w:rPr>
                <w:noProof/>
                <w:szCs w:val="24"/>
                <w:highlight w:val="lightGray"/>
              </w:rPr>
            </w:pPr>
            <w:r w:rsidRPr="00E8450A">
              <w:rPr>
                <w:noProof/>
                <w:highlight w:val="lightGray"/>
              </w:rPr>
              <w:t>iba bod 3.8 prílohy</w:t>
            </w:r>
          </w:p>
        </w:tc>
      </w:tr>
      <w:tr w:rsidR="0054127C" w:rsidRPr="00E8450A" w:rsidTr="00D22366">
        <w:tc>
          <w:tcPr>
            <w:tcW w:w="5211" w:type="dxa"/>
          </w:tcPr>
          <w:p w:rsidR="0054127C" w:rsidRPr="00E8450A" w:rsidRDefault="0054127C" w:rsidP="00D22366">
            <w:pPr>
              <w:widowControl w:val="0"/>
              <w:tabs>
                <w:tab w:val="left" w:pos="-720"/>
                <w:tab w:val="center" w:pos="7344"/>
              </w:tabs>
              <w:suppressAutoHyphens/>
              <w:jc w:val="left"/>
              <w:rPr>
                <w:b/>
                <w:noProof/>
                <w:szCs w:val="24"/>
                <w:highlight w:val="lightGray"/>
              </w:rPr>
            </w:pPr>
            <w:r w:rsidRPr="00E8450A">
              <w:rPr>
                <w:noProof/>
                <w:highlight w:val="lightGray"/>
              </w:rPr>
              <w:t>Smernica Komisie (EÚ) 2015/1480</w:t>
            </w:r>
            <w:r w:rsidRPr="00E8450A">
              <w:rPr>
                <w:noProof/>
              </w:rPr>
              <w:t xml:space="preserve"> </w:t>
            </w:r>
            <w:r w:rsidRPr="00E8450A">
              <w:rPr>
                <w:noProof/>
              </w:rPr>
              <w:br/>
            </w:r>
            <w:r w:rsidRPr="00E8450A">
              <w:rPr>
                <w:noProof/>
                <w:highlight w:val="lightGray"/>
              </w:rPr>
              <w:t>(Ú. v. EÚ L 226, 29.8.2015, s. 4)</w:t>
            </w:r>
          </w:p>
        </w:tc>
        <w:tc>
          <w:tcPr>
            <w:tcW w:w="4076" w:type="dxa"/>
          </w:tcPr>
          <w:p w:rsidR="0054127C" w:rsidRPr="00E8450A" w:rsidRDefault="0054127C" w:rsidP="00D22366">
            <w:pPr>
              <w:widowControl w:val="0"/>
              <w:tabs>
                <w:tab w:val="left" w:pos="-720"/>
                <w:tab w:val="center" w:pos="7344"/>
              </w:tabs>
              <w:suppressAutoHyphens/>
              <w:jc w:val="left"/>
              <w:rPr>
                <w:noProof/>
                <w:szCs w:val="24"/>
                <w:highlight w:val="lightGray"/>
              </w:rPr>
            </w:pPr>
            <w:r w:rsidRPr="00E8450A">
              <w:rPr>
                <w:noProof/>
                <w:highlight w:val="lightGray"/>
              </w:rPr>
              <w:t>iba článok 1</w:t>
            </w:r>
          </w:p>
        </w:tc>
      </w:tr>
      <w:tr w:rsidR="0054127C" w:rsidRPr="00E8450A" w:rsidTr="00D22366">
        <w:tc>
          <w:tcPr>
            <w:tcW w:w="5211" w:type="dxa"/>
          </w:tcPr>
          <w:p w:rsidR="0054127C" w:rsidRPr="00E8450A" w:rsidRDefault="0054127C" w:rsidP="00D22366">
            <w:pPr>
              <w:widowControl w:val="0"/>
              <w:tabs>
                <w:tab w:val="left" w:pos="-720"/>
                <w:tab w:val="center" w:pos="7344"/>
              </w:tabs>
              <w:suppressAutoHyphens/>
              <w:jc w:val="left"/>
              <w:rPr>
                <w:b/>
                <w:noProof/>
                <w:szCs w:val="24"/>
                <w:highlight w:val="lightGray"/>
              </w:rPr>
            </w:pPr>
            <w:r w:rsidRPr="00E8450A">
              <w:rPr>
                <w:noProof/>
                <w:highlight w:val="lightGray"/>
              </w:rPr>
              <w:t>Smernica Európskeho parlamentu a Rady 2008/50/ES</w:t>
            </w:r>
            <w:r w:rsidRPr="00E8450A">
              <w:rPr>
                <w:noProof/>
              </w:rPr>
              <w:t xml:space="preserve"> </w:t>
            </w:r>
            <w:r w:rsidRPr="00E8450A">
              <w:rPr>
                <w:noProof/>
              </w:rPr>
              <w:br/>
            </w:r>
            <w:r w:rsidRPr="00E8450A">
              <w:rPr>
                <w:noProof/>
                <w:highlight w:val="lightGray"/>
              </w:rPr>
              <w:t>(Ú. v. EÚ L 152, 11.6.2008, s. 1)</w:t>
            </w:r>
          </w:p>
        </w:tc>
        <w:tc>
          <w:tcPr>
            <w:tcW w:w="4076" w:type="dxa"/>
          </w:tcPr>
          <w:p w:rsidR="0054127C" w:rsidRPr="00E8450A" w:rsidRDefault="0054127C" w:rsidP="00D22366">
            <w:pPr>
              <w:widowControl w:val="0"/>
              <w:tabs>
                <w:tab w:val="left" w:pos="-720"/>
                <w:tab w:val="center" w:pos="7344"/>
              </w:tabs>
              <w:suppressAutoHyphens/>
              <w:jc w:val="left"/>
              <w:rPr>
                <w:b/>
                <w:noProof/>
                <w:szCs w:val="24"/>
                <w:highlight w:val="lightGray"/>
                <w:lang w:eastAsia="fr-BE"/>
              </w:rPr>
            </w:pPr>
          </w:p>
        </w:tc>
      </w:tr>
      <w:tr w:rsidR="0054127C" w:rsidRPr="00E8450A" w:rsidTr="00D22366">
        <w:tc>
          <w:tcPr>
            <w:tcW w:w="5211" w:type="dxa"/>
          </w:tcPr>
          <w:p w:rsidR="0054127C" w:rsidRPr="00E8450A" w:rsidRDefault="0054127C" w:rsidP="00D22366">
            <w:pPr>
              <w:widowControl w:val="0"/>
              <w:tabs>
                <w:tab w:val="left" w:pos="-720"/>
                <w:tab w:val="center" w:pos="7344"/>
              </w:tabs>
              <w:suppressAutoHyphens/>
              <w:jc w:val="left"/>
              <w:rPr>
                <w:b/>
                <w:noProof/>
                <w:szCs w:val="24"/>
                <w:highlight w:val="lightGray"/>
              </w:rPr>
            </w:pPr>
            <w:r w:rsidRPr="00E8450A">
              <w:rPr>
                <w:noProof/>
                <w:highlight w:val="lightGray"/>
              </w:rPr>
              <w:t>Smernica Komisie (EÚ) 2015/1480</w:t>
            </w:r>
            <w:r w:rsidRPr="00E8450A">
              <w:rPr>
                <w:noProof/>
              </w:rPr>
              <w:t xml:space="preserve"> </w:t>
            </w:r>
            <w:r w:rsidRPr="00E8450A">
              <w:rPr>
                <w:noProof/>
              </w:rPr>
              <w:br/>
            </w:r>
            <w:r w:rsidRPr="00E8450A">
              <w:rPr>
                <w:noProof/>
                <w:highlight w:val="lightGray"/>
              </w:rPr>
              <w:t>(Ú. v. EÚ L 226, 29.8.2015, s. 4)</w:t>
            </w:r>
          </w:p>
        </w:tc>
        <w:tc>
          <w:tcPr>
            <w:tcW w:w="4076" w:type="dxa"/>
          </w:tcPr>
          <w:p w:rsidR="0054127C" w:rsidRPr="00E8450A" w:rsidRDefault="0054127C" w:rsidP="00D22366">
            <w:pPr>
              <w:widowControl w:val="0"/>
              <w:tabs>
                <w:tab w:val="left" w:pos="-720"/>
                <w:tab w:val="center" w:pos="7344"/>
              </w:tabs>
              <w:suppressAutoHyphens/>
              <w:jc w:val="left"/>
              <w:rPr>
                <w:noProof/>
                <w:szCs w:val="24"/>
                <w:highlight w:val="lightGray"/>
              </w:rPr>
            </w:pPr>
            <w:r w:rsidRPr="00E8450A">
              <w:rPr>
                <w:noProof/>
                <w:highlight w:val="lightGray"/>
              </w:rPr>
              <w:t>iba článok 2</w:t>
            </w:r>
          </w:p>
        </w:tc>
      </w:tr>
    </w:tbl>
    <w:p w:rsidR="0054127C" w:rsidRPr="00E8450A" w:rsidRDefault="0054127C" w:rsidP="0054127C">
      <w:pPr>
        <w:widowControl w:val="0"/>
        <w:tabs>
          <w:tab w:val="right" w:pos="9600"/>
        </w:tabs>
        <w:suppressAutoHyphens/>
        <w:spacing w:before="0" w:after="240"/>
        <w:jc w:val="center"/>
        <w:outlineLvl w:val="0"/>
        <w:rPr>
          <w:rFonts w:eastAsia="Times New Roman"/>
          <w:noProof/>
          <w:highlight w:val="lightGray"/>
        </w:rPr>
      </w:pPr>
      <w:r w:rsidRPr="00E8450A">
        <w:rPr>
          <w:noProof/>
          <w:highlight w:val="lightGray"/>
        </w:rPr>
        <w:t>Časť B</w:t>
      </w:r>
    </w:p>
    <w:p w:rsidR="0054127C" w:rsidRPr="00E8450A" w:rsidRDefault="0054127C" w:rsidP="0054127C">
      <w:pPr>
        <w:widowControl w:val="0"/>
        <w:tabs>
          <w:tab w:val="right" w:pos="9600"/>
        </w:tabs>
        <w:suppressAutoHyphens/>
        <w:spacing w:before="0" w:after="240"/>
        <w:jc w:val="center"/>
        <w:rPr>
          <w:rFonts w:eastAsia="Times New Roman"/>
          <w:b/>
          <w:noProof/>
          <w:highlight w:val="lightGray"/>
        </w:rPr>
      </w:pPr>
      <w:r w:rsidRPr="00E8450A">
        <w:rPr>
          <w:b/>
          <w:noProof/>
          <w:highlight w:val="lightGray"/>
        </w:rPr>
        <w:t>Zoznam lehôt na transpozíciu do vnútroštátneho práva</w:t>
      </w:r>
      <w:r w:rsidRPr="00E8450A">
        <w:rPr>
          <w:noProof/>
        </w:rPr>
        <w:t xml:space="preserve"> </w:t>
      </w:r>
      <w:r w:rsidRPr="00E8450A">
        <w:rPr>
          <w:noProof/>
        </w:rPr>
        <w:br/>
      </w:r>
      <w:r w:rsidRPr="00E8450A">
        <w:rPr>
          <w:b/>
          <w:noProof/>
          <w:highlight w:val="lightGray"/>
        </w:rPr>
        <w:t>(v zmysle článku 30)</w:t>
      </w:r>
      <w:r w:rsidRPr="00E8450A">
        <w:rPr>
          <w:noProof/>
          <w:highlight w:val="lightGray"/>
        </w:rPr>
        <w:t xml:space="preserve"> </w:t>
      </w:r>
    </w:p>
    <w:tbl>
      <w:tblPr>
        <w:tblW w:w="0" w:type="auto"/>
        <w:jc w:val="center"/>
        <w:tblLook w:val="01E0" w:firstRow="1" w:lastRow="1" w:firstColumn="1" w:lastColumn="1" w:noHBand="0" w:noVBand="0"/>
      </w:tblPr>
      <w:tblGrid>
        <w:gridCol w:w="3079"/>
        <w:gridCol w:w="3107"/>
      </w:tblGrid>
      <w:tr w:rsidR="0054127C" w:rsidRPr="00E8450A" w:rsidTr="00D22366">
        <w:trPr>
          <w:jc w:val="center"/>
        </w:trPr>
        <w:tc>
          <w:tcPr>
            <w:tcW w:w="3079" w:type="dxa"/>
            <w:tcBorders>
              <w:top w:val="single" w:sz="4" w:space="0" w:color="auto"/>
              <w:bottom w:val="single" w:sz="4" w:space="0" w:color="auto"/>
              <w:right w:val="single" w:sz="4" w:space="0" w:color="auto"/>
            </w:tcBorders>
          </w:tcPr>
          <w:p w:rsidR="0054127C" w:rsidRPr="00E8450A" w:rsidRDefault="0054127C" w:rsidP="00D22366">
            <w:pPr>
              <w:widowControl w:val="0"/>
              <w:tabs>
                <w:tab w:val="right" w:pos="9600"/>
              </w:tabs>
              <w:suppressAutoHyphens/>
              <w:jc w:val="center"/>
              <w:rPr>
                <w:rFonts w:eastAsia="Times New Roman"/>
                <w:noProof/>
                <w:highlight w:val="lightGray"/>
              </w:rPr>
            </w:pPr>
            <w:r w:rsidRPr="00E8450A">
              <w:rPr>
                <w:noProof/>
                <w:highlight w:val="lightGray"/>
              </w:rPr>
              <w:t>Smernica</w:t>
            </w:r>
          </w:p>
        </w:tc>
        <w:tc>
          <w:tcPr>
            <w:tcW w:w="3107" w:type="dxa"/>
            <w:tcBorders>
              <w:top w:val="single" w:sz="4" w:space="0" w:color="auto"/>
              <w:left w:val="single" w:sz="4" w:space="0" w:color="auto"/>
              <w:bottom w:val="single" w:sz="4" w:space="0" w:color="auto"/>
            </w:tcBorders>
          </w:tcPr>
          <w:p w:rsidR="0054127C" w:rsidRPr="00E8450A" w:rsidRDefault="0054127C" w:rsidP="00D22366">
            <w:pPr>
              <w:widowControl w:val="0"/>
              <w:tabs>
                <w:tab w:val="right" w:pos="9600"/>
              </w:tabs>
              <w:suppressAutoHyphens/>
              <w:jc w:val="center"/>
              <w:rPr>
                <w:rFonts w:eastAsia="Times New Roman"/>
                <w:noProof/>
                <w:highlight w:val="lightGray"/>
              </w:rPr>
            </w:pPr>
            <w:r w:rsidRPr="00E8450A">
              <w:rPr>
                <w:noProof/>
                <w:highlight w:val="lightGray"/>
              </w:rPr>
              <w:t>Lehota na transpozíciu</w:t>
            </w:r>
          </w:p>
        </w:tc>
      </w:tr>
      <w:tr w:rsidR="0054127C" w:rsidRPr="00E8450A" w:rsidTr="00D22366">
        <w:trPr>
          <w:jc w:val="center"/>
        </w:trPr>
        <w:tc>
          <w:tcPr>
            <w:tcW w:w="3079" w:type="dxa"/>
            <w:tcBorders>
              <w:right w:val="single" w:sz="4" w:space="0" w:color="auto"/>
            </w:tcBorders>
          </w:tcPr>
          <w:p w:rsidR="0054127C" w:rsidRPr="00E8450A" w:rsidRDefault="0054127C" w:rsidP="00D22366">
            <w:pPr>
              <w:widowControl w:val="0"/>
              <w:tabs>
                <w:tab w:val="right" w:pos="9600"/>
              </w:tabs>
              <w:suppressAutoHyphens/>
              <w:jc w:val="center"/>
              <w:rPr>
                <w:rFonts w:eastAsia="Times New Roman"/>
                <w:noProof/>
                <w:highlight w:val="lightGray"/>
              </w:rPr>
            </w:pPr>
            <w:r w:rsidRPr="00E8450A">
              <w:rPr>
                <w:noProof/>
                <w:highlight w:val="lightGray"/>
              </w:rPr>
              <w:t>2004/107/ES</w:t>
            </w:r>
          </w:p>
        </w:tc>
        <w:tc>
          <w:tcPr>
            <w:tcW w:w="3107" w:type="dxa"/>
            <w:tcBorders>
              <w:left w:val="single" w:sz="4" w:space="0" w:color="auto"/>
            </w:tcBorders>
          </w:tcPr>
          <w:p w:rsidR="0054127C" w:rsidRPr="00E8450A" w:rsidRDefault="0054127C" w:rsidP="00D22366">
            <w:pPr>
              <w:widowControl w:val="0"/>
              <w:tabs>
                <w:tab w:val="right" w:pos="9600"/>
              </w:tabs>
              <w:suppressAutoHyphens/>
              <w:jc w:val="center"/>
              <w:rPr>
                <w:rFonts w:eastAsia="Times New Roman"/>
                <w:noProof/>
                <w:highlight w:val="lightGray"/>
              </w:rPr>
            </w:pPr>
            <w:r w:rsidRPr="00E8450A">
              <w:rPr>
                <w:noProof/>
                <w:highlight w:val="lightGray"/>
              </w:rPr>
              <w:t>15. február 2007</w:t>
            </w:r>
          </w:p>
        </w:tc>
      </w:tr>
      <w:tr w:rsidR="0054127C" w:rsidRPr="00E8450A" w:rsidTr="00D22366">
        <w:trPr>
          <w:jc w:val="center"/>
        </w:trPr>
        <w:tc>
          <w:tcPr>
            <w:tcW w:w="3079" w:type="dxa"/>
            <w:tcBorders>
              <w:right w:val="single" w:sz="4" w:space="0" w:color="auto"/>
            </w:tcBorders>
          </w:tcPr>
          <w:p w:rsidR="0054127C" w:rsidRPr="00E8450A" w:rsidRDefault="0054127C" w:rsidP="00D22366">
            <w:pPr>
              <w:widowControl w:val="0"/>
              <w:tabs>
                <w:tab w:val="right" w:pos="9600"/>
              </w:tabs>
              <w:suppressAutoHyphens/>
              <w:jc w:val="center"/>
              <w:rPr>
                <w:rFonts w:eastAsia="Times New Roman"/>
                <w:noProof/>
                <w:highlight w:val="lightGray"/>
              </w:rPr>
            </w:pPr>
            <w:r w:rsidRPr="00E8450A">
              <w:rPr>
                <w:noProof/>
                <w:highlight w:val="lightGray"/>
              </w:rPr>
              <w:t>2008/50/ES</w:t>
            </w:r>
          </w:p>
        </w:tc>
        <w:tc>
          <w:tcPr>
            <w:tcW w:w="3107" w:type="dxa"/>
            <w:tcBorders>
              <w:left w:val="single" w:sz="4" w:space="0" w:color="auto"/>
            </w:tcBorders>
          </w:tcPr>
          <w:p w:rsidR="0054127C" w:rsidRPr="00E8450A" w:rsidRDefault="0054127C" w:rsidP="00D22366">
            <w:pPr>
              <w:widowControl w:val="0"/>
              <w:tabs>
                <w:tab w:val="right" w:pos="9600"/>
              </w:tabs>
              <w:suppressAutoHyphens/>
              <w:jc w:val="center"/>
              <w:rPr>
                <w:rFonts w:eastAsia="Times New Roman"/>
                <w:noProof/>
                <w:highlight w:val="lightGray"/>
              </w:rPr>
            </w:pPr>
            <w:r w:rsidRPr="00E8450A">
              <w:rPr>
                <w:noProof/>
                <w:highlight w:val="lightGray"/>
              </w:rPr>
              <w:t>11. jún 2010</w:t>
            </w:r>
          </w:p>
        </w:tc>
      </w:tr>
      <w:tr w:rsidR="0054127C" w:rsidRPr="00E8450A" w:rsidTr="00D22366">
        <w:trPr>
          <w:jc w:val="center"/>
        </w:trPr>
        <w:tc>
          <w:tcPr>
            <w:tcW w:w="3079" w:type="dxa"/>
            <w:tcBorders>
              <w:right w:val="single" w:sz="4" w:space="0" w:color="auto"/>
            </w:tcBorders>
          </w:tcPr>
          <w:p w:rsidR="0054127C" w:rsidRPr="00E8450A" w:rsidRDefault="0054127C" w:rsidP="00D22366">
            <w:pPr>
              <w:widowControl w:val="0"/>
              <w:tabs>
                <w:tab w:val="right" w:pos="9600"/>
              </w:tabs>
              <w:suppressAutoHyphens/>
              <w:jc w:val="center"/>
              <w:rPr>
                <w:noProof/>
                <w:highlight w:val="lightGray"/>
              </w:rPr>
            </w:pPr>
            <w:r w:rsidRPr="00E8450A">
              <w:rPr>
                <w:noProof/>
                <w:highlight w:val="lightGray"/>
              </w:rPr>
              <w:t>(EÚ) 2015/1480</w:t>
            </w:r>
          </w:p>
        </w:tc>
        <w:tc>
          <w:tcPr>
            <w:tcW w:w="3107" w:type="dxa"/>
            <w:tcBorders>
              <w:left w:val="single" w:sz="4" w:space="0" w:color="auto"/>
            </w:tcBorders>
          </w:tcPr>
          <w:p w:rsidR="0054127C" w:rsidRPr="00E8450A" w:rsidRDefault="0054127C" w:rsidP="00D22366">
            <w:pPr>
              <w:widowControl w:val="0"/>
              <w:tabs>
                <w:tab w:val="right" w:pos="9600"/>
              </w:tabs>
              <w:suppressAutoHyphens/>
              <w:jc w:val="center"/>
              <w:rPr>
                <w:noProof/>
                <w:highlight w:val="lightGray"/>
              </w:rPr>
            </w:pPr>
            <w:r w:rsidRPr="00E8450A">
              <w:rPr>
                <w:noProof/>
                <w:highlight w:val="lightGray"/>
              </w:rPr>
              <w:t>31. december 2016</w:t>
            </w:r>
          </w:p>
        </w:tc>
      </w:tr>
    </w:tbl>
    <w:p w:rsidR="0054127C" w:rsidRPr="00E8450A" w:rsidRDefault="0054127C" w:rsidP="009977DF">
      <w:pPr>
        <w:jc w:val="center"/>
        <w:rPr>
          <w:rFonts w:eastAsia="Times New Roman"/>
          <w:noProof/>
          <w:szCs w:val="20"/>
          <w:highlight w:val="lightGray"/>
        </w:rPr>
      </w:pPr>
      <w:r w:rsidRPr="00E8450A">
        <w:rPr>
          <w:noProof/>
          <w:highlight w:val="lightGray"/>
        </w:rPr>
        <w:t>_____________</w:t>
      </w:r>
    </w:p>
    <w:p w:rsidR="0054127C" w:rsidRPr="00E8450A" w:rsidRDefault="0054127C">
      <w:pPr>
        <w:spacing w:before="0" w:after="200" w:line="276" w:lineRule="auto"/>
        <w:jc w:val="left"/>
        <w:rPr>
          <w:rFonts w:eastAsia="Times New Roman"/>
          <w:noProof/>
          <w:szCs w:val="20"/>
          <w:highlight w:val="lightGray"/>
        </w:rPr>
      </w:pPr>
      <w:r w:rsidRPr="00E8450A">
        <w:rPr>
          <w:noProof/>
        </w:rPr>
        <w:br w:type="page"/>
      </w:r>
    </w:p>
    <w:p w:rsidR="006862AF" w:rsidRPr="00E8450A" w:rsidRDefault="006862AF" w:rsidP="00897B9B">
      <w:pPr>
        <w:pStyle w:val="Annexetitre"/>
        <w:rPr>
          <w:noProof/>
          <w:highlight w:val="lightGray"/>
        </w:rPr>
      </w:pPr>
      <w:r w:rsidRPr="00E8450A">
        <w:rPr>
          <w:noProof/>
          <w:highlight w:val="lightGray"/>
        </w:rPr>
        <w:lastRenderedPageBreak/>
        <w:t>PRÍLOHA XI</w:t>
      </w:r>
    </w:p>
    <w:p w:rsidR="006862AF" w:rsidRPr="00E8450A" w:rsidRDefault="006862AF" w:rsidP="006862AF">
      <w:pPr>
        <w:jc w:val="center"/>
        <w:rPr>
          <w:b/>
          <w:noProof/>
          <w:highlight w:val="lightGray"/>
        </w:rPr>
      </w:pPr>
      <w:r w:rsidRPr="00E8450A">
        <w:rPr>
          <w:b/>
          <w:noProof/>
          <w:highlight w:val="lightGray"/>
        </w:rPr>
        <w:t>TABUĽKA ZHODY</w:t>
      </w:r>
    </w:p>
    <w:p w:rsidR="006862AF" w:rsidRPr="00E8450A" w:rsidRDefault="006862AF" w:rsidP="006862AF">
      <w:pPr>
        <w:rPr>
          <w:noProof/>
          <w:highlight w:val="lightGray"/>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3084"/>
        <w:gridCol w:w="3098"/>
        <w:gridCol w:w="3104"/>
      </w:tblGrid>
      <w:tr w:rsidR="006862AF" w:rsidRPr="00E8450A" w:rsidTr="00EC2071">
        <w:trPr>
          <w:trHeight w:val="419"/>
        </w:trPr>
        <w:tc>
          <w:tcPr>
            <w:tcW w:w="3084" w:type="dxa"/>
          </w:tcPr>
          <w:p w:rsidR="006862AF" w:rsidRPr="00E8450A" w:rsidRDefault="006862AF" w:rsidP="00EC2071">
            <w:pPr>
              <w:ind w:left="851" w:hanging="851"/>
              <w:jc w:val="center"/>
              <w:rPr>
                <w:noProof/>
                <w:szCs w:val="24"/>
                <w:highlight w:val="lightGray"/>
              </w:rPr>
            </w:pPr>
            <w:r w:rsidRPr="00E8450A">
              <w:rPr>
                <w:noProof/>
                <w:highlight w:val="lightGray"/>
              </w:rPr>
              <w:t>Táto smernica</w:t>
            </w:r>
          </w:p>
        </w:tc>
        <w:tc>
          <w:tcPr>
            <w:tcW w:w="3098" w:type="dxa"/>
          </w:tcPr>
          <w:p w:rsidR="006862AF" w:rsidRPr="00E8450A" w:rsidRDefault="006862AF" w:rsidP="00EC2071">
            <w:pPr>
              <w:ind w:left="851" w:hanging="851"/>
              <w:jc w:val="center"/>
              <w:rPr>
                <w:noProof/>
                <w:szCs w:val="24"/>
                <w:highlight w:val="lightGray"/>
              </w:rPr>
            </w:pPr>
            <w:r w:rsidRPr="00E8450A">
              <w:rPr>
                <w:noProof/>
                <w:highlight w:val="lightGray"/>
              </w:rPr>
              <w:t>Smernica 2008/50/ES</w:t>
            </w:r>
          </w:p>
        </w:tc>
        <w:tc>
          <w:tcPr>
            <w:tcW w:w="3104" w:type="dxa"/>
          </w:tcPr>
          <w:p w:rsidR="006862AF" w:rsidRPr="00E8450A" w:rsidRDefault="006862AF" w:rsidP="00EC2071">
            <w:pPr>
              <w:ind w:left="851" w:hanging="851"/>
              <w:jc w:val="center"/>
              <w:rPr>
                <w:noProof/>
                <w:szCs w:val="24"/>
                <w:highlight w:val="lightGray"/>
              </w:rPr>
            </w:pPr>
            <w:r w:rsidRPr="00E8450A">
              <w:rPr>
                <w:noProof/>
                <w:highlight w:val="lightGray"/>
              </w:rPr>
              <w:t>Smernica 2004/107/ES</w:t>
            </w:r>
          </w:p>
        </w:tc>
      </w:tr>
      <w:tr w:rsidR="006862AF" w:rsidRPr="00E8450A" w:rsidTr="00EC2071">
        <w:trPr>
          <w:trHeight w:val="425"/>
        </w:trPr>
        <w:tc>
          <w:tcPr>
            <w:tcW w:w="3084" w:type="dxa"/>
          </w:tcPr>
          <w:p w:rsidR="006862AF" w:rsidRPr="00E8450A" w:rsidRDefault="006862AF" w:rsidP="00EC2071">
            <w:pPr>
              <w:ind w:left="851" w:hanging="851"/>
              <w:rPr>
                <w:noProof/>
                <w:szCs w:val="24"/>
                <w:highlight w:val="lightGray"/>
              </w:rPr>
            </w:pPr>
            <w:r w:rsidRPr="00E8450A">
              <w:rPr>
                <w:noProof/>
                <w:highlight w:val="lightGray"/>
              </w:rPr>
              <w:t>článok 1</w:t>
            </w:r>
          </w:p>
        </w:tc>
        <w:tc>
          <w:tcPr>
            <w:tcW w:w="3098" w:type="dxa"/>
          </w:tcPr>
          <w:p w:rsidR="006862AF" w:rsidRPr="00E8450A" w:rsidRDefault="006862AF" w:rsidP="00EC2071">
            <w:pPr>
              <w:ind w:left="851" w:hanging="851"/>
              <w:jc w:val="center"/>
              <w:rPr>
                <w:noProof/>
                <w:szCs w:val="24"/>
                <w:highlight w:val="lightGray"/>
              </w:rPr>
            </w:pPr>
            <w:r w:rsidRPr="00E8450A">
              <w:rPr>
                <w:rStyle w:val="Bodytext28pt"/>
                <w:noProof/>
                <w:highlight w:val="lightGray"/>
              </w:rPr>
              <w:t>—</w:t>
            </w:r>
          </w:p>
        </w:tc>
        <w:tc>
          <w:tcPr>
            <w:tcW w:w="3104" w:type="dxa"/>
          </w:tcPr>
          <w:p w:rsidR="006862AF" w:rsidRPr="00E8450A" w:rsidRDefault="006862AF" w:rsidP="00EC2071">
            <w:pPr>
              <w:ind w:left="851" w:hanging="851"/>
              <w:jc w:val="center"/>
              <w:rPr>
                <w:noProof/>
                <w:szCs w:val="24"/>
                <w:highlight w:val="lightGray"/>
              </w:rPr>
            </w:pPr>
            <w:r w:rsidRPr="00E8450A">
              <w:rPr>
                <w:rStyle w:val="Bodytext28pt"/>
                <w:noProof/>
                <w:highlight w:val="lightGray"/>
              </w:rPr>
              <w:t>—</w:t>
            </w:r>
          </w:p>
        </w:tc>
      </w:tr>
      <w:tr w:rsidR="006862AF" w:rsidRPr="00E8450A" w:rsidTr="00EC2071">
        <w:trPr>
          <w:trHeight w:val="425"/>
        </w:trPr>
        <w:tc>
          <w:tcPr>
            <w:tcW w:w="3084" w:type="dxa"/>
          </w:tcPr>
          <w:p w:rsidR="006862AF" w:rsidRPr="00E8450A" w:rsidRDefault="006862AF" w:rsidP="00EC2071">
            <w:pPr>
              <w:ind w:left="851" w:hanging="851"/>
              <w:rPr>
                <w:noProof/>
                <w:szCs w:val="24"/>
                <w:highlight w:val="lightGray"/>
              </w:rPr>
            </w:pPr>
            <w:r w:rsidRPr="00E8450A">
              <w:rPr>
                <w:noProof/>
                <w:highlight w:val="lightGray"/>
              </w:rPr>
              <w:t>článok 2</w:t>
            </w:r>
          </w:p>
        </w:tc>
        <w:tc>
          <w:tcPr>
            <w:tcW w:w="3098" w:type="dxa"/>
          </w:tcPr>
          <w:p w:rsidR="006862AF" w:rsidRPr="00E8450A" w:rsidRDefault="006862AF" w:rsidP="00EC2071">
            <w:pPr>
              <w:ind w:left="851" w:hanging="851"/>
              <w:rPr>
                <w:noProof/>
                <w:szCs w:val="24"/>
                <w:highlight w:val="lightGray"/>
              </w:rPr>
            </w:pPr>
            <w:r w:rsidRPr="00E8450A">
              <w:rPr>
                <w:noProof/>
                <w:highlight w:val="lightGray"/>
              </w:rPr>
              <w:t>článok 1</w:t>
            </w:r>
          </w:p>
        </w:tc>
        <w:tc>
          <w:tcPr>
            <w:tcW w:w="3104" w:type="dxa"/>
          </w:tcPr>
          <w:p w:rsidR="006862AF" w:rsidRPr="00E8450A" w:rsidRDefault="006862AF" w:rsidP="00EC2071">
            <w:pPr>
              <w:ind w:left="851" w:hanging="851"/>
              <w:rPr>
                <w:noProof/>
                <w:szCs w:val="24"/>
                <w:highlight w:val="lightGray"/>
              </w:rPr>
            </w:pPr>
            <w:r w:rsidRPr="00E8450A">
              <w:rPr>
                <w:noProof/>
                <w:highlight w:val="lightGray"/>
              </w:rPr>
              <w:t>článok 1</w:t>
            </w:r>
          </w:p>
        </w:tc>
      </w:tr>
      <w:tr w:rsidR="006862AF" w:rsidRPr="00E8450A" w:rsidTr="00EC2071">
        <w:trPr>
          <w:trHeight w:val="425"/>
        </w:trPr>
        <w:tc>
          <w:tcPr>
            <w:tcW w:w="3084" w:type="dxa"/>
          </w:tcPr>
          <w:p w:rsidR="006862AF" w:rsidRPr="00E8450A" w:rsidRDefault="006862AF" w:rsidP="00EC2071">
            <w:pPr>
              <w:ind w:left="851" w:hanging="851"/>
              <w:rPr>
                <w:noProof/>
                <w:szCs w:val="24"/>
                <w:highlight w:val="lightGray"/>
              </w:rPr>
            </w:pPr>
            <w:r w:rsidRPr="00E8450A">
              <w:rPr>
                <w:noProof/>
                <w:highlight w:val="lightGray"/>
              </w:rPr>
              <w:t>článok 3</w:t>
            </w:r>
          </w:p>
        </w:tc>
        <w:tc>
          <w:tcPr>
            <w:tcW w:w="3098" w:type="dxa"/>
          </w:tcPr>
          <w:p w:rsidR="006862AF" w:rsidRPr="00E8450A" w:rsidRDefault="006862AF" w:rsidP="00EC2071">
            <w:pPr>
              <w:ind w:left="851" w:hanging="851"/>
              <w:rPr>
                <w:noProof/>
                <w:szCs w:val="24"/>
                <w:highlight w:val="lightGray"/>
              </w:rPr>
            </w:pPr>
            <w:r w:rsidRPr="00E8450A">
              <w:rPr>
                <w:noProof/>
                <w:highlight w:val="lightGray"/>
              </w:rPr>
              <w:t>článok 32</w:t>
            </w:r>
          </w:p>
        </w:tc>
        <w:tc>
          <w:tcPr>
            <w:tcW w:w="3104" w:type="dxa"/>
          </w:tcPr>
          <w:p w:rsidR="006862AF" w:rsidRPr="00E8450A" w:rsidRDefault="006862AF" w:rsidP="00EC2071">
            <w:pPr>
              <w:ind w:left="851" w:hanging="851"/>
              <w:rPr>
                <w:noProof/>
                <w:szCs w:val="24"/>
                <w:highlight w:val="lightGray"/>
              </w:rPr>
            </w:pPr>
            <w:r w:rsidRPr="00E8450A">
              <w:rPr>
                <w:noProof/>
                <w:highlight w:val="lightGray"/>
              </w:rPr>
              <w:t>článok 8</w:t>
            </w:r>
          </w:p>
        </w:tc>
      </w:tr>
      <w:tr w:rsidR="006862AF" w:rsidRPr="00E8450A" w:rsidTr="00EC2071">
        <w:trPr>
          <w:trHeight w:val="425"/>
        </w:trPr>
        <w:tc>
          <w:tcPr>
            <w:tcW w:w="3084" w:type="dxa"/>
          </w:tcPr>
          <w:p w:rsidR="006862AF" w:rsidRPr="00E8450A" w:rsidRDefault="006862AF" w:rsidP="00EC2071">
            <w:pPr>
              <w:ind w:left="851" w:hanging="851"/>
              <w:rPr>
                <w:noProof/>
                <w:szCs w:val="24"/>
                <w:highlight w:val="lightGray"/>
              </w:rPr>
            </w:pPr>
            <w:r w:rsidRPr="00E8450A">
              <w:rPr>
                <w:noProof/>
                <w:highlight w:val="lightGray"/>
              </w:rPr>
              <w:t>článok 4</w:t>
            </w:r>
          </w:p>
        </w:tc>
        <w:tc>
          <w:tcPr>
            <w:tcW w:w="3098" w:type="dxa"/>
          </w:tcPr>
          <w:p w:rsidR="006862AF" w:rsidRPr="00E8450A" w:rsidRDefault="006862AF" w:rsidP="00EC2071">
            <w:pPr>
              <w:ind w:left="851" w:hanging="851"/>
              <w:rPr>
                <w:noProof/>
                <w:szCs w:val="24"/>
                <w:highlight w:val="lightGray"/>
              </w:rPr>
            </w:pPr>
            <w:r w:rsidRPr="00E8450A">
              <w:rPr>
                <w:noProof/>
                <w:highlight w:val="lightGray"/>
              </w:rPr>
              <w:t>článok 2</w:t>
            </w:r>
          </w:p>
        </w:tc>
        <w:tc>
          <w:tcPr>
            <w:tcW w:w="3104" w:type="dxa"/>
          </w:tcPr>
          <w:p w:rsidR="006862AF" w:rsidRPr="00E8450A" w:rsidRDefault="006862AF" w:rsidP="00EC2071">
            <w:pPr>
              <w:ind w:left="851" w:hanging="851"/>
              <w:rPr>
                <w:noProof/>
                <w:szCs w:val="24"/>
                <w:highlight w:val="lightGray"/>
              </w:rPr>
            </w:pPr>
            <w:r w:rsidRPr="00E8450A">
              <w:rPr>
                <w:noProof/>
                <w:highlight w:val="lightGray"/>
              </w:rPr>
              <w:t>článok 2</w:t>
            </w:r>
          </w:p>
        </w:tc>
      </w:tr>
      <w:tr w:rsidR="006862AF" w:rsidRPr="00E8450A" w:rsidTr="00EC2071">
        <w:trPr>
          <w:trHeight w:val="425"/>
        </w:trPr>
        <w:tc>
          <w:tcPr>
            <w:tcW w:w="3084" w:type="dxa"/>
          </w:tcPr>
          <w:p w:rsidR="006862AF" w:rsidRPr="00E8450A" w:rsidRDefault="006862AF" w:rsidP="00EC2071">
            <w:pPr>
              <w:ind w:left="851" w:hanging="851"/>
              <w:rPr>
                <w:noProof/>
                <w:szCs w:val="24"/>
                <w:highlight w:val="lightGray"/>
              </w:rPr>
            </w:pPr>
            <w:r w:rsidRPr="00E8450A">
              <w:rPr>
                <w:noProof/>
                <w:highlight w:val="lightGray"/>
              </w:rPr>
              <w:t>článok 5</w:t>
            </w:r>
          </w:p>
        </w:tc>
        <w:tc>
          <w:tcPr>
            <w:tcW w:w="3098" w:type="dxa"/>
          </w:tcPr>
          <w:p w:rsidR="006862AF" w:rsidRPr="00E8450A" w:rsidRDefault="006862AF" w:rsidP="00EC2071">
            <w:pPr>
              <w:ind w:left="851" w:hanging="851"/>
              <w:rPr>
                <w:noProof/>
                <w:szCs w:val="24"/>
                <w:highlight w:val="lightGray"/>
              </w:rPr>
            </w:pPr>
            <w:r w:rsidRPr="00E8450A">
              <w:rPr>
                <w:noProof/>
                <w:highlight w:val="lightGray"/>
              </w:rPr>
              <w:t>článok 3</w:t>
            </w:r>
          </w:p>
        </w:tc>
        <w:tc>
          <w:tcPr>
            <w:tcW w:w="3104" w:type="dxa"/>
          </w:tcPr>
          <w:p w:rsidR="006862AF" w:rsidRPr="00E8450A" w:rsidRDefault="006862AF" w:rsidP="00EC2071">
            <w:pPr>
              <w:ind w:left="851" w:hanging="851"/>
              <w:jc w:val="center"/>
              <w:rPr>
                <w:noProof/>
                <w:szCs w:val="24"/>
                <w:highlight w:val="lightGray"/>
              </w:rPr>
            </w:pPr>
            <w:r w:rsidRPr="00E8450A">
              <w:rPr>
                <w:rStyle w:val="Bodytext28pt"/>
                <w:noProof/>
                <w:highlight w:val="lightGray"/>
              </w:rPr>
              <w:t>—</w:t>
            </w:r>
          </w:p>
        </w:tc>
      </w:tr>
      <w:tr w:rsidR="006862AF" w:rsidRPr="00E8450A" w:rsidTr="00EC2071">
        <w:trPr>
          <w:trHeight w:val="425"/>
        </w:trPr>
        <w:tc>
          <w:tcPr>
            <w:tcW w:w="3084" w:type="dxa"/>
          </w:tcPr>
          <w:p w:rsidR="006862AF" w:rsidRPr="00E8450A" w:rsidRDefault="006862AF" w:rsidP="00EC2071">
            <w:pPr>
              <w:ind w:left="851" w:hanging="851"/>
              <w:rPr>
                <w:noProof/>
                <w:szCs w:val="24"/>
                <w:highlight w:val="lightGray"/>
              </w:rPr>
            </w:pPr>
            <w:r w:rsidRPr="00E8450A">
              <w:rPr>
                <w:noProof/>
                <w:highlight w:val="lightGray"/>
              </w:rPr>
              <w:t>článok 6</w:t>
            </w:r>
          </w:p>
        </w:tc>
        <w:tc>
          <w:tcPr>
            <w:tcW w:w="3098" w:type="dxa"/>
          </w:tcPr>
          <w:p w:rsidR="006862AF" w:rsidRPr="00E8450A" w:rsidRDefault="006862AF" w:rsidP="00EC2071">
            <w:pPr>
              <w:ind w:left="851" w:hanging="851"/>
              <w:rPr>
                <w:noProof/>
                <w:szCs w:val="24"/>
                <w:highlight w:val="lightGray"/>
              </w:rPr>
            </w:pPr>
            <w:r w:rsidRPr="00E8450A">
              <w:rPr>
                <w:noProof/>
                <w:highlight w:val="lightGray"/>
              </w:rPr>
              <w:t>článok 4</w:t>
            </w:r>
          </w:p>
        </w:tc>
        <w:tc>
          <w:tcPr>
            <w:tcW w:w="3104" w:type="dxa"/>
          </w:tcPr>
          <w:p w:rsidR="006862AF" w:rsidRPr="00E8450A" w:rsidRDefault="006862AF" w:rsidP="00EC2071">
            <w:pPr>
              <w:ind w:left="851" w:hanging="851"/>
              <w:rPr>
                <w:rStyle w:val="Bodytext28pt"/>
                <w:noProof/>
                <w:szCs w:val="24"/>
                <w:highlight w:val="lightGray"/>
              </w:rPr>
            </w:pPr>
            <w:r w:rsidRPr="00E8450A">
              <w:rPr>
                <w:noProof/>
                <w:highlight w:val="lightGray"/>
              </w:rPr>
              <w:t>článok 4 ods. 1</w:t>
            </w:r>
          </w:p>
        </w:tc>
      </w:tr>
      <w:tr w:rsidR="006862AF" w:rsidRPr="00E8450A" w:rsidTr="00EC2071">
        <w:trPr>
          <w:trHeight w:val="425"/>
        </w:trPr>
        <w:tc>
          <w:tcPr>
            <w:tcW w:w="3084" w:type="dxa"/>
          </w:tcPr>
          <w:p w:rsidR="006862AF" w:rsidRPr="00E8450A" w:rsidRDefault="006862AF" w:rsidP="00EC2071">
            <w:pPr>
              <w:ind w:left="851" w:hanging="851"/>
              <w:rPr>
                <w:noProof/>
                <w:szCs w:val="24"/>
                <w:highlight w:val="lightGray"/>
              </w:rPr>
            </w:pPr>
            <w:r w:rsidRPr="00E8450A">
              <w:rPr>
                <w:noProof/>
                <w:highlight w:val="lightGray"/>
              </w:rPr>
              <w:t>článok 7</w:t>
            </w:r>
          </w:p>
        </w:tc>
        <w:tc>
          <w:tcPr>
            <w:tcW w:w="3098" w:type="dxa"/>
          </w:tcPr>
          <w:p w:rsidR="006862AF" w:rsidRPr="00E8450A" w:rsidRDefault="006862AF" w:rsidP="00EC2071">
            <w:pPr>
              <w:ind w:left="851" w:hanging="851"/>
              <w:rPr>
                <w:noProof/>
                <w:szCs w:val="24"/>
                <w:highlight w:val="lightGray"/>
              </w:rPr>
            </w:pPr>
            <w:r w:rsidRPr="00E8450A">
              <w:rPr>
                <w:noProof/>
                <w:highlight w:val="lightGray"/>
              </w:rPr>
              <w:t>článok 5 a článok 9 ods. 2</w:t>
            </w:r>
          </w:p>
        </w:tc>
        <w:tc>
          <w:tcPr>
            <w:tcW w:w="3104" w:type="dxa"/>
          </w:tcPr>
          <w:p w:rsidR="006862AF" w:rsidRPr="00E8450A" w:rsidRDefault="006862AF" w:rsidP="00EC2071">
            <w:pPr>
              <w:ind w:left="851" w:hanging="851"/>
              <w:rPr>
                <w:rStyle w:val="Bodytext28pt"/>
                <w:noProof/>
                <w:szCs w:val="24"/>
                <w:highlight w:val="lightGray"/>
              </w:rPr>
            </w:pPr>
            <w:r w:rsidRPr="00E8450A">
              <w:rPr>
                <w:noProof/>
                <w:highlight w:val="lightGray"/>
              </w:rPr>
              <w:t>článok 4 ods. 2, 3 a 6</w:t>
            </w:r>
          </w:p>
        </w:tc>
      </w:tr>
      <w:tr w:rsidR="006862AF" w:rsidRPr="00E8450A" w:rsidTr="00EC2071">
        <w:trPr>
          <w:trHeight w:val="425"/>
        </w:trPr>
        <w:tc>
          <w:tcPr>
            <w:tcW w:w="3084" w:type="dxa"/>
          </w:tcPr>
          <w:p w:rsidR="006862AF" w:rsidRPr="00E8450A" w:rsidRDefault="006862AF" w:rsidP="00EC2071">
            <w:pPr>
              <w:ind w:left="851" w:hanging="851"/>
              <w:rPr>
                <w:noProof/>
                <w:szCs w:val="24"/>
                <w:highlight w:val="lightGray"/>
              </w:rPr>
            </w:pPr>
            <w:r w:rsidRPr="00E8450A">
              <w:rPr>
                <w:noProof/>
                <w:highlight w:val="lightGray"/>
              </w:rPr>
              <w:t>článok 8</w:t>
            </w:r>
          </w:p>
        </w:tc>
        <w:tc>
          <w:tcPr>
            <w:tcW w:w="3098" w:type="dxa"/>
          </w:tcPr>
          <w:p w:rsidR="006862AF" w:rsidRPr="00E8450A" w:rsidRDefault="006862AF" w:rsidP="00EC2071">
            <w:pPr>
              <w:ind w:left="851" w:hanging="851"/>
              <w:rPr>
                <w:noProof/>
                <w:szCs w:val="24"/>
                <w:highlight w:val="lightGray"/>
              </w:rPr>
            </w:pPr>
            <w:r w:rsidRPr="00E8450A">
              <w:rPr>
                <w:noProof/>
                <w:highlight w:val="lightGray"/>
              </w:rPr>
              <w:t>článok 6 a článok 9 ods. 1</w:t>
            </w:r>
          </w:p>
        </w:tc>
        <w:tc>
          <w:tcPr>
            <w:tcW w:w="3104" w:type="dxa"/>
          </w:tcPr>
          <w:p w:rsidR="006862AF" w:rsidRPr="00E8450A" w:rsidRDefault="006862AF" w:rsidP="000665C0">
            <w:pPr>
              <w:rPr>
                <w:rStyle w:val="Bodytext28pt"/>
                <w:rFonts w:eastAsiaTheme="minorHAnsi"/>
                <w:noProof/>
                <w:szCs w:val="24"/>
                <w:highlight w:val="lightGray"/>
              </w:rPr>
            </w:pPr>
            <w:r w:rsidRPr="00E8450A">
              <w:rPr>
                <w:noProof/>
                <w:highlight w:val="lightGray"/>
              </w:rPr>
              <w:t>článok 4 ods. 1 až 5 a článok 4 ods. 8 a 10</w:t>
            </w:r>
          </w:p>
        </w:tc>
      </w:tr>
      <w:tr w:rsidR="006862AF" w:rsidRPr="00E8450A" w:rsidTr="00EC2071">
        <w:trPr>
          <w:trHeight w:val="425"/>
        </w:trPr>
        <w:tc>
          <w:tcPr>
            <w:tcW w:w="3084" w:type="dxa"/>
          </w:tcPr>
          <w:p w:rsidR="006862AF" w:rsidRPr="00E8450A" w:rsidRDefault="006862AF" w:rsidP="00EC2071">
            <w:pPr>
              <w:ind w:left="851" w:hanging="851"/>
              <w:rPr>
                <w:noProof/>
                <w:szCs w:val="24"/>
                <w:highlight w:val="lightGray"/>
              </w:rPr>
            </w:pPr>
            <w:r w:rsidRPr="00E8450A">
              <w:rPr>
                <w:noProof/>
                <w:highlight w:val="lightGray"/>
              </w:rPr>
              <w:t>článok 9</w:t>
            </w:r>
          </w:p>
        </w:tc>
        <w:tc>
          <w:tcPr>
            <w:tcW w:w="3098" w:type="dxa"/>
          </w:tcPr>
          <w:p w:rsidR="006862AF" w:rsidRPr="00E8450A" w:rsidRDefault="006862AF" w:rsidP="00EC2071">
            <w:pPr>
              <w:ind w:left="851" w:hanging="851"/>
              <w:rPr>
                <w:noProof/>
                <w:szCs w:val="24"/>
                <w:highlight w:val="lightGray"/>
              </w:rPr>
            </w:pPr>
            <w:r w:rsidRPr="00E8450A">
              <w:rPr>
                <w:noProof/>
                <w:highlight w:val="lightGray"/>
              </w:rPr>
              <w:t>články 7 a 10</w:t>
            </w:r>
          </w:p>
        </w:tc>
        <w:tc>
          <w:tcPr>
            <w:tcW w:w="3104" w:type="dxa"/>
          </w:tcPr>
          <w:p w:rsidR="006862AF" w:rsidRPr="00E8450A" w:rsidRDefault="006862AF" w:rsidP="00EC2071">
            <w:pPr>
              <w:ind w:left="851" w:hanging="851"/>
              <w:rPr>
                <w:rStyle w:val="Bodytext28pt"/>
                <w:noProof/>
                <w:szCs w:val="24"/>
                <w:highlight w:val="lightGray"/>
              </w:rPr>
            </w:pPr>
            <w:r w:rsidRPr="00E8450A">
              <w:rPr>
                <w:noProof/>
                <w:highlight w:val="lightGray"/>
              </w:rPr>
              <w:t>článok 4 ods. 7 a 11</w:t>
            </w:r>
          </w:p>
        </w:tc>
      </w:tr>
      <w:tr w:rsidR="006862AF" w:rsidRPr="00E8450A" w:rsidTr="00EC2071">
        <w:trPr>
          <w:trHeight w:val="425"/>
        </w:trPr>
        <w:tc>
          <w:tcPr>
            <w:tcW w:w="3084" w:type="dxa"/>
          </w:tcPr>
          <w:p w:rsidR="006862AF" w:rsidRPr="00E8450A" w:rsidRDefault="006862AF" w:rsidP="00EC2071">
            <w:pPr>
              <w:ind w:left="851" w:hanging="851"/>
              <w:rPr>
                <w:noProof/>
                <w:szCs w:val="24"/>
                <w:highlight w:val="lightGray"/>
              </w:rPr>
            </w:pPr>
            <w:r w:rsidRPr="00E8450A">
              <w:rPr>
                <w:noProof/>
                <w:highlight w:val="lightGray"/>
              </w:rPr>
              <w:t>článok 10</w:t>
            </w:r>
          </w:p>
        </w:tc>
        <w:tc>
          <w:tcPr>
            <w:tcW w:w="3098" w:type="dxa"/>
          </w:tcPr>
          <w:p w:rsidR="006862AF" w:rsidRPr="00E8450A" w:rsidRDefault="006862AF" w:rsidP="00EC2071">
            <w:pPr>
              <w:ind w:left="851" w:hanging="851"/>
              <w:jc w:val="center"/>
              <w:rPr>
                <w:noProof/>
                <w:szCs w:val="24"/>
                <w:highlight w:val="lightGray"/>
              </w:rPr>
            </w:pPr>
            <w:r w:rsidRPr="00E8450A">
              <w:rPr>
                <w:rStyle w:val="Bodytext28pt"/>
                <w:noProof/>
                <w:highlight w:val="lightGray"/>
              </w:rPr>
              <w:t>—</w:t>
            </w:r>
          </w:p>
        </w:tc>
        <w:tc>
          <w:tcPr>
            <w:tcW w:w="3104" w:type="dxa"/>
          </w:tcPr>
          <w:p w:rsidR="006862AF" w:rsidRPr="00E8450A" w:rsidRDefault="006862AF" w:rsidP="00EC2071">
            <w:pPr>
              <w:ind w:left="851" w:hanging="851"/>
              <w:rPr>
                <w:rStyle w:val="Bodytext28pt"/>
                <w:rFonts w:eastAsiaTheme="minorHAnsi"/>
                <w:noProof/>
                <w:szCs w:val="24"/>
                <w:highlight w:val="lightGray"/>
              </w:rPr>
            </w:pPr>
            <w:r w:rsidRPr="00E8450A">
              <w:rPr>
                <w:noProof/>
                <w:highlight w:val="lightGray"/>
              </w:rPr>
              <w:t xml:space="preserve"> článok 4 ods. 9</w:t>
            </w:r>
          </w:p>
        </w:tc>
      </w:tr>
      <w:tr w:rsidR="006862AF" w:rsidRPr="00E8450A" w:rsidTr="00EC2071">
        <w:trPr>
          <w:trHeight w:val="425"/>
        </w:trPr>
        <w:tc>
          <w:tcPr>
            <w:tcW w:w="3084" w:type="dxa"/>
          </w:tcPr>
          <w:p w:rsidR="006862AF" w:rsidRPr="00E8450A" w:rsidRDefault="006862AF" w:rsidP="00EC2071">
            <w:pPr>
              <w:ind w:left="851" w:hanging="851"/>
              <w:rPr>
                <w:noProof/>
                <w:szCs w:val="24"/>
                <w:highlight w:val="lightGray"/>
              </w:rPr>
            </w:pPr>
            <w:r w:rsidRPr="00E8450A">
              <w:rPr>
                <w:noProof/>
                <w:highlight w:val="lightGray"/>
              </w:rPr>
              <w:t>článok 11</w:t>
            </w:r>
          </w:p>
        </w:tc>
        <w:tc>
          <w:tcPr>
            <w:tcW w:w="3098" w:type="dxa"/>
          </w:tcPr>
          <w:p w:rsidR="006862AF" w:rsidRPr="00E8450A" w:rsidRDefault="006862AF" w:rsidP="00EC2071">
            <w:pPr>
              <w:ind w:left="851" w:hanging="851"/>
              <w:rPr>
                <w:noProof/>
                <w:szCs w:val="24"/>
                <w:highlight w:val="lightGray"/>
              </w:rPr>
            </w:pPr>
            <w:r w:rsidRPr="00E8450A">
              <w:rPr>
                <w:noProof/>
                <w:highlight w:val="lightGray"/>
              </w:rPr>
              <w:t>články 8 a 11</w:t>
            </w:r>
          </w:p>
        </w:tc>
        <w:tc>
          <w:tcPr>
            <w:tcW w:w="3104" w:type="dxa"/>
          </w:tcPr>
          <w:p w:rsidR="006862AF" w:rsidRPr="00E8450A" w:rsidRDefault="006862AF" w:rsidP="00EC2071">
            <w:pPr>
              <w:ind w:left="851" w:hanging="851"/>
              <w:rPr>
                <w:rStyle w:val="Bodytext28pt"/>
                <w:noProof/>
                <w:szCs w:val="24"/>
                <w:highlight w:val="lightGray"/>
              </w:rPr>
            </w:pPr>
            <w:r w:rsidRPr="00E8450A">
              <w:rPr>
                <w:noProof/>
                <w:highlight w:val="lightGray"/>
              </w:rPr>
              <w:t>článok 4 ods. 12 a 13</w:t>
            </w:r>
          </w:p>
        </w:tc>
      </w:tr>
      <w:tr w:rsidR="006862AF" w:rsidRPr="00E8450A" w:rsidTr="00EC2071">
        <w:trPr>
          <w:trHeight w:val="425"/>
        </w:trPr>
        <w:tc>
          <w:tcPr>
            <w:tcW w:w="3084" w:type="dxa"/>
          </w:tcPr>
          <w:p w:rsidR="006862AF" w:rsidRPr="00E8450A" w:rsidRDefault="006862AF" w:rsidP="00EC2071">
            <w:pPr>
              <w:ind w:left="851" w:hanging="851"/>
              <w:rPr>
                <w:noProof/>
                <w:szCs w:val="24"/>
                <w:highlight w:val="lightGray"/>
              </w:rPr>
            </w:pPr>
            <w:r w:rsidRPr="00E8450A">
              <w:rPr>
                <w:noProof/>
                <w:highlight w:val="lightGray"/>
              </w:rPr>
              <w:t>článok 12</w:t>
            </w:r>
          </w:p>
        </w:tc>
        <w:tc>
          <w:tcPr>
            <w:tcW w:w="3098" w:type="dxa"/>
          </w:tcPr>
          <w:p w:rsidR="006862AF" w:rsidRPr="00E8450A" w:rsidRDefault="006862AF" w:rsidP="000665C0">
            <w:pPr>
              <w:rPr>
                <w:noProof/>
                <w:szCs w:val="24"/>
                <w:highlight w:val="lightGray"/>
              </w:rPr>
            </w:pPr>
            <w:r w:rsidRPr="00E8450A">
              <w:rPr>
                <w:noProof/>
                <w:highlight w:val="lightGray"/>
              </w:rPr>
              <w:t>článok 12, článok 17 ods. 1 a 3 a článok 18</w:t>
            </w:r>
          </w:p>
        </w:tc>
        <w:tc>
          <w:tcPr>
            <w:tcW w:w="3104" w:type="dxa"/>
          </w:tcPr>
          <w:p w:rsidR="006862AF" w:rsidRPr="00E8450A" w:rsidRDefault="006862AF" w:rsidP="00EC2071">
            <w:pPr>
              <w:ind w:left="851" w:hanging="851"/>
              <w:rPr>
                <w:rStyle w:val="Bodytext28pt"/>
                <w:noProof/>
                <w:szCs w:val="24"/>
                <w:highlight w:val="lightGray"/>
              </w:rPr>
            </w:pPr>
            <w:r w:rsidRPr="00E8450A">
              <w:rPr>
                <w:noProof/>
                <w:highlight w:val="lightGray"/>
              </w:rPr>
              <w:t>článok 3 ods. 2</w:t>
            </w:r>
          </w:p>
        </w:tc>
      </w:tr>
      <w:tr w:rsidR="006862AF" w:rsidRPr="00E8450A" w:rsidTr="00EC2071">
        <w:trPr>
          <w:trHeight w:val="425"/>
        </w:trPr>
        <w:tc>
          <w:tcPr>
            <w:tcW w:w="3084" w:type="dxa"/>
          </w:tcPr>
          <w:p w:rsidR="006862AF" w:rsidRPr="00E8450A" w:rsidRDefault="006862AF" w:rsidP="00EC2071">
            <w:pPr>
              <w:ind w:left="851" w:hanging="851"/>
              <w:rPr>
                <w:noProof/>
                <w:szCs w:val="24"/>
                <w:highlight w:val="lightGray"/>
              </w:rPr>
            </w:pPr>
            <w:r w:rsidRPr="00E8450A">
              <w:rPr>
                <w:noProof/>
                <w:highlight w:val="lightGray"/>
              </w:rPr>
              <w:t>článok 13</w:t>
            </w:r>
          </w:p>
        </w:tc>
        <w:tc>
          <w:tcPr>
            <w:tcW w:w="3098" w:type="dxa"/>
          </w:tcPr>
          <w:p w:rsidR="006862AF" w:rsidRPr="00E8450A" w:rsidRDefault="006862AF" w:rsidP="00EC2071">
            <w:pPr>
              <w:ind w:left="851" w:hanging="851"/>
              <w:rPr>
                <w:noProof/>
                <w:szCs w:val="24"/>
                <w:highlight w:val="lightGray"/>
              </w:rPr>
            </w:pPr>
            <w:r w:rsidRPr="00E8450A">
              <w:rPr>
                <w:noProof/>
                <w:highlight w:val="lightGray"/>
              </w:rPr>
              <w:t xml:space="preserve">články 13 a 15 a článok 17 ods. 1 </w:t>
            </w:r>
          </w:p>
        </w:tc>
        <w:tc>
          <w:tcPr>
            <w:tcW w:w="3104" w:type="dxa"/>
          </w:tcPr>
          <w:p w:rsidR="006862AF" w:rsidRPr="00E8450A" w:rsidRDefault="006862AF" w:rsidP="00EC2071">
            <w:pPr>
              <w:ind w:left="851" w:hanging="851"/>
              <w:rPr>
                <w:rStyle w:val="Bodytext28pt"/>
                <w:noProof/>
                <w:szCs w:val="24"/>
                <w:highlight w:val="lightGray"/>
              </w:rPr>
            </w:pPr>
            <w:r w:rsidRPr="00E8450A">
              <w:rPr>
                <w:noProof/>
                <w:highlight w:val="lightGray"/>
              </w:rPr>
              <w:t>článok 3 ods. 1 a 3</w:t>
            </w:r>
          </w:p>
        </w:tc>
      </w:tr>
      <w:tr w:rsidR="006862AF" w:rsidRPr="00E8450A" w:rsidTr="00EC2071">
        <w:trPr>
          <w:trHeight w:val="425"/>
        </w:trPr>
        <w:tc>
          <w:tcPr>
            <w:tcW w:w="3084" w:type="dxa"/>
          </w:tcPr>
          <w:p w:rsidR="006862AF" w:rsidRPr="00E8450A" w:rsidRDefault="006862AF" w:rsidP="00EC2071">
            <w:pPr>
              <w:ind w:left="851" w:hanging="851"/>
              <w:rPr>
                <w:noProof/>
                <w:szCs w:val="24"/>
                <w:highlight w:val="lightGray"/>
              </w:rPr>
            </w:pPr>
            <w:r w:rsidRPr="00E8450A">
              <w:rPr>
                <w:noProof/>
                <w:highlight w:val="lightGray"/>
              </w:rPr>
              <w:t>článok 14</w:t>
            </w:r>
          </w:p>
        </w:tc>
        <w:tc>
          <w:tcPr>
            <w:tcW w:w="3098" w:type="dxa"/>
          </w:tcPr>
          <w:p w:rsidR="006862AF" w:rsidRPr="00E8450A" w:rsidRDefault="006862AF" w:rsidP="00EC2071">
            <w:pPr>
              <w:ind w:left="851" w:hanging="851"/>
              <w:rPr>
                <w:noProof/>
                <w:szCs w:val="24"/>
                <w:highlight w:val="lightGray"/>
              </w:rPr>
            </w:pPr>
            <w:r w:rsidRPr="00E8450A">
              <w:rPr>
                <w:noProof/>
                <w:highlight w:val="lightGray"/>
              </w:rPr>
              <w:t>článok 14</w:t>
            </w:r>
          </w:p>
        </w:tc>
        <w:tc>
          <w:tcPr>
            <w:tcW w:w="3104" w:type="dxa"/>
          </w:tcPr>
          <w:p w:rsidR="006862AF" w:rsidRPr="00E8450A" w:rsidRDefault="006862AF" w:rsidP="00EC2071">
            <w:pPr>
              <w:ind w:left="851" w:hanging="851"/>
              <w:jc w:val="center"/>
              <w:rPr>
                <w:rStyle w:val="Bodytext28pt"/>
                <w:noProof/>
                <w:szCs w:val="24"/>
                <w:highlight w:val="lightGray"/>
              </w:rPr>
            </w:pPr>
            <w:r w:rsidRPr="00E8450A">
              <w:rPr>
                <w:rStyle w:val="Bodytext28pt"/>
                <w:noProof/>
                <w:highlight w:val="lightGray"/>
              </w:rPr>
              <w:t>—</w:t>
            </w:r>
          </w:p>
        </w:tc>
      </w:tr>
      <w:tr w:rsidR="006862AF" w:rsidRPr="00E8450A" w:rsidTr="00EC2071">
        <w:trPr>
          <w:trHeight w:val="425"/>
        </w:trPr>
        <w:tc>
          <w:tcPr>
            <w:tcW w:w="3084" w:type="dxa"/>
          </w:tcPr>
          <w:p w:rsidR="006862AF" w:rsidRPr="00E8450A" w:rsidRDefault="006862AF" w:rsidP="00EC2071">
            <w:pPr>
              <w:ind w:left="851" w:hanging="851"/>
              <w:rPr>
                <w:noProof/>
                <w:szCs w:val="24"/>
                <w:highlight w:val="lightGray"/>
              </w:rPr>
            </w:pPr>
            <w:r w:rsidRPr="00E8450A">
              <w:rPr>
                <w:noProof/>
                <w:highlight w:val="lightGray"/>
              </w:rPr>
              <w:t>článok 15</w:t>
            </w:r>
          </w:p>
        </w:tc>
        <w:tc>
          <w:tcPr>
            <w:tcW w:w="3098" w:type="dxa"/>
          </w:tcPr>
          <w:p w:rsidR="006862AF" w:rsidRPr="00E8450A" w:rsidRDefault="006862AF" w:rsidP="00EC2071">
            <w:pPr>
              <w:ind w:left="851" w:hanging="851"/>
              <w:rPr>
                <w:noProof/>
                <w:szCs w:val="24"/>
                <w:highlight w:val="lightGray"/>
              </w:rPr>
            </w:pPr>
            <w:r w:rsidRPr="00E8450A">
              <w:rPr>
                <w:noProof/>
                <w:highlight w:val="lightGray"/>
              </w:rPr>
              <w:t>článok 19</w:t>
            </w:r>
          </w:p>
        </w:tc>
        <w:tc>
          <w:tcPr>
            <w:tcW w:w="3104" w:type="dxa"/>
          </w:tcPr>
          <w:p w:rsidR="006862AF" w:rsidRPr="00E8450A" w:rsidRDefault="006862AF" w:rsidP="00EC2071">
            <w:pPr>
              <w:ind w:left="851" w:hanging="851"/>
              <w:jc w:val="center"/>
              <w:rPr>
                <w:rStyle w:val="Bodytext28pt"/>
                <w:noProof/>
                <w:szCs w:val="24"/>
                <w:highlight w:val="lightGray"/>
              </w:rPr>
            </w:pPr>
            <w:r w:rsidRPr="00E8450A">
              <w:rPr>
                <w:rStyle w:val="Bodytext28pt"/>
                <w:noProof/>
                <w:highlight w:val="lightGray"/>
              </w:rPr>
              <w:t>—</w:t>
            </w:r>
          </w:p>
        </w:tc>
      </w:tr>
      <w:tr w:rsidR="006862AF" w:rsidRPr="00E8450A" w:rsidTr="00EC2071">
        <w:trPr>
          <w:trHeight w:val="425"/>
        </w:trPr>
        <w:tc>
          <w:tcPr>
            <w:tcW w:w="3084" w:type="dxa"/>
          </w:tcPr>
          <w:p w:rsidR="006862AF" w:rsidRPr="00E8450A" w:rsidRDefault="006862AF" w:rsidP="00EC2071">
            <w:pPr>
              <w:ind w:left="851" w:hanging="851"/>
              <w:rPr>
                <w:noProof/>
                <w:szCs w:val="24"/>
                <w:highlight w:val="lightGray"/>
              </w:rPr>
            </w:pPr>
            <w:r w:rsidRPr="00E8450A">
              <w:rPr>
                <w:noProof/>
                <w:highlight w:val="lightGray"/>
              </w:rPr>
              <w:t>článok 16</w:t>
            </w:r>
          </w:p>
        </w:tc>
        <w:tc>
          <w:tcPr>
            <w:tcW w:w="3098" w:type="dxa"/>
          </w:tcPr>
          <w:p w:rsidR="006862AF" w:rsidRPr="00E8450A" w:rsidRDefault="006862AF" w:rsidP="00EC2071">
            <w:pPr>
              <w:ind w:left="851" w:hanging="851"/>
              <w:rPr>
                <w:noProof/>
                <w:szCs w:val="24"/>
                <w:highlight w:val="lightGray"/>
              </w:rPr>
            </w:pPr>
            <w:r w:rsidRPr="00E8450A">
              <w:rPr>
                <w:noProof/>
                <w:highlight w:val="lightGray"/>
              </w:rPr>
              <w:t>článok 20</w:t>
            </w:r>
          </w:p>
        </w:tc>
        <w:tc>
          <w:tcPr>
            <w:tcW w:w="3104" w:type="dxa"/>
          </w:tcPr>
          <w:p w:rsidR="006862AF" w:rsidRPr="00E8450A" w:rsidRDefault="006862AF" w:rsidP="00EC2071">
            <w:pPr>
              <w:ind w:left="851" w:hanging="851"/>
              <w:jc w:val="center"/>
              <w:rPr>
                <w:rStyle w:val="Bodytext28pt"/>
                <w:noProof/>
                <w:szCs w:val="24"/>
                <w:highlight w:val="lightGray"/>
              </w:rPr>
            </w:pPr>
            <w:r w:rsidRPr="00E8450A">
              <w:rPr>
                <w:rStyle w:val="Bodytext28pt"/>
                <w:noProof/>
                <w:highlight w:val="lightGray"/>
              </w:rPr>
              <w:t>—</w:t>
            </w:r>
          </w:p>
        </w:tc>
      </w:tr>
      <w:tr w:rsidR="006862AF" w:rsidRPr="00E8450A" w:rsidTr="00EC2071">
        <w:trPr>
          <w:trHeight w:val="425"/>
        </w:trPr>
        <w:tc>
          <w:tcPr>
            <w:tcW w:w="3084" w:type="dxa"/>
          </w:tcPr>
          <w:p w:rsidR="006862AF" w:rsidRPr="00E8450A" w:rsidRDefault="006862AF" w:rsidP="00EC2071">
            <w:pPr>
              <w:ind w:left="851" w:hanging="851"/>
              <w:rPr>
                <w:noProof/>
                <w:szCs w:val="24"/>
                <w:highlight w:val="lightGray"/>
              </w:rPr>
            </w:pPr>
            <w:r w:rsidRPr="00E8450A">
              <w:rPr>
                <w:noProof/>
                <w:highlight w:val="lightGray"/>
              </w:rPr>
              <w:t>článok 17</w:t>
            </w:r>
          </w:p>
        </w:tc>
        <w:tc>
          <w:tcPr>
            <w:tcW w:w="3098" w:type="dxa"/>
          </w:tcPr>
          <w:p w:rsidR="006862AF" w:rsidRPr="00E8450A" w:rsidRDefault="006862AF" w:rsidP="00EC2071">
            <w:pPr>
              <w:ind w:left="851" w:hanging="851"/>
              <w:rPr>
                <w:noProof/>
                <w:szCs w:val="24"/>
                <w:highlight w:val="lightGray"/>
              </w:rPr>
            </w:pPr>
            <w:r w:rsidRPr="00E8450A">
              <w:rPr>
                <w:noProof/>
                <w:highlight w:val="lightGray"/>
              </w:rPr>
              <w:t>článok 21</w:t>
            </w:r>
          </w:p>
        </w:tc>
        <w:tc>
          <w:tcPr>
            <w:tcW w:w="3104" w:type="dxa"/>
          </w:tcPr>
          <w:p w:rsidR="006862AF" w:rsidRPr="00E8450A" w:rsidRDefault="006862AF" w:rsidP="00EC2071">
            <w:pPr>
              <w:ind w:left="851" w:hanging="851"/>
              <w:jc w:val="center"/>
              <w:rPr>
                <w:rStyle w:val="Bodytext28pt"/>
                <w:noProof/>
                <w:szCs w:val="24"/>
                <w:highlight w:val="lightGray"/>
              </w:rPr>
            </w:pPr>
            <w:r w:rsidRPr="00E8450A">
              <w:rPr>
                <w:rStyle w:val="Bodytext28pt"/>
                <w:noProof/>
                <w:highlight w:val="lightGray"/>
              </w:rPr>
              <w:t>—</w:t>
            </w:r>
          </w:p>
        </w:tc>
      </w:tr>
      <w:tr w:rsidR="006862AF" w:rsidRPr="00E8450A" w:rsidTr="00EC2071">
        <w:trPr>
          <w:trHeight w:val="425"/>
        </w:trPr>
        <w:tc>
          <w:tcPr>
            <w:tcW w:w="3084" w:type="dxa"/>
          </w:tcPr>
          <w:p w:rsidR="006862AF" w:rsidRPr="00E8450A" w:rsidRDefault="006862AF" w:rsidP="00EC2071">
            <w:pPr>
              <w:ind w:left="851" w:hanging="851"/>
              <w:rPr>
                <w:noProof/>
                <w:szCs w:val="24"/>
                <w:highlight w:val="lightGray"/>
              </w:rPr>
            </w:pPr>
            <w:r w:rsidRPr="00E8450A">
              <w:rPr>
                <w:noProof/>
                <w:highlight w:val="lightGray"/>
              </w:rPr>
              <w:t>článok 18</w:t>
            </w:r>
          </w:p>
        </w:tc>
        <w:tc>
          <w:tcPr>
            <w:tcW w:w="3098" w:type="dxa"/>
          </w:tcPr>
          <w:p w:rsidR="006862AF" w:rsidRPr="00E8450A" w:rsidRDefault="006862AF" w:rsidP="00EC2071">
            <w:pPr>
              <w:ind w:left="851" w:hanging="851"/>
              <w:rPr>
                <w:noProof/>
                <w:szCs w:val="24"/>
                <w:highlight w:val="lightGray"/>
              </w:rPr>
            </w:pPr>
            <w:r w:rsidRPr="00E8450A">
              <w:rPr>
                <w:noProof/>
                <w:highlight w:val="lightGray"/>
              </w:rPr>
              <w:t>článok 22</w:t>
            </w:r>
          </w:p>
        </w:tc>
        <w:tc>
          <w:tcPr>
            <w:tcW w:w="3104" w:type="dxa"/>
          </w:tcPr>
          <w:p w:rsidR="006862AF" w:rsidRPr="00E8450A" w:rsidRDefault="006862AF" w:rsidP="00EC2071">
            <w:pPr>
              <w:ind w:left="851" w:hanging="851"/>
              <w:jc w:val="center"/>
              <w:rPr>
                <w:rStyle w:val="Bodytext28pt"/>
                <w:noProof/>
                <w:szCs w:val="24"/>
                <w:highlight w:val="lightGray"/>
              </w:rPr>
            </w:pPr>
          </w:p>
        </w:tc>
      </w:tr>
      <w:tr w:rsidR="006862AF" w:rsidRPr="00E8450A" w:rsidTr="00EC2071">
        <w:trPr>
          <w:trHeight w:val="425"/>
        </w:trPr>
        <w:tc>
          <w:tcPr>
            <w:tcW w:w="3084" w:type="dxa"/>
          </w:tcPr>
          <w:p w:rsidR="006862AF" w:rsidRPr="00E8450A" w:rsidRDefault="006862AF" w:rsidP="00EC2071">
            <w:pPr>
              <w:ind w:left="851" w:hanging="851"/>
              <w:rPr>
                <w:noProof/>
                <w:szCs w:val="24"/>
                <w:highlight w:val="lightGray"/>
              </w:rPr>
            </w:pPr>
            <w:r w:rsidRPr="00E8450A">
              <w:rPr>
                <w:noProof/>
                <w:highlight w:val="lightGray"/>
              </w:rPr>
              <w:t>článok 19</w:t>
            </w:r>
          </w:p>
        </w:tc>
        <w:tc>
          <w:tcPr>
            <w:tcW w:w="3098" w:type="dxa"/>
          </w:tcPr>
          <w:p w:rsidR="006862AF" w:rsidRPr="00E8450A" w:rsidRDefault="006862AF" w:rsidP="00EC2071">
            <w:pPr>
              <w:ind w:left="851" w:hanging="851"/>
              <w:rPr>
                <w:noProof/>
                <w:szCs w:val="24"/>
                <w:highlight w:val="lightGray"/>
              </w:rPr>
            </w:pPr>
            <w:r w:rsidRPr="00E8450A">
              <w:rPr>
                <w:noProof/>
                <w:highlight w:val="lightGray"/>
              </w:rPr>
              <w:t>článok 17 ods. 2 a článok 23</w:t>
            </w:r>
          </w:p>
        </w:tc>
        <w:tc>
          <w:tcPr>
            <w:tcW w:w="3104" w:type="dxa"/>
          </w:tcPr>
          <w:p w:rsidR="006862AF" w:rsidRPr="00E8450A" w:rsidRDefault="006862AF" w:rsidP="00EC2071">
            <w:pPr>
              <w:ind w:left="851" w:hanging="851"/>
              <w:rPr>
                <w:rStyle w:val="Bodytext28pt"/>
                <w:rFonts w:eastAsiaTheme="minorHAnsi"/>
                <w:noProof/>
                <w:szCs w:val="24"/>
                <w:highlight w:val="lightGray"/>
              </w:rPr>
            </w:pPr>
            <w:r w:rsidRPr="00E8450A">
              <w:rPr>
                <w:noProof/>
                <w:highlight w:val="lightGray"/>
              </w:rPr>
              <w:t>článok 3 ods. 3</w:t>
            </w:r>
          </w:p>
        </w:tc>
      </w:tr>
      <w:tr w:rsidR="006862AF" w:rsidRPr="00E8450A" w:rsidTr="00EC2071">
        <w:trPr>
          <w:trHeight w:val="425"/>
        </w:trPr>
        <w:tc>
          <w:tcPr>
            <w:tcW w:w="3084" w:type="dxa"/>
          </w:tcPr>
          <w:p w:rsidR="006862AF" w:rsidRPr="00E8450A" w:rsidRDefault="006862AF" w:rsidP="00EC2071">
            <w:pPr>
              <w:ind w:left="851" w:hanging="851"/>
              <w:rPr>
                <w:noProof/>
                <w:szCs w:val="24"/>
                <w:highlight w:val="lightGray"/>
              </w:rPr>
            </w:pPr>
            <w:r w:rsidRPr="00E8450A">
              <w:rPr>
                <w:noProof/>
                <w:highlight w:val="lightGray"/>
              </w:rPr>
              <w:t>článok 20</w:t>
            </w:r>
          </w:p>
        </w:tc>
        <w:tc>
          <w:tcPr>
            <w:tcW w:w="3098" w:type="dxa"/>
          </w:tcPr>
          <w:p w:rsidR="006862AF" w:rsidRPr="00E8450A" w:rsidRDefault="006862AF" w:rsidP="00EC2071">
            <w:pPr>
              <w:ind w:left="851" w:hanging="851"/>
              <w:rPr>
                <w:noProof/>
                <w:szCs w:val="24"/>
                <w:highlight w:val="lightGray"/>
              </w:rPr>
            </w:pPr>
            <w:r w:rsidRPr="00E8450A">
              <w:rPr>
                <w:noProof/>
                <w:highlight w:val="lightGray"/>
              </w:rPr>
              <w:t>článok 24</w:t>
            </w:r>
          </w:p>
        </w:tc>
        <w:tc>
          <w:tcPr>
            <w:tcW w:w="3104" w:type="dxa"/>
          </w:tcPr>
          <w:p w:rsidR="006862AF" w:rsidRPr="00E8450A" w:rsidRDefault="006862AF" w:rsidP="00EC2071">
            <w:pPr>
              <w:ind w:left="851" w:hanging="851"/>
              <w:jc w:val="center"/>
              <w:rPr>
                <w:rStyle w:val="Bodytext28pt"/>
                <w:noProof/>
                <w:szCs w:val="24"/>
                <w:highlight w:val="lightGray"/>
              </w:rPr>
            </w:pPr>
            <w:r w:rsidRPr="00E8450A">
              <w:rPr>
                <w:rStyle w:val="Bodytext28pt"/>
                <w:noProof/>
                <w:highlight w:val="lightGray"/>
              </w:rPr>
              <w:t>—</w:t>
            </w:r>
          </w:p>
        </w:tc>
      </w:tr>
      <w:tr w:rsidR="006862AF" w:rsidRPr="00E8450A" w:rsidTr="00EC2071">
        <w:trPr>
          <w:trHeight w:val="425"/>
        </w:trPr>
        <w:tc>
          <w:tcPr>
            <w:tcW w:w="3084" w:type="dxa"/>
            <w:tcBorders>
              <w:bottom w:val="single" w:sz="4" w:space="0" w:color="auto"/>
            </w:tcBorders>
          </w:tcPr>
          <w:p w:rsidR="006862AF" w:rsidRPr="00E8450A" w:rsidRDefault="006862AF" w:rsidP="00EC2071">
            <w:pPr>
              <w:ind w:left="851" w:hanging="851"/>
              <w:rPr>
                <w:noProof/>
                <w:szCs w:val="24"/>
                <w:highlight w:val="lightGray"/>
              </w:rPr>
            </w:pPr>
            <w:r w:rsidRPr="00E8450A">
              <w:rPr>
                <w:noProof/>
                <w:highlight w:val="lightGray"/>
              </w:rPr>
              <w:t>článok 21</w:t>
            </w:r>
          </w:p>
        </w:tc>
        <w:tc>
          <w:tcPr>
            <w:tcW w:w="3098" w:type="dxa"/>
            <w:tcBorders>
              <w:bottom w:val="single" w:sz="4" w:space="0" w:color="auto"/>
            </w:tcBorders>
          </w:tcPr>
          <w:p w:rsidR="006862AF" w:rsidRPr="00E8450A" w:rsidRDefault="006862AF" w:rsidP="00EC2071">
            <w:pPr>
              <w:ind w:left="851" w:hanging="851"/>
              <w:rPr>
                <w:noProof/>
                <w:szCs w:val="24"/>
                <w:highlight w:val="lightGray"/>
              </w:rPr>
            </w:pPr>
            <w:r w:rsidRPr="00E8450A">
              <w:rPr>
                <w:noProof/>
                <w:highlight w:val="lightGray"/>
              </w:rPr>
              <w:t>článok 25</w:t>
            </w:r>
          </w:p>
        </w:tc>
        <w:tc>
          <w:tcPr>
            <w:tcW w:w="3104" w:type="dxa"/>
            <w:tcBorders>
              <w:bottom w:val="single" w:sz="4" w:space="0" w:color="auto"/>
            </w:tcBorders>
          </w:tcPr>
          <w:p w:rsidR="006862AF" w:rsidRPr="00E8450A" w:rsidRDefault="006862AF" w:rsidP="00EC2071">
            <w:pPr>
              <w:ind w:left="851" w:hanging="851"/>
              <w:jc w:val="center"/>
              <w:rPr>
                <w:rStyle w:val="Bodytext28pt"/>
                <w:noProof/>
                <w:szCs w:val="24"/>
                <w:highlight w:val="lightGray"/>
              </w:rPr>
            </w:pPr>
            <w:r w:rsidRPr="00E8450A">
              <w:rPr>
                <w:rStyle w:val="Bodytext28pt"/>
                <w:noProof/>
                <w:highlight w:val="lightGray"/>
              </w:rPr>
              <w:t>—</w:t>
            </w:r>
          </w:p>
        </w:tc>
      </w:tr>
      <w:tr w:rsidR="006862AF" w:rsidRPr="00E8450A" w:rsidTr="00EC2071">
        <w:tblPrEx>
          <w:tblBorders>
            <w:left w:val="single" w:sz="4" w:space="0" w:color="auto"/>
            <w:right w:val="single" w:sz="4" w:space="0" w:color="auto"/>
          </w:tblBorders>
        </w:tblPrEx>
        <w:trPr>
          <w:trHeight w:val="425"/>
        </w:trPr>
        <w:tc>
          <w:tcPr>
            <w:tcW w:w="3084" w:type="dxa"/>
            <w:tcBorders>
              <w:left w:val="nil"/>
            </w:tcBorders>
            <w:hideMark/>
          </w:tcPr>
          <w:p w:rsidR="006862AF" w:rsidRPr="00E8450A" w:rsidRDefault="006862AF" w:rsidP="00EC2071">
            <w:pPr>
              <w:ind w:left="851" w:hanging="851"/>
              <w:rPr>
                <w:noProof/>
                <w:szCs w:val="24"/>
                <w:highlight w:val="lightGray"/>
              </w:rPr>
            </w:pPr>
            <w:r w:rsidRPr="00E8450A">
              <w:rPr>
                <w:noProof/>
                <w:highlight w:val="lightGray"/>
              </w:rPr>
              <w:lastRenderedPageBreak/>
              <w:t>článok 22</w:t>
            </w:r>
          </w:p>
        </w:tc>
        <w:tc>
          <w:tcPr>
            <w:tcW w:w="3098" w:type="dxa"/>
            <w:hideMark/>
          </w:tcPr>
          <w:p w:rsidR="006862AF" w:rsidRPr="00E8450A" w:rsidRDefault="006862AF" w:rsidP="00EC2071">
            <w:pPr>
              <w:ind w:left="851" w:hanging="851"/>
              <w:rPr>
                <w:noProof/>
                <w:szCs w:val="24"/>
                <w:highlight w:val="lightGray"/>
              </w:rPr>
            </w:pPr>
            <w:r w:rsidRPr="00E8450A">
              <w:rPr>
                <w:noProof/>
                <w:highlight w:val="lightGray"/>
              </w:rPr>
              <w:t>článok 26</w:t>
            </w:r>
          </w:p>
        </w:tc>
        <w:tc>
          <w:tcPr>
            <w:tcW w:w="3104" w:type="dxa"/>
            <w:tcBorders>
              <w:right w:val="nil"/>
            </w:tcBorders>
            <w:hideMark/>
          </w:tcPr>
          <w:p w:rsidR="006862AF" w:rsidRPr="00E8450A" w:rsidRDefault="006862AF" w:rsidP="00EC2071">
            <w:pPr>
              <w:ind w:left="851" w:hanging="851"/>
              <w:rPr>
                <w:rStyle w:val="Bodytext28pt"/>
                <w:noProof/>
                <w:highlight w:val="lightGray"/>
              </w:rPr>
            </w:pPr>
            <w:r w:rsidRPr="00E8450A">
              <w:rPr>
                <w:noProof/>
                <w:highlight w:val="lightGray"/>
              </w:rPr>
              <w:t>článok 7</w:t>
            </w:r>
          </w:p>
        </w:tc>
      </w:tr>
      <w:tr w:rsidR="006862AF" w:rsidRPr="00E8450A" w:rsidTr="00EC2071">
        <w:tblPrEx>
          <w:tblBorders>
            <w:left w:val="single" w:sz="4" w:space="0" w:color="auto"/>
            <w:right w:val="single" w:sz="4" w:space="0" w:color="auto"/>
          </w:tblBorders>
        </w:tblPrEx>
        <w:trPr>
          <w:trHeight w:val="425"/>
        </w:trPr>
        <w:tc>
          <w:tcPr>
            <w:tcW w:w="3084" w:type="dxa"/>
            <w:tcBorders>
              <w:left w:val="nil"/>
            </w:tcBorders>
            <w:hideMark/>
          </w:tcPr>
          <w:p w:rsidR="006862AF" w:rsidRPr="00E8450A" w:rsidRDefault="006862AF" w:rsidP="00EC2071">
            <w:pPr>
              <w:ind w:left="851" w:hanging="851"/>
              <w:rPr>
                <w:noProof/>
                <w:highlight w:val="lightGray"/>
              </w:rPr>
            </w:pPr>
            <w:r w:rsidRPr="00E8450A">
              <w:rPr>
                <w:noProof/>
                <w:highlight w:val="lightGray"/>
              </w:rPr>
              <w:t>článok 23</w:t>
            </w:r>
          </w:p>
        </w:tc>
        <w:tc>
          <w:tcPr>
            <w:tcW w:w="3098" w:type="dxa"/>
            <w:hideMark/>
          </w:tcPr>
          <w:p w:rsidR="006862AF" w:rsidRPr="00E8450A" w:rsidRDefault="006862AF" w:rsidP="00EC2071">
            <w:pPr>
              <w:ind w:left="851" w:hanging="851"/>
              <w:rPr>
                <w:noProof/>
                <w:szCs w:val="24"/>
                <w:highlight w:val="lightGray"/>
              </w:rPr>
            </w:pPr>
            <w:r w:rsidRPr="00E8450A">
              <w:rPr>
                <w:noProof/>
                <w:highlight w:val="lightGray"/>
              </w:rPr>
              <w:t>článok 27</w:t>
            </w:r>
          </w:p>
        </w:tc>
        <w:tc>
          <w:tcPr>
            <w:tcW w:w="3104" w:type="dxa"/>
            <w:tcBorders>
              <w:right w:val="nil"/>
            </w:tcBorders>
            <w:hideMark/>
          </w:tcPr>
          <w:p w:rsidR="006862AF" w:rsidRPr="00E8450A" w:rsidRDefault="006862AF" w:rsidP="00EC2071">
            <w:pPr>
              <w:ind w:left="851" w:hanging="851"/>
              <w:rPr>
                <w:rStyle w:val="Bodytext28pt"/>
                <w:noProof/>
                <w:highlight w:val="lightGray"/>
              </w:rPr>
            </w:pPr>
            <w:r w:rsidRPr="00E8450A">
              <w:rPr>
                <w:noProof/>
                <w:highlight w:val="lightGray"/>
              </w:rPr>
              <w:t>článok 5</w:t>
            </w:r>
          </w:p>
        </w:tc>
      </w:tr>
      <w:tr w:rsidR="006862AF" w:rsidRPr="00E8450A" w:rsidTr="00EC2071">
        <w:tblPrEx>
          <w:tblBorders>
            <w:left w:val="single" w:sz="4" w:space="0" w:color="auto"/>
            <w:right w:val="single" w:sz="4" w:space="0" w:color="auto"/>
          </w:tblBorders>
        </w:tblPrEx>
        <w:trPr>
          <w:trHeight w:val="425"/>
        </w:trPr>
        <w:tc>
          <w:tcPr>
            <w:tcW w:w="3084" w:type="dxa"/>
            <w:tcBorders>
              <w:left w:val="nil"/>
            </w:tcBorders>
            <w:hideMark/>
          </w:tcPr>
          <w:p w:rsidR="006862AF" w:rsidRPr="00E8450A" w:rsidRDefault="006862AF" w:rsidP="00EC2071">
            <w:pPr>
              <w:ind w:left="851" w:hanging="851"/>
              <w:rPr>
                <w:noProof/>
                <w:highlight w:val="lightGray"/>
              </w:rPr>
            </w:pPr>
            <w:r w:rsidRPr="00E8450A">
              <w:rPr>
                <w:noProof/>
                <w:highlight w:val="lightGray"/>
              </w:rPr>
              <w:t>článok 24</w:t>
            </w:r>
          </w:p>
        </w:tc>
        <w:tc>
          <w:tcPr>
            <w:tcW w:w="3098" w:type="dxa"/>
            <w:hideMark/>
          </w:tcPr>
          <w:p w:rsidR="006862AF" w:rsidRPr="00E8450A" w:rsidRDefault="006862AF" w:rsidP="00EC2071">
            <w:pPr>
              <w:ind w:left="851" w:hanging="851"/>
              <w:jc w:val="left"/>
              <w:rPr>
                <w:noProof/>
                <w:szCs w:val="24"/>
                <w:highlight w:val="lightGray"/>
              </w:rPr>
            </w:pPr>
            <w:r w:rsidRPr="00E8450A">
              <w:rPr>
                <w:noProof/>
                <w:highlight w:val="lightGray"/>
              </w:rPr>
              <w:t>článok 28</w:t>
            </w:r>
          </w:p>
        </w:tc>
        <w:tc>
          <w:tcPr>
            <w:tcW w:w="3104" w:type="dxa"/>
            <w:tcBorders>
              <w:right w:val="nil"/>
            </w:tcBorders>
            <w:hideMark/>
          </w:tcPr>
          <w:p w:rsidR="006862AF" w:rsidRPr="00E8450A" w:rsidRDefault="006862AF" w:rsidP="00EC2071">
            <w:pPr>
              <w:ind w:left="851" w:hanging="851"/>
              <w:rPr>
                <w:rStyle w:val="Bodytext28pt"/>
                <w:rFonts w:eastAsiaTheme="minorHAnsi"/>
                <w:noProof/>
                <w:highlight w:val="lightGray"/>
              </w:rPr>
            </w:pPr>
            <w:r w:rsidRPr="00E8450A">
              <w:rPr>
                <w:noProof/>
                <w:highlight w:val="lightGray"/>
              </w:rPr>
              <w:t>článok 4 ods. 15</w:t>
            </w:r>
          </w:p>
        </w:tc>
      </w:tr>
      <w:tr w:rsidR="006862AF" w:rsidRPr="00E8450A" w:rsidTr="00EC2071">
        <w:tblPrEx>
          <w:tblBorders>
            <w:left w:val="single" w:sz="4" w:space="0" w:color="auto"/>
            <w:right w:val="single" w:sz="4" w:space="0" w:color="auto"/>
          </w:tblBorders>
        </w:tblPrEx>
        <w:trPr>
          <w:trHeight w:val="425"/>
        </w:trPr>
        <w:tc>
          <w:tcPr>
            <w:tcW w:w="3084" w:type="dxa"/>
            <w:tcBorders>
              <w:left w:val="nil"/>
            </w:tcBorders>
            <w:hideMark/>
          </w:tcPr>
          <w:p w:rsidR="006862AF" w:rsidRPr="00E8450A" w:rsidRDefault="006862AF" w:rsidP="00EC2071">
            <w:pPr>
              <w:ind w:left="851" w:hanging="851"/>
              <w:rPr>
                <w:noProof/>
                <w:highlight w:val="lightGray"/>
              </w:rPr>
            </w:pPr>
            <w:r w:rsidRPr="00E8450A">
              <w:rPr>
                <w:noProof/>
                <w:highlight w:val="lightGray"/>
              </w:rPr>
              <w:t>článok 25</w:t>
            </w:r>
          </w:p>
        </w:tc>
        <w:tc>
          <w:tcPr>
            <w:tcW w:w="3098" w:type="dxa"/>
            <w:hideMark/>
          </w:tcPr>
          <w:p w:rsidR="006862AF" w:rsidRPr="00E8450A" w:rsidRDefault="006862AF" w:rsidP="00EC2071">
            <w:pPr>
              <w:ind w:left="851" w:hanging="851"/>
              <w:jc w:val="center"/>
              <w:rPr>
                <w:noProof/>
                <w:szCs w:val="24"/>
                <w:highlight w:val="lightGray"/>
              </w:rPr>
            </w:pPr>
            <w:r w:rsidRPr="00E8450A">
              <w:rPr>
                <w:rStyle w:val="Bodytext28pt"/>
                <w:noProof/>
                <w:highlight w:val="lightGray"/>
              </w:rPr>
              <w:t>—</w:t>
            </w:r>
          </w:p>
        </w:tc>
        <w:tc>
          <w:tcPr>
            <w:tcW w:w="3104" w:type="dxa"/>
            <w:tcBorders>
              <w:right w:val="nil"/>
            </w:tcBorders>
          </w:tcPr>
          <w:p w:rsidR="006862AF" w:rsidRPr="00E8450A" w:rsidRDefault="006862AF" w:rsidP="00EC2071">
            <w:pPr>
              <w:ind w:left="851" w:hanging="851"/>
              <w:jc w:val="center"/>
              <w:rPr>
                <w:rStyle w:val="Bodytext28pt"/>
                <w:noProof/>
                <w:highlight w:val="lightGray"/>
              </w:rPr>
            </w:pPr>
            <w:r w:rsidRPr="00E8450A">
              <w:rPr>
                <w:rStyle w:val="Bodytext28pt"/>
                <w:noProof/>
                <w:highlight w:val="lightGray"/>
              </w:rPr>
              <w:t>—</w:t>
            </w:r>
          </w:p>
          <w:p w:rsidR="006862AF" w:rsidRPr="00E8450A" w:rsidRDefault="006862AF" w:rsidP="00EC2071">
            <w:pPr>
              <w:ind w:left="851" w:hanging="851"/>
              <w:jc w:val="center"/>
              <w:rPr>
                <w:rStyle w:val="Bodytext28pt"/>
                <w:noProof/>
                <w:szCs w:val="24"/>
                <w:highlight w:val="lightGray"/>
              </w:rPr>
            </w:pPr>
          </w:p>
        </w:tc>
      </w:tr>
      <w:tr w:rsidR="006862AF" w:rsidRPr="00E8450A" w:rsidTr="00EC2071">
        <w:tblPrEx>
          <w:tblBorders>
            <w:left w:val="single" w:sz="4" w:space="0" w:color="auto"/>
            <w:right w:val="single" w:sz="4" w:space="0" w:color="auto"/>
          </w:tblBorders>
        </w:tblPrEx>
        <w:trPr>
          <w:trHeight w:val="425"/>
        </w:trPr>
        <w:tc>
          <w:tcPr>
            <w:tcW w:w="3084" w:type="dxa"/>
            <w:tcBorders>
              <w:left w:val="nil"/>
            </w:tcBorders>
            <w:hideMark/>
          </w:tcPr>
          <w:p w:rsidR="006862AF" w:rsidRPr="00E8450A" w:rsidRDefault="006862AF" w:rsidP="00EC2071">
            <w:pPr>
              <w:ind w:left="851" w:hanging="851"/>
              <w:rPr>
                <w:noProof/>
                <w:highlight w:val="lightGray"/>
              </w:rPr>
            </w:pPr>
            <w:r w:rsidRPr="00E8450A">
              <w:rPr>
                <w:noProof/>
                <w:highlight w:val="lightGray"/>
              </w:rPr>
              <w:t>článok 26</w:t>
            </w:r>
          </w:p>
        </w:tc>
        <w:tc>
          <w:tcPr>
            <w:tcW w:w="3098" w:type="dxa"/>
            <w:hideMark/>
          </w:tcPr>
          <w:p w:rsidR="006862AF" w:rsidRPr="00E8450A" w:rsidRDefault="006862AF" w:rsidP="00EC2071">
            <w:pPr>
              <w:ind w:left="851" w:hanging="851"/>
              <w:rPr>
                <w:noProof/>
                <w:szCs w:val="24"/>
                <w:highlight w:val="lightGray"/>
              </w:rPr>
            </w:pPr>
            <w:r w:rsidRPr="00E8450A">
              <w:rPr>
                <w:noProof/>
                <w:highlight w:val="lightGray"/>
              </w:rPr>
              <w:t>článok 29</w:t>
            </w:r>
          </w:p>
        </w:tc>
        <w:tc>
          <w:tcPr>
            <w:tcW w:w="3104" w:type="dxa"/>
            <w:tcBorders>
              <w:right w:val="nil"/>
            </w:tcBorders>
            <w:hideMark/>
          </w:tcPr>
          <w:p w:rsidR="006862AF" w:rsidRPr="00E8450A" w:rsidRDefault="006862AF" w:rsidP="00EC2071">
            <w:pPr>
              <w:ind w:left="851" w:hanging="851"/>
              <w:rPr>
                <w:rStyle w:val="Bodytext28pt"/>
                <w:noProof/>
                <w:highlight w:val="lightGray"/>
              </w:rPr>
            </w:pPr>
            <w:r w:rsidRPr="00E8450A">
              <w:rPr>
                <w:noProof/>
                <w:highlight w:val="lightGray"/>
              </w:rPr>
              <w:t>článok 6</w:t>
            </w:r>
          </w:p>
        </w:tc>
      </w:tr>
      <w:tr w:rsidR="006862AF" w:rsidRPr="00E8450A" w:rsidTr="00EC2071">
        <w:tblPrEx>
          <w:tblBorders>
            <w:left w:val="single" w:sz="4" w:space="0" w:color="auto"/>
            <w:right w:val="single" w:sz="4" w:space="0" w:color="auto"/>
          </w:tblBorders>
        </w:tblPrEx>
        <w:trPr>
          <w:trHeight w:val="425"/>
        </w:trPr>
        <w:tc>
          <w:tcPr>
            <w:tcW w:w="3084" w:type="dxa"/>
            <w:tcBorders>
              <w:left w:val="nil"/>
            </w:tcBorders>
            <w:hideMark/>
          </w:tcPr>
          <w:p w:rsidR="006862AF" w:rsidRPr="00E8450A" w:rsidRDefault="006862AF" w:rsidP="00EC2071">
            <w:pPr>
              <w:ind w:left="851" w:hanging="851"/>
              <w:rPr>
                <w:noProof/>
                <w:highlight w:val="lightGray"/>
              </w:rPr>
            </w:pPr>
            <w:r w:rsidRPr="00E8450A">
              <w:rPr>
                <w:noProof/>
                <w:highlight w:val="lightGray"/>
              </w:rPr>
              <w:t>článok 27</w:t>
            </w:r>
          </w:p>
        </w:tc>
        <w:tc>
          <w:tcPr>
            <w:tcW w:w="3098" w:type="dxa"/>
            <w:hideMark/>
          </w:tcPr>
          <w:p w:rsidR="006862AF" w:rsidRPr="00E8450A" w:rsidRDefault="006862AF" w:rsidP="00EC2071">
            <w:pPr>
              <w:ind w:left="851" w:hanging="851"/>
              <w:jc w:val="center"/>
              <w:rPr>
                <w:noProof/>
                <w:szCs w:val="24"/>
                <w:highlight w:val="lightGray"/>
              </w:rPr>
            </w:pPr>
            <w:r w:rsidRPr="00E8450A">
              <w:rPr>
                <w:rStyle w:val="Bodytext28pt"/>
                <w:noProof/>
                <w:highlight w:val="lightGray"/>
              </w:rPr>
              <w:t>—</w:t>
            </w:r>
          </w:p>
        </w:tc>
        <w:tc>
          <w:tcPr>
            <w:tcW w:w="3104" w:type="dxa"/>
            <w:tcBorders>
              <w:right w:val="nil"/>
            </w:tcBorders>
            <w:hideMark/>
          </w:tcPr>
          <w:p w:rsidR="006862AF" w:rsidRPr="00E8450A" w:rsidRDefault="006862AF" w:rsidP="00EC2071">
            <w:pPr>
              <w:ind w:left="851" w:hanging="851"/>
              <w:jc w:val="center"/>
              <w:rPr>
                <w:rStyle w:val="Bodytext28pt"/>
                <w:noProof/>
                <w:highlight w:val="lightGray"/>
              </w:rPr>
            </w:pPr>
            <w:r w:rsidRPr="00E8450A">
              <w:rPr>
                <w:rStyle w:val="Bodytext28pt"/>
                <w:noProof/>
                <w:highlight w:val="lightGray"/>
              </w:rPr>
              <w:t>—</w:t>
            </w:r>
          </w:p>
        </w:tc>
      </w:tr>
      <w:tr w:rsidR="006862AF" w:rsidRPr="00E8450A" w:rsidTr="00EC2071">
        <w:tblPrEx>
          <w:tblBorders>
            <w:left w:val="single" w:sz="4" w:space="0" w:color="auto"/>
            <w:right w:val="single" w:sz="4" w:space="0" w:color="auto"/>
          </w:tblBorders>
        </w:tblPrEx>
        <w:trPr>
          <w:trHeight w:val="425"/>
        </w:trPr>
        <w:tc>
          <w:tcPr>
            <w:tcW w:w="3084" w:type="dxa"/>
            <w:tcBorders>
              <w:left w:val="nil"/>
            </w:tcBorders>
            <w:hideMark/>
          </w:tcPr>
          <w:p w:rsidR="006862AF" w:rsidRPr="00E8450A" w:rsidRDefault="006862AF" w:rsidP="00EC2071">
            <w:pPr>
              <w:ind w:left="851" w:hanging="851"/>
              <w:rPr>
                <w:noProof/>
                <w:highlight w:val="lightGray"/>
              </w:rPr>
            </w:pPr>
            <w:r w:rsidRPr="00E8450A">
              <w:rPr>
                <w:noProof/>
                <w:highlight w:val="lightGray"/>
              </w:rPr>
              <w:t>článok 28</w:t>
            </w:r>
          </w:p>
        </w:tc>
        <w:tc>
          <w:tcPr>
            <w:tcW w:w="3098" w:type="dxa"/>
            <w:hideMark/>
          </w:tcPr>
          <w:p w:rsidR="006862AF" w:rsidRPr="00E8450A" w:rsidRDefault="006862AF" w:rsidP="00EC2071">
            <w:pPr>
              <w:ind w:left="851" w:hanging="851"/>
              <w:jc w:val="center"/>
              <w:rPr>
                <w:noProof/>
                <w:szCs w:val="24"/>
                <w:highlight w:val="lightGray"/>
              </w:rPr>
            </w:pPr>
            <w:r w:rsidRPr="00E8450A">
              <w:rPr>
                <w:rStyle w:val="Bodytext28pt"/>
                <w:noProof/>
                <w:highlight w:val="lightGray"/>
              </w:rPr>
              <w:t>—</w:t>
            </w:r>
          </w:p>
        </w:tc>
        <w:tc>
          <w:tcPr>
            <w:tcW w:w="3104" w:type="dxa"/>
            <w:tcBorders>
              <w:right w:val="nil"/>
            </w:tcBorders>
            <w:hideMark/>
          </w:tcPr>
          <w:p w:rsidR="006862AF" w:rsidRPr="00E8450A" w:rsidRDefault="006862AF" w:rsidP="00EC2071">
            <w:pPr>
              <w:ind w:left="851" w:hanging="851"/>
              <w:jc w:val="center"/>
              <w:rPr>
                <w:rStyle w:val="Bodytext28pt"/>
                <w:noProof/>
                <w:highlight w:val="lightGray"/>
              </w:rPr>
            </w:pPr>
            <w:r w:rsidRPr="00E8450A">
              <w:rPr>
                <w:rStyle w:val="Bodytext28pt"/>
                <w:noProof/>
                <w:highlight w:val="lightGray"/>
              </w:rPr>
              <w:t>—</w:t>
            </w:r>
          </w:p>
        </w:tc>
      </w:tr>
      <w:tr w:rsidR="006862AF" w:rsidRPr="00E8450A" w:rsidTr="00EC2071">
        <w:tblPrEx>
          <w:tblBorders>
            <w:left w:val="single" w:sz="4" w:space="0" w:color="auto"/>
            <w:right w:val="single" w:sz="4" w:space="0" w:color="auto"/>
          </w:tblBorders>
        </w:tblPrEx>
        <w:trPr>
          <w:trHeight w:val="425"/>
        </w:trPr>
        <w:tc>
          <w:tcPr>
            <w:tcW w:w="3084" w:type="dxa"/>
            <w:tcBorders>
              <w:left w:val="nil"/>
            </w:tcBorders>
            <w:hideMark/>
          </w:tcPr>
          <w:p w:rsidR="006862AF" w:rsidRPr="00E8450A" w:rsidRDefault="006862AF" w:rsidP="00EC2071">
            <w:pPr>
              <w:ind w:left="851" w:hanging="851"/>
              <w:rPr>
                <w:noProof/>
                <w:highlight w:val="lightGray"/>
              </w:rPr>
            </w:pPr>
            <w:r w:rsidRPr="00E8450A">
              <w:rPr>
                <w:noProof/>
                <w:highlight w:val="lightGray"/>
              </w:rPr>
              <w:t>článok 29</w:t>
            </w:r>
          </w:p>
        </w:tc>
        <w:tc>
          <w:tcPr>
            <w:tcW w:w="3098" w:type="dxa"/>
            <w:hideMark/>
          </w:tcPr>
          <w:p w:rsidR="006862AF" w:rsidRPr="00E8450A" w:rsidRDefault="006862AF" w:rsidP="00EC2071">
            <w:pPr>
              <w:ind w:left="851" w:hanging="851"/>
              <w:rPr>
                <w:noProof/>
                <w:szCs w:val="24"/>
                <w:highlight w:val="lightGray"/>
              </w:rPr>
            </w:pPr>
            <w:r w:rsidRPr="00E8450A">
              <w:rPr>
                <w:noProof/>
                <w:highlight w:val="lightGray"/>
              </w:rPr>
              <w:t>článok 30</w:t>
            </w:r>
          </w:p>
        </w:tc>
        <w:tc>
          <w:tcPr>
            <w:tcW w:w="3104" w:type="dxa"/>
            <w:tcBorders>
              <w:right w:val="nil"/>
            </w:tcBorders>
            <w:hideMark/>
          </w:tcPr>
          <w:p w:rsidR="006862AF" w:rsidRPr="00E8450A" w:rsidRDefault="006862AF" w:rsidP="00EC2071">
            <w:pPr>
              <w:ind w:left="851" w:hanging="851"/>
              <w:rPr>
                <w:rStyle w:val="Bodytext28pt"/>
                <w:noProof/>
                <w:highlight w:val="lightGray"/>
              </w:rPr>
            </w:pPr>
            <w:r w:rsidRPr="00E8450A">
              <w:rPr>
                <w:noProof/>
                <w:highlight w:val="lightGray"/>
              </w:rPr>
              <w:t>článok 9</w:t>
            </w:r>
          </w:p>
        </w:tc>
      </w:tr>
      <w:tr w:rsidR="006862AF" w:rsidRPr="00E8450A" w:rsidTr="00EC2071">
        <w:tblPrEx>
          <w:tblBorders>
            <w:left w:val="single" w:sz="4" w:space="0" w:color="auto"/>
            <w:right w:val="single" w:sz="4" w:space="0" w:color="auto"/>
          </w:tblBorders>
        </w:tblPrEx>
        <w:trPr>
          <w:trHeight w:val="425"/>
        </w:trPr>
        <w:tc>
          <w:tcPr>
            <w:tcW w:w="3084" w:type="dxa"/>
            <w:tcBorders>
              <w:left w:val="nil"/>
            </w:tcBorders>
            <w:hideMark/>
          </w:tcPr>
          <w:p w:rsidR="006862AF" w:rsidRPr="00E8450A" w:rsidRDefault="006862AF" w:rsidP="00EC2071">
            <w:pPr>
              <w:ind w:left="851" w:hanging="851"/>
              <w:rPr>
                <w:noProof/>
                <w:highlight w:val="lightGray"/>
              </w:rPr>
            </w:pPr>
            <w:r w:rsidRPr="00E8450A">
              <w:rPr>
                <w:noProof/>
                <w:highlight w:val="lightGray"/>
              </w:rPr>
              <w:t>článok 30</w:t>
            </w:r>
          </w:p>
        </w:tc>
        <w:tc>
          <w:tcPr>
            <w:tcW w:w="3098" w:type="dxa"/>
            <w:hideMark/>
          </w:tcPr>
          <w:p w:rsidR="006862AF" w:rsidRPr="00E8450A" w:rsidRDefault="006862AF" w:rsidP="00EC2071">
            <w:pPr>
              <w:ind w:left="851" w:hanging="851"/>
              <w:rPr>
                <w:noProof/>
                <w:szCs w:val="24"/>
                <w:highlight w:val="lightGray"/>
              </w:rPr>
            </w:pPr>
            <w:r w:rsidRPr="00E8450A">
              <w:rPr>
                <w:noProof/>
                <w:highlight w:val="lightGray"/>
              </w:rPr>
              <w:t>článok 31</w:t>
            </w:r>
          </w:p>
        </w:tc>
        <w:tc>
          <w:tcPr>
            <w:tcW w:w="3104" w:type="dxa"/>
            <w:tcBorders>
              <w:right w:val="nil"/>
            </w:tcBorders>
            <w:hideMark/>
          </w:tcPr>
          <w:p w:rsidR="006862AF" w:rsidRPr="00E8450A" w:rsidRDefault="006862AF" w:rsidP="00EC2071">
            <w:pPr>
              <w:ind w:left="851" w:hanging="851"/>
              <w:jc w:val="center"/>
              <w:rPr>
                <w:rStyle w:val="Bodytext28pt"/>
                <w:noProof/>
                <w:highlight w:val="lightGray"/>
              </w:rPr>
            </w:pPr>
            <w:r w:rsidRPr="00E8450A">
              <w:rPr>
                <w:rStyle w:val="Bodytext28pt"/>
                <w:noProof/>
                <w:highlight w:val="lightGray"/>
              </w:rPr>
              <w:t>—</w:t>
            </w:r>
          </w:p>
        </w:tc>
      </w:tr>
      <w:tr w:rsidR="006862AF" w:rsidRPr="00E8450A" w:rsidTr="00EC2071">
        <w:tblPrEx>
          <w:tblBorders>
            <w:left w:val="single" w:sz="4" w:space="0" w:color="auto"/>
            <w:right w:val="single" w:sz="4" w:space="0" w:color="auto"/>
          </w:tblBorders>
        </w:tblPrEx>
        <w:trPr>
          <w:trHeight w:val="425"/>
        </w:trPr>
        <w:tc>
          <w:tcPr>
            <w:tcW w:w="3084" w:type="dxa"/>
            <w:tcBorders>
              <w:left w:val="nil"/>
            </w:tcBorders>
            <w:hideMark/>
          </w:tcPr>
          <w:p w:rsidR="006862AF" w:rsidRPr="00E8450A" w:rsidRDefault="006862AF" w:rsidP="00EC2071">
            <w:pPr>
              <w:ind w:left="851" w:hanging="851"/>
              <w:rPr>
                <w:noProof/>
                <w:highlight w:val="lightGray"/>
              </w:rPr>
            </w:pPr>
            <w:r w:rsidRPr="00E8450A">
              <w:rPr>
                <w:noProof/>
                <w:highlight w:val="lightGray"/>
              </w:rPr>
              <w:t>článok 31</w:t>
            </w:r>
          </w:p>
        </w:tc>
        <w:tc>
          <w:tcPr>
            <w:tcW w:w="3098" w:type="dxa"/>
            <w:hideMark/>
          </w:tcPr>
          <w:p w:rsidR="006862AF" w:rsidRPr="00E8450A" w:rsidRDefault="006862AF" w:rsidP="00EC2071">
            <w:pPr>
              <w:ind w:left="851" w:hanging="851"/>
              <w:jc w:val="center"/>
              <w:rPr>
                <w:noProof/>
                <w:szCs w:val="24"/>
                <w:highlight w:val="lightGray"/>
              </w:rPr>
            </w:pPr>
            <w:r w:rsidRPr="00E8450A">
              <w:rPr>
                <w:rStyle w:val="Bodytext28pt"/>
                <w:noProof/>
                <w:highlight w:val="lightGray"/>
              </w:rPr>
              <w:t>—</w:t>
            </w:r>
          </w:p>
        </w:tc>
        <w:tc>
          <w:tcPr>
            <w:tcW w:w="3104" w:type="dxa"/>
            <w:tcBorders>
              <w:right w:val="nil"/>
            </w:tcBorders>
            <w:hideMark/>
          </w:tcPr>
          <w:p w:rsidR="006862AF" w:rsidRPr="00E8450A" w:rsidRDefault="006862AF" w:rsidP="00EC2071">
            <w:pPr>
              <w:ind w:left="851" w:hanging="851"/>
              <w:jc w:val="center"/>
              <w:rPr>
                <w:rStyle w:val="Bodytext28pt"/>
                <w:noProof/>
                <w:highlight w:val="lightGray"/>
              </w:rPr>
            </w:pPr>
            <w:r w:rsidRPr="00E8450A">
              <w:rPr>
                <w:rStyle w:val="Bodytext28pt"/>
                <w:noProof/>
                <w:highlight w:val="lightGray"/>
              </w:rPr>
              <w:t>—</w:t>
            </w:r>
          </w:p>
        </w:tc>
      </w:tr>
      <w:tr w:rsidR="006862AF" w:rsidRPr="00E8450A" w:rsidTr="00EC2071">
        <w:tblPrEx>
          <w:tblBorders>
            <w:left w:val="single" w:sz="4" w:space="0" w:color="auto"/>
            <w:right w:val="single" w:sz="4" w:space="0" w:color="auto"/>
          </w:tblBorders>
        </w:tblPrEx>
        <w:trPr>
          <w:trHeight w:val="425"/>
        </w:trPr>
        <w:tc>
          <w:tcPr>
            <w:tcW w:w="3084" w:type="dxa"/>
            <w:tcBorders>
              <w:left w:val="nil"/>
            </w:tcBorders>
            <w:hideMark/>
          </w:tcPr>
          <w:p w:rsidR="006862AF" w:rsidRPr="00E8450A" w:rsidRDefault="006862AF" w:rsidP="00EC2071">
            <w:pPr>
              <w:ind w:left="851" w:hanging="851"/>
              <w:rPr>
                <w:noProof/>
                <w:highlight w:val="lightGray"/>
              </w:rPr>
            </w:pPr>
            <w:r w:rsidRPr="00E8450A">
              <w:rPr>
                <w:noProof/>
                <w:highlight w:val="lightGray"/>
              </w:rPr>
              <w:t>článok 32</w:t>
            </w:r>
          </w:p>
        </w:tc>
        <w:tc>
          <w:tcPr>
            <w:tcW w:w="3098" w:type="dxa"/>
            <w:hideMark/>
          </w:tcPr>
          <w:p w:rsidR="006862AF" w:rsidRPr="00E8450A" w:rsidRDefault="006862AF" w:rsidP="00EC2071">
            <w:pPr>
              <w:ind w:left="851" w:hanging="851"/>
              <w:rPr>
                <w:noProof/>
                <w:szCs w:val="24"/>
                <w:highlight w:val="lightGray"/>
              </w:rPr>
            </w:pPr>
            <w:r w:rsidRPr="00E8450A">
              <w:rPr>
                <w:noProof/>
                <w:highlight w:val="lightGray"/>
              </w:rPr>
              <w:t>článok 33</w:t>
            </w:r>
          </w:p>
        </w:tc>
        <w:tc>
          <w:tcPr>
            <w:tcW w:w="3104" w:type="dxa"/>
            <w:tcBorders>
              <w:right w:val="nil"/>
            </w:tcBorders>
            <w:hideMark/>
          </w:tcPr>
          <w:p w:rsidR="006862AF" w:rsidRPr="00E8450A" w:rsidRDefault="006862AF" w:rsidP="00EC2071">
            <w:pPr>
              <w:ind w:left="851" w:hanging="851"/>
              <w:rPr>
                <w:rStyle w:val="Bodytext28pt"/>
                <w:b/>
                <w:noProof/>
                <w:highlight w:val="lightGray"/>
              </w:rPr>
            </w:pPr>
            <w:r w:rsidRPr="00E8450A">
              <w:rPr>
                <w:noProof/>
                <w:highlight w:val="lightGray"/>
              </w:rPr>
              <w:t>článok 10</w:t>
            </w:r>
          </w:p>
        </w:tc>
      </w:tr>
      <w:tr w:rsidR="006862AF" w:rsidRPr="00E8450A" w:rsidTr="00EC2071">
        <w:tblPrEx>
          <w:tblBorders>
            <w:left w:val="single" w:sz="4" w:space="0" w:color="auto"/>
            <w:right w:val="single" w:sz="4" w:space="0" w:color="auto"/>
          </w:tblBorders>
        </w:tblPrEx>
        <w:trPr>
          <w:trHeight w:val="425"/>
        </w:trPr>
        <w:tc>
          <w:tcPr>
            <w:tcW w:w="3084" w:type="dxa"/>
            <w:tcBorders>
              <w:left w:val="nil"/>
            </w:tcBorders>
            <w:hideMark/>
          </w:tcPr>
          <w:p w:rsidR="006862AF" w:rsidRPr="00E8450A" w:rsidRDefault="006862AF" w:rsidP="00EC2071">
            <w:pPr>
              <w:ind w:left="851" w:hanging="851"/>
              <w:rPr>
                <w:noProof/>
                <w:highlight w:val="lightGray"/>
              </w:rPr>
            </w:pPr>
            <w:r w:rsidRPr="00E8450A">
              <w:rPr>
                <w:noProof/>
                <w:highlight w:val="lightGray"/>
              </w:rPr>
              <w:t>článok 33</w:t>
            </w:r>
          </w:p>
        </w:tc>
        <w:tc>
          <w:tcPr>
            <w:tcW w:w="3098" w:type="dxa"/>
            <w:hideMark/>
          </w:tcPr>
          <w:p w:rsidR="006862AF" w:rsidRPr="00E8450A" w:rsidRDefault="006862AF" w:rsidP="00EC2071">
            <w:pPr>
              <w:ind w:left="851" w:hanging="851"/>
              <w:rPr>
                <w:noProof/>
                <w:szCs w:val="24"/>
                <w:highlight w:val="lightGray"/>
              </w:rPr>
            </w:pPr>
            <w:r w:rsidRPr="00E8450A">
              <w:rPr>
                <w:noProof/>
                <w:highlight w:val="lightGray"/>
              </w:rPr>
              <w:t>článok 34</w:t>
            </w:r>
          </w:p>
        </w:tc>
        <w:tc>
          <w:tcPr>
            <w:tcW w:w="3104" w:type="dxa"/>
            <w:tcBorders>
              <w:right w:val="nil"/>
            </w:tcBorders>
            <w:hideMark/>
          </w:tcPr>
          <w:p w:rsidR="006862AF" w:rsidRPr="00E8450A" w:rsidRDefault="006862AF" w:rsidP="00EC2071">
            <w:pPr>
              <w:ind w:left="851" w:hanging="851"/>
              <w:rPr>
                <w:rStyle w:val="Bodytext28pt"/>
                <w:noProof/>
                <w:highlight w:val="lightGray"/>
              </w:rPr>
            </w:pPr>
            <w:r w:rsidRPr="00E8450A">
              <w:rPr>
                <w:noProof/>
                <w:highlight w:val="lightGray"/>
              </w:rPr>
              <w:t>článok 11</w:t>
            </w:r>
          </w:p>
        </w:tc>
      </w:tr>
      <w:tr w:rsidR="006862AF" w:rsidRPr="00E8450A" w:rsidTr="00EC2071">
        <w:tblPrEx>
          <w:tblBorders>
            <w:left w:val="single" w:sz="4" w:space="0" w:color="auto"/>
            <w:right w:val="single" w:sz="4" w:space="0" w:color="auto"/>
          </w:tblBorders>
        </w:tblPrEx>
        <w:trPr>
          <w:trHeight w:val="425"/>
        </w:trPr>
        <w:tc>
          <w:tcPr>
            <w:tcW w:w="3084" w:type="dxa"/>
            <w:tcBorders>
              <w:left w:val="nil"/>
            </w:tcBorders>
            <w:hideMark/>
          </w:tcPr>
          <w:p w:rsidR="006862AF" w:rsidRPr="00E8450A" w:rsidRDefault="006862AF" w:rsidP="00EC2071">
            <w:pPr>
              <w:ind w:left="851" w:hanging="851"/>
              <w:rPr>
                <w:noProof/>
                <w:highlight w:val="lightGray"/>
              </w:rPr>
            </w:pPr>
            <w:r w:rsidRPr="00E8450A">
              <w:rPr>
                <w:noProof/>
                <w:highlight w:val="lightGray"/>
              </w:rPr>
              <w:t>článok 34</w:t>
            </w:r>
          </w:p>
        </w:tc>
        <w:tc>
          <w:tcPr>
            <w:tcW w:w="3098" w:type="dxa"/>
            <w:hideMark/>
          </w:tcPr>
          <w:p w:rsidR="006862AF" w:rsidRPr="00E8450A" w:rsidRDefault="006862AF" w:rsidP="00EC2071">
            <w:pPr>
              <w:ind w:left="851" w:hanging="851"/>
              <w:rPr>
                <w:noProof/>
                <w:szCs w:val="24"/>
                <w:highlight w:val="lightGray"/>
              </w:rPr>
            </w:pPr>
            <w:r w:rsidRPr="00E8450A">
              <w:rPr>
                <w:noProof/>
                <w:highlight w:val="lightGray"/>
              </w:rPr>
              <w:t>článok 35</w:t>
            </w:r>
          </w:p>
        </w:tc>
        <w:tc>
          <w:tcPr>
            <w:tcW w:w="3104" w:type="dxa"/>
            <w:tcBorders>
              <w:right w:val="nil"/>
            </w:tcBorders>
            <w:hideMark/>
          </w:tcPr>
          <w:p w:rsidR="006862AF" w:rsidRPr="00E8450A" w:rsidRDefault="006862AF" w:rsidP="00EC2071">
            <w:pPr>
              <w:ind w:left="851" w:hanging="851"/>
              <w:rPr>
                <w:rStyle w:val="Bodytext28pt"/>
                <w:noProof/>
                <w:highlight w:val="lightGray"/>
              </w:rPr>
            </w:pPr>
            <w:r w:rsidRPr="00E8450A">
              <w:rPr>
                <w:noProof/>
                <w:highlight w:val="lightGray"/>
              </w:rPr>
              <w:t>článok 12</w:t>
            </w:r>
          </w:p>
        </w:tc>
      </w:tr>
    </w:tbl>
    <w:p w:rsidR="000F4100" w:rsidRPr="00E8450A" w:rsidRDefault="000F4100" w:rsidP="000F4100">
      <w:pPr>
        <w:rPr>
          <w:rStyle w:val="CRRefonteDeleted"/>
          <w:noProof/>
          <w:highlight w:val="lightGray"/>
        </w:rPr>
      </w:pPr>
    </w:p>
    <w:p w:rsidR="000F4100" w:rsidRPr="00E8450A" w:rsidRDefault="000F4100" w:rsidP="000F4100">
      <w:pPr>
        <w:pStyle w:val="CRSeparator"/>
        <w:rPr>
          <w:noProof/>
        </w:rPr>
      </w:pPr>
    </w:p>
    <w:p w:rsidR="005C7768" w:rsidRPr="00E8450A" w:rsidRDefault="005C7768" w:rsidP="005C7768">
      <w:pPr>
        <w:pStyle w:val="CRReference"/>
        <w:rPr>
          <w:noProof/>
        </w:rPr>
      </w:pPr>
      <w:r w:rsidRPr="00E8450A">
        <w:rPr>
          <w:noProof/>
        </w:rPr>
        <w:fldChar w:fldCharType="begin"/>
      </w:r>
      <w:r w:rsidRPr="00E8450A">
        <w:rPr>
          <w:noProof/>
        </w:rPr>
        <w:instrText xml:space="preserve"> QUOTE "ê" </w:instrText>
      </w:r>
      <w:r w:rsidRPr="00E8450A">
        <w:rPr>
          <w:noProof/>
        </w:rPr>
        <w:fldChar w:fldCharType="separate"/>
      </w:r>
      <w:r w:rsidRPr="00E8450A">
        <w:rPr>
          <w:rStyle w:val="CRMarker"/>
          <w:noProof/>
        </w:rPr>
        <w:t>ê</w:t>
      </w:r>
      <w:r w:rsidRPr="00E8450A">
        <w:rPr>
          <w:noProof/>
        </w:rPr>
        <w:fldChar w:fldCharType="end"/>
      </w:r>
      <w:r w:rsidRPr="00E8450A">
        <w:rPr>
          <w:noProof/>
        </w:rPr>
        <w:t> 2004/107</w:t>
      </w:r>
    </w:p>
    <w:p w:rsidR="005C7768" w:rsidRPr="00E8450A" w:rsidRDefault="005C7768" w:rsidP="00BC180F">
      <w:pPr>
        <w:jc w:val="center"/>
        <w:rPr>
          <w:rStyle w:val="CRRefonteDeleted"/>
          <w:noProof/>
          <w:highlight w:val="lightGray"/>
        </w:rPr>
      </w:pPr>
      <w:r w:rsidRPr="00E8450A">
        <w:rPr>
          <w:rStyle w:val="CRRefonteDeleted"/>
          <w:b/>
          <w:noProof/>
          <w:highlight w:val="lightGray"/>
        </w:rPr>
        <w:t>PRÍLOHA IV</w:t>
      </w:r>
    </w:p>
    <w:p w:rsidR="005C7768" w:rsidRPr="00E8450A" w:rsidRDefault="005C7768" w:rsidP="005C7768">
      <w:pPr>
        <w:pStyle w:val="NormalCentered"/>
        <w:rPr>
          <w:rStyle w:val="CRRefonteDeleted"/>
          <w:noProof/>
          <w:highlight w:val="lightGray"/>
        </w:rPr>
      </w:pPr>
      <w:r w:rsidRPr="00E8450A">
        <w:rPr>
          <w:rStyle w:val="CRRefonteDeleted"/>
          <w:b/>
          <w:noProof/>
          <w:highlight w:val="lightGray"/>
        </w:rPr>
        <w:t>Ciele v kvalite údajov a požiadavky na modely kvality ovzdušia</w:t>
      </w:r>
    </w:p>
    <w:p w:rsidR="005C7768" w:rsidRPr="00E8450A" w:rsidRDefault="005C7768" w:rsidP="005C7768">
      <w:pPr>
        <w:pStyle w:val="ManualHeading1"/>
        <w:ind w:left="851" w:hanging="851"/>
        <w:rPr>
          <w:rStyle w:val="CRRefonteDeleted"/>
          <w:noProof/>
          <w:highlight w:val="lightGray"/>
        </w:rPr>
      </w:pPr>
      <w:r w:rsidRPr="00E8450A">
        <w:rPr>
          <w:rStyle w:val="CRRefonteDeleted"/>
          <w:noProof/>
          <w:highlight w:val="lightGray"/>
        </w:rPr>
        <w:t>I.</w:t>
      </w:r>
      <w:r w:rsidRPr="00E8450A">
        <w:rPr>
          <w:noProof/>
        </w:rPr>
        <w:tab/>
      </w:r>
      <w:r w:rsidRPr="00E8450A">
        <w:rPr>
          <w:rStyle w:val="CRRefonteDeleted"/>
          <w:noProof/>
          <w:highlight w:val="lightGray"/>
        </w:rPr>
        <w:t>Ciele v kvalite údajov</w:t>
      </w:r>
    </w:p>
    <w:p w:rsidR="005C7768" w:rsidRPr="00E8450A" w:rsidRDefault="005C7768" w:rsidP="005C7768">
      <w:pPr>
        <w:rPr>
          <w:rStyle w:val="CRRefonteDeleted"/>
          <w:noProof/>
          <w:highlight w:val="lightGray"/>
        </w:rPr>
      </w:pPr>
      <w:r w:rsidRPr="00E8450A">
        <w:rPr>
          <w:rStyle w:val="CRRefonteDeleted"/>
          <w:noProof/>
          <w:highlight w:val="lightGray"/>
        </w:rPr>
        <w:t>Nasledujúce ciele v kvalite údajov sú uvedené ako usmernenie na zabezpečenie kvality.</w:t>
      </w:r>
    </w:p>
    <w:p w:rsidR="005C7768" w:rsidRPr="00E8450A" w:rsidRDefault="005C7768" w:rsidP="005C7768">
      <w:pPr>
        <w:pStyle w:val="CRSeparator"/>
        <w:rPr>
          <w:noProof/>
        </w:rPr>
      </w:pPr>
    </w:p>
    <w:p w:rsidR="005C7768" w:rsidRPr="00E8450A" w:rsidRDefault="005C7768" w:rsidP="005C7768">
      <w:pPr>
        <w:pStyle w:val="CRReference"/>
        <w:rPr>
          <w:noProof/>
        </w:rPr>
      </w:pPr>
      <w:r w:rsidRPr="00E8450A">
        <w:rPr>
          <w:noProof/>
        </w:rPr>
        <w:fldChar w:fldCharType="begin"/>
      </w:r>
      <w:r w:rsidRPr="00E8450A">
        <w:rPr>
          <w:noProof/>
        </w:rPr>
        <w:instrText xml:space="preserve"> QUOTE "ê" </w:instrText>
      </w:r>
      <w:r w:rsidRPr="00E8450A">
        <w:rPr>
          <w:noProof/>
        </w:rPr>
        <w:fldChar w:fldCharType="separate"/>
      </w:r>
      <w:r w:rsidRPr="00E8450A">
        <w:rPr>
          <w:rStyle w:val="CRMarker"/>
          <w:noProof/>
        </w:rPr>
        <w:t>ê</w:t>
      </w:r>
      <w:r w:rsidRPr="00E8450A">
        <w:rPr>
          <w:noProof/>
        </w:rPr>
        <w:fldChar w:fldCharType="end"/>
      </w:r>
      <w:r w:rsidRPr="00E8450A">
        <w:rPr>
          <w:noProof/>
        </w:rPr>
        <w:t> 2015/1480 článok 1 a bod 1 písm. a) prílohy I</w:t>
      </w:r>
    </w:p>
    <w:tbl>
      <w:tblPr>
        <w:tblW w:w="0" w:type="auto"/>
        <w:tblLayout w:type="fixed"/>
        <w:tblLook w:val="0000" w:firstRow="0" w:lastRow="0" w:firstColumn="0" w:lastColumn="0" w:noHBand="0" w:noVBand="0"/>
      </w:tblPr>
      <w:tblGrid>
        <w:gridCol w:w="2043"/>
        <w:gridCol w:w="1950"/>
        <w:gridCol w:w="1486"/>
        <w:gridCol w:w="2786"/>
        <w:gridCol w:w="1021"/>
      </w:tblGrid>
      <w:tr w:rsidR="005C7768" w:rsidRPr="00E8450A" w:rsidTr="00335440">
        <w:tc>
          <w:tcPr>
            <w:tcW w:w="2043"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adjustRightInd w:val="0"/>
              <w:spacing w:before="0" w:after="0"/>
              <w:jc w:val="left"/>
              <w:rPr>
                <w:rStyle w:val="CRRefonteDeleted"/>
                <w:noProof/>
                <w:highlight w:val="lightGray"/>
              </w:rPr>
            </w:pPr>
          </w:p>
        </w:tc>
        <w:tc>
          <w:tcPr>
            <w:tcW w:w="1950"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Centered"/>
              <w:rPr>
                <w:rStyle w:val="CRRefonteDeleted"/>
                <w:noProof/>
                <w:highlight w:val="lightGray"/>
              </w:rPr>
            </w:pPr>
            <w:r w:rsidRPr="00E8450A">
              <w:rPr>
                <w:rStyle w:val="CRRefonteDeleted"/>
                <w:noProof/>
                <w:highlight w:val="lightGray"/>
              </w:rPr>
              <w:t>Benzo(a)pyrén</w:t>
            </w:r>
          </w:p>
        </w:tc>
        <w:tc>
          <w:tcPr>
            <w:tcW w:w="1486"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Centered"/>
              <w:rPr>
                <w:rStyle w:val="CRRefonteDeleted"/>
                <w:noProof/>
                <w:highlight w:val="lightGray"/>
              </w:rPr>
            </w:pPr>
            <w:r w:rsidRPr="00E8450A">
              <w:rPr>
                <w:rStyle w:val="CRRefonteDeleted"/>
                <w:noProof/>
                <w:highlight w:val="lightGray"/>
              </w:rPr>
              <w:t>Arzén, kadmium a nikel</w:t>
            </w:r>
          </w:p>
        </w:tc>
        <w:tc>
          <w:tcPr>
            <w:tcW w:w="2786"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Centered"/>
              <w:rPr>
                <w:rStyle w:val="CRRefonteDeleted"/>
                <w:noProof/>
                <w:highlight w:val="lightGray"/>
              </w:rPr>
            </w:pPr>
            <w:r w:rsidRPr="00E8450A">
              <w:rPr>
                <w:rStyle w:val="CRRefonteDeleted"/>
                <w:noProof/>
                <w:highlight w:val="lightGray"/>
              </w:rPr>
              <w:t>Polycyklické aromatické uhľovodíky iné ako benzo(a)pyrén, celková plynná ortuť</w:t>
            </w:r>
          </w:p>
        </w:tc>
        <w:tc>
          <w:tcPr>
            <w:tcW w:w="1021"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Centered"/>
              <w:rPr>
                <w:rStyle w:val="CRRefonteDeleted"/>
                <w:noProof/>
                <w:highlight w:val="lightGray"/>
              </w:rPr>
            </w:pPr>
            <w:r w:rsidRPr="00E8450A">
              <w:rPr>
                <w:rStyle w:val="CRRefonteDeleted"/>
                <w:noProof/>
                <w:highlight w:val="lightGray"/>
              </w:rPr>
              <w:t>Celková depozícia</w:t>
            </w:r>
          </w:p>
        </w:tc>
      </w:tr>
      <w:tr w:rsidR="005C7768" w:rsidRPr="00E8450A" w:rsidTr="00335440">
        <w:tc>
          <w:tcPr>
            <w:tcW w:w="2043"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t>—</w:t>
            </w:r>
            <w:r w:rsidRPr="00E8450A">
              <w:rPr>
                <w:noProof/>
              </w:rPr>
              <w:tab/>
            </w:r>
            <w:r w:rsidRPr="00E8450A">
              <w:rPr>
                <w:rStyle w:val="CRRefonteDeleted"/>
                <w:noProof/>
                <w:highlight w:val="lightGray"/>
              </w:rPr>
              <w:t>Nepresnosť</w:t>
            </w:r>
          </w:p>
        </w:tc>
        <w:tc>
          <w:tcPr>
            <w:tcW w:w="1950"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p>
        </w:tc>
        <w:tc>
          <w:tcPr>
            <w:tcW w:w="1486"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p>
        </w:tc>
        <w:tc>
          <w:tcPr>
            <w:tcW w:w="2786"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p>
        </w:tc>
        <w:tc>
          <w:tcPr>
            <w:tcW w:w="1021"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p>
        </w:tc>
      </w:tr>
      <w:tr w:rsidR="005C7768" w:rsidRPr="00E8450A" w:rsidTr="00335440">
        <w:tc>
          <w:tcPr>
            <w:tcW w:w="2043"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t xml:space="preserve">Stále a indikatívne </w:t>
            </w:r>
            <w:r w:rsidRPr="00E8450A">
              <w:rPr>
                <w:rStyle w:val="CRRefonteDeleted"/>
                <w:noProof/>
                <w:highlight w:val="lightGray"/>
              </w:rPr>
              <w:lastRenderedPageBreak/>
              <w:t>merania</w:t>
            </w:r>
          </w:p>
        </w:tc>
        <w:tc>
          <w:tcPr>
            <w:tcW w:w="1950"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lastRenderedPageBreak/>
              <w:t>50 %</w:t>
            </w:r>
          </w:p>
        </w:tc>
        <w:tc>
          <w:tcPr>
            <w:tcW w:w="1486"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t>40 %</w:t>
            </w:r>
          </w:p>
        </w:tc>
        <w:tc>
          <w:tcPr>
            <w:tcW w:w="2786"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t>50 %</w:t>
            </w:r>
          </w:p>
        </w:tc>
        <w:tc>
          <w:tcPr>
            <w:tcW w:w="1021"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t>70 %</w:t>
            </w:r>
          </w:p>
        </w:tc>
      </w:tr>
      <w:tr w:rsidR="005C7768" w:rsidRPr="00E8450A" w:rsidTr="00335440">
        <w:tc>
          <w:tcPr>
            <w:tcW w:w="2043"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t>Modelovanie</w:t>
            </w:r>
          </w:p>
        </w:tc>
        <w:tc>
          <w:tcPr>
            <w:tcW w:w="1950"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t>60 %</w:t>
            </w:r>
          </w:p>
        </w:tc>
        <w:tc>
          <w:tcPr>
            <w:tcW w:w="1486"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t>60 %</w:t>
            </w:r>
          </w:p>
        </w:tc>
        <w:tc>
          <w:tcPr>
            <w:tcW w:w="2786"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t>60 %</w:t>
            </w:r>
          </w:p>
        </w:tc>
        <w:tc>
          <w:tcPr>
            <w:tcW w:w="1021"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t>60 %</w:t>
            </w:r>
          </w:p>
        </w:tc>
      </w:tr>
      <w:tr w:rsidR="005C7768" w:rsidRPr="00E8450A" w:rsidTr="00335440">
        <w:tc>
          <w:tcPr>
            <w:tcW w:w="2043"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t>—</w:t>
            </w:r>
            <w:r w:rsidRPr="00E8450A">
              <w:rPr>
                <w:noProof/>
              </w:rPr>
              <w:tab/>
            </w:r>
            <w:r w:rsidRPr="00E8450A">
              <w:rPr>
                <w:rStyle w:val="CRRefonteDeleted"/>
                <w:noProof/>
                <w:highlight w:val="lightGray"/>
              </w:rPr>
              <w:t>Minimálny počet údajov</w:t>
            </w:r>
          </w:p>
        </w:tc>
        <w:tc>
          <w:tcPr>
            <w:tcW w:w="1950"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t>90 %</w:t>
            </w:r>
          </w:p>
        </w:tc>
        <w:tc>
          <w:tcPr>
            <w:tcW w:w="1486"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t>90 %</w:t>
            </w:r>
          </w:p>
        </w:tc>
        <w:tc>
          <w:tcPr>
            <w:tcW w:w="2786"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t>90 %</w:t>
            </w:r>
          </w:p>
        </w:tc>
        <w:tc>
          <w:tcPr>
            <w:tcW w:w="1021"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t>90 %</w:t>
            </w:r>
          </w:p>
        </w:tc>
      </w:tr>
      <w:tr w:rsidR="005C7768" w:rsidRPr="00E8450A" w:rsidTr="00335440">
        <w:tc>
          <w:tcPr>
            <w:tcW w:w="2043"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t>—</w:t>
            </w:r>
            <w:r w:rsidRPr="00E8450A">
              <w:rPr>
                <w:noProof/>
              </w:rPr>
              <w:tab/>
            </w:r>
            <w:r w:rsidRPr="00E8450A">
              <w:rPr>
                <w:rStyle w:val="CRRefonteDeleted"/>
                <w:noProof/>
                <w:highlight w:val="lightGray"/>
              </w:rPr>
              <w:t>Minimálne časové pokrytie</w:t>
            </w:r>
          </w:p>
        </w:tc>
        <w:tc>
          <w:tcPr>
            <w:tcW w:w="1950"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p>
        </w:tc>
        <w:tc>
          <w:tcPr>
            <w:tcW w:w="1486"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p>
        </w:tc>
        <w:tc>
          <w:tcPr>
            <w:tcW w:w="2786"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p>
        </w:tc>
        <w:tc>
          <w:tcPr>
            <w:tcW w:w="1021"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p>
        </w:tc>
      </w:tr>
      <w:tr w:rsidR="005C7768" w:rsidRPr="00E8450A" w:rsidTr="00335440">
        <w:tc>
          <w:tcPr>
            <w:tcW w:w="2043"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t>Stále merania</w:t>
            </w:r>
            <w:r w:rsidRPr="00E8450A">
              <w:rPr>
                <w:rStyle w:val="CRRefonteDeleted"/>
                <w:noProof/>
                <w:highlight w:val="lightGray"/>
                <w:vertAlign w:val="superscript"/>
              </w:rPr>
              <w:footnoteReference w:id="6"/>
            </w:r>
          </w:p>
        </w:tc>
        <w:tc>
          <w:tcPr>
            <w:tcW w:w="1950"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t>33 %</w:t>
            </w:r>
          </w:p>
        </w:tc>
        <w:tc>
          <w:tcPr>
            <w:tcW w:w="1486"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t>50 %</w:t>
            </w:r>
          </w:p>
        </w:tc>
        <w:tc>
          <w:tcPr>
            <w:tcW w:w="2786"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p>
        </w:tc>
        <w:tc>
          <w:tcPr>
            <w:tcW w:w="1021"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p>
        </w:tc>
      </w:tr>
      <w:tr w:rsidR="005C7768" w:rsidRPr="00E8450A" w:rsidTr="00335440">
        <w:tc>
          <w:tcPr>
            <w:tcW w:w="2043"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t>Indikatívne merania</w:t>
            </w:r>
            <w:r w:rsidRPr="00E8450A">
              <w:rPr>
                <w:rStyle w:val="CRRefonteDeleted"/>
                <w:noProof/>
                <w:highlight w:val="lightGray"/>
                <w:vertAlign w:val="superscript"/>
              </w:rPr>
              <w:footnoteReference w:id="7"/>
            </w:r>
            <w:r w:rsidRPr="00E8450A">
              <w:rPr>
                <w:rStyle w:val="CRRefonteDeleted"/>
                <w:noProof/>
                <w:highlight w:val="lightGray"/>
                <w:vertAlign w:val="superscript"/>
              </w:rPr>
              <w:footnoteReference w:id="8"/>
            </w:r>
          </w:p>
        </w:tc>
        <w:tc>
          <w:tcPr>
            <w:tcW w:w="1950"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t>14 %</w:t>
            </w:r>
          </w:p>
        </w:tc>
        <w:tc>
          <w:tcPr>
            <w:tcW w:w="1486"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t>14 %</w:t>
            </w:r>
          </w:p>
        </w:tc>
        <w:tc>
          <w:tcPr>
            <w:tcW w:w="2786"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t>14 %</w:t>
            </w:r>
          </w:p>
        </w:tc>
        <w:tc>
          <w:tcPr>
            <w:tcW w:w="1021"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t>33 %</w:t>
            </w:r>
          </w:p>
        </w:tc>
      </w:tr>
    </w:tbl>
    <w:p w:rsidR="005C7768" w:rsidRPr="00E8450A" w:rsidRDefault="005C7768" w:rsidP="005C7768">
      <w:pPr>
        <w:rPr>
          <w:rStyle w:val="CRRefonteDeleted"/>
          <w:noProof/>
          <w:highlight w:val="lightGray"/>
        </w:rPr>
      </w:pPr>
    </w:p>
    <w:p w:rsidR="005C7768" w:rsidRPr="00E8450A" w:rsidRDefault="005C7768" w:rsidP="005C7768">
      <w:pPr>
        <w:pStyle w:val="CRSeparator"/>
        <w:rPr>
          <w:noProof/>
        </w:rPr>
      </w:pPr>
    </w:p>
    <w:p w:rsidR="005C7768" w:rsidRPr="00E8450A" w:rsidRDefault="005C7768" w:rsidP="005C7768">
      <w:pPr>
        <w:pStyle w:val="CRReference"/>
        <w:rPr>
          <w:noProof/>
        </w:rPr>
      </w:pPr>
      <w:r w:rsidRPr="00E8450A">
        <w:rPr>
          <w:noProof/>
        </w:rPr>
        <w:fldChar w:fldCharType="begin"/>
      </w:r>
      <w:r w:rsidRPr="00E8450A">
        <w:rPr>
          <w:noProof/>
        </w:rPr>
        <w:instrText xml:space="preserve"> QUOTE "ê" </w:instrText>
      </w:r>
      <w:r w:rsidRPr="00E8450A">
        <w:rPr>
          <w:noProof/>
        </w:rPr>
        <w:fldChar w:fldCharType="separate"/>
      </w:r>
      <w:r w:rsidRPr="00E8450A">
        <w:rPr>
          <w:rStyle w:val="CRMarker"/>
          <w:noProof/>
        </w:rPr>
        <w:t>ê</w:t>
      </w:r>
      <w:r w:rsidRPr="00E8450A">
        <w:rPr>
          <w:noProof/>
        </w:rPr>
        <w:fldChar w:fldCharType="end"/>
      </w:r>
      <w:r w:rsidRPr="00E8450A">
        <w:rPr>
          <w:noProof/>
        </w:rPr>
        <w:t> 2004/107/ES</w:t>
      </w:r>
    </w:p>
    <w:p w:rsidR="005C7768" w:rsidRPr="00E8450A" w:rsidRDefault="005C7768" w:rsidP="005C7768">
      <w:pPr>
        <w:pStyle w:val="CRReference"/>
        <w:rPr>
          <w:noProof/>
        </w:rPr>
      </w:pPr>
      <w:r w:rsidRPr="00E8450A">
        <w:rPr>
          <w:noProof/>
        </w:rPr>
        <w:fldChar w:fldCharType="begin"/>
      </w:r>
      <w:r w:rsidRPr="00E8450A">
        <w:rPr>
          <w:noProof/>
        </w:rPr>
        <w:instrText xml:space="preserve"> QUOTE "è" </w:instrText>
      </w:r>
      <w:r w:rsidRPr="00E8450A">
        <w:rPr>
          <w:noProof/>
        </w:rPr>
        <w:fldChar w:fldCharType="separate"/>
      </w:r>
      <w:r w:rsidRPr="00E8450A">
        <w:rPr>
          <w:rStyle w:val="CRMarker"/>
          <w:noProof/>
        </w:rPr>
        <w:t>è</w:t>
      </w:r>
      <w:r w:rsidRPr="00E8450A">
        <w:rPr>
          <w:noProof/>
        </w:rPr>
        <w:fldChar w:fldCharType="end"/>
      </w:r>
      <w:r w:rsidRPr="00E8450A">
        <w:rPr>
          <w:rStyle w:val="CRRefNum"/>
          <w:noProof/>
        </w:rPr>
        <w:t>1</w:t>
      </w:r>
      <w:r w:rsidRPr="00E8450A">
        <w:rPr>
          <w:noProof/>
        </w:rPr>
        <w:t> 2015/1480 článok 1 a bod 1 písm. b) prílohy I</w:t>
      </w:r>
    </w:p>
    <w:p w:rsidR="005C7768" w:rsidRPr="00E8450A" w:rsidRDefault="005C7768" w:rsidP="005C7768">
      <w:pPr>
        <w:rPr>
          <w:noProof/>
          <w:highlight w:val="lightGray"/>
        </w:rPr>
      </w:pPr>
      <w:r w:rsidRPr="00E8450A">
        <w:rPr>
          <w:rStyle w:val="CRRefonteDeleted"/>
          <w:noProof/>
          <w:highlight w:val="lightGray"/>
        </w:rPr>
        <w:t>Nepresnosť (vyjadrená ako 95 % interval spoľahlivosti) metód použitých na hodnotenie koncentrácií okolitého ovzdušia sa vyhodnotí v súlade so zásadami CEN Príručky na vyjadrovanie neistôt pri meraniach (ENV 13005-1999), metodikou ISO 5725:1994 a usmernením uvedeným v CEN Správe o kvalite ovzdušia – Postup odhadu neistoty referenčných metód merania kvality okolitého ovzdušia (CR 14377:2002E). Percentá nepresnosti sú uvedené pre jednotlivé merania, z ktorých sa urobí priemer podľa typického času odberu vzorky pre 95 % interval spoľahlivosti. Nepresnosť meraní sa interpretuje ako taká, ktorá sa uplatňuje v oblasti príslušnej cieľovej hodnoty. Stále a indikatívne merania sa musia rovnomerne rozložiť na celý rok, aby sa predišlo skresleniu výsledkov.</w:t>
      </w:r>
    </w:p>
    <w:p w:rsidR="005C7768" w:rsidRPr="00E8450A" w:rsidRDefault="005C7768" w:rsidP="005C7768">
      <w:pPr>
        <w:rPr>
          <w:noProof/>
        </w:rPr>
      </w:pPr>
      <w:r w:rsidRPr="00E8450A">
        <w:rPr>
          <w:rStyle w:val="CRRefonteDeleted"/>
          <w:noProof/>
          <w:highlight w:val="lightGray"/>
        </w:rPr>
        <w:t>Požiadavky na minimálny zber údajov a časové pokrytie nezahŕňajú straty údajov v dôsledku pravidelnej kalibrácie alebo bežnej údržby prístrojov. Dvadsaťštyrihodinový odber vzoriek sa vyžaduje na meranie benzo(a)pyrénu a ďalších polycyklických aromatických uhľovodíkov. Pri dodržaní opatrnosti možno jednotlivé vzorky odobraté v období do jedného mesiaca spájať a analyzovať ako zloženú vzorku za predpokladu, že metóda zabezpečí, aby boli vzorky počas tohto obdobia stabilné. Tri rovnorodé zlúčeniny benzo(b)fluorantén, benzo(j)fluorantén, benzo(k)fluorantén môže byť ťažké analyticky rozložiť. V takýchto prípadoch sa môžu oznamovať ako súčet.</w:t>
      </w:r>
      <w:r w:rsidRPr="00E8450A">
        <w:rPr>
          <w:noProof/>
        </w:rPr>
        <w:fldChar w:fldCharType="begin"/>
      </w:r>
      <w:r w:rsidRPr="00E8450A">
        <w:rPr>
          <w:noProof/>
        </w:rPr>
        <w:instrText xml:space="preserve"> QUOTE "è" </w:instrText>
      </w:r>
      <w:r w:rsidRPr="00E8450A">
        <w:rPr>
          <w:noProof/>
        </w:rPr>
        <w:fldChar w:fldCharType="separate"/>
      </w:r>
      <w:r w:rsidRPr="00E8450A">
        <w:rPr>
          <w:rStyle w:val="CRMarker"/>
          <w:noProof/>
        </w:rPr>
        <w:t>è</w:t>
      </w:r>
      <w:r w:rsidRPr="00E8450A">
        <w:rPr>
          <w:noProof/>
        </w:rPr>
        <w:fldChar w:fldCharType="end"/>
      </w:r>
      <w:r w:rsidRPr="00E8450A">
        <w:rPr>
          <w:rStyle w:val="CRRefNum"/>
          <w:noProof/>
        </w:rPr>
        <w:t>1</w:t>
      </w:r>
      <w:r w:rsidRPr="00E8450A">
        <w:rPr>
          <w:noProof/>
        </w:rPr>
        <w:t> --- </w:t>
      </w:r>
      <w:r w:rsidRPr="00E8450A">
        <w:rPr>
          <w:noProof/>
        </w:rPr>
        <w:fldChar w:fldCharType="begin"/>
      </w:r>
      <w:r w:rsidRPr="00E8450A">
        <w:rPr>
          <w:noProof/>
        </w:rPr>
        <w:instrText xml:space="preserve"> QUOTE "ç" </w:instrText>
      </w:r>
      <w:r w:rsidRPr="00E8450A">
        <w:rPr>
          <w:noProof/>
        </w:rPr>
        <w:fldChar w:fldCharType="separate"/>
      </w:r>
      <w:r w:rsidRPr="00E8450A">
        <w:rPr>
          <w:rStyle w:val="CRMarker"/>
          <w:noProof/>
        </w:rPr>
        <w:t>ç</w:t>
      </w:r>
      <w:r w:rsidRPr="00E8450A">
        <w:rPr>
          <w:noProof/>
        </w:rPr>
        <w:fldChar w:fldCharType="end"/>
      </w:r>
      <w:r w:rsidRPr="00E8450A">
        <w:rPr>
          <w:noProof/>
        </w:rPr>
        <w:t xml:space="preserve"> </w:t>
      </w:r>
      <w:r w:rsidRPr="00E8450A">
        <w:rPr>
          <w:rStyle w:val="CRRefonteDeleted"/>
          <w:noProof/>
          <w:highlight w:val="lightGray"/>
        </w:rPr>
        <w:t>Odber vzoriek sa musí rozložiť rovnomerne na dni v týždni a počas roka. Na meranie rýchlosti depozície sa odporúčajú mesačné alebo týždenné odbery vzoriek počas celého roka.</w:t>
      </w:r>
    </w:p>
    <w:p w:rsidR="005C7768" w:rsidRPr="00E8450A" w:rsidRDefault="005C7768" w:rsidP="005C7768">
      <w:pPr>
        <w:pStyle w:val="CRSeparator"/>
        <w:rPr>
          <w:noProof/>
        </w:rPr>
      </w:pPr>
    </w:p>
    <w:p w:rsidR="005C7768" w:rsidRPr="00E8450A" w:rsidRDefault="005C7768" w:rsidP="005C7768">
      <w:pPr>
        <w:pStyle w:val="CRReference"/>
        <w:rPr>
          <w:noProof/>
        </w:rPr>
      </w:pPr>
      <w:r w:rsidRPr="00E8450A">
        <w:rPr>
          <w:noProof/>
        </w:rPr>
        <w:fldChar w:fldCharType="begin"/>
      </w:r>
      <w:r w:rsidRPr="00E8450A">
        <w:rPr>
          <w:noProof/>
        </w:rPr>
        <w:instrText xml:space="preserve"> QUOTE "ê" </w:instrText>
      </w:r>
      <w:r w:rsidRPr="00E8450A">
        <w:rPr>
          <w:noProof/>
        </w:rPr>
        <w:fldChar w:fldCharType="separate"/>
      </w:r>
      <w:r w:rsidRPr="00E8450A">
        <w:rPr>
          <w:rStyle w:val="CRMarker"/>
          <w:noProof/>
        </w:rPr>
        <w:t>ê</w:t>
      </w:r>
      <w:r w:rsidRPr="00E8450A">
        <w:rPr>
          <w:noProof/>
        </w:rPr>
        <w:fldChar w:fldCharType="end"/>
      </w:r>
      <w:r w:rsidRPr="00E8450A">
        <w:rPr>
          <w:noProof/>
        </w:rPr>
        <w:t> 2015/1480 článok 1 a bod 1 písm. c) prílohy I</w:t>
      </w:r>
    </w:p>
    <w:p w:rsidR="005C7768" w:rsidRPr="00E8450A" w:rsidRDefault="005C7768" w:rsidP="005C7768">
      <w:pPr>
        <w:rPr>
          <w:noProof/>
          <w:highlight w:val="lightGray"/>
        </w:rPr>
      </w:pPr>
      <w:r w:rsidRPr="00E8450A">
        <w:rPr>
          <w:rStyle w:val="CRRefonteDeleted"/>
          <w:noProof/>
          <w:highlight w:val="lightGray"/>
        </w:rPr>
        <w:t>Ustanovenia týkajúce sa jednotlivých vzoriek v predchádzajúcom odseku sa vzťahujú aj na arzén, kadmium, nikel a celkovú plynnú ortuť. Okrem toho sa povoľuje odber podvzoriek z filtrov PM10 určených pre kovy na účely následnej analýzy, ak existujú dôkazy o tom, že odber podvzoriek je reprezentatívny pre celok a ak v prípade porovnania s príslušnými cieľmi kvality údajov nedochádza k ohrozeniu citlivosti detekcie. Ako alternatíva k dennému odberu vzoriek sa povoľuje týždenný odber vzoriek kovov v PM</w:t>
      </w:r>
      <w:r w:rsidRPr="00E8450A">
        <w:rPr>
          <w:rStyle w:val="CRRefonteDeleted"/>
          <w:noProof/>
          <w:highlight w:val="lightGray"/>
          <w:vertAlign w:val="subscript"/>
        </w:rPr>
        <w:t>10</w:t>
      </w:r>
      <w:r w:rsidRPr="00E8450A">
        <w:rPr>
          <w:rStyle w:val="CRRefonteDeleted"/>
          <w:noProof/>
          <w:highlight w:val="lightGray"/>
        </w:rPr>
        <w:t>, a to za predpokladu, že nie sú ohrozené charakteristické znaky odberu.</w:t>
      </w:r>
    </w:p>
    <w:p w:rsidR="005C7768" w:rsidRPr="00E8450A" w:rsidRDefault="005C7768" w:rsidP="005C7768">
      <w:pPr>
        <w:pStyle w:val="CRSeparator"/>
        <w:rPr>
          <w:noProof/>
        </w:rPr>
      </w:pPr>
    </w:p>
    <w:p w:rsidR="005C7768" w:rsidRPr="00E8450A" w:rsidRDefault="005C7768" w:rsidP="005C7768">
      <w:pPr>
        <w:pStyle w:val="CRReference"/>
        <w:rPr>
          <w:noProof/>
        </w:rPr>
      </w:pPr>
      <w:r w:rsidRPr="00E8450A">
        <w:rPr>
          <w:noProof/>
        </w:rPr>
        <w:fldChar w:fldCharType="begin"/>
      </w:r>
      <w:r w:rsidRPr="00E8450A">
        <w:rPr>
          <w:noProof/>
        </w:rPr>
        <w:instrText xml:space="preserve"> QUOTE "ê" </w:instrText>
      </w:r>
      <w:r w:rsidRPr="00E8450A">
        <w:rPr>
          <w:noProof/>
        </w:rPr>
        <w:fldChar w:fldCharType="separate"/>
      </w:r>
      <w:r w:rsidRPr="00E8450A">
        <w:rPr>
          <w:rStyle w:val="CRMarker"/>
          <w:noProof/>
        </w:rPr>
        <w:t>ê</w:t>
      </w:r>
      <w:r w:rsidRPr="00E8450A">
        <w:rPr>
          <w:noProof/>
        </w:rPr>
        <w:fldChar w:fldCharType="end"/>
      </w:r>
      <w:r w:rsidRPr="00E8450A">
        <w:rPr>
          <w:noProof/>
        </w:rPr>
        <w:t> 2004/107/ES</w:t>
      </w:r>
    </w:p>
    <w:p w:rsidR="005C7768" w:rsidRPr="00E8450A" w:rsidRDefault="005C7768" w:rsidP="005C7768">
      <w:pPr>
        <w:rPr>
          <w:rStyle w:val="CRRefonteDeleted"/>
          <w:noProof/>
          <w:highlight w:val="lightGray"/>
        </w:rPr>
      </w:pPr>
      <w:r w:rsidRPr="00E8450A">
        <w:rPr>
          <w:rStyle w:val="CRRefonteDeleted"/>
          <w:noProof/>
          <w:highlight w:val="lightGray"/>
        </w:rPr>
        <w:t>Členské štáty môžu robiť len odber mokrej vzorky namiesto hromadnej, ak dokážu, že rozdiel medzi nimi je do 10 %. Rýchlosti depozície by sa mali všeobecne uvádzať v μg/m</w:t>
      </w:r>
      <w:r w:rsidRPr="00E8450A">
        <w:rPr>
          <w:rStyle w:val="CRRefonteDeleted"/>
          <w:noProof/>
          <w:highlight w:val="lightGray"/>
          <w:vertAlign w:val="superscript"/>
        </w:rPr>
        <w:t>2</w:t>
      </w:r>
      <w:r w:rsidRPr="00E8450A">
        <w:rPr>
          <w:rStyle w:val="CRRefonteDeleted"/>
          <w:noProof/>
          <w:highlight w:val="lightGray"/>
        </w:rPr>
        <w:t xml:space="preserve"> za deň.</w:t>
      </w:r>
    </w:p>
    <w:p w:rsidR="005C7768" w:rsidRPr="00E8450A" w:rsidRDefault="005C7768" w:rsidP="005C7768">
      <w:pPr>
        <w:rPr>
          <w:rStyle w:val="CRRefonteDeleted"/>
          <w:noProof/>
          <w:highlight w:val="lightGray"/>
        </w:rPr>
      </w:pPr>
      <w:r w:rsidRPr="00E8450A">
        <w:rPr>
          <w:rStyle w:val="CRRefonteDeleted"/>
          <w:noProof/>
          <w:highlight w:val="lightGray"/>
        </w:rPr>
        <w:t>Členské štáty môžu uplatňovať menšie minimálne časové pokrytie, ako je uvedené v tabuľke, ale nie menšie ako 14 % pre stále merania a 6 % pre indikatívne merania za predpokladu, že môžu preukázať, že bude splnená 95 % rozšírená nepresnosť ročného priemeru, vypočítaná z cieľov v kvalite údajov v tabuľke podľa ISO 11222:2002 – „Stanovenie neistoty priemernej hodnoty výsledkov meraní za daný časový interval pri meraniach kvality ovzdušia“.</w:t>
      </w:r>
    </w:p>
    <w:p w:rsidR="005C7768" w:rsidRPr="00E8450A" w:rsidRDefault="005C7768" w:rsidP="005C7768">
      <w:pPr>
        <w:pStyle w:val="ManualHeading1"/>
        <w:ind w:left="851" w:hanging="851"/>
        <w:rPr>
          <w:rStyle w:val="CRRefonteDeleted"/>
          <w:noProof/>
          <w:highlight w:val="lightGray"/>
        </w:rPr>
      </w:pPr>
      <w:r w:rsidRPr="00E8450A">
        <w:rPr>
          <w:rStyle w:val="CRRefonteDeleted"/>
          <w:noProof/>
          <w:highlight w:val="lightGray"/>
        </w:rPr>
        <w:t>II.</w:t>
      </w:r>
      <w:r w:rsidRPr="00E8450A">
        <w:rPr>
          <w:noProof/>
        </w:rPr>
        <w:tab/>
      </w:r>
      <w:r w:rsidRPr="00E8450A">
        <w:rPr>
          <w:rStyle w:val="CRRefonteDeleted"/>
          <w:noProof/>
          <w:highlight w:val="lightGray"/>
        </w:rPr>
        <w:t>Požiadavky na modely kvality ovzdušia</w:t>
      </w:r>
    </w:p>
    <w:p w:rsidR="005C7768" w:rsidRPr="00E8450A" w:rsidRDefault="005C7768" w:rsidP="005C7768">
      <w:pPr>
        <w:rPr>
          <w:rStyle w:val="CRRefonteDeleted"/>
          <w:noProof/>
          <w:highlight w:val="lightGray"/>
        </w:rPr>
      </w:pPr>
      <w:r w:rsidRPr="00E8450A">
        <w:rPr>
          <w:rStyle w:val="CRRefonteDeleted"/>
          <w:noProof/>
          <w:highlight w:val="lightGray"/>
        </w:rPr>
        <w:t>Kde sa na hodnotenie používa model kvality ovzdušia, zostavia sa odkazy na popisy modelu a informácie o nepresnosti. Nepresnosť pri modelovaní je definovaná ako maximálna odchýlka nameraných a vypočítaných úrovní koncentrácie počas celého roka, bez zohľadňovania načasovania udalostí.</w:t>
      </w:r>
    </w:p>
    <w:p w:rsidR="005C7768" w:rsidRPr="00E8450A" w:rsidRDefault="005C7768" w:rsidP="005C7768">
      <w:pPr>
        <w:pStyle w:val="ManualHeading1"/>
        <w:ind w:left="851" w:hanging="851"/>
        <w:rPr>
          <w:rStyle w:val="CRRefonteDeleted"/>
          <w:noProof/>
          <w:highlight w:val="lightGray"/>
        </w:rPr>
      </w:pPr>
      <w:r w:rsidRPr="00E8450A">
        <w:rPr>
          <w:rStyle w:val="CRRefonteDeleted"/>
          <w:noProof/>
          <w:highlight w:val="lightGray"/>
        </w:rPr>
        <w:t>III.</w:t>
      </w:r>
      <w:r w:rsidRPr="00E8450A">
        <w:rPr>
          <w:noProof/>
        </w:rPr>
        <w:tab/>
      </w:r>
      <w:r w:rsidRPr="00E8450A">
        <w:rPr>
          <w:rStyle w:val="CRRefonteDeleted"/>
          <w:noProof/>
          <w:highlight w:val="lightGray"/>
        </w:rPr>
        <w:t>Požiadavky na techniky objektívneho odhadu</w:t>
      </w:r>
    </w:p>
    <w:p w:rsidR="005C7768" w:rsidRPr="00E8450A" w:rsidRDefault="005C7768" w:rsidP="005C7768">
      <w:pPr>
        <w:rPr>
          <w:rStyle w:val="CRRefonteDeleted"/>
          <w:noProof/>
          <w:highlight w:val="lightGray"/>
        </w:rPr>
      </w:pPr>
      <w:r w:rsidRPr="00E8450A">
        <w:rPr>
          <w:rStyle w:val="CRRefonteDeleted"/>
          <w:noProof/>
          <w:highlight w:val="lightGray"/>
        </w:rPr>
        <w:t>Ak sa používajú techniky objektívneho odhadu, nepresnosť nesmie prekročiť 100 %.</w:t>
      </w:r>
    </w:p>
    <w:p w:rsidR="005C7768" w:rsidRPr="00E8450A" w:rsidRDefault="005C7768" w:rsidP="005C7768">
      <w:pPr>
        <w:pStyle w:val="ManualHeading1"/>
        <w:ind w:left="851" w:hanging="851"/>
        <w:rPr>
          <w:rStyle w:val="CRRefonteDeleted"/>
          <w:noProof/>
          <w:highlight w:val="lightGray"/>
        </w:rPr>
      </w:pPr>
      <w:r w:rsidRPr="00E8450A">
        <w:rPr>
          <w:rStyle w:val="CRRefonteDeleted"/>
          <w:noProof/>
          <w:highlight w:val="lightGray"/>
        </w:rPr>
        <w:t>IV.</w:t>
      </w:r>
      <w:r w:rsidRPr="00E8450A">
        <w:rPr>
          <w:noProof/>
        </w:rPr>
        <w:tab/>
      </w:r>
      <w:r w:rsidRPr="00E8450A">
        <w:rPr>
          <w:rStyle w:val="CRRefonteDeleted"/>
          <w:noProof/>
          <w:highlight w:val="lightGray"/>
        </w:rPr>
        <w:t>Štandardizácia</w:t>
      </w:r>
    </w:p>
    <w:p w:rsidR="005C7768" w:rsidRPr="00E8450A" w:rsidRDefault="005C7768" w:rsidP="005C7768">
      <w:pPr>
        <w:rPr>
          <w:rStyle w:val="CRRefonteDeleted"/>
          <w:noProof/>
          <w:highlight w:val="lightGray"/>
        </w:rPr>
      </w:pPr>
      <w:r w:rsidRPr="00E8450A">
        <w:rPr>
          <w:rStyle w:val="CRRefonteDeleted"/>
          <w:noProof/>
          <w:highlight w:val="lightGray"/>
        </w:rPr>
        <w:t>Pre látky, ktoré sa majú analyzovať vo frakcii PM</w:t>
      </w:r>
      <w:r w:rsidRPr="00E8450A">
        <w:rPr>
          <w:rStyle w:val="CRRefonteDeleted"/>
          <w:noProof/>
          <w:highlight w:val="lightGray"/>
          <w:vertAlign w:val="subscript"/>
        </w:rPr>
        <w:t>10</w:t>
      </w:r>
      <w:r w:rsidRPr="00E8450A">
        <w:rPr>
          <w:rStyle w:val="CRRefonteDeleted"/>
          <w:noProof/>
          <w:highlight w:val="lightGray"/>
        </w:rPr>
        <w:t>, sa objem vzorky vzťahuje na vonkajšie podmienky.</w:t>
      </w:r>
    </w:p>
    <w:p w:rsidR="005C7768" w:rsidRPr="00E8450A" w:rsidRDefault="005C7768" w:rsidP="005C7768">
      <w:pPr>
        <w:adjustRightInd w:val="0"/>
        <w:spacing w:before="0" w:after="0"/>
        <w:jc w:val="left"/>
        <w:rPr>
          <w:noProof/>
        </w:rPr>
        <w:sectPr w:rsidR="005C7768" w:rsidRPr="00E8450A" w:rsidSect="000A000C">
          <w:pgSz w:w="11906" w:h="16838"/>
          <w:pgMar w:top="1134" w:right="1418" w:bottom="1134" w:left="1418" w:header="709" w:footer="709" w:gutter="0"/>
          <w:cols w:space="709"/>
          <w:docGrid w:linePitch="326"/>
        </w:sectPr>
      </w:pPr>
    </w:p>
    <w:p w:rsidR="005C7768" w:rsidRPr="00E8450A" w:rsidRDefault="005C7768" w:rsidP="005C7768">
      <w:pPr>
        <w:pStyle w:val="CRSeparator"/>
        <w:rPr>
          <w:noProof/>
        </w:rPr>
      </w:pPr>
    </w:p>
    <w:p w:rsidR="005C7768" w:rsidRPr="00E8450A" w:rsidRDefault="005C7768" w:rsidP="005C7768">
      <w:pPr>
        <w:pStyle w:val="CRReference"/>
        <w:rPr>
          <w:noProof/>
        </w:rPr>
      </w:pPr>
      <w:r w:rsidRPr="00E8450A">
        <w:rPr>
          <w:noProof/>
        </w:rPr>
        <w:fldChar w:fldCharType="begin"/>
      </w:r>
      <w:r w:rsidRPr="00E8450A">
        <w:rPr>
          <w:noProof/>
        </w:rPr>
        <w:instrText xml:space="preserve"> QUOTE "ê" </w:instrText>
      </w:r>
      <w:r w:rsidRPr="00E8450A">
        <w:rPr>
          <w:noProof/>
        </w:rPr>
        <w:fldChar w:fldCharType="separate"/>
      </w:r>
      <w:r w:rsidRPr="00E8450A">
        <w:rPr>
          <w:rStyle w:val="CRMarker"/>
          <w:noProof/>
        </w:rPr>
        <w:t>ê</w:t>
      </w:r>
      <w:r w:rsidRPr="00E8450A">
        <w:rPr>
          <w:noProof/>
        </w:rPr>
        <w:fldChar w:fldCharType="end"/>
      </w:r>
      <w:r w:rsidRPr="00E8450A">
        <w:rPr>
          <w:noProof/>
        </w:rPr>
        <w:t> 2004/107</w:t>
      </w:r>
    </w:p>
    <w:p w:rsidR="005C7768" w:rsidRPr="00E8450A" w:rsidRDefault="005C7768" w:rsidP="00A058F2">
      <w:pPr>
        <w:jc w:val="center"/>
        <w:rPr>
          <w:rStyle w:val="CRRefonteDeleted"/>
          <w:b/>
          <w:noProof/>
          <w:highlight w:val="lightGray"/>
          <w:u w:val="single"/>
        </w:rPr>
      </w:pPr>
      <w:r w:rsidRPr="00E8450A">
        <w:rPr>
          <w:rStyle w:val="CRRefonteDeleted"/>
          <w:b/>
          <w:noProof/>
          <w:highlight w:val="lightGray"/>
          <w:u w:val="single"/>
        </w:rPr>
        <w:t>PRÍLOHA V</w:t>
      </w:r>
    </w:p>
    <w:p w:rsidR="005C7768" w:rsidRPr="00E8450A" w:rsidRDefault="005C7768" w:rsidP="005C7768">
      <w:pPr>
        <w:pStyle w:val="NormalCentered"/>
        <w:rPr>
          <w:rStyle w:val="CRRefonteDeleted"/>
          <w:noProof/>
          <w:highlight w:val="lightGray"/>
        </w:rPr>
      </w:pPr>
      <w:r w:rsidRPr="00E8450A">
        <w:rPr>
          <w:rStyle w:val="CRRefonteDeleted"/>
          <w:b/>
          <w:noProof/>
          <w:highlight w:val="lightGray"/>
        </w:rPr>
        <w:t>Referenčné metódy na hodnotenie koncentrácií v okolitom ovzduší a rýchlostí depozície</w:t>
      </w:r>
    </w:p>
    <w:p w:rsidR="005C7768" w:rsidRPr="00E8450A" w:rsidRDefault="005C7768" w:rsidP="005C7768">
      <w:pPr>
        <w:pStyle w:val="CRSeparator"/>
        <w:rPr>
          <w:noProof/>
        </w:rPr>
      </w:pPr>
    </w:p>
    <w:p w:rsidR="005C7768" w:rsidRPr="00E8450A" w:rsidRDefault="005C7768" w:rsidP="005C7768">
      <w:pPr>
        <w:pStyle w:val="CRReference"/>
        <w:rPr>
          <w:noProof/>
        </w:rPr>
      </w:pPr>
      <w:r w:rsidRPr="00E8450A">
        <w:rPr>
          <w:noProof/>
        </w:rPr>
        <w:fldChar w:fldCharType="begin"/>
      </w:r>
      <w:r w:rsidRPr="00E8450A">
        <w:rPr>
          <w:noProof/>
        </w:rPr>
        <w:instrText xml:space="preserve"> QUOTE "ê" </w:instrText>
      </w:r>
      <w:r w:rsidRPr="00E8450A">
        <w:rPr>
          <w:noProof/>
        </w:rPr>
        <w:fldChar w:fldCharType="separate"/>
      </w:r>
      <w:r w:rsidRPr="00E8450A">
        <w:rPr>
          <w:rStyle w:val="CRMarker"/>
          <w:noProof/>
        </w:rPr>
        <w:t>ê</w:t>
      </w:r>
      <w:r w:rsidRPr="00E8450A">
        <w:rPr>
          <w:noProof/>
        </w:rPr>
        <w:fldChar w:fldCharType="end"/>
      </w:r>
      <w:r w:rsidRPr="00E8450A">
        <w:rPr>
          <w:noProof/>
        </w:rPr>
        <w:t> 2015/1480 článok 1 a bod 2 prílohy I</w:t>
      </w:r>
    </w:p>
    <w:p w:rsidR="005C7768" w:rsidRPr="00E8450A" w:rsidRDefault="005C7768" w:rsidP="005C7768">
      <w:pPr>
        <w:pStyle w:val="ManualHeading1"/>
        <w:ind w:left="851" w:hanging="851"/>
        <w:rPr>
          <w:rStyle w:val="CRRefonteDeleted"/>
          <w:noProof/>
          <w:highlight w:val="lightGray"/>
        </w:rPr>
      </w:pPr>
      <w:r w:rsidRPr="00E8450A">
        <w:rPr>
          <w:rStyle w:val="CRRefonteDeleted"/>
          <w:noProof/>
          <w:highlight w:val="lightGray"/>
        </w:rPr>
        <w:t>I.</w:t>
      </w:r>
      <w:r w:rsidRPr="00E8450A">
        <w:rPr>
          <w:noProof/>
        </w:rPr>
        <w:tab/>
      </w:r>
      <w:r w:rsidRPr="00E8450A">
        <w:rPr>
          <w:rStyle w:val="CRRefonteDeleted"/>
          <w:i/>
          <w:noProof/>
          <w:highlight w:val="lightGray"/>
        </w:rPr>
        <w:t>Referenčná metóda na odber vzoriek a analýzu arzénu, kadmia a niklu v okolitom ovzduší</w:t>
      </w:r>
    </w:p>
    <w:p w:rsidR="005C7768" w:rsidRPr="00E8450A" w:rsidRDefault="005C7768" w:rsidP="005C7768">
      <w:pPr>
        <w:rPr>
          <w:rStyle w:val="CRRefonteDeleted"/>
          <w:noProof/>
          <w:highlight w:val="lightGray"/>
        </w:rPr>
      </w:pPr>
      <w:r w:rsidRPr="00E8450A">
        <w:rPr>
          <w:rStyle w:val="CRRefonteDeleted"/>
          <w:noProof/>
          <w:highlight w:val="lightGray"/>
        </w:rPr>
        <w:t>Referenčná metóda na odber vzoriek arzénu, kadmia a niklu v okolitom ovzduší je opísaná v EN 12341:2014. Referenčná metóda merania arzénu, kadmia a niklu v okolitom ovzduší je opísaná v EN 14902:2005 ‚Kvalita okolitého ovzdušia — Štandardná metóda merania Pb, Cd, As a Ni vo frakcii rozptýlených suspendovaných častíc PM</w:t>
      </w:r>
      <w:r w:rsidRPr="00E8450A">
        <w:rPr>
          <w:rStyle w:val="CRRefonteDeleted"/>
          <w:noProof/>
          <w:highlight w:val="lightGray"/>
          <w:vertAlign w:val="subscript"/>
        </w:rPr>
        <w:t>10</w:t>
      </w:r>
      <w:r w:rsidRPr="00E8450A">
        <w:rPr>
          <w:rStyle w:val="CRRefonteDeleted"/>
          <w:noProof/>
          <w:highlight w:val="lightGray"/>
        </w:rPr>
        <w:t>‘.</w:t>
      </w:r>
    </w:p>
    <w:p w:rsidR="005C7768" w:rsidRPr="00E8450A" w:rsidRDefault="005C7768" w:rsidP="005C7768">
      <w:pPr>
        <w:rPr>
          <w:rStyle w:val="CRRefonteDeleted"/>
          <w:noProof/>
          <w:highlight w:val="lightGray"/>
        </w:rPr>
      </w:pPr>
      <w:r w:rsidRPr="00E8450A">
        <w:rPr>
          <w:rStyle w:val="CRRefonteDeleted"/>
          <w:noProof/>
          <w:highlight w:val="lightGray"/>
        </w:rPr>
        <w:t>Členský štát môže použiť aj iné metódy, pri ktorých môže preukázať, že poskytujú výsledky ekvivalentné s vyššie uvedenou metódou.</w:t>
      </w:r>
    </w:p>
    <w:p w:rsidR="005C7768" w:rsidRPr="00E8450A" w:rsidRDefault="005C7768" w:rsidP="005C7768">
      <w:pPr>
        <w:pStyle w:val="ManualHeading1"/>
        <w:ind w:left="851" w:hanging="851"/>
        <w:rPr>
          <w:rStyle w:val="CRRefonteDeleted"/>
          <w:noProof/>
          <w:highlight w:val="lightGray"/>
        </w:rPr>
      </w:pPr>
      <w:r w:rsidRPr="00E8450A">
        <w:rPr>
          <w:rStyle w:val="CRRefonteDeleted"/>
          <w:noProof/>
          <w:highlight w:val="lightGray"/>
        </w:rPr>
        <w:t>II.</w:t>
      </w:r>
      <w:r w:rsidRPr="00E8450A">
        <w:rPr>
          <w:noProof/>
        </w:rPr>
        <w:tab/>
      </w:r>
      <w:r w:rsidRPr="00E8450A">
        <w:rPr>
          <w:rStyle w:val="CRRefonteDeleted"/>
          <w:i/>
          <w:noProof/>
          <w:highlight w:val="lightGray"/>
        </w:rPr>
        <w:t>Referenčná metóda na odber vzoriek a analýzu polycyklických aromatických uhľovodíkov v okolitom ovzduší</w:t>
      </w:r>
    </w:p>
    <w:p w:rsidR="005C7768" w:rsidRPr="00E8450A" w:rsidRDefault="005C7768" w:rsidP="005C7768">
      <w:pPr>
        <w:rPr>
          <w:rStyle w:val="CRRefonteDeleted"/>
          <w:noProof/>
          <w:highlight w:val="lightGray"/>
        </w:rPr>
      </w:pPr>
      <w:r w:rsidRPr="00E8450A">
        <w:rPr>
          <w:rStyle w:val="CRRefonteDeleted"/>
          <w:noProof/>
          <w:highlight w:val="lightGray"/>
        </w:rPr>
        <w:t>Referenčná metóda na odber vzoriek polycyklických aromatických uhľovodíkov v okolitom ovzduší je opísaná v EN 12341:2014. Referenčná metóda merania benzo(a)pyrénu v okolitom ovzduší je opísaná v EN 15549:2008 ‚Kvalita ovzdušia — Štandardná metóda merania koncentrácie benzo(a)pyrénu v okolitom ovzduší‘. V prípade absencie metódy podľa normy CEN pre iné polycyklické aromatické uhľovodíky uvedené v článku 4 ods. 8 môžu členské štáty použiť metódy podľa vnútroštátnych noriem alebo metódy podľa noriem ISO, akou je norma ISO 12884.</w:t>
      </w:r>
    </w:p>
    <w:p w:rsidR="005C7768" w:rsidRPr="00E8450A" w:rsidRDefault="005C7768" w:rsidP="005C7768">
      <w:pPr>
        <w:rPr>
          <w:rStyle w:val="CRRefonteDeleted"/>
          <w:noProof/>
          <w:highlight w:val="lightGray"/>
        </w:rPr>
      </w:pPr>
      <w:r w:rsidRPr="00E8450A">
        <w:rPr>
          <w:rStyle w:val="CRRefonteDeleted"/>
          <w:noProof/>
          <w:highlight w:val="lightGray"/>
        </w:rPr>
        <w:t>Členský štát môže použiť aj iné metódy, pri ktorých môže preukázať, že poskytujú výsledky ekvivalentné s vyššie uvedenou metódou.</w:t>
      </w:r>
    </w:p>
    <w:p w:rsidR="005C7768" w:rsidRPr="00E8450A" w:rsidRDefault="005C7768" w:rsidP="005C7768">
      <w:pPr>
        <w:pStyle w:val="ManualHeading1"/>
        <w:ind w:left="851" w:hanging="851"/>
        <w:rPr>
          <w:rStyle w:val="CRRefonteDeleted"/>
          <w:noProof/>
          <w:highlight w:val="lightGray"/>
        </w:rPr>
      </w:pPr>
      <w:r w:rsidRPr="00E8450A">
        <w:rPr>
          <w:rStyle w:val="CRRefonteDeleted"/>
          <w:noProof/>
          <w:highlight w:val="lightGray"/>
        </w:rPr>
        <w:t>III.</w:t>
      </w:r>
      <w:r w:rsidRPr="00E8450A">
        <w:rPr>
          <w:noProof/>
        </w:rPr>
        <w:tab/>
      </w:r>
      <w:r w:rsidRPr="00E8450A">
        <w:rPr>
          <w:rStyle w:val="CRRefonteDeleted"/>
          <w:i/>
          <w:noProof/>
          <w:highlight w:val="lightGray"/>
        </w:rPr>
        <w:t>Referenčná metóda na odber vzoriek a analýzu ortuti v okolitom ovzduší</w:t>
      </w:r>
    </w:p>
    <w:p w:rsidR="005C7768" w:rsidRPr="00E8450A" w:rsidRDefault="005C7768" w:rsidP="005C7768">
      <w:pPr>
        <w:rPr>
          <w:rStyle w:val="CRRefonteDeleted"/>
          <w:noProof/>
          <w:highlight w:val="lightGray"/>
        </w:rPr>
      </w:pPr>
      <w:r w:rsidRPr="00E8450A">
        <w:rPr>
          <w:rStyle w:val="CRRefonteDeleted"/>
          <w:noProof/>
          <w:highlight w:val="lightGray"/>
        </w:rPr>
        <w:t>Referenčná metóda merania koncentrácií celkovej plynnej ortuti v okolitom ovzduší je opísaná v EN 15852:2010 ‚Kvalita okolitého ovzdušia — Štandardná metóda stanovenia celkovej plynnej ortuti‘.</w:t>
      </w:r>
    </w:p>
    <w:p w:rsidR="005C7768" w:rsidRPr="00E8450A" w:rsidRDefault="005C7768" w:rsidP="005C7768">
      <w:pPr>
        <w:rPr>
          <w:rStyle w:val="CRRefonteDeleted"/>
          <w:noProof/>
          <w:highlight w:val="lightGray"/>
        </w:rPr>
      </w:pPr>
      <w:r w:rsidRPr="00E8450A">
        <w:rPr>
          <w:rStyle w:val="CRRefonteDeleted"/>
          <w:noProof/>
          <w:highlight w:val="lightGray"/>
        </w:rPr>
        <w:t>Členský štát môže použiť aj iné metódy, pri ktorých môže preukázať, že poskytujú výsledky ekvivalentné s vyššie uvedenou metódou.</w:t>
      </w:r>
    </w:p>
    <w:p w:rsidR="005C7768" w:rsidRPr="00E8450A" w:rsidRDefault="005C7768" w:rsidP="005C7768">
      <w:pPr>
        <w:pStyle w:val="ManualHeading1"/>
        <w:ind w:left="851" w:hanging="851"/>
        <w:rPr>
          <w:rStyle w:val="CRRefonteDeleted"/>
          <w:noProof/>
          <w:highlight w:val="lightGray"/>
        </w:rPr>
      </w:pPr>
      <w:r w:rsidRPr="00E8450A">
        <w:rPr>
          <w:rStyle w:val="CRRefonteDeleted"/>
          <w:noProof/>
          <w:highlight w:val="lightGray"/>
        </w:rPr>
        <w:t>IV.</w:t>
      </w:r>
      <w:r w:rsidRPr="00E8450A">
        <w:rPr>
          <w:noProof/>
        </w:rPr>
        <w:tab/>
      </w:r>
      <w:r w:rsidRPr="00E8450A">
        <w:rPr>
          <w:rStyle w:val="CRRefonteDeleted"/>
          <w:i/>
          <w:noProof/>
          <w:highlight w:val="lightGray"/>
        </w:rPr>
        <w:t>Referenčná metóda na odber vzoriek a analýzu depozície arzénu, kadmia, ortuti, niklu a polycyklických aromatických uhľovodíkov</w:t>
      </w:r>
    </w:p>
    <w:p w:rsidR="005C7768" w:rsidRPr="00E8450A" w:rsidRDefault="005C7768" w:rsidP="005C7768">
      <w:pPr>
        <w:rPr>
          <w:rStyle w:val="CRRefonteDeleted"/>
          <w:noProof/>
          <w:highlight w:val="lightGray"/>
        </w:rPr>
      </w:pPr>
      <w:r w:rsidRPr="00E8450A">
        <w:rPr>
          <w:rStyle w:val="CRRefonteDeleted"/>
          <w:noProof/>
          <w:highlight w:val="lightGray"/>
        </w:rPr>
        <w:t>Referenčná metóda na stanovenie depozície arzénu, kadmia a niklu je opísaná v EN 15841:2009 ‚Kvalita okolitého ovzdušia — Štandardná metóda na stanovenie atmosférickej depozície arzénu, kadmia, olova a niklu‘.</w:t>
      </w:r>
    </w:p>
    <w:p w:rsidR="005C7768" w:rsidRPr="00E8450A" w:rsidRDefault="005C7768" w:rsidP="005C7768">
      <w:pPr>
        <w:rPr>
          <w:rStyle w:val="CRRefonteDeleted"/>
          <w:noProof/>
          <w:highlight w:val="lightGray"/>
        </w:rPr>
      </w:pPr>
      <w:r w:rsidRPr="00E8450A">
        <w:rPr>
          <w:rStyle w:val="CRRefonteDeleted"/>
          <w:noProof/>
          <w:highlight w:val="lightGray"/>
        </w:rPr>
        <w:t>Referenčná metóda na stanovenie depozície ortuti je opísaná v EN 15853:2010 ‚Kvalita okolitého ovzdušia — Štandardná metóda na stanovenie depozície ortuti‘.</w:t>
      </w:r>
    </w:p>
    <w:p w:rsidR="005C7768" w:rsidRPr="00E8450A" w:rsidRDefault="005C7768" w:rsidP="005C7768">
      <w:pPr>
        <w:rPr>
          <w:rStyle w:val="CRRefonteDeleted"/>
          <w:noProof/>
          <w:highlight w:val="lightGray"/>
        </w:rPr>
      </w:pPr>
      <w:r w:rsidRPr="00E8450A">
        <w:rPr>
          <w:rStyle w:val="CRRefonteDeleted"/>
          <w:noProof/>
          <w:highlight w:val="lightGray"/>
        </w:rPr>
        <w:lastRenderedPageBreak/>
        <w:t>Referenčná metóda na stanovenie depozície benzo(a)pyrénu a iných polycyklických uhľovodíkov uvedených v článku 4 ods. 8 je opísaná v EN 15980:2011 ‚Kvalita ovzdušia. Stanovenie depozície benzo[a]antracénu, benzo[b]fluoranténu, benzo[j]fluoranténu, benzo[k]fluoranténu, benzo[a]pyrénu, dibenzo[a,h]antracénu a indeno[1,2,3-cd]pyrénu‘.</w:t>
      </w:r>
    </w:p>
    <w:p w:rsidR="005C7768" w:rsidRPr="00E8450A" w:rsidRDefault="005C7768" w:rsidP="005C7768">
      <w:pPr>
        <w:pStyle w:val="CRSeparator"/>
        <w:rPr>
          <w:noProof/>
        </w:rPr>
      </w:pPr>
    </w:p>
    <w:p w:rsidR="005C7768" w:rsidRPr="00E8450A" w:rsidRDefault="005C7768" w:rsidP="005C7768">
      <w:pPr>
        <w:pStyle w:val="CRReference"/>
        <w:rPr>
          <w:noProof/>
        </w:rPr>
      </w:pPr>
      <w:r w:rsidRPr="00E8450A">
        <w:rPr>
          <w:noProof/>
        </w:rPr>
        <w:fldChar w:fldCharType="begin"/>
      </w:r>
      <w:r w:rsidRPr="00E8450A">
        <w:rPr>
          <w:noProof/>
        </w:rPr>
        <w:instrText xml:space="preserve"> QUOTE "ê" </w:instrText>
      </w:r>
      <w:r w:rsidRPr="00E8450A">
        <w:rPr>
          <w:noProof/>
        </w:rPr>
        <w:fldChar w:fldCharType="separate"/>
      </w:r>
      <w:r w:rsidRPr="00E8450A">
        <w:rPr>
          <w:rStyle w:val="CRMarker"/>
          <w:noProof/>
        </w:rPr>
        <w:t>ê</w:t>
      </w:r>
      <w:r w:rsidRPr="00E8450A">
        <w:rPr>
          <w:noProof/>
        </w:rPr>
        <w:fldChar w:fldCharType="end"/>
      </w:r>
      <w:r w:rsidRPr="00E8450A">
        <w:rPr>
          <w:noProof/>
        </w:rPr>
        <w:t> 219/2009 článok 1 a bod 3.8 prílohy</w:t>
      </w:r>
    </w:p>
    <w:p w:rsidR="005C7768" w:rsidRPr="00E8450A" w:rsidRDefault="005C7768" w:rsidP="005C7768">
      <w:pPr>
        <w:pStyle w:val="ManualHeading1"/>
        <w:ind w:left="851" w:hanging="851"/>
        <w:rPr>
          <w:rStyle w:val="CRRefonteDeleted"/>
          <w:noProof/>
          <w:highlight w:val="lightGray"/>
        </w:rPr>
      </w:pPr>
      <w:r w:rsidRPr="00E8450A">
        <w:rPr>
          <w:rStyle w:val="CRRefonteDeleted"/>
          <w:noProof/>
          <w:highlight w:val="lightGray"/>
        </w:rPr>
        <w:t>V.</w:t>
      </w:r>
      <w:r w:rsidRPr="00E8450A">
        <w:rPr>
          <w:noProof/>
        </w:rPr>
        <w:tab/>
      </w:r>
      <w:r w:rsidRPr="00E8450A">
        <w:rPr>
          <w:rStyle w:val="CRRefonteDeleted"/>
          <w:noProof/>
          <w:highlight w:val="lightGray"/>
        </w:rPr>
        <w:t>Referenčné techniky modelovania kvality ovzdušia</w:t>
      </w:r>
    </w:p>
    <w:p w:rsidR="005C7768" w:rsidRPr="00E8450A" w:rsidRDefault="005C7768" w:rsidP="005C7768">
      <w:pPr>
        <w:rPr>
          <w:rStyle w:val="CRRefonteDeleted"/>
          <w:noProof/>
          <w:highlight w:val="lightGray"/>
        </w:rPr>
      </w:pPr>
      <w:r w:rsidRPr="00E8450A">
        <w:rPr>
          <w:rStyle w:val="CRRefonteDeleted"/>
          <w:noProof/>
          <w:highlight w:val="lightGray"/>
        </w:rPr>
        <w:t>Referenčné techniky modelovania sa v súčasnosti nedajú určiť. Komisia môže vykonať zmeny a doplnenia na prispôsobenie tohto bodu vedecko-technickému pokroku. Tieto opatrenia zamerané na zmenu nepodstatných prvkov tejto smernice sa prijmú v súlade s regulačným postupom s kontrolou uvedeným v článku 6 ods. 3.</w:t>
      </w:r>
    </w:p>
    <w:p w:rsidR="005C7768" w:rsidRPr="00E8450A" w:rsidRDefault="005C7768" w:rsidP="005C7768">
      <w:pPr>
        <w:adjustRightInd w:val="0"/>
        <w:spacing w:before="0" w:after="0"/>
        <w:jc w:val="left"/>
        <w:rPr>
          <w:noProof/>
        </w:rPr>
        <w:sectPr w:rsidR="005C7768" w:rsidRPr="00E8450A" w:rsidSect="000A000C">
          <w:pgSz w:w="11906" w:h="16838"/>
          <w:pgMar w:top="1134" w:right="1418" w:bottom="1134" w:left="1418" w:header="709" w:footer="709" w:gutter="0"/>
          <w:cols w:space="709"/>
          <w:docGrid w:linePitch="326"/>
        </w:sectPr>
      </w:pPr>
    </w:p>
    <w:p w:rsidR="005C7768" w:rsidRPr="00E8450A" w:rsidRDefault="005C7768" w:rsidP="005C7768">
      <w:pPr>
        <w:pStyle w:val="CRSeparator"/>
        <w:rPr>
          <w:noProof/>
        </w:rPr>
      </w:pPr>
    </w:p>
    <w:p w:rsidR="005C7768" w:rsidRPr="00E8450A" w:rsidRDefault="005C7768" w:rsidP="005C7768">
      <w:pPr>
        <w:pStyle w:val="CRReference"/>
        <w:rPr>
          <w:noProof/>
        </w:rPr>
      </w:pPr>
      <w:r w:rsidRPr="00E8450A">
        <w:rPr>
          <w:noProof/>
        </w:rPr>
        <w:fldChar w:fldCharType="begin"/>
      </w:r>
      <w:r w:rsidRPr="00E8450A">
        <w:rPr>
          <w:noProof/>
        </w:rPr>
        <w:instrText xml:space="preserve"> QUOTE "ê" </w:instrText>
      </w:r>
      <w:r w:rsidRPr="00E8450A">
        <w:rPr>
          <w:noProof/>
        </w:rPr>
        <w:fldChar w:fldCharType="separate"/>
      </w:r>
      <w:r w:rsidRPr="00E8450A">
        <w:rPr>
          <w:rStyle w:val="CRMarker"/>
          <w:noProof/>
        </w:rPr>
        <w:t>ê</w:t>
      </w:r>
      <w:r w:rsidRPr="00E8450A">
        <w:rPr>
          <w:noProof/>
        </w:rPr>
        <w:fldChar w:fldCharType="end"/>
      </w:r>
      <w:r w:rsidRPr="00E8450A">
        <w:rPr>
          <w:noProof/>
        </w:rPr>
        <w:t> 2008/50</w:t>
      </w:r>
    </w:p>
    <w:p w:rsidR="005C7768" w:rsidRPr="00E8450A" w:rsidRDefault="005C7768" w:rsidP="00DA5703">
      <w:pPr>
        <w:jc w:val="center"/>
        <w:rPr>
          <w:rStyle w:val="CRRefonteDeleted"/>
          <w:b/>
          <w:noProof/>
          <w:highlight w:val="lightGray"/>
          <w:u w:val="single"/>
        </w:rPr>
      </w:pPr>
      <w:r w:rsidRPr="00E8450A">
        <w:rPr>
          <w:rStyle w:val="CRRefonteDeleted"/>
          <w:b/>
          <w:noProof/>
          <w:highlight w:val="lightGray"/>
          <w:u w:val="single"/>
        </w:rPr>
        <w:t>PRÍLOHA I</w:t>
      </w:r>
    </w:p>
    <w:p w:rsidR="005C7768" w:rsidRPr="00E8450A" w:rsidRDefault="005C7768" w:rsidP="005C7768">
      <w:pPr>
        <w:pStyle w:val="NormalCentered"/>
        <w:rPr>
          <w:rStyle w:val="CRRefonteDeleted"/>
          <w:noProof/>
          <w:highlight w:val="lightGray"/>
        </w:rPr>
      </w:pPr>
      <w:r w:rsidRPr="00E8450A">
        <w:rPr>
          <w:rStyle w:val="CRRefonteDeleted"/>
          <w:b/>
          <w:noProof/>
          <w:highlight w:val="lightGray"/>
        </w:rPr>
        <w:t>CIELE KVALITY ÚDAJOV</w:t>
      </w:r>
    </w:p>
    <w:p w:rsidR="005C7768" w:rsidRPr="00E8450A" w:rsidRDefault="005C7768" w:rsidP="005812BF">
      <w:pPr>
        <w:pStyle w:val="ManualHeading1"/>
        <w:ind w:left="851" w:hanging="851"/>
        <w:rPr>
          <w:rStyle w:val="CRRefonteDeleted"/>
          <w:noProof/>
          <w:highlight w:val="lightGray"/>
        </w:rPr>
      </w:pPr>
      <w:r w:rsidRPr="00E8450A">
        <w:rPr>
          <w:rStyle w:val="CRRefonteDeleted"/>
          <w:noProof/>
          <w:highlight w:val="lightGray"/>
        </w:rPr>
        <w:t>A</w:t>
      </w:r>
      <w:r w:rsidR="005812BF">
        <w:rPr>
          <w:rStyle w:val="CRRefonteDeleted"/>
          <w:noProof/>
          <w:highlight w:val="lightGray"/>
        </w:rPr>
        <w:t>)</w:t>
      </w:r>
      <w:r w:rsidRPr="00E8450A">
        <w:rPr>
          <w:noProof/>
        </w:rPr>
        <w:tab/>
      </w:r>
      <w:r w:rsidRPr="00E8450A">
        <w:rPr>
          <w:rStyle w:val="CRRefonteDeleted"/>
          <w:noProof/>
          <w:highlight w:val="lightGray"/>
        </w:rPr>
        <w:t>Ciele kvality údajov pre hodnotenie kvality okolitého ovzdušia</w:t>
      </w:r>
    </w:p>
    <w:tbl>
      <w:tblPr>
        <w:tblW w:w="0" w:type="auto"/>
        <w:tblLayout w:type="fixed"/>
        <w:tblLook w:val="0000" w:firstRow="0" w:lastRow="0" w:firstColumn="0" w:lastColumn="0" w:noHBand="0" w:noVBand="0"/>
      </w:tblPr>
      <w:tblGrid>
        <w:gridCol w:w="1950"/>
        <w:gridCol w:w="2507"/>
        <w:gridCol w:w="1207"/>
        <w:gridCol w:w="2043"/>
        <w:gridCol w:w="1579"/>
      </w:tblGrid>
      <w:tr w:rsidR="005C7768" w:rsidRPr="00E8450A" w:rsidTr="00335440">
        <w:tc>
          <w:tcPr>
            <w:tcW w:w="1950"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adjustRightInd w:val="0"/>
              <w:spacing w:before="0" w:after="0"/>
              <w:jc w:val="left"/>
              <w:rPr>
                <w:rStyle w:val="CRRefonteDeleted"/>
                <w:noProof/>
                <w:highlight w:val="lightGray"/>
              </w:rPr>
            </w:pPr>
          </w:p>
        </w:tc>
        <w:tc>
          <w:tcPr>
            <w:tcW w:w="2507"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Centered"/>
              <w:rPr>
                <w:rStyle w:val="CRRefonteDeleted"/>
                <w:noProof/>
                <w:highlight w:val="lightGray"/>
              </w:rPr>
            </w:pPr>
            <w:r w:rsidRPr="00E8450A">
              <w:rPr>
                <w:rStyle w:val="CRRefonteDeleted"/>
                <w:noProof/>
                <w:highlight w:val="lightGray"/>
              </w:rPr>
              <w:t>Oxid siričitý, oxid dusičitý, oxidy dusíka a oxid uhoľnatý</w:t>
            </w:r>
          </w:p>
        </w:tc>
        <w:tc>
          <w:tcPr>
            <w:tcW w:w="1207"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Centered"/>
              <w:rPr>
                <w:rStyle w:val="CRRefonteDeleted"/>
                <w:noProof/>
                <w:highlight w:val="lightGray"/>
              </w:rPr>
            </w:pPr>
            <w:r w:rsidRPr="00E8450A">
              <w:rPr>
                <w:rStyle w:val="CRRefonteDeleted"/>
                <w:noProof/>
                <w:highlight w:val="lightGray"/>
              </w:rPr>
              <w:t>Benzén</w:t>
            </w:r>
          </w:p>
        </w:tc>
        <w:tc>
          <w:tcPr>
            <w:tcW w:w="2043"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Centered"/>
              <w:rPr>
                <w:rStyle w:val="CRRefonteDeleted"/>
                <w:noProof/>
                <w:highlight w:val="lightGray"/>
              </w:rPr>
            </w:pPr>
            <w:r w:rsidRPr="00E8450A">
              <w:rPr>
                <w:rStyle w:val="CRRefonteDeleted"/>
                <w:noProof/>
                <w:highlight w:val="lightGray"/>
              </w:rPr>
              <w:t>Suspendované častice (PM</w:t>
            </w:r>
            <w:r w:rsidRPr="00E8450A">
              <w:rPr>
                <w:rStyle w:val="CRRefonteDeleted"/>
                <w:noProof/>
                <w:highlight w:val="lightGray"/>
                <w:vertAlign w:val="subscript"/>
              </w:rPr>
              <w:t>10</w:t>
            </w:r>
            <w:r w:rsidRPr="00E8450A">
              <w:rPr>
                <w:rStyle w:val="CRRefonteDeleted"/>
                <w:noProof/>
                <w:highlight w:val="lightGray"/>
              </w:rPr>
              <w:t>/PM</w:t>
            </w:r>
            <w:r w:rsidRPr="00E8450A">
              <w:rPr>
                <w:rStyle w:val="CRRefonteDeleted"/>
                <w:noProof/>
                <w:highlight w:val="lightGray"/>
                <w:vertAlign w:val="subscript"/>
              </w:rPr>
              <w:t>2,5</w:t>
            </w:r>
            <w:r w:rsidRPr="00E8450A">
              <w:rPr>
                <w:rStyle w:val="CRRefonteDeleted"/>
                <w:noProof/>
                <w:highlight w:val="lightGray"/>
              </w:rPr>
              <w:t>) a olovo</w:t>
            </w:r>
          </w:p>
        </w:tc>
        <w:tc>
          <w:tcPr>
            <w:tcW w:w="1579"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Centered"/>
              <w:rPr>
                <w:rStyle w:val="CRRefonteDeleted"/>
                <w:noProof/>
                <w:highlight w:val="lightGray"/>
              </w:rPr>
            </w:pPr>
            <w:r w:rsidRPr="00E8450A">
              <w:rPr>
                <w:rStyle w:val="CRRefonteDeleted"/>
                <w:noProof/>
                <w:highlight w:val="lightGray"/>
              </w:rPr>
              <w:t>Ozón a súvisiace NO a NO</w:t>
            </w:r>
            <w:r w:rsidRPr="00E8450A">
              <w:rPr>
                <w:rStyle w:val="CRRefonteDeleted"/>
                <w:noProof/>
                <w:highlight w:val="lightGray"/>
                <w:vertAlign w:val="subscript"/>
              </w:rPr>
              <w:t>2</w:t>
            </w:r>
          </w:p>
        </w:tc>
      </w:tr>
      <w:tr w:rsidR="005C7768" w:rsidRPr="00E8450A" w:rsidTr="00335440">
        <w:tc>
          <w:tcPr>
            <w:tcW w:w="1950"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t>Stále merania</w:t>
            </w:r>
            <w:r w:rsidRPr="00E8450A">
              <w:rPr>
                <w:rStyle w:val="CRRefonteDeleted"/>
                <w:noProof/>
                <w:highlight w:val="lightGray"/>
                <w:vertAlign w:val="superscript"/>
              </w:rPr>
              <w:footnoteReference w:id="9"/>
            </w:r>
          </w:p>
        </w:tc>
        <w:tc>
          <w:tcPr>
            <w:tcW w:w="2507"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p>
        </w:tc>
        <w:tc>
          <w:tcPr>
            <w:tcW w:w="1207"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p>
        </w:tc>
        <w:tc>
          <w:tcPr>
            <w:tcW w:w="2043"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p>
        </w:tc>
        <w:tc>
          <w:tcPr>
            <w:tcW w:w="1579"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p>
        </w:tc>
      </w:tr>
      <w:tr w:rsidR="005C7768" w:rsidRPr="00E8450A" w:rsidTr="00335440">
        <w:tc>
          <w:tcPr>
            <w:tcW w:w="1950"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t>Neistota</w:t>
            </w:r>
          </w:p>
        </w:tc>
        <w:tc>
          <w:tcPr>
            <w:tcW w:w="2507"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t>15 %</w:t>
            </w:r>
          </w:p>
        </w:tc>
        <w:tc>
          <w:tcPr>
            <w:tcW w:w="1207"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t>25 %</w:t>
            </w:r>
          </w:p>
        </w:tc>
        <w:tc>
          <w:tcPr>
            <w:tcW w:w="2043"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t>25 %</w:t>
            </w:r>
          </w:p>
        </w:tc>
        <w:tc>
          <w:tcPr>
            <w:tcW w:w="1579"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t>15 %</w:t>
            </w:r>
          </w:p>
        </w:tc>
      </w:tr>
      <w:tr w:rsidR="005C7768" w:rsidRPr="00E8450A" w:rsidTr="00335440">
        <w:tc>
          <w:tcPr>
            <w:tcW w:w="1950"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t>Minimálny počet údajov</w:t>
            </w:r>
          </w:p>
        </w:tc>
        <w:tc>
          <w:tcPr>
            <w:tcW w:w="2507"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t>90 %</w:t>
            </w:r>
          </w:p>
        </w:tc>
        <w:tc>
          <w:tcPr>
            <w:tcW w:w="1207"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t>90 %</w:t>
            </w:r>
          </w:p>
        </w:tc>
        <w:tc>
          <w:tcPr>
            <w:tcW w:w="2043"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t>90 %</w:t>
            </w:r>
          </w:p>
        </w:tc>
        <w:tc>
          <w:tcPr>
            <w:tcW w:w="1579"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t>90 % počas leta</w:t>
            </w:r>
          </w:p>
          <w:p w:rsidR="005C7768" w:rsidRPr="00E8450A" w:rsidRDefault="005C7768" w:rsidP="00335440">
            <w:pPr>
              <w:pStyle w:val="NormalLeft"/>
              <w:rPr>
                <w:rStyle w:val="CRRefonteDeleted"/>
                <w:noProof/>
                <w:highlight w:val="lightGray"/>
              </w:rPr>
            </w:pPr>
            <w:r w:rsidRPr="00E8450A">
              <w:rPr>
                <w:rStyle w:val="CRRefonteDeleted"/>
                <w:noProof/>
                <w:highlight w:val="lightGray"/>
              </w:rPr>
              <w:t>75 % počas zimy</w:t>
            </w:r>
          </w:p>
        </w:tc>
      </w:tr>
      <w:tr w:rsidR="005C7768" w:rsidRPr="00E8450A" w:rsidTr="00335440">
        <w:tc>
          <w:tcPr>
            <w:tcW w:w="1950"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t>Minimálne časové pokrytie:</w:t>
            </w:r>
          </w:p>
        </w:tc>
        <w:tc>
          <w:tcPr>
            <w:tcW w:w="2507"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p>
        </w:tc>
        <w:tc>
          <w:tcPr>
            <w:tcW w:w="1207"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p>
        </w:tc>
        <w:tc>
          <w:tcPr>
            <w:tcW w:w="2043"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p>
        </w:tc>
        <w:tc>
          <w:tcPr>
            <w:tcW w:w="1579"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p>
        </w:tc>
      </w:tr>
      <w:tr w:rsidR="005C7768" w:rsidRPr="00E8450A" w:rsidTr="00335440">
        <w:tc>
          <w:tcPr>
            <w:tcW w:w="1950"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t>—</w:t>
            </w:r>
            <w:r w:rsidRPr="00E8450A">
              <w:rPr>
                <w:noProof/>
              </w:rPr>
              <w:tab/>
            </w:r>
            <w:r w:rsidRPr="00E8450A">
              <w:rPr>
                <w:rStyle w:val="CRRefonteDeleted"/>
                <w:noProof/>
                <w:highlight w:val="lightGray"/>
              </w:rPr>
              <w:t>mestské pozadie a doprava</w:t>
            </w:r>
          </w:p>
        </w:tc>
        <w:tc>
          <w:tcPr>
            <w:tcW w:w="2507"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t>—</w:t>
            </w:r>
          </w:p>
        </w:tc>
        <w:tc>
          <w:tcPr>
            <w:tcW w:w="1207"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t>35 %</w:t>
            </w:r>
            <w:r w:rsidRPr="00E8450A">
              <w:rPr>
                <w:rStyle w:val="CRRefonteDeleted"/>
                <w:noProof/>
                <w:highlight w:val="lightGray"/>
                <w:vertAlign w:val="superscript"/>
              </w:rPr>
              <w:footnoteReference w:id="10"/>
            </w:r>
          </w:p>
        </w:tc>
        <w:tc>
          <w:tcPr>
            <w:tcW w:w="2043"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t>—</w:t>
            </w:r>
          </w:p>
        </w:tc>
        <w:tc>
          <w:tcPr>
            <w:tcW w:w="1579"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t>—</w:t>
            </w:r>
          </w:p>
        </w:tc>
      </w:tr>
      <w:tr w:rsidR="005C7768" w:rsidRPr="00E8450A" w:rsidTr="00335440">
        <w:tc>
          <w:tcPr>
            <w:tcW w:w="1950"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t>—</w:t>
            </w:r>
            <w:r w:rsidRPr="00E8450A">
              <w:rPr>
                <w:noProof/>
              </w:rPr>
              <w:tab/>
            </w:r>
            <w:r w:rsidRPr="00E8450A">
              <w:rPr>
                <w:rStyle w:val="CRRefonteDeleted"/>
                <w:noProof/>
                <w:highlight w:val="lightGray"/>
              </w:rPr>
              <w:t>priemyselné oblasti</w:t>
            </w:r>
          </w:p>
        </w:tc>
        <w:tc>
          <w:tcPr>
            <w:tcW w:w="2507"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t>—</w:t>
            </w:r>
          </w:p>
        </w:tc>
        <w:tc>
          <w:tcPr>
            <w:tcW w:w="1207"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t>90 %</w:t>
            </w:r>
          </w:p>
        </w:tc>
        <w:tc>
          <w:tcPr>
            <w:tcW w:w="2043"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t>—</w:t>
            </w:r>
          </w:p>
        </w:tc>
        <w:tc>
          <w:tcPr>
            <w:tcW w:w="1579"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t>—</w:t>
            </w:r>
          </w:p>
        </w:tc>
      </w:tr>
      <w:tr w:rsidR="005C7768" w:rsidRPr="00E8450A" w:rsidTr="00335440">
        <w:tc>
          <w:tcPr>
            <w:tcW w:w="1950"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t>Indikatívne merania</w:t>
            </w:r>
          </w:p>
        </w:tc>
        <w:tc>
          <w:tcPr>
            <w:tcW w:w="2507"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p>
        </w:tc>
        <w:tc>
          <w:tcPr>
            <w:tcW w:w="1207"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p>
        </w:tc>
        <w:tc>
          <w:tcPr>
            <w:tcW w:w="2043"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p>
        </w:tc>
        <w:tc>
          <w:tcPr>
            <w:tcW w:w="1579"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p>
        </w:tc>
      </w:tr>
      <w:tr w:rsidR="005C7768" w:rsidRPr="00E8450A" w:rsidTr="00335440">
        <w:tc>
          <w:tcPr>
            <w:tcW w:w="1950"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t>Neistota</w:t>
            </w:r>
          </w:p>
        </w:tc>
        <w:tc>
          <w:tcPr>
            <w:tcW w:w="2507"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t>25 %</w:t>
            </w:r>
          </w:p>
        </w:tc>
        <w:tc>
          <w:tcPr>
            <w:tcW w:w="1207"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t>30 %</w:t>
            </w:r>
          </w:p>
        </w:tc>
        <w:tc>
          <w:tcPr>
            <w:tcW w:w="2043"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t>50 %</w:t>
            </w:r>
          </w:p>
        </w:tc>
        <w:tc>
          <w:tcPr>
            <w:tcW w:w="1579"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t>30 %</w:t>
            </w:r>
          </w:p>
        </w:tc>
      </w:tr>
      <w:tr w:rsidR="005C7768" w:rsidRPr="00E8450A" w:rsidTr="00335440">
        <w:tc>
          <w:tcPr>
            <w:tcW w:w="1950"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t>Minimálny počet údajov</w:t>
            </w:r>
          </w:p>
        </w:tc>
        <w:tc>
          <w:tcPr>
            <w:tcW w:w="2507"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t>90 %</w:t>
            </w:r>
          </w:p>
        </w:tc>
        <w:tc>
          <w:tcPr>
            <w:tcW w:w="1207"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t>90 %</w:t>
            </w:r>
          </w:p>
        </w:tc>
        <w:tc>
          <w:tcPr>
            <w:tcW w:w="2043"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t>90 %</w:t>
            </w:r>
          </w:p>
        </w:tc>
        <w:tc>
          <w:tcPr>
            <w:tcW w:w="1579"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t>90 %</w:t>
            </w:r>
          </w:p>
        </w:tc>
      </w:tr>
      <w:tr w:rsidR="005C7768" w:rsidRPr="00E8450A" w:rsidTr="00335440">
        <w:tc>
          <w:tcPr>
            <w:tcW w:w="1950"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lastRenderedPageBreak/>
              <w:t>Minimálne časové pokrytie</w:t>
            </w:r>
          </w:p>
        </w:tc>
        <w:tc>
          <w:tcPr>
            <w:tcW w:w="2507"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t>14 %</w:t>
            </w:r>
            <w:r w:rsidRPr="00E8450A">
              <w:rPr>
                <w:rStyle w:val="CRRefonteDeleted"/>
                <w:noProof/>
                <w:highlight w:val="lightGray"/>
                <w:vertAlign w:val="superscript"/>
              </w:rPr>
              <w:footnoteReference w:id="11"/>
            </w:r>
          </w:p>
        </w:tc>
        <w:tc>
          <w:tcPr>
            <w:tcW w:w="1207"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t>14 %</w:t>
            </w:r>
            <w:r w:rsidRPr="00E8450A">
              <w:rPr>
                <w:rStyle w:val="CRRefonteDeleted"/>
                <w:noProof/>
                <w:highlight w:val="lightGray"/>
                <w:vertAlign w:val="superscript"/>
              </w:rPr>
              <w:footnoteReference w:id="12"/>
            </w:r>
          </w:p>
        </w:tc>
        <w:tc>
          <w:tcPr>
            <w:tcW w:w="2043"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t>14 %</w:t>
            </w:r>
            <w:r w:rsidRPr="00E8450A">
              <w:rPr>
                <w:rStyle w:val="CRRefonteDeleted"/>
                <w:noProof/>
                <w:highlight w:val="lightGray"/>
                <w:vertAlign w:val="superscript"/>
              </w:rPr>
              <w:footnoteReference w:id="13"/>
            </w:r>
          </w:p>
        </w:tc>
        <w:tc>
          <w:tcPr>
            <w:tcW w:w="1579"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t>&gt; 10 % počas leta</w:t>
            </w:r>
          </w:p>
        </w:tc>
      </w:tr>
      <w:tr w:rsidR="005C7768" w:rsidRPr="00E8450A" w:rsidTr="00335440">
        <w:tc>
          <w:tcPr>
            <w:tcW w:w="1950"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t>Modelovanie neistoty:</w:t>
            </w:r>
          </w:p>
        </w:tc>
        <w:tc>
          <w:tcPr>
            <w:tcW w:w="2507"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p>
        </w:tc>
        <w:tc>
          <w:tcPr>
            <w:tcW w:w="1207"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p>
        </w:tc>
        <w:tc>
          <w:tcPr>
            <w:tcW w:w="2043"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p>
        </w:tc>
        <w:tc>
          <w:tcPr>
            <w:tcW w:w="1579"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p>
        </w:tc>
      </w:tr>
      <w:tr w:rsidR="005C7768" w:rsidRPr="00E8450A" w:rsidTr="00335440">
        <w:tc>
          <w:tcPr>
            <w:tcW w:w="1950"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t>Hodinové priemery</w:t>
            </w:r>
          </w:p>
        </w:tc>
        <w:tc>
          <w:tcPr>
            <w:tcW w:w="2507"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t>50 %</w:t>
            </w:r>
          </w:p>
        </w:tc>
        <w:tc>
          <w:tcPr>
            <w:tcW w:w="1207"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t>—</w:t>
            </w:r>
          </w:p>
        </w:tc>
        <w:tc>
          <w:tcPr>
            <w:tcW w:w="2043"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t>—</w:t>
            </w:r>
          </w:p>
        </w:tc>
        <w:tc>
          <w:tcPr>
            <w:tcW w:w="1579"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t>50 %</w:t>
            </w:r>
          </w:p>
        </w:tc>
      </w:tr>
      <w:tr w:rsidR="005C7768" w:rsidRPr="00E8450A" w:rsidTr="00335440">
        <w:tc>
          <w:tcPr>
            <w:tcW w:w="1950"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t>Osemhodinové priemery</w:t>
            </w:r>
          </w:p>
        </w:tc>
        <w:tc>
          <w:tcPr>
            <w:tcW w:w="2507"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t>50 %</w:t>
            </w:r>
          </w:p>
        </w:tc>
        <w:tc>
          <w:tcPr>
            <w:tcW w:w="1207"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t>—</w:t>
            </w:r>
          </w:p>
        </w:tc>
        <w:tc>
          <w:tcPr>
            <w:tcW w:w="2043"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t>—</w:t>
            </w:r>
          </w:p>
        </w:tc>
        <w:tc>
          <w:tcPr>
            <w:tcW w:w="1579"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t>50 %</w:t>
            </w:r>
          </w:p>
        </w:tc>
      </w:tr>
      <w:tr w:rsidR="005C7768" w:rsidRPr="00E8450A" w:rsidTr="00335440">
        <w:tc>
          <w:tcPr>
            <w:tcW w:w="1950"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t>Denné priemery</w:t>
            </w:r>
          </w:p>
        </w:tc>
        <w:tc>
          <w:tcPr>
            <w:tcW w:w="2507"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t>50 %</w:t>
            </w:r>
          </w:p>
        </w:tc>
        <w:tc>
          <w:tcPr>
            <w:tcW w:w="1207"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t>—</w:t>
            </w:r>
          </w:p>
        </w:tc>
        <w:tc>
          <w:tcPr>
            <w:tcW w:w="2043"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t>ešte neurčené</w:t>
            </w:r>
          </w:p>
        </w:tc>
        <w:tc>
          <w:tcPr>
            <w:tcW w:w="1579"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t>—</w:t>
            </w:r>
          </w:p>
        </w:tc>
      </w:tr>
      <w:tr w:rsidR="005C7768" w:rsidRPr="00E8450A" w:rsidTr="00335440">
        <w:tc>
          <w:tcPr>
            <w:tcW w:w="1950"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t>Ročné priemery</w:t>
            </w:r>
          </w:p>
        </w:tc>
        <w:tc>
          <w:tcPr>
            <w:tcW w:w="2507"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t>30 %</w:t>
            </w:r>
          </w:p>
        </w:tc>
        <w:tc>
          <w:tcPr>
            <w:tcW w:w="1207"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t>50 %</w:t>
            </w:r>
          </w:p>
        </w:tc>
        <w:tc>
          <w:tcPr>
            <w:tcW w:w="2043"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t>50 %</w:t>
            </w:r>
          </w:p>
        </w:tc>
        <w:tc>
          <w:tcPr>
            <w:tcW w:w="1579"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t>—</w:t>
            </w:r>
          </w:p>
        </w:tc>
      </w:tr>
      <w:tr w:rsidR="005C7768" w:rsidRPr="00E8450A" w:rsidTr="00335440">
        <w:tc>
          <w:tcPr>
            <w:tcW w:w="1950"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t>Objektívny odhad</w:t>
            </w:r>
          </w:p>
        </w:tc>
        <w:tc>
          <w:tcPr>
            <w:tcW w:w="2507"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p>
        </w:tc>
        <w:tc>
          <w:tcPr>
            <w:tcW w:w="1207"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p>
        </w:tc>
        <w:tc>
          <w:tcPr>
            <w:tcW w:w="2043"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p>
        </w:tc>
        <w:tc>
          <w:tcPr>
            <w:tcW w:w="1579"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p>
        </w:tc>
      </w:tr>
      <w:tr w:rsidR="005C7768" w:rsidRPr="00E8450A" w:rsidTr="00335440">
        <w:tc>
          <w:tcPr>
            <w:tcW w:w="1950"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t>Neistota</w:t>
            </w:r>
          </w:p>
        </w:tc>
        <w:tc>
          <w:tcPr>
            <w:tcW w:w="2507"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t>75 %</w:t>
            </w:r>
          </w:p>
        </w:tc>
        <w:tc>
          <w:tcPr>
            <w:tcW w:w="1207"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t>100 %</w:t>
            </w:r>
          </w:p>
        </w:tc>
        <w:tc>
          <w:tcPr>
            <w:tcW w:w="2043"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t>100 %</w:t>
            </w:r>
          </w:p>
        </w:tc>
        <w:tc>
          <w:tcPr>
            <w:tcW w:w="1579"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t>75 %</w:t>
            </w:r>
          </w:p>
        </w:tc>
      </w:tr>
    </w:tbl>
    <w:p w:rsidR="005C7768" w:rsidRPr="00E8450A" w:rsidRDefault="005C7768" w:rsidP="005C7768">
      <w:pPr>
        <w:rPr>
          <w:rStyle w:val="CRRefonteDeleted"/>
          <w:noProof/>
          <w:highlight w:val="lightGray"/>
        </w:rPr>
      </w:pPr>
    </w:p>
    <w:p w:rsidR="005C7768" w:rsidRPr="00E8450A" w:rsidRDefault="005C7768" w:rsidP="005C7768">
      <w:pPr>
        <w:rPr>
          <w:rStyle w:val="CRRefonteDeleted"/>
          <w:noProof/>
          <w:highlight w:val="lightGray"/>
        </w:rPr>
      </w:pPr>
      <w:r w:rsidRPr="00E8450A">
        <w:rPr>
          <w:rStyle w:val="CRRefonteDeleted"/>
          <w:noProof/>
          <w:highlight w:val="lightGray"/>
        </w:rPr>
        <w:t>Neistota (vyjadrená pri 95 % intervale spoľahlivosti) hodnotiacich metód sa posúdi v súlade so zásadami Príručky CEN na vyjadrovanie neistoty pri meraniach (ENV 13005 – 1999), metodikou ISO 5725:1994 a pokynom uvedeným v Správe CEN o kvalite ovzdušia – Prístup k odhadu neistoty referenčných metód merania kvality ovzdušia (CR 14377:2002E). Percentá neistoty uvedené v tabuľke vyššie sa uvádzajú pre jednotlivé merania spriemerované za dané obdobie vo vzťahu k limitnej hodnote (alebo cieľovej hodnote v prípade ozónu) pre 95 % interval spoľahlivosti. Neistota stálych meraní sa interpretuje ako nestálosť, ktorú možno uplatňovať v pásme príslušnej limitnej hodnoty (alebo cieľovej hodnoty v prípade ozónu).</w:t>
      </w:r>
    </w:p>
    <w:p w:rsidR="005C7768" w:rsidRPr="00E8450A" w:rsidRDefault="005C7768" w:rsidP="005C7768">
      <w:pPr>
        <w:rPr>
          <w:rStyle w:val="CRRefonteDeleted"/>
          <w:noProof/>
          <w:highlight w:val="lightGray"/>
        </w:rPr>
      </w:pPr>
      <w:r w:rsidRPr="00E8450A">
        <w:rPr>
          <w:rStyle w:val="CRRefonteDeleted"/>
          <w:noProof/>
          <w:highlight w:val="lightGray"/>
        </w:rPr>
        <w:t>Neistota modelovania sa definuje ako maximálna odchýlka meraných a vypočítaných úrovní koncentrácie pre 90 % jednotlivých monitorovacích bodov za dané obdobie vo vzťahu k limitnej hodnote (alebo cieľovej hodnote v prípade ozónu) bez toho, aby sa bral do úvahy čas udalostí. Neistota modelovania sa interpretuje ako nestálosť, ktorú možno uplatňovať v pásme príslušnej limitnej hodnoty (alebo cieľovej hodnoty v prípade ozónu). Stále merania, ktoré sa musia vybrať na porovnanie s výsledkami modelovania, reprezentujú mierku, ktorú model pokrýva.</w:t>
      </w:r>
    </w:p>
    <w:p w:rsidR="005C7768" w:rsidRPr="00E8450A" w:rsidRDefault="005C7768" w:rsidP="005C7768">
      <w:pPr>
        <w:rPr>
          <w:rStyle w:val="CRRefonteDeleted"/>
          <w:noProof/>
          <w:highlight w:val="lightGray"/>
        </w:rPr>
      </w:pPr>
      <w:r w:rsidRPr="00E8450A">
        <w:rPr>
          <w:rStyle w:val="CRRefonteDeleted"/>
          <w:noProof/>
          <w:highlight w:val="lightGray"/>
        </w:rPr>
        <w:t>Neistota objektívneho odhadu sa definuje ako maximálna odchýlka meraných a vypočítaných úrovní koncentrácie za dané obdobie vo vzťahu k limitnej hodnote (alebo cieľovej hodnote v prípade ozónu) bez toho, aby sa bral do úvahy čas udalostí.</w:t>
      </w:r>
    </w:p>
    <w:p w:rsidR="005C7768" w:rsidRPr="00E8450A" w:rsidRDefault="005C7768" w:rsidP="005C7768">
      <w:pPr>
        <w:rPr>
          <w:rStyle w:val="CRRefonteDeleted"/>
          <w:noProof/>
          <w:highlight w:val="lightGray"/>
        </w:rPr>
      </w:pPr>
      <w:r w:rsidRPr="00E8450A">
        <w:rPr>
          <w:rStyle w:val="CRRefonteDeleted"/>
          <w:noProof/>
          <w:highlight w:val="lightGray"/>
        </w:rPr>
        <w:t>Požiadavky na minimálny počet údajov a minimálne časové pokrytie nezahŕňajú straty údajov spôsobené pravidelnou kalibráciou alebo bežnou údržbou prístrojov.</w:t>
      </w:r>
    </w:p>
    <w:p w:rsidR="005C7768" w:rsidRPr="00E8450A" w:rsidRDefault="005C7768" w:rsidP="005812BF">
      <w:pPr>
        <w:pStyle w:val="ManualHeading1"/>
        <w:ind w:left="851" w:hanging="851"/>
        <w:rPr>
          <w:rStyle w:val="CRRefonteDeleted"/>
          <w:noProof/>
          <w:highlight w:val="lightGray"/>
        </w:rPr>
      </w:pPr>
      <w:r w:rsidRPr="00E8450A">
        <w:rPr>
          <w:rStyle w:val="CRRefonteDeleted"/>
          <w:noProof/>
          <w:highlight w:val="lightGray"/>
        </w:rPr>
        <w:lastRenderedPageBreak/>
        <w:t>B</w:t>
      </w:r>
      <w:r w:rsidR="005812BF">
        <w:rPr>
          <w:rStyle w:val="CRRefonteDeleted"/>
          <w:noProof/>
          <w:highlight w:val="lightGray"/>
        </w:rPr>
        <w:t>)</w:t>
      </w:r>
      <w:r w:rsidRPr="00E8450A">
        <w:rPr>
          <w:noProof/>
        </w:rPr>
        <w:tab/>
      </w:r>
      <w:r w:rsidRPr="00E8450A">
        <w:rPr>
          <w:rStyle w:val="CRRefonteDeleted"/>
          <w:noProof/>
          <w:highlight w:val="lightGray"/>
        </w:rPr>
        <w:t>Výsledky hodnotenia kvality ovzdušia</w:t>
      </w:r>
    </w:p>
    <w:p w:rsidR="005C7768" w:rsidRPr="00E8450A" w:rsidRDefault="005C7768" w:rsidP="005C7768">
      <w:pPr>
        <w:rPr>
          <w:rStyle w:val="CRRefonteDeleted"/>
          <w:noProof/>
          <w:highlight w:val="lightGray"/>
        </w:rPr>
      </w:pPr>
      <w:r w:rsidRPr="00E8450A">
        <w:rPr>
          <w:rStyle w:val="CRRefonteDeleted"/>
          <w:noProof/>
          <w:highlight w:val="lightGray"/>
        </w:rPr>
        <w:t>Za zóny alebo aglomerácie, v ktorých sa na doplnenie informácií z meraní použijú iné zdroje informácií ako merania alebo v ktorých slúžia tieto zdroje ako jediné prostriedky hodnotenia kvality ovzdušia, sa zozbierajú tieto informácie:</w:t>
      </w:r>
    </w:p>
    <w:p w:rsidR="005C7768" w:rsidRPr="00E8450A" w:rsidRDefault="005C7768" w:rsidP="008B60A5">
      <w:pPr>
        <w:pStyle w:val="Tiret0"/>
        <w:numPr>
          <w:ilvl w:val="0"/>
          <w:numId w:val="30"/>
        </w:numPr>
        <w:autoSpaceDE w:val="0"/>
        <w:autoSpaceDN w:val="0"/>
        <w:rPr>
          <w:rStyle w:val="CRRefonteDeleted"/>
          <w:noProof/>
          <w:highlight w:val="lightGray"/>
        </w:rPr>
      </w:pPr>
      <w:r w:rsidRPr="00E8450A">
        <w:rPr>
          <w:rStyle w:val="CRRefonteDeleted"/>
          <w:noProof/>
          <w:highlight w:val="lightGray"/>
        </w:rPr>
        <w:t>opis vykonaných hodnotiacich činností,</w:t>
      </w:r>
    </w:p>
    <w:p w:rsidR="005C7768" w:rsidRPr="00E8450A" w:rsidRDefault="005C7768" w:rsidP="008B60A5">
      <w:pPr>
        <w:pStyle w:val="Tiret0"/>
        <w:numPr>
          <w:ilvl w:val="0"/>
          <w:numId w:val="29"/>
        </w:numPr>
        <w:autoSpaceDE w:val="0"/>
        <w:autoSpaceDN w:val="0"/>
        <w:ind w:left="851" w:hanging="851"/>
        <w:rPr>
          <w:rStyle w:val="CRRefonteDeleted"/>
          <w:noProof/>
          <w:highlight w:val="lightGray"/>
        </w:rPr>
      </w:pPr>
      <w:r w:rsidRPr="00E8450A">
        <w:rPr>
          <w:rStyle w:val="CRRefonteDeleted"/>
          <w:noProof/>
          <w:highlight w:val="lightGray"/>
        </w:rPr>
        <w:t>použité osobitné metódy s odkazmi na opis metód,</w:t>
      </w:r>
    </w:p>
    <w:p w:rsidR="005C7768" w:rsidRPr="00E8450A" w:rsidRDefault="005C7768" w:rsidP="008B60A5">
      <w:pPr>
        <w:pStyle w:val="Tiret0"/>
        <w:numPr>
          <w:ilvl w:val="0"/>
          <w:numId w:val="29"/>
        </w:numPr>
        <w:autoSpaceDE w:val="0"/>
        <w:autoSpaceDN w:val="0"/>
        <w:ind w:left="851" w:hanging="851"/>
        <w:rPr>
          <w:rStyle w:val="CRRefonteDeleted"/>
          <w:noProof/>
          <w:highlight w:val="lightGray"/>
        </w:rPr>
      </w:pPr>
      <w:r w:rsidRPr="00E8450A">
        <w:rPr>
          <w:rStyle w:val="CRRefonteDeleted"/>
          <w:noProof/>
          <w:highlight w:val="lightGray"/>
        </w:rPr>
        <w:t>zdroje údajov a informácií,</w:t>
      </w:r>
    </w:p>
    <w:p w:rsidR="005C7768" w:rsidRPr="00E8450A" w:rsidRDefault="005C7768" w:rsidP="008B60A5">
      <w:pPr>
        <w:pStyle w:val="Tiret0"/>
        <w:numPr>
          <w:ilvl w:val="0"/>
          <w:numId w:val="29"/>
        </w:numPr>
        <w:autoSpaceDE w:val="0"/>
        <w:autoSpaceDN w:val="0"/>
        <w:ind w:left="851" w:hanging="851"/>
        <w:rPr>
          <w:rStyle w:val="CRRefonteDeleted"/>
          <w:noProof/>
          <w:highlight w:val="lightGray"/>
        </w:rPr>
      </w:pPr>
      <w:r w:rsidRPr="00E8450A">
        <w:rPr>
          <w:rStyle w:val="CRRefonteDeleted"/>
          <w:noProof/>
          <w:highlight w:val="lightGray"/>
        </w:rPr>
        <w:t>opis výsledkov vrátane neistôt, a najmä rozsah všetkých oblastí alebo prípadne dĺžka cesty v zóne alebo aglomerácii, nad ktorou koncentrácie prekračujú ktorúkoľvek limitnú hodnotu, cieľovú hodnotu alebo dlhodobý cieľ prípadne vrátane medze tolerancie a rozsah všetkých oblastí, v ktorých koncentrácie prekračujú horný alebo dolný prah na hodnotenie,</w:t>
      </w:r>
    </w:p>
    <w:p w:rsidR="005C7768" w:rsidRPr="00E8450A" w:rsidRDefault="005C7768" w:rsidP="008B60A5">
      <w:pPr>
        <w:pStyle w:val="Tiret0"/>
        <w:numPr>
          <w:ilvl w:val="0"/>
          <w:numId w:val="29"/>
        </w:numPr>
        <w:autoSpaceDE w:val="0"/>
        <w:autoSpaceDN w:val="0"/>
        <w:ind w:left="851" w:hanging="851"/>
        <w:rPr>
          <w:noProof/>
          <w:highlight w:val="lightGray"/>
        </w:rPr>
      </w:pPr>
      <w:r w:rsidRPr="00E8450A">
        <w:rPr>
          <w:rStyle w:val="CRRefonteDeleted"/>
          <w:noProof/>
          <w:highlight w:val="lightGray"/>
        </w:rPr>
        <w:t>obyvateľstvo, ktoré je potenciálne vystavené úrovniam prekračujúcim akúkoľvek limitnú hodnotu na ochranu zdravia ľudí.</w:t>
      </w:r>
    </w:p>
    <w:p w:rsidR="005C7768" w:rsidRPr="00E8450A" w:rsidRDefault="005C7768" w:rsidP="005C7768">
      <w:pPr>
        <w:pStyle w:val="CRSeparator"/>
        <w:rPr>
          <w:noProof/>
        </w:rPr>
      </w:pPr>
    </w:p>
    <w:p w:rsidR="005C7768" w:rsidRPr="00E8450A" w:rsidRDefault="005C7768" w:rsidP="005C7768">
      <w:pPr>
        <w:pStyle w:val="CRReference"/>
        <w:rPr>
          <w:noProof/>
        </w:rPr>
      </w:pPr>
      <w:r w:rsidRPr="00E8450A">
        <w:rPr>
          <w:noProof/>
        </w:rPr>
        <w:fldChar w:fldCharType="begin"/>
      </w:r>
      <w:r w:rsidRPr="00E8450A">
        <w:rPr>
          <w:noProof/>
        </w:rPr>
        <w:instrText xml:space="preserve"> QUOTE "ê" </w:instrText>
      </w:r>
      <w:r w:rsidRPr="00E8450A">
        <w:rPr>
          <w:noProof/>
        </w:rPr>
        <w:fldChar w:fldCharType="separate"/>
      </w:r>
      <w:r w:rsidRPr="00E8450A">
        <w:rPr>
          <w:rStyle w:val="CRMarker"/>
          <w:noProof/>
        </w:rPr>
        <w:t>ê</w:t>
      </w:r>
      <w:r w:rsidRPr="00E8450A">
        <w:rPr>
          <w:noProof/>
        </w:rPr>
        <w:fldChar w:fldCharType="end"/>
      </w:r>
      <w:r w:rsidRPr="00E8450A">
        <w:rPr>
          <w:noProof/>
        </w:rPr>
        <w:t> 2015/1480 článok 2 a bod 1 prílohy II</w:t>
      </w:r>
    </w:p>
    <w:p w:rsidR="005C7768" w:rsidRPr="00E8450A" w:rsidRDefault="005C7768" w:rsidP="005812BF">
      <w:pPr>
        <w:pStyle w:val="ManualHeading1"/>
        <w:ind w:left="851" w:hanging="851"/>
        <w:rPr>
          <w:rStyle w:val="CRRefonteDeleted"/>
          <w:noProof/>
          <w:highlight w:val="lightGray"/>
        </w:rPr>
      </w:pPr>
      <w:r w:rsidRPr="00E8450A">
        <w:rPr>
          <w:rStyle w:val="CRRefonteDeleted"/>
          <w:noProof/>
          <w:highlight w:val="lightGray"/>
        </w:rPr>
        <w:t>C</w:t>
      </w:r>
      <w:r w:rsidR="005812BF">
        <w:rPr>
          <w:rStyle w:val="CRRefonteDeleted"/>
          <w:noProof/>
          <w:highlight w:val="lightGray"/>
        </w:rPr>
        <w:t>)</w:t>
      </w:r>
      <w:r w:rsidRPr="00E8450A">
        <w:rPr>
          <w:noProof/>
        </w:rPr>
        <w:tab/>
      </w:r>
      <w:r w:rsidRPr="00E8450A">
        <w:rPr>
          <w:rStyle w:val="CRRefonteDeleted"/>
          <w:noProof/>
          <w:highlight w:val="lightGray"/>
        </w:rPr>
        <w:t>Zaručenie kvality pri hodnotení kvality okolitého ovzdušia: potvrdenie údajov</w:t>
      </w:r>
    </w:p>
    <w:p w:rsidR="005C7768" w:rsidRPr="00E8450A" w:rsidRDefault="005C7768" w:rsidP="005C7768">
      <w:pPr>
        <w:rPr>
          <w:rStyle w:val="CRRefonteDeleted"/>
          <w:noProof/>
          <w:highlight w:val="lightGray"/>
        </w:rPr>
      </w:pPr>
      <w:r w:rsidRPr="00E8450A">
        <w:rPr>
          <w:rStyle w:val="CRRefonteDeleted"/>
          <w:noProof/>
          <w:highlight w:val="lightGray"/>
        </w:rPr>
        <w:t>1.</w:t>
      </w:r>
      <w:r w:rsidRPr="00E8450A">
        <w:rPr>
          <w:noProof/>
        </w:rPr>
        <w:tab/>
      </w:r>
      <w:r w:rsidRPr="00E8450A">
        <w:rPr>
          <w:rStyle w:val="CRRefonteDeleted"/>
          <w:noProof/>
          <w:highlight w:val="lightGray"/>
        </w:rPr>
        <w:t>V záujme presnosti meraní a dodržiavania cieľov kvality údajov stanovených v oddiele A zabezpečia príslušné orgány a subjekty určené podľa článku 3:</w:t>
      </w:r>
    </w:p>
    <w:p w:rsidR="005C7768" w:rsidRPr="00E8450A" w:rsidRDefault="005C7768" w:rsidP="005C7768">
      <w:pPr>
        <w:pStyle w:val="Point0"/>
        <w:rPr>
          <w:rStyle w:val="CRRefonteDeleted"/>
          <w:noProof/>
          <w:highlight w:val="lightGray"/>
        </w:rPr>
      </w:pPr>
      <w:r w:rsidRPr="00E8450A">
        <w:rPr>
          <w:noProof/>
        </w:rPr>
        <w:tab/>
      </w:r>
      <w:r w:rsidRPr="00E8450A">
        <w:rPr>
          <w:rStyle w:val="CRRefonteDeleted"/>
          <w:noProof/>
          <w:highlight w:val="lightGray"/>
        </w:rPr>
        <w:t>i)</w:t>
      </w:r>
      <w:r w:rsidRPr="00E8450A">
        <w:rPr>
          <w:noProof/>
        </w:rPr>
        <w:tab/>
      </w:r>
      <w:r w:rsidRPr="00E8450A">
        <w:rPr>
          <w:rStyle w:val="CRRefonteDeleted"/>
          <w:noProof/>
          <w:highlight w:val="lightGray"/>
        </w:rPr>
        <w:t>aby boli všetky merania vykonané v súvislosti s hodnotením kvality okolitého ovzdušia podľa článkov 6 a 9 vysledovateľné v súlade s požiadavkami stanovenými v harmonizovanej norme pre skúšobné a kalibračné laboratóriá;</w:t>
      </w:r>
    </w:p>
    <w:p w:rsidR="005C7768" w:rsidRPr="00E8450A" w:rsidRDefault="005C7768" w:rsidP="005C7768">
      <w:pPr>
        <w:pStyle w:val="Point0"/>
        <w:rPr>
          <w:rStyle w:val="CRRefonteDeleted"/>
          <w:noProof/>
          <w:highlight w:val="lightGray"/>
        </w:rPr>
      </w:pPr>
      <w:r w:rsidRPr="00E8450A">
        <w:rPr>
          <w:noProof/>
        </w:rPr>
        <w:tab/>
      </w:r>
      <w:r w:rsidRPr="00E8450A">
        <w:rPr>
          <w:rStyle w:val="CRRefonteDeleted"/>
          <w:noProof/>
          <w:highlight w:val="lightGray"/>
        </w:rPr>
        <w:t>ii)</w:t>
      </w:r>
      <w:r w:rsidRPr="00E8450A">
        <w:rPr>
          <w:noProof/>
        </w:rPr>
        <w:tab/>
      </w:r>
      <w:r w:rsidRPr="00E8450A">
        <w:rPr>
          <w:rStyle w:val="CRRefonteDeleted"/>
          <w:noProof/>
          <w:highlight w:val="lightGray"/>
        </w:rPr>
        <w:t>aby mali inštitúcie prevádzkujúce siete a samostatné stanice zavedený systém zaručenia kvality a kontroly kvality, ktorým sa zabezpečuje pravidelná údržba s cieľom zaistiť nepretržitú presnosť meracích prístrojov. Príslušné národné referenčné laboratórium daný systém kvality podľa potreby, no aspoň každých päť rokov preskúma;</w:t>
      </w:r>
    </w:p>
    <w:p w:rsidR="005C7768" w:rsidRPr="00E8450A" w:rsidRDefault="005C7768" w:rsidP="005C7768">
      <w:pPr>
        <w:pStyle w:val="Point0"/>
        <w:rPr>
          <w:rStyle w:val="CRRefonteDeleted"/>
          <w:noProof/>
          <w:highlight w:val="lightGray"/>
        </w:rPr>
      </w:pPr>
      <w:r w:rsidRPr="00E8450A">
        <w:rPr>
          <w:noProof/>
        </w:rPr>
        <w:tab/>
      </w:r>
      <w:r w:rsidRPr="00E8450A">
        <w:rPr>
          <w:rStyle w:val="CRRefonteDeleted"/>
          <w:noProof/>
          <w:highlight w:val="lightGray"/>
        </w:rPr>
        <w:t>iii)</w:t>
      </w:r>
      <w:r w:rsidRPr="00E8450A">
        <w:rPr>
          <w:noProof/>
        </w:rPr>
        <w:tab/>
      </w:r>
      <w:r w:rsidRPr="00E8450A">
        <w:rPr>
          <w:rStyle w:val="CRRefonteDeleted"/>
          <w:noProof/>
          <w:highlight w:val="lightGray"/>
        </w:rPr>
        <w:t>aby sa v súvislosti so zberom údajov a podávaním správ uplatňoval postup slúžiaci na zaručenie kvality/kontrolu kvality a aby sa inštitúcie poverené touto úlohou aktívne podieľali na súvisiacich programoch Únie na zaručovanie kvality;</w:t>
      </w:r>
    </w:p>
    <w:p w:rsidR="005C7768" w:rsidRPr="00E8450A" w:rsidRDefault="005C7768" w:rsidP="005C7768">
      <w:pPr>
        <w:pStyle w:val="Point0"/>
        <w:rPr>
          <w:rStyle w:val="CRRefonteDeleted"/>
          <w:noProof/>
          <w:highlight w:val="lightGray"/>
        </w:rPr>
      </w:pPr>
      <w:r w:rsidRPr="00E8450A">
        <w:rPr>
          <w:noProof/>
        </w:rPr>
        <w:tab/>
      </w:r>
      <w:r w:rsidRPr="00E8450A">
        <w:rPr>
          <w:rStyle w:val="CRRefonteDeleted"/>
          <w:noProof/>
          <w:highlight w:val="lightGray"/>
        </w:rPr>
        <w:t>iv)</w:t>
      </w:r>
      <w:r w:rsidRPr="00E8450A">
        <w:rPr>
          <w:noProof/>
        </w:rPr>
        <w:tab/>
      </w:r>
      <w:r w:rsidRPr="00E8450A">
        <w:rPr>
          <w:rStyle w:val="CRRefonteDeleted"/>
          <w:noProof/>
          <w:highlight w:val="lightGray"/>
        </w:rPr>
        <w:t>aby boli národné referenčné laboratóriá vymenované náležitým príslušným orgánom alebo subjektom určeným podľa článku 3 a aby boli akreditované na referenčné metódy uvedené v prílohe VI, a to aspoň v prípade tých znečisťujúcich látok, ktorých koncentrácie prekračujú dolný prah na hodnotenie, podľa relevantnej harmonizovanej normy týkajúcej sa skúšobných a kalibračných laboratórií, odkaz na ktorú bol uverejnený v Úradnom vestníku Európskej únie v súlade s článkom 2 ods. 9 nariadenia (ES) č. 765/2008, ktorým sa stanovujú požiadavky akreditácie a dohľadu nad trhom. Tieto laboratóriá sú zodpovedné aj za koordináciu programov Únie na zaručenie kvality na území daného členského štátu, ktoré organizuje Komisia prostredníctvom svojho Spoločného výskumného centra a dané laboratóriá zároveň na vnútroštátnej úrovni zodpovedajú za koordináciu náležitého uplatňovania referenčných metód a preukazovania rovnocennosti nereferenčných metód. Národné referenčné laboratóriá, ktoré organizujú vzájomné porovnávanie na vnútroštátnej úrovni, by mali byť zároveň akreditované podľa príslušnej harmonizovanej normy pre skúšky spôsobilosti;</w:t>
      </w:r>
    </w:p>
    <w:p w:rsidR="005C7768" w:rsidRPr="00E8450A" w:rsidRDefault="005C7768" w:rsidP="005C7768">
      <w:pPr>
        <w:pStyle w:val="Point0"/>
        <w:rPr>
          <w:rStyle w:val="CRRefonteDeleted"/>
          <w:noProof/>
          <w:highlight w:val="lightGray"/>
        </w:rPr>
      </w:pPr>
      <w:r w:rsidRPr="00E8450A">
        <w:rPr>
          <w:noProof/>
        </w:rPr>
        <w:tab/>
      </w:r>
      <w:r w:rsidRPr="00E8450A">
        <w:rPr>
          <w:rStyle w:val="CRRefonteDeleted"/>
          <w:noProof/>
          <w:highlight w:val="lightGray"/>
        </w:rPr>
        <w:t>v)</w:t>
      </w:r>
      <w:r w:rsidRPr="00E8450A">
        <w:rPr>
          <w:noProof/>
        </w:rPr>
        <w:tab/>
      </w:r>
      <w:r w:rsidRPr="00E8450A">
        <w:rPr>
          <w:rStyle w:val="CRRefonteDeleted"/>
          <w:noProof/>
          <w:highlight w:val="lightGray"/>
        </w:rPr>
        <w:t>aby sa národné referenčné laboratóriá aspoň každé tri roky zúčastňovali na programoch Únie na zaručovanie kvality, ktoré organizuje Komisia prostredníctvom svojho Spoločného výskumného centra. Ak z danej účasti vyplynú neuspokojivé výsledky, potom by národné laboratórium malo pri svojom ďalšom zapojení do vzájomného porovnávania preukázať uspokojivé nápravné opatrenia a predložiť o nich správu Spoločnému výskumnému centru;</w:t>
      </w:r>
    </w:p>
    <w:p w:rsidR="005C7768" w:rsidRPr="00E8450A" w:rsidRDefault="005C7768" w:rsidP="005C7768">
      <w:pPr>
        <w:pStyle w:val="Point0"/>
        <w:rPr>
          <w:rStyle w:val="CRRefonteDeleted"/>
          <w:noProof/>
          <w:highlight w:val="lightGray"/>
        </w:rPr>
      </w:pPr>
      <w:r w:rsidRPr="00E8450A">
        <w:rPr>
          <w:noProof/>
        </w:rPr>
        <w:tab/>
      </w:r>
      <w:r w:rsidRPr="00E8450A">
        <w:rPr>
          <w:rStyle w:val="CRRefonteDeleted"/>
          <w:noProof/>
          <w:highlight w:val="lightGray"/>
        </w:rPr>
        <w:t>vi)</w:t>
      </w:r>
      <w:r w:rsidRPr="00E8450A">
        <w:rPr>
          <w:noProof/>
        </w:rPr>
        <w:tab/>
      </w:r>
      <w:r w:rsidRPr="00E8450A">
        <w:rPr>
          <w:rStyle w:val="CRRefonteDeleted"/>
          <w:noProof/>
          <w:highlight w:val="lightGray"/>
        </w:rPr>
        <w:t>aby národné referenčné laboratóriá podporovali pôsobenie Komisiou zriadenej Európskej siete národných referenčných laboratórií.</w:t>
      </w:r>
    </w:p>
    <w:p w:rsidR="005C7768" w:rsidRPr="00E8450A" w:rsidRDefault="005C7768" w:rsidP="005C7768">
      <w:pPr>
        <w:rPr>
          <w:rStyle w:val="CRRefonteDeleted"/>
          <w:noProof/>
          <w:highlight w:val="lightGray"/>
        </w:rPr>
      </w:pPr>
      <w:r w:rsidRPr="00E8450A">
        <w:rPr>
          <w:rStyle w:val="CRRefonteDeleted"/>
          <w:noProof/>
          <w:highlight w:val="lightGray"/>
        </w:rPr>
        <w:t>2.</w:t>
      </w:r>
      <w:r w:rsidRPr="00E8450A">
        <w:rPr>
          <w:noProof/>
        </w:rPr>
        <w:tab/>
      </w:r>
      <w:r w:rsidRPr="00E8450A">
        <w:rPr>
          <w:rStyle w:val="CRRefonteDeleted"/>
          <w:noProof/>
          <w:highlight w:val="lightGray"/>
        </w:rPr>
        <w:t>Za platné sa považujú všetky oznamované údaje podľa článku 27, okrem údajov označených ako predbežné.</w:t>
      </w:r>
    </w:p>
    <w:p w:rsidR="005C7768" w:rsidRPr="00E8450A" w:rsidRDefault="005C7768" w:rsidP="005C7768">
      <w:pPr>
        <w:adjustRightInd w:val="0"/>
        <w:spacing w:before="0" w:after="0"/>
        <w:jc w:val="left"/>
        <w:rPr>
          <w:noProof/>
        </w:rPr>
        <w:sectPr w:rsidR="005C7768" w:rsidRPr="00E8450A" w:rsidSect="000A000C">
          <w:pgSz w:w="11906" w:h="16838"/>
          <w:pgMar w:top="1134" w:right="1418" w:bottom="1134" w:left="1418" w:header="709" w:footer="709" w:gutter="0"/>
          <w:cols w:space="709"/>
          <w:docGrid w:linePitch="326"/>
        </w:sectPr>
      </w:pPr>
    </w:p>
    <w:p w:rsidR="005C7768" w:rsidRPr="00E8450A" w:rsidRDefault="005C7768" w:rsidP="005C7768">
      <w:pPr>
        <w:pStyle w:val="CRSeparator"/>
        <w:rPr>
          <w:noProof/>
        </w:rPr>
      </w:pPr>
    </w:p>
    <w:p w:rsidR="005C7768" w:rsidRPr="00E8450A" w:rsidRDefault="005C7768" w:rsidP="005C7768">
      <w:pPr>
        <w:pStyle w:val="CRReference"/>
        <w:rPr>
          <w:noProof/>
        </w:rPr>
      </w:pPr>
      <w:r w:rsidRPr="00E8450A">
        <w:rPr>
          <w:noProof/>
        </w:rPr>
        <w:fldChar w:fldCharType="begin"/>
      </w:r>
      <w:r w:rsidRPr="00E8450A">
        <w:rPr>
          <w:noProof/>
        </w:rPr>
        <w:instrText xml:space="preserve"> QUOTE "ê" </w:instrText>
      </w:r>
      <w:r w:rsidRPr="00E8450A">
        <w:rPr>
          <w:noProof/>
        </w:rPr>
        <w:fldChar w:fldCharType="separate"/>
      </w:r>
      <w:r w:rsidRPr="00E8450A">
        <w:rPr>
          <w:rStyle w:val="CRMarker"/>
          <w:noProof/>
        </w:rPr>
        <w:t>ê</w:t>
      </w:r>
      <w:r w:rsidRPr="00E8450A">
        <w:rPr>
          <w:noProof/>
        </w:rPr>
        <w:fldChar w:fldCharType="end"/>
      </w:r>
      <w:r w:rsidRPr="00E8450A">
        <w:rPr>
          <w:noProof/>
        </w:rPr>
        <w:t> 2008/50/ES</w:t>
      </w:r>
    </w:p>
    <w:p w:rsidR="005C7768" w:rsidRPr="00E8450A" w:rsidRDefault="005C7768" w:rsidP="00DA5703">
      <w:pPr>
        <w:jc w:val="center"/>
        <w:rPr>
          <w:rStyle w:val="CRRefonteDeleted"/>
          <w:b/>
          <w:noProof/>
          <w:highlight w:val="lightGray"/>
          <w:u w:val="single"/>
        </w:rPr>
      </w:pPr>
      <w:r w:rsidRPr="00E8450A">
        <w:rPr>
          <w:rStyle w:val="CRRefonteDeleted"/>
          <w:b/>
          <w:noProof/>
          <w:highlight w:val="lightGray"/>
          <w:u w:val="single"/>
        </w:rPr>
        <w:t>PRÍLOHA II</w:t>
      </w:r>
    </w:p>
    <w:p w:rsidR="005C7768" w:rsidRPr="00E8450A" w:rsidRDefault="005C7768" w:rsidP="005C7768">
      <w:pPr>
        <w:pStyle w:val="NormalCentered"/>
        <w:rPr>
          <w:rStyle w:val="CRRefonteDeleted"/>
          <w:noProof/>
          <w:highlight w:val="lightGray"/>
        </w:rPr>
      </w:pPr>
      <w:r w:rsidRPr="00E8450A">
        <w:rPr>
          <w:rStyle w:val="CRRefonteDeleted"/>
          <w:b/>
          <w:noProof/>
          <w:highlight w:val="lightGray"/>
        </w:rPr>
        <w:t>Určenie požiadaviek na hodnotenie koncentrácií oxidu siričitého, oxidu dusičitého, oxidov dusíka, suspendovaných častíc (PM</w:t>
      </w:r>
      <w:r w:rsidRPr="00E8450A">
        <w:rPr>
          <w:rStyle w:val="CRRefonteDeleted"/>
          <w:b/>
          <w:noProof/>
          <w:highlight w:val="lightGray"/>
          <w:vertAlign w:val="subscript"/>
        </w:rPr>
        <w:t>10</w:t>
      </w:r>
      <w:r w:rsidRPr="00E8450A">
        <w:rPr>
          <w:rStyle w:val="CRRefonteDeleted"/>
          <w:b/>
          <w:noProof/>
          <w:highlight w:val="lightGray"/>
        </w:rPr>
        <w:t xml:space="preserve"> a PM</w:t>
      </w:r>
      <w:r w:rsidRPr="00E8450A">
        <w:rPr>
          <w:rStyle w:val="CRRefonteDeleted"/>
          <w:b/>
          <w:noProof/>
          <w:highlight w:val="lightGray"/>
          <w:vertAlign w:val="subscript"/>
        </w:rPr>
        <w:t>2,5</w:t>
      </w:r>
      <w:r w:rsidRPr="00E8450A">
        <w:rPr>
          <w:rStyle w:val="CRRefonteDeleted"/>
          <w:b/>
          <w:noProof/>
          <w:highlight w:val="lightGray"/>
        </w:rPr>
        <w:t>), olova, benzénu a oxidu uhoľnatého v okolitom ovzduší v zóne alebo aglomerácii</w:t>
      </w:r>
    </w:p>
    <w:p w:rsidR="005C7768" w:rsidRPr="00E8450A" w:rsidRDefault="005C7768" w:rsidP="005812BF">
      <w:pPr>
        <w:pStyle w:val="ManualHeading1"/>
        <w:ind w:left="851" w:hanging="851"/>
        <w:rPr>
          <w:rStyle w:val="CRRefonteDeleted"/>
          <w:noProof/>
          <w:highlight w:val="lightGray"/>
        </w:rPr>
      </w:pPr>
      <w:r w:rsidRPr="00E8450A">
        <w:rPr>
          <w:rStyle w:val="CRRefonteDeleted"/>
          <w:noProof/>
          <w:highlight w:val="lightGray"/>
        </w:rPr>
        <w:t>A</w:t>
      </w:r>
      <w:r w:rsidR="005812BF">
        <w:rPr>
          <w:rStyle w:val="CRRefonteDeleted"/>
          <w:noProof/>
          <w:highlight w:val="lightGray"/>
        </w:rPr>
        <w:t>)</w:t>
      </w:r>
      <w:r w:rsidRPr="00E8450A">
        <w:rPr>
          <w:noProof/>
        </w:rPr>
        <w:tab/>
      </w:r>
      <w:r w:rsidRPr="00E8450A">
        <w:rPr>
          <w:rStyle w:val="CRRefonteDeleted"/>
          <w:noProof/>
          <w:highlight w:val="lightGray"/>
        </w:rPr>
        <w:t>Horný a dolný prah na hodnotenie</w:t>
      </w:r>
    </w:p>
    <w:p w:rsidR="005C7768" w:rsidRPr="00E8450A" w:rsidRDefault="005C7768" w:rsidP="005C7768">
      <w:pPr>
        <w:rPr>
          <w:rStyle w:val="CRRefonteDeleted"/>
          <w:noProof/>
          <w:highlight w:val="lightGray"/>
        </w:rPr>
      </w:pPr>
      <w:r w:rsidRPr="00E8450A">
        <w:rPr>
          <w:rStyle w:val="CRRefonteDeleted"/>
          <w:noProof/>
          <w:highlight w:val="lightGray"/>
        </w:rPr>
        <w:t>Uplatňujú sa tieto horné a dolné prahy na hodnotenie:</w:t>
      </w:r>
    </w:p>
    <w:p w:rsidR="005C7768" w:rsidRPr="00E8450A" w:rsidRDefault="005C7768" w:rsidP="005C7768">
      <w:pPr>
        <w:pStyle w:val="ManualHeading2"/>
        <w:ind w:left="851" w:hanging="851"/>
        <w:rPr>
          <w:rStyle w:val="CRRefonteDeleted"/>
          <w:noProof/>
          <w:highlight w:val="lightGray"/>
        </w:rPr>
      </w:pPr>
      <w:r w:rsidRPr="00E8450A">
        <w:rPr>
          <w:rStyle w:val="CRRefonteDeleted"/>
          <w:noProof/>
          <w:highlight w:val="lightGray"/>
        </w:rPr>
        <w:t>1.</w:t>
      </w:r>
      <w:r w:rsidRPr="00E8450A">
        <w:rPr>
          <w:noProof/>
        </w:rPr>
        <w:tab/>
      </w:r>
      <w:r w:rsidRPr="00E8450A">
        <w:rPr>
          <w:rStyle w:val="CRRefonteDeleted"/>
          <w:noProof/>
          <w:highlight w:val="lightGray"/>
        </w:rPr>
        <w:t>Oxid siričitý</w:t>
      </w:r>
    </w:p>
    <w:tbl>
      <w:tblPr>
        <w:tblW w:w="0" w:type="auto"/>
        <w:tblLayout w:type="fixed"/>
        <w:tblLook w:val="0000" w:firstRow="0" w:lastRow="0" w:firstColumn="0" w:lastColumn="0" w:noHBand="0" w:noVBand="0"/>
      </w:tblPr>
      <w:tblGrid>
        <w:gridCol w:w="1857"/>
        <w:gridCol w:w="4922"/>
        <w:gridCol w:w="2507"/>
      </w:tblGrid>
      <w:tr w:rsidR="005C7768" w:rsidRPr="00E8450A" w:rsidTr="00335440">
        <w:tc>
          <w:tcPr>
            <w:tcW w:w="1857"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adjustRightInd w:val="0"/>
              <w:spacing w:before="0" w:after="0"/>
              <w:jc w:val="left"/>
              <w:rPr>
                <w:rStyle w:val="CRRefonteDeleted"/>
                <w:noProof/>
                <w:highlight w:val="lightGray"/>
              </w:rPr>
            </w:pPr>
          </w:p>
        </w:tc>
        <w:tc>
          <w:tcPr>
            <w:tcW w:w="4922"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Centered"/>
              <w:rPr>
                <w:rStyle w:val="CRRefonteDeleted"/>
                <w:noProof/>
                <w:highlight w:val="lightGray"/>
              </w:rPr>
            </w:pPr>
            <w:r w:rsidRPr="00E8450A">
              <w:rPr>
                <w:rStyle w:val="CRRefonteDeleted"/>
                <w:noProof/>
                <w:highlight w:val="lightGray"/>
              </w:rPr>
              <w:t>Ochrana zdravia</w:t>
            </w:r>
          </w:p>
        </w:tc>
        <w:tc>
          <w:tcPr>
            <w:tcW w:w="2507"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Centered"/>
              <w:rPr>
                <w:rStyle w:val="CRRefonteDeleted"/>
                <w:noProof/>
                <w:highlight w:val="lightGray"/>
              </w:rPr>
            </w:pPr>
            <w:r w:rsidRPr="00E8450A">
              <w:rPr>
                <w:rStyle w:val="CRRefonteDeleted"/>
                <w:noProof/>
                <w:highlight w:val="lightGray"/>
              </w:rPr>
              <w:t>Ochrana vegetácie</w:t>
            </w:r>
          </w:p>
        </w:tc>
      </w:tr>
      <w:tr w:rsidR="005C7768" w:rsidRPr="00E8450A" w:rsidTr="00335440">
        <w:tc>
          <w:tcPr>
            <w:tcW w:w="1857"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t>Horný prah na hodnotenie</w:t>
            </w:r>
          </w:p>
        </w:tc>
        <w:tc>
          <w:tcPr>
            <w:tcW w:w="4922"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t>60 % 24-hodinovej limitnej hodnoty (75 μg/m</w:t>
            </w:r>
            <w:r w:rsidRPr="00E8450A">
              <w:rPr>
                <w:rStyle w:val="CRRefonteDeleted"/>
                <w:noProof/>
                <w:highlight w:val="lightGray"/>
                <w:vertAlign w:val="superscript"/>
              </w:rPr>
              <w:t>3</w:t>
            </w:r>
            <w:r w:rsidRPr="00E8450A">
              <w:rPr>
                <w:rStyle w:val="CRRefonteDeleted"/>
                <w:noProof/>
                <w:highlight w:val="lightGray"/>
              </w:rPr>
              <w:t xml:space="preserve"> sa neprekročí viac ako 3-krát za každý kalendárny rok)</w:t>
            </w:r>
          </w:p>
        </w:tc>
        <w:tc>
          <w:tcPr>
            <w:tcW w:w="2507"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t>60 % zimnej kritickej úrovne</w:t>
            </w:r>
          </w:p>
          <w:p w:rsidR="005C7768" w:rsidRPr="00E8450A" w:rsidRDefault="005C7768" w:rsidP="00335440">
            <w:pPr>
              <w:pStyle w:val="NormalLeft"/>
              <w:rPr>
                <w:rStyle w:val="CRRefonteDeleted"/>
                <w:noProof/>
                <w:highlight w:val="lightGray"/>
              </w:rPr>
            </w:pPr>
            <w:r w:rsidRPr="00E8450A">
              <w:rPr>
                <w:rStyle w:val="CRRefonteDeleted"/>
                <w:noProof/>
                <w:highlight w:val="lightGray"/>
              </w:rPr>
              <w:t>(12 μg/m</w:t>
            </w:r>
            <w:r w:rsidRPr="00E8450A">
              <w:rPr>
                <w:rStyle w:val="CRRefonteDeleted"/>
                <w:noProof/>
                <w:highlight w:val="lightGray"/>
                <w:vertAlign w:val="superscript"/>
              </w:rPr>
              <w:t>3</w:t>
            </w:r>
            <w:r w:rsidRPr="00E8450A">
              <w:rPr>
                <w:rStyle w:val="CRRefonteDeleted"/>
                <w:noProof/>
                <w:highlight w:val="lightGray"/>
              </w:rPr>
              <w:t>)</w:t>
            </w:r>
          </w:p>
        </w:tc>
      </w:tr>
      <w:tr w:rsidR="005C7768" w:rsidRPr="00E8450A" w:rsidTr="00335440">
        <w:tc>
          <w:tcPr>
            <w:tcW w:w="1857"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t>Dolný prah na hodnotenie</w:t>
            </w:r>
          </w:p>
        </w:tc>
        <w:tc>
          <w:tcPr>
            <w:tcW w:w="4922"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t>40 % 24-hodinovej limitnej hodnoty (50 μg/m</w:t>
            </w:r>
            <w:r w:rsidRPr="00E8450A">
              <w:rPr>
                <w:rStyle w:val="CRRefonteDeleted"/>
                <w:noProof/>
                <w:highlight w:val="lightGray"/>
                <w:vertAlign w:val="superscript"/>
              </w:rPr>
              <w:t>3</w:t>
            </w:r>
            <w:r w:rsidRPr="00E8450A">
              <w:rPr>
                <w:rStyle w:val="CRRefonteDeleted"/>
                <w:noProof/>
                <w:highlight w:val="lightGray"/>
              </w:rPr>
              <w:t xml:space="preserve"> sa neprekročí viac ako 3-krát za každý kalendárny rok)</w:t>
            </w:r>
          </w:p>
        </w:tc>
        <w:tc>
          <w:tcPr>
            <w:tcW w:w="2507"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t>40 % zimnej kritickej úrovne</w:t>
            </w:r>
          </w:p>
          <w:p w:rsidR="005C7768" w:rsidRPr="00E8450A" w:rsidRDefault="005C7768" w:rsidP="00335440">
            <w:pPr>
              <w:pStyle w:val="NormalLeft"/>
              <w:rPr>
                <w:rStyle w:val="CRRefonteDeleted"/>
                <w:noProof/>
                <w:highlight w:val="lightGray"/>
              </w:rPr>
            </w:pPr>
            <w:r w:rsidRPr="00E8450A">
              <w:rPr>
                <w:rStyle w:val="CRRefonteDeleted"/>
                <w:noProof/>
                <w:highlight w:val="lightGray"/>
              </w:rPr>
              <w:t>(8 μg/m</w:t>
            </w:r>
            <w:r w:rsidRPr="00E8450A">
              <w:rPr>
                <w:rStyle w:val="CRRefonteDeleted"/>
                <w:noProof/>
                <w:highlight w:val="lightGray"/>
                <w:vertAlign w:val="superscript"/>
              </w:rPr>
              <w:t>3</w:t>
            </w:r>
            <w:r w:rsidRPr="00E8450A">
              <w:rPr>
                <w:rStyle w:val="CRRefonteDeleted"/>
                <w:noProof/>
                <w:highlight w:val="lightGray"/>
              </w:rPr>
              <w:t>)</w:t>
            </w:r>
          </w:p>
        </w:tc>
      </w:tr>
    </w:tbl>
    <w:p w:rsidR="005C7768" w:rsidRPr="00E8450A" w:rsidRDefault="005C7768" w:rsidP="005C7768">
      <w:pPr>
        <w:rPr>
          <w:rStyle w:val="CRRefonteDeleted"/>
          <w:noProof/>
          <w:highlight w:val="lightGray"/>
        </w:rPr>
      </w:pPr>
    </w:p>
    <w:p w:rsidR="005C7768" w:rsidRPr="00E8450A" w:rsidRDefault="005C7768" w:rsidP="005C7768">
      <w:pPr>
        <w:pStyle w:val="ManualHeading2"/>
        <w:ind w:left="851" w:hanging="851"/>
        <w:rPr>
          <w:rStyle w:val="CRRefonteDeleted"/>
          <w:noProof/>
          <w:highlight w:val="lightGray"/>
        </w:rPr>
      </w:pPr>
      <w:r w:rsidRPr="00E8450A">
        <w:rPr>
          <w:rStyle w:val="CRRefonteDeleted"/>
          <w:noProof/>
          <w:highlight w:val="lightGray"/>
        </w:rPr>
        <w:t>2.</w:t>
      </w:r>
      <w:r w:rsidRPr="00E8450A">
        <w:rPr>
          <w:noProof/>
        </w:rPr>
        <w:tab/>
      </w:r>
      <w:r w:rsidRPr="00E8450A">
        <w:rPr>
          <w:rStyle w:val="CRRefonteDeleted"/>
          <w:noProof/>
          <w:highlight w:val="lightGray"/>
        </w:rPr>
        <w:t>Oxid dusičitý a oxidy dusíka</w:t>
      </w:r>
    </w:p>
    <w:tbl>
      <w:tblPr>
        <w:tblW w:w="0" w:type="auto"/>
        <w:tblLayout w:type="fixed"/>
        <w:tblLook w:val="0000" w:firstRow="0" w:lastRow="0" w:firstColumn="0" w:lastColumn="0" w:noHBand="0" w:noVBand="0"/>
      </w:tblPr>
      <w:tblGrid>
        <w:gridCol w:w="1486"/>
        <w:gridCol w:w="2786"/>
        <w:gridCol w:w="2321"/>
        <w:gridCol w:w="2693"/>
      </w:tblGrid>
      <w:tr w:rsidR="005C7768" w:rsidRPr="00E8450A" w:rsidTr="00335440">
        <w:tc>
          <w:tcPr>
            <w:tcW w:w="1486"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adjustRightInd w:val="0"/>
              <w:spacing w:before="0" w:after="0"/>
              <w:jc w:val="left"/>
              <w:rPr>
                <w:rStyle w:val="CRRefonteDeleted"/>
                <w:noProof/>
                <w:highlight w:val="lightGray"/>
              </w:rPr>
            </w:pPr>
          </w:p>
        </w:tc>
        <w:tc>
          <w:tcPr>
            <w:tcW w:w="2786"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Centered"/>
              <w:rPr>
                <w:rStyle w:val="CRRefonteDeleted"/>
                <w:noProof/>
                <w:highlight w:val="lightGray"/>
              </w:rPr>
            </w:pPr>
            <w:r w:rsidRPr="00E8450A">
              <w:rPr>
                <w:rStyle w:val="CRRefonteDeleted"/>
                <w:noProof/>
                <w:highlight w:val="lightGray"/>
              </w:rPr>
              <w:t>Hodinová limitná hodnota na ochranu zdravia ľudí (NO</w:t>
            </w:r>
            <w:r w:rsidRPr="00E8450A">
              <w:rPr>
                <w:rStyle w:val="CRRefonteDeleted"/>
                <w:noProof/>
                <w:highlight w:val="lightGray"/>
                <w:vertAlign w:val="subscript"/>
              </w:rPr>
              <w:t>2</w:t>
            </w:r>
            <w:r w:rsidRPr="00E8450A">
              <w:rPr>
                <w:rStyle w:val="CRRefonteDeleted"/>
                <w:noProof/>
                <w:highlight w:val="lightGray"/>
              </w:rPr>
              <w:t>)</w:t>
            </w:r>
          </w:p>
        </w:tc>
        <w:tc>
          <w:tcPr>
            <w:tcW w:w="2321"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Centered"/>
              <w:rPr>
                <w:rStyle w:val="CRRefonteDeleted"/>
                <w:noProof/>
                <w:highlight w:val="lightGray"/>
              </w:rPr>
            </w:pPr>
            <w:r w:rsidRPr="00E8450A">
              <w:rPr>
                <w:rStyle w:val="CRRefonteDeleted"/>
                <w:noProof/>
                <w:highlight w:val="lightGray"/>
              </w:rPr>
              <w:t>Ročná limitná hodnota na ochranu zdravia ľudí (NO</w:t>
            </w:r>
            <w:r w:rsidRPr="00E8450A">
              <w:rPr>
                <w:rStyle w:val="CRRefonteDeleted"/>
                <w:noProof/>
                <w:highlight w:val="lightGray"/>
                <w:vertAlign w:val="subscript"/>
              </w:rPr>
              <w:t>2</w:t>
            </w:r>
            <w:r w:rsidRPr="00E8450A">
              <w:rPr>
                <w:rStyle w:val="CRRefonteDeleted"/>
                <w:noProof/>
                <w:highlight w:val="lightGray"/>
              </w:rPr>
              <w:t>)</w:t>
            </w:r>
          </w:p>
        </w:tc>
        <w:tc>
          <w:tcPr>
            <w:tcW w:w="2693"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Centered"/>
              <w:rPr>
                <w:rStyle w:val="CRRefonteDeleted"/>
                <w:noProof/>
                <w:highlight w:val="lightGray"/>
              </w:rPr>
            </w:pPr>
            <w:r w:rsidRPr="00E8450A">
              <w:rPr>
                <w:rStyle w:val="CRRefonteDeleted"/>
                <w:noProof/>
                <w:highlight w:val="lightGray"/>
              </w:rPr>
              <w:t>Ročná kritická úroveň na ochranu vegetácie a prírodných ekosystémov (NO</w:t>
            </w:r>
            <w:r w:rsidRPr="00E8450A">
              <w:rPr>
                <w:rStyle w:val="CRRefonteDeleted"/>
                <w:noProof/>
                <w:highlight w:val="lightGray"/>
                <w:vertAlign w:val="subscript"/>
              </w:rPr>
              <w:t>x</w:t>
            </w:r>
            <w:r w:rsidRPr="00E8450A">
              <w:rPr>
                <w:rStyle w:val="CRRefonteDeleted"/>
                <w:noProof/>
                <w:highlight w:val="lightGray"/>
              </w:rPr>
              <w:t>)</w:t>
            </w:r>
          </w:p>
        </w:tc>
      </w:tr>
      <w:tr w:rsidR="005C7768" w:rsidRPr="00E8450A" w:rsidTr="00335440">
        <w:tc>
          <w:tcPr>
            <w:tcW w:w="1486"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t>Horný prah na hodnotenie</w:t>
            </w:r>
          </w:p>
        </w:tc>
        <w:tc>
          <w:tcPr>
            <w:tcW w:w="2786"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t>70 % limitnej hodnoty (140 μg/m</w:t>
            </w:r>
            <w:r w:rsidRPr="00E8450A">
              <w:rPr>
                <w:rStyle w:val="CRRefonteDeleted"/>
                <w:noProof/>
                <w:highlight w:val="lightGray"/>
                <w:vertAlign w:val="superscript"/>
              </w:rPr>
              <w:t>3</w:t>
            </w:r>
            <w:r w:rsidRPr="00E8450A">
              <w:rPr>
                <w:rStyle w:val="CRRefonteDeleted"/>
                <w:noProof/>
                <w:highlight w:val="lightGray"/>
              </w:rPr>
              <w:t xml:space="preserve"> sa neprekročí viac ako 18-krát za každý kalendárny rok)</w:t>
            </w:r>
          </w:p>
        </w:tc>
        <w:tc>
          <w:tcPr>
            <w:tcW w:w="2321"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t>80 % limitnej hodnoty (32 μg/m</w:t>
            </w:r>
            <w:r w:rsidRPr="00E8450A">
              <w:rPr>
                <w:rStyle w:val="CRRefonteDeleted"/>
                <w:noProof/>
                <w:highlight w:val="lightGray"/>
                <w:vertAlign w:val="superscript"/>
              </w:rPr>
              <w:t>3</w:t>
            </w:r>
            <w:r w:rsidRPr="00E8450A">
              <w:rPr>
                <w:rStyle w:val="CRRefonteDeleted"/>
                <w:noProof/>
                <w:highlight w:val="lightGray"/>
              </w:rPr>
              <w:t>)</w:t>
            </w:r>
          </w:p>
        </w:tc>
        <w:tc>
          <w:tcPr>
            <w:tcW w:w="2693"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t>80 % kritickej úrovne (24 μg/m</w:t>
            </w:r>
            <w:r w:rsidRPr="00E8450A">
              <w:rPr>
                <w:rStyle w:val="CRRefonteDeleted"/>
                <w:noProof/>
                <w:highlight w:val="lightGray"/>
                <w:vertAlign w:val="superscript"/>
              </w:rPr>
              <w:t>3</w:t>
            </w:r>
            <w:r w:rsidRPr="00E8450A">
              <w:rPr>
                <w:rStyle w:val="CRRefonteDeleted"/>
                <w:noProof/>
                <w:highlight w:val="lightGray"/>
              </w:rPr>
              <w:t>)</w:t>
            </w:r>
          </w:p>
        </w:tc>
      </w:tr>
      <w:tr w:rsidR="005C7768" w:rsidRPr="00E8450A" w:rsidTr="00335440">
        <w:tc>
          <w:tcPr>
            <w:tcW w:w="1486"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t>Dolný prah na hodnotenie</w:t>
            </w:r>
          </w:p>
        </w:tc>
        <w:tc>
          <w:tcPr>
            <w:tcW w:w="2786"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t>50 % limitnej hodnoty (100 μg/m</w:t>
            </w:r>
            <w:r w:rsidRPr="00E8450A">
              <w:rPr>
                <w:rStyle w:val="CRRefonteDeleted"/>
                <w:noProof/>
                <w:highlight w:val="lightGray"/>
                <w:vertAlign w:val="superscript"/>
              </w:rPr>
              <w:t>3</w:t>
            </w:r>
            <w:r w:rsidRPr="00E8450A">
              <w:rPr>
                <w:rStyle w:val="CRRefonteDeleted"/>
                <w:noProof/>
                <w:highlight w:val="lightGray"/>
              </w:rPr>
              <w:t xml:space="preserve"> sa neprekročí viac ako 18-krát za každý kalendárny rok)</w:t>
            </w:r>
          </w:p>
        </w:tc>
        <w:tc>
          <w:tcPr>
            <w:tcW w:w="2321"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t>65 % limitnej hodnoty (26 μg/m</w:t>
            </w:r>
            <w:r w:rsidRPr="00E8450A">
              <w:rPr>
                <w:rStyle w:val="CRRefonteDeleted"/>
                <w:noProof/>
                <w:highlight w:val="lightGray"/>
                <w:vertAlign w:val="superscript"/>
              </w:rPr>
              <w:t>3</w:t>
            </w:r>
            <w:r w:rsidRPr="00E8450A">
              <w:rPr>
                <w:rStyle w:val="CRRefonteDeleted"/>
                <w:noProof/>
                <w:highlight w:val="lightGray"/>
              </w:rPr>
              <w:t>)</w:t>
            </w:r>
          </w:p>
        </w:tc>
        <w:tc>
          <w:tcPr>
            <w:tcW w:w="2693"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t>65 % kritickej úrovne (19,5 μg/m</w:t>
            </w:r>
            <w:r w:rsidRPr="00E8450A">
              <w:rPr>
                <w:rStyle w:val="CRRefonteDeleted"/>
                <w:noProof/>
                <w:highlight w:val="lightGray"/>
                <w:vertAlign w:val="superscript"/>
              </w:rPr>
              <w:t>3</w:t>
            </w:r>
            <w:r w:rsidRPr="00E8450A">
              <w:rPr>
                <w:rStyle w:val="CRRefonteDeleted"/>
                <w:noProof/>
                <w:highlight w:val="lightGray"/>
              </w:rPr>
              <w:t>)</w:t>
            </w:r>
          </w:p>
        </w:tc>
      </w:tr>
    </w:tbl>
    <w:p w:rsidR="005C7768" w:rsidRPr="00E8450A" w:rsidRDefault="005C7768" w:rsidP="005C7768">
      <w:pPr>
        <w:rPr>
          <w:rStyle w:val="CRRefonteDeleted"/>
          <w:noProof/>
          <w:highlight w:val="lightGray"/>
        </w:rPr>
      </w:pPr>
    </w:p>
    <w:p w:rsidR="005C7768" w:rsidRPr="00E8450A" w:rsidRDefault="005C7768" w:rsidP="005C7768">
      <w:pPr>
        <w:pStyle w:val="ManualHeading2"/>
        <w:ind w:left="851" w:hanging="851"/>
        <w:rPr>
          <w:rStyle w:val="CRRefonteDeleted"/>
          <w:noProof/>
          <w:highlight w:val="lightGray"/>
        </w:rPr>
      </w:pPr>
      <w:r w:rsidRPr="00E8450A">
        <w:rPr>
          <w:rStyle w:val="CRRefonteDeleted"/>
          <w:noProof/>
          <w:highlight w:val="lightGray"/>
        </w:rPr>
        <w:t>3.</w:t>
      </w:r>
      <w:r w:rsidRPr="00E8450A">
        <w:rPr>
          <w:noProof/>
        </w:rPr>
        <w:tab/>
      </w:r>
      <w:r w:rsidRPr="00E8450A">
        <w:rPr>
          <w:rStyle w:val="CRRefonteDeleted"/>
          <w:noProof/>
          <w:highlight w:val="lightGray"/>
        </w:rPr>
        <w:t>Suspendované častice (PM</w:t>
      </w:r>
      <w:r w:rsidRPr="00E8450A">
        <w:rPr>
          <w:rStyle w:val="CRRefonteDeleted"/>
          <w:noProof/>
          <w:highlight w:val="lightGray"/>
          <w:vertAlign w:val="subscript"/>
        </w:rPr>
        <w:t>10</w:t>
      </w:r>
      <w:r w:rsidRPr="00E8450A">
        <w:rPr>
          <w:rStyle w:val="CRRefonteDeleted"/>
          <w:noProof/>
          <w:highlight w:val="lightGray"/>
        </w:rPr>
        <w:t>/PM</w:t>
      </w:r>
      <w:r w:rsidRPr="00E8450A">
        <w:rPr>
          <w:rStyle w:val="CRRefonteDeleted"/>
          <w:noProof/>
          <w:highlight w:val="lightGray"/>
          <w:vertAlign w:val="subscript"/>
        </w:rPr>
        <w:t>2,5</w:t>
      </w:r>
      <w:r w:rsidRPr="00E8450A">
        <w:rPr>
          <w:rStyle w:val="CRRefonteDeleted"/>
          <w:noProof/>
          <w:highlight w:val="lightGray"/>
        </w:rPr>
        <w:t>)</w:t>
      </w:r>
    </w:p>
    <w:tbl>
      <w:tblPr>
        <w:tblW w:w="0" w:type="auto"/>
        <w:tblLayout w:type="fixed"/>
        <w:tblLook w:val="0000" w:firstRow="0" w:lastRow="0" w:firstColumn="0" w:lastColumn="0" w:noHBand="0" w:noVBand="0"/>
      </w:tblPr>
      <w:tblGrid>
        <w:gridCol w:w="1764"/>
        <w:gridCol w:w="3900"/>
        <w:gridCol w:w="1765"/>
        <w:gridCol w:w="1857"/>
      </w:tblGrid>
      <w:tr w:rsidR="005C7768" w:rsidRPr="00E8450A" w:rsidTr="00335440">
        <w:tc>
          <w:tcPr>
            <w:tcW w:w="1764"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adjustRightInd w:val="0"/>
              <w:spacing w:before="0" w:after="0"/>
              <w:jc w:val="left"/>
              <w:rPr>
                <w:rStyle w:val="CRRefonteDeleted"/>
                <w:noProof/>
                <w:highlight w:val="lightGray"/>
              </w:rPr>
            </w:pPr>
          </w:p>
        </w:tc>
        <w:tc>
          <w:tcPr>
            <w:tcW w:w="3900"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Centered"/>
              <w:rPr>
                <w:rStyle w:val="CRRefonteDeleted"/>
                <w:noProof/>
                <w:highlight w:val="lightGray"/>
              </w:rPr>
            </w:pPr>
            <w:r w:rsidRPr="00E8450A">
              <w:rPr>
                <w:rStyle w:val="CRRefonteDeleted"/>
                <w:noProof/>
                <w:highlight w:val="lightGray"/>
              </w:rPr>
              <w:t>24 hodinový priemer PM</w:t>
            </w:r>
            <w:r w:rsidRPr="00E8450A">
              <w:rPr>
                <w:rStyle w:val="CRRefonteDeleted"/>
                <w:noProof/>
                <w:highlight w:val="lightGray"/>
                <w:vertAlign w:val="subscript"/>
              </w:rPr>
              <w:t>10</w:t>
            </w:r>
          </w:p>
        </w:tc>
        <w:tc>
          <w:tcPr>
            <w:tcW w:w="1765"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Centered"/>
              <w:rPr>
                <w:rStyle w:val="CRRefonteDeleted"/>
                <w:noProof/>
                <w:highlight w:val="lightGray"/>
              </w:rPr>
            </w:pPr>
            <w:r w:rsidRPr="00E8450A">
              <w:rPr>
                <w:rStyle w:val="CRRefonteDeleted"/>
                <w:noProof/>
                <w:highlight w:val="lightGray"/>
              </w:rPr>
              <w:t>Ročný priemer PM</w:t>
            </w:r>
            <w:r w:rsidRPr="00E8450A">
              <w:rPr>
                <w:rStyle w:val="CRRefonteDeleted"/>
                <w:noProof/>
                <w:highlight w:val="lightGray"/>
                <w:vertAlign w:val="subscript"/>
              </w:rPr>
              <w:t>10</w:t>
            </w:r>
          </w:p>
        </w:tc>
        <w:tc>
          <w:tcPr>
            <w:tcW w:w="1857"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Centered"/>
              <w:rPr>
                <w:rStyle w:val="CRRefonteDeleted"/>
                <w:noProof/>
                <w:highlight w:val="lightGray"/>
              </w:rPr>
            </w:pPr>
            <w:r w:rsidRPr="00E8450A">
              <w:rPr>
                <w:rStyle w:val="CRRefonteDeleted"/>
                <w:noProof/>
                <w:highlight w:val="lightGray"/>
              </w:rPr>
              <w:t>Ročný priemer PM</w:t>
            </w:r>
            <w:r w:rsidRPr="00E8450A">
              <w:rPr>
                <w:rStyle w:val="CRRefonteDeleted"/>
                <w:noProof/>
                <w:highlight w:val="lightGray"/>
                <w:vertAlign w:val="subscript"/>
              </w:rPr>
              <w:t>2,5</w:t>
            </w:r>
            <w:r w:rsidRPr="00E8450A">
              <w:rPr>
                <w:rStyle w:val="CRRefonteDeleted"/>
                <w:noProof/>
                <w:highlight w:val="lightGray"/>
                <w:vertAlign w:val="superscript"/>
              </w:rPr>
              <w:footnoteReference w:id="14"/>
            </w:r>
            <w:r w:rsidRPr="00E8450A">
              <w:rPr>
                <w:rStyle w:val="CRRefonteDeleted"/>
                <w:noProof/>
                <w:highlight w:val="lightGray"/>
              </w:rPr>
              <w:t>-</w:t>
            </w:r>
          </w:p>
        </w:tc>
      </w:tr>
      <w:tr w:rsidR="005C7768" w:rsidRPr="00E8450A" w:rsidTr="00335440">
        <w:tc>
          <w:tcPr>
            <w:tcW w:w="1764"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t>Horný prah na hodnotenie</w:t>
            </w:r>
          </w:p>
        </w:tc>
        <w:tc>
          <w:tcPr>
            <w:tcW w:w="3900"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t>70 % limitnej hodnoty (35 μg/m</w:t>
            </w:r>
            <w:r w:rsidRPr="00E8450A">
              <w:rPr>
                <w:rStyle w:val="CRRefonteDeleted"/>
                <w:noProof/>
                <w:highlight w:val="lightGray"/>
                <w:vertAlign w:val="superscript"/>
              </w:rPr>
              <w:t>3</w:t>
            </w:r>
            <w:r w:rsidRPr="00E8450A">
              <w:rPr>
                <w:rStyle w:val="CRRefonteDeleted"/>
                <w:noProof/>
                <w:highlight w:val="lightGray"/>
              </w:rPr>
              <w:t xml:space="preserve"> sa neprekročí viac ako 35-krát za každý kalendárny rok)</w:t>
            </w:r>
          </w:p>
        </w:tc>
        <w:tc>
          <w:tcPr>
            <w:tcW w:w="1765"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t>70 % limitnej hodnoty (28 μg/m</w:t>
            </w:r>
            <w:r w:rsidRPr="00E8450A">
              <w:rPr>
                <w:rStyle w:val="CRRefonteDeleted"/>
                <w:noProof/>
                <w:highlight w:val="lightGray"/>
                <w:vertAlign w:val="superscript"/>
              </w:rPr>
              <w:t>3</w:t>
            </w:r>
            <w:r w:rsidRPr="00E8450A">
              <w:rPr>
                <w:rStyle w:val="CRRefonteDeleted"/>
                <w:noProof/>
                <w:highlight w:val="lightGray"/>
              </w:rPr>
              <w:t>)</w:t>
            </w:r>
          </w:p>
        </w:tc>
        <w:tc>
          <w:tcPr>
            <w:tcW w:w="1857"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t>70 % limitnej hodnoty (17 μg/m</w:t>
            </w:r>
            <w:r w:rsidRPr="00E8450A">
              <w:rPr>
                <w:rStyle w:val="CRRefonteDeleted"/>
                <w:noProof/>
                <w:highlight w:val="lightGray"/>
                <w:vertAlign w:val="superscript"/>
              </w:rPr>
              <w:t>3</w:t>
            </w:r>
            <w:r w:rsidRPr="00E8450A">
              <w:rPr>
                <w:rStyle w:val="CRRefonteDeleted"/>
                <w:noProof/>
                <w:highlight w:val="lightGray"/>
              </w:rPr>
              <w:t>)</w:t>
            </w:r>
          </w:p>
        </w:tc>
      </w:tr>
      <w:tr w:rsidR="005C7768" w:rsidRPr="00E8450A" w:rsidTr="00335440">
        <w:tc>
          <w:tcPr>
            <w:tcW w:w="1764"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t>Dolný prah na hodnotenie</w:t>
            </w:r>
          </w:p>
        </w:tc>
        <w:tc>
          <w:tcPr>
            <w:tcW w:w="3900"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t>50 % limitnej hodnoty (25 μg/m</w:t>
            </w:r>
            <w:r w:rsidRPr="00E8450A">
              <w:rPr>
                <w:rStyle w:val="CRRefonteDeleted"/>
                <w:noProof/>
                <w:highlight w:val="lightGray"/>
                <w:vertAlign w:val="superscript"/>
              </w:rPr>
              <w:t>3</w:t>
            </w:r>
            <w:r w:rsidRPr="00E8450A">
              <w:rPr>
                <w:rStyle w:val="CRRefonteDeleted"/>
                <w:noProof/>
                <w:highlight w:val="lightGray"/>
              </w:rPr>
              <w:t xml:space="preserve"> sa neprekročí viac ako 35-krát za každý kalendárny rok)</w:t>
            </w:r>
          </w:p>
        </w:tc>
        <w:tc>
          <w:tcPr>
            <w:tcW w:w="1765"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t>50 % limitnej hodnoty (20 μg/m</w:t>
            </w:r>
            <w:r w:rsidRPr="00E8450A">
              <w:rPr>
                <w:rStyle w:val="CRRefonteDeleted"/>
                <w:noProof/>
                <w:highlight w:val="lightGray"/>
                <w:vertAlign w:val="superscript"/>
              </w:rPr>
              <w:t>3</w:t>
            </w:r>
            <w:r w:rsidRPr="00E8450A">
              <w:rPr>
                <w:rStyle w:val="CRRefonteDeleted"/>
                <w:noProof/>
                <w:highlight w:val="lightGray"/>
              </w:rPr>
              <w:t>)</w:t>
            </w:r>
          </w:p>
        </w:tc>
        <w:tc>
          <w:tcPr>
            <w:tcW w:w="1857"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t>50 % limitnej hodnoty (12 μg/m</w:t>
            </w:r>
            <w:r w:rsidRPr="00E8450A">
              <w:rPr>
                <w:rStyle w:val="CRRefonteDeleted"/>
                <w:noProof/>
                <w:highlight w:val="lightGray"/>
                <w:vertAlign w:val="superscript"/>
              </w:rPr>
              <w:t>3</w:t>
            </w:r>
            <w:r w:rsidRPr="00E8450A">
              <w:rPr>
                <w:rStyle w:val="CRRefonteDeleted"/>
                <w:noProof/>
                <w:highlight w:val="lightGray"/>
              </w:rPr>
              <w:t>)</w:t>
            </w:r>
          </w:p>
        </w:tc>
      </w:tr>
    </w:tbl>
    <w:p w:rsidR="005C7768" w:rsidRPr="00E8450A" w:rsidRDefault="005C7768" w:rsidP="005C7768">
      <w:pPr>
        <w:rPr>
          <w:rStyle w:val="CRRefonteDeleted"/>
          <w:noProof/>
          <w:highlight w:val="lightGray"/>
        </w:rPr>
      </w:pPr>
    </w:p>
    <w:p w:rsidR="005C7768" w:rsidRPr="00E8450A" w:rsidRDefault="005C7768" w:rsidP="005C7768">
      <w:pPr>
        <w:pStyle w:val="ManualHeading2"/>
        <w:ind w:left="851" w:hanging="851"/>
        <w:rPr>
          <w:rStyle w:val="CRRefonteDeleted"/>
          <w:noProof/>
          <w:highlight w:val="lightGray"/>
        </w:rPr>
      </w:pPr>
      <w:r w:rsidRPr="00E8450A">
        <w:rPr>
          <w:rStyle w:val="CRRefonteDeleted"/>
          <w:noProof/>
          <w:highlight w:val="lightGray"/>
        </w:rPr>
        <w:t>4.</w:t>
      </w:r>
      <w:r w:rsidRPr="00E8450A">
        <w:rPr>
          <w:noProof/>
        </w:rPr>
        <w:tab/>
      </w:r>
      <w:r w:rsidRPr="00E8450A">
        <w:rPr>
          <w:rStyle w:val="CRRefonteDeleted"/>
          <w:noProof/>
          <w:highlight w:val="lightGray"/>
        </w:rPr>
        <w:t>Olovo</w:t>
      </w:r>
    </w:p>
    <w:tbl>
      <w:tblPr>
        <w:tblW w:w="0" w:type="auto"/>
        <w:tblInd w:w="1486" w:type="dxa"/>
        <w:tblLayout w:type="fixed"/>
        <w:tblLook w:val="0000" w:firstRow="0" w:lastRow="0" w:firstColumn="0" w:lastColumn="0" w:noHBand="0" w:noVBand="0"/>
      </w:tblPr>
      <w:tblGrid>
        <w:gridCol w:w="3031"/>
        <w:gridCol w:w="3283"/>
      </w:tblGrid>
      <w:tr w:rsidR="005C7768" w:rsidRPr="00E8450A" w:rsidTr="00335440">
        <w:tc>
          <w:tcPr>
            <w:tcW w:w="3031"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adjustRightInd w:val="0"/>
              <w:spacing w:before="0" w:after="0"/>
              <w:jc w:val="left"/>
              <w:rPr>
                <w:rStyle w:val="CRRefonteDeleted"/>
                <w:noProof/>
                <w:highlight w:val="lightGray"/>
              </w:rPr>
            </w:pPr>
          </w:p>
        </w:tc>
        <w:tc>
          <w:tcPr>
            <w:tcW w:w="3283"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Centered"/>
              <w:rPr>
                <w:rStyle w:val="CRRefonteDeleted"/>
                <w:noProof/>
                <w:highlight w:val="lightGray"/>
              </w:rPr>
            </w:pPr>
            <w:r w:rsidRPr="00E8450A">
              <w:rPr>
                <w:rStyle w:val="CRRefonteDeleted"/>
                <w:noProof/>
                <w:highlight w:val="lightGray"/>
              </w:rPr>
              <w:t>Ročný priemer</w:t>
            </w:r>
          </w:p>
        </w:tc>
      </w:tr>
      <w:tr w:rsidR="005C7768" w:rsidRPr="00E8450A" w:rsidTr="00335440">
        <w:tc>
          <w:tcPr>
            <w:tcW w:w="3031"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t>Horný prah na hodnotenie</w:t>
            </w:r>
          </w:p>
        </w:tc>
        <w:tc>
          <w:tcPr>
            <w:tcW w:w="3283"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t>70 % limitnej hodnoty (0,35 μg/m</w:t>
            </w:r>
            <w:r w:rsidRPr="00E8450A">
              <w:rPr>
                <w:rStyle w:val="CRRefonteDeleted"/>
                <w:noProof/>
                <w:highlight w:val="lightGray"/>
                <w:vertAlign w:val="superscript"/>
              </w:rPr>
              <w:t>3</w:t>
            </w:r>
            <w:r w:rsidRPr="00E8450A">
              <w:rPr>
                <w:rStyle w:val="CRRefonteDeleted"/>
                <w:noProof/>
                <w:highlight w:val="lightGray"/>
              </w:rPr>
              <w:t>)</w:t>
            </w:r>
          </w:p>
        </w:tc>
      </w:tr>
      <w:tr w:rsidR="005C7768" w:rsidRPr="00E8450A" w:rsidTr="00335440">
        <w:tc>
          <w:tcPr>
            <w:tcW w:w="3031"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t>Dolný prah na hodnotenie</w:t>
            </w:r>
          </w:p>
        </w:tc>
        <w:tc>
          <w:tcPr>
            <w:tcW w:w="3283"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t>50 % limitnej hodnoty (0,25 μg/m</w:t>
            </w:r>
            <w:r w:rsidRPr="00E8450A">
              <w:rPr>
                <w:rStyle w:val="CRRefonteDeleted"/>
                <w:noProof/>
                <w:highlight w:val="lightGray"/>
                <w:vertAlign w:val="superscript"/>
              </w:rPr>
              <w:t>3</w:t>
            </w:r>
            <w:r w:rsidRPr="00E8450A">
              <w:rPr>
                <w:rStyle w:val="CRRefonteDeleted"/>
                <w:noProof/>
                <w:highlight w:val="lightGray"/>
              </w:rPr>
              <w:t>)</w:t>
            </w:r>
          </w:p>
        </w:tc>
      </w:tr>
    </w:tbl>
    <w:p w:rsidR="005C7768" w:rsidRPr="00E8450A" w:rsidRDefault="005C7768" w:rsidP="005C7768">
      <w:pPr>
        <w:rPr>
          <w:rStyle w:val="CRRefonteDeleted"/>
          <w:noProof/>
          <w:highlight w:val="lightGray"/>
        </w:rPr>
      </w:pPr>
    </w:p>
    <w:p w:rsidR="005C7768" w:rsidRPr="00E8450A" w:rsidRDefault="005C7768" w:rsidP="005C7768">
      <w:pPr>
        <w:pStyle w:val="ManualHeading2"/>
        <w:ind w:left="851" w:hanging="851"/>
        <w:rPr>
          <w:rStyle w:val="CRRefonteDeleted"/>
          <w:noProof/>
          <w:highlight w:val="lightGray"/>
        </w:rPr>
      </w:pPr>
      <w:r w:rsidRPr="00E8450A">
        <w:rPr>
          <w:rStyle w:val="CRRefonteDeleted"/>
          <w:noProof/>
          <w:highlight w:val="lightGray"/>
        </w:rPr>
        <w:t>5.</w:t>
      </w:r>
      <w:r w:rsidRPr="00E8450A">
        <w:rPr>
          <w:noProof/>
        </w:rPr>
        <w:tab/>
      </w:r>
      <w:r w:rsidRPr="00E8450A">
        <w:rPr>
          <w:rStyle w:val="CRRefonteDeleted"/>
          <w:noProof/>
          <w:highlight w:val="lightGray"/>
        </w:rPr>
        <w:t>Benzén</w:t>
      </w:r>
    </w:p>
    <w:tbl>
      <w:tblPr>
        <w:tblW w:w="0" w:type="auto"/>
        <w:tblInd w:w="1532" w:type="dxa"/>
        <w:tblLayout w:type="fixed"/>
        <w:tblLook w:val="0000" w:firstRow="0" w:lastRow="0" w:firstColumn="0" w:lastColumn="0" w:noHBand="0" w:noVBand="0"/>
      </w:tblPr>
      <w:tblGrid>
        <w:gridCol w:w="3049"/>
        <w:gridCol w:w="3173"/>
      </w:tblGrid>
      <w:tr w:rsidR="005C7768" w:rsidRPr="00E8450A" w:rsidTr="00335440">
        <w:tc>
          <w:tcPr>
            <w:tcW w:w="3049"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adjustRightInd w:val="0"/>
              <w:spacing w:before="0" w:after="0"/>
              <w:jc w:val="left"/>
              <w:rPr>
                <w:rStyle w:val="CRRefonteDeleted"/>
                <w:noProof/>
                <w:highlight w:val="lightGray"/>
              </w:rPr>
            </w:pPr>
          </w:p>
        </w:tc>
        <w:tc>
          <w:tcPr>
            <w:tcW w:w="3173"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Centered"/>
              <w:rPr>
                <w:rStyle w:val="CRRefonteDeleted"/>
                <w:noProof/>
                <w:highlight w:val="lightGray"/>
              </w:rPr>
            </w:pPr>
            <w:r w:rsidRPr="00E8450A">
              <w:rPr>
                <w:rStyle w:val="CRRefonteDeleted"/>
                <w:noProof/>
                <w:highlight w:val="lightGray"/>
              </w:rPr>
              <w:t>Ročný priemer</w:t>
            </w:r>
          </w:p>
        </w:tc>
      </w:tr>
      <w:tr w:rsidR="005C7768" w:rsidRPr="00E8450A" w:rsidTr="00335440">
        <w:tc>
          <w:tcPr>
            <w:tcW w:w="3049"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t>Horný prah na hodnotenie</w:t>
            </w:r>
          </w:p>
        </w:tc>
        <w:tc>
          <w:tcPr>
            <w:tcW w:w="3173"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t>70 % limitnej hodnoty (3,5 μg/m</w:t>
            </w:r>
            <w:r w:rsidRPr="00E8450A">
              <w:rPr>
                <w:rStyle w:val="CRRefonteDeleted"/>
                <w:noProof/>
                <w:highlight w:val="lightGray"/>
                <w:vertAlign w:val="superscript"/>
              </w:rPr>
              <w:t>3</w:t>
            </w:r>
            <w:r w:rsidRPr="00E8450A">
              <w:rPr>
                <w:rStyle w:val="CRRefonteDeleted"/>
                <w:noProof/>
                <w:highlight w:val="lightGray"/>
              </w:rPr>
              <w:t>)</w:t>
            </w:r>
          </w:p>
        </w:tc>
      </w:tr>
      <w:tr w:rsidR="005C7768" w:rsidRPr="00E8450A" w:rsidTr="00335440">
        <w:tc>
          <w:tcPr>
            <w:tcW w:w="3049"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t>Dolný prah na hodnotenie</w:t>
            </w:r>
          </w:p>
        </w:tc>
        <w:tc>
          <w:tcPr>
            <w:tcW w:w="3173"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t>40 % limitnej hodnoty (2 μg/m</w:t>
            </w:r>
            <w:r w:rsidRPr="00E8450A">
              <w:rPr>
                <w:rStyle w:val="CRRefonteDeleted"/>
                <w:noProof/>
                <w:highlight w:val="lightGray"/>
                <w:vertAlign w:val="superscript"/>
              </w:rPr>
              <w:t>3</w:t>
            </w:r>
            <w:r w:rsidRPr="00E8450A">
              <w:rPr>
                <w:rStyle w:val="CRRefonteDeleted"/>
                <w:noProof/>
                <w:highlight w:val="lightGray"/>
              </w:rPr>
              <w:t>)</w:t>
            </w:r>
          </w:p>
        </w:tc>
      </w:tr>
    </w:tbl>
    <w:p w:rsidR="005C7768" w:rsidRPr="00E8450A" w:rsidRDefault="005C7768" w:rsidP="005C7768">
      <w:pPr>
        <w:rPr>
          <w:rStyle w:val="CRRefonteDeleted"/>
          <w:noProof/>
          <w:highlight w:val="lightGray"/>
        </w:rPr>
      </w:pPr>
    </w:p>
    <w:p w:rsidR="005C7768" w:rsidRPr="00E8450A" w:rsidRDefault="005C7768" w:rsidP="005C7768">
      <w:pPr>
        <w:pStyle w:val="ManualHeading2"/>
        <w:ind w:left="851" w:hanging="851"/>
        <w:rPr>
          <w:rStyle w:val="CRRefonteDeleted"/>
          <w:noProof/>
          <w:highlight w:val="lightGray"/>
        </w:rPr>
      </w:pPr>
      <w:r w:rsidRPr="00E8450A">
        <w:rPr>
          <w:rStyle w:val="CRRefonteDeleted"/>
          <w:noProof/>
          <w:highlight w:val="lightGray"/>
        </w:rPr>
        <w:t>6.</w:t>
      </w:r>
      <w:r w:rsidRPr="00E8450A">
        <w:rPr>
          <w:noProof/>
        </w:rPr>
        <w:tab/>
      </w:r>
      <w:r w:rsidRPr="00E8450A">
        <w:rPr>
          <w:rStyle w:val="CRRefonteDeleted"/>
          <w:noProof/>
          <w:highlight w:val="lightGray"/>
        </w:rPr>
        <w:t>Oxid uhoľnatý</w:t>
      </w:r>
    </w:p>
    <w:tbl>
      <w:tblPr>
        <w:tblW w:w="0" w:type="auto"/>
        <w:tblInd w:w="1579" w:type="dxa"/>
        <w:tblLayout w:type="fixed"/>
        <w:tblLook w:val="0000" w:firstRow="0" w:lastRow="0" w:firstColumn="0" w:lastColumn="0" w:noHBand="0" w:noVBand="0"/>
      </w:tblPr>
      <w:tblGrid>
        <w:gridCol w:w="3003"/>
        <w:gridCol w:w="3126"/>
      </w:tblGrid>
      <w:tr w:rsidR="005C7768" w:rsidRPr="00E8450A" w:rsidTr="00335440">
        <w:tc>
          <w:tcPr>
            <w:tcW w:w="3003"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adjustRightInd w:val="0"/>
              <w:spacing w:before="0" w:after="0"/>
              <w:jc w:val="left"/>
              <w:rPr>
                <w:rStyle w:val="CRRefonteDeleted"/>
                <w:noProof/>
                <w:highlight w:val="lightGray"/>
              </w:rPr>
            </w:pPr>
          </w:p>
        </w:tc>
        <w:tc>
          <w:tcPr>
            <w:tcW w:w="3126"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Centered"/>
              <w:rPr>
                <w:rStyle w:val="CRRefonteDeleted"/>
                <w:noProof/>
                <w:highlight w:val="lightGray"/>
              </w:rPr>
            </w:pPr>
            <w:r w:rsidRPr="00E8450A">
              <w:rPr>
                <w:rStyle w:val="CRRefonteDeleted"/>
                <w:noProof/>
                <w:highlight w:val="lightGray"/>
              </w:rPr>
              <w:t>Osemhodinový priemer</w:t>
            </w:r>
          </w:p>
        </w:tc>
      </w:tr>
      <w:tr w:rsidR="005C7768" w:rsidRPr="00E8450A" w:rsidTr="00335440">
        <w:tc>
          <w:tcPr>
            <w:tcW w:w="3003"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t>Horný prah na hodnotenie</w:t>
            </w:r>
          </w:p>
        </w:tc>
        <w:tc>
          <w:tcPr>
            <w:tcW w:w="3126"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t>70 % limitnej hodnoty (7 mg/m</w:t>
            </w:r>
            <w:r w:rsidRPr="00E8450A">
              <w:rPr>
                <w:rStyle w:val="CRRefonteDeleted"/>
                <w:noProof/>
                <w:highlight w:val="lightGray"/>
                <w:vertAlign w:val="superscript"/>
              </w:rPr>
              <w:t>3</w:t>
            </w:r>
            <w:r w:rsidRPr="00E8450A">
              <w:rPr>
                <w:rStyle w:val="CRRefonteDeleted"/>
                <w:noProof/>
                <w:highlight w:val="lightGray"/>
              </w:rPr>
              <w:t>)</w:t>
            </w:r>
          </w:p>
        </w:tc>
      </w:tr>
      <w:tr w:rsidR="005C7768" w:rsidRPr="00E8450A" w:rsidTr="00335440">
        <w:tc>
          <w:tcPr>
            <w:tcW w:w="3003"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t>Dolný prah na hodnotenie</w:t>
            </w:r>
          </w:p>
        </w:tc>
        <w:tc>
          <w:tcPr>
            <w:tcW w:w="3126"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t>50 % limitnej hodnoty (5 mg/m</w:t>
            </w:r>
            <w:r w:rsidRPr="00E8450A">
              <w:rPr>
                <w:rStyle w:val="CRRefonteDeleted"/>
                <w:noProof/>
                <w:highlight w:val="lightGray"/>
                <w:vertAlign w:val="superscript"/>
              </w:rPr>
              <w:t>3</w:t>
            </w:r>
            <w:r w:rsidRPr="00E8450A">
              <w:rPr>
                <w:rStyle w:val="CRRefonteDeleted"/>
                <w:noProof/>
                <w:highlight w:val="lightGray"/>
              </w:rPr>
              <w:t>)</w:t>
            </w:r>
          </w:p>
        </w:tc>
      </w:tr>
    </w:tbl>
    <w:p w:rsidR="005C7768" w:rsidRPr="00E8450A" w:rsidRDefault="005C7768" w:rsidP="005C7768">
      <w:pPr>
        <w:rPr>
          <w:rStyle w:val="CRRefonteDeleted"/>
          <w:noProof/>
          <w:highlight w:val="lightGray"/>
        </w:rPr>
      </w:pPr>
    </w:p>
    <w:p w:rsidR="005C7768" w:rsidRPr="00E8450A" w:rsidRDefault="005C7768" w:rsidP="005C7768">
      <w:pPr>
        <w:adjustRightInd w:val="0"/>
        <w:spacing w:before="0" w:after="0"/>
        <w:jc w:val="left"/>
        <w:rPr>
          <w:noProof/>
        </w:rPr>
        <w:sectPr w:rsidR="005C7768" w:rsidRPr="00E8450A" w:rsidSect="000A000C">
          <w:pgSz w:w="11906" w:h="16838"/>
          <w:pgMar w:top="1134" w:right="1418" w:bottom="1134" w:left="1418" w:header="709" w:footer="709" w:gutter="0"/>
          <w:cols w:space="709"/>
          <w:docGrid w:linePitch="326"/>
        </w:sectPr>
      </w:pPr>
    </w:p>
    <w:p w:rsidR="005C7768" w:rsidRPr="00E8450A" w:rsidRDefault="005C7768" w:rsidP="005C7768">
      <w:pPr>
        <w:pStyle w:val="CRSeparator"/>
        <w:rPr>
          <w:noProof/>
        </w:rPr>
      </w:pPr>
    </w:p>
    <w:p w:rsidR="005C7768" w:rsidRPr="00E8450A" w:rsidRDefault="005C7768" w:rsidP="005C7768">
      <w:pPr>
        <w:pStyle w:val="CRReference"/>
        <w:rPr>
          <w:noProof/>
        </w:rPr>
      </w:pPr>
      <w:r w:rsidRPr="00E8450A">
        <w:rPr>
          <w:noProof/>
        </w:rPr>
        <w:fldChar w:fldCharType="begin"/>
      </w:r>
      <w:r w:rsidRPr="00E8450A">
        <w:rPr>
          <w:noProof/>
        </w:rPr>
        <w:instrText xml:space="preserve"> QUOTE "ê" </w:instrText>
      </w:r>
      <w:r w:rsidRPr="00E8450A">
        <w:rPr>
          <w:noProof/>
        </w:rPr>
        <w:fldChar w:fldCharType="separate"/>
      </w:r>
      <w:r w:rsidRPr="00E8450A">
        <w:rPr>
          <w:rStyle w:val="CRMarker"/>
          <w:noProof/>
        </w:rPr>
        <w:t>ê</w:t>
      </w:r>
      <w:r w:rsidRPr="00E8450A">
        <w:rPr>
          <w:noProof/>
        </w:rPr>
        <w:fldChar w:fldCharType="end"/>
      </w:r>
      <w:r w:rsidRPr="00E8450A">
        <w:rPr>
          <w:noProof/>
        </w:rPr>
        <w:t> 2008/50/ES</w:t>
      </w:r>
    </w:p>
    <w:p w:rsidR="005C7768" w:rsidRPr="00E8450A" w:rsidRDefault="005C7768" w:rsidP="000A6A7F">
      <w:pPr>
        <w:jc w:val="center"/>
        <w:rPr>
          <w:rStyle w:val="CRRefonteDeleted"/>
          <w:b/>
          <w:noProof/>
          <w:highlight w:val="lightGray"/>
          <w:u w:val="single"/>
        </w:rPr>
      </w:pPr>
      <w:r w:rsidRPr="00E8450A">
        <w:rPr>
          <w:rStyle w:val="CRRefonteDeleted"/>
          <w:b/>
          <w:noProof/>
          <w:highlight w:val="lightGray"/>
          <w:u w:val="single"/>
        </w:rPr>
        <w:t>PRÍLOHA III</w:t>
      </w:r>
    </w:p>
    <w:p w:rsidR="005C7768" w:rsidRPr="00E8450A" w:rsidRDefault="005C7768" w:rsidP="005C7768">
      <w:pPr>
        <w:pStyle w:val="NormalCentered"/>
        <w:rPr>
          <w:rStyle w:val="CRRefonteDeleted"/>
          <w:noProof/>
          <w:highlight w:val="lightGray"/>
        </w:rPr>
      </w:pPr>
      <w:r w:rsidRPr="00E8450A">
        <w:rPr>
          <w:rStyle w:val="CRRefonteDeleted"/>
          <w:b/>
          <w:noProof/>
          <w:highlight w:val="lightGray"/>
        </w:rPr>
        <w:t>Hodnotenie kvality okolitého ovzdušia a umiestňovanie vzorkovacích miest na meranie oxidu siričitého, oxidu dusičitého, oxidov dusíka, suspendovaných častíc (PM</w:t>
      </w:r>
      <w:r w:rsidRPr="00E8450A">
        <w:rPr>
          <w:rStyle w:val="CRRefonteDeleted"/>
          <w:b/>
          <w:noProof/>
          <w:highlight w:val="lightGray"/>
          <w:vertAlign w:val="subscript"/>
        </w:rPr>
        <w:t>10</w:t>
      </w:r>
      <w:r w:rsidRPr="00E8450A">
        <w:rPr>
          <w:rStyle w:val="CRRefonteDeleted"/>
          <w:b/>
          <w:noProof/>
          <w:highlight w:val="lightGray"/>
        </w:rPr>
        <w:t xml:space="preserve"> a PM</w:t>
      </w:r>
      <w:r w:rsidRPr="00E8450A">
        <w:rPr>
          <w:rStyle w:val="CRRefonteDeleted"/>
          <w:b/>
          <w:noProof/>
          <w:highlight w:val="lightGray"/>
          <w:vertAlign w:val="subscript"/>
        </w:rPr>
        <w:t>2,5</w:t>
      </w:r>
      <w:r w:rsidRPr="00E8450A">
        <w:rPr>
          <w:rStyle w:val="CRRefonteDeleted"/>
          <w:b/>
          <w:noProof/>
          <w:highlight w:val="lightGray"/>
        </w:rPr>
        <w:t>), olova, benzénu a oxidu uhoľnatého v okolitom ovzduší</w:t>
      </w:r>
    </w:p>
    <w:p w:rsidR="005C7768" w:rsidRPr="00E8450A" w:rsidRDefault="005C7768" w:rsidP="005812BF">
      <w:pPr>
        <w:pStyle w:val="ManualHeading1"/>
        <w:ind w:left="851" w:hanging="851"/>
        <w:rPr>
          <w:rStyle w:val="CRRefonteDeleted"/>
          <w:noProof/>
          <w:highlight w:val="lightGray"/>
        </w:rPr>
      </w:pPr>
      <w:r w:rsidRPr="00E8450A">
        <w:rPr>
          <w:rStyle w:val="CRRefonteDeleted"/>
          <w:noProof/>
          <w:highlight w:val="lightGray"/>
        </w:rPr>
        <w:t>A</w:t>
      </w:r>
      <w:r w:rsidR="005812BF">
        <w:rPr>
          <w:rStyle w:val="CRRefonteDeleted"/>
          <w:noProof/>
          <w:highlight w:val="lightGray"/>
        </w:rPr>
        <w:t>)</w:t>
      </w:r>
      <w:r w:rsidRPr="00E8450A">
        <w:rPr>
          <w:noProof/>
        </w:rPr>
        <w:tab/>
      </w:r>
      <w:r w:rsidRPr="00E8450A">
        <w:rPr>
          <w:rStyle w:val="CRRefonteDeleted"/>
          <w:noProof/>
          <w:highlight w:val="lightGray"/>
        </w:rPr>
        <w:t>Všeobecne</w:t>
      </w:r>
    </w:p>
    <w:p w:rsidR="005C7768" w:rsidRPr="00E8450A" w:rsidRDefault="005C7768" w:rsidP="005C7768">
      <w:pPr>
        <w:rPr>
          <w:rStyle w:val="CRRefonteDeleted"/>
          <w:noProof/>
          <w:highlight w:val="lightGray"/>
        </w:rPr>
      </w:pPr>
      <w:r w:rsidRPr="00E8450A">
        <w:rPr>
          <w:rStyle w:val="CRRefonteDeleted"/>
          <w:noProof/>
          <w:highlight w:val="lightGray"/>
        </w:rPr>
        <w:t>Kvalita okolitého ovzdušia sa hodnotí vo všetkých zónach a aglomeráciách v súlade s týmito kritériami:</w:t>
      </w:r>
    </w:p>
    <w:p w:rsidR="005C7768" w:rsidRPr="00E8450A" w:rsidRDefault="005C7768" w:rsidP="005C7768">
      <w:pPr>
        <w:rPr>
          <w:rStyle w:val="CRRefonteDeleted"/>
          <w:noProof/>
          <w:highlight w:val="lightGray"/>
        </w:rPr>
      </w:pPr>
      <w:r w:rsidRPr="00E8450A">
        <w:rPr>
          <w:rStyle w:val="CRRefonteDeleted"/>
          <w:noProof/>
          <w:highlight w:val="lightGray"/>
        </w:rPr>
        <w:t>1.</w:t>
      </w:r>
      <w:r w:rsidRPr="00E8450A">
        <w:rPr>
          <w:noProof/>
        </w:rPr>
        <w:tab/>
      </w:r>
      <w:r w:rsidRPr="00E8450A">
        <w:rPr>
          <w:rStyle w:val="CRRefonteDeleted"/>
          <w:noProof/>
          <w:highlight w:val="lightGray"/>
        </w:rPr>
        <w:t>Kvalita okolitého ovzdušia sa hodnotí v súlade s kritériami na umiestňovanie vzorkovacích miest pre stále merania stanovenými v oddieloch B a C na všetkých miestach okrem tých, ktoré sú uvedené v odseku 2. Zásady stanovené v oddieloch B a C sa uplatňujú aj vtedy, ak sú relevantné vzhľadom na určenie špecifických miest, na ktorých sa stanovujú koncentrácie príslušných znečisťujúcich látok, pričom sa kvalita okolitého ovzdušia hodnotí indikatívnym meraním alebo modelovaním.</w:t>
      </w:r>
    </w:p>
    <w:p w:rsidR="005C7768" w:rsidRPr="00E8450A" w:rsidRDefault="005C7768" w:rsidP="005C7768">
      <w:pPr>
        <w:rPr>
          <w:rStyle w:val="CRRefonteDeleted"/>
          <w:noProof/>
          <w:highlight w:val="lightGray"/>
        </w:rPr>
      </w:pPr>
      <w:r w:rsidRPr="00E8450A">
        <w:rPr>
          <w:rStyle w:val="CRRefonteDeleted"/>
          <w:noProof/>
          <w:highlight w:val="lightGray"/>
        </w:rPr>
        <w:t>2.</w:t>
      </w:r>
      <w:r w:rsidRPr="00E8450A">
        <w:rPr>
          <w:noProof/>
        </w:rPr>
        <w:tab/>
      </w:r>
      <w:r w:rsidRPr="00E8450A">
        <w:rPr>
          <w:rStyle w:val="CRRefonteDeleted"/>
          <w:noProof/>
          <w:highlight w:val="lightGray"/>
        </w:rPr>
        <w:t>Dodržiavanie limitných hodnôt zameraných na ochranu zdravia ľudí sa neposudzuje na týchto miestach:</w:t>
      </w:r>
    </w:p>
    <w:p w:rsidR="005C7768" w:rsidRPr="00E8450A" w:rsidRDefault="005C7768" w:rsidP="005C7768">
      <w:pPr>
        <w:pStyle w:val="Point0"/>
        <w:rPr>
          <w:rStyle w:val="CRRefonteDeleted"/>
          <w:noProof/>
          <w:highlight w:val="lightGray"/>
        </w:rPr>
      </w:pPr>
      <w:r w:rsidRPr="00E8450A">
        <w:rPr>
          <w:noProof/>
        </w:rPr>
        <w:tab/>
      </w:r>
      <w:r w:rsidRPr="00E8450A">
        <w:rPr>
          <w:rStyle w:val="CRRefonteDeleted"/>
          <w:noProof/>
          <w:highlight w:val="lightGray"/>
        </w:rPr>
        <w:t>a)</w:t>
      </w:r>
      <w:r w:rsidRPr="00E8450A">
        <w:rPr>
          <w:noProof/>
        </w:rPr>
        <w:tab/>
      </w:r>
      <w:r w:rsidRPr="00E8450A">
        <w:rPr>
          <w:rStyle w:val="CRRefonteDeleted"/>
          <w:noProof/>
          <w:highlight w:val="lightGray"/>
        </w:rPr>
        <w:t>miesta v rámci oblastí, do ktorých nemá verejnosť prístup a v ktorých nie sú stále obytné plochy;</w:t>
      </w:r>
    </w:p>
    <w:p w:rsidR="005C7768" w:rsidRPr="00E8450A" w:rsidRDefault="005C7768" w:rsidP="005C7768">
      <w:pPr>
        <w:pStyle w:val="Point0"/>
        <w:rPr>
          <w:rStyle w:val="CRRefonteDeleted"/>
          <w:noProof/>
          <w:highlight w:val="lightGray"/>
        </w:rPr>
      </w:pPr>
      <w:r w:rsidRPr="00E8450A">
        <w:rPr>
          <w:noProof/>
        </w:rPr>
        <w:tab/>
      </w:r>
      <w:r w:rsidRPr="00E8450A">
        <w:rPr>
          <w:rStyle w:val="CRRefonteDeleted"/>
          <w:noProof/>
          <w:highlight w:val="lightGray"/>
        </w:rPr>
        <w:t>b)</w:t>
      </w:r>
      <w:r w:rsidRPr="00E8450A">
        <w:rPr>
          <w:noProof/>
        </w:rPr>
        <w:tab/>
      </w:r>
      <w:r w:rsidRPr="00E8450A">
        <w:rPr>
          <w:rStyle w:val="CRRefonteDeleted"/>
          <w:noProof/>
          <w:highlight w:val="lightGray"/>
        </w:rPr>
        <w:t>v súlade s článkom 2 ods. 1 v priestoroch tovární alebo v okolí priemyselných zariadení, na ktoré sa uplatňujú všetky relevantné ustanovenia týkajúce sa ochrany zdravia a bezpečnosti pri práci;</w:t>
      </w:r>
    </w:p>
    <w:p w:rsidR="005C7768" w:rsidRPr="00E8450A" w:rsidRDefault="005C7768" w:rsidP="005C7768">
      <w:pPr>
        <w:pStyle w:val="Point0"/>
        <w:rPr>
          <w:rStyle w:val="CRRefonteDeleted"/>
          <w:noProof/>
          <w:highlight w:val="lightGray"/>
        </w:rPr>
      </w:pPr>
      <w:r w:rsidRPr="00E8450A">
        <w:rPr>
          <w:noProof/>
        </w:rPr>
        <w:tab/>
      </w:r>
      <w:r w:rsidRPr="00E8450A">
        <w:rPr>
          <w:rStyle w:val="CRRefonteDeleted"/>
          <w:noProof/>
          <w:highlight w:val="lightGray"/>
        </w:rPr>
        <w:t>c)</w:t>
      </w:r>
      <w:r w:rsidRPr="00E8450A">
        <w:rPr>
          <w:noProof/>
        </w:rPr>
        <w:tab/>
      </w:r>
      <w:r w:rsidRPr="00E8450A">
        <w:rPr>
          <w:rStyle w:val="CRRefonteDeleted"/>
          <w:noProof/>
          <w:highlight w:val="lightGray"/>
        </w:rPr>
        <w:t>vozovky a stredné oddeľujúce pásy ciest, okrem miest, kde majú chodci bežný prístup na stredný oddeľujúci pás.</w:t>
      </w:r>
    </w:p>
    <w:p w:rsidR="005C7768" w:rsidRPr="00E8450A" w:rsidRDefault="005C7768" w:rsidP="005812BF">
      <w:pPr>
        <w:pStyle w:val="ManualHeading1"/>
        <w:ind w:left="851" w:hanging="851"/>
        <w:rPr>
          <w:rStyle w:val="CRRefonteDeleted"/>
          <w:noProof/>
          <w:highlight w:val="lightGray"/>
        </w:rPr>
      </w:pPr>
      <w:r w:rsidRPr="00E8450A">
        <w:rPr>
          <w:rStyle w:val="CRRefonteDeleted"/>
          <w:noProof/>
          <w:highlight w:val="lightGray"/>
        </w:rPr>
        <w:t>B</w:t>
      </w:r>
      <w:r w:rsidR="005812BF">
        <w:rPr>
          <w:rStyle w:val="CRRefonteDeleted"/>
          <w:noProof/>
          <w:highlight w:val="lightGray"/>
        </w:rPr>
        <w:t>)</w:t>
      </w:r>
      <w:r w:rsidRPr="00E8450A">
        <w:rPr>
          <w:noProof/>
        </w:rPr>
        <w:tab/>
      </w:r>
      <w:r w:rsidRPr="00E8450A">
        <w:rPr>
          <w:rStyle w:val="CRRefonteDeleted"/>
          <w:noProof/>
          <w:highlight w:val="lightGray"/>
        </w:rPr>
        <w:t>Umiestnenie vzorkovacích miest na makroúrovni</w:t>
      </w:r>
    </w:p>
    <w:p w:rsidR="005C7768" w:rsidRPr="00E8450A" w:rsidRDefault="005C7768" w:rsidP="005C7768">
      <w:pPr>
        <w:rPr>
          <w:rStyle w:val="CRRefonteDeleted"/>
          <w:noProof/>
          <w:highlight w:val="lightGray"/>
        </w:rPr>
      </w:pPr>
      <w:r w:rsidRPr="00E8450A">
        <w:rPr>
          <w:rStyle w:val="CRRefonteDeleted"/>
          <w:noProof/>
          <w:highlight w:val="lightGray"/>
        </w:rPr>
        <w:t>1.</w:t>
      </w:r>
      <w:r w:rsidRPr="00E8450A">
        <w:rPr>
          <w:noProof/>
        </w:rPr>
        <w:tab/>
      </w:r>
      <w:r w:rsidRPr="00E8450A">
        <w:rPr>
          <w:rStyle w:val="CRRefonteDeleted"/>
          <w:noProof/>
          <w:highlight w:val="lightGray"/>
        </w:rPr>
        <w:t>Ochrana zdravia ľudí</w:t>
      </w:r>
    </w:p>
    <w:p w:rsidR="005C7768" w:rsidRPr="00E8450A" w:rsidRDefault="005C7768" w:rsidP="005C7768">
      <w:pPr>
        <w:pStyle w:val="Point0"/>
        <w:rPr>
          <w:rStyle w:val="CRRefonteDeleted"/>
          <w:noProof/>
          <w:highlight w:val="lightGray"/>
        </w:rPr>
      </w:pPr>
      <w:r w:rsidRPr="00E8450A">
        <w:rPr>
          <w:noProof/>
        </w:rPr>
        <w:tab/>
      </w:r>
      <w:r w:rsidRPr="00E8450A">
        <w:rPr>
          <w:rStyle w:val="CRRefonteDeleted"/>
          <w:noProof/>
          <w:highlight w:val="lightGray"/>
        </w:rPr>
        <w:t>a)</w:t>
      </w:r>
      <w:r w:rsidRPr="00E8450A">
        <w:rPr>
          <w:noProof/>
        </w:rPr>
        <w:tab/>
      </w:r>
      <w:r w:rsidRPr="00E8450A">
        <w:rPr>
          <w:rStyle w:val="CRRefonteDeleted"/>
          <w:noProof/>
          <w:highlight w:val="lightGray"/>
        </w:rPr>
        <w:t>Vzorkovacie miesta zamerané na ochranu zdravia ľudí sa umiestnia tak, aby poskytovali údaje o:</w:t>
      </w:r>
    </w:p>
    <w:p w:rsidR="005C7768" w:rsidRPr="00E8450A" w:rsidRDefault="005C7768" w:rsidP="008B60A5">
      <w:pPr>
        <w:pStyle w:val="Tiret1"/>
        <w:numPr>
          <w:ilvl w:val="0"/>
          <w:numId w:val="29"/>
        </w:numPr>
        <w:autoSpaceDE w:val="0"/>
        <w:autoSpaceDN w:val="0"/>
        <w:ind w:left="1418" w:hanging="567"/>
        <w:rPr>
          <w:rStyle w:val="CRRefonteDeleted"/>
          <w:noProof/>
          <w:highlight w:val="lightGray"/>
        </w:rPr>
      </w:pPr>
      <w:r w:rsidRPr="00E8450A">
        <w:rPr>
          <w:rStyle w:val="CRRefonteDeleted"/>
          <w:noProof/>
          <w:highlight w:val="lightGray"/>
        </w:rPr>
        <w:t>oblastiach v zónach a aglomeráciách, kde sa vyskytujú najvyššie koncentrácie, ktorým môže byť obyvateľstvo priamo alebo nepriamo vystavené po dobu, ktorá je závažná v súvislosti so spriemerovaným obdobím limitných hodnôt,</w:t>
      </w:r>
    </w:p>
    <w:p w:rsidR="005C7768" w:rsidRPr="00E8450A" w:rsidRDefault="005C7768" w:rsidP="008B60A5">
      <w:pPr>
        <w:pStyle w:val="Tiret1"/>
        <w:numPr>
          <w:ilvl w:val="0"/>
          <w:numId w:val="29"/>
        </w:numPr>
        <w:autoSpaceDE w:val="0"/>
        <w:autoSpaceDN w:val="0"/>
        <w:ind w:left="1418" w:hanging="567"/>
        <w:rPr>
          <w:rStyle w:val="CRRefonteDeleted"/>
          <w:noProof/>
          <w:highlight w:val="lightGray"/>
        </w:rPr>
      </w:pPr>
      <w:r w:rsidRPr="00E8450A">
        <w:rPr>
          <w:rStyle w:val="CRRefonteDeleted"/>
          <w:noProof/>
          <w:highlight w:val="lightGray"/>
        </w:rPr>
        <w:t>úrovniach v iných oblastiach v zónach a aglomeráciach, ktoré sú reprezentatívne z hľadiska expozície bežného obyvateľstva.</w:t>
      </w:r>
    </w:p>
    <w:p w:rsidR="005C7768" w:rsidRPr="00E8450A" w:rsidRDefault="005C7768" w:rsidP="005C7768">
      <w:pPr>
        <w:pStyle w:val="Point0"/>
        <w:rPr>
          <w:rStyle w:val="CRRefonteDeleted"/>
          <w:noProof/>
          <w:highlight w:val="lightGray"/>
        </w:rPr>
      </w:pPr>
      <w:r w:rsidRPr="00E8450A">
        <w:rPr>
          <w:noProof/>
        </w:rPr>
        <w:tab/>
      </w:r>
      <w:r w:rsidRPr="00E8450A">
        <w:rPr>
          <w:rStyle w:val="CRRefonteDeleted"/>
          <w:noProof/>
          <w:highlight w:val="lightGray"/>
        </w:rPr>
        <w:t>b)</w:t>
      </w:r>
      <w:r w:rsidRPr="00E8450A">
        <w:rPr>
          <w:noProof/>
        </w:rPr>
        <w:tab/>
      </w:r>
      <w:r w:rsidRPr="00E8450A">
        <w:rPr>
          <w:rStyle w:val="CRRefonteDeleted"/>
          <w:noProof/>
          <w:highlight w:val="lightGray"/>
        </w:rPr>
        <w:t>Vzorkovacie miesta sa vo všeobecnosti umiestňujú tak, aby sa predišlo meraniu malých mikropriestorov v ich bezprostrednej blízkosti, čo znamená, že vzorkovacie miesto sa musí umiestniť tak, aby odoberaná vzorka vzduchu reprezentovala kvalitu ovzdušia na úseku ulice s dĺžkou aspoň 100 m na miestach zameraných na dopravu a s rozlohou aspoň 250 m × 250 m v priemyselných oblastiach, ak je to možné.</w:t>
      </w:r>
    </w:p>
    <w:p w:rsidR="005C7768" w:rsidRPr="00E8450A" w:rsidRDefault="005C7768" w:rsidP="005C7768">
      <w:pPr>
        <w:pStyle w:val="Point0"/>
        <w:rPr>
          <w:rStyle w:val="CRRefonteDeleted"/>
          <w:noProof/>
          <w:highlight w:val="lightGray"/>
        </w:rPr>
      </w:pPr>
      <w:r w:rsidRPr="00E8450A">
        <w:rPr>
          <w:noProof/>
        </w:rPr>
        <w:tab/>
      </w:r>
      <w:r w:rsidRPr="00E8450A">
        <w:rPr>
          <w:rStyle w:val="CRRefonteDeleted"/>
          <w:noProof/>
          <w:highlight w:val="lightGray"/>
        </w:rPr>
        <w:t>c)</w:t>
      </w:r>
      <w:r w:rsidRPr="00E8450A">
        <w:rPr>
          <w:noProof/>
        </w:rPr>
        <w:tab/>
      </w:r>
      <w:r w:rsidRPr="00E8450A">
        <w:rPr>
          <w:rStyle w:val="CRRefonteDeleted"/>
          <w:noProof/>
          <w:highlight w:val="lightGray"/>
        </w:rPr>
        <w:t>Mestské pozaďové miesta sa umiestnia tak, aby bola ich úroveň znečistenia ovplyvnená integrovaným príspevkom zo všetkých zdrojov, ktoré sa nachádzajú proti smeru vetra od stanice. Úrovni znečistenia by nemal dominovať jediný zdroj, pokiaľ nie je táto situácia typická pre väčšiu mestskú oblasť. Vzorkovacie miesta by mali byť spravidla reprezentatívne pre niekoľko kilometrov štvorcových.</w:t>
      </w:r>
    </w:p>
    <w:p w:rsidR="005C7768" w:rsidRPr="00E8450A" w:rsidRDefault="005C7768" w:rsidP="005C7768">
      <w:pPr>
        <w:pStyle w:val="Point0"/>
        <w:rPr>
          <w:rStyle w:val="CRRefonteDeleted"/>
          <w:noProof/>
          <w:highlight w:val="lightGray"/>
        </w:rPr>
      </w:pPr>
      <w:r w:rsidRPr="00E8450A">
        <w:rPr>
          <w:noProof/>
        </w:rPr>
        <w:tab/>
      </w:r>
      <w:r w:rsidRPr="00E8450A">
        <w:rPr>
          <w:rStyle w:val="CRRefonteDeleted"/>
          <w:noProof/>
          <w:highlight w:val="lightGray"/>
        </w:rPr>
        <w:t>d)</w:t>
      </w:r>
      <w:r w:rsidRPr="00E8450A">
        <w:rPr>
          <w:noProof/>
        </w:rPr>
        <w:tab/>
      </w:r>
      <w:r w:rsidRPr="00E8450A">
        <w:rPr>
          <w:rStyle w:val="CRRefonteDeleted"/>
          <w:noProof/>
          <w:highlight w:val="lightGray"/>
        </w:rPr>
        <w:t>Ak je cieľom hodnotenie vidieckych pozaďových úrovní, vzorkovacie miesto nemôžu ovplyvňovať aglomerácie alebo priemyselné objekty v jeho blízkosti, t. j. miesta bližšie ako päť kilometrov.</w:t>
      </w:r>
    </w:p>
    <w:p w:rsidR="005C7768" w:rsidRPr="00E8450A" w:rsidRDefault="005C7768" w:rsidP="005C7768">
      <w:pPr>
        <w:pStyle w:val="Point0"/>
        <w:rPr>
          <w:rStyle w:val="CRRefonteDeleted"/>
          <w:noProof/>
          <w:highlight w:val="lightGray"/>
        </w:rPr>
      </w:pPr>
      <w:r w:rsidRPr="00E8450A">
        <w:rPr>
          <w:noProof/>
        </w:rPr>
        <w:tab/>
      </w:r>
      <w:r w:rsidRPr="00E8450A">
        <w:rPr>
          <w:rStyle w:val="CRRefonteDeleted"/>
          <w:noProof/>
          <w:highlight w:val="lightGray"/>
        </w:rPr>
        <w:t>e)</w:t>
      </w:r>
      <w:r w:rsidRPr="00E8450A">
        <w:rPr>
          <w:noProof/>
        </w:rPr>
        <w:tab/>
      </w:r>
      <w:r w:rsidRPr="00E8450A">
        <w:rPr>
          <w:rStyle w:val="CRRefonteDeleted"/>
          <w:noProof/>
          <w:highlight w:val="lightGray"/>
        </w:rPr>
        <w:t>Ak sa majú hodnotiť príspevky z priemyselných zdrojov, aspoň jedno vzorkovacie miesto sa umiestni v najbližšej obytnej oblasti v smere vetra od zdroja. Keď nie je známa pozaďová koncentrácia, dodatočné vzorkovacie miesto sa umiestni v smere prevládajúceho vetra.</w:t>
      </w:r>
    </w:p>
    <w:p w:rsidR="005C7768" w:rsidRPr="00E8450A" w:rsidRDefault="005C7768" w:rsidP="005C7768">
      <w:pPr>
        <w:pStyle w:val="Point0"/>
        <w:rPr>
          <w:rStyle w:val="CRRefonteDeleted"/>
          <w:noProof/>
          <w:highlight w:val="lightGray"/>
        </w:rPr>
      </w:pPr>
      <w:r w:rsidRPr="00E8450A">
        <w:rPr>
          <w:noProof/>
        </w:rPr>
        <w:tab/>
      </w:r>
      <w:r w:rsidRPr="00E8450A">
        <w:rPr>
          <w:rStyle w:val="CRRefonteDeleted"/>
          <w:noProof/>
          <w:highlight w:val="lightGray"/>
        </w:rPr>
        <w:t>f)</w:t>
      </w:r>
      <w:r w:rsidRPr="00E8450A">
        <w:rPr>
          <w:noProof/>
        </w:rPr>
        <w:tab/>
      </w:r>
      <w:r w:rsidRPr="00E8450A">
        <w:rPr>
          <w:rStyle w:val="CRRefonteDeleted"/>
          <w:noProof/>
          <w:highlight w:val="lightGray"/>
        </w:rPr>
        <w:t>Vzorkovacie miesta majú byť podľa možnosti tiež reprezentatívne pre podobné miesta, ktoré nie sú v ich bezprostrednej blízkosti.</w:t>
      </w:r>
    </w:p>
    <w:p w:rsidR="005C7768" w:rsidRPr="00E8450A" w:rsidRDefault="005C7768" w:rsidP="005C7768">
      <w:pPr>
        <w:pStyle w:val="Point0"/>
        <w:rPr>
          <w:rStyle w:val="CRRefonteDeleted"/>
          <w:noProof/>
          <w:highlight w:val="lightGray"/>
        </w:rPr>
      </w:pPr>
      <w:r w:rsidRPr="00E8450A">
        <w:rPr>
          <w:noProof/>
        </w:rPr>
        <w:tab/>
      </w:r>
      <w:r w:rsidRPr="00E8450A">
        <w:rPr>
          <w:rStyle w:val="CRRefonteDeleted"/>
          <w:noProof/>
          <w:highlight w:val="lightGray"/>
        </w:rPr>
        <w:t>g)</w:t>
      </w:r>
      <w:r w:rsidRPr="00E8450A">
        <w:rPr>
          <w:noProof/>
        </w:rPr>
        <w:tab/>
      </w:r>
      <w:r w:rsidRPr="00E8450A">
        <w:rPr>
          <w:rStyle w:val="CRRefonteDeleted"/>
          <w:noProof/>
          <w:highlight w:val="lightGray"/>
        </w:rPr>
        <w:t>V prípade potreby ochrany zdravia ľudí sa berie do úvahy potreba umiestňovať vzorkovacie miesta na ostrovy.</w:t>
      </w:r>
    </w:p>
    <w:p w:rsidR="005C7768" w:rsidRPr="00E8450A" w:rsidRDefault="005C7768" w:rsidP="005C7768">
      <w:pPr>
        <w:rPr>
          <w:rStyle w:val="CRRefonteDeleted"/>
          <w:noProof/>
          <w:highlight w:val="lightGray"/>
        </w:rPr>
      </w:pPr>
      <w:r w:rsidRPr="00E8450A">
        <w:rPr>
          <w:rStyle w:val="CRRefonteDeleted"/>
          <w:noProof/>
          <w:highlight w:val="lightGray"/>
        </w:rPr>
        <w:t>2.</w:t>
      </w:r>
      <w:r w:rsidRPr="00E8450A">
        <w:rPr>
          <w:noProof/>
        </w:rPr>
        <w:tab/>
      </w:r>
      <w:r w:rsidRPr="00E8450A">
        <w:rPr>
          <w:rStyle w:val="CRRefonteDeleted"/>
          <w:noProof/>
          <w:highlight w:val="lightGray"/>
        </w:rPr>
        <w:t>Ochrana vegetácie a prírodných ekosystémov</w:t>
      </w:r>
    </w:p>
    <w:p w:rsidR="005C7768" w:rsidRPr="00E8450A" w:rsidRDefault="005C7768" w:rsidP="005C7768">
      <w:pPr>
        <w:rPr>
          <w:rStyle w:val="CRRefonteDeleted"/>
          <w:noProof/>
          <w:highlight w:val="lightGray"/>
        </w:rPr>
      </w:pPr>
      <w:r w:rsidRPr="00E8450A">
        <w:rPr>
          <w:rStyle w:val="CRRefonteDeleted"/>
          <w:noProof/>
          <w:highlight w:val="lightGray"/>
        </w:rPr>
        <w:t>Vzorkovacie miesta zamerané na ochranu vegetácie a prírodných ekosystémov sa umiestnia viac ako 20 km od aglomerácií alebo viac ako 5 km od ostatných zastavaných oblastí, priemyselných zariadení alebo diaľnic alebo hlavných ciest s dopravným sčítaním vyšším ako 50 000 vozidiel za deň, čo znamená, že vzorkovacie miesto sa musí umiestniť tak, aby odoberaný vzduch reprezentoval kvalitu ovzdušia v okolitej oblasti s rozlohou aspoň 1 000 km</w:t>
      </w:r>
      <w:r w:rsidRPr="00E8450A">
        <w:rPr>
          <w:rStyle w:val="CRRefonteDeleted"/>
          <w:noProof/>
          <w:highlight w:val="lightGray"/>
          <w:vertAlign w:val="superscript"/>
        </w:rPr>
        <w:t>2</w:t>
      </w:r>
      <w:r w:rsidRPr="00E8450A">
        <w:rPr>
          <w:rStyle w:val="CRRefonteDeleted"/>
          <w:noProof/>
          <w:highlight w:val="lightGray"/>
        </w:rPr>
        <w:t>. Členský štát môže po zohľadnení geografických podmienok alebo možností na ochranu mimoriadne zraniteľných oblastí umiestniť vzorkovacie miesto v menšej vzdialenosti alebo tak, aby reprezentovalo kvalitu ovzdušia v menšej oblasti.</w:t>
      </w:r>
    </w:p>
    <w:p w:rsidR="005C7768" w:rsidRPr="00E8450A" w:rsidRDefault="005C7768" w:rsidP="005C7768">
      <w:pPr>
        <w:rPr>
          <w:rStyle w:val="CRRefonteDeleted"/>
          <w:noProof/>
          <w:highlight w:val="lightGray"/>
        </w:rPr>
      </w:pPr>
      <w:r w:rsidRPr="00E8450A">
        <w:rPr>
          <w:rStyle w:val="CRRefonteDeleted"/>
          <w:noProof/>
          <w:highlight w:val="lightGray"/>
        </w:rPr>
        <w:t>Zohľadňuje sa aj potreba hodnotenia kvality ovzdušia na ostrovoch.</w:t>
      </w:r>
    </w:p>
    <w:p w:rsidR="005C7768" w:rsidRPr="00E8450A" w:rsidRDefault="005C7768" w:rsidP="005812BF">
      <w:pPr>
        <w:pStyle w:val="ManualHeading1"/>
        <w:ind w:left="851" w:hanging="851"/>
        <w:rPr>
          <w:rStyle w:val="CRRefonteDeleted"/>
          <w:noProof/>
          <w:highlight w:val="lightGray"/>
        </w:rPr>
      </w:pPr>
      <w:r w:rsidRPr="00E8450A">
        <w:rPr>
          <w:rStyle w:val="CRRefonteDeleted"/>
          <w:noProof/>
          <w:highlight w:val="lightGray"/>
        </w:rPr>
        <w:t>C</w:t>
      </w:r>
      <w:r w:rsidR="005812BF">
        <w:rPr>
          <w:rStyle w:val="CRRefonteDeleted"/>
          <w:noProof/>
          <w:highlight w:val="lightGray"/>
        </w:rPr>
        <w:t>)</w:t>
      </w:r>
      <w:r w:rsidRPr="00E8450A">
        <w:rPr>
          <w:noProof/>
        </w:rPr>
        <w:tab/>
      </w:r>
      <w:r w:rsidRPr="00E8450A">
        <w:rPr>
          <w:rStyle w:val="CRRefonteDeleted"/>
          <w:noProof/>
          <w:highlight w:val="lightGray"/>
        </w:rPr>
        <w:t>Umiestnenie vzorkovacích miest na mikroúrovni</w:t>
      </w:r>
    </w:p>
    <w:p w:rsidR="005C7768" w:rsidRPr="00E8450A" w:rsidRDefault="005C7768" w:rsidP="005C7768">
      <w:pPr>
        <w:rPr>
          <w:rStyle w:val="CRRefonteDeleted"/>
          <w:noProof/>
          <w:highlight w:val="lightGray"/>
        </w:rPr>
      </w:pPr>
      <w:r w:rsidRPr="00E8450A">
        <w:rPr>
          <w:rStyle w:val="CRRefonteDeleted"/>
          <w:noProof/>
          <w:highlight w:val="lightGray"/>
        </w:rPr>
        <w:t>Pokiaľ je to možné, uplatňuje sa nasledujúce:</w:t>
      </w:r>
    </w:p>
    <w:p w:rsidR="005C7768" w:rsidRPr="00E8450A" w:rsidRDefault="005C7768" w:rsidP="005C7768">
      <w:pPr>
        <w:pStyle w:val="CRSeparator"/>
        <w:rPr>
          <w:noProof/>
        </w:rPr>
      </w:pPr>
    </w:p>
    <w:p w:rsidR="005C7768" w:rsidRPr="00E8450A" w:rsidRDefault="005C7768" w:rsidP="005C7768">
      <w:pPr>
        <w:pStyle w:val="CRReference"/>
        <w:rPr>
          <w:noProof/>
        </w:rPr>
      </w:pPr>
      <w:r w:rsidRPr="00E8450A">
        <w:rPr>
          <w:noProof/>
        </w:rPr>
        <w:fldChar w:fldCharType="begin"/>
      </w:r>
      <w:r w:rsidRPr="00E8450A">
        <w:rPr>
          <w:noProof/>
        </w:rPr>
        <w:instrText xml:space="preserve"> QUOTE "ê" </w:instrText>
      </w:r>
      <w:r w:rsidRPr="00E8450A">
        <w:rPr>
          <w:noProof/>
        </w:rPr>
        <w:fldChar w:fldCharType="separate"/>
      </w:r>
      <w:r w:rsidRPr="00E8450A">
        <w:rPr>
          <w:rStyle w:val="CRMarker"/>
          <w:noProof/>
        </w:rPr>
        <w:t>ê</w:t>
      </w:r>
      <w:r w:rsidRPr="00E8450A">
        <w:rPr>
          <w:noProof/>
        </w:rPr>
        <w:fldChar w:fldCharType="end"/>
      </w:r>
      <w:r w:rsidRPr="00E8450A">
        <w:rPr>
          <w:noProof/>
        </w:rPr>
        <w:t> 2015/1480 článok 2 a bod 2 písm. a) prílohy II</w:t>
      </w:r>
    </w:p>
    <w:p w:rsidR="005C7768" w:rsidRPr="00E8450A" w:rsidRDefault="005C7768" w:rsidP="008B60A5">
      <w:pPr>
        <w:pStyle w:val="Tiret0"/>
        <w:numPr>
          <w:ilvl w:val="0"/>
          <w:numId w:val="29"/>
        </w:numPr>
        <w:autoSpaceDE w:val="0"/>
        <w:autoSpaceDN w:val="0"/>
        <w:ind w:left="851" w:hanging="851"/>
        <w:rPr>
          <w:noProof/>
          <w:highlight w:val="lightGray"/>
        </w:rPr>
      </w:pPr>
      <w:r w:rsidRPr="00E8450A">
        <w:rPr>
          <w:rStyle w:val="CRRefonteDeleted"/>
          <w:noProof/>
          <w:highlight w:val="lightGray"/>
        </w:rPr>
        <w:t>prúdenie okolo vzorkovacej sondy vo vstupnom otvore musí byť neobmedzené (vo všeobecnosti voľné v uhle aspoň 270° alebo 180° v prípade vzorkovacích miest v línii zástavby) bez akejkoľvek prekážky ovplyvňujúcej prúdenie vzduchu v okolí vstupného otvoru (zvyčajne vzdialené niekoľko metrov od budov, balkónov, stromov a iných prekážok a aspoň 0,5 m od najbližšej budovy v prípade vzorkovacích miest, ktoré reprezentujú kvalitu ovzdušia v línii zástavby),</w:t>
      </w:r>
    </w:p>
    <w:p w:rsidR="005C7768" w:rsidRPr="00E8450A" w:rsidRDefault="005C7768" w:rsidP="008B60A5">
      <w:pPr>
        <w:pStyle w:val="Tiret0"/>
        <w:numPr>
          <w:ilvl w:val="0"/>
          <w:numId w:val="29"/>
        </w:numPr>
        <w:autoSpaceDE w:val="0"/>
        <w:autoSpaceDN w:val="0"/>
        <w:ind w:left="851" w:hanging="851"/>
        <w:rPr>
          <w:noProof/>
          <w:highlight w:val="lightGray"/>
        </w:rPr>
      </w:pPr>
      <w:r w:rsidRPr="00E8450A">
        <w:rPr>
          <w:rStyle w:val="CRRefonteDeleted"/>
          <w:noProof/>
          <w:highlight w:val="lightGray"/>
        </w:rPr>
        <w:t>vo všeobecnosti by mal byť vstupný otvor vzorkovacieho zariadenia umiestnený 1,5 m (dýchacia zóna) až 4 m nad zemou. Vhodné by mohlo byť aj vyššie umiestnenie, ak stanica reprezentuje väčšiu oblasť, pričom by sa mali úplne zdokumentovať všetky odchýlky,</w:t>
      </w:r>
    </w:p>
    <w:p w:rsidR="005C7768" w:rsidRPr="00E8450A" w:rsidRDefault="005C7768" w:rsidP="005C7768">
      <w:pPr>
        <w:pStyle w:val="CRSeparator"/>
        <w:rPr>
          <w:noProof/>
        </w:rPr>
      </w:pPr>
    </w:p>
    <w:p w:rsidR="005C7768" w:rsidRPr="00E8450A" w:rsidRDefault="005C7768" w:rsidP="005C7768">
      <w:pPr>
        <w:pStyle w:val="CRReference"/>
        <w:rPr>
          <w:noProof/>
        </w:rPr>
      </w:pPr>
      <w:r w:rsidRPr="00E8450A">
        <w:rPr>
          <w:noProof/>
        </w:rPr>
        <w:fldChar w:fldCharType="begin"/>
      </w:r>
      <w:r w:rsidRPr="00E8450A">
        <w:rPr>
          <w:noProof/>
        </w:rPr>
        <w:instrText xml:space="preserve"> QUOTE "ê" </w:instrText>
      </w:r>
      <w:r w:rsidRPr="00E8450A">
        <w:rPr>
          <w:noProof/>
        </w:rPr>
        <w:fldChar w:fldCharType="separate"/>
      </w:r>
      <w:r w:rsidRPr="00E8450A">
        <w:rPr>
          <w:rStyle w:val="CRMarker"/>
          <w:noProof/>
        </w:rPr>
        <w:t>ê</w:t>
      </w:r>
      <w:r w:rsidRPr="00E8450A">
        <w:rPr>
          <w:noProof/>
        </w:rPr>
        <w:fldChar w:fldCharType="end"/>
      </w:r>
      <w:r w:rsidRPr="00E8450A">
        <w:rPr>
          <w:noProof/>
        </w:rPr>
        <w:t> 2008/50/ES</w:t>
      </w:r>
    </w:p>
    <w:p w:rsidR="005C7768" w:rsidRPr="00E8450A" w:rsidRDefault="005C7768" w:rsidP="008B60A5">
      <w:pPr>
        <w:pStyle w:val="Tiret0"/>
        <w:numPr>
          <w:ilvl w:val="0"/>
          <w:numId w:val="29"/>
        </w:numPr>
        <w:autoSpaceDE w:val="0"/>
        <w:autoSpaceDN w:val="0"/>
        <w:ind w:left="851" w:hanging="851"/>
        <w:rPr>
          <w:rStyle w:val="CRRefonteDeleted"/>
          <w:noProof/>
          <w:highlight w:val="lightGray"/>
        </w:rPr>
      </w:pPr>
      <w:r w:rsidRPr="00E8450A">
        <w:rPr>
          <w:rStyle w:val="CRRefonteDeleted"/>
          <w:noProof/>
          <w:highlight w:val="lightGray"/>
        </w:rPr>
        <w:t>sonda vo vstupnom otvore nesmie byť umiestnená v bezprostrednej blízkosti zdrojov, aby sa predišlo priamemu odberu emisií, ktoré nie sú zmiešané s okolitým ovzduším,</w:t>
      </w:r>
    </w:p>
    <w:p w:rsidR="005C7768" w:rsidRPr="00E8450A" w:rsidRDefault="005C7768" w:rsidP="008B60A5">
      <w:pPr>
        <w:pStyle w:val="Tiret0"/>
        <w:numPr>
          <w:ilvl w:val="0"/>
          <w:numId w:val="29"/>
        </w:numPr>
        <w:autoSpaceDE w:val="0"/>
        <w:autoSpaceDN w:val="0"/>
        <w:ind w:left="851" w:hanging="851"/>
        <w:rPr>
          <w:rStyle w:val="CRRefonteDeleted"/>
          <w:noProof/>
          <w:highlight w:val="lightGray"/>
        </w:rPr>
      </w:pPr>
      <w:r w:rsidRPr="00E8450A">
        <w:rPr>
          <w:rStyle w:val="CRRefonteDeleted"/>
          <w:noProof/>
          <w:highlight w:val="lightGray"/>
        </w:rPr>
        <w:t>výstupný otvor vzorkovacieho zariadenia sa umiestni tak, aby sa predišlo recirkulácii vypúšťaného vzduchu do vstupného otvoru vzorkovacieho zariadenia,</w:t>
      </w:r>
    </w:p>
    <w:p w:rsidR="005C7768" w:rsidRPr="00E8450A" w:rsidRDefault="005C7768" w:rsidP="005C7768">
      <w:pPr>
        <w:pStyle w:val="CRSeparator"/>
        <w:rPr>
          <w:noProof/>
        </w:rPr>
      </w:pPr>
    </w:p>
    <w:p w:rsidR="005C7768" w:rsidRPr="00E8450A" w:rsidRDefault="005C7768" w:rsidP="005C7768">
      <w:pPr>
        <w:pStyle w:val="CRReference"/>
        <w:rPr>
          <w:noProof/>
        </w:rPr>
      </w:pPr>
      <w:r w:rsidRPr="00E8450A">
        <w:rPr>
          <w:noProof/>
        </w:rPr>
        <w:fldChar w:fldCharType="begin"/>
      </w:r>
      <w:r w:rsidRPr="00E8450A">
        <w:rPr>
          <w:noProof/>
        </w:rPr>
        <w:instrText xml:space="preserve"> QUOTE "ê" </w:instrText>
      </w:r>
      <w:r w:rsidRPr="00E8450A">
        <w:rPr>
          <w:noProof/>
        </w:rPr>
        <w:fldChar w:fldCharType="separate"/>
      </w:r>
      <w:r w:rsidRPr="00E8450A">
        <w:rPr>
          <w:rStyle w:val="CRMarker"/>
          <w:noProof/>
        </w:rPr>
        <w:t>ê</w:t>
      </w:r>
      <w:r w:rsidRPr="00E8450A">
        <w:rPr>
          <w:noProof/>
        </w:rPr>
        <w:fldChar w:fldCharType="end"/>
      </w:r>
      <w:r w:rsidRPr="00E8450A">
        <w:rPr>
          <w:noProof/>
        </w:rPr>
        <w:t> 2015/1480 článok 2 a bod 2 písm. a) prílohy II</w:t>
      </w:r>
    </w:p>
    <w:p w:rsidR="005C7768" w:rsidRPr="00E8450A" w:rsidRDefault="005C7768" w:rsidP="008B60A5">
      <w:pPr>
        <w:pStyle w:val="Tiret0"/>
        <w:numPr>
          <w:ilvl w:val="0"/>
          <w:numId w:val="29"/>
        </w:numPr>
        <w:autoSpaceDE w:val="0"/>
        <w:autoSpaceDN w:val="0"/>
        <w:ind w:left="851" w:hanging="851"/>
        <w:rPr>
          <w:noProof/>
          <w:highlight w:val="lightGray"/>
        </w:rPr>
      </w:pPr>
      <w:r w:rsidRPr="00E8450A">
        <w:rPr>
          <w:rStyle w:val="CRRefonteDeleted"/>
          <w:noProof/>
          <w:highlight w:val="lightGray"/>
        </w:rPr>
        <w:t>pre všetky znečisťujúce látky musia byť vzorkovacie sondy, ktoré sú orientované na dopravu, umiestnené aspoň 25 m od okraja veľkej križovatky a najviac 10 m od obrubníka. Pod ‚veľkou križovatkou‘ sa v tomto kontexte rozumie križovatka, ktorá prerušuje tok dopravy, čo spôsobuje odlišné emisie ako na ostatných úsekoch cesty (spôsob jazdy ‚brzda – plyn‘).,</w:t>
      </w:r>
    </w:p>
    <w:p w:rsidR="005C7768" w:rsidRPr="00E8450A" w:rsidRDefault="005C7768" w:rsidP="005C7768">
      <w:pPr>
        <w:pStyle w:val="CRSeparator"/>
        <w:rPr>
          <w:noProof/>
        </w:rPr>
      </w:pPr>
    </w:p>
    <w:p w:rsidR="005C7768" w:rsidRPr="00E8450A" w:rsidRDefault="005C7768" w:rsidP="005C7768">
      <w:pPr>
        <w:pStyle w:val="CRReference"/>
        <w:rPr>
          <w:noProof/>
        </w:rPr>
      </w:pPr>
      <w:r w:rsidRPr="00E8450A">
        <w:rPr>
          <w:noProof/>
        </w:rPr>
        <w:fldChar w:fldCharType="begin"/>
      </w:r>
      <w:r w:rsidRPr="00E8450A">
        <w:rPr>
          <w:noProof/>
        </w:rPr>
        <w:instrText xml:space="preserve"> QUOTE "ê" </w:instrText>
      </w:r>
      <w:r w:rsidRPr="00E8450A">
        <w:rPr>
          <w:noProof/>
        </w:rPr>
        <w:fldChar w:fldCharType="separate"/>
      </w:r>
      <w:r w:rsidRPr="00E8450A">
        <w:rPr>
          <w:rStyle w:val="CRMarker"/>
          <w:noProof/>
        </w:rPr>
        <w:t>ê</w:t>
      </w:r>
      <w:r w:rsidRPr="00E8450A">
        <w:rPr>
          <w:noProof/>
        </w:rPr>
        <w:fldChar w:fldCharType="end"/>
      </w:r>
      <w:r w:rsidRPr="00E8450A">
        <w:rPr>
          <w:noProof/>
        </w:rPr>
        <w:t> 2008/50/ES</w:t>
      </w:r>
    </w:p>
    <w:p w:rsidR="005C7768" w:rsidRPr="00E8450A" w:rsidRDefault="005C7768" w:rsidP="005C7768">
      <w:pPr>
        <w:rPr>
          <w:rStyle w:val="CRRefonteDeleted"/>
          <w:noProof/>
          <w:highlight w:val="lightGray"/>
        </w:rPr>
      </w:pPr>
      <w:r w:rsidRPr="00E8450A">
        <w:rPr>
          <w:rStyle w:val="CRRefonteDeleted"/>
          <w:noProof/>
          <w:highlight w:val="lightGray"/>
        </w:rPr>
        <w:t>Do úvahy možno brať aj tieto faktory:</w:t>
      </w:r>
    </w:p>
    <w:p w:rsidR="005C7768" w:rsidRPr="00E8450A" w:rsidRDefault="005C7768" w:rsidP="008B60A5">
      <w:pPr>
        <w:pStyle w:val="Tiret0"/>
        <w:numPr>
          <w:ilvl w:val="0"/>
          <w:numId w:val="29"/>
        </w:numPr>
        <w:autoSpaceDE w:val="0"/>
        <w:autoSpaceDN w:val="0"/>
        <w:ind w:left="851" w:hanging="851"/>
        <w:rPr>
          <w:rStyle w:val="CRRefonteDeleted"/>
          <w:noProof/>
          <w:highlight w:val="lightGray"/>
        </w:rPr>
      </w:pPr>
      <w:r w:rsidRPr="00E8450A">
        <w:rPr>
          <w:rStyle w:val="CRRefonteDeleted"/>
          <w:noProof/>
          <w:highlight w:val="lightGray"/>
        </w:rPr>
        <w:t>rušivé zdroje,</w:t>
      </w:r>
    </w:p>
    <w:p w:rsidR="005C7768" w:rsidRPr="00E8450A" w:rsidRDefault="005C7768" w:rsidP="008B60A5">
      <w:pPr>
        <w:pStyle w:val="Tiret0"/>
        <w:numPr>
          <w:ilvl w:val="0"/>
          <w:numId w:val="29"/>
        </w:numPr>
        <w:autoSpaceDE w:val="0"/>
        <w:autoSpaceDN w:val="0"/>
        <w:ind w:left="851" w:hanging="851"/>
        <w:rPr>
          <w:rStyle w:val="CRRefonteDeleted"/>
          <w:noProof/>
          <w:highlight w:val="lightGray"/>
        </w:rPr>
      </w:pPr>
      <w:r w:rsidRPr="00E8450A">
        <w:rPr>
          <w:rStyle w:val="CRRefonteDeleted"/>
          <w:noProof/>
          <w:highlight w:val="lightGray"/>
        </w:rPr>
        <w:t>bezpečnosť,</w:t>
      </w:r>
    </w:p>
    <w:p w:rsidR="005C7768" w:rsidRPr="00E8450A" w:rsidRDefault="005C7768" w:rsidP="008B60A5">
      <w:pPr>
        <w:pStyle w:val="Tiret0"/>
        <w:numPr>
          <w:ilvl w:val="0"/>
          <w:numId w:val="29"/>
        </w:numPr>
        <w:autoSpaceDE w:val="0"/>
        <w:autoSpaceDN w:val="0"/>
        <w:ind w:left="851" w:hanging="851"/>
        <w:rPr>
          <w:rStyle w:val="CRRefonteDeleted"/>
          <w:noProof/>
          <w:highlight w:val="lightGray"/>
        </w:rPr>
      </w:pPr>
      <w:r w:rsidRPr="00E8450A">
        <w:rPr>
          <w:rStyle w:val="CRRefonteDeleted"/>
          <w:noProof/>
          <w:highlight w:val="lightGray"/>
        </w:rPr>
        <w:t>prístup,</w:t>
      </w:r>
    </w:p>
    <w:p w:rsidR="005C7768" w:rsidRPr="00E8450A" w:rsidRDefault="005C7768" w:rsidP="008B60A5">
      <w:pPr>
        <w:pStyle w:val="Tiret0"/>
        <w:numPr>
          <w:ilvl w:val="0"/>
          <w:numId w:val="29"/>
        </w:numPr>
        <w:autoSpaceDE w:val="0"/>
        <w:autoSpaceDN w:val="0"/>
        <w:ind w:left="851" w:hanging="851"/>
        <w:rPr>
          <w:rStyle w:val="CRRefonteDeleted"/>
          <w:noProof/>
          <w:highlight w:val="lightGray"/>
        </w:rPr>
      </w:pPr>
      <w:r w:rsidRPr="00E8450A">
        <w:rPr>
          <w:rStyle w:val="CRRefonteDeleted"/>
          <w:noProof/>
          <w:highlight w:val="lightGray"/>
        </w:rPr>
        <w:t>dostupnosť elektrickej energie a telefonického spojenia,</w:t>
      </w:r>
    </w:p>
    <w:p w:rsidR="005C7768" w:rsidRPr="00E8450A" w:rsidRDefault="005C7768" w:rsidP="008B60A5">
      <w:pPr>
        <w:pStyle w:val="Tiret0"/>
        <w:numPr>
          <w:ilvl w:val="0"/>
          <w:numId w:val="29"/>
        </w:numPr>
        <w:autoSpaceDE w:val="0"/>
        <w:autoSpaceDN w:val="0"/>
        <w:ind w:left="851" w:hanging="851"/>
        <w:rPr>
          <w:rStyle w:val="CRRefonteDeleted"/>
          <w:noProof/>
          <w:highlight w:val="lightGray"/>
        </w:rPr>
      </w:pPr>
      <w:r w:rsidRPr="00E8450A">
        <w:rPr>
          <w:rStyle w:val="CRRefonteDeleted"/>
          <w:noProof/>
          <w:highlight w:val="lightGray"/>
        </w:rPr>
        <w:t>viditeľnosť miesta vzhľadom na okolie,</w:t>
      </w:r>
    </w:p>
    <w:p w:rsidR="005C7768" w:rsidRPr="00E8450A" w:rsidRDefault="005C7768" w:rsidP="008B60A5">
      <w:pPr>
        <w:pStyle w:val="Tiret0"/>
        <w:numPr>
          <w:ilvl w:val="0"/>
          <w:numId w:val="29"/>
        </w:numPr>
        <w:autoSpaceDE w:val="0"/>
        <w:autoSpaceDN w:val="0"/>
        <w:ind w:left="851" w:hanging="851"/>
        <w:rPr>
          <w:rStyle w:val="CRRefonteDeleted"/>
          <w:noProof/>
          <w:highlight w:val="lightGray"/>
        </w:rPr>
      </w:pPr>
      <w:r w:rsidRPr="00E8450A">
        <w:rPr>
          <w:rStyle w:val="CRRefonteDeleted"/>
          <w:noProof/>
          <w:highlight w:val="lightGray"/>
        </w:rPr>
        <w:t>bezpečnosť verejnosti a obsluhy,</w:t>
      </w:r>
    </w:p>
    <w:p w:rsidR="005C7768" w:rsidRPr="00E8450A" w:rsidRDefault="005C7768" w:rsidP="008B60A5">
      <w:pPr>
        <w:pStyle w:val="Tiret0"/>
        <w:numPr>
          <w:ilvl w:val="0"/>
          <w:numId w:val="29"/>
        </w:numPr>
        <w:autoSpaceDE w:val="0"/>
        <w:autoSpaceDN w:val="0"/>
        <w:ind w:left="851" w:hanging="851"/>
        <w:rPr>
          <w:rStyle w:val="CRRefonteDeleted"/>
          <w:noProof/>
          <w:highlight w:val="lightGray"/>
        </w:rPr>
      </w:pPr>
      <w:r w:rsidRPr="00E8450A">
        <w:rPr>
          <w:rStyle w:val="CRRefonteDeleted"/>
          <w:noProof/>
          <w:highlight w:val="lightGray"/>
        </w:rPr>
        <w:t>vhodnosť súčasného umiestnenia vzorkovacích miest pre rozličné znečisťujúce látky,</w:t>
      </w:r>
    </w:p>
    <w:p w:rsidR="005C7768" w:rsidRPr="00E8450A" w:rsidRDefault="005C7768" w:rsidP="008B60A5">
      <w:pPr>
        <w:pStyle w:val="Tiret0"/>
        <w:numPr>
          <w:ilvl w:val="0"/>
          <w:numId w:val="29"/>
        </w:numPr>
        <w:autoSpaceDE w:val="0"/>
        <w:autoSpaceDN w:val="0"/>
        <w:ind w:left="851" w:hanging="851"/>
        <w:rPr>
          <w:rStyle w:val="CRRefonteDeleted"/>
          <w:noProof/>
          <w:highlight w:val="lightGray"/>
        </w:rPr>
      </w:pPr>
      <w:r w:rsidRPr="00E8450A">
        <w:rPr>
          <w:rStyle w:val="CRRefonteDeleted"/>
          <w:noProof/>
          <w:highlight w:val="lightGray"/>
        </w:rPr>
        <w:t>požiadavky plánovania.</w:t>
      </w:r>
    </w:p>
    <w:p w:rsidR="005C7768" w:rsidRPr="00E8450A" w:rsidRDefault="005C7768" w:rsidP="005C7768">
      <w:pPr>
        <w:pStyle w:val="CRSeparator"/>
        <w:rPr>
          <w:noProof/>
        </w:rPr>
      </w:pPr>
    </w:p>
    <w:p w:rsidR="005C7768" w:rsidRPr="00E8450A" w:rsidRDefault="005C7768" w:rsidP="005C7768">
      <w:pPr>
        <w:pStyle w:val="CRReference"/>
        <w:rPr>
          <w:noProof/>
        </w:rPr>
      </w:pPr>
      <w:r w:rsidRPr="00E8450A">
        <w:rPr>
          <w:noProof/>
        </w:rPr>
        <w:fldChar w:fldCharType="begin"/>
      </w:r>
      <w:r w:rsidRPr="00E8450A">
        <w:rPr>
          <w:noProof/>
        </w:rPr>
        <w:instrText xml:space="preserve"> QUOTE "ê" </w:instrText>
      </w:r>
      <w:r w:rsidRPr="00E8450A">
        <w:rPr>
          <w:noProof/>
        </w:rPr>
        <w:fldChar w:fldCharType="separate"/>
      </w:r>
      <w:r w:rsidRPr="00E8450A">
        <w:rPr>
          <w:rStyle w:val="CRMarker"/>
          <w:noProof/>
        </w:rPr>
        <w:t>ê</w:t>
      </w:r>
      <w:r w:rsidRPr="00E8450A">
        <w:rPr>
          <w:noProof/>
        </w:rPr>
        <w:fldChar w:fldCharType="end"/>
      </w:r>
      <w:r w:rsidRPr="00E8450A">
        <w:rPr>
          <w:noProof/>
        </w:rPr>
        <w:t> 2015/1480 článok 2 a bod 2 písm. a) prílohy II</w:t>
      </w:r>
    </w:p>
    <w:p w:rsidR="005C7768" w:rsidRPr="00E8450A" w:rsidRDefault="005C7768" w:rsidP="005C7768">
      <w:pPr>
        <w:rPr>
          <w:noProof/>
          <w:highlight w:val="lightGray"/>
        </w:rPr>
      </w:pPr>
      <w:r w:rsidRPr="00E8450A">
        <w:rPr>
          <w:rStyle w:val="CRRefonteDeleted"/>
          <w:noProof/>
          <w:highlight w:val="lightGray"/>
        </w:rPr>
        <w:t>Akákoľvek odchýlka od kritérií uvedených v tomto oddiele sa musí riadne zdokumentovať na základe postupov opísaných v oddiele D.</w:t>
      </w:r>
    </w:p>
    <w:p w:rsidR="005C7768" w:rsidRPr="00E8450A" w:rsidRDefault="005C7768" w:rsidP="005C7768">
      <w:pPr>
        <w:pStyle w:val="CRSeparator"/>
        <w:rPr>
          <w:noProof/>
        </w:rPr>
      </w:pPr>
    </w:p>
    <w:p w:rsidR="005C7768" w:rsidRPr="00E8450A" w:rsidRDefault="005C7768" w:rsidP="005C7768">
      <w:pPr>
        <w:pStyle w:val="CRReference"/>
        <w:rPr>
          <w:noProof/>
        </w:rPr>
      </w:pPr>
      <w:r w:rsidRPr="00E8450A">
        <w:rPr>
          <w:noProof/>
        </w:rPr>
        <w:fldChar w:fldCharType="begin"/>
      </w:r>
      <w:r w:rsidRPr="00E8450A">
        <w:rPr>
          <w:noProof/>
        </w:rPr>
        <w:instrText xml:space="preserve"> QUOTE "ê" </w:instrText>
      </w:r>
      <w:r w:rsidRPr="00E8450A">
        <w:rPr>
          <w:noProof/>
        </w:rPr>
        <w:fldChar w:fldCharType="separate"/>
      </w:r>
      <w:r w:rsidRPr="00E8450A">
        <w:rPr>
          <w:rStyle w:val="CRMarker"/>
          <w:noProof/>
        </w:rPr>
        <w:t>ê</w:t>
      </w:r>
      <w:r w:rsidRPr="00E8450A">
        <w:rPr>
          <w:noProof/>
        </w:rPr>
        <w:fldChar w:fldCharType="end"/>
      </w:r>
      <w:r w:rsidRPr="00E8450A">
        <w:rPr>
          <w:noProof/>
        </w:rPr>
        <w:t> 2015/1480 článok 2 a bod 2 písm. b) prílohy II</w:t>
      </w:r>
    </w:p>
    <w:p w:rsidR="005C7768" w:rsidRPr="00E8450A" w:rsidRDefault="005C7768" w:rsidP="005812BF">
      <w:pPr>
        <w:pStyle w:val="ManualHeading1"/>
        <w:ind w:left="851" w:hanging="851"/>
        <w:rPr>
          <w:rStyle w:val="CRRefonteDeleted"/>
          <w:noProof/>
          <w:highlight w:val="lightGray"/>
        </w:rPr>
      </w:pPr>
      <w:r w:rsidRPr="00E8450A">
        <w:rPr>
          <w:rStyle w:val="CRRefonteDeleted"/>
          <w:noProof/>
          <w:highlight w:val="lightGray"/>
        </w:rPr>
        <w:t>D</w:t>
      </w:r>
      <w:r w:rsidR="005812BF">
        <w:rPr>
          <w:rStyle w:val="CRRefonteDeleted"/>
          <w:noProof/>
          <w:highlight w:val="lightGray"/>
        </w:rPr>
        <w:t>)</w:t>
      </w:r>
      <w:r w:rsidRPr="00E8450A">
        <w:rPr>
          <w:noProof/>
        </w:rPr>
        <w:tab/>
      </w:r>
      <w:r w:rsidRPr="00E8450A">
        <w:rPr>
          <w:rStyle w:val="CRRefonteDeleted"/>
          <w:noProof/>
          <w:highlight w:val="lightGray"/>
        </w:rPr>
        <w:t>Dokumentácia a preskúmanie výberu miesta</w:t>
      </w:r>
    </w:p>
    <w:p w:rsidR="005C7768" w:rsidRPr="00E8450A" w:rsidRDefault="005C7768" w:rsidP="005C7768">
      <w:pPr>
        <w:rPr>
          <w:rStyle w:val="CRRefonteDeleted"/>
          <w:noProof/>
          <w:highlight w:val="lightGray"/>
        </w:rPr>
      </w:pPr>
      <w:r w:rsidRPr="00E8450A">
        <w:rPr>
          <w:rStyle w:val="CRRefonteDeleted"/>
          <w:noProof/>
          <w:highlight w:val="lightGray"/>
        </w:rPr>
        <w:t>V prípade všetkých zón a aglomerácií musia príslušné orgány zodpovedné za hodnotenie kvality ovzdušia riadne dokumentovať postupy týkajúce sa výberu miesta a zaznamenávať informácie slúžiace na podporu projektu siete a výberu umiestnenia pre všetky monitorovacie miesta. Dokumentácia musí obsahovať fotografie okolia monitorovacích miest s vyznačenými svetovými stranami a podrobné mapy. V prípade uplatňovania doplnkových metód v rámci zóny alebo aglomerácie musí dokumentácia obsahovať podrobnosti o týchto metódach a informácie o splnení kritérií uvedených v článku 7 ods. 3. Dokumentácia sa podľa potreby aktualizuje a aspoň raz za päť rokov sa preskúma s cieľom zabezpečiť trvalú platnosť a optimálnosť výberových kritérií, projektu siete a umiestnenia monitorovacích miest. Dokumentácia sa Komisii poskytne do 3 mesiacov od vyžiadania.</w:t>
      </w:r>
    </w:p>
    <w:p w:rsidR="005C7768" w:rsidRPr="00E8450A" w:rsidRDefault="005C7768" w:rsidP="005C7768">
      <w:pPr>
        <w:adjustRightInd w:val="0"/>
        <w:spacing w:before="0" w:after="0"/>
        <w:jc w:val="left"/>
        <w:rPr>
          <w:noProof/>
        </w:rPr>
      </w:pPr>
    </w:p>
    <w:p w:rsidR="00515EDB" w:rsidRPr="00E8450A" w:rsidRDefault="00515EDB" w:rsidP="005C7768">
      <w:pPr>
        <w:adjustRightInd w:val="0"/>
        <w:spacing w:before="0" w:after="0"/>
        <w:jc w:val="left"/>
        <w:rPr>
          <w:noProof/>
        </w:rPr>
      </w:pPr>
    </w:p>
    <w:p w:rsidR="00515EDB" w:rsidRPr="00E8450A" w:rsidRDefault="00515EDB" w:rsidP="00515EDB">
      <w:pPr>
        <w:pStyle w:val="CRSeparator"/>
        <w:rPr>
          <w:noProof/>
        </w:rPr>
      </w:pPr>
    </w:p>
    <w:p w:rsidR="00515EDB" w:rsidRPr="00E8450A" w:rsidRDefault="00515EDB" w:rsidP="00515EDB">
      <w:pPr>
        <w:pStyle w:val="CRReference"/>
        <w:rPr>
          <w:noProof/>
        </w:rPr>
      </w:pPr>
      <w:r w:rsidRPr="00E8450A">
        <w:rPr>
          <w:noProof/>
        </w:rPr>
        <w:fldChar w:fldCharType="begin"/>
      </w:r>
      <w:r w:rsidRPr="00E8450A">
        <w:rPr>
          <w:noProof/>
        </w:rPr>
        <w:instrText xml:space="preserve"> QUOTE "ê" </w:instrText>
      </w:r>
      <w:r w:rsidRPr="00E8450A">
        <w:rPr>
          <w:noProof/>
        </w:rPr>
        <w:fldChar w:fldCharType="separate"/>
      </w:r>
      <w:r w:rsidRPr="00E8450A">
        <w:rPr>
          <w:rStyle w:val="CRMarker"/>
          <w:noProof/>
        </w:rPr>
        <w:t>ê</w:t>
      </w:r>
      <w:r w:rsidRPr="00E8450A">
        <w:rPr>
          <w:noProof/>
        </w:rPr>
        <w:fldChar w:fldCharType="end"/>
      </w:r>
      <w:r w:rsidRPr="00E8450A">
        <w:rPr>
          <w:noProof/>
        </w:rPr>
        <w:t> 2008/50</w:t>
      </w:r>
    </w:p>
    <w:p w:rsidR="00515EDB" w:rsidRPr="00E8450A" w:rsidRDefault="00515EDB" w:rsidP="00515EDB">
      <w:pPr>
        <w:jc w:val="center"/>
        <w:rPr>
          <w:b/>
          <w:dstrike/>
          <w:noProof/>
          <w:highlight w:val="lightGray"/>
          <w:u w:val="single"/>
        </w:rPr>
      </w:pPr>
      <w:r w:rsidRPr="00E8450A">
        <w:rPr>
          <w:rStyle w:val="CRRefonteDeleted"/>
          <w:b/>
          <w:noProof/>
          <w:highlight w:val="lightGray"/>
          <w:u w:val="single"/>
        </w:rPr>
        <w:t>PRÍLOHA IV</w:t>
      </w:r>
    </w:p>
    <w:p w:rsidR="00515EDB" w:rsidRPr="00E8450A" w:rsidRDefault="00515EDB" w:rsidP="00515EDB">
      <w:pPr>
        <w:rPr>
          <w:rStyle w:val="CRRefonteDeleted"/>
          <w:noProof/>
          <w:highlight w:val="lightGray"/>
        </w:rPr>
      </w:pPr>
      <w:r w:rsidRPr="00E8450A">
        <w:rPr>
          <w:rStyle w:val="CRRefonteDeleted"/>
          <w:noProof/>
          <w:highlight w:val="lightGray"/>
        </w:rPr>
        <w:t xml:space="preserve">MERANIA NA VIDIECKYCH POZAĎOVÝCH MIESTACH BEZ OHĽADU NA KONCENTRÁCIE </w:t>
      </w:r>
    </w:p>
    <w:p w:rsidR="00515EDB" w:rsidRPr="00E8450A" w:rsidRDefault="00515EDB" w:rsidP="005812BF">
      <w:pPr>
        <w:keepNext/>
        <w:spacing w:before="360"/>
        <w:ind w:left="851" w:hanging="851"/>
        <w:outlineLvl w:val="0"/>
        <w:rPr>
          <w:rStyle w:val="CRRefonteDeleted"/>
          <w:noProof/>
          <w:highlight w:val="lightGray"/>
        </w:rPr>
      </w:pPr>
      <w:r w:rsidRPr="00E8450A">
        <w:rPr>
          <w:rStyle w:val="CRRefonteDeleted"/>
          <w:b/>
          <w:smallCaps/>
          <w:noProof/>
          <w:highlight w:val="lightGray"/>
        </w:rPr>
        <w:t>A</w:t>
      </w:r>
      <w:r w:rsidR="005812BF">
        <w:rPr>
          <w:rStyle w:val="CRRefonteDeleted"/>
          <w:b/>
          <w:smallCaps/>
          <w:noProof/>
          <w:highlight w:val="lightGray"/>
        </w:rPr>
        <w:t>)</w:t>
      </w:r>
      <w:r w:rsidRPr="00E8450A">
        <w:rPr>
          <w:noProof/>
        </w:rPr>
        <w:tab/>
      </w:r>
      <w:r w:rsidRPr="00E8450A">
        <w:rPr>
          <w:rStyle w:val="CRRefonteDeleted"/>
          <w:b/>
          <w:noProof/>
          <w:highlight w:val="lightGray"/>
        </w:rPr>
        <w:t>Ciele</w:t>
      </w:r>
    </w:p>
    <w:p w:rsidR="00515EDB" w:rsidRPr="00E8450A" w:rsidRDefault="00515EDB" w:rsidP="00515EDB">
      <w:pPr>
        <w:rPr>
          <w:rStyle w:val="CRRefonteDeleted"/>
          <w:noProof/>
          <w:highlight w:val="lightGray"/>
        </w:rPr>
      </w:pPr>
      <w:r w:rsidRPr="00E8450A">
        <w:rPr>
          <w:rStyle w:val="CRRefonteDeleted"/>
          <w:noProof/>
          <w:highlight w:val="lightGray"/>
        </w:rPr>
        <w:t>Hlavným cieľom týchto meraní je zabezpečiť, aby boli k dispozícii primerané informácie o úrovniach v pozadí. Tieto informácie majú zásadný význam pri posúdení zvýšených úrovní v znečistenejších oblastiach (ako sú mestské pozaďové lokality, priemyselné lokality, dopravné lokality), pri hodnotení možného príspevku diaľkového prenosu látok znečisťujúcich ovzdušie, pri podpore analýzy rozčlenenia zdrojov a pri získavaní vedomostí o špecifických znečisťujúcich látkach, ako sú suspendované častice. Sú tiež dôležité pre zvýšené využívanie modelovania aj v mestských oblastiach.</w:t>
      </w:r>
    </w:p>
    <w:p w:rsidR="00515EDB" w:rsidRPr="00E8450A" w:rsidRDefault="00515EDB" w:rsidP="005812BF">
      <w:pPr>
        <w:keepNext/>
        <w:spacing w:before="360"/>
        <w:ind w:left="851" w:hanging="851"/>
        <w:outlineLvl w:val="0"/>
        <w:rPr>
          <w:rStyle w:val="CRRefonteDeleted"/>
          <w:noProof/>
          <w:highlight w:val="lightGray"/>
        </w:rPr>
      </w:pPr>
      <w:r w:rsidRPr="00E8450A">
        <w:rPr>
          <w:rStyle w:val="CRRefonteDeleted"/>
          <w:b/>
          <w:smallCaps/>
          <w:noProof/>
          <w:highlight w:val="lightGray"/>
        </w:rPr>
        <w:t>B</w:t>
      </w:r>
      <w:r w:rsidR="005812BF">
        <w:rPr>
          <w:rStyle w:val="CRRefonteDeleted"/>
          <w:b/>
          <w:smallCaps/>
          <w:noProof/>
          <w:highlight w:val="lightGray"/>
        </w:rPr>
        <w:t>)</w:t>
      </w:r>
      <w:r w:rsidRPr="00E8450A">
        <w:rPr>
          <w:noProof/>
        </w:rPr>
        <w:tab/>
      </w:r>
      <w:r w:rsidRPr="00E8450A">
        <w:rPr>
          <w:rStyle w:val="CRRefonteDeleted"/>
          <w:b/>
          <w:noProof/>
          <w:highlight w:val="lightGray"/>
        </w:rPr>
        <w:t>Látky</w:t>
      </w:r>
    </w:p>
    <w:p w:rsidR="00515EDB" w:rsidRPr="00E8450A" w:rsidRDefault="00515EDB" w:rsidP="00515EDB">
      <w:pPr>
        <w:rPr>
          <w:rStyle w:val="CRRefonteDeleted"/>
          <w:noProof/>
          <w:highlight w:val="lightGray"/>
        </w:rPr>
      </w:pPr>
      <w:r w:rsidRPr="00E8450A">
        <w:rPr>
          <w:rStyle w:val="CRRefonteDeleted"/>
          <w:noProof/>
          <w:highlight w:val="lightGray"/>
        </w:rPr>
        <w:t>Meranie PM</w:t>
      </w:r>
      <w:r w:rsidRPr="00E8450A">
        <w:rPr>
          <w:rStyle w:val="CRRefonteDeleted"/>
          <w:noProof/>
          <w:highlight w:val="lightGray"/>
          <w:vertAlign w:val="subscript"/>
        </w:rPr>
        <w:t>2,5</w:t>
      </w:r>
      <w:r w:rsidRPr="00E8450A">
        <w:rPr>
          <w:rStyle w:val="CRRefonteDeleted"/>
          <w:noProof/>
          <w:highlight w:val="lightGray"/>
        </w:rPr>
        <w:t xml:space="preserve"> musí zahŕňať aspoň celkovú hmotnostnú koncentráciu a koncentrácie príslušných zlúčenín na určenie ich chemického zloženia. Je potrebné zahrnúť aspoň tento zoznam chemických látok:</w:t>
      </w:r>
    </w:p>
    <w:tbl>
      <w:tblPr>
        <w:tblW w:w="0" w:type="auto"/>
        <w:tblInd w:w="534" w:type="dxa"/>
        <w:tblBorders>
          <w:top w:val="single" w:sz="2" w:space="0" w:color="auto"/>
          <w:left w:val="single" w:sz="4" w:space="0" w:color="auto"/>
          <w:bottom w:val="single" w:sz="2" w:space="0" w:color="auto"/>
          <w:insideH w:val="single" w:sz="2" w:space="0" w:color="auto"/>
          <w:insideV w:val="single" w:sz="2" w:space="0" w:color="auto"/>
        </w:tblBorders>
        <w:tblLayout w:type="fixed"/>
        <w:tblLook w:val="0000" w:firstRow="0" w:lastRow="0" w:firstColumn="0" w:lastColumn="0" w:noHBand="0" w:noVBand="0"/>
      </w:tblPr>
      <w:tblGrid>
        <w:gridCol w:w="1452"/>
        <w:gridCol w:w="1453"/>
        <w:gridCol w:w="1453"/>
        <w:gridCol w:w="1453"/>
        <w:gridCol w:w="3119"/>
      </w:tblGrid>
      <w:tr w:rsidR="00515EDB" w:rsidRPr="00E8450A" w:rsidTr="00EC2071">
        <w:tc>
          <w:tcPr>
            <w:tcW w:w="1452" w:type="dxa"/>
            <w:tcBorders>
              <w:left w:val="nil"/>
            </w:tcBorders>
          </w:tcPr>
          <w:p w:rsidR="00515EDB" w:rsidRPr="00E8450A" w:rsidRDefault="00515EDB" w:rsidP="00EC2071">
            <w:pPr>
              <w:rPr>
                <w:rStyle w:val="CRRefonteDeleted"/>
                <w:noProof/>
                <w:highlight w:val="lightGray"/>
              </w:rPr>
            </w:pPr>
            <w:r w:rsidRPr="00E8450A">
              <w:rPr>
                <w:rStyle w:val="CRRefonteDeleted"/>
                <w:noProof/>
                <w:highlight w:val="lightGray"/>
              </w:rPr>
              <w:t>SO</w:t>
            </w:r>
            <w:r w:rsidRPr="00E8450A">
              <w:rPr>
                <w:rStyle w:val="CRRefonteDeleted"/>
                <w:noProof/>
                <w:highlight w:val="lightGray"/>
                <w:vertAlign w:val="subscript"/>
              </w:rPr>
              <w:t>4</w:t>
            </w:r>
            <w:r w:rsidRPr="00E8450A">
              <w:rPr>
                <w:rStyle w:val="CRRefonteDeleted"/>
                <w:noProof/>
                <w:highlight w:val="lightGray"/>
                <w:vertAlign w:val="superscript"/>
              </w:rPr>
              <w:t>2–</w:t>
            </w:r>
          </w:p>
        </w:tc>
        <w:tc>
          <w:tcPr>
            <w:tcW w:w="1453" w:type="dxa"/>
          </w:tcPr>
          <w:p w:rsidR="00515EDB" w:rsidRPr="00E8450A" w:rsidRDefault="00515EDB" w:rsidP="00EC2071">
            <w:pPr>
              <w:rPr>
                <w:rStyle w:val="CRRefonteDeleted"/>
                <w:noProof/>
                <w:highlight w:val="lightGray"/>
              </w:rPr>
            </w:pPr>
            <w:r w:rsidRPr="00E8450A">
              <w:rPr>
                <w:rStyle w:val="CRRefonteDeleted"/>
                <w:noProof/>
                <w:highlight w:val="lightGray"/>
              </w:rPr>
              <w:t>Na</w:t>
            </w:r>
            <w:r w:rsidRPr="00E8450A">
              <w:rPr>
                <w:rStyle w:val="CRRefonteDeleted"/>
                <w:noProof/>
                <w:highlight w:val="lightGray"/>
                <w:vertAlign w:val="superscript"/>
              </w:rPr>
              <w:t>+</w:t>
            </w:r>
          </w:p>
        </w:tc>
        <w:tc>
          <w:tcPr>
            <w:tcW w:w="1453" w:type="dxa"/>
          </w:tcPr>
          <w:p w:rsidR="00515EDB" w:rsidRPr="00E8450A" w:rsidRDefault="00515EDB" w:rsidP="00EC2071">
            <w:pPr>
              <w:rPr>
                <w:rStyle w:val="CRRefonteDeleted"/>
                <w:noProof/>
                <w:highlight w:val="lightGray"/>
              </w:rPr>
            </w:pPr>
            <w:r w:rsidRPr="00E8450A">
              <w:rPr>
                <w:rStyle w:val="CRRefonteDeleted"/>
                <w:noProof/>
                <w:highlight w:val="lightGray"/>
              </w:rPr>
              <w:t>NH</w:t>
            </w:r>
            <w:r w:rsidRPr="00E8450A">
              <w:rPr>
                <w:rStyle w:val="CRRefonteDeleted"/>
                <w:noProof/>
                <w:highlight w:val="lightGray"/>
                <w:vertAlign w:val="subscript"/>
              </w:rPr>
              <w:t>4</w:t>
            </w:r>
            <w:r w:rsidRPr="00E8450A">
              <w:rPr>
                <w:rStyle w:val="CRRefonteDeleted"/>
                <w:noProof/>
                <w:highlight w:val="lightGray"/>
                <w:vertAlign w:val="superscript"/>
              </w:rPr>
              <w:t>+</w:t>
            </w:r>
          </w:p>
        </w:tc>
        <w:tc>
          <w:tcPr>
            <w:tcW w:w="1453" w:type="dxa"/>
          </w:tcPr>
          <w:p w:rsidR="00515EDB" w:rsidRPr="00E8450A" w:rsidRDefault="00515EDB" w:rsidP="00EC2071">
            <w:pPr>
              <w:rPr>
                <w:rStyle w:val="CRRefonteDeleted"/>
                <w:noProof/>
                <w:highlight w:val="lightGray"/>
              </w:rPr>
            </w:pPr>
            <w:r w:rsidRPr="00E8450A">
              <w:rPr>
                <w:rStyle w:val="CRRefonteDeleted"/>
                <w:noProof/>
                <w:highlight w:val="lightGray"/>
              </w:rPr>
              <w:t>Ca</w:t>
            </w:r>
            <w:r w:rsidRPr="00E8450A">
              <w:rPr>
                <w:rStyle w:val="CRRefonteDeleted"/>
                <w:noProof/>
                <w:highlight w:val="lightGray"/>
                <w:vertAlign w:val="superscript"/>
              </w:rPr>
              <w:t>2+</w:t>
            </w:r>
          </w:p>
        </w:tc>
        <w:tc>
          <w:tcPr>
            <w:tcW w:w="3119" w:type="dxa"/>
          </w:tcPr>
          <w:p w:rsidR="00515EDB" w:rsidRPr="00E8450A" w:rsidRDefault="00515EDB" w:rsidP="00EC2071">
            <w:pPr>
              <w:rPr>
                <w:rStyle w:val="CRRefonteDeleted"/>
                <w:noProof/>
                <w:highlight w:val="lightGray"/>
              </w:rPr>
            </w:pPr>
            <w:r w:rsidRPr="00E8450A">
              <w:rPr>
                <w:rStyle w:val="CRRefonteDeleted"/>
                <w:noProof/>
                <w:highlight w:val="lightGray"/>
              </w:rPr>
              <w:t>elementárny uhlík (EU)</w:t>
            </w:r>
          </w:p>
        </w:tc>
      </w:tr>
      <w:tr w:rsidR="00515EDB" w:rsidRPr="00E8450A" w:rsidTr="00EC2071">
        <w:tc>
          <w:tcPr>
            <w:tcW w:w="1452" w:type="dxa"/>
            <w:tcBorders>
              <w:left w:val="nil"/>
            </w:tcBorders>
          </w:tcPr>
          <w:p w:rsidR="00515EDB" w:rsidRPr="00E8450A" w:rsidRDefault="00515EDB" w:rsidP="00EC2071">
            <w:pPr>
              <w:rPr>
                <w:rStyle w:val="CRRefonteDeleted"/>
                <w:noProof/>
                <w:highlight w:val="lightGray"/>
              </w:rPr>
            </w:pPr>
            <w:r w:rsidRPr="00E8450A">
              <w:rPr>
                <w:rStyle w:val="CRRefonteDeleted"/>
                <w:noProof/>
                <w:highlight w:val="lightGray"/>
              </w:rPr>
              <w:t>NO</w:t>
            </w:r>
            <w:r w:rsidRPr="00E8450A">
              <w:rPr>
                <w:rStyle w:val="CRRefonteDeleted"/>
                <w:noProof/>
                <w:highlight w:val="lightGray"/>
                <w:vertAlign w:val="subscript"/>
              </w:rPr>
              <w:t>3</w:t>
            </w:r>
            <w:r w:rsidRPr="00E8450A">
              <w:rPr>
                <w:rStyle w:val="CRRefonteDeleted"/>
                <w:noProof/>
                <w:highlight w:val="lightGray"/>
                <w:vertAlign w:val="superscript"/>
              </w:rPr>
              <w:t>–</w:t>
            </w:r>
          </w:p>
        </w:tc>
        <w:tc>
          <w:tcPr>
            <w:tcW w:w="1453" w:type="dxa"/>
          </w:tcPr>
          <w:p w:rsidR="00515EDB" w:rsidRPr="00E8450A" w:rsidRDefault="00515EDB" w:rsidP="00EC2071">
            <w:pPr>
              <w:rPr>
                <w:rStyle w:val="CRRefonteDeleted"/>
                <w:noProof/>
                <w:highlight w:val="lightGray"/>
              </w:rPr>
            </w:pPr>
            <w:r w:rsidRPr="00E8450A">
              <w:rPr>
                <w:rStyle w:val="CRRefonteDeleted"/>
                <w:noProof/>
                <w:highlight w:val="lightGray"/>
              </w:rPr>
              <w:t>K</w:t>
            </w:r>
            <w:r w:rsidRPr="00E8450A">
              <w:rPr>
                <w:rStyle w:val="CRRefonteDeleted"/>
                <w:noProof/>
                <w:highlight w:val="lightGray"/>
                <w:vertAlign w:val="superscript"/>
              </w:rPr>
              <w:t>+</w:t>
            </w:r>
          </w:p>
        </w:tc>
        <w:tc>
          <w:tcPr>
            <w:tcW w:w="1453" w:type="dxa"/>
          </w:tcPr>
          <w:p w:rsidR="00515EDB" w:rsidRPr="00E8450A" w:rsidRDefault="00515EDB" w:rsidP="00EC2071">
            <w:pPr>
              <w:rPr>
                <w:rStyle w:val="CRRefonteDeleted"/>
                <w:noProof/>
                <w:highlight w:val="lightGray"/>
              </w:rPr>
            </w:pPr>
            <w:r w:rsidRPr="00E8450A">
              <w:rPr>
                <w:rStyle w:val="CRRefonteDeleted"/>
                <w:noProof/>
                <w:highlight w:val="lightGray"/>
              </w:rPr>
              <w:t>Cl</w:t>
            </w:r>
            <w:r w:rsidRPr="00E8450A">
              <w:rPr>
                <w:rStyle w:val="CRRefonteDeleted"/>
                <w:noProof/>
                <w:highlight w:val="lightGray"/>
                <w:vertAlign w:val="superscript"/>
              </w:rPr>
              <w:t>–</w:t>
            </w:r>
          </w:p>
        </w:tc>
        <w:tc>
          <w:tcPr>
            <w:tcW w:w="1453" w:type="dxa"/>
          </w:tcPr>
          <w:p w:rsidR="00515EDB" w:rsidRPr="00E8450A" w:rsidRDefault="00515EDB" w:rsidP="00EC2071">
            <w:pPr>
              <w:rPr>
                <w:rStyle w:val="CRRefonteDeleted"/>
                <w:noProof/>
                <w:highlight w:val="lightGray"/>
              </w:rPr>
            </w:pPr>
            <w:r w:rsidRPr="00E8450A">
              <w:rPr>
                <w:rStyle w:val="CRRefonteDeleted"/>
                <w:noProof/>
                <w:highlight w:val="lightGray"/>
              </w:rPr>
              <w:t>Mg</w:t>
            </w:r>
            <w:r w:rsidRPr="00E8450A">
              <w:rPr>
                <w:rStyle w:val="CRRefonteDeleted"/>
                <w:noProof/>
                <w:highlight w:val="lightGray"/>
                <w:vertAlign w:val="superscript"/>
              </w:rPr>
              <w:t>2+</w:t>
            </w:r>
          </w:p>
        </w:tc>
        <w:tc>
          <w:tcPr>
            <w:tcW w:w="3119" w:type="dxa"/>
          </w:tcPr>
          <w:p w:rsidR="00515EDB" w:rsidRPr="00E8450A" w:rsidRDefault="00515EDB" w:rsidP="00EC2071">
            <w:pPr>
              <w:rPr>
                <w:rStyle w:val="CRRefonteDeleted"/>
                <w:noProof/>
                <w:highlight w:val="lightGray"/>
              </w:rPr>
            </w:pPr>
            <w:r w:rsidRPr="00E8450A">
              <w:rPr>
                <w:rStyle w:val="CRRefonteDeleted"/>
                <w:noProof/>
                <w:highlight w:val="lightGray"/>
              </w:rPr>
              <w:t>organický uhlík (OU)</w:t>
            </w:r>
          </w:p>
        </w:tc>
      </w:tr>
    </w:tbl>
    <w:p w:rsidR="00515EDB" w:rsidRPr="00E8450A" w:rsidRDefault="00515EDB" w:rsidP="005812BF">
      <w:pPr>
        <w:keepNext/>
        <w:spacing w:before="360"/>
        <w:ind w:left="851" w:hanging="851"/>
        <w:outlineLvl w:val="0"/>
        <w:rPr>
          <w:rStyle w:val="CRRefonteDeleted"/>
          <w:noProof/>
          <w:highlight w:val="lightGray"/>
        </w:rPr>
      </w:pPr>
      <w:r w:rsidRPr="00E8450A">
        <w:rPr>
          <w:rStyle w:val="CRRefonteDeleted"/>
          <w:b/>
          <w:smallCaps/>
          <w:noProof/>
          <w:highlight w:val="lightGray"/>
        </w:rPr>
        <w:t>C</w:t>
      </w:r>
      <w:r w:rsidR="005812BF">
        <w:rPr>
          <w:rStyle w:val="CRRefonteDeleted"/>
          <w:b/>
          <w:smallCaps/>
          <w:noProof/>
          <w:highlight w:val="lightGray"/>
        </w:rPr>
        <w:t>)</w:t>
      </w:r>
      <w:r w:rsidRPr="00E8450A">
        <w:rPr>
          <w:noProof/>
        </w:rPr>
        <w:tab/>
      </w:r>
      <w:r w:rsidRPr="00E8450A">
        <w:rPr>
          <w:rStyle w:val="CRRefonteDeleted"/>
          <w:b/>
          <w:noProof/>
          <w:highlight w:val="lightGray"/>
        </w:rPr>
        <w:t>Umiestnenie</w:t>
      </w:r>
    </w:p>
    <w:p w:rsidR="00515EDB" w:rsidRPr="00E8450A" w:rsidRDefault="00515EDB" w:rsidP="00515EDB">
      <w:pPr>
        <w:rPr>
          <w:rStyle w:val="CRRefonteDeleted"/>
          <w:noProof/>
          <w:highlight w:val="lightGray"/>
        </w:rPr>
      </w:pPr>
      <w:r w:rsidRPr="00E8450A">
        <w:rPr>
          <w:rStyle w:val="CRRefonteDeleted"/>
          <w:noProof/>
          <w:highlight w:val="lightGray"/>
        </w:rPr>
        <w:t>Merania by sa mali vykonať najmä vo vidieckych pozaďových oblastiach v súlade s časťami A, B a C prílohy III.</w:t>
      </w:r>
    </w:p>
    <w:p w:rsidR="00515EDB" w:rsidRPr="00E8450A" w:rsidRDefault="00515EDB" w:rsidP="005C7768">
      <w:pPr>
        <w:adjustRightInd w:val="0"/>
        <w:spacing w:before="0" w:after="0"/>
        <w:jc w:val="left"/>
        <w:rPr>
          <w:noProof/>
        </w:rPr>
        <w:sectPr w:rsidR="00515EDB" w:rsidRPr="00E8450A" w:rsidSect="000A000C">
          <w:pgSz w:w="11906" w:h="16838"/>
          <w:pgMar w:top="1134" w:right="1418" w:bottom="1134" w:left="1418" w:header="709" w:footer="709" w:gutter="0"/>
          <w:cols w:space="709"/>
          <w:docGrid w:linePitch="326"/>
        </w:sectPr>
      </w:pPr>
    </w:p>
    <w:p w:rsidR="005C7768" w:rsidRPr="00E8450A" w:rsidRDefault="005C7768" w:rsidP="005C7768">
      <w:pPr>
        <w:pStyle w:val="CRSeparator"/>
        <w:rPr>
          <w:noProof/>
        </w:rPr>
      </w:pPr>
    </w:p>
    <w:p w:rsidR="005C7768" w:rsidRPr="00E8450A" w:rsidRDefault="005C7768" w:rsidP="005C7768">
      <w:pPr>
        <w:pStyle w:val="CRReference"/>
        <w:rPr>
          <w:noProof/>
        </w:rPr>
      </w:pPr>
      <w:r w:rsidRPr="00E8450A">
        <w:rPr>
          <w:noProof/>
        </w:rPr>
        <w:fldChar w:fldCharType="begin"/>
      </w:r>
      <w:r w:rsidRPr="00E8450A">
        <w:rPr>
          <w:noProof/>
        </w:rPr>
        <w:instrText xml:space="preserve"> QUOTE "ê" </w:instrText>
      </w:r>
      <w:r w:rsidRPr="00E8450A">
        <w:rPr>
          <w:noProof/>
        </w:rPr>
        <w:fldChar w:fldCharType="separate"/>
      </w:r>
      <w:r w:rsidRPr="00E8450A">
        <w:rPr>
          <w:rStyle w:val="CRMarker"/>
          <w:noProof/>
        </w:rPr>
        <w:t>ê</w:t>
      </w:r>
      <w:r w:rsidRPr="00E8450A">
        <w:rPr>
          <w:noProof/>
        </w:rPr>
        <w:fldChar w:fldCharType="end"/>
      </w:r>
      <w:r w:rsidRPr="00E8450A">
        <w:rPr>
          <w:noProof/>
        </w:rPr>
        <w:t> 2008/50</w:t>
      </w:r>
    </w:p>
    <w:p w:rsidR="005C7768" w:rsidRPr="00E8450A" w:rsidRDefault="005C7768" w:rsidP="000A6A7F">
      <w:pPr>
        <w:jc w:val="center"/>
        <w:rPr>
          <w:rStyle w:val="CRRefonteDeleted"/>
          <w:b/>
          <w:noProof/>
          <w:highlight w:val="lightGray"/>
          <w:u w:val="single"/>
        </w:rPr>
      </w:pPr>
      <w:r w:rsidRPr="00E8450A">
        <w:rPr>
          <w:rStyle w:val="CRRefonteDeleted"/>
          <w:b/>
          <w:noProof/>
          <w:highlight w:val="lightGray"/>
          <w:u w:val="single"/>
        </w:rPr>
        <w:t>PRÍLOHA V</w:t>
      </w:r>
    </w:p>
    <w:p w:rsidR="005C7768" w:rsidRPr="00E8450A" w:rsidRDefault="005C7768" w:rsidP="005C7768">
      <w:pPr>
        <w:pStyle w:val="NormalCentered"/>
        <w:rPr>
          <w:rStyle w:val="CRRefonteDeleted"/>
          <w:noProof/>
          <w:highlight w:val="lightGray"/>
        </w:rPr>
      </w:pPr>
      <w:r w:rsidRPr="00E8450A">
        <w:rPr>
          <w:rStyle w:val="CRRefonteDeleted"/>
          <w:b/>
          <w:noProof/>
          <w:highlight w:val="lightGray"/>
        </w:rPr>
        <w:t>Kritériá na určenie minimálneho počtu vzorkovacích miest pre stále merania koncentrácií oxidu siričitého, oxidu dusičitého, oxidov dusíka, suspendovaných častíc (PM</w:t>
      </w:r>
      <w:r w:rsidRPr="00E8450A">
        <w:rPr>
          <w:rStyle w:val="CRRefonteDeleted"/>
          <w:b/>
          <w:noProof/>
          <w:highlight w:val="lightGray"/>
          <w:vertAlign w:val="subscript"/>
        </w:rPr>
        <w:t>10</w:t>
      </w:r>
      <w:r w:rsidRPr="00E8450A">
        <w:rPr>
          <w:rStyle w:val="CRRefonteDeleted"/>
          <w:b/>
          <w:noProof/>
          <w:highlight w:val="lightGray"/>
        </w:rPr>
        <w:t xml:space="preserve"> a PM</w:t>
      </w:r>
      <w:r w:rsidRPr="00E8450A">
        <w:rPr>
          <w:rStyle w:val="CRRefonteDeleted"/>
          <w:b/>
          <w:noProof/>
          <w:highlight w:val="lightGray"/>
          <w:vertAlign w:val="subscript"/>
        </w:rPr>
        <w:t>2,5</w:t>
      </w:r>
      <w:r w:rsidRPr="00E8450A">
        <w:rPr>
          <w:rStyle w:val="CRRefonteDeleted"/>
          <w:b/>
          <w:noProof/>
          <w:highlight w:val="lightGray"/>
        </w:rPr>
        <w:t>), olova, benzénu a oxidu uhoľnatého v okolitom ovzduší</w:t>
      </w:r>
    </w:p>
    <w:p w:rsidR="005C7768" w:rsidRPr="00E8450A" w:rsidRDefault="005C7768" w:rsidP="005812BF">
      <w:pPr>
        <w:rPr>
          <w:rStyle w:val="CRRefonteDeleted"/>
          <w:noProof/>
          <w:highlight w:val="lightGray"/>
        </w:rPr>
      </w:pPr>
      <w:r w:rsidRPr="00E8450A">
        <w:rPr>
          <w:rStyle w:val="CRRefonteDeleted"/>
          <w:noProof/>
          <w:highlight w:val="lightGray"/>
        </w:rPr>
        <w:t>A</w:t>
      </w:r>
      <w:r w:rsidR="005812BF">
        <w:rPr>
          <w:rStyle w:val="CRRefonteDeleted"/>
          <w:noProof/>
          <w:highlight w:val="lightGray"/>
        </w:rPr>
        <w:t>)</w:t>
      </w:r>
      <w:r w:rsidRPr="00E8450A">
        <w:rPr>
          <w:noProof/>
        </w:rPr>
        <w:tab/>
      </w:r>
      <w:r w:rsidRPr="00E8450A">
        <w:rPr>
          <w:rStyle w:val="CRRefonteDeleted"/>
          <w:noProof/>
          <w:highlight w:val="lightGray"/>
        </w:rPr>
        <w:t>Minimálny počet vzorkovacích miest pre stále merania na posúdenie dodržiavania limitných hodnôt na ochranu zdravia ľudí a výstražných prahov v zónach a aglomeráciách, v ktorých sú stále merania jediným zdrojom informácií</w:t>
      </w:r>
    </w:p>
    <w:p w:rsidR="005C7768" w:rsidRPr="00E8450A" w:rsidRDefault="005C7768" w:rsidP="005C7768">
      <w:pPr>
        <w:pStyle w:val="ManualHeading2"/>
        <w:ind w:left="851" w:hanging="851"/>
        <w:rPr>
          <w:rStyle w:val="CRRefonteDeleted"/>
          <w:noProof/>
          <w:highlight w:val="lightGray"/>
        </w:rPr>
      </w:pPr>
      <w:r w:rsidRPr="00E8450A">
        <w:rPr>
          <w:rStyle w:val="CRRefonteDeleted"/>
          <w:noProof/>
          <w:highlight w:val="lightGray"/>
        </w:rPr>
        <w:t>1.</w:t>
      </w:r>
      <w:r w:rsidRPr="00E8450A">
        <w:rPr>
          <w:noProof/>
        </w:rPr>
        <w:tab/>
      </w:r>
      <w:r w:rsidRPr="00E8450A">
        <w:rPr>
          <w:rStyle w:val="CRRefonteDeleted"/>
          <w:noProof/>
          <w:highlight w:val="lightGray"/>
        </w:rPr>
        <w:t>Plošné zdroje</w:t>
      </w:r>
    </w:p>
    <w:tbl>
      <w:tblPr>
        <w:tblW w:w="0" w:type="auto"/>
        <w:tblLayout w:type="fixed"/>
        <w:tblLook w:val="0000" w:firstRow="0" w:lastRow="0" w:firstColumn="0" w:lastColumn="0" w:noHBand="0" w:noVBand="0"/>
      </w:tblPr>
      <w:tblGrid>
        <w:gridCol w:w="2136"/>
        <w:gridCol w:w="1764"/>
        <w:gridCol w:w="1672"/>
        <w:gridCol w:w="1857"/>
        <w:gridCol w:w="1857"/>
      </w:tblGrid>
      <w:tr w:rsidR="005C7768" w:rsidRPr="00E8450A" w:rsidTr="00335440">
        <w:tc>
          <w:tcPr>
            <w:tcW w:w="2136" w:type="dxa"/>
            <w:vMerge w:val="restart"/>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Centered"/>
              <w:rPr>
                <w:rStyle w:val="CRRefonteDeleted"/>
                <w:noProof/>
                <w:highlight w:val="lightGray"/>
              </w:rPr>
            </w:pPr>
            <w:r w:rsidRPr="00E8450A">
              <w:rPr>
                <w:rStyle w:val="CRRefonteDeleted"/>
                <w:noProof/>
                <w:highlight w:val="lightGray"/>
              </w:rPr>
              <w:t>Obyvateľstvo aglomerácie alebo zóny</w:t>
            </w:r>
          </w:p>
          <w:p w:rsidR="005C7768" w:rsidRPr="00E8450A" w:rsidRDefault="005C7768" w:rsidP="00335440">
            <w:pPr>
              <w:pStyle w:val="NormalCentered"/>
              <w:rPr>
                <w:rStyle w:val="CRRefonteDeleted"/>
                <w:noProof/>
                <w:highlight w:val="lightGray"/>
              </w:rPr>
            </w:pPr>
            <w:r w:rsidRPr="00E8450A">
              <w:rPr>
                <w:rStyle w:val="CRRefonteDeleted"/>
                <w:noProof/>
                <w:highlight w:val="lightGray"/>
              </w:rPr>
              <w:t>(v tisícoch)</w:t>
            </w:r>
          </w:p>
        </w:tc>
        <w:tc>
          <w:tcPr>
            <w:tcW w:w="3436" w:type="dxa"/>
            <w:gridSpan w:val="2"/>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Centered"/>
              <w:rPr>
                <w:rStyle w:val="CRRefonteDeleted"/>
                <w:noProof/>
                <w:highlight w:val="lightGray"/>
              </w:rPr>
            </w:pPr>
            <w:r w:rsidRPr="00E8450A">
              <w:rPr>
                <w:rStyle w:val="CRRefonteDeleted"/>
                <w:noProof/>
                <w:highlight w:val="lightGray"/>
              </w:rPr>
              <w:t>Ak maximálne koncentrácie prekračujú horný prah na hodnotenie</w:t>
            </w:r>
            <w:r w:rsidRPr="00E8450A">
              <w:rPr>
                <w:rStyle w:val="CRRefonteDeleted"/>
                <w:noProof/>
                <w:highlight w:val="lightGray"/>
                <w:vertAlign w:val="superscript"/>
              </w:rPr>
              <w:footnoteReference w:id="15"/>
            </w:r>
          </w:p>
        </w:tc>
        <w:tc>
          <w:tcPr>
            <w:tcW w:w="3714" w:type="dxa"/>
            <w:gridSpan w:val="2"/>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Centered"/>
              <w:rPr>
                <w:rStyle w:val="CRRefonteDeleted"/>
                <w:noProof/>
                <w:highlight w:val="lightGray"/>
              </w:rPr>
            </w:pPr>
            <w:r w:rsidRPr="00E8450A">
              <w:rPr>
                <w:rStyle w:val="CRRefonteDeleted"/>
                <w:noProof/>
                <w:highlight w:val="lightGray"/>
              </w:rPr>
              <w:t>Ak sú maximálne koncentrácie medzi horným a dolným prahom na hodnotenie</w:t>
            </w:r>
          </w:p>
        </w:tc>
      </w:tr>
      <w:tr w:rsidR="005C7768" w:rsidRPr="00E8450A" w:rsidTr="00335440">
        <w:tc>
          <w:tcPr>
            <w:tcW w:w="2136" w:type="dxa"/>
            <w:vMerge/>
            <w:tcBorders>
              <w:top w:val="single" w:sz="2" w:space="0" w:color="auto"/>
              <w:left w:val="single" w:sz="2" w:space="0" w:color="auto"/>
              <w:bottom w:val="single" w:sz="2" w:space="0" w:color="auto"/>
              <w:right w:val="single" w:sz="2" w:space="0" w:color="auto"/>
            </w:tcBorders>
          </w:tcPr>
          <w:p w:rsidR="005C7768" w:rsidRPr="00E8450A" w:rsidRDefault="005C7768" w:rsidP="00335440">
            <w:pPr>
              <w:adjustRightInd w:val="0"/>
              <w:spacing w:before="0" w:after="0"/>
              <w:jc w:val="left"/>
              <w:rPr>
                <w:rStyle w:val="CRRefonteDeleted"/>
                <w:noProof/>
                <w:highlight w:val="lightGray"/>
              </w:rPr>
            </w:pPr>
          </w:p>
        </w:tc>
        <w:tc>
          <w:tcPr>
            <w:tcW w:w="1764"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Centered"/>
              <w:rPr>
                <w:rStyle w:val="CRRefonteDeleted"/>
                <w:noProof/>
                <w:highlight w:val="lightGray"/>
              </w:rPr>
            </w:pPr>
            <w:r w:rsidRPr="00E8450A">
              <w:rPr>
                <w:rStyle w:val="CRRefonteDeleted"/>
                <w:noProof/>
                <w:highlight w:val="lightGray"/>
              </w:rPr>
              <w:t>Znečisťujúce látky okrem PM</w:t>
            </w:r>
          </w:p>
        </w:tc>
        <w:tc>
          <w:tcPr>
            <w:tcW w:w="1672"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Centered"/>
              <w:rPr>
                <w:rStyle w:val="CRRefonteDeleted"/>
                <w:noProof/>
                <w:highlight w:val="lightGray"/>
              </w:rPr>
            </w:pPr>
            <w:r w:rsidRPr="00E8450A">
              <w:rPr>
                <w:rStyle w:val="CRRefonteDeleted"/>
                <w:noProof/>
                <w:highlight w:val="lightGray"/>
              </w:rPr>
              <w:t>PM</w:t>
            </w:r>
            <w:r w:rsidRPr="00E8450A">
              <w:rPr>
                <w:rStyle w:val="CRRefonteDeleted"/>
                <w:noProof/>
                <w:highlight w:val="lightGray"/>
                <w:vertAlign w:val="superscript"/>
              </w:rPr>
              <w:footnoteReference w:id="16"/>
            </w:r>
            <w:r w:rsidRPr="00E8450A">
              <w:rPr>
                <w:rStyle w:val="CRRefonteDeleted"/>
                <w:noProof/>
                <w:highlight w:val="lightGray"/>
              </w:rPr>
              <w:t xml:space="preserve"> (súčet PM</w:t>
            </w:r>
            <w:r w:rsidRPr="00E8450A">
              <w:rPr>
                <w:rStyle w:val="CRRefonteDeleted"/>
                <w:noProof/>
                <w:highlight w:val="lightGray"/>
                <w:vertAlign w:val="subscript"/>
              </w:rPr>
              <w:t>10</w:t>
            </w:r>
            <w:r w:rsidRPr="00E8450A">
              <w:rPr>
                <w:rStyle w:val="CRRefonteDeleted"/>
                <w:noProof/>
                <w:highlight w:val="lightGray"/>
              </w:rPr>
              <w:t xml:space="preserve"> a PM</w:t>
            </w:r>
            <w:r w:rsidRPr="00E8450A">
              <w:rPr>
                <w:rStyle w:val="CRRefonteDeleted"/>
                <w:noProof/>
                <w:highlight w:val="lightGray"/>
                <w:vertAlign w:val="subscript"/>
              </w:rPr>
              <w:t>2,5</w:t>
            </w:r>
            <w:r w:rsidRPr="00E8450A">
              <w:rPr>
                <w:rStyle w:val="CRRefonteDeleted"/>
                <w:noProof/>
                <w:highlight w:val="lightGray"/>
              </w:rPr>
              <w:t>)</w:t>
            </w:r>
          </w:p>
        </w:tc>
        <w:tc>
          <w:tcPr>
            <w:tcW w:w="1857"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Centered"/>
              <w:rPr>
                <w:rStyle w:val="CRRefonteDeleted"/>
                <w:noProof/>
                <w:highlight w:val="lightGray"/>
              </w:rPr>
            </w:pPr>
            <w:r w:rsidRPr="00E8450A">
              <w:rPr>
                <w:rStyle w:val="CRRefonteDeleted"/>
                <w:noProof/>
                <w:highlight w:val="lightGray"/>
              </w:rPr>
              <w:t>Znečisťujúce látky okrem PM</w:t>
            </w:r>
          </w:p>
        </w:tc>
        <w:tc>
          <w:tcPr>
            <w:tcW w:w="1857"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Centered"/>
              <w:rPr>
                <w:rStyle w:val="CRRefonteDeleted"/>
                <w:noProof/>
                <w:highlight w:val="lightGray"/>
              </w:rPr>
            </w:pPr>
            <w:r w:rsidRPr="00E8450A">
              <w:rPr>
                <w:rStyle w:val="CRRefonteDeleted"/>
                <w:noProof/>
                <w:highlight w:val="lightGray"/>
              </w:rPr>
              <w:t>PM</w:t>
            </w:r>
            <w:r w:rsidRPr="00E8450A">
              <w:rPr>
                <w:rStyle w:val="CRRefonteDeleted"/>
                <w:noProof/>
                <w:highlight w:val="lightGray"/>
                <w:vertAlign w:val="superscript"/>
              </w:rPr>
              <w:footnoteReference w:id="17"/>
            </w:r>
            <w:r w:rsidRPr="00E8450A">
              <w:rPr>
                <w:rStyle w:val="CRRefonteDeleted"/>
                <w:noProof/>
                <w:highlight w:val="lightGray"/>
              </w:rPr>
              <w:t xml:space="preserve"> (súčet PM</w:t>
            </w:r>
            <w:r w:rsidRPr="00E8450A">
              <w:rPr>
                <w:rStyle w:val="CRRefonteDeleted"/>
                <w:noProof/>
                <w:highlight w:val="lightGray"/>
                <w:vertAlign w:val="subscript"/>
              </w:rPr>
              <w:t>10</w:t>
            </w:r>
            <w:r w:rsidRPr="00E8450A">
              <w:rPr>
                <w:rStyle w:val="CRRefonteDeleted"/>
                <w:noProof/>
                <w:highlight w:val="lightGray"/>
              </w:rPr>
              <w:t xml:space="preserve"> a PM</w:t>
            </w:r>
            <w:r w:rsidRPr="00E8450A">
              <w:rPr>
                <w:rStyle w:val="CRRefonteDeleted"/>
                <w:noProof/>
                <w:highlight w:val="lightGray"/>
                <w:vertAlign w:val="subscript"/>
              </w:rPr>
              <w:t>2,5</w:t>
            </w:r>
            <w:r w:rsidRPr="00E8450A">
              <w:rPr>
                <w:rStyle w:val="CRRefonteDeleted"/>
                <w:noProof/>
                <w:highlight w:val="lightGray"/>
              </w:rPr>
              <w:t>)</w:t>
            </w:r>
          </w:p>
        </w:tc>
      </w:tr>
      <w:tr w:rsidR="005C7768" w:rsidRPr="00E8450A" w:rsidTr="00335440">
        <w:tc>
          <w:tcPr>
            <w:tcW w:w="2136"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t>0 – 249</w:t>
            </w:r>
          </w:p>
        </w:tc>
        <w:tc>
          <w:tcPr>
            <w:tcW w:w="1764"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t>1</w:t>
            </w:r>
          </w:p>
        </w:tc>
        <w:tc>
          <w:tcPr>
            <w:tcW w:w="1672"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t>2</w:t>
            </w:r>
          </w:p>
        </w:tc>
        <w:tc>
          <w:tcPr>
            <w:tcW w:w="1857"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t>1</w:t>
            </w:r>
          </w:p>
        </w:tc>
        <w:tc>
          <w:tcPr>
            <w:tcW w:w="1857"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t>1</w:t>
            </w:r>
          </w:p>
        </w:tc>
      </w:tr>
      <w:tr w:rsidR="005C7768" w:rsidRPr="00E8450A" w:rsidTr="00335440">
        <w:tc>
          <w:tcPr>
            <w:tcW w:w="2136"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t>250 – 499</w:t>
            </w:r>
          </w:p>
        </w:tc>
        <w:tc>
          <w:tcPr>
            <w:tcW w:w="1764"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t>2</w:t>
            </w:r>
          </w:p>
        </w:tc>
        <w:tc>
          <w:tcPr>
            <w:tcW w:w="1672"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t>3</w:t>
            </w:r>
          </w:p>
        </w:tc>
        <w:tc>
          <w:tcPr>
            <w:tcW w:w="1857"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t>1</w:t>
            </w:r>
          </w:p>
        </w:tc>
        <w:tc>
          <w:tcPr>
            <w:tcW w:w="1857"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t>2</w:t>
            </w:r>
          </w:p>
        </w:tc>
      </w:tr>
      <w:tr w:rsidR="005C7768" w:rsidRPr="00E8450A" w:rsidTr="00335440">
        <w:tc>
          <w:tcPr>
            <w:tcW w:w="2136"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t>500 – 749</w:t>
            </w:r>
          </w:p>
        </w:tc>
        <w:tc>
          <w:tcPr>
            <w:tcW w:w="1764"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t>2</w:t>
            </w:r>
          </w:p>
        </w:tc>
        <w:tc>
          <w:tcPr>
            <w:tcW w:w="1672"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t>3</w:t>
            </w:r>
          </w:p>
        </w:tc>
        <w:tc>
          <w:tcPr>
            <w:tcW w:w="1857"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t>1</w:t>
            </w:r>
          </w:p>
        </w:tc>
        <w:tc>
          <w:tcPr>
            <w:tcW w:w="1857"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t>2</w:t>
            </w:r>
          </w:p>
        </w:tc>
      </w:tr>
      <w:tr w:rsidR="005C7768" w:rsidRPr="00E8450A" w:rsidTr="00335440">
        <w:tc>
          <w:tcPr>
            <w:tcW w:w="2136"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t>750 – 999</w:t>
            </w:r>
          </w:p>
        </w:tc>
        <w:tc>
          <w:tcPr>
            <w:tcW w:w="1764"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t>3</w:t>
            </w:r>
          </w:p>
        </w:tc>
        <w:tc>
          <w:tcPr>
            <w:tcW w:w="1672"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t>4</w:t>
            </w:r>
          </w:p>
        </w:tc>
        <w:tc>
          <w:tcPr>
            <w:tcW w:w="1857"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t>1</w:t>
            </w:r>
          </w:p>
        </w:tc>
        <w:tc>
          <w:tcPr>
            <w:tcW w:w="1857"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t>2</w:t>
            </w:r>
          </w:p>
        </w:tc>
      </w:tr>
      <w:tr w:rsidR="005C7768" w:rsidRPr="00E8450A" w:rsidTr="00335440">
        <w:tc>
          <w:tcPr>
            <w:tcW w:w="2136"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t>1 000 – 1 499</w:t>
            </w:r>
          </w:p>
        </w:tc>
        <w:tc>
          <w:tcPr>
            <w:tcW w:w="1764"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t>4</w:t>
            </w:r>
          </w:p>
        </w:tc>
        <w:tc>
          <w:tcPr>
            <w:tcW w:w="1672"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t>6</w:t>
            </w:r>
          </w:p>
        </w:tc>
        <w:tc>
          <w:tcPr>
            <w:tcW w:w="1857"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t>2</w:t>
            </w:r>
          </w:p>
        </w:tc>
        <w:tc>
          <w:tcPr>
            <w:tcW w:w="1857"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t>3</w:t>
            </w:r>
          </w:p>
        </w:tc>
      </w:tr>
      <w:tr w:rsidR="005C7768" w:rsidRPr="00E8450A" w:rsidTr="00335440">
        <w:tc>
          <w:tcPr>
            <w:tcW w:w="2136"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t>1 500 – 1 999</w:t>
            </w:r>
          </w:p>
        </w:tc>
        <w:tc>
          <w:tcPr>
            <w:tcW w:w="1764"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t>5</w:t>
            </w:r>
          </w:p>
        </w:tc>
        <w:tc>
          <w:tcPr>
            <w:tcW w:w="1672"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t>7</w:t>
            </w:r>
          </w:p>
        </w:tc>
        <w:tc>
          <w:tcPr>
            <w:tcW w:w="1857"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t>2</w:t>
            </w:r>
          </w:p>
        </w:tc>
        <w:tc>
          <w:tcPr>
            <w:tcW w:w="1857"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t>3</w:t>
            </w:r>
          </w:p>
        </w:tc>
      </w:tr>
      <w:tr w:rsidR="005C7768" w:rsidRPr="00E8450A" w:rsidTr="00335440">
        <w:tc>
          <w:tcPr>
            <w:tcW w:w="2136"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t>2 000 – 2 749</w:t>
            </w:r>
          </w:p>
        </w:tc>
        <w:tc>
          <w:tcPr>
            <w:tcW w:w="1764"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t>6</w:t>
            </w:r>
          </w:p>
        </w:tc>
        <w:tc>
          <w:tcPr>
            <w:tcW w:w="1672"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t>8</w:t>
            </w:r>
          </w:p>
        </w:tc>
        <w:tc>
          <w:tcPr>
            <w:tcW w:w="1857"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t>3</w:t>
            </w:r>
          </w:p>
        </w:tc>
        <w:tc>
          <w:tcPr>
            <w:tcW w:w="1857"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t>4</w:t>
            </w:r>
          </w:p>
        </w:tc>
      </w:tr>
      <w:tr w:rsidR="005C7768" w:rsidRPr="00E8450A" w:rsidTr="00335440">
        <w:tc>
          <w:tcPr>
            <w:tcW w:w="2136"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t>2 750 – 3 749</w:t>
            </w:r>
          </w:p>
        </w:tc>
        <w:tc>
          <w:tcPr>
            <w:tcW w:w="1764"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t>7</w:t>
            </w:r>
          </w:p>
        </w:tc>
        <w:tc>
          <w:tcPr>
            <w:tcW w:w="1672"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t>10</w:t>
            </w:r>
          </w:p>
        </w:tc>
        <w:tc>
          <w:tcPr>
            <w:tcW w:w="1857"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t>3</w:t>
            </w:r>
          </w:p>
        </w:tc>
        <w:tc>
          <w:tcPr>
            <w:tcW w:w="1857"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t>4</w:t>
            </w:r>
          </w:p>
        </w:tc>
      </w:tr>
      <w:tr w:rsidR="005C7768" w:rsidRPr="00E8450A" w:rsidTr="00335440">
        <w:tc>
          <w:tcPr>
            <w:tcW w:w="2136"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t>3 750 – 4 749</w:t>
            </w:r>
          </w:p>
        </w:tc>
        <w:tc>
          <w:tcPr>
            <w:tcW w:w="1764"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t>8</w:t>
            </w:r>
          </w:p>
        </w:tc>
        <w:tc>
          <w:tcPr>
            <w:tcW w:w="1672"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t>11</w:t>
            </w:r>
          </w:p>
        </w:tc>
        <w:tc>
          <w:tcPr>
            <w:tcW w:w="1857"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t>3</w:t>
            </w:r>
          </w:p>
        </w:tc>
        <w:tc>
          <w:tcPr>
            <w:tcW w:w="1857"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t>6</w:t>
            </w:r>
          </w:p>
        </w:tc>
      </w:tr>
      <w:tr w:rsidR="005C7768" w:rsidRPr="00E8450A" w:rsidTr="00335440">
        <w:tc>
          <w:tcPr>
            <w:tcW w:w="2136"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t>4 750 – 5 999</w:t>
            </w:r>
          </w:p>
        </w:tc>
        <w:tc>
          <w:tcPr>
            <w:tcW w:w="1764"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t>9</w:t>
            </w:r>
          </w:p>
        </w:tc>
        <w:tc>
          <w:tcPr>
            <w:tcW w:w="1672"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t>13</w:t>
            </w:r>
          </w:p>
        </w:tc>
        <w:tc>
          <w:tcPr>
            <w:tcW w:w="1857"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t>4</w:t>
            </w:r>
          </w:p>
        </w:tc>
        <w:tc>
          <w:tcPr>
            <w:tcW w:w="1857"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t>6</w:t>
            </w:r>
          </w:p>
        </w:tc>
      </w:tr>
      <w:tr w:rsidR="005C7768" w:rsidRPr="00E8450A" w:rsidTr="00335440">
        <w:tc>
          <w:tcPr>
            <w:tcW w:w="2136"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t>≥ 6000</w:t>
            </w:r>
          </w:p>
        </w:tc>
        <w:tc>
          <w:tcPr>
            <w:tcW w:w="1764"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t>10</w:t>
            </w:r>
          </w:p>
        </w:tc>
        <w:tc>
          <w:tcPr>
            <w:tcW w:w="1672"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t>15</w:t>
            </w:r>
          </w:p>
        </w:tc>
        <w:tc>
          <w:tcPr>
            <w:tcW w:w="1857"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t>4</w:t>
            </w:r>
          </w:p>
        </w:tc>
        <w:tc>
          <w:tcPr>
            <w:tcW w:w="1857"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t>7</w:t>
            </w:r>
          </w:p>
        </w:tc>
      </w:tr>
    </w:tbl>
    <w:p w:rsidR="005C7768" w:rsidRPr="00E8450A" w:rsidRDefault="005C7768" w:rsidP="005C7768">
      <w:pPr>
        <w:rPr>
          <w:rStyle w:val="CRRefonteDeleted"/>
          <w:noProof/>
          <w:highlight w:val="lightGray"/>
        </w:rPr>
      </w:pPr>
    </w:p>
    <w:p w:rsidR="005C7768" w:rsidRPr="00E8450A" w:rsidRDefault="005C7768" w:rsidP="005C7768">
      <w:pPr>
        <w:pStyle w:val="ManualHeading2"/>
        <w:ind w:left="851" w:hanging="851"/>
        <w:rPr>
          <w:rStyle w:val="CRRefonteDeleted"/>
          <w:noProof/>
          <w:highlight w:val="lightGray"/>
        </w:rPr>
      </w:pPr>
      <w:r w:rsidRPr="00E8450A">
        <w:rPr>
          <w:rStyle w:val="CRRefonteDeleted"/>
          <w:noProof/>
          <w:highlight w:val="lightGray"/>
        </w:rPr>
        <w:t>2.</w:t>
      </w:r>
      <w:r w:rsidRPr="00E8450A">
        <w:rPr>
          <w:noProof/>
        </w:rPr>
        <w:tab/>
      </w:r>
      <w:r w:rsidRPr="00E8450A">
        <w:rPr>
          <w:rStyle w:val="CRRefonteDeleted"/>
          <w:noProof/>
          <w:highlight w:val="lightGray"/>
        </w:rPr>
        <w:t>Bodové zdroje</w:t>
      </w:r>
    </w:p>
    <w:p w:rsidR="005C7768" w:rsidRPr="00E8450A" w:rsidRDefault="005C7768" w:rsidP="005C7768">
      <w:pPr>
        <w:rPr>
          <w:rStyle w:val="CRRefonteDeleted"/>
          <w:noProof/>
          <w:highlight w:val="lightGray"/>
        </w:rPr>
      </w:pPr>
      <w:r w:rsidRPr="00E8450A">
        <w:rPr>
          <w:rStyle w:val="CRRefonteDeleted"/>
          <w:noProof/>
          <w:highlight w:val="lightGray"/>
        </w:rPr>
        <w:t>Na hodnotenie znečistenia v blízkosti bodových zdrojov sa počet vzorkovacích miest pre stále merania vypočíta po zohľadnení hustoty emisií, pravdepodobných distribučných modelov znečistenia okolitého ovzdušia a možnej expozície obyvateľstva.</w:t>
      </w:r>
    </w:p>
    <w:p w:rsidR="005C7768" w:rsidRPr="00E8450A" w:rsidRDefault="005C7768" w:rsidP="005812BF">
      <w:pPr>
        <w:rPr>
          <w:rStyle w:val="CRRefonteDeleted"/>
          <w:noProof/>
          <w:highlight w:val="lightGray"/>
        </w:rPr>
      </w:pPr>
      <w:r w:rsidRPr="00E8450A">
        <w:rPr>
          <w:rStyle w:val="CRRefonteDeleted"/>
          <w:noProof/>
          <w:highlight w:val="lightGray"/>
        </w:rPr>
        <w:t>B</w:t>
      </w:r>
      <w:r w:rsidR="005812BF">
        <w:rPr>
          <w:rStyle w:val="CRRefonteDeleted"/>
          <w:noProof/>
          <w:highlight w:val="lightGray"/>
        </w:rPr>
        <w:t>)</w:t>
      </w:r>
      <w:r w:rsidRPr="00E8450A">
        <w:rPr>
          <w:noProof/>
        </w:rPr>
        <w:tab/>
      </w:r>
      <w:r w:rsidRPr="00E8450A">
        <w:rPr>
          <w:rStyle w:val="CRRefonteDeleted"/>
          <w:noProof/>
          <w:highlight w:val="lightGray"/>
        </w:rPr>
        <w:t>Minimálny počet vzorkovacích miest pre stále merania na posúdenie dodržiavania cieľa zníženia expozície pre PM</w:t>
      </w:r>
      <w:r w:rsidRPr="00E8450A">
        <w:rPr>
          <w:rStyle w:val="CRRefonteDeleted"/>
          <w:noProof/>
          <w:highlight w:val="lightGray"/>
          <w:vertAlign w:val="subscript"/>
        </w:rPr>
        <w:t>2,5</w:t>
      </w:r>
      <w:r w:rsidRPr="00E8450A">
        <w:rPr>
          <w:rStyle w:val="CRRefonteDeleted"/>
          <w:noProof/>
          <w:highlight w:val="lightGray"/>
        </w:rPr>
        <w:t xml:space="preserve"> na ochranu zdravia ľudí.</w:t>
      </w:r>
    </w:p>
    <w:p w:rsidR="005C7768" w:rsidRPr="00E8450A" w:rsidRDefault="005C7768" w:rsidP="005C7768">
      <w:pPr>
        <w:rPr>
          <w:rStyle w:val="CRRefonteDeleted"/>
          <w:noProof/>
          <w:highlight w:val="lightGray"/>
        </w:rPr>
      </w:pPr>
      <w:r w:rsidRPr="00E8450A">
        <w:rPr>
          <w:rStyle w:val="CRRefonteDeleted"/>
          <w:noProof/>
          <w:highlight w:val="lightGray"/>
        </w:rPr>
        <w:t>Na tento účel sa prevádzkuje jedno vzorkovacie miesto na milión obyvateľov spočítaných v aglomeráciách a ďalších mestských oblastiach s viac ako 100 000 obyvateľmi. Tieto vzorkovacie miesta sa môžu prelínať so vzorkovacími miestami podľa oddielu A.</w:t>
      </w:r>
    </w:p>
    <w:p w:rsidR="005C7768" w:rsidRPr="00E8450A" w:rsidRDefault="005C7768" w:rsidP="005812BF">
      <w:pPr>
        <w:rPr>
          <w:rStyle w:val="CRRefonteDeleted"/>
          <w:noProof/>
          <w:highlight w:val="lightGray"/>
        </w:rPr>
      </w:pPr>
      <w:r w:rsidRPr="00E8450A">
        <w:rPr>
          <w:rStyle w:val="CRRefonteDeleted"/>
          <w:noProof/>
          <w:highlight w:val="lightGray"/>
        </w:rPr>
        <w:t>C</w:t>
      </w:r>
      <w:r w:rsidR="005812BF">
        <w:rPr>
          <w:rStyle w:val="CRRefonteDeleted"/>
          <w:noProof/>
          <w:highlight w:val="lightGray"/>
        </w:rPr>
        <w:t>)</w:t>
      </w:r>
      <w:r w:rsidRPr="00E8450A">
        <w:rPr>
          <w:noProof/>
        </w:rPr>
        <w:tab/>
      </w:r>
      <w:r w:rsidRPr="00E8450A">
        <w:rPr>
          <w:rStyle w:val="CRRefonteDeleted"/>
          <w:noProof/>
          <w:highlight w:val="lightGray"/>
        </w:rPr>
        <w:t>Minimálny počet vzorkovacích miest pre stále merania na posúdenie dodržiavania kritických úrovní na ochranu vegetácie v iných zónach ako sú aglomerácie</w:t>
      </w:r>
    </w:p>
    <w:tbl>
      <w:tblPr>
        <w:tblW w:w="0" w:type="auto"/>
        <w:tblLayout w:type="fixed"/>
        <w:tblLook w:val="0000" w:firstRow="0" w:lastRow="0" w:firstColumn="0" w:lastColumn="0" w:noHBand="0" w:noVBand="0"/>
      </w:tblPr>
      <w:tblGrid>
        <w:gridCol w:w="4272"/>
        <w:gridCol w:w="5014"/>
      </w:tblGrid>
      <w:tr w:rsidR="005C7768" w:rsidRPr="00E8450A" w:rsidTr="00335440">
        <w:tc>
          <w:tcPr>
            <w:tcW w:w="4272"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t>Ak maximálne koncentrácie prekračujú horný prah na hodnotenie</w:t>
            </w:r>
          </w:p>
        </w:tc>
        <w:tc>
          <w:tcPr>
            <w:tcW w:w="5014"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t>Ak sú maximálne koncentrácie medzi horným a dolným prahom na hodnotenie</w:t>
            </w:r>
          </w:p>
        </w:tc>
      </w:tr>
      <w:tr w:rsidR="005C7768" w:rsidRPr="00E8450A" w:rsidTr="00335440">
        <w:tc>
          <w:tcPr>
            <w:tcW w:w="4272"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t>1 stanica na každých 20 000 km</w:t>
            </w:r>
            <w:r w:rsidRPr="00E8450A">
              <w:rPr>
                <w:rStyle w:val="CRRefonteDeleted"/>
                <w:noProof/>
                <w:highlight w:val="lightGray"/>
                <w:vertAlign w:val="superscript"/>
              </w:rPr>
              <w:t>2</w:t>
            </w:r>
          </w:p>
        </w:tc>
        <w:tc>
          <w:tcPr>
            <w:tcW w:w="5014"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t>1 stanica na každých 40 000 km</w:t>
            </w:r>
            <w:r w:rsidRPr="00E8450A">
              <w:rPr>
                <w:rStyle w:val="CRRefonteDeleted"/>
                <w:noProof/>
                <w:highlight w:val="lightGray"/>
                <w:vertAlign w:val="superscript"/>
              </w:rPr>
              <w:t>2</w:t>
            </w:r>
          </w:p>
        </w:tc>
      </w:tr>
    </w:tbl>
    <w:p w:rsidR="005C7768" w:rsidRPr="00E8450A" w:rsidRDefault="005C7768" w:rsidP="005C7768">
      <w:pPr>
        <w:rPr>
          <w:rStyle w:val="CRRefonteDeleted"/>
          <w:noProof/>
          <w:highlight w:val="lightGray"/>
        </w:rPr>
      </w:pPr>
    </w:p>
    <w:p w:rsidR="005C7768" w:rsidRPr="00E8450A" w:rsidRDefault="005C7768" w:rsidP="005C7768">
      <w:pPr>
        <w:rPr>
          <w:rStyle w:val="CRRefonteDeleted"/>
          <w:noProof/>
          <w:highlight w:val="lightGray"/>
        </w:rPr>
      </w:pPr>
      <w:r w:rsidRPr="00E8450A">
        <w:rPr>
          <w:rStyle w:val="CRRefonteDeleted"/>
          <w:noProof/>
          <w:highlight w:val="lightGray"/>
        </w:rPr>
        <w:t>V ostrovných zónach by sa mal počet vzorkovacích miest pre stále merania vypočítať po zohľadnení pravdepodobného režimu šírenia znečistenia okolitého ovzdušia a možnej expozície vegetácie.</w:t>
      </w:r>
    </w:p>
    <w:p w:rsidR="005C7768" w:rsidRPr="00E8450A" w:rsidRDefault="005C7768" w:rsidP="005C7768">
      <w:pPr>
        <w:adjustRightInd w:val="0"/>
        <w:spacing w:before="0" w:after="0"/>
        <w:jc w:val="left"/>
        <w:rPr>
          <w:noProof/>
        </w:rPr>
        <w:sectPr w:rsidR="005C7768" w:rsidRPr="00E8450A" w:rsidSect="000A000C">
          <w:pgSz w:w="11906" w:h="16838"/>
          <w:pgMar w:top="1134" w:right="1418" w:bottom="1134" w:left="1418" w:header="709" w:footer="709" w:gutter="0"/>
          <w:cols w:space="709"/>
          <w:docGrid w:linePitch="326"/>
        </w:sectPr>
      </w:pPr>
    </w:p>
    <w:p w:rsidR="005C7768" w:rsidRPr="00E8450A" w:rsidRDefault="005C7768" w:rsidP="005C7768">
      <w:pPr>
        <w:pStyle w:val="CRSeparator"/>
        <w:rPr>
          <w:noProof/>
        </w:rPr>
      </w:pPr>
    </w:p>
    <w:p w:rsidR="005C7768" w:rsidRPr="00E8450A" w:rsidRDefault="005C7768" w:rsidP="005C7768">
      <w:pPr>
        <w:pStyle w:val="CRReference"/>
        <w:rPr>
          <w:noProof/>
        </w:rPr>
      </w:pPr>
      <w:r w:rsidRPr="00E8450A">
        <w:rPr>
          <w:noProof/>
        </w:rPr>
        <w:fldChar w:fldCharType="begin"/>
      </w:r>
      <w:r w:rsidRPr="00E8450A">
        <w:rPr>
          <w:noProof/>
        </w:rPr>
        <w:instrText xml:space="preserve"> QUOTE "ê" </w:instrText>
      </w:r>
      <w:r w:rsidRPr="00E8450A">
        <w:rPr>
          <w:noProof/>
        </w:rPr>
        <w:fldChar w:fldCharType="separate"/>
      </w:r>
      <w:r w:rsidRPr="00E8450A">
        <w:rPr>
          <w:rStyle w:val="CRMarker"/>
          <w:noProof/>
        </w:rPr>
        <w:t>ê</w:t>
      </w:r>
      <w:r w:rsidRPr="00E8450A">
        <w:rPr>
          <w:noProof/>
        </w:rPr>
        <w:fldChar w:fldCharType="end"/>
      </w:r>
      <w:r w:rsidRPr="00E8450A">
        <w:rPr>
          <w:noProof/>
        </w:rPr>
        <w:t> 2008/50/ES</w:t>
      </w:r>
    </w:p>
    <w:p w:rsidR="005C7768" w:rsidRPr="00E8450A" w:rsidRDefault="005C7768" w:rsidP="000A6A7F">
      <w:pPr>
        <w:jc w:val="center"/>
        <w:rPr>
          <w:rStyle w:val="CRRefonteDeleted"/>
          <w:b/>
          <w:noProof/>
          <w:highlight w:val="lightGray"/>
          <w:u w:val="single"/>
        </w:rPr>
      </w:pPr>
      <w:r w:rsidRPr="00E8450A">
        <w:rPr>
          <w:rStyle w:val="CRRefonteDeleted"/>
          <w:b/>
          <w:noProof/>
          <w:highlight w:val="lightGray"/>
          <w:u w:val="single"/>
        </w:rPr>
        <w:t>PRÍLOHA VI</w:t>
      </w:r>
    </w:p>
    <w:p w:rsidR="005C7768" w:rsidRPr="00E8450A" w:rsidRDefault="005C7768" w:rsidP="005C7768">
      <w:pPr>
        <w:pStyle w:val="NormalCentered"/>
        <w:rPr>
          <w:rStyle w:val="CRRefonteDeleted"/>
          <w:noProof/>
          <w:highlight w:val="lightGray"/>
        </w:rPr>
      </w:pPr>
      <w:r w:rsidRPr="00E8450A">
        <w:rPr>
          <w:rStyle w:val="CRRefonteDeleted"/>
          <w:b/>
          <w:noProof/>
          <w:highlight w:val="lightGray"/>
        </w:rPr>
        <w:t>Referenčné metódy hodnotenia koncentrácií oxidu siričitého, oxidu dusičitého, oxidov dusíka, suspendovaných častíc (PM</w:t>
      </w:r>
      <w:r w:rsidRPr="00E8450A">
        <w:rPr>
          <w:rStyle w:val="CRRefonteDeleted"/>
          <w:b/>
          <w:noProof/>
          <w:highlight w:val="lightGray"/>
          <w:vertAlign w:val="subscript"/>
        </w:rPr>
        <w:t>10</w:t>
      </w:r>
      <w:r w:rsidRPr="00E8450A">
        <w:rPr>
          <w:rStyle w:val="CRRefonteDeleted"/>
          <w:b/>
          <w:noProof/>
          <w:highlight w:val="lightGray"/>
        </w:rPr>
        <w:t xml:space="preserve"> a PM</w:t>
      </w:r>
      <w:r w:rsidRPr="00E8450A">
        <w:rPr>
          <w:rStyle w:val="CRRefonteDeleted"/>
          <w:b/>
          <w:noProof/>
          <w:highlight w:val="lightGray"/>
          <w:vertAlign w:val="subscript"/>
        </w:rPr>
        <w:t>2,5</w:t>
      </w:r>
      <w:r w:rsidRPr="00E8450A">
        <w:rPr>
          <w:rStyle w:val="CRRefonteDeleted"/>
          <w:b/>
          <w:noProof/>
          <w:highlight w:val="lightGray"/>
        </w:rPr>
        <w:t>), olova, benzénu, oxidu uhoľnatého a ozónu</w:t>
      </w:r>
    </w:p>
    <w:p w:rsidR="005C7768" w:rsidRPr="00E8450A" w:rsidRDefault="005C7768" w:rsidP="005C7768">
      <w:pPr>
        <w:pStyle w:val="CRSeparator"/>
        <w:rPr>
          <w:noProof/>
        </w:rPr>
      </w:pPr>
    </w:p>
    <w:p w:rsidR="005C7768" w:rsidRPr="00E8450A" w:rsidRDefault="005C7768" w:rsidP="005C7768">
      <w:pPr>
        <w:pStyle w:val="CRReference"/>
        <w:rPr>
          <w:noProof/>
        </w:rPr>
      </w:pPr>
      <w:r w:rsidRPr="00E8450A">
        <w:rPr>
          <w:noProof/>
        </w:rPr>
        <w:fldChar w:fldCharType="begin"/>
      </w:r>
      <w:r w:rsidRPr="00E8450A">
        <w:rPr>
          <w:noProof/>
        </w:rPr>
        <w:instrText xml:space="preserve"> QUOTE "ê" </w:instrText>
      </w:r>
      <w:r w:rsidRPr="00E8450A">
        <w:rPr>
          <w:noProof/>
        </w:rPr>
        <w:fldChar w:fldCharType="separate"/>
      </w:r>
      <w:r w:rsidRPr="00E8450A">
        <w:rPr>
          <w:rStyle w:val="CRMarker"/>
          <w:noProof/>
        </w:rPr>
        <w:t>ê</w:t>
      </w:r>
      <w:r w:rsidRPr="00E8450A">
        <w:rPr>
          <w:noProof/>
        </w:rPr>
        <w:fldChar w:fldCharType="end"/>
      </w:r>
      <w:r w:rsidRPr="00E8450A">
        <w:rPr>
          <w:noProof/>
        </w:rPr>
        <w:t> 2015/1480 článok 2 a bod 3 písm. a) prílohy II</w:t>
      </w:r>
    </w:p>
    <w:p w:rsidR="005C7768" w:rsidRPr="00E8450A" w:rsidRDefault="005C7768" w:rsidP="005812BF">
      <w:pPr>
        <w:pStyle w:val="ManualHeading1"/>
        <w:ind w:left="851" w:hanging="851"/>
        <w:rPr>
          <w:rStyle w:val="CRRefonteDeleted"/>
          <w:noProof/>
          <w:highlight w:val="lightGray"/>
        </w:rPr>
      </w:pPr>
      <w:r w:rsidRPr="00E8450A">
        <w:rPr>
          <w:rStyle w:val="CRRefonteDeleted"/>
          <w:noProof/>
          <w:highlight w:val="lightGray"/>
        </w:rPr>
        <w:t>A</w:t>
      </w:r>
      <w:r w:rsidR="005812BF">
        <w:rPr>
          <w:rStyle w:val="CRRefonteDeleted"/>
          <w:noProof/>
          <w:highlight w:val="lightGray"/>
        </w:rPr>
        <w:t>)</w:t>
      </w:r>
      <w:r w:rsidRPr="00E8450A">
        <w:rPr>
          <w:noProof/>
        </w:rPr>
        <w:tab/>
      </w:r>
      <w:r w:rsidRPr="00E8450A">
        <w:rPr>
          <w:rStyle w:val="CRRefonteDeleted"/>
          <w:noProof/>
          <w:highlight w:val="lightGray"/>
        </w:rPr>
        <w:t>Referenčné metódy hodnotenia koncentrácií oxidu siričitého, oxidu dusičitého, oxidov dusíka, suspendovaných častíc (PM</w:t>
      </w:r>
      <w:r w:rsidRPr="00E8450A">
        <w:rPr>
          <w:rStyle w:val="CRRefonteDeleted"/>
          <w:noProof/>
          <w:highlight w:val="lightGray"/>
          <w:vertAlign w:val="subscript"/>
        </w:rPr>
        <w:t>10</w:t>
      </w:r>
      <w:r w:rsidRPr="00E8450A">
        <w:rPr>
          <w:rStyle w:val="CRRefonteDeleted"/>
          <w:noProof/>
          <w:highlight w:val="lightGray"/>
        </w:rPr>
        <w:t xml:space="preserve"> a PM</w:t>
      </w:r>
      <w:r w:rsidRPr="00E8450A">
        <w:rPr>
          <w:rStyle w:val="CRRefonteDeleted"/>
          <w:noProof/>
          <w:highlight w:val="lightGray"/>
          <w:vertAlign w:val="subscript"/>
        </w:rPr>
        <w:t>2,5</w:t>
      </w:r>
      <w:r w:rsidRPr="00E8450A">
        <w:rPr>
          <w:rStyle w:val="CRRefonteDeleted"/>
          <w:noProof/>
          <w:highlight w:val="lightGray"/>
        </w:rPr>
        <w:t>), olova, benzénu, oxidu uhoľnatého a ozónu</w:t>
      </w:r>
    </w:p>
    <w:p w:rsidR="005C7768" w:rsidRPr="00E8450A" w:rsidRDefault="005C7768" w:rsidP="005C7768">
      <w:pPr>
        <w:pStyle w:val="ManualHeading2"/>
        <w:ind w:left="851" w:hanging="851"/>
        <w:rPr>
          <w:rStyle w:val="CRRefonteDeleted"/>
          <w:noProof/>
          <w:highlight w:val="lightGray"/>
        </w:rPr>
      </w:pPr>
      <w:r w:rsidRPr="00E8450A">
        <w:rPr>
          <w:rStyle w:val="CRRefonteDeleted"/>
          <w:noProof/>
          <w:highlight w:val="lightGray"/>
        </w:rPr>
        <w:t>1.</w:t>
      </w:r>
      <w:r w:rsidRPr="00E8450A">
        <w:rPr>
          <w:noProof/>
        </w:rPr>
        <w:tab/>
      </w:r>
      <w:r w:rsidRPr="00E8450A">
        <w:rPr>
          <w:rStyle w:val="CRRefonteDeleted"/>
          <w:noProof/>
          <w:highlight w:val="lightGray"/>
        </w:rPr>
        <w:t>Referenčná metóda merania oxidu siričitého</w:t>
      </w:r>
    </w:p>
    <w:p w:rsidR="005C7768" w:rsidRPr="00E8450A" w:rsidRDefault="005C7768" w:rsidP="005C7768">
      <w:pPr>
        <w:rPr>
          <w:rStyle w:val="CRRefonteDeleted"/>
          <w:noProof/>
          <w:highlight w:val="lightGray"/>
        </w:rPr>
      </w:pPr>
      <w:r w:rsidRPr="00E8450A">
        <w:rPr>
          <w:rStyle w:val="CRRefonteDeleted"/>
          <w:noProof/>
          <w:highlight w:val="lightGray"/>
        </w:rPr>
        <w:t>Referenčná metóda merania oxidu siričitého je opísaná v EN 14212:2012 ‚Okolité ovzdušie — Štandardná metóda merania koncentrácie oxidu siričitého prostredníctvom ultrafialovej fluorescencie‘.</w:t>
      </w:r>
    </w:p>
    <w:p w:rsidR="005C7768" w:rsidRPr="00E8450A" w:rsidRDefault="005C7768" w:rsidP="005C7768">
      <w:pPr>
        <w:pStyle w:val="ManualHeading2"/>
        <w:ind w:left="851" w:hanging="851"/>
        <w:rPr>
          <w:rStyle w:val="CRRefonteDeleted"/>
          <w:noProof/>
          <w:highlight w:val="lightGray"/>
        </w:rPr>
      </w:pPr>
      <w:r w:rsidRPr="00E8450A">
        <w:rPr>
          <w:rStyle w:val="CRRefonteDeleted"/>
          <w:noProof/>
          <w:highlight w:val="lightGray"/>
        </w:rPr>
        <w:t>2.</w:t>
      </w:r>
      <w:r w:rsidRPr="00E8450A">
        <w:rPr>
          <w:noProof/>
        </w:rPr>
        <w:tab/>
      </w:r>
      <w:r w:rsidRPr="00E8450A">
        <w:rPr>
          <w:rStyle w:val="CRRefonteDeleted"/>
          <w:noProof/>
          <w:highlight w:val="lightGray"/>
        </w:rPr>
        <w:t>Referenčná metóda merania oxidu dusičitého a oxidov dusíka</w:t>
      </w:r>
    </w:p>
    <w:p w:rsidR="005C7768" w:rsidRPr="00E8450A" w:rsidRDefault="005C7768" w:rsidP="005C7768">
      <w:pPr>
        <w:rPr>
          <w:rStyle w:val="CRRefonteDeleted"/>
          <w:noProof/>
          <w:highlight w:val="lightGray"/>
        </w:rPr>
      </w:pPr>
      <w:r w:rsidRPr="00E8450A">
        <w:rPr>
          <w:rStyle w:val="CRRefonteDeleted"/>
          <w:noProof/>
          <w:highlight w:val="lightGray"/>
        </w:rPr>
        <w:t>Referenčná metóda merania oxidu dusičitého a oxidov dusíka je opísaná v EN 14211:2012 ‚Okolité ovzdušie — Štandardná metóda merania koncentrácií oxidu dusičitého a oxidu dusnatého prostredníctvom chemiluminiscenčnej metódy‘.</w:t>
      </w:r>
    </w:p>
    <w:p w:rsidR="005C7768" w:rsidRPr="00E8450A" w:rsidRDefault="005C7768" w:rsidP="005C7768">
      <w:pPr>
        <w:pStyle w:val="CRSeparator"/>
        <w:rPr>
          <w:noProof/>
        </w:rPr>
      </w:pPr>
    </w:p>
    <w:p w:rsidR="005C7768" w:rsidRPr="00E8450A" w:rsidRDefault="005C7768" w:rsidP="005C7768">
      <w:pPr>
        <w:pStyle w:val="CRReference"/>
        <w:rPr>
          <w:noProof/>
        </w:rPr>
      </w:pPr>
      <w:r w:rsidRPr="00E8450A">
        <w:rPr>
          <w:noProof/>
        </w:rPr>
        <w:fldChar w:fldCharType="begin"/>
      </w:r>
      <w:r w:rsidRPr="00E8450A">
        <w:rPr>
          <w:noProof/>
        </w:rPr>
        <w:instrText xml:space="preserve"> QUOTE "ê" </w:instrText>
      </w:r>
      <w:r w:rsidRPr="00E8450A">
        <w:rPr>
          <w:noProof/>
        </w:rPr>
        <w:fldChar w:fldCharType="separate"/>
      </w:r>
      <w:r w:rsidRPr="00E8450A">
        <w:rPr>
          <w:rStyle w:val="CRMarker"/>
          <w:noProof/>
        </w:rPr>
        <w:t>ê</w:t>
      </w:r>
      <w:r w:rsidRPr="00E8450A">
        <w:rPr>
          <w:noProof/>
        </w:rPr>
        <w:fldChar w:fldCharType="end"/>
      </w:r>
      <w:r w:rsidRPr="00E8450A">
        <w:rPr>
          <w:noProof/>
        </w:rPr>
        <w:t> 2015/1480 článok 2 a bod 3 písm. a) prílohy II zmenené korigendom (Ú. v. EÚ L 72, 14.3.2019, s. 141)</w:t>
      </w:r>
    </w:p>
    <w:p w:rsidR="005C7768" w:rsidRPr="00E8450A" w:rsidRDefault="005C7768" w:rsidP="005C7768">
      <w:pPr>
        <w:pStyle w:val="ManualHeading2"/>
        <w:ind w:left="851" w:hanging="851"/>
        <w:rPr>
          <w:rStyle w:val="CRRefonteDeleted"/>
          <w:noProof/>
          <w:highlight w:val="lightGray"/>
        </w:rPr>
      </w:pPr>
      <w:r w:rsidRPr="00E8450A">
        <w:rPr>
          <w:rStyle w:val="CRRefonteDeleted"/>
          <w:noProof/>
          <w:highlight w:val="lightGray"/>
        </w:rPr>
        <w:t>3.</w:t>
      </w:r>
      <w:r w:rsidRPr="00E8450A">
        <w:rPr>
          <w:noProof/>
        </w:rPr>
        <w:tab/>
      </w:r>
      <w:r w:rsidRPr="00E8450A">
        <w:rPr>
          <w:rStyle w:val="CRRefonteDeleted"/>
          <w:noProof/>
          <w:highlight w:val="lightGray"/>
        </w:rPr>
        <w:t>Referenčná metóda vzorkovania a merania olova</w:t>
      </w:r>
    </w:p>
    <w:p w:rsidR="005C7768" w:rsidRPr="00E8450A" w:rsidRDefault="005C7768" w:rsidP="005C7768">
      <w:pPr>
        <w:rPr>
          <w:rStyle w:val="CRRefonteDeleted"/>
          <w:noProof/>
          <w:highlight w:val="lightGray"/>
        </w:rPr>
      </w:pPr>
      <w:r w:rsidRPr="00E8450A">
        <w:rPr>
          <w:rStyle w:val="CRRefonteDeleted"/>
          <w:noProof/>
          <w:highlight w:val="lightGray"/>
        </w:rPr>
        <w:t>Referenčná metóda vzorkovania olova je opísaná v oddiele A bode 4 tejto prílohy. Referenčná metóda merania olova je opísaná v EN 14902:2005 „Štandardná metóda merania Pb, Cd, As a Ni vo frakcii PM</w:t>
      </w:r>
      <w:r w:rsidRPr="00E8450A">
        <w:rPr>
          <w:rStyle w:val="CRRefonteDeleted"/>
          <w:noProof/>
          <w:highlight w:val="lightGray"/>
          <w:vertAlign w:val="subscript"/>
        </w:rPr>
        <w:t>10</w:t>
      </w:r>
      <w:r w:rsidRPr="00E8450A">
        <w:rPr>
          <w:rStyle w:val="CRRefonteDeleted"/>
          <w:noProof/>
          <w:highlight w:val="lightGray"/>
        </w:rPr>
        <w:t xml:space="preserve"> suspendovaných častíc“.</w:t>
      </w:r>
    </w:p>
    <w:p w:rsidR="005C7768" w:rsidRPr="00E8450A" w:rsidRDefault="005C7768" w:rsidP="005C7768">
      <w:pPr>
        <w:pStyle w:val="CRSeparator"/>
        <w:rPr>
          <w:noProof/>
        </w:rPr>
      </w:pPr>
    </w:p>
    <w:p w:rsidR="005C7768" w:rsidRPr="00E8450A" w:rsidRDefault="005C7768" w:rsidP="005C7768">
      <w:pPr>
        <w:pStyle w:val="CRReference"/>
        <w:rPr>
          <w:noProof/>
        </w:rPr>
      </w:pPr>
      <w:r w:rsidRPr="00E8450A">
        <w:rPr>
          <w:noProof/>
        </w:rPr>
        <w:fldChar w:fldCharType="begin"/>
      </w:r>
      <w:r w:rsidRPr="00E8450A">
        <w:rPr>
          <w:noProof/>
        </w:rPr>
        <w:instrText xml:space="preserve"> QUOTE "ê" </w:instrText>
      </w:r>
      <w:r w:rsidRPr="00E8450A">
        <w:rPr>
          <w:noProof/>
        </w:rPr>
        <w:fldChar w:fldCharType="separate"/>
      </w:r>
      <w:r w:rsidRPr="00E8450A">
        <w:rPr>
          <w:rStyle w:val="CRMarker"/>
          <w:noProof/>
        </w:rPr>
        <w:t>ê</w:t>
      </w:r>
      <w:r w:rsidRPr="00E8450A">
        <w:rPr>
          <w:noProof/>
        </w:rPr>
        <w:fldChar w:fldCharType="end"/>
      </w:r>
      <w:r w:rsidRPr="00E8450A">
        <w:rPr>
          <w:noProof/>
        </w:rPr>
        <w:t> 2015/1480 článok 2 a bod 3 písm. a) prílohy II</w:t>
      </w:r>
    </w:p>
    <w:p w:rsidR="005C7768" w:rsidRPr="00E8450A" w:rsidRDefault="005C7768" w:rsidP="005C7768">
      <w:pPr>
        <w:pStyle w:val="ManualHeading2"/>
        <w:ind w:left="851" w:hanging="851"/>
        <w:rPr>
          <w:rStyle w:val="CRRefonteDeleted"/>
          <w:noProof/>
          <w:highlight w:val="lightGray"/>
        </w:rPr>
      </w:pPr>
      <w:r w:rsidRPr="00E8450A">
        <w:rPr>
          <w:rStyle w:val="CRRefonteDeleted"/>
          <w:noProof/>
          <w:highlight w:val="lightGray"/>
        </w:rPr>
        <w:t>4.</w:t>
      </w:r>
      <w:r w:rsidRPr="00E8450A">
        <w:rPr>
          <w:noProof/>
        </w:rPr>
        <w:tab/>
      </w:r>
      <w:r w:rsidRPr="00E8450A">
        <w:rPr>
          <w:rStyle w:val="CRRefonteDeleted"/>
          <w:noProof/>
          <w:highlight w:val="lightGray"/>
        </w:rPr>
        <w:t>Referenčná metóda vzorkovania a merania PM</w:t>
      </w:r>
      <w:r w:rsidRPr="00E8450A">
        <w:rPr>
          <w:rStyle w:val="CRRefonteDeleted"/>
          <w:noProof/>
          <w:highlight w:val="lightGray"/>
          <w:vertAlign w:val="subscript"/>
        </w:rPr>
        <w:t>10</w:t>
      </w:r>
    </w:p>
    <w:p w:rsidR="005C7768" w:rsidRPr="00E8450A" w:rsidRDefault="005C7768" w:rsidP="005C7768">
      <w:pPr>
        <w:rPr>
          <w:rStyle w:val="CRRefonteDeleted"/>
          <w:noProof/>
          <w:highlight w:val="lightGray"/>
        </w:rPr>
      </w:pPr>
      <w:r w:rsidRPr="00E8450A">
        <w:rPr>
          <w:rStyle w:val="CRRefonteDeleted"/>
          <w:noProof/>
          <w:highlight w:val="lightGray"/>
        </w:rPr>
        <w:t>Referenčná metóda vzorkovania a merania PM</w:t>
      </w:r>
      <w:r w:rsidRPr="00E8450A">
        <w:rPr>
          <w:rStyle w:val="CRRefonteDeleted"/>
          <w:noProof/>
          <w:highlight w:val="lightGray"/>
          <w:vertAlign w:val="subscript"/>
        </w:rPr>
        <w:t>10</w:t>
      </w:r>
      <w:r w:rsidRPr="00E8450A">
        <w:rPr>
          <w:rStyle w:val="CRRefonteDeleted"/>
          <w:noProof/>
          <w:highlight w:val="lightGray"/>
        </w:rPr>
        <w:t xml:space="preserve"> je opísaná v EN 12341:2014 ‚Okolité ovzdušie: Štandardná gravimetrická metóda merania na určenie hmotnostných frakcií PM</w:t>
      </w:r>
      <w:r w:rsidRPr="00E8450A">
        <w:rPr>
          <w:rStyle w:val="CRRefonteDeleted"/>
          <w:noProof/>
          <w:highlight w:val="lightGray"/>
          <w:vertAlign w:val="subscript"/>
        </w:rPr>
        <w:t>10</w:t>
      </w:r>
      <w:r w:rsidRPr="00E8450A">
        <w:rPr>
          <w:rStyle w:val="CRRefonteDeleted"/>
          <w:noProof/>
          <w:highlight w:val="lightGray"/>
        </w:rPr>
        <w:t xml:space="preserve"> alebo PM</w:t>
      </w:r>
      <w:r w:rsidRPr="00E8450A">
        <w:rPr>
          <w:rStyle w:val="CRRefonteDeleted"/>
          <w:noProof/>
          <w:highlight w:val="lightGray"/>
          <w:vertAlign w:val="subscript"/>
        </w:rPr>
        <w:t>2,5</w:t>
      </w:r>
      <w:r w:rsidRPr="00E8450A">
        <w:rPr>
          <w:rStyle w:val="CRRefonteDeleted"/>
          <w:noProof/>
          <w:highlight w:val="lightGray"/>
        </w:rPr>
        <w:t xml:space="preserve"> rozptýlených suspendovaných častíc‘.</w:t>
      </w:r>
    </w:p>
    <w:p w:rsidR="005C7768" w:rsidRPr="00E8450A" w:rsidRDefault="005C7768" w:rsidP="005C7768">
      <w:pPr>
        <w:pStyle w:val="ManualHeading2"/>
        <w:ind w:left="851" w:hanging="851"/>
        <w:rPr>
          <w:rStyle w:val="CRRefonteDeleted"/>
          <w:noProof/>
          <w:highlight w:val="lightGray"/>
        </w:rPr>
      </w:pPr>
      <w:r w:rsidRPr="00E8450A">
        <w:rPr>
          <w:rStyle w:val="CRRefonteDeleted"/>
          <w:noProof/>
          <w:highlight w:val="lightGray"/>
        </w:rPr>
        <w:t>5.</w:t>
      </w:r>
      <w:r w:rsidRPr="00E8450A">
        <w:rPr>
          <w:noProof/>
        </w:rPr>
        <w:tab/>
      </w:r>
      <w:r w:rsidRPr="00E8450A">
        <w:rPr>
          <w:rStyle w:val="CRRefonteDeleted"/>
          <w:noProof/>
          <w:highlight w:val="lightGray"/>
        </w:rPr>
        <w:t>Referenčná metóda vzorkovania a merania PM</w:t>
      </w:r>
      <w:r w:rsidRPr="00E8450A">
        <w:rPr>
          <w:rStyle w:val="CRRefonteDeleted"/>
          <w:noProof/>
          <w:highlight w:val="lightGray"/>
          <w:vertAlign w:val="subscript"/>
        </w:rPr>
        <w:t>2,5</w:t>
      </w:r>
    </w:p>
    <w:p w:rsidR="005C7768" w:rsidRPr="00E8450A" w:rsidRDefault="005C7768" w:rsidP="005C7768">
      <w:pPr>
        <w:rPr>
          <w:rStyle w:val="CRRefonteDeleted"/>
          <w:noProof/>
          <w:highlight w:val="lightGray"/>
        </w:rPr>
      </w:pPr>
      <w:r w:rsidRPr="00E8450A">
        <w:rPr>
          <w:rStyle w:val="CRRefonteDeleted"/>
          <w:noProof/>
          <w:highlight w:val="lightGray"/>
        </w:rPr>
        <w:t>Referenčná metóda vzorkovania a merania PM</w:t>
      </w:r>
      <w:r w:rsidRPr="00E8450A">
        <w:rPr>
          <w:rStyle w:val="CRRefonteDeleted"/>
          <w:noProof/>
          <w:highlight w:val="lightGray"/>
          <w:vertAlign w:val="subscript"/>
        </w:rPr>
        <w:t>2,5</w:t>
      </w:r>
      <w:r w:rsidRPr="00E8450A">
        <w:rPr>
          <w:rStyle w:val="CRRefonteDeleted"/>
          <w:noProof/>
          <w:highlight w:val="lightGray"/>
        </w:rPr>
        <w:t xml:space="preserve"> je opísaná v EN 12341:2014 ‚Okolité ovzdušie — Štandardná gravimetrická metóda merania na určenie hmotnostných frakcií PM</w:t>
      </w:r>
      <w:r w:rsidRPr="00E8450A">
        <w:rPr>
          <w:rStyle w:val="CRRefonteDeleted"/>
          <w:noProof/>
          <w:highlight w:val="lightGray"/>
          <w:vertAlign w:val="subscript"/>
        </w:rPr>
        <w:t>10</w:t>
      </w:r>
      <w:r w:rsidRPr="00E8450A">
        <w:rPr>
          <w:rStyle w:val="CRRefonteDeleted"/>
          <w:noProof/>
          <w:highlight w:val="lightGray"/>
        </w:rPr>
        <w:t xml:space="preserve"> alebo PM</w:t>
      </w:r>
      <w:r w:rsidRPr="00E8450A">
        <w:rPr>
          <w:rStyle w:val="CRRefonteDeleted"/>
          <w:noProof/>
          <w:highlight w:val="lightGray"/>
          <w:vertAlign w:val="subscript"/>
        </w:rPr>
        <w:t>2,5</w:t>
      </w:r>
      <w:r w:rsidRPr="00E8450A">
        <w:rPr>
          <w:rStyle w:val="CRRefonteDeleted"/>
          <w:noProof/>
          <w:highlight w:val="lightGray"/>
        </w:rPr>
        <w:t xml:space="preserve"> rozptýlených suspendovaných častíc‘.</w:t>
      </w:r>
    </w:p>
    <w:p w:rsidR="005C7768" w:rsidRPr="00E8450A" w:rsidRDefault="005C7768" w:rsidP="005C7768">
      <w:pPr>
        <w:pStyle w:val="CRSeparator"/>
        <w:rPr>
          <w:noProof/>
        </w:rPr>
      </w:pPr>
    </w:p>
    <w:p w:rsidR="005C7768" w:rsidRPr="00E8450A" w:rsidRDefault="005C7768" w:rsidP="005C7768">
      <w:pPr>
        <w:pStyle w:val="CRReference"/>
        <w:rPr>
          <w:noProof/>
        </w:rPr>
      </w:pPr>
      <w:r w:rsidRPr="00E8450A">
        <w:rPr>
          <w:noProof/>
        </w:rPr>
        <w:fldChar w:fldCharType="begin"/>
      </w:r>
      <w:r w:rsidRPr="00E8450A">
        <w:rPr>
          <w:noProof/>
        </w:rPr>
        <w:instrText xml:space="preserve"> QUOTE "ê" </w:instrText>
      </w:r>
      <w:r w:rsidRPr="00E8450A">
        <w:rPr>
          <w:noProof/>
        </w:rPr>
        <w:fldChar w:fldCharType="separate"/>
      </w:r>
      <w:r w:rsidRPr="00E8450A">
        <w:rPr>
          <w:rStyle w:val="CRMarker"/>
          <w:noProof/>
        </w:rPr>
        <w:t>ê</w:t>
      </w:r>
      <w:r w:rsidRPr="00E8450A">
        <w:rPr>
          <w:noProof/>
        </w:rPr>
        <w:fldChar w:fldCharType="end"/>
      </w:r>
      <w:r w:rsidRPr="00E8450A">
        <w:rPr>
          <w:noProof/>
        </w:rPr>
        <w:t> 2015/1480 článok 2 a bod 3 písm. a) prílohy II zmenené korigendom (Ú. v. EÚ L 72, 14.3.2019, s. 141)</w:t>
      </w:r>
    </w:p>
    <w:p w:rsidR="005C7768" w:rsidRPr="00E8450A" w:rsidRDefault="005C7768" w:rsidP="005C7768">
      <w:pPr>
        <w:pStyle w:val="ManualHeading2"/>
        <w:ind w:left="851" w:hanging="851"/>
        <w:rPr>
          <w:rStyle w:val="CRRefonteDeleted"/>
          <w:noProof/>
          <w:highlight w:val="lightGray"/>
        </w:rPr>
      </w:pPr>
      <w:r w:rsidRPr="00E8450A">
        <w:rPr>
          <w:rStyle w:val="CRRefonteDeleted"/>
          <w:noProof/>
          <w:highlight w:val="lightGray"/>
        </w:rPr>
        <w:t>6.</w:t>
      </w:r>
      <w:r w:rsidRPr="00E8450A">
        <w:rPr>
          <w:noProof/>
        </w:rPr>
        <w:tab/>
      </w:r>
      <w:r w:rsidRPr="00E8450A">
        <w:rPr>
          <w:rStyle w:val="CRRefonteDeleted"/>
          <w:noProof/>
          <w:highlight w:val="lightGray"/>
        </w:rPr>
        <w:t>Referenčná metóda vzorkovania a merania benzénu</w:t>
      </w:r>
    </w:p>
    <w:p w:rsidR="005C7768" w:rsidRPr="00E8450A" w:rsidRDefault="005C7768" w:rsidP="005C7768">
      <w:pPr>
        <w:rPr>
          <w:rStyle w:val="CRRefonteDeleted"/>
          <w:noProof/>
          <w:highlight w:val="lightGray"/>
        </w:rPr>
      </w:pPr>
      <w:r w:rsidRPr="00E8450A">
        <w:rPr>
          <w:rStyle w:val="CRRefonteDeleted"/>
          <w:noProof/>
          <w:highlight w:val="lightGray"/>
        </w:rPr>
        <w:t>Referenčná metóda merania benzénu je opísaná v EN 14662:2005, častiach 1, 2 a 3 „Kvalita ovzdušia – Štandardná metóda merania koncentrácií benzénu“.</w:t>
      </w:r>
    </w:p>
    <w:p w:rsidR="005C7768" w:rsidRPr="00E8450A" w:rsidRDefault="005C7768" w:rsidP="005C7768">
      <w:pPr>
        <w:pStyle w:val="CRSeparator"/>
        <w:rPr>
          <w:noProof/>
        </w:rPr>
      </w:pPr>
    </w:p>
    <w:p w:rsidR="005C7768" w:rsidRPr="00E8450A" w:rsidRDefault="005C7768" w:rsidP="005C7768">
      <w:pPr>
        <w:pStyle w:val="CRReference"/>
        <w:rPr>
          <w:noProof/>
        </w:rPr>
      </w:pPr>
      <w:r w:rsidRPr="00E8450A">
        <w:rPr>
          <w:noProof/>
        </w:rPr>
        <w:fldChar w:fldCharType="begin"/>
      </w:r>
      <w:r w:rsidRPr="00E8450A">
        <w:rPr>
          <w:noProof/>
        </w:rPr>
        <w:instrText xml:space="preserve"> QUOTE "ê" </w:instrText>
      </w:r>
      <w:r w:rsidRPr="00E8450A">
        <w:rPr>
          <w:noProof/>
        </w:rPr>
        <w:fldChar w:fldCharType="separate"/>
      </w:r>
      <w:r w:rsidRPr="00E8450A">
        <w:rPr>
          <w:rStyle w:val="CRMarker"/>
          <w:noProof/>
        </w:rPr>
        <w:t>ê</w:t>
      </w:r>
      <w:r w:rsidRPr="00E8450A">
        <w:rPr>
          <w:noProof/>
        </w:rPr>
        <w:fldChar w:fldCharType="end"/>
      </w:r>
      <w:r w:rsidRPr="00E8450A">
        <w:rPr>
          <w:noProof/>
        </w:rPr>
        <w:t> 2015/1480 článok 2 a bod 3 písm. a) prílohy II</w:t>
      </w:r>
    </w:p>
    <w:p w:rsidR="005C7768" w:rsidRPr="00E8450A" w:rsidRDefault="005C7768" w:rsidP="005C7768">
      <w:pPr>
        <w:pStyle w:val="ManualHeading2"/>
        <w:ind w:left="851" w:hanging="851"/>
        <w:rPr>
          <w:rStyle w:val="CRRefonteDeleted"/>
          <w:noProof/>
          <w:highlight w:val="lightGray"/>
        </w:rPr>
      </w:pPr>
      <w:r w:rsidRPr="00E8450A">
        <w:rPr>
          <w:rStyle w:val="CRRefonteDeleted"/>
          <w:noProof/>
          <w:highlight w:val="lightGray"/>
        </w:rPr>
        <w:t>7.</w:t>
      </w:r>
      <w:r w:rsidRPr="00E8450A">
        <w:rPr>
          <w:noProof/>
        </w:rPr>
        <w:tab/>
      </w:r>
      <w:r w:rsidRPr="00E8450A">
        <w:rPr>
          <w:rStyle w:val="CRRefonteDeleted"/>
          <w:noProof/>
          <w:highlight w:val="lightGray"/>
        </w:rPr>
        <w:t>Referenčná metóda merania oxidu uhoľnatého</w:t>
      </w:r>
    </w:p>
    <w:p w:rsidR="005C7768" w:rsidRPr="00E8450A" w:rsidRDefault="005C7768" w:rsidP="005C7768">
      <w:pPr>
        <w:rPr>
          <w:rStyle w:val="CRRefonteDeleted"/>
          <w:noProof/>
          <w:highlight w:val="lightGray"/>
        </w:rPr>
      </w:pPr>
      <w:r w:rsidRPr="00E8450A">
        <w:rPr>
          <w:rStyle w:val="CRRefonteDeleted"/>
          <w:noProof/>
          <w:highlight w:val="lightGray"/>
        </w:rPr>
        <w:t>Referenčná metóda merania oxidu uhoľnatého je opísaná v EN 14626:2012 ‚Okolité ovzdušie — Štandardná metóda merania koncentrácií oxidu uhoľnatého prostredníctvom nedisperznej infračervenej spektroskopie‘.</w:t>
      </w:r>
    </w:p>
    <w:p w:rsidR="005C7768" w:rsidRPr="00E8450A" w:rsidRDefault="005C7768" w:rsidP="005C7768">
      <w:pPr>
        <w:pStyle w:val="ManualHeading2"/>
        <w:ind w:left="851" w:hanging="851"/>
        <w:rPr>
          <w:rStyle w:val="CRRefonteDeleted"/>
          <w:noProof/>
          <w:highlight w:val="lightGray"/>
        </w:rPr>
      </w:pPr>
      <w:r w:rsidRPr="00E8450A">
        <w:rPr>
          <w:rStyle w:val="CRRefonteDeleted"/>
          <w:noProof/>
          <w:highlight w:val="lightGray"/>
        </w:rPr>
        <w:t>8.</w:t>
      </w:r>
      <w:r w:rsidRPr="00E8450A">
        <w:rPr>
          <w:noProof/>
        </w:rPr>
        <w:tab/>
      </w:r>
      <w:r w:rsidRPr="00E8450A">
        <w:rPr>
          <w:rStyle w:val="CRRefonteDeleted"/>
          <w:noProof/>
          <w:highlight w:val="lightGray"/>
        </w:rPr>
        <w:t>Referenčná metóda merania ozónu</w:t>
      </w:r>
    </w:p>
    <w:p w:rsidR="005C7768" w:rsidRPr="00E8450A" w:rsidRDefault="005C7768" w:rsidP="005C7768">
      <w:pPr>
        <w:rPr>
          <w:rStyle w:val="CRRefonteDeleted"/>
          <w:noProof/>
          <w:highlight w:val="lightGray"/>
        </w:rPr>
      </w:pPr>
      <w:r w:rsidRPr="00E8450A">
        <w:rPr>
          <w:rStyle w:val="CRRefonteDeleted"/>
          <w:noProof/>
          <w:highlight w:val="lightGray"/>
        </w:rPr>
        <w:t>Referenčná metóda merania ozónu je opísaná v EN 14625:2012 ‚Okolité ovzdušie — Štandardná metóda merania koncentrácií ozónu prostredníctvom ultrafialovej fotometrie‘.</w:t>
      </w:r>
    </w:p>
    <w:p w:rsidR="005C7768" w:rsidRPr="00E8450A" w:rsidRDefault="005C7768" w:rsidP="005C7768">
      <w:pPr>
        <w:pStyle w:val="CRSeparator"/>
        <w:rPr>
          <w:noProof/>
        </w:rPr>
      </w:pPr>
    </w:p>
    <w:p w:rsidR="005C7768" w:rsidRPr="00E8450A" w:rsidRDefault="005C7768" w:rsidP="005C7768">
      <w:pPr>
        <w:pStyle w:val="CRReference"/>
        <w:rPr>
          <w:noProof/>
        </w:rPr>
      </w:pPr>
      <w:r w:rsidRPr="00E8450A">
        <w:rPr>
          <w:noProof/>
        </w:rPr>
        <w:fldChar w:fldCharType="begin"/>
      </w:r>
      <w:r w:rsidRPr="00E8450A">
        <w:rPr>
          <w:noProof/>
        </w:rPr>
        <w:instrText xml:space="preserve"> QUOTE "ê" </w:instrText>
      </w:r>
      <w:r w:rsidRPr="00E8450A">
        <w:rPr>
          <w:noProof/>
        </w:rPr>
        <w:fldChar w:fldCharType="separate"/>
      </w:r>
      <w:r w:rsidRPr="00E8450A">
        <w:rPr>
          <w:rStyle w:val="CRMarker"/>
          <w:noProof/>
        </w:rPr>
        <w:t>ê</w:t>
      </w:r>
      <w:r w:rsidRPr="00E8450A">
        <w:rPr>
          <w:noProof/>
        </w:rPr>
        <w:fldChar w:fldCharType="end"/>
      </w:r>
      <w:r w:rsidRPr="00E8450A">
        <w:rPr>
          <w:noProof/>
        </w:rPr>
        <w:t> 2008/50/ES</w:t>
      </w:r>
    </w:p>
    <w:p w:rsidR="005C7768" w:rsidRPr="00E8450A" w:rsidRDefault="005C7768" w:rsidP="005812BF">
      <w:pPr>
        <w:pStyle w:val="ManualHeading1"/>
        <w:ind w:left="851" w:hanging="851"/>
        <w:rPr>
          <w:rStyle w:val="CRRefonteDeleted"/>
          <w:noProof/>
          <w:highlight w:val="lightGray"/>
        </w:rPr>
      </w:pPr>
      <w:r w:rsidRPr="00E8450A">
        <w:rPr>
          <w:rStyle w:val="CRRefonteDeleted"/>
          <w:noProof/>
          <w:highlight w:val="lightGray"/>
        </w:rPr>
        <w:t>B</w:t>
      </w:r>
      <w:r w:rsidR="005812BF">
        <w:rPr>
          <w:rStyle w:val="CRRefonteDeleted"/>
          <w:noProof/>
          <w:highlight w:val="lightGray"/>
        </w:rPr>
        <w:t>)</w:t>
      </w:r>
      <w:r w:rsidRPr="00E8450A">
        <w:rPr>
          <w:noProof/>
        </w:rPr>
        <w:tab/>
      </w:r>
      <w:r w:rsidRPr="00E8450A">
        <w:rPr>
          <w:rStyle w:val="CRRefonteDeleted"/>
          <w:noProof/>
          <w:highlight w:val="lightGray"/>
        </w:rPr>
        <w:t>Preukázanie rovnocennosti</w:t>
      </w:r>
    </w:p>
    <w:p w:rsidR="005C7768" w:rsidRPr="00E8450A" w:rsidRDefault="005C7768" w:rsidP="005C7768">
      <w:pPr>
        <w:rPr>
          <w:rStyle w:val="CRRefonteDeleted"/>
          <w:noProof/>
          <w:highlight w:val="lightGray"/>
        </w:rPr>
      </w:pPr>
      <w:r w:rsidRPr="00E8450A">
        <w:rPr>
          <w:rStyle w:val="CRRefonteDeleted"/>
          <w:noProof/>
          <w:highlight w:val="lightGray"/>
        </w:rPr>
        <w:t>1.</w:t>
      </w:r>
      <w:r w:rsidRPr="00E8450A">
        <w:rPr>
          <w:noProof/>
        </w:rPr>
        <w:tab/>
      </w:r>
      <w:r w:rsidRPr="00E8450A">
        <w:rPr>
          <w:rStyle w:val="CRRefonteDeleted"/>
          <w:noProof/>
          <w:highlight w:val="lightGray"/>
        </w:rPr>
        <w:t>Členský štát môže použiť akúkoľvek inú metódu, pri ktorej môže preukázať, že výsledky sú rovnocenné s ktoroukoľvek z metód uvedených v oddiele A, alebo v prípade suspendovaných častíc ktorúkoľvek inú metódu, pri ktorej môže dotknutý členský štát preukázať, že má trvalý vzťah k referenčnej metóde. V tom prípade sa výsledky dosiahnuté pomocou tejto metódy musia upraviť, aby sa získali výsledky rovnocenné s tými, ktoré by sa dosiahli pri použití referenčnej metódy.</w:t>
      </w:r>
    </w:p>
    <w:p w:rsidR="005C7768" w:rsidRPr="00E8450A" w:rsidRDefault="005C7768" w:rsidP="005C7768">
      <w:pPr>
        <w:rPr>
          <w:rStyle w:val="CRRefonteDeleted"/>
          <w:noProof/>
          <w:highlight w:val="lightGray"/>
        </w:rPr>
      </w:pPr>
      <w:r w:rsidRPr="00E8450A">
        <w:rPr>
          <w:rStyle w:val="CRRefonteDeleted"/>
          <w:noProof/>
          <w:highlight w:val="lightGray"/>
        </w:rPr>
        <w:t>2.</w:t>
      </w:r>
      <w:r w:rsidRPr="00E8450A">
        <w:rPr>
          <w:noProof/>
        </w:rPr>
        <w:tab/>
      </w:r>
      <w:r w:rsidRPr="00E8450A">
        <w:rPr>
          <w:rStyle w:val="CRRefonteDeleted"/>
          <w:noProof/>
          <w:highlight w:val="lightGray"/>
        </w:rPr>
        <w:t>Komisia môže od členských štátov požadovať vypracovanie a predloženie správy o preukázaní rovnocennosti v súlade s odsekom 1.</w:t>
      </w:r>
    </w:p>
    <w:p w:rsidR="005C7768" w:rsidRPr="00E8450A" w:rsidRDefault="005C7768" w:rsidP="005C7768">
      <w:pPr>
        <w:rPr>
          <w:rStyle w:val="CRRefonteDeleted"/>
          <w:noProof/>
          <w:highlight w:val="lightGray"/>
        </w:rPr>
      </w:pPr>
      <w:r w:rsidRPr="00E8450A">
        <w:rPr>
          <w:rStyle w:val="CRRefonteDeleted"/>
          <w:noProof/>
          <w:highlight w:val="lightGray"/>
        </w:rPr>
        <w:t>3.</w:t>
      </w:r>
      <w:r w:rsidRPr="00E8450A">
        <w:rPr>
          <w:noProof/>
        </w:rPr>
        <w:tab/>
      </w:r>
      <w:r w:rsidRPr="00E8450A">
        <w:rPr>
          <w:rStyle w:val="CRRefonteDeleted"/>
          <w:noProof/>
          <w:highlight w:val="lightGray"/>
        </w:rPr>
        <w:t>Pri hodnotení prijateľnosti správy uvedenej v odseku 2 Komisia odkazuje na svoj pokyn o preukazovaní rovnocennosti (uverejní sa). V prípade, že členské štáty využívali dočasné faktory na aproximáciu rovnocennosti, tieto sa potvrdia a/alebo zmenia s odkazom na pokyn Komisie.</w:t>
      </w:r>
    </w:p>
    <w:p w:rsidR="005C7768" w:rsidRPr="00E8450A" w:rsidRDefault="005C7768" w:rsidP="005C7768">
      <w:pPr>
        <w:rPr>
          <w:rStyle w:val="CRRefonteDeleted"/>
          <w:noProof/>
          <w:highlight w:val="lightGray"/>
        </w:rPr>
      </w:pPr>
      <w:r w:rsidRPr="00E8450A">
        <w:rPr>
          <w:rStyle w:val="CRRefonteDeleted"/>
          <w:noProof/>
          <w:highlight w:val="lightGray"/>
        </w:rPr>
        <w:t>4.</w:t>
      </w:r>
      <w:r w:rsidRPr="00E8450A">
        <w:rPr>
          <w:noProof/>
        </w:rPr>
        <w:tab/>
      </w:r>
      <w:r w:rsidRPr="00E8450A">
        <w:rPr>
          <w:rStyle w:val="CRRefonteDeleted"/>
          <w:noProof/>
          <w:highlight w:val="lightGray"/>
        </w:rPr>
        <w:t>Členské štáty by mali zabezpečiť, aby sa opravy v prípade potreby vykonali tiež spätne v súvislosti s predchádzajúcimi údajmi z merania s cieľom dosiahnuť lepšiu porovnateľnosť údajov.</w:t>
      </w:r>
    </w:p>
    <w:p w:rsidR="005C7768" w:rsidRPr="00E8450A" w:rsidRDefault="005C7768" w:rsidP="005812BF">
      <w:pPr>
        <w:pStyle w:val="ManualHeading1"/>
        <w:ind w:left="851" w:hanging="851"/>
        <w:rPr>
          <w:rStyle w:val="CRRefonteDeleted"/>
          <w:noProof/>
          <w:highlight w:val="lightGray"/>
        </w:rPr>
      </w:pPr>
      <w:r w:rsidRPr="00E8450A">
        <w:rPr>
          <w:rStyle w:val="CRRefonteDeleted"/>
          <w:noProof/>
          <w:highlight w:val="lightGray"/>
        </w:rPr>
        <w:t>C</w:t>
      </w:r>
      <w:r w:rsidR="005812BF">
        <w:rPr>
          <w:rStyle w:val="CRRefonteDeleted"/>
          <w:noProof/>
          <w:highlight w:val="lightGray"/>
        </w:rPr>
        <w:t>)</w:t>
      </w:r>
      <w:r w:rsidRPr="00E8450A">
        <w:rPr>
          <w:noProof/>
        </w:rPr>
        <w:tab/>
      </w:r>
      <w:r w:rsidRPr="00E8450A">
        <w:rPr>
          <w:rStyle w:val="CRRefonteDeleted"/>
          <w:noProof/>
          <w:highlight w:val="lightGray"/>
        </w:rPr>
        <w:t>Štandardizácia</w:t>
      </w:r>
    </w:p>
    <w:p w:rsidR="005C7768" w:rsidRPr="00E8450A" w:rsidRDefault="005C7768" w:rsidP="005C7768">
      <w:pPr>
        <w:rPr>
          <w:rStyle w:val="CRRefonteDeleted"/>
          <w:noProof/>
          <w:highlight w:val="lightGray"/>
        </w:rPr>
      </w:pPr>
      <w:r w:rsidRPr="00E8450A">
        <w:rPr>
          <w:rStyle w:val="CRRefonteDeleted"/>
          <w:noProof/>
          <w:highlight w:val="lightGray"/>
        </w:rPr>
        <w:t>Pri plynných znečisťujúcich látkach sa musí objem štandardizovať na teplotu 293 K a atmosférický tlak na 101,3 kPa. Objem vzorky pre suspendované častice a látky, ktoré sa analyzujú v suspendovaných časticiach (napr. olovo), sa vzťahuje na okolité podmienky, ako sú teplota a atmosférický tlak v čase merania.</w:t>
      </w:r>
    </w:p>
    <w:p w:rsidR="005C7768" w:rsidRPr="00E8450A" w:rsidRDefault="005C7768" w:rsidP="005812BF">
      <w:pPr>
        <w:pStyle w:val="ManualHeading1"/>
        <w:ind w:left="851" w:hanging="851"/>
        <w:rPr>
          <w:noProof/>
          <w:highlight w:val="lightGray"/>
        </w:rPr>
      </w:pPr>
      <w:r w:rsidRPr="00E8450A">
        <w:rPr>
          <w:rStyle w:val="CRRefonteDeleted"/>
          <w:noProof/>
          <w:highlight w:val="lightGray"/>
        </w:rPr>
        <w:t>E</w:t>
      </w:r>
      <w:r w:rsidR="005812BF">
        <w:rPr>
          <w:rStyle w:val="CRRefonteDeleted"/>
          <w:noProof/>
          <w:highlight w:val="lightGray"/>
        </w:rPr>
        <w:t>)</w:t>
      </w:r>
      <w:r w:rsidRPr="00E8450A">
        <w:rPr>
          <w:noProof/>
        </w:rPr>
        <w:tab/>
      </w:r>
      <w:r w:rsidRPr="00E8450A">
        <w:rPr>
          <w:rStyle w:val="CRRefonteDeleted"/>
          <w:noProof/>
          <w:highlight w:val="lightGray"/>
        </w:rPr>
        <w:t>Vzájomné uznávanie údajov</w:t>
      </w:r>
    </w:p>
    <w:p w:rsidR="005C7768" w:rsidRPr="00E8450A" w:rsidRDefault="005C7768" w:rsidP="005C7768">
      <w:pPr>
        <w:pStyle w:val="CRSeparator"/>
        <w:rPr>
          <w:noProof/>
        </w:rPr>
      </w:pPr>
    </w:p>
    <w:p w:rsidR="005C7768" w:rsidRPr="00E8450A" w:rsidRDefault="005C7768" w:rsidP="005C7768">
      <w:pPr>
        <w:pStyle w:val="CRReference"/>
        <w:rPr>
          <w:noProof/>
        </w:rPr>
      </w:pPr>
      <w:r w:rsidRPr="00E8450A">
        <w:rPr>
          <w:noProof/>
        </w:rPr>
        <w:fldChar w:fldCharType="begin"/>
      </w:r>
      <w:r w:rsidRPr="00E8450A">
        <w:rPr>
          <w:noProof/>
        </w:rPr>
        <w:instrText xml:space="preserve"> QUOTE "ê" </w:instrText>
      </w:r>
      <w:r w:rsidRPr="00E8450A">
        <w:rPr>
          <w:noProof/>
        </w:rPr>
        <w:fldChar w:fldCharType="separate"/>
      </w:r>
      <w:r w:rsidRPr="00E8450A">
        <w:rPr>
          <w:rStyle w:val="CRMarker"/>
          <w:noProof/>
        </w:rPr>
        <w:t>ê</w:t>
      </w:r>
      <w:r w:rsidRPr="00E8450A">
        <w:rPr>
          <w:noProof/>
        </w:rPr>
        <w:fldChar w:fldCharType="end"/>
      </w:r>
      <w:r w:rsidRPr="00E8450A">
        <w:rPr>
          <w:noProof/>
        </w:rPr>
        <w:t> 2015/1480 článok 2 a bod 3 písm. c) prílohy II</w:t>
      </w:r>
    </w:p>
    <w:p w:rsidR="005C7768" w:rsidRPr="00E8450A" w:rsidRDefault="005C7768" w:rsidP="005C7768">
      <w:pPr>
        <w:rPr>
          <w:rStyle w:val="CRRefonteDeleted"/>
          <w:noProof/>
          <w:highlight w:val="lightGray"/>
        </w:rPr>
      </w:pPr>
      <w:r w:rsidRPr="00E8450A">
        <w:rPr>
          <w:rStyle w:val="CRRefonteDeleted"/>
          <w:noProof/>
          <w:highlight w:val="lightGray"/>
        </w:rPr>
        <w:t>Ak sa preukáže, že vybavenie spĺňa výkonnostné požiadavky referenčných metód uvedených v oddiele A tejto prílohy, príslušné orgány a subjekty určené podľa článku 3 akceptujú protokoly o skúškach vydané v iných členských štátoch za podmienky, že dané skúšobné laboratóriá sú akreditované podľa príslušnej harmonizovanej normy týkajúcej sa skúšobných a kalibračných laboratórií.</w:t>
      </w:r>
    </w:p>
    <w:p w:rsidR="005C7768" w:rsidRPr="00E8450A" w:rsidRDefault="005C7768" w:rsidP="005C7768">
      <w:pPr>
        <w:rPr>
          <w:rStyle w:val="CRRefonteDeleted"/>
          <w:noProof/>
          <w:highlight w:val="lightGray"/>
        </w:rPr>
      </w:pPr>
      <w:r w:rsidRPr="00E8450A">
        <w:rPr>
          <w:rStyle w:val="CRRefonteDeleted"/>
          <w:noProof/>
          <w:highlight w:val="lightGray"/>
        </w:rPr>
        <w:t>Podrobné protokoly o skúškach a všetky výsledky skúšok sa sprístupňujú iným príslušným orgánom alebo nimi určeným subjektom. V protokoloch o skúškach sa musí preukázať, že zariadenie spĺňa všetky výkonnostné požiadavky vrátane podmienok špecifických pre daný štát, ktoré sa týkajú životného prostredia a predmetného miesta a ktoré presahujú rámec podmienok, pre ktoré sa už dané zariadenie odskúšalo a typovo schválilo v inom členskom štáte.</w:t>
      </w:r>
    </w:p>
    <w:p w:rsidR="005C7768" w:rsidRPr="00E8450A" w:rsidRDefault="005C7768" w:rsidP="005C7768">
      <w:pPr>
        <w:adjustRightInd w:val="0"/>
        <w:spacing w:before="0" w:after="0"/>
        <w:jc w:val="left"/>
        <w:rPr>
          <w:noProof/>
        </w:rPr>
        <w:sectPr w:rsidR="005C7768" w:rsidRPr="00E8450A" w:rsidSect="000A000C">
          <w:pgSz w:w="11906" w:h="16838"/>
          <w:pgMar w:top="1134" w:right="1418" w:bottom="1134" w:left="1418" w:header="709" w:footer="709" w:gutter="0"/>
          <w:cols w:space="709"/>
          <w:docGrid w:linePitch="326"/>
        </w:sectPr>
      </w:pPr>
    </w:p>
    <w:p w:rsidR="005C7768" w:rsidRPr="00E8450A" w:rsidRDefault="005C7768" w:rsidP="005C7768">
      <w:pPr>
        <w:pStyle w:val="CRSeparator"/>
        <w:rPr>
          <w:noProof/>
        </w:rPr>
      </w:pPr>
    </w:p>
    <w:p w:rsidR="005C7768" w:rsidRPr="00E8450A" w:rsidRDefault="005C7768" w:rsidP="005C7768">
      <w:pPr>
        <w:pStyle w:val="CRReference"/>
        <w:rPr>
          <w:noProof/>
        </w:rPr>
      </w:pPr>
      <w:r w:rsidRPr="00E8450A">
        <w:rPr>
          <w:noProof/>
        </w:rPr>
        <w:fldChar w:fldCharType="begin"/>
      </w:r>
      <w:r w:rsidRPr="00E8450A">
        <w:rPr>
          <w:noProof/>
        </w:rPr>
        <w:instrText xml:space="preserve"> QUOTE "ê" </w:instrText>
      </w:r>
      <w:r w:rsidRPr="00E8450A">
        <w:rPr>
          <w:noProof/>
        </w:rPr>
        <w:fldChar w:fldCharType="separate"/>
      </w:r>
      <w:r w:rsidRPr="00E8450A">
        <w:rPr>
          <w:rStyle w:val="CRMarker"/>
          <w:noProof/>
        </w:rPr>
        <w:t>ê</w:t>
      </w:r>
      <w:r w:rsidRPr="00E8450A">
        <w:rPr>
          <w:noProof/>
        </w:rPr>
        <w:fldChar w:fldCharType="end"/>
      </w:r>
      <w:r w:rsidRPr="00E8450A">
        <w:rPr>
          <w:noProof/>
        </w:rPr>
        <w:t> 2008/50/ES</w:t>
      </w:r>
    </w:p>
    <w:p w:rsidR="005C7768" w:rsidRPr="00E8450A" w:rsidRDefault="005C7768" w:rsidP="000A6A7F">
      <w:pPr>
        <w:jc w:val="center"/>
        <w:rPr>
          <w:rStyle w:val="CRRefonteDeleted"/>
          <w:b/>
          <w:noProof/>
          <w:highlight w:val="lightGray"/>
          <w:u w:val="single"/>
        </w:rPr>
      </w:pPr>
      <w:r w:rsidRPr="00E8450A">
        <w:rPr>
          <w:rStyle w:val="CRRefonteDeleted"/>
          <w:b/>
          <w:noProof/>
          <w:highlight w:val="lightGray"/>
          <w:u w:val="single"/>
        </w:rPr>
        <w:t>PRÍLOHA VII</w:t>
      </w:r>
    </w:p>
    <w:p w:rsidR="005C7768" w:rsidRPr="00E8450A" w:rsidRDefault="005C7768" w:rsidP="005C7768">
      <w:pPr>
        <w:pStyle w:val="NormalCentered"/>
        <w:rPr>
          <w:rStyle w:val="CRRefonteDeleted"/>
          <w:noProof/>
          <w:highlight w:val="lightGray"/>
        </w:rPr>
      </w:pPr>
      <w:r w:rsidRPr="00E8450A">
        <w:rPr>
          <w:rStyle w:val="CRRefonteDeleted"/>
          <w:b/>
          <w:noProof/>
          <w:highlight w:val="lightGray"/>
        </w:rPr>
        <w:t>CIEĽOVÉ HODNOTY A DLHODOBÉ CIELE PRE OZÓN</w:t>
      </w:r>
    </w:p>
    <w:p w:rsidR="005C7768" w:rsidRPr="00E8450A" w:rsidRDefault="005C7768" w:rsidP="005812BF">
      <w:pPr>
        <w:pStyle w:val="ManualHeading1"/>
        <w:ind w:left="851" w:hanging="851"/>
        <w:rPr>
          <w:rStyle w:val="CRRefonteDeleted"/>
          <w:noProof/>
          <w:highlight w:val="lightGray"/>
        </w:rPr>
      </w:pPr>
      <w:r w:rsidRPr="00E8450A">
        <w:rPr>
          <w:rStyle w:val="CRRefonteDeleted"/>
          <w:noProof/>
          <w:highlight w:val="lightGray"/>
        </w:rPr>
        <w:t>A</w:t>
      </w:r>
      <w:r w:rsidR="005812BF">
        <w:rPr>
          <w:rStyle w:val="CRRefonteDeleted"/>
          <w:noProof/>
          <w:highlight w:val="lightGray"/>
        </w:rPr>
        <w:t>)</w:t>
      </w:r>
      <w:r w:rsidRPr="00E8450A">
        <w:rPr>
          <w:noProof/>
        </w:rPr>
        <w:tab/>
      </w:r>
      <w:r w:rsidRPr="00E8450A">
        <w:rPr>
          <w:rStyle w:val="CRRefonteDeleted"/>
          <w:noProof/>
          <w:highlight w:val="lightGray"/>
        </w:rPr>
        <w:t>Vymedzenie pojmov a kritériá</w:t>
      </w:r>
    </w:p>
    <w:p w:rsidR="005C7768" w:rsidRPr="00E8450A" w:rsidRDefault="005C7768" w:rsidP="005C7768">
      <w:pPr>
        <w:pStyle w:val="ManualHeading2"/>
        <w:ind w:left="851" w:hanging="851"/>
        <w:rPr>
          <w:rStyle w:val="CRRefonteDeleted"/>
          <w:noProof/>
          <w:highlight w:val="lightGray"/>
        </w:rPr>
      </w:pPr>
      <w:r w:rsidRPr="00E8450A">
        <w:rPr>
          <w:rStyle w:val="CRRefonteDeleted"/>
          <w:noProof/>
          <w:highlight w:val="lightGray"/>
        </w:rPr>
        <w:t>1.</w:t>
      </w:r>
      <w:r w:rsidRPr="00E8450A">
        <w:rPr>
          <w:noProof/>
        </w:rPr>
        <w:tab/>
      </w:r>
      <w:r w:rsidRPr="00E8450A">
        <w:rPr>
          <w:rStyle w:val="CRRefonteDeleted"/>
          <w:noProof/>
          <w:highlight w:val="lightGray"/>
        </w:rPr>
        <w:t>Vymedzenie pojmov</w:t>
      </w:r>
    </w:p>
    <w:p w:rsidR="005C7768" w:rsidRPr="00E8450A" w:rsidRDefault="005C7768" w:rsidP="005C7768">
      <w:pPr>
        <w:rPr>
          <w:rStyle w:val="CRRefonteDeleted"/>
          <w:noProof/>
          <w:highlight w:val="lightGray"/>
        </w:rPr>
      </w:pPr>
      <w:r w:rsidRPr="00E8450A">
        <w:rPr>
          <w:rStyle w:val="CRRefonteDeleted"/>
          <w:noProof/>
          <w:highlight w:val="lightGray"/>
        </w:rPr>
        <w:t>AOT 40 [vyjadrený v (μg/m</w:t>
      </w:r>
      <w:r w:rsidRPr="00E8450A">
        <w:rPr>
          <w:rStyle w:val="CRRefonteDeleted"/>
          <w:noProof/>
          <w:highlight w:val="lightGray"/>
          <w:vertAlign w:val="superscript"/>
        </w:rPr>
        <w:t>3</w:t>
      </w:r>
      <w:r w:rsidRPr="00E8450A">
        <w:rPr>
          <w:rStyle w:val="CRRefonteDeleted"/>
          <w:noProof/>
          <w:highlight w:val="lightGray"/>
        </w:rPr>
        <w:t>) · počet hodín] je súčet rozdielov medzi hodinovými koncentráciami väčšími ako 80 μg/m</w:t>
      </w:r>
      <w:r w:rsidRPr="00E8450A">
        <w:rPr>
          <w:rStyle w:val="CRRefonteDeleted"/>
          <w:noProof/>
          <w:highlight w:val="lightGray"/>
          <w:vertAlign w:val="superscript"/>
        </w:rPr>
        <w:t>3</w:t>
      </w:r>
      <w:r w:rsidRPr="00E8450A">
        <w:rPr>
          <w:rStyle w:val="CRRefonteDeleted"/>
          <w:noProof/>
          <w:highlight w:val="lightGray"/>
        </w:rPr>
        <w:t xml:space="preserve"> (= 40 častí na miliardu) a 80 μg/m</w:t>
      </w:r>
      <w:r w:rsidRPr="00E8450A">
        <w:rPr>
          <w:rStyle w:val="CRRefonteDeleted"/>
          <w:noProof/>
          <w:highlight w:val="lightGray"/>
          <w:vertAlign w:val="superscript"/>
        </w:rPr>
        <w:t>3</w:t>
      </w:r>
      <w:r w:rsidRPr="00E8450A">
        <w:rPr>
          <w:rStyle w:val="CRRefonteDeleted"/>
          <w:noProof/>
          <w:highlight w:val="lightGray"/>
        </w:rPr>
        <w:t xml:space="preserve"> počas daného obdobia pri používaní len 1-hodinových hodnôt nameraných každý deň od 8.00 do 20.00 hod. stredoeurópskeho času (SEČ).</w:t>
      </w:r>
    </w:p>
    <w:p w:rsidR="005C7768" w:rsidRPr="00E8450A" w:rsidRDefault="005C7768" w:rsidP="005C7768">
      <w:pPr>
        <w:pStyle w:val="ManualHeading2"/>
        <w:ind w:left="851" w:hanging="851"/>
        <w:rPr>
          <w:rStyle w:val="CRRefonteDeleted"/>
          <w:noProof/>
          <w:highlight w:val="lightGray"/>
        </w:rPr>
      </w:pPr>
      <w:r w:rsidRPr="00E8450A">
        <w:rPr>
          <w:rStyle w:val="CRRefonteDeleted"/>
          <w:noProof/>
          <w:highlight w:val="lightGray"/>
        </w:rPr>
        <w:t>2.</w:t>
      </w:r>
      <w:r w:rsidRPr="00E8450A">
        <w:rPr>
          <w:noProof/>
        </w:rPr>
        <w:tab/>
      </w:r>
      <w:r w:rsidRPr="00E8450A">
        <w:rPr>
          <w:rStyle w:val="CRRefonteDeleted"/>
          <w:noProof/>
          <w:highlight w:val="lightGray"/>
        </w:rPr>
        <w:t>Kritériá</w:t>
      </w:r>
    </w:p>
    <w:p w:rsidR="005C7768" w:rsidRPr="00E8450A" w:rsidRDefault="005C7768" w:rsidP="005C7768">
      <w:pPr>
        <w:rPr>
          <w:rStyle w:val="CRRefonteDeleted"/>
          <w:noProof/>
          <w:highlight w:val="lightGray"/>
        </w:rPr>
      </w:pPr>
      <w:r w:rsidRPr="00E8450A">
        <w:rPr>
          <w:rStyle w:val="CRRefonteDeleted"/>
          <w:noProof/>
          <w:highlight w:val="lightGray"/>
        </w:rPr>
        <w:t>Pri zhromažďovaní údajov a výpočte štatistických ukazovateľov sa na kontrolu platnosti použijú tieto kritériá:</w:t>
      </w:r>
    </w:p>
    <w:tbl>
      <w:tblPr>
        <w:tblW w:w="0" w:type="auto"/>
        <w:tblLayout w:type="fixed"/>
        <w:tblLook w:val="0000" w:firstRow="0" w:lastRow="0" w:firstColumn="0" w:lastColumn="0" w:noHBand="0" w:noVBand="0"/>
      </w:tblPr>
      <w:tblGrid>
        <w:gridCol w:w="3157"/>
        <w:gridCol w:w="6129"/>
      </w:tblGrid>
      <w:tr w:rsidR="005C7768" w:rsidRPr="00E8450A" w:rsidTr="00335440">
        <w:tc>
          <w:tcPr>
            <w:tcW w:w="3157"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Centered"/>
              <w:rPr>
                <w:rStyle w:val="CRRefonteDeleted"/>
                <w:noProof/>
                <w:highlight w:val="lightGray"/>
              </w:rPr>
            </w:pPr>
            <w:r w:rsidRPr="00E8450A">
              <w:rPr>
                <w:rStyle w:val="CRRefonteDeleted"/>
                <w:noProof/>
                <w:highlight w:val="lightGray"/>
              </w:rPr>
              <w:t>Parameter</w:t>
            </w:r>
          </w:p>
        </w:tc>
        <w:tc>
          <w:tcPr>
            <w:tcW w:w="6129"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Centered"/>
              <w:rPr>
                <w:rStyle w:val="CRRefonteDeleted"/>
                <w:noProof/>
                <w:highlight w:val="lightGray"/>
              </w:rPr>
            </w:pPr>
            <w:r w:rsidRPr="00E8450A">
              <w:rPr>
                <w:rStyle w:val="CRRefonteDeleted"/>
                <w:noProof/>
                <w:highlight w:val="lightGray"/>
              </w:rPr>
              <w:t>Vyžadovaný podiel platných údajov</w:t>
            </w:r>
          </w:p>
        </w:tc>
      </w:tr>
      <w:tr w:rsidR="005C7768" w:rsidRPr="00E8450A" w:rsidTr="00335440">
        <w:tc>
          <w:tcPr>
            <w:tcW w:w="3157"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t>1-hodinové hodnoty</w:t>
            </w:r>
          </w:p>
        </w:tc>
        <w:tc>
          <w:tcPr>
            <w:tcW w:w="6129"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t>75 % (t. j. 45 minút)</w:t>
            </w:r>
          </w:p>
        </w:tc>
      </w:tr>
      <w:tr w:rsidR="005C7768" w:rsidRPr="00E8450A" w:rsidTr="00335440">
        <w:tc>
          <w:tcPr>
            <w:tcW w:w="3157"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t>8-hodinové hodnoty</w:t>
            </w:r>
          </w:p>
        </w:tc>
        <w:tc>
          <w:tcPr>
            <w:tcW w:w="6129"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t>75 % hodnôt (t. j. 6 hodín)</w:t>
            </w:r>
          </w:p>
        </w:tc>
      </w:tr>
      <w:tr w:rsidR="005C7768" w:rsidRPr="00E8450A" w:rsidTr="00335440">
        <w:tc>
          <w:tcPr>
            <w:tcW w:w="3157"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t>Maximálna denná 8-hodinová stredná hodnota z 8 po sebe nasledujúcich hodín</w:t>
            </w:r>
          </w:p>
        </w:tc>
        <w:tc>
          <w:tcPr>
            <w:tcW w:w="6129"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t>75 % hodinových pohyblivých priemerov z 8 po sebe nasledujúcich hodín (t. j. 18 8-hodinových priemerov za deň)</w:t>
            </w:r>
          </w:p>
        </w:tc>
      </w:tr>
      <w:tr w:rsidR="005C7768" w:rsidRPr="00E8450A" w:rsidTr="00335440">
        <w:tc>
          <w:tcPr>
            <w:tcW w:w="3157"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t>AOT40</w:t>
            </w:r>
          </w:p>
        </w:tc>
        <w:tc>
          <w:tcPr>
            <w:tcW w:w="6129"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t>90 % 1-hodinových hodnôt počas doby určenej na vypočítanie hodnoty AOT40</w:t>
            </w:r>
            <w:r w:rsidRPr="00E8450A">
              <w:rPr>
                <w:rStyle w:val="CRRefonteDeleted"/>
                <w:noProof/>
                <w:highlight w:val="lightGray"/>
                <w:vertAlign w:val="superscript"/>
              </w:rPr>
              <w:footnoteReference w:id="18"/>
            </w:r>
          </w:p>
        </w:tc>
      </w:tr>
      <w:tr w:rsidR="005C7768" w:rsidRPr="00E8450A" w:rsidTr="00335440">
        <w:tc>
          <w:tcPr>
            <w:tcW w:w="3157"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t>Ročná stredná hodnota</w:t>
            </w:r>
          </w:p>
        </w:tc>
        <w:tc>
          <w:tcPr>
            <w:tcW w:w="6129"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t>75 % 1-hodinových hodnôt letného (od apríla do septembra) a 75 % hodnôt zimného (od januára do marca, od októbra do decembra) obdobia samostatne</w:t>
            </w:r>
          </w:p>
        </w:tc>
      </w:tr>
      <w:tr w:rsidR="005C7768" w:rsidRPr="00E8450A" w:rsidTr="00335440">
        <w:tc>
          <w:tcPr>
            <w:tcW w:w="3157"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t>Počet prekročení a maximálne hodnoty za mesiac</w:t>
            </w:r>
          </w:p>
        </w:tc>
        <w:tc>
          <w:tcPr>
            <w:tcW w:w="6129"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t>90 % denných maximálnych 8-hodinových stredných hodnôt (27 dostupných denných hodnôt za mesiac)</w:t>
            </w:r>
          </w:p>
          <w:p w:rsidR="005C7768" w:rsidRPr="00E8450A" w:rsidRDefault="005C7768" w:rsidP="00335440">
            <w:pPr>
              <w:pStyle w:val="NormalLeft"/>
              <w:rPr>
                <w:rStyle w:val="CRRefonteDeleted"/>
                <w:noProof/>
                <w:highlight w:val="lightGray"/>
              </w:rPr>
            </w:pPr>
            <w:r w:rsidRPr="00E8450A">
              <w:rPr>
                <w:rStyle w:val="CRRefonteDeleted"/>
                <w:noProof/>
                <w:highlight w:val="lightGray"/>
              </w:rPr>
              <w:t>90 % 1-hodinových hodnôt od 8.00 do 20.00 hod. SEČ</w:t>
            </w:r>
          </w:p>
        </w:tc>
      </w:tr>
      <w:tr w:rsidR="005C7768" w:rsidRPr="00E8450A" w:rsidTr="00335440">
        <w:tc>
          <w:tcPr>
            <w:tcW w:w="3157"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t>Počet prekročení a maximálne hodnoty za rok</w:t>
            </w:r>
          </w:p>
        </w:tc>
        <w:tc>
          <w:tcPr>
            <w:tcW w:w="6129"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t>päť zo šiestich mesiacov počas letného obdobia (od apríla do septembra)</w:t>
            </w:r>
          </w:p>
        </w:tc>
      </w:tr>
    </w:tbl>
    <w:p w:rsidR="005C7768" w:rsidRPr="00E8450A" w:rsidRDefault="005C7768" w:rsidP="005C7768">
      <w:pPr>
        <w:rPr>
          <w:rStyle w:val="CRRefonteDeleted"/>
          <w:noProof/>
          <w:highlight w:val="lightGray"/>
        </w:rPr>
      </w:pPr>
    </w:p>
    <w:p w:rsidR="005C7768" w:rsidRPr="00E8450A" w:rsidRDefault="005C7768" w:rsidP="005812BF">
      <w:pPr>
        <w:pStyle w:val="ManualHeading1"/>
        <w:ind w:left="851" w:hanging="851"/>
        <w:rPr>
          <w:rStyle w:val="CRRefonteDeleted"/>
          <w:noProof/>
          <w:highlight w:val="lightGray"/>
        </w:rPr>
      </w:pPr>
      <w:r w:rsidRPr="00E8450A">
        <w:rPr>
          <w:rStyle w:val="CRRefonteDeleted"/>
          <w:noProof/>
          <w:highlight w:val="lightGray"/>
        </w:rPr>
        <w:t>B</w:t>
      </w:r>
      <w:r w:rsidR="005812BF">
        <w:rPr>
          <w:rStyle w:val="CRRefonteDeleted"/>
          <w:noProof/>
          <w:highlight w:val="lightGray"/>
        </w:rPr>
        <w:t>)</w:t>
      </w:r>
      <w:r w:rsidRPr="00E8450A">
        <w:rPr>
          <w:noProof/>
        </w:rPr>
        <w:tab/>
      </w:r>
      <w:r w:rsidRPr="00E8450A">
        <w:rPr>
          <w:rStyle w:val="CRRefonteDeleted"/>
          <w:noProof/>
          <w:highlight w:val="lightGray"/>
        </w:rPr>
        <w:t>Cieľové hodnoty</w:t>
      </w:r>
    </w:p>
    <w:tbl>
      <w:tblPr>
        <w:tblW w:w="0" w:type="auto"/>
        <w:tblLayout w:type="fixed"/>
        <w:tblLook w:val="0000" w:firstRow="0" w:lastRow="0" w:firstColumn="0" w:lastColumn="0" w:noHBand="0" w:noVBand="0"/>
      </w:tblPr>
      <w:tblGrid>
        <w:gridCol w:w="1764"/>
        <w:gridCol w:w="1950"/>
        <w:gridCol w:w="3622"/>
        <w:gridCol w:w="1950"/>
      </w:tblGrid>
      <w:tr w:rsidR="005C7768" w:rsidRPr="00E8450A" w:rsidTr="00335440">
        <w:tc>
          <w:tcPr>
            <w:tcW w:w="1764"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Centered"/>
              <w:rPr>
                <w:rStyle w:val="CRRefonteDeleted"/>
                <w:noProof/>
                <w:highlight w:val="lightGray"/>
              </w:rPr>
            </w:pPr>
            <w:r w:rsidRPr="00E8450A">
              <w:rPr>
                <w:rStyle w:val="CRRefonteDeleted"/>
                <w:noProof/>
                <w:highlight w:val="lightGray"/>
              </w:rPr>
              <w:t>Cieľ</w:t>
            </w:r>
          </w:p>
        </w:tc>
        <w:tc>
          <w:tcPr>
            <w:tcW w:w="1950"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Centered"/>
              <w:rPr>
                <w:rStyle w:val="CRRefonteDeleted"/>
                <w:noProof/>
                <w:highlight w:val="lightGray"/>
              </w:rPr>
            </w:pPr>
            <w:r w:rsidRPr="00E8450A">
              <w:rPr>
                <w:rStyle w:val="CRRefonteDeleted"/>
                <w:noProof/>
                <w:highlight w:val="lightGray"/>
              </w:rPr>
              <w:t>Priemerované obdobie</w:t>
            </w:r>
          </w:p>
        </w:tc>
        <w:tc>
          <w:tcPr>
            <w:tcW w:w="3622"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Centered"/>
              <w:rPr>
                <w:rStyle w:val="CRRefonteDeleted"/>
                <w:noProof/>
                <w:highlight w:val="lightGray"/>
              </w:rPr>
            </w:pPr>
            <w:r w:rsidRPr="00E8450A">
              <w:rPr>
                <w:rStyle w:val="CRRefonteDeleted"/>
                <w:noProof/>
                <w:highlight w:val="lightGray"/>
              </w:rPr>
              <w:t>Cieľová hodnota</w:t>
            </w:r>
          </w:p>
        </w:tc>
        <w:tc>
          <w:tcPr>
            <w:tcW w:w="1950"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Centered"/>
              <w:rPr>
                <w:rStyle w:val="CRRefonteDeleted"/>
                <w:noProof/>
                <w:highlight w:val="lightGray"/>
              </w:rPr>
            </w:pPr>
            <w:r w:rsidRPr="00E8450A">
              <w:rPr>
                <w:rStyle w:val="CRRefonteDeleted"/>
                <w:noProof/>
                <w:highlight w:val="lightGray"/>
              </w:rPr>
              <w:t>Dátum, ku ktorému by sa mala cieľová hodnota dosiahnuť</w:t>
            </w:r>
            <w:r w:rsidRPr="00E8450A">
              <w:rPr>
                <w:rStyle w:val="CRRefonteDeleted"/>
                <w:noProof/>
                <w:highlight w:val="lightGray"/>
                <w:vertAlign w:val="superscript"/>
              </w:rPr>
              <w:footnoteReference w:id="19"/>
            </w:r>
          </w:p>
        </w:tc>
      </w:tr>
      <w:tr w:rsidR="005C7768" w:rsidRPr="00E8450A" w:rsidTr="00335440">
        <w:tc>
          <w:tcPr>
            <w:tcW w:w="1764"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t>Ochrana zdravia ľudí</w:t>
            </w:r>
          </w:p>
        </w:tc>
        <w:tc>
          <w:tcPr>
            <w:tcW w:w="1950"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t>maximálna denná 8-hodinová stredná hodnota</w:t>
            </w:r>
            <w:r w:rsidRPr="00E8450A">
              <w:rPr>
                <w:rStyle w:val="CRRefonteDeleted"/>
                <w:noProof/>
                <w:highlight w:val="lightGray"/>
                <w:vertAlign w:val="superscript"/>
              </w:rPr>
              <w:footnoteReference w:id="20"/>
            </w:r>
          </w:p>
        </w:tc>
        <w:tc>
          <w:tcPr>
            <w:tcW w:w="3622"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t>120 μg/m</w:t>
            </w:r>
            <w:r w:rsidRPr="00E8450A">
              <w:rPr>
                <w:rStyle w:val="CRRefonteDeleted"/>
                <w:noProof/>
                <w:highlight w:val="lightGray"/>
                <w:vertAlign w:val="superscript"/>
              </w:rPr>
              <w:t>3</w:t>
            </w:r>
            <w:r w:rsidRPr="00E8450A">
              <w:rPr>
                <w:rStyle w:val="CRRefonteDeleted"/>
                <w:noProof/>
                <w:highlight w:val="lightGray"/>
              </w:rPr>
              <w:t xml:space="preserve"> sa neprekročí viac ako 25 dní za kalendárny rok v priemere troch rokov</w:t>
            </w:r>
            <w:r w:rsidRPr="00E8450A">
              <w:rPr>
                <w:rStyle w:val="CRRefonteDeleted"/>
                <w:noProof/>
                <w:highlight w:val="lightGray"/>
                <w:vertAlign w:val="superscript"/>
              </w:rPr>
              <w:footnoteReference w:id="21"/>
            </w:r>
          </w:p>
        </w:tc>
        <w:tc>
          <w:tcPr>
            <w:tcW w:w="1950"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t>1.1.2010</w:t>
            </w:r>
          </w:p>
        </w:tc>
      </w:tr>
      <w:tr w:rsidR="005C7768" w:rsidRPr="00E8450A" w:rsidTr="00335440">
        <w:tc>
          <w:tcPr>
            <w:tcW w:w="1764"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t>Ochrana vegetácie</w:t>
            </w:r>
          </w:p>
        </w:tc>
        <w:tc>
          <w:tcPr>
            <w:tcW w:w="1950"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t>od mája do júla</w:t>
            </w:r>
          </w:p>
        </w:tc>
        <w:tc>
          <w:tcPr>
            <w:tcW w:w="3622"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t>AOT40 (vypočítaný z 1-hodinových hodnôt)</w:t>
            </w:r>
          </w:p>
          <w:p w:rsidR="005C7768" w:rsidRPr="00E8450A" w:rsidRDefault="005C7768" w:rsidP="00335440">
            <w:pPr>
              <w:pStyle w:val="NormalLeft"/>
              <w:rPr>
                <w:rStyle w:val="CRRefonteDeleted"/>
                <w:noProof/>
                <w:highlight w:val="lightGray"/>
              </w:rPr>
            </w:pPr>
            <w:r w:rsidRPr="00E8450A">
              <w:rPr>
                <w:rStyle w:val="CRRefonteDeleted"/>
                <w:noProof/>
                <w:highlight w:val="lightGray"/>
              </w:rPr>
              <w:t>18 000 μg/m</w:t>
            </w:r>
            <w:r w:rsidRPr="00E8450A">
              <w:rPr>
                <w:rStyle w:val="CRRefonteDeleted"/>
                <w:noProof/>
                <w:highlight w:val="lightGray"/>
                <w:vertAlign w:val="superscript"/>
              </w:rPr>
              <w:t>3</w:t>
            </w:r>
            <w:r w:rsidRPr="00E8450A">
              <w:rPr>
                <w:rStyle w:val="CRRefonteDeleted"/>
                <w:noProof/>
                <w:highlight w:val="lightGray"/>
              </w:rPr>
              <w:t xml:space="preserve"> · hod. v priemere piatich rokov</w:t>
            </w:r>
            <w:r w:rsidRPr="00E8450A">
              <w:rPr>
                <w:rStyle w:val="CRRefonteDeleted"/>
                <w:noProof/>
                <w:highlight w:val="lightGray"/>
                <w:vertAlign w:val="superscript"/>
              </w:rPr>
              <w:footnoteReference w:id="22"/>
            </w:r>
          </w:p>
        </w:tc>
        <w:tc>
          <w:tcPr>
            <w:tcW w:w="1950"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t>1.1.2010</w:t>
            </w:r>
          </w:p>
        </w:tc>
      </w:tr>
    </w:tbl>
    <w:p w:rsidR="005C7768" w:rsidRPr="00E8450A" w:rsidRDefault="005C7768" w:rsidP="005C7768">
      <w:pPr>
        <w:rPr>
          <w:rStyle w:val="CRRefonteDeleted"/>
          <w:noProof/>
          <w:highlight w:val="lightGray"/>
        </w:rPr>
      </w:pPr>
    </w:p>
    <w:p w:rsidR="005C7768" w:rsidRPr="00E8450A" w:rsidRDefault="005C7768" w:rsidP="005812BF">
      <w:pPr>
        <w:pStyle w:val="ManualHeading1"/>
        <w:ind w:left="851" w:hanging="851"/>
        <w:rPr>
          <w:rStyle w:val="CRRefonteDeleted"/>
          <w:noProof/>
          <w:highlight w:val="lightGray"/>
        </w:rPr>
      </w:pPr>
      <w:r w:rsidRPr="00E8450A">
        <w:rPr>
          <w:rStyle w:val="CRRefonteDeleted"/>
          <w:noProof/>
          <w:highlight w:val="lightGray"/>
        </w:rPr>
        <w:t>C</w:t>
      </w:r>
      <w:r w:rsidR="005812BF">
        <w:rPr>
          <w:rStyle w:val="CRRefonteDeleted"/>
          <w:noProof/>
          <w:highlight w:val="lightGray"/>
        </w:rPr>
        <w:t>)</w:t>
      </w:r>
      <w:r w:rsidRPr="00E8450A">
        <w:rPr>
          <w:noProof/>
        </w:rPr>
        <w:tab/>
      </w:r>
      <w:r w:rsidRPr="00E8450A">
        <w:rPr>
          <w:rStyle w:val="CRRefonteDeleted"/>
          <w:noProof/>
          <w:highlight w:val="lightGray"/>
        </w:rPr>
        <w:t>Dlhodobé ciele</w:t>
      </w:r>
    </w:p>
    <w:tbl>
      <w:tblPr>
        <w:tblW w:w="0" w:type="auto"/>
        <w:tblLayout w:type="fixed"/>
        <w:tblLook w:val="0000" w:firstRow="0" w:lastRow="0" w:firstColumn="0" w:lastColumn="0" w:noHBand="0" w:noVBand="0"/>
      </w:tblPr>
      <w:tblGrid>
        <w:gridCol w:w="1857"/>
        <w:gridCol w:w="2693"/>
        <w:gridCol w:w="2507"/>
        <w:gridCol w:w="2229"/>
      </w:tblGrid>
      <w:tr w:rsidR="005C7768" w:rsidRPr="00E8450A" w:rsidTr="00335440">
        <w:tc>
          <w:tcPr>
            <w:tcW w:w="1857"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Centered"/>
              <w:rPr>
                <w:rStyle w:val="CRRefonteDeleted"/>
                <w:noProof/>
                <w:highlight w:val="lightGray"/>
              </w:rPr>
            </w:pPr>
            <w:r w:rsidRPr="00E8450A">
              <w:rPr>
                <w:rStyle w:val="CRRefonteDeleted"/>
                <w:noProof/>
                <w:highlight w:val="lightGray"/>
              </w:rPr>
              <w:t>Cieľ</w:t>
            </w:r>
          </w:p>
        </w:tc>
        <w:tc>
          <w:tcPr>
            <w:tcW w:w="2693"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Centered"/>
              <w:rPr>
                <w:rStyle w:val="CRRefonteDeleted"/>
                <w:noProof/>
                <w:highlight w:val="lightGray"/>
              </w:rPr>
            </w:pPr>
            <w:r w:rsidRPr="00E8450A">
              <w:rPr>
                <w:rStyle w:val="CRRefonteDeleted"/>
                <w:noProof/>
                <w:highlight w:val="lightGray"/>
              </w:rPr>
              <w:t>Priemerované obdobie</w:t>
            </w:r>
          </w:p>
        </w:tc>
        <w:tc>
          <w:tcPr>
            <w:tcW w:w="2507"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Centered"/>
              <w:rPr>
                <w:rStyle w:val="CRRefonteDeleted"/>
                <w:noProof/>
                <w:highlight w:val="lightGray"/>
              </w:rPr>
            </w:pPr>
            <w:r w:rsidRPr="00E8450A">
              <w:rPr>
                <w:rStyle w:val="CRRefonteDeleted"/>
                <w:noProof/>
                <w:highlight w:val="lightGray"/>
              </w:rPr>
              <w:t>Dlhodobý cieľ</w:t>
            </w:r>
          </w:p>
        </w:tc>
        <w:tc>
          <w:tcPr>
            <w:tcW w:w="2229"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Centered"/>
              <w:rPr>
                <w:rStyle w:val="CRRefonteDeleted"/>
                <w:noProof/>
                <w:highlight w:val="lightGray"/>
              </w:rPr>
            </w:pPr>
            <w:r w:rsidRPr="00E8450A">
              <w:rPr>
                <w:rStyle w:val="CRRefonteDeleted"/>
                <w:noProof/>
                <w:highlight w:val="lightGray"/>
              </w:rPr>
              <w:t>Dátum, ku ktorému by sa mali dosiahnuť dlhodobé ciele</w:t>
            </w:r>
          </w:p>
        </w:tc>
      </w:tr>
      <w:tr w:rsidR="005C7768" w:rsidRPr="00E8450A" w:rsidTr="00335440">
        <w:tc>
          <w:tcPr>
            <w:tcW w:w="1857"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t>Ochrana zdravia ľudí</w:t>
            </w:r>
          </w:p>
        </w:tc>
        <w:tc>
          <w:tcPr>
            <w:tcW w:w="2693"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t>maximálna denná 8-hodinová stredná hodnota v kalendárnom roku</w:t>
            </w:r>
          </w:p>
        </w:tc>
        <w:tc>
          <w:tcPr>
            <w:tcW w:w="2507"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t>120 μg/m</w:t>
            </w:r>
            <w:r w:rsidRPr="00E8450A">
              <w:rPr>
                <w:rStyle w:val="CRRefonteDeleted"/>
                <w:noProof/>
                <w:highlight w:val="lightGray"/>
                <w:vertAlign w:val="superscript"/>
              </w:rPr>
              <w:t>3</w:t>
            </w:r>
          </w:p>
        </w:tc>
        <w:tc>
          <w:tcPr>
            <w:tcW w:w="2229"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t>neurčený</w:t>
            </w:r>
          </w:p>
        </w:tc>
      </w:tr>
      <w:tr w:rsidR="005C7768" w:rsidRPr="00E8450A" w:rsidTr="00335440">
        <w:tc>
          <w:tcPr>
            <w:tcW w:w="1857"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t>Ochrana vegetácie</w:t>
            </w:r>
          </w:p>
        </w:tc>
        <w:tc>
          <w:tcPr>
            <w:tcW w:w="2693"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t>od mája do júla</w:t>
            </w:r>
          </w:p>
        </w:tc>
        <w:tc>
          <w:tcPr>
            <w:tcW w:w="2507"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t>AOT40 (vypočítaný z 1-hodinových hodnôt) 6 000 μg/m</w:t>
            </w:r>
            <w:r w:rsidRPr="00E8450A">
              <w:rPr>
                <w:rStyle w:val="CRRefonteDeleted"/>
                <w:noProof/>
                <w:highlight w:val="lightGray"/>
                <w:vertAlign w:val="superscript"/>
              </w:rPr>
              <w:t>3</w:t>
            </w:r>
            <w:r w:rsidRPr="00E8450A">
              <w:rPr>
                <w:rStyle w:val="CRRefonteDeleted"/>
                <w:noProof/>
                <w:highlight w:val="lightGray"/>
              </w:rPr>
              <w:t xml:space="preserve"> · hod.</w:t>
            </w:r>
          </w:p>
        </w:tc>
        <w:tc>
          <w:tcPr>
            <w:tcW w:w="2229"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t>neurčený</w:t>
            </w:r>
          </w:p>
        </w:tc>
      </w:tr>
    </w:tbl>
    <w:p w:rsidR="005C7768" w:rsidRPr="00E8450A" w:rsidRDefault="005C7768" w:rsidP="005C7768">
      <w:pPr>
        <w:rPr>
          <w:noProof/>
        </w:rPr>
      </w:pPr>
    </w:p>
    <w:p w:rsidR="005C7768" w:rsidRPr="00E8450A" w:rsidRDefault="005C7768" w:rsidP="005C7768">
      <w:pPr>
        <w:adjustRightInd w:val="0"/>
        <w:spacing w:before="0" w:after="0"/>
        <w:jc w:val="left"/>
        <w:rPr>
          <w:noProof/>
        </w:rPr>
        <w:sectPr w:rsidR="005C7768" w:rsidRPr="00E8450A" w:rsidSect="000A000C">
          <w:pgSz w:w="11906" w:h="16838"/>
          <w:pgMar w:top="1134" w:right="1418" w:bottom="1134" w:left="1418" w:header="709" w:footer="709" w:gutter="0"/>
          <w:cols w:space="709"/>
          <w:docGrid w:linePitch="326"/>
        </w:sectPr>
      </w:pPr>
    </w:p>
    <w:p w:rsidR="005C7768" w:rsidRPr="00E8450A" w:rsidRDefault="005C7768" w:rsidP="005C7768">
      <w:pPr>
        <w:pStyle w:val="CRSeparator"/>
        <w:rPr>
          <w:noProof/>
        </w:rPr>
      </w:pPr>
    </w:p>
    <w:p w:rsidR="005C7768" w:rsidRPr="00E8450A" w:rsidRDefault="005C7768" w:rsidP="005C7768">
      <w:pPr>
        <w:pStyle w:val="CRReference"/>
        <w:rPr>
          <w:noProof/>
        </w:rPr>
      </w:pPr>
      <w:r w:rsidRPr="00E8450A">
        <w:rPr>
          <w:noProof/>
        </w:rPr>
        <w:fldChar w:fldCharType="begin"/>
      </w:r>
      <w:r w:rsidRPr="00E8450A">
        <w:rPr>
          <w:noProof/>
        </w:rPr>
        <w:instrText xml:space="preserve"> QUOTE "ê" </w:instrText>
      </w:r>
      <w:r w:rsidRPr="00E8450A">
        <w:rPr>
          <w:noProof/>
        </w:rPr>
        <w:fldChar w:fldCharType="separate"/>
      </w:r>
      <w:r w:rsidRPr="00E8450A">
        <w:rPr>
          <w:rStyle w:val="CRMarker"/>
          <w:noProof/>
        </w:rPr>
        <w:t>ê</w:t>
      </w:r>
      <w:r w:rsidRPr="00E8450A">
        <w:rPr>
          <w:noProof/>
        </w:rPr>
        <w:fldChar w:fldCharType="end"/>
      </w:r>
      <w:r w:rsidRPr="00E8450A">
        <w:rPr>
          <w:noProof/>
        </w:rPr>
        <w:t xml:space="preserve"> 2008/50</w:t>
      </w:r>
    </w:p>
    <w:p w:rsidR="005C7768" w:rsidRPr="00E8450A" w:rsidRDefault="005C7768" w:rsidP="000A6A7F">
      <w:pPr>
        <w:jc w:val="center"/>
        <w:rPr>
          <w:rStyle w:val="CRRefonteDeleted"/>
          <w:b/>
          <w:noProof/>
          <w:highlight w:val="lightGray"/>
          <w:u w:val="single"/>
        </w:rPr>
      </w:pPr>
      <w:r w:rsidRPr="00E8450A">
        <w:rPr>
          <w:rStyle w:val="CRRefonteDeleted"/>
          <w:b/>
          <w:noProof/>
          <w:highlight w:val="lightGray"/>
          <w:u w:val="single"/>
        </w:rPr>
        <w:t>PRÍLOHA VIII</w:t>
      </w:r>
    </w:p>
    <w:p w:rsidR="005C7768" w:rsidRPr="00E8450A" w:rsidRDefault="005C7768" w:rsidP="005C7768">
      <w:pPr>
        <w:pStyle w:val="NormalCentered"/>
        <w:rPr>
          <w:rStyle w:val="CRRefonteDeleted"/>
          <w:noProof/>
          <w:highlight w:val="lightGray"/>
        </w:rPr>
      </w:pPr>
      <w:r w:rsidRPr="00E8450A">
        <w:rPr>
          <w:rStyle w:val="CRRefonteDeleted"/>
          <w:b/>
          <w:noProof/>
          <w:highlight w:val="lightGray"/>
        </w:rPr>
        <w:t>Kritériá klasif</w:t>
      </w:r>
      <w:r w:rsidR="00041BE7">
        <w:rPr>
          <w:rStyle w:val="CRRefonteDeleted"/>
          <w:b/>
          <w:noProof/>
          <w:highlight w:val="lightGray"/>
        </w:rPr>
        <w:t>ikácie a umiestňovania vzorkova</w:t>
      </w:r>
      <w:r w:rsidRPr="00E8450A">
        <w:rPr>
          <w:rStyle w:val="CRRefonteDeleted"/>
          <w:b/>
          <w:noProof/>
          <w:highlight w:val="lightGray"/>
        </w:rPr>
        <w:t>cích miest na hodnotenie koncentrácií ozónu</w:t>
      </w:r>
    </w:p>
    <w:p w:rsidR="005C7768" w:rsidRPr="00E8450A" w:rsidRDefault="005C7768" w:rsidP="005C7768">
      <w:pPr>
        <w:rPr>
          <w:rStyle w:val="CRRefonteDeleted"/>
          <w:noProof/>
          <w:highlight w:val="lightGray"/>
        </w:rPr>
      </w:pPr>
      <w:r w:rsidRPr="00E8450A">
        <w:rPr>
          <w:rStyle w:val="CRRefonteDeleted"/>
          <w:noProof/>
          <w:highlight w:val="lightGray"/>
        </w:rPr>
        <w:t>Na stále merania sa vzťahuje nasledovné:</w:t>
      </w:r>
    </w:p>
    <w:p w:rsidR="005C7768" w:rsidRPr="00E8450A" w:rsidRDefault="005C7768" w:rsidP="005812BF">
      <w:pPr>
        <w:pStyle w:val="ManualHeading1"/>
        <w:ind w:left="851" w:hanging="851"/>
        <w:rPr>
          <w:rStyle w:val="CRRefonteDeleted"/>
          <w:noProof/>
          <w:highlight w:val="lightGray"/>
        </w:rPr>
      </w:pPr>
      <w:r w:rsidRPr="00E8450A">
        <w:rPr>
          <w:rStyle w:val="CRRefonteDeleted"/>
          <w:noProof/>
          <w:highlight w:val="lightGray"/>
        </w:rPr>
        <w:t>A</w:t>
      </w:r>
      <w:r w:rsidR="005812BF">
        <w:rPr>
          <w:rStyle w:val="CRRefonteDeleted"/>
          <w:noProof/>
          <w:highlight w:val="lightGray"/>
        </w:rPr>
        <w:t>)</w:t>
      </w:r>
      <w:r w:rsidRPr="00E8450A">
        <w:rPr>
          <w:noProof/>
        </w:rPr>
        <w:tab/>
      </w:r>
      <w:r w:rsidRPr="00E8450A">
        <w:rPr>
          <w:rStyle w:val="CRRefonteDeleted"/>
          <w:noProof/>
          <w:highlight w:val="lightGray"/>
        </w:rPr>
        <w:t>Umiestnenie na makroúrovni</w:t>
      </w:r>
    </w:p>
    <w:tbl>
      <w:tblPr>
        <w:tblW w:w="0" w:type="auto"/>
        <w:tblLayout w:type="fixed"/>
        <w:tblLook w:val="0000" w:firstRow="0" w:lastRow="0" w:firstColumn="0" w:lastColumn="0" w:noHBand="0" w:noVBand="0"/>
      </w:tblPr>
      <w:tblGrid>
        <w:gridCol w:w="1393"/>
        <w:gridCol w:w="2043"/>
        <w:gridCol w:w="3157"/>
        <w:gridCol w:w="2693"/>
      </w:tblGrid>
      <w:tr w:rsidR="005C7768" w:rsidRPr="00E8450A" w:rsidTr="00335440">
        <w:tc>
          <w:tcPr>
            <w:tcW w:w="1393"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Centered"/>
              <w:rPr>
                <w:rStyle w:val="CRRefonteDeleted"/>
                <w:noProof/>
                <w:highlight w:val="lightGray"/>
              </w:rPr>
            </w:pPr>
            <w:r w:rsidRPr="00E8450A">
              <w:rPr>
                <w:rStyle w:val="CRRefonteDeleted"/>
                <w:noProof/>
                <w:highlight w:val="lightGray"/>
              </w:rPr>
              <w:t>Typ stanice</w:t>
            </w:r>
          </w:p>
        </w:tc>
        <w:tc>
          <w:tcPr>
            <w:tcW w:w="2043"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Centered"/>
              <w:rPr>
                <w:rStyle w:val="CRRefonteDeleted"/>
                <w:noProof/>
                <w:highlight w:val="lightGray"/>
              </w:rPr>
            </w:pPr>
            <w:r w:rsidRPr="00E8450A">
              <w:rPr>
                <w:rStyle w:val="CRRefonteDeleted"/>
                <w:noProof/>
                <w:highlight w:val="lightGray"/>
              </w:rPr>
              <w:t>Ciele merania</w:t>
            </w:r>
          </w:p>
        </w:tc>
        <w:tc>
          <w:tcPr>
            <w:tcW w:w="3157"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Centered"/>
              <w:rPr>
                <w:rStyle w:val="CRRefonteDeleted"/>
                <w:noProof/>
                <w:highlight w:val="lightGray"/>
              </w:rPr>
            </w:pPr>
            <w:r w:rsidRPr="00E8450A">
              <w:rPr>
                <w:rStyle w:val="CRRefonteDeleted"/>
                <w:noProof/>
                <w:highlight w:val="lightGray"/>
              </w:rPr>
              <w:t>Reprezentatívnosť</w:t>
            </w:r>
            <w:r w:rsidRPr="00E8450A">
              <w:rPr>
                <w:rStyle w:val="CRRefonteDeleted"/>
                <w:noProof/>
                <w:highlight w:val="lightGray"/>
                <w:vertAlign w:val="superscript"/>
              </w:rPr>
              <w:footnoteReference w:id="23"/>
            </w:r>
          </w:p>
        </w:tc>
        <w:tc>
          <w:tcPr>
            <w:tcW w:w="2693"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Centered"/>
              <w:rPr>
                <w:rStyle w:val="CRRefonteDeleted"/>
                <w:noProof/>
                <w:highlight w:val="lightGray"/>
              </w:rPr>
            </w:pPr>
            <w:r w:rsidRPr="00E8450A">
              <w:rPr>
                <w:rStyle w:val="CRRefonteDeleted"/>
                <w:noProof/>
                <w:highlight w:val="lightGray"/>
              </w:rPr>
              <w:t>Kritériá umiestnenia na makroúrovni</w:t>
            </w:r>
          </w:p>
        </w:tc>
      </w:tr>
      <w:tr w:rsidR="005C7768" w:rsidRPr="00E8450A" w:rsidTr="00335440">
        <w:tc>
          <w:tcPr>
            <w:tcW w:w="1393"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t>Mestská</w:t>
            </w:r>
          </w:p>
        </w:tc>
        <w:tc>
          <w:tcPr>
            <w:tcW w:w="2043"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t>Ochrana zdravia ľudí:</w:t>
            </w:r>
          </w:p>
          <w:p w:rsidR="005C7768" w:rsidRPr="00E8450A" w:rsidRDefault="005C7768" w:rsidP="00335440">
            <w:pPr>
              <w:pStyle w:val="NormalLeft"/>
              <w:rPr>
                <w:rStyle w:val="CRRefonteDeleted"/>
                <w:noProof/>
                <w:highlight w:val="lightGray"/>
              </w:rPr>
            </w:pPr>
            <w:r w:rsidRPr="00E8450A">
              <w:rPr>
                <w:rStyle w:val="CRRefonteDeleted"/>
                <w:noProof/>
                <w:highlight w:val="lightGray"/>
              </w:rPr>
              <w:t>posúdiť expozíciu mestského obyvateľstva ozónu, t. j. v miestach, kde je hustota obyvateľstva a koncentrácia ozónu relatívne vysoká a reprezentuje expozíciu bežného obyvateľstva</w:t>
            </w:r>
          </w:p>
        </w:tc>
        <w:tc>
          <w:tcPr>
            <w:tcW w:w="3157"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t>Niekoľko km</w:t>
            </w:r>
            <w:r w:rsidRPr="00E8450A">
              <w:rPr>
                <w:rStyle w:val="CRRefonteDeleted"/>
                <w:noProof/>
                <w:highlight w:val="lightGray"/>
                <w:vertAlign w:val="superscript"/>
              </w:rPr>
              <w:t>2</w:t>
            </w:r>
          </w:p>
        </w:tc>
        <w:tc>
          <w:tcPr>
            <w:tcW w:w="2693"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t>Mimo vplyvu miestnych emisií, napr. z dopravy, čerpacích staníc atď.;</w:t>
            </w:r>
          </w:p>
          <w:p w:rsidR="005C7768" w:rsidRPr="00E8450A" w:rsidRDefault="005C7768" w:rsidP="00335440">
            <w:pPr>
              <w:pStyle w:val="NormalLeft"/>
              <w:rPr>
                <w:rStyle w:val="CRRefonteDeleted"/>
                <w:noProof/>
                <w:highlight w:val="lightGray"/>
              </w:rPr>
            </w:pPr>
            <w:r w:rsidRPr="00E8450A">
              <w:rPr>
                <w:rStyle w:val="CRRefonteDeleted"/>
                <w:noProof/>
                <w:highlight w:val="lightGray"/>
              </w:rPr>
              <w:t>odvetrané miesta, kde je možné merať dobre zmiešané úrovne;</w:t>
            </w:r>
          </w:p>
          <w:p w:rsidR="005C7768" w:rsidRPr="00E8450A" w:rsidRDefault="005C7768" w:rsidP="00335440">
            <w:pPr>
              <w:pStyle w:val="NormalLeft"/>
              <w:rPr>
                <w:rStyle w:val="CRRefonteDeleted"/>
                <w:noProof/>
                <w:highlight w:val="lightGray"/>
              </w:rPr>
            </w:pPr>
            <w:r w:rsidRPr="00E8450A">
              <w:rPr>
                <w:rStyle w:val="CRRefonteDeleted"/>
                <w:noProof/>
                <w:highlight w:val="lightGray"/>
              </w:rPr>
              <w:t>Miesta, ako sú obytné a obchodné oblasti miest, parky (nie v bezprostrednej blízkosti stromov), hlavné ulice a námestia s veľmi nízkou alebo žiadnou premávkou, voľné priestranstvá využívané na vzdelávacie, športové a rekreačné účely</w:t>
            </w:r>
          </w:p>
        </w:tc>
      </w:tr>
      <w:tr w:rsidR="005C7768" w:rsidRPr="00E8450A" w:rsidTr="00335440">
        <w:tc>
          <w:tcPr>
            <w:tcW w:w="1393"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t>Predmestská</w:t>
            </w:r>
          </w:p>
        </w:tc>
        <w:tc>
          <w:tcPr>
            <w:tcW w:w="2043"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t>Ochrana zdravia ľudí a vegetácie:</w:t>
            </w:r>
          </w:p>
          <w:p w:rsidR="005C7768" w:rsidRPr="00E8450A" w:rsidRDefault="005C7768" w:rsidP="00335440">
            <w:pPr>
              <w:pStyle w:val="NormalLeft"/>
              <w:rPr>
                <w:rStyle w:val="CRRefonteDeleted"/>
                <w:noProof/>
                <w:highlight w:val="lightGray"/>
              </w:rPr>
            </w:pPr>
            <w:r w:rsidRPr="00E8450A">
              <w:rPr>
                <w:rStyle w:val="CRRefonteDeleted"/>
                <w:noProof/>
                <w:highlight w:val="lightGray"/>
              </w:rPr>
              <w:t>posúdiť expozíciu obyvateľstva a vegetácie v predmestiach aglomerácií, kde sa vyskytujú najvyššie úrovne ozónu, ktorým môže byť obyvateľstvo a vegetácia priamo alebo nepriamo vystavené</w:t>
            </w:r>
          </w:p>
        </w:tc>
        <w:tc>
          <w:tcPr>
            <w:tcW w:w="3157"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t>Niekoľko desiatok km</w:t>
            </w:r>
            <w:r w:rsidRPr="00E8450A">
              <w:rPr>
                <w:rStyle w:val="CRRefonteDeleted"/>
                <w:noProof/>
                <w:highlight w:val="lightGray"/>
                <w:vertAlign w:val="superscript"/>
              </w:rPr>
              <w:t>2</w:t>
            </w:r>
          </w:p>
        </w:tc>
        <w:tc>
          <w:tcPr>
            <w:tcW w:w="2693"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t>V určitej vzdialenosti od oblasti s maximálnymi emisiami, v smere vetra vzhľadom na prevládajúci smer vetra/smer za podmienok, ktoré sú priaznivé pre tvorbu ozónu;</w:t>
            </w:r>
          </w:p>
          <w:p w:rsidR="005C7768" w:rsidRPr="00E8450A" w:rsidRDefault="005C7768" w:rsidP="00335440">
            <w:pPr>
              <w:pStyle w:val="NormalLeft"/>
              <w:rPr>
                <w:rStyle w:val="CRRefonteDeleted"/>
                <w:noProof/>
                <w:highlight w:val="lightGray"/>
              </w:rPr>
            </w:pPr>
            <w:r w:rsidRPr="00E8450A">
              <w:rPr>
                <w:rStyle w:val="CRRefonteDeleted"/>
                <w:noProof/>
                <w:highlight w:val="lightGray"/>
              </w:rPr>
              <w:t>v okrajových oblastiach aglomerácií, kde sú obyvateľstvo, citlivé plodiny alebo prírodné ekosystémy vystavené vysokým úrovniam ozónu;</w:t>
            </w:r>
          </w:p>
          <w:p w:rsidR="005C7768" w:rsidRPr="00E8450A" w:rsidRDefault="005C7768" w:rsidP="00335440">
            <w:pPr>
              <w:pStyle w:val="NormalLeft"/>
              <w:rPr>
                <w:rStyle w:val="CRRefonteDeleted"/>
                <w:noProof/>
                <w:highlight w:val="lightGray"/>
              </w:rPr>
            </w:pPr>
            <w:r w:rsidRPr="00E8450A">
              <w:rPr>
                <w:rStyle w:val="CRRefonteDeleted"/>
                <w:noProof/>
                <w:highlight w:val="lightGray"/>
              </w:rPr>
              <w:t>prípadne v niekoľkých predmestských staniciach, aj proti smeru vetra od oblasti s maximálnymi emisiami s cieľom určiť regionálne pozaďové úrovne ozónu</w:t>
            </w:r>
          </w:p>
        </w:tc>
      </w:tr>
      <w:tr w:rsidR="005C7768" w:rsidRPr="00E8450A" w:rsidTr="00335440">
        <w:tc>
          <w:tcPr>
            <w:tcW w:w="1393"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t>Vidiecka</w:t>
            </w:r>
          </w:p>
        </w:tc>
        <w:tc>
          <w:tcPr>
            <w:tcW w:w="2043"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t>Ochrana zdravia ľudí a vegetácie:</w:t>
            </w:r>
          </w:p>
          <w:p w:rsidR="005C7768" w:rsidRPr="00E8450A" w:rsidRDefault="005C7768" w:rsidP="00335440">
            <w:pPr>
              <w:pStyle w:val="NormalLeft"/>
              <w:rPr>
                <w:rStyle w:val="CRRefonteDeleted"/>
                <w:noProof/>
                <w:highlight w:val="lightGray"/>
              </w:rPr>
            </w:pPr>
            <w:r w:rsidRPr="00E8450A">
              <w:rPr>
                <w:rStyle w:val="CRRefonteDeleted"/>
                <w:noProof/>
                <w:highlight w:val="lightGray"/>
              </w:rPr>
              <w:t>posúdiť expozíciu obyvateľstva, plodín a prírodných ekosystémov koncentráciám ozónu na subregionálnej úrovni</w:t>
            </w:r>
          </w:p>
        </w:tc>
        <w:tc>
          <w:tcPr>
            <w:tcW w:w="3157"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t>Subregionálne úrovne</w:t>
            </w:r>
          </w:p>
          <w:p w:rsidR="005C7768" w:rsidRPr="00E8450A" w:rsidRDefault="005C7768" w:rsidP="00335440">
            <w:pPr>
              <w:pStyle w:val="NormalLeft"/>
              <w:rPr>
                <w:rStyle w:val="CRRefonteDeleted"/>
                <w:noProof/>
                <w:highlight w:val="lightGray"/>
              </w:rPr>
            </w:pPr>
            <w:r w:rsidRPr="00E8450A">
              <w:rPr>
                <w:rStyle w:val="CRRefonteDeleted"/>
                <w:noProof/>
                <w:highlight w:val="lightGray"/>
              </w:rPr>
              <w:t>(niekoľko stoviek km</w:t>
            </w:r>
            <w:r w:rsidRPr="00E8450A">
              <w:rPr>
                <w:rStyle w:val="CRRefonteDeleted"/>
                <w:noProof/>
                <w:highlight w:val="lightGray"/>
                <w:vertAlign w:val="superscript"/>
              </w:rPr>
              <w:t>2</w:t>
            </w:r>
            <w:r w:rsidRPr="00E8450A">
              <w:rPr>
                <w:rStyle w:val="CRRefonteDeleted"/>
                <w:noProof/>
                <w:highlight w:val="lightGray"/>
              </w:rPr>
              <w:t>)</w:t>
            </w:r>
          </w:p>
        </w:tc>
        <w:tc>
          <w:tcPr>
            <w:tcW w:w="2693"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t>Stanice môžu byť umiestnené v malých osadách a/alebo oblastiach s prírodnými ekosystémami, lesmi alebo plodinami;</w:t>
            </w:r>
          </w:p>
          <w:p w:rsidR="005C7768" w:rsidRPr="00E8450A" w:rsidRDefault="005C7768" w:rsidP="00335440">
            <w:pPr>
              <w:pStyle w:val="NormalLeft"/>
              <w:rPr>
                <w:rStyle w:val="CRRefonteDeleted"/>
                <w:noProof/>
                <w:highlight w:val="lightGray"/>
              </w:rPr>
            </w:pPr>
            <w:r w:rsidRPr="00E8450A">
              <w:rPr>
                <w:rStyle w:val="CRRefonteDeleted"/>
                <w:noProof/>
                <w:highlight w:val="lightGray"/>
              </w:rPr>
              <w:t>reprezentatívna vzorka ozónu mimo dosahu priamych miestnych emisií, ako sú priemyselné zariadenia a cesty;</w:t>
            </w:r>
          </w:p>
          <w:p w:rsidR="005C7768" w:rsidRPr="00E8450A" w:rsidRDefault="005C7768" w:rsidP="00335440">
            <w:pPr>
              <w:pStyle w:val="NormalLeft"/>
              <w:rPr>
                <w:rStyle w:val="CRRefonteDeleted"/>
                <w:noProof/>
                <w:highlight w:val="lightGray"/>
              </w:rPr>
            </w:pPr>
            <w:r w:rsidRPr="00E8450A">
              <w:rPr>
                <w:rStyle w:val="CRRefonteDeleted"/>
                <w:noProof/>
                <w:highlight w:val="lightGray"/>
              </w:rPr>
              <w:t>na voľných priestranstvách, nie však na vrcholoch vyšších pohorí</w:t>
            </w:r>
          </w:p>
        </w:tc>
      </w:tr>
      <w:tr w:rsidR="005C7768" w:rsidRPr="00E8450A" w:rsidTr="00335440">
        <w:tc>
          <w:tcPr>
            <w:tcW w:w="1393"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t>Vidiecka pozaďová</w:t>
            </w:r>
          </w:p>
        </w:tc>
        <w:tc>
          <w:tcPr>
            <w:tcW w:w="2043"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t>Ochrana vegetácie a zdravia ľudí:</w:t>
            </w:r>
          </w:p>
          <w:p w:rsidR="005C7768" w:rsidRPr="00E8450A" w:rsidRDefault="005C7768" w:rsidP="00335440">
            <w:pPr>
              <w:pStyle w:val="NormalLeft"/>
              <w:rPr>
                <w:rStyle w:val="CRRefonteDeleted"/>
                <w:noProof/>
                <w:highlight w:val="lightGray"/>
              </w:rPr>
            </w:pPr>
            <w:r w:rsidRPr="00E8450A">
              <w:rPr>
                <w:rStyle w:val="CRRefonteDeleted"/>
                <w:noProof/>
                <w:highlight w:val="lightGray"/>
              </w:rPr>
              <w:t>posúdiť expozíciu plodín a prírodných ekosystémov koncentráciám ozónu na regionálnej úrovni, ako aj expozíciu obyvateľstva</w:t>
            </w:r>
          </w:p>
        </w:tc>
        <w:tc>
          <w:tcPr>
            <w:tcW w:w="3157"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t>Regionálne/celoštátne/kontinentálne úrovne</w:t>
            </w:r>
          </w:p>
          <w:p w:rsidR="005C7768" w:rsidRPr="00E8450A" w:rsidRDefault="005C7768" w:rsidP="00335440">
            <w:pPr>
              <w:pStyle w:val="NormalLeft"/>
              <w:rPr>
                <w:rStyle w:val="CRRefonteDeleted"/>
                <w:noProof/>
                <w:highlight w:val="lightGray"/>
              </w:rPr>
            </w:pPr>
            <w:r w:rsidRPr="00E8450A">
              <w:rPr>
                <w:rStyle w:val="CRRefonteDeleted"/>
                <w:noProof/>
                <w:highlight w:val="lightGray"/>
              </w:rPr>
              <w:t>(od 1 000 do 10 000 km</w:t>
            </w:r>
            <w:r w:rsidRPr="00E8450A">
              <w:rPr>
                <w:rStyle w:val="CRRefonteDeleted"/>
                <w:noProof/>
                <w:highlight w:val="lightGray"/>
                <w:vertAlign w:val="superscript"/>
              </w:rPr>
              <w:t>2</w:t>
            </w:r>
            <w:r w:rsidRPr="00E8450A">
              <w:rPr>
                <w:rStyle w:val="CRRefonteDeleted"/>
                <w:noProof/>
                <w:highlight w:val="lightGray"/>
              </w:rPr>
              <w:t>)</w:t>
            </w:r>
          </w:p>
        </w:tc>
        <w:tc>
          <w:tcPr>
            <w:tcW w:w="2693"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t>Stanice umiestnené v oblastiach s nižšou hustotou obyvateľstva, napr. s prírodnými ekosystémami, lesmi, vo vzdialenosti aspoň 20 km od mestských a priemyselných oblastí a mimo miestnych emisií;</w:t>
            </w:r>
          </w:p>
          <w:p w:rsidR="005C7768" w:rsidRPr="00E8450A" w:rsidRDefault="005C7768" w:rsidP="00335440">
            <w:pPr>
              <w:pStyle w:val="NormalLeft"/>
              <w:rPr>
                <w:rStyle w:val="CRRefonteDeleted"/>
                <w:noProof/>
                <w:highlight w:val="lightGray"/>
              </w:rPr>
            </w:pPr>
            <w:r w:rsidRPr="00E8450A">
              <w:rPr>
                <w:rStyle w:val="CRRefonteDeleted"/>
                <w:noProof/>
                <w:highlight w:val="lightGray"/>
              </w:rPr>
              <w:t>je potrebné vyhnúť sa miestam, ktoré lokálne podliehajú zvýšenej tvorbe prízemných inverzných podmienok, taktiež vrcholom vyšších pohorí;</w:t>
            </w:r>
          </w:p>
          <w:p w:rsidR="005C7768" w:rsidRPr="00E8450A" w:rsidRDefault="005C7768" w:rsidP="00335440">
            <w:pPr>
              <w:pStyle w:val="NormalLeft"/>
              <w:rPr>
                <w:rStyle w:val="CRRefonteDeleted"/>
                <w:noProof/>
                <w:highlight w:val="lightGray"/>
              </w:rPr>
            </w:pPr>
            <w:r w:rsidRPr="00E8450A">
              <w:rPr>
                <w:rStyle w:val="CRRefonteDeleted"/>
                <w:noProof/>
                <w:highlight w:val="lightGray"/>
              </w:rPr>
              <w:t>neodporúčajú sa pobrežné oblasti s ustáleným každodenným veterným cyklom miestneho charakteru.</w:t>
            </w:r>
          </w:p>
        </w:tc>
      </w:tr>
    </w:tbl>
    <w:p w:rsidR="005C7768" w:rsidRPr="00E8450A" w:rsidRDefault="005C7768" w:rsidP="005C7768">
      <w:pPr>
        <w:rPr>
          <w:rStyle w:val="CRRefonteDeleted"/>
          <w:noProof/>
          <w:highlight w:val="lightGray"/>
        </w:rPr>
      </w:pPr>
    </w:p>
    <w:p w:rsidR="005C7768" w:rsidRPr="00E8450A" w:rsidRDefault="005C7768" w:rsidP="005C7768">
      <w:pPr>
        <w:rPr>
          <w:rStyle w:val="CRRefonteDeleted"/>
          <w:noProof/>
          <w:highlight w:val="lightGray"/>
        </w:rPr>
      </w:pPr>
      <w:r w:rsidRPr="00E8450A">
        <w:rPr>
          <w:rStyle w:val="CRRefonteDeleted"/>
          <w:noProof/>
          <w:highlight w:val="lightGray"/>
        </w:rPr>
        <w:t>Pre vidiecke stanice a vidiecke pozaďové stanice sa vo vhodných prípadoch umiestnenie koordinuje s monitorovacími požiadavkami nariadenia Komisie (ES) č. 1737/2006 zo 7. novembra 2006, ktorým sa stanovujú podrobné pravidlá vykonávania nariadenia Európskeho parlamentu a Rady (ES) č. 2152/2003 týkajúceho sa monitorovania lesov a environmentálnych interakcií v Spoločenstve</w:t>
      </w:r>
      <w:r w:rsidRPr="00E8450A">
        <w:rPr>
          <w:rStyle w:val="CRRefonteDeleted"/>
          <w:noProof/>
          <w:highlight w:val="lightGray"/>
          <w:vertAlign w:val="superscript"/>
        </w:rPr>
        <w:footnoteReference w:id="24"/>
      </w:r>
      <w:r w:rsidRPr="00E8450A">
        <w:rPr>
          <w:rStyle w:val="CRRefonteDeleted"/>
          <w:noProof/>
          <w:highlight w:val="lightGray"/>
        </w:rPr>
        <w:t>.</w:t>
      </w:r>
    </w:p>
    <w:p w:rsidR="005C7768" w:rsidRPr="00E8450A" w:rsidRDefault="005C7768" w:rsidP="005812BF">
      <w:pPr>
        <w:pStyle w:val="ManualHeading1"/>
        <w:ind w:left="851" w:hanging="851"/>
        <w:rPr>
          <w:rStyle w:val="CRRefonteDeleted"/>
          <w:noProof/>
          <w:highlight w:val="lightGray"/>
        </w:rPr>
      </w:pPr>
      <w:r w:rsidRPr="00E8450A">
        <w:rPr>
          <w:rStyle w:val="CRRefonteDeleted"/>
          <w:noProof/>
          <w:highlight w:val="lightGray"/>
        </w:rPr>
        <w:t>B</w:t>
      </w:r>
      <w:r w:rsidR="005812BF">
        <w:rPr>
          <w:rStyle w:val="CRRefonteDeleted"/>
          <w:noProof/>
          <w:highlight w:val="lightGray"/>
        </w:rPr>
        <w:t>)</w:t>
      </w:r>
      <w:r w:rsidRPr="00E8450A">
        <w:rPr>
          <w:noProof/>
        </w:rPr>
        <w:tab/>
      </w:r>
      <w:r w:rsidRPr="00E8450A">
        <w:rPr>
          <w:rStyle w:val="CRRefonteDeleted"/>
          <w:noProof/>
          <w:highlight w:val="lightGray"/>
        </w:rPr>
        <w:t>Umiestnenie na mikroúrovni</w:t>
      </w:r>
    </w:p>
    <w:p w:rsidR="005C7768" w:rsidRPr="00E8450A" w:rsidRDefault="005C7768" w:rsidP="005C7768">
      <w:pPr>
        <w:rPr>
          <w:rStyle w:val="CRRefonteDeleted"/>
          <w:noProof/>
          <w:highlight w:val="lightGray"/>
        </w:rPr>
      </w:pPr>
      <w:r w:rsidRPr="00E8450A">
        <w:rPr>
          <w:rStyle w:val="CRRefonteDeleted"/>
          <w:noProof/>
          <w:highlight w:val="lightGray"/>
        </w:rPr>
        <w:t>Postup pri umiestňovaní na mikroúrovni v oddiele C prílohy III sa dodržiava, pokiaľ je to možné, pričom sa zabezpečí, aby bola sonda vo vstupnom otvore umiestnená v dostatočnej vzdialenosti od takých zdrojov, ako sú pece a spaľovacie komíny, a viac ako 10 metrov od najbližšej cesty, pričom táto vzdialenosť sa zvyšuje v závislosti od hustoty premávky.</w:t>
      </w:r>
    </w:p>
    <w:p w:rsidR="005C7768" w:rsidRPr="00E8450A" w:rsidRDefault="005C7768" w:rsidP="005812BF">
      <w:pPr>
        <w:pStyle w:val="ManualHeading1"/>
        <w:ind w:left="851" w:hanging="851"/>
        <w:rPr>
          <w:rStyle w:val="CRRefonteDeleted"/>
          <w:noProof/>
          <w:highlight w:val="lightGray"/>
        </w:rPr>
      </w:pPr>
      <w:r w:rsidRPr="00E8450A">
        <w:rPr>
          <w:rStyle w:val="CRRefonteDeleted"/>
          <w:noProof/>
          <w:highlight w:val="lightGray"/>
        </w:rPr>
        <w:t>C</w:t>
      </w:r>
      <w:r w:rsidR="005812BF">
        <w:rPr>
          <w:rStyle w:val="CRRefonteDeleted"/>
          <w:noProof/>
          <w:highlight w:val="lightGray"/>
        </w:rPr>
        <w:t>)</w:t>
      </w:r>
      <w:r w:rsidRPr="00E8450A">
        <w:rPr>
          <w:noProof/>
        </w:rPr>
        <w:tab/>
      </w:r>
      <w:r w:rsidRPr="00E8450A">
        <w:rPr>
          <w:rStyle w:val="CRRefonteDeleted"/>
          <w:noProof/>
          <w:highlight w:val="lightGray"/>
        </w:rPr>
        <w:t>Dokumentácia a preskúmanie výberu miesta</w:t>
      </w:r>
    </w:p>
    <w:p w:rsidR="005C7768" w:rsidRPr="00E8450A" w:rsidRDefault="005C7768" w:rsidP="005C7768">
      <w:pPr>
        <w:rPr>
          <w:rStyle w:val="CRRefonteDeleted"/>
          <w:noProof/>
          <w:highlight w:val="lightGray"/>
        </w:rPr>
      </w:pPr>
      <w:r w:rsidRPr="00E8450A">
        <w:rPr>
          <w:rStyle w:val="CRRefonteDeleted"/>
          <w:noProof/>
          <w:highlight w:val="lightGray"/>
        </w:rPr>
        <w:t>Postup v oddiele D prílohy III sa dodržiava pri uplatňovaní riadneho skríningu a interpretácie monitorovacích údajov v kontexte meteorologických a fotochemických procesov ovplyvňujúcich koncentrácie ozónu merané na príslušných miestach.</w:t>
      </w:r>
    </w:p>
    <w:p w:rsidR="005C7768" w:rsidRPr="00E8450A" w:rsidRDefault="005C7768" w:rsidP="005C7768">
      <w:pPr>
        <w:adjustRightInd w:val="0"/>
        <w:spacing w:before="0" w:after="0"/>
        <w:jc w:val="left"/>
        <w:rPr>
          <w:noProof/>
        </w:rPr>
        <w:sectPr w:rsidR="005C7768" w:rsidRPr="00E8450A" w:rsidSect="000A000C">
          <w:pgSz w:w="11906" w:h="16838"/>
          <w:pgMar w:top="1134" w:right="1418" w:bottom="1134" w:left="1418" w:header="709" w:footer="709" w:gutter="0"/>
          <w:cols w:space="709"/>
          <w:docGrid w:linePitch="326"/>
        </w:sectPr>
      </w:pPr>
    </w:p>
    <w:p w:rsidR="005C7768" w:rsidRPr="00E8450A" w:rsidRDefault="005C7768" w:rsidP="005C7768">
      <w:pPr>
        <w:pStyle w:val="CRSeparator"/>
        <w:rPr>
          <w:noProof/>
        </w:rPr>
      </w:pPr>
    </w:p>
    <w:p w:rsidR="005C7768" w:rsidRPr="00E8450A" w:rsidRDefault="005C7768" w:rsidP="005C7768">
      <w:pPr>
        <w:pStyle w:val="CRReference"/>
        <w:rPr>
          <w:noProof/>
        </w:rPr>
      </w:pPr>
      <w:r w:rsidRPr="00E8450A">
        <w:rPr>
          <w:noProof/>
        </w:rPr>
        <w:fldChar w:fldCharType="begin"/>
      </w:r>
      <w:r w:rsidRPr="00E8450A">
        <w:rPr>
          <w:noProof/>
        </w:rPr>
        <w:instrText xml:space="preserve"> QUOTE "ê" </w:instrText>
      </w:r>
      <w:r w:rsidRPr="00E8450A">
        <w:rPr>
          <w:noProof/>
        </w:rPr>
        <w:fldChar w:fldCharType="separate"/>
      </w:r>
      <w:r w:rsidRPr="00E8450A">
        <w:rPr>
          <w:rStyle w:val="CRMarker"/>
          <w:noProof/>
        </w:rPr>
        <w:t>ê</w:t>
      </w:r>
      <w:r w:rsidRPr="00E8450A">
        <w:rPr>
          <w:noProof/>
        </w:rPr>
        <w:fldChar w:fldCharType="end"/>
      </w:r>
      <w:r w:rsidRPr="00E8450A">
        <w:rPr>
          <w:noProof/>
        </w:rPr>
        <w:t> 2008/50/ES</w:t>
      </w:r>
    </w:p>
    <w:p w:rsidR="005C7768" w:rsidRPr="00E8450A" w:rsidRDefault="005C7768" w:rsidP="000A6A7F">
      <w:pPr>
        <w:jc w:val="center"/>
        <w:rPr>
          <w:rStyle w:val="CRRefonteDeleted"/>
          <w:b/>
          <w:noProof/>
          <w:highlight w:val="lightGray"/>
          <w:u w:val="single"/>
        </w:rPr>
      </w:pPr>
      <w:r w:rsidRPr="00E8450A">
        <w:rPr>
          <w:rStyle w:val="CRRefonteDeleted"/>
          <w:b/>
          <w:noProof/>
          <w:highlight w:val="lightGray"/>
          <w:u w:val="single"/>
        </w:rPr>
        <w:t>PRÍLOHA IX</w:t>
      </w:r>
    </w:p>
    <w:p w:rsidR="005C7768" w:rsidRPr="00E8450A" w:rsidRDefault="005C7768" w:rsidP="005C7768">
      <w:pPr>
        <w:pStyle w:val="NormalCentered"/>
        <w:rPr>
          <w:rStyle w:val="CRRefonteDeleted"/>
          <w:noProof/>
          <w:highlight w:val="lightGray"/>
        </w:rPr>
      </w:pPr>
      <w:r w:rsidRPr="00E8450A">
        <w:rPr>
          <w:rStyle w:val="CRRefonteDeleted"/>
          <w:b/>
          <w:noProof/>
          <w:highlight w:val="lightGray"/>
        </w:rPr>
        <w:t>Kritériá na určenie minimálneho počtu vzorkovacích miest pre stále meranie koncentrácií ozónu</w:t>
      </w:r>
    </w:p>
    <w:p w:rsidR="005C7768" w:rsidRPr="00E8450A" w:rsidRDefault="005C7768" w:rsidP="005C7768">
      <w:pPr>
        <w:pStyle w:val="CRSeparator"/>
        <w:rPr>
          <w:noProof/>
        </w:rPr>
      </w:pPr>
    </w:p>
    <w:p w:rsidR="005C7768" w:rsidRPr="00E8450A" w:rsidRDefault="005C7768" w:rsidP="005C7768">
      <w:pPr>
        <w:pStyle w:val="CRReference"/>
        <w:rPr>
          <w:noProof/>
        </w:rPr>
      </w:pPr>
      <w:r w:rsidRPr="00E8450A">
        <w:rPr>
          <w:noProof/>
        </w:rPr>
        <w:fldChar w:fldCharType="begin"/>
      </w:r>
      <w:r w:rsidRPr="00E8450A">
        <w:rPr>
          <w:noProof/>
        </w:rPr>
        <w:instrText xml:space="preserve"> QUOTE "ê" </w:instrText>
      </w:r>
      <w:r w:rsidRPr="00E8450A">
        <w:rPr>
          <w:noProof/>
        </w:rPr>
        <w:fldChar w:fldCharType="separate"/>
      </w:r>
      <w:r w:rsidRPr="00E8450A">
        <w:rPr>
          <w:rStyle w:val="CRMarker"/>
          <w:noProof/>
        </w:rPr>
        <w:t>ê</w:t>
      </w:r>
      <w:r w:rsidRPr="00E8450A">
        <w:rPr>
          <w:noProof/>
        </w:rPr>
        <w:fldChar w:fldCharType="end"/>
      </w:r>
      <w:r w:rsidRPr="00E8450A">
        <w:rPr>
          <w:noProof/>
        </w:rPr>
        <w:t> 2015/1480 článok 2 a bod 4 prílohy II</w:t>
      </w:r>
    </w:p>
    <w:p w:rsidR="005C7768" w:rsidRPr="00E8450A" w:rsidRDefault="005C7768" w:rsidP="005812BF">
      <w:pPr>
        <w:pStyle w:val="ManualHeading1"/>
        <w:ind w:left="851" w:hanging="851"/>
        <w:rPr>
          <w:rStyle w:val="CRRefonteDeleted"/>
          <w:noProof/>
          <w:highlight w:val="lightGray"/>
        </w:rPr>
      </w:pPr>
      <w:r w:rsidRPr="00E8450A">
        <w:rPr>
          <w:rStyle w:val="CRRefonteDeleted"/>
          <w:noProof/>
          <w:highlight w:val="lightGray"/>
        </w:rPr>
        <w:t>A</w:t>
      </w:r>
      <w:r w:rsidR="005812BF">
        <w:rPr>
          <w:rStyle w:val="CRRefonteDeleted"/>
          <w:noProof/>
          <w:highlight w:val="lightGray"/>
        </w:rPr>
        <w:t>)</w:t>
      </w:r>
      <w:r w:rsidRPr="00E8450A">
        <w:rPr>
          <w:noProof/>
        </w:rPr>
        <w:tab/>
      </w:r>
      <w:r w:rsidRPr="00E8450A">
        <w:rPr>
          <w:rStyle w:val="CRRefonteDeleted"/>
          <w:noProof/>
          <w:highlight w:val="lightGray"/>
        </w:rPr>
        <w:t>Minimálny počet vzorkovacích miest pre stále meranie koncentrácií ozónu</w:t>
      </w:r>
    </w:p>
    <w:p w:rsidR="005C7768" w:rsidRPr="00E8450A" w:rsidRDefault="005C7768" w:rsidP="005C7768">
      <w:pPr>
        <w:rPr>
          <w:rStyle w:val="CRRefonteDeleted"/>
          <w:noProof/>
          <w:highlight w:val="lightGray"/>
        </w:rPr>
      </w:pPr>
      <w:r w:rsidRPr="00E8450A">
        <w:rPr>
          <w:rStyle w:val="CRRefonteDeleted"/>
          <w:noProof/>
          <w:highlight w:val="lightGray"/>
        </w:rPr>
        <w:t>Minimálny počet vzorkovacích miest pre stále nepretržité merania na posúdenie dodržiavania cieľových hodnôt, dlhodobých cieľov a informačných a výstražných prahov, ak sú takéto merania jediným zdrojom informácií.</w:t>
      </w:r>
    </w:p>
    <w:tbl>
      <w:tblPr>
        <w:tblW w:w="0" w:type="auto"/>
        <w:tblLayout w:type="fixed"/>
        <w:tblLook w:val="0000" w:firstRow="0" w:lastRow="0" w:firstColumn="0" w:lastColumn="0" w:noHBand="0" w:noVBand="0"/>
      </w:tblPr>
      <w:tblGrid>
        <w:gridCol w:w="1579"/>
        <w:gridCol w:w="2785"/>
        <w:gridCol w:w="2136"/>
        <w:gridCol w:w="2786"/>
      </w:tblGrid>
      <w:tr w:rsidR="005C7768" w:rsidRPr="00E8450A" w:rsidTr="00335440">
        <w:tc>
          <w:tcPr>
            <w:tcW w:w="1579"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Centered"/>
              <w:rPr>
                <w:rStyle w:val="CRRefonteDeleted"/>
                <w:noProof/>
                <w:highlight w:val="lightGray"/>
              </w:rPr>
            </w:pPr>
            <w:r w:rsidRPr="00E8450A">
              <w:rPr>
                <w:rStyle w:val="CRRefonteDeleted"/>
                <w:noProof/>
                <w:highlight w:val="lightGray"/>
              </w:rPr>
              <w:t>Počet obyvateľstva (× 1000)</w:t>
            </w:r>
          </w:p>
        </w:tc>
        <w:tc>
          <w:tcPr>
            <w:tcW w:w="2785"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Centered"/>
              <w:rPr>
                <w:rStyle w:val="CRRefonteDeleted"/>
                <w:noProof/>
                <w:highlight w:val="lightGray"/>
              </w:rPr>
            </w:pPr>
            <w:r w:rsidRPr="00E8450A">
              <w:rPr>
                <w:rStyle w:val="CRRefonteDeleted"/>
                <w:noProof/>
                <w:highlight w:val="lightGray"/>
              </w:rPr>
              <w:t>Aglomerácia</w:t>
            </w:r>
            <w:r w:rsidRPr="00E8450A">
              <w:rPr>
                <w:rStyle w:val="CRRefonteDeleted"/>
                <w:noProof/>
                <w:highlight w:val="lightGray"/>
                <w:vertAlign w:val="superscript"/>
              </w:rPr>
              <w:footnoteReference w:id="25"/>
            </w:r>
          </w:p>
        </w:tc>
        <w:tc>
          <w:tcPr>
            <w:tcW w:w="2136"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Centered"/>
              <w:rPr>
                <w:rStyle w:val="CRRefonteDeleted"/>
                <w:noProof/>
                <w:highlight w:val="lightGray"/>
              </w:rPr>
            </w:pPr>
            <w:r w:rsidRPr="00E8450A">
              <w:rPr>
                <w:rStyle w:val="CRRefonteDeleted"/>
                <w:noProof/>
                <w:highlight w:val="lightGray"/>
              </w:rPr>
              <w:t>Iné zóny</w:t>
            </w:r>
            <w:r w:rsidRPr="00E8450A">
              <w:rPr>
                <w:rStyle w:val="CRRefonteDeleted"/>
                <w:noProof/>
                <w:highlight w:val="lightGray"/>
                <w:vertAlign w:val="superscript"/>
              </w:rPr>
              <w:footnoteReference w:id="26"/>
            </w:r>
          </w:p>
        </w:tc>
        <w:tc>
          <w:tcPr>
            <w:tcW w:w="2786"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Centered"/>
              <w:rPr>
                <w:rStyle w:val="CRRefonteDeleted"/>
                <w:noProof/>
                <w:highlight w:val="lightGray"/>
              </w:rPr>
            </w:pPr>
            <w:r w:rsidRPr="00E8450A">
              <w:rPr>
                <w:rStyle w:val="CRRefonteDeleted"/>
                <w:noProof/>
                <w:highlight w:val="lightGray"/>
              </w:rPr>
              <w:t>Miesta s vidieckym charakterom</w:t>
            </w:r>
          </w:p>
        </w:tc>
      </w:tr>
      <w:tr w:rsidR="005C7768" w:rsidRPr="00E8450A" w:rsidTr="00335440">
        <w:tc>
          <w:tcPr>
            <w:tcW w:w="1579"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t>&lt; 250</w:t>
            </w:r>
          </w:p>
        </w:tc>
        <w:tc>
          <w:tcPr>
            <w:tcW w:w="2785"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p>
        </w:tc>
        <w:tc>
          <w:tcPr>
            <w:tcW w:w="2136"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t>1</w:t>
            </w:r>
          </w:p>
        </w:tc>
        <w:tc>
          <w:tcPr>
            <w:tcW w:w="2786" w:type="dxa"/>
            <w:vMerge w:val="restart"/>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t>1 stanica/50 000 km</w:t>
            </w:r>
            <w:r w:rsidRPr="00E8450A">
              <w:rPr>
                <w:rStyle w:val="CRRefonteDeleted"/>
                <w:noProof/>
                <w:highlight w:val="lightGray"/>
                <w:vertAlign w:val="superscript"/>
              </w:rPr>
              <w:t>2</w:t>
            </w:r>
            <w:r w:rsidRPr="00E8450A">
              <w:rPr>
                <w:rStyle w:val="CRRefonteDeleted"/>
                <w:noProof/>
                <w:highlight w:val="lightGray"/>
              </w:rPr>
              <w:t xml:space="preserve"> ako priemerná hustota vo všetkých zónach v krajine</w:t>
            </w:r>
            <w:r w:rsidRPr="00E8450A">
              <w:rPr>
                <w:rStyle w:val="CRRefonteDeleted"/>
                <w:noProof/>
                <w:highlight w:val="lightGray"/>
                <w:vertAlign w:val="superscript"/>
              </w:rPr>
              <w:footnoteReference w:id="27"/>
            </w:r>
          </w:p>
        </w:tc>
      </w:tr>
      <w:tr w:rsidR="005C7768" w:rsidRPr="00E8450A" w:rsidTr="00335440">
        <w:tc>
          <w:tcPr>
            <w:tcW w:w="1579"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t>&lt; 500</w:t>
            </w:r>
          </w:p>
        </w:tc>
        <w:tc>
          <w:tcPr>
            <w:tcW w:w="2785"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t>1</w:t>
            </w:r>
          </w:p>
        </w:tc>
        <w:tc>
          <w:tcPr>
            <w:tcW w:w="2136"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t>2</w:t>
            </w:r>
          </w:p>
        </w:tc>
        <w:tc>
          <w:tcPr>
            <w:tcW w:w="2786" w:type="dxa"/>
            <w:vMerge/>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p>
        </w:tc>
      </w:tr>
      <w:tr w:rsidR="005C7768" w:rsidRPr="00E8450A" w:rsidTr="00335440">
        <w:tc>
          <w:tcPr>
            <w:tcW w:w="1579"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t>&lt; 1 000</w:t>
            </w:r>
          </w:p>
        </w:tc>
        <w:tc>
          <w:tcPr>
            <w:tcW w:w="2785"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t>2</w:t>
            </w:r>
          </w:p>
        </w:tc>
        <w:tc>
          <w:tcPr>
            <w:tcW w:w="2136"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t>2</w:t>
            </w:r>
          </w:p>
        </w:tc>
        <w:tc>
          <w:tcPr>
            <w:tcW w:w="2786" w:type="dxa"/>
            <w:vMerge/>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p>
        </w:tc>
      </w:tr>
      <w:tr w:rsidR="005C7768" w:rsidRPr="00E8450A" w:rsidTr="00335440">
        <w:tc>
          <w:tcPr>
            <w:tcW w:w="1579"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t>&lt; 1 500</w:t>
            </w:r>
          </w:p>
        </w:tc>
        <w:tc>
          <w:tcPr>
            <w:tcW w:w="2785"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t>3</w:t>
            </w:r>
          </w:p>
        </w:tc>
        <w:tc>
          <w:tcPr>
            <w:tcW w:w="2136"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t>3</w:t>
            </w:r>
          </w:p>
        </w:tc>
        <w:tc>
          <w:tcPr>
            <w:tcW w:w="2786" w:type="dxa"/>
            <w:vMerge/>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p>
        </w:tc>
      </w:tr>
      <w:tr w:rsidR="005C7768" w:rsidRPr="00E8450A" w:rsidTr="00335440">
        <w:tc>
          <w:tcPr>
            <w:tcW w:w="1579"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t>&lt; 2 000</w:t>
            </w:r>
          </w:p>
        </w:tc>
        <w:tc>
          <w:tcPr>
            <w:tcW w:w="2785"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t>3</w:t>
            </w:r>
          </w:p>
        </w:tc>
        <w:tc>
          <w:tcPr>
            <w:tcW w:w="2136"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t>4</w:t>
            </w:r>
          </w:p>
        </w:tc>
        <w:tc>
          <w:tcPr>
            <w:tcW w:w="2786" w:type="dxa"/>
            <w:vMerge/>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p>
        </w:tc>
      </w:tr>
      <w:tr w:rsidR="005C7768" w:rsidRPr="00E8450A" w:rsidTr="00335440">
        <w:tc>
          <w:tcPr>
            <w:tcW w:w="1579"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t>&lt; 2 750</w:t>
            </w:r>
          </w:p>
        </w:tc>
        <w:tc>
          <w:tcPr>
            <w:tcW w:w="2785"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t>4</w:t>
            </w:r>
          </w:p>
        </w:tc>
        <w:tc>
          <w:tcPr>
            <w:tcW w:w="2136"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t>5</w:t>
            </w:r>
          </w:p>
        </w:tc>
        <w:tc>
          <w:tcPr>
            <w:tcW w:w="2786" w:type="dxa"/>
            <w:vMerge/>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p>
        </w:tc>
      </w:tr>
      <w:tr w:rsidR="005C7768" w:rsidRPr="00E8450A" w:rsidTr="00335440">
        <w:tc>
          <w:tcPr>
            <w:tcW w:w="1579"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t>&lt; 3 750</w:t>
            </w:r>
          </w:p>
        </w:tc>
        <w:tc>
          <w:tcPr>
            <w:tcW w:w="2785"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t>5</w:t>
            </w:r>
          </w:p>
        </w:tc>
        <w:tc>
          <w:tcPr>
            <w:tcW w:w="2136"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t>6</w:t>
            </w:r>
          </w:p>
        </w:tc>
        <w:tc>
          <w:tcPr>
            <w:tcW w:w="2786" w:type="dxa"/>
            <w:vMerge/>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p>
        </w:tc>
      </w:tr>
      <w:tr w:rsidR="005C7768" w:rsidRPr="00E8450A" w:rsidTr="00335440">
        <w:tc>
          <w:tcPr>
            <w:tcW w:w="1579"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t>&gt; 3 750</w:t>
            </w:r>
          </w:p>
        </w:tc>
        <w:tc>
          <w:tcPr>
            <w:tcW w:w="2785"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t>1 dodatočná stanica na 2 milióny obyvateľov</w:t>
            </w:r>
          </w:p>
        </w:tc>
        <w:tc>
          <w:tcPr>
            <w:tcW w:w="2136"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t>1 dodatočná stanica na 2 milióny obyvateľov</w:t>
            </w:r>
          </w:p>
        </w:tc>
        <w:tc>
          <w:tcPr>
            <w:tcW w:w="2786" w:type="dxa"/>
            <w:vMerge/>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p>
        </w:tc>
      </w:tr>
    </w:tbl>
    <w:p w:rsidR="005C7768" w:rsidRPr="00E8450A" w:rsidRDefault="005C7768" w:rsidP="005C7768">
      <w:pPr>
        <w:rPr>
          <w:noProof/>
        </w:rPr>
      </w:pPr>
    </w:p>
    <w:p w:rsidR="005C7768" w:rsidRPr="00E8450A" w:rsidRDefault="005C7768" w:rsidP="005C7768">
      <w:pPr>
        <w:pStyle w:val="CRSeparator"/>
        <w:rPr>
          <w:noProof/>
        </w:rPr>
      </w:pPr>
    </w:p>
    <w:p w:rsidR="005C7768" w:rsidRPr="00E8450A" w:rsidRDefault="005C7768" w:rsidP="005C7768">
      <w:pPr>
        <w:pStyle w:val="CRReference"/>
        <w:rPr>
          <w:noProof/>
        </w:rPr>
      </w:pPr>
      <w:r w:rsidRPr="00E8450A">
        <w:rPr>
          <w:noProof/>
        </w:rPr>
        <w:fldChar w:fldCharType="begin"/>
      </w:r>
      <w:r w:rsidRPr="00E8450A">
        <w:rPr>
          <w:noProof/>
        </w:rPr>
        <w:instrText xml:space="preserve"> QUOTE "ê" </w:instrText>
      </w:r>
      <w:r w:rsidRPr="00E8450A">
        <w:rPr>
          <w:noProof/>
        </w:rPr>
        <w:fldChar w:fldCharType="separate"/>
      </w:r>
      <w:r w:rsidRPr="00E8450A">
        <w:rPr>
          <w:rStyle w:val="CRMarker"/>
          <w:noProof/>
        </w:rPr>
        <w:t>ê</w:t>
      </w:r>
      <w:r w:rsidRPr="00E8450A">
        <w:rPr>
          <w:noProof/>
        </w:rPr>
        <w:fldChar w:fldCharType="end"/>
      </w:r>
      <w:r w:rsidRPr="00E8450A">
        <w:rPr>
          <w:noProof/>
        </w:rPr>
        <w:t> 2008/50/ES</w:t>
      </w:r>
    </w:p>
    <w:p w:rsidR="005C7768" w:rsidRPr="00E8450A" w:rsidRDefault="005C7768" w:rsidP="005812BF">
      <w:pPr>
        <w:pStyle w:val="ManualHeading1"/>
        <w:ind w:left="851" w:hanging="851"/>
        <w:rPr>
          <w:rStyle w:val="CRRefonteDeleted"/>
          <w:noProof/>
          <w:highlight w:val="lightGray"/>
        </w:rPr>
      </w:pPr>
      <w:r w:rsidRPr="00E8450A">
        <w:rPr>
          <w:rStyle w:val="CRRefonteDeleted"/>
          <w:noProof/>
          <w:highlight w:val="lightGray"/>
        </w:rPr>
        <w:t>B</w:t>
      </w:r>
      <w:r w:rsidR="005812BF">
        <w:rPr>
          <w:rStyle w:val="CRRefonteDeleted"/>
          <w:noProof/>
          <w:highlight w:val="lightGray"/>
        </w:rPr>
        <w:t>)</w:t>
      </w:r>
      <w:r w:rsidRPr="00E8450A">
        <w:rPr>
          <w:noProof/>
        </w:rPr>
        <w:tab/>
      </w:r>
      <w:r w:rsidRPr="00E8450A">
        <w:rPr>
          <w:rStyle w:val="CRRefonteDeleted"/>
          <w:noProof/>
          <w:highlight w:val="lightGray"/>
        </w:rPr>
        <w:t>Minimálny počet vzorkovacích miest PRE stále merania v zónach a aglomeráciách, ktoré dosahujú dlhodobé ciele</w:t>
      </w:r>
    </w:p>
    <w:p w:rsidR="005C7768" w:rsidRPr="00E8450A" w:rsidRDefault="005C7768" w:rsidP="005C7768">
      <w:pPr>
        <w:rPr>
          <w:rStyle w:val="CRRefonteDeleted"/>
          <w:noProof/>
          <w:highlight w:val="lightGray"/>
        </w:rPr>
      </w:pPr>
      <w:r w:rsidRPr="00E8450A">
        <w:rPr>
          <w:rStyle w:val="CRRefonteDeleted"/>
          <w:noProof/>
          <w:highlight w:val="lightGray"/>
        </w:rPr>
        <w:t>Počet vzorkovacích miest pre ozón musí v kombinácii s ostatnými prostriedkami doplnkového hodnotenia, ako sú modely kvality ovzdušia a spoluumiestnené merania oxidu dusičitého, postačovať na preskúmanie trendov znečisťovania ozónom a na kontrolu dodržiavania dlhodobých cieľov. Počet staníc umiestnených v aglomeráciách a iných zónach môže byť znížený na jednu tretinu počtu uvedeného v oddiele A. Keď sú informácie zo staníc stáleho merania jediným zdrojom informácií, musí sa udržiavať aspoň jedna monitorovacia stanica. Ak v zónach s doplnkovým hodnotením dochádza k tomu, že v zóne nezostane žiadna stanica, koordináciou s určitým počtom staníc v susediacich zónach sa musí zabezpečiť primerané hodnotenie koncentrácií ozónu z hľadiska dlhodobých cieľov. Počet vidieckych pozaďových staníc je 1 na 100 000 km</w:t>
      </w:r>
      <w:r w:rsidRPr="00E8450A">
        <w:rPr>
          <w:rStyle w:val="CRRefonteDeleted"/>
          <w:noProof/>
          <w:highlight w:val="lightGray"/>
          <w:vertAlign w:val="superscript"/>
        </w:rPr>
        <w:t>2</w:t>
      </w:r>
      <w:r w:rsidRPr="00E8450A">
        <w:rPr>
          <w:rStyle w:val="CRRefonteDeleted"/>
          <w:noProof/>
          <w:highlight w:val="lightGray"/>
        </w:rPr>
        <w:t>.</w:t>
      </w:r>
    </w:p>
    <w:p w:rsidR="005C7768" w:rsidRPr="00E8450A" w:rsidRDefault="005C7768" w:rsidP="005C7768">
      <w:pPr>
        <w:adjustRightInd w:val="0"/>
        <w:spacing w:before="0" w:after="0"/>
        <w:jc w:val="left"/>
        <w:rPr>
          <w:noProof/>
        </w:rPr>
        <w:sectPr w:rsidR="005C7768" w:rsidRPr="00E8450A" w:rsidSect="000A000C">
          <w:pgSz w:w="11906" w:h="16838"/>
          <w:pgMar w:top="1134" w:right="1418" w:bottom="1134" w:left="1418" w:header="709" w:footer="709" w:gutter="0"/>
          <w:cols w:space="709"/>
          <w:docGrid w:linePitch="326"/>
        </w:sectPr>
      </w:pPr>
    </w:p>
    <w:p w:rsidR="005C7768" w:rsidRPr="00E8450A" w:rsidRDefault="005C7768" w:rsidP="005C7768">
      <w:pPr>
        <w:pStyle w:val="CRSeparator"/>
        <w:rPr>
          <w:noProof/>
        </w:rPr>
      </w:pPr>
    </w:p>
    <w:p w:rsidR="005C7768" w:rsidRPr="00E8450A" w:rsidRDefault="005C7768" w:rsidP="005C7768">
      <w:pPr>
        <w:pStyle w:val="CRReference"/>
        <w:rPr>
          <w:noProof/>
        </w:rPr>
      </w:pPr>
      <w:r w:rsidRPr="00E8450A">
        <w:rPr>
          <w:noProof/>
        </w:rPr>
        <w:fldChar w:fldCharType="begin"/>
      </w:r>
      <w:r w:rsidRPr="00E8450A">
        <w:rPr>
          <w:noProof/>
        </w:rPr>
        <w:instrText xml:space="preserve"> QUOTE "ê" </w:instrText>
      </w:r>
      <w:r w:rsidRPr="00E8450A">
        <w:rPr>
          <w:noProof/>
        </w:rPr>
        <w:fldChar w:fldCharType="separate"/>
      </w:r>
      <w:r w:rsidRPr="00E8450A">
        <w:rPr>
          <w:rStyle w:val="CRMarker"/>
          <w:noProof/>
        </w:rPr>
        <w:t>ê</w:t>
      </w:r>
      <w:r w:rsidRPr="00E8450A">
        <w:rPr>
          <w:noProof/>
        </w:rPr>
        <w:fldChar w:fldCharType="end"/>
      </w:r>
      <w:r w:rsidRPr="00E8450A">
        <w:rPr>
          <w:noProof/>
        </w:rPr>
        <w:t> 2008/50</w:t>
      </w:r>
    </w:p>
    <w:p w:rsidR="005C7768" w:rsidRPr="00E8450A" w:rsidRDefault="005C7768" w:rsidP="000A6A7F">
      <w:pPr>
        <w:jc w:val="center"/>
        <w:rPr>
          <w:rStyle w:val="CRRefonteDeleted"/>
          <w:b/>
          <w:noProof/>
          <w:highlight w:val="lightGray"/>
          <w:u w:val="single"/>
        </w:rPr>
      </w:pPr>
      <w:r w:rsidRPr="00E8450A">
        <w:rPr>
          <w:rStyle w:val="CRRefonteDeleted"/>
          <w:b/>
          <w:noProof/>
          <w:highlight w:val="lightGray"/>
          <w:u w:val="single"/>
        </w:rPr>
        <w:t>PRÍLOHA X</w:t>
      </w:r>
    </w:p>
    <w:p w:rsidR="005C7768" w:rsidRPr="00E8450A" w:rsidRDefault="005C7768" w:rsidP="005C7768">
      <w:pPr>
        <w:pStyle w:val="NormalCentered"/>
        <w:rPr>
          <w:rStyle w:val="CRRefonteDeleted"/>
          <w:noProof/>
          <w:highlight w:val="lightGray"/>
        </w:rPr>
      </w:pPr>
      <w:r w:rsidRPr="00E8450A">
        <w:rPr>
          <w:rStyle w:val="CRRefonteDeleted"/>
          <w:b/>
          <w:noProof/>
          <w:highlight w:val="lightGray"/>
        </w:rPr>
        <w:t>MERANIA PREKURZOROV OZÓNU</w:t>
      </w:r>
    </w:p>
    <w:p w:rsidR="005C7768" w:rsidRPr="00E8450A" w:rsidRDefault="005C7768" w:rsidP="005812BF">
      <w:pPr>
        <w:pStyle w:val="ManualHeading1"/>
        <w:ind w:left="851" w:hanging="851"/>
        <w:rPr>
          <w:rStyle w:val="CRRefonteDeleted"/>
          <w:noProof/>
          <w:highlight w:val="lightGray"/>
        </w:rPr>
      </w:pPr>
      <w:r w:rsidRPr="00E8450A">
        <w:rPr>
          <w:rStyle w:val="CRRefonteDeleted"/>
          <w:noProof/>
          <w:highlight w:val="lightGray"/>
        </w:rPr>
        <w:t>A</w:t>
      </w:r>
      <w:r w:rsidR="005812BF">
        <w:rPr>
          <w:rStyle w:val="CRRefonteDeleted"/>
          <w:noProof/>
          <w:highlight w:val="lightGray"/>
        </w:rPr>
        <w:t>)</w:t>
      </w:r>
      <w:r w:rsidRPr="00E8450A">
        <w:rPr>
          <w:noProof/>
        </w:rPr>
        <w:tab/>
      </w:r>
      <w:r w:rsidRPr="00E8450A">
        <w:rPr>
          <w:rStyle w:val="CRRefonteDeleted"/>
          <w:noProof/>
          <w:highlight w:val="lightGray"/>
        </w:rPr>
        <w:t>Ciele</w:t>
      </w:r>
    </w:p>
    <w:p w:rsidR="005C7768" w:rsidRPr="00E8450A" w:rsidRDefault="005C7768" w:rsidP="005C7768">
      <w:pPr>
        <w:rPr>
          <w:rStyle w:val="CRRefonteDeleted"/>
          <w:noProof/>
          <w:highlight w:val="lightGray"/>
        </w:rPr>
      </w:pPr>
      <w:r w:rsidRPr="00E8450A">
        <w:rPr>
          <w:rStyle w:val="CRRefonteDeleted"/>
          <w:noProof/>
          <w:highlight w:val="lightGray"/>
        </w:rPr>
        <w:t>Hlavnými cieľmi týchto meraní je analýza všetkých trendov prekurzorov ozónu, kontrola účinnosti stratégií znižovania emisií, kontrola súladu emisných inventúr a pomoc pri priraďovaní zdrojov emisií k sledovaným koncentráciám znečistenia.</w:t>
      </w:r>
    </w:p>
    <w:p w:rsidR="005C7768" w:rsidRPr="00E8450A" w:rsidRDefault="005C7768" w:rsidP="005C7768">
      <w:pPr>
        <w:rPr>
          <w:rStyle w:val="CRRefonteDeleted"/>
          <w:noProof/>
          <w:highlight w:val="lightGray"/>
        </w:rPr>
      </w:pPr>
      <w:r w:rsidRPr="00E8450A">
        <w:rPr>
          <w:rStyle w:val="CRRefonteDeleted"/>
          <w:noProof/>
          <w:highlight w:val="lightGray"/>
        </w:rPr>
        <w:t>Dodatočným cieľom je podpora pochopenia procesov tvorby ozónu a rozptylu prekurzorov, ako aj uplatnenie fotochemických modelov.</w:t>
      </w:r>
    </w:p>
    <w:p w:rsidR="005C7768" w:rsidRPr="00E8450A" w:rsidRDefault="005C7768" w:rsidP="005812BF">
      <w:pPr>
        <w:pStyle w:val="ManualHeading1"/>
        <w:ind w:left="851" w:hanging="851"/>
        <w:rPr>
          <w:rStyle w:val="CRRefonteDeleted"/>
          <w:noProof/>
          <w:highlight w:val="lightGray"/>
        </w:rPr>
      </w:pPr>
      <w:r w:rsidRPr="00E8450A">
        <w:rPr>
          <w:rStyle w:val="CRRefonteDeleted"/>
          <w:noProof/>
          <w:highlight w:val="lightGray"/>
        </w:rPr>
        <w:t>B</w:t>
      </w:r>
      <w:r w:rsidR="005812BF">
        <w:rPr>
          <w:rStyle w:val="CRRefonteDeleted"/>
          <w:noProof/>
          <w:highlight w:val="lightGray"/>
        </w:rPr>
        <w:t>)</w:t>
      </w:r>
      <w:r w:rsidRPr="00E8450A">
        <w:rPr>
          <w:noProof/>
        </w:rPr>
        <w:tab/>
      </w:r>
      <w:r w:rsidRPr="00E8450A">
        <w:rPr>
          <w:rStyle w:val="CRRefonteDeleted"/>
          <w:noProof/>
          <w:highlight w:val="lightGray"/>
        </w:rPr>
        <w:t>Látky</w:t>
      </w:r>
    </w:p>
    <w:p w:rsidR="005C7768" w:rsidRPr="00E8450A" w:rsidRDefault="005C7768" w:rsidP="005C7768">
      <w:pPr>
        <w:rPr>
          <w:rStyle w:val="CRRefonteDeleted"/>
          <w:noProof/>
          <w:highlight w:val="lightGray"/>
        </w:rPr>
      </w:pPr>
      <w:r w:rsidRPr="00E8450A">
        <w:rPr>
          <w:rStyle w:val="CRRefonteDeleted"/>
          <w:noProof/>
          <w:highlight w:val="lightGray"/>
        </w:rPr>
        <w:t>Merania prekurzorov ozónu zahŕňajú aspoň oxidy dusíka (NO a NO</w:t>
      </w:r>
      <w:r w:rsidRPr="00E8450A">
        <w:rPr>
          <w:rStyle w:val="CRRefonteDeleted"/>
          <w:noProof/>
          <w:highlight w:val="lightGray"/>
          <w:vertAlign w:val="subscript"/>
        </w:rPr>
        <w:t>2</w:t>
      </w:r>
      <w:r w:rsidRPr="00E8450A">
        <w:rPr>
          <w:rStyle w:val="CRRefonteDeleted"/>
          <w:noProof/>
          <w:highlight w:val="lightGray"/>
        </w:rPr>
        <w:t>) a príslušné prchavé organické zlúčeniny (VOC). Zoznam VOC odporúčaných na meranie sa uvádza nižšie:</w:t>
      </w:r>
    </w:p>
    <w:tbl>
      <w:tblPr>
        <w:tblW w:w="0" w:type="auto"/>
        <w:tblInd w:w="557" w:type="dxa"/>
        <w:tblLayout w:type="fixed"/>
        <w:tblLook w:val="0000" w:firstRow="0" w:lastRow="0" w:firstColumn="0" w:lastColumn="0" w:noHBand="0" w:noVBand="0"/>
      </w:tblPr>
      <w:tblGrid>
        <w:gridCol w:w="1389"/>
        <w:gridCol w:w="1880"/>
        <w:gridCol w:w="1389"/>
        <w:gridCol w:w="3514"/>
      </w:tblGrid>
      <w:tr w:rsidR="005C7768" w:rsidRPr="00E8450A" w:rsidTr="00335440">
        <w:tc>
          <w:tcPr>
            <w:tcW w:w="1389"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adjustRightInd w:val="0"/>
              <w:spacing w:before="0" w:after="0"/>
              <w:jc w:val="left"/>
              <w:rPr>
                <w:rStyle w:val="CRRefonteDeleted"/>
                <w:noProof/>
                <w:highlight w:val="lightGray"/>
              </w:rPr>
            </w:pPr>
          </w:p>
        </w:tc>
        <w:tc>
          <w:tcPr>
            <w:tcW w:w="1880"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Centered"/>
              <w:rPr>
                <w:rStyle w:val="CRRefonteDeleted"/>
                <w:noProof/>
                <w:highlight w:val="lightGray"/>
              </w:rPr>
            </w:pPr>
            <w:r w:rsidRPr="00E8450A">
              <w:rPr>
                <w:rStyle w:val="CRRefonteDeleted"/>
                <w:noProof/>
                <w:highlight w:val="lightGray"/>
              </w:rPr>
              <w:t>1-butén</w:t>
            </w:r>
          </w:p>
        </w:tc>
        <w:tc>
          <w:tcPr>
            <w:tcW w:w="1389"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Centered"/>
              <w:rPr>
                <w:rStyle w:val="CRRefonteDeleted"/>
                <w:noProof/>
                <w:highlight w:val="lightGray"/>
              </w:rPr>
            </w:pPr>
            <w:r w:rsidRPr="00E8450A">
              <w:rPr>
                <w:rStyle w:val="CRRefonteDeleted"/>
                <w:noProof/>
                <w:highlight w:val="lightGray"/>
              </w:rPr>
              <w:t>izoprén</w:t>
            </w:r>
          </w:p>
        </w:tc>
        <w:tc>
          <w:tcPr>
            <w:tcW w:w="3514"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Centered"/>
              <w:rPr>
                <w:rStyle w:val="CRRefonteDeleted"/>
                <w:noProof/>
                <w:highlight w:val="lightGray"/>
              </w:rPr>
            </w:pPr>
            <w:r w:rsidRPr="00E8450A">
              <w:rPr>
                <w:rStyle w:val="CRRefonteDeleted"/>
                <w:noProof/>
                <w:highlight w:val="lightGray"/>
              </w:rPr>
              <w:t>etylbenzén</w:t>
            </w:r>
          </w:p>
        </w:tc>
      </w:tr>
      <w:tr w:rsidR="005C7768" w:rsidRPr="00E8450A" w:rsidTr="00335440">
        <w:tc>
          <w:tcPr>
            <w:tcW w:w="1389"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t>etán</w:t>
            </w:r>
          </w:p>
        </w:tc>
        <w:tc>
          <w:tcPr>
            <w:tcW w:w="1880"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t>trans-2-butén</w:t>
            </w:r>
          </w:p>
        </w:tc>
        <w:tc>
          <w:tcPr>
            <w:tcW w:w="1389"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t>n-hexán</w:t>
            </w:r>
          </w:p>
        </w:tc>
        <w:tc>
          <w:tcPr>
            <w:tcW w:w="3514"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t>m + p-xylén</w:t>
            </w:r>
          </w:p>
        </w:tc>
      </w:tr>
      <w:tr w:rsidR="005C7768" w:rsidRPr="00E8450A" w:rsidTr="00335440">
        <w:tc>
          <w:tcPr>
            <w:tcW w:w="1389"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t>etylén</w:t>
            </w:r>
          </w:p>
        </w:tc>
        <w:tc>
          <w:tcPr>
            <w:tcW w:w="1880"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t>cis-2-butén</w:t>
            </w:r>
          </w:p>
        </w:tc>
        <w:tc>
          <w:tcPr>
            <w:tcW w:w="1389"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t>i-hexán</w:t>
            </w:r>
          </w:p>
        </w:tc>
        <w:tc>
          <w:tcPr>
            <w:tcW w:w="3514"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t>o-xylén</w:t>
            </w:r>
          </w:p>
        </w:tc>
      </w:tr>
      <w:tr w:rsidR="005C7768" w:rsidRPr="00E8450A" w:rsidTr="00335440">
        <w:tc>
          <w:tcPr>
            <w:tcW w:w="1389"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t>acetylén</w:t>
            </w:r>
          </w:p>
        </w:tc>
        <w:tc>
          <w:tcPr>
            <w:tcW w:w="1880"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t>1,3-butadién</w:t>
            </w:r>
          </w:p>
        </w:tc>
        <w:tc>
          <w:tcPr>
            <w:tcW w:w="1389"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t>n-heptán</w:t>
            </w:r>
          </w:p>
        </w:tc>
        <w:tc>
          <w:tcPr>
            <w:tcW w:w="3514"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t>1,2,4-trimetylebenzén</w:t>
            </w:r>
          </w:p>
        </w:tc>
      </w:tr>
      <w:tr w:rsidR="005C7768" w:rsidRPr="00E8450A" w:rsidTr="00335440">
        <w:tc>
          <w:tcPr>
            <w:tcW w:w="1389"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t>propán</w:t>
            </w:r>
          </w:p>
        </w:tc>
        <w:tc>
          <w:tcPr>
            <w:tcW w:w="1880"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t>n-pentán</w:t>
            </w:r>
          </w:p>
        </w:tc>
        <w:tc>
          <w:tcPr>
            <w:tcW w:w="1389"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t>n-oktán</w:t>
            </w:r>
          </w:p>
        </w:tc>
        <w:tc>
          <w:tcPr>
            <w:tcW w:w="3514"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t>1,2,3-trimetylebenzén</w:t>
            </w:r>
          </w:p>
        </w:tc>
      </w:tr>
      <w:tr w:rsidR="005C7768" w:rsidRPr="00E8450A" w:rsidTr="00335440">
        <w:tc>
          <w:tcPr>
            <w:tcW w:w="1389"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t>propén</w:t>
            </w:r>
          </w:p>
        </w:tc>
        <w:tc>
          <w:tcPr>
            <w:tcW w:w="1880"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t>i-pentán</w:t>
            </w:r>
          </w:p>
        </w:tc>
        <w:tc>
          <w:tcPr>
            <w:tcW w:w="1389"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t>i-oktán</w:t>
            </w:r>
          </w:p>
        </w:tc>
        <w:tc>
          <w:tcPr>
            <w:tcW w:w="3514"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t>1,3,5-trimetylebenzén</w:t>
            </w:r>
          </w:p>
        </w:tc>
      </w:tr>
      <w:tr w:rsidR="005C7768" w:rsidRPr="00E8450A" w:rsidTr="00335440">
        <w:tc>
          <w:tcPr>
            <w:tcW w:w="1389"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t>n-bután</w:t>
            </w:r>
          </w:p>
        </w:tc>
        <w:tc>
          <w:tcPr>
            <w:tcW w:w="1880"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t>1-pentén</w:t>
            </w:r>
          </w:p>
        </w:tc>
        <w:tc>
          <w:tcPr>
            <w:tcW w:w="1389"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t>benzén</w:t>
            </w:r>
          </w:p>
        </w:tc>
        <w:tc>
          <w:tcPr>
            <w:tcW w:w="3514"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t>formaldehyd</w:t>
            </w:r>
          </w:p>
        </w:tc>
      </w:tr>
      <w:tr w:rsidR="005C7768" w:rsidRPr="00E8450A" w:rsidTr="00335440">
        <w:tc>
          <w:tcPr>
            <w:tcW w:w="1389"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t>i-bután</w:t>
            </w:r>
          </w:p>
        </w:tc>
        <w:tc>
          <w:tcPr>
            <w:tcW w:w="1880"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t>2-pentén</w:t>
            </w:r>
          </w:p>
        </w:tc>
        <w:tc>
          <w:tcPr>
            <w:tcW w:w="1389"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t>toluén</w:t>
            </w:r>
          </w:p>
        </w:tc>
        <w:tc>
          <w:tcPr>
            <w:tcW w:w="3514"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t>bezmetánové uhľovodíky spolu</w:t>
            </w:r>
          </w:p>
        </w:tc>
      </w:tr>
    </w:tbl>
    <w:p w:rsidR="005C7768" w:rsidRPr="00E8450A" w:rsidRDefault="005C7768" w:rsidP="005C7768">
      <w:pPr>
        <w:rPr>
          <w:rStyle w:val="CRRefonteDeleted"/>
          <w:noProof/>
          <w:highlight w:val="lightGray"/>
        </w:rPr>
      </w:pPr>
    </w:p>
    <w:p w:rsidR="005C7768" w:rsidRPr="00E8450A" w:rsidRDefault="005C7768" w:rsidP="005812BF">
      <w:pPr>
        <w:pStyle w:val="ManualHeading1"/>
        <w:ind w:left="851" w:hanging="851"/>
        <w:rPr>
          <w:rStyle w:val="CRRefonteDeleted"/>
          <w:noProof/>
          <w:highlight w:val="lightGray"/>
        </w:rPr>
      </w:pPr>
      <w:r w:rsidRPr="00E8450A">
        <w:rPr>
          <w:rStyle w:val="CRRefonteDeleted"/>
          <w:noProof/>
          <w:highlight w:val="lightGray"/>
        </w:rPr>
        <w:t>C</w:t>
      </w:r>
      <w:r w:rsidR="005812BF">
        <w:rPr>
          <w:rStyle w:val="CRRefonteDeleted"/>
          <w:noProof/>
          <w:highlight w:val="lightGray"/>
        </w:rPr>
        <w:t>)</w:t>
      </w:r>
      <w:r w:rsidRPr="00E8450A">
        <w:rPr>
          <w:noProof/>
        </w:rPr>
        <w:tab/>
      </w:r>
      <w:r w:rsidRPr="00E8450A">
        <w:rPr>
          <w:rStyle w:val="CRRefonteDeleted"/>
          <w:noProof/>
          <w:highlight w:val="lightGray"/>
        </w:rPr>
        <w:t>Umiestnenie</w:t>
      </w:r>
    </w:p>
    <w:p w:rsidR="005C7768" w:rsidRPr="00E8450A" w:rsidRDefault="005C7768" w:rsidP="005C7768">
      <w:pPr>
        <w:rPr>
          <w:noProof/>
        </w:rPr>
      </w:pPr>
      <w:r w:rsidRPr="00E8450A">
        <w:rPr>
          <w:rStyle w:val="CRRefonteDeleted"/>
          <w:noProof/>
          <w:highlight w:val="lightGray"/>
        </w:rPr>
        <w:t>Merania sa uskutočňujú najmä v mestských alebo predmestských oblastiach na akomkoľvek monitorovacom mieste zriadenom v súlade s požiadavkami tejto smernice, ktoré sa považuje za vhodné vzhľadom na monitorovacie ciele uvedené v oddiele A.</w:t>
      </w:r>
    </w:p>
    <w:p w:rsidR="005C7768" w:rsidRPr="00E8450A" w:rsidRDefault="005C7768" w:rsidP="005C7768">
      <w:pPr>
        <w:adjustRightInd w:val="0"/>
        <w:spacing w:before="0" w:after="0"/>
        <w:jc w:val="left"/>
        <w:rPr>
          <w:noProof/>
        </w:rPr>
        <w:sectPr w:rsidR="005C7768" w:rsidRPr="00E8450A" w:rsidSect="000A000C">
          <w:pgSz w:w="11906" w:h="16838"/>
          <w:pgMar w:top="1134" w:right="1418" w:bottom="1134" w:left="1418" w:header="709" w:footer="709" w:gutter="0"/>
          <w:cols w:space="709"/>
          <w:docGrid w:linePitch="326"/>
        </w:sectPr>
      </w:pPr>
    </w:p>
    <w:p w:rsidR="005C7768" w:rsidRPr="00E8450A" w:rsidRDefault="005C7768" w:rsidP="005C7768">
      <w:pPr>
        <w:pStyle w:val="CRSeparator"/>
        <w:rPr>
          <w:noProof/>
        </w:rPr>
      </w:pPr>
    </w:p>
    <w:p w:rsidR="005C7768" w:rsidRPr="00E8450A" w:rsidRDefault="005C7768" w:rsidP="005C7768">
      <w:pPr>
        <w:pStyle w:val="CRReference"/>
        <w:rPr>
          <w:noProof/>
        </w:rPr>
      </w:pPr>
      <w:r w:rsidRPr="00E8450A">
        <w:rPr>
          <w:noProof/>
        </w:rPr>
        <w:fldChar w:fldCharType="begin"/>
      </w:r>
      <w:r w:rsidRPr="00E8450A">
        <w:rPr>
          <w:noProof/>
        </w:rPr>
        <w:instrText xml:space="preserve"> QUOTE "ê" </w:instrText>
      </w:r>
      <w:r w:rsidRPr="00E8450A">
        <w:rPr>
          <w:noProof/>
        </w:rPr>
        <w:fldChar w:fldCharType="separate"/>
      </w:r>
      <w:r w:rsidRPr="00E8450A">
        <w:rPr>
          <w:rStyle w:val="CRMarker"/>
          <w:noProof/>
        </w:rPr>
        <w:t>ê</w:t>
      </w:r>
      <w:r w:rsidRPr="00E8450A">
        <w:rPr>
          <w:noProof/>
        </w:rPr>
        <w:fldChar w:fldCharType="end"/>
      </w:r>
      <w:r w:rsidRPr="00E8450A">
        <w:rPr>
          <w:noProof/>
        </w:rPr>
        <w:t> 2008/50</w:t>
      </w:r>
    </w:p>
    <w:p w:rsidR="005C7768" w:rsidRPr="00E8450A" w:rsidRDefault="005C7768" w:rsidP="000A6A7F">
      <w:pPr>
        <w:jc w:val="center"/>
        <w:rPr>
          <w:rStyle w:val="CRRefonteDeleted"/>
          <w:b/>
          <w:noProof/>
          <w:highlight w:val="lightGray"/>
          <w:u w:val="single"/>
        </w:rPr>
      </w:pPr>
      <w:r w:rsidRPr="00E8450A">
        <w:rPr>
          <w:rStyle w:val="CRRefonteDeleted"/>
          <w:b/>
          <w:noProof/>
          <w:highlight w:val="lightGray"/>
          <w:u w:val="single"/>
        </w:rPr>
        <w:t>PRÍLOHA XI</w:t>
      </w:r>
    </w:p>
    <w:p w:rsidR="005C7768" w:rsidRPr="00E8450A" w:rsidRDefault="005C7768" w:rsidP="005C7768">
      <w:pPr>
        <w:pStyle w:val="NormalCentered"/>
        <w:rPr>
          <w:rStyle w:val="CRRefonteDeleted"/>
          <w:noProof/>
          <w:highlight w:val="lightGray"/>
        </w:rPr>
      </w:pPr>
      <w:r w:rsidRPr="00E8450A">
        <w:rPr>
          <w:rStyle w:val="CRRefonteDeleted"/>
          <w:b/>
          <w:noProof/>
          <w:highlight w:val="lightGray"/>
        </w:rPr>
        <w:t>LIMITNÉ HODNOTY NA OCHRANU ZDRAVIA ĽUDÍ</w:t>
      </w:r>
    </w:p>
    <w:p w:rsidR="005C7768" w:rsidRPr="00E8450A" w:rsidRDefault="005C7768" w:rsidP="005812BF">
      <w:pPr>
        <w:pStyle w:val="ManualHeading1"/>
        <w:ind w:left="851" w:hanging="851"/>
        <w:rPr>
          <w:rStyle w:val="CRRefonteDeleted"/>
          <w:noProof/>
          <w:highlight w:val="lightGray"/>
        </w:rPr>
      </w:pPr>
      <w:r w:rsidRPr="00E8450A">
        <w:rPr>
          <w:rStyle w:val="CRRefonteDeleted"/>
          <w:noProof/>
          <w:highlight w:val="lightGray"/>
        </w:rPr>
        <w:t>A</w:t>
      </w:r>
      <w:r w:rsidR="005812BF">
        <w:rPr>
          <w:rStyle w:val="CRRefonteDeleted"/>
          <w:noProof/>
          <w:highlight w:val="lightGray"/>
        </w:rPr>
        <w:t>)</w:t>
      </w:r>
      <w:r w:rsidRPr="00E8450A">
        <w:rPr>
          <w:noProof/>
        </w:rPr>
        <w:tab/>
      </w:r>
      <w:r w:rsidRPr="00E8450A">
        <w:rPr>
          <w:rStyle w:val="CRRefonteDeleted"/>
          <w:noProof/>
          <w:highlight w:val="lightGray"/>
        </w:rPr>
        <w:t>Kritériá</w:t>
      </w:r>
    </w:p>
    <w:p w:rsidR="005C7768" w:rsidRPr="00E8450A" w:rsidRDefault="005C7768" w:rsidP="005C7768">
      <w:pPr>
        <w:rPr>
          <w:rStyle w:val="CRRefonteDeleted"/>
          <w:noProof/>
          <w:highlight w:val="lightGray"/>
        </w:rPr>
      </w:pPr>
      <w:r w:rsidRPr="00E8450A">
        <w:rPr>
          <w:rStyle w:val="CRRefonteDeleted"/>
          <w:noProof/>
          <w:highlight w:val="lightGray"/>
        </w:rPr>
        <w:t>Bez toho, aby bola dotknutá príloha I, sa pri zhromažďovaní údajov a výpočte štatistických parametrov použijú na kontrolu platnosti tieto kritériá:</w:t>
      </w:r>
    </w:p>
    <w:tbl>
      <w:tblPr>
        <w:tblW w:w="0" w:type="auto"/>
        <w:tblLayout w:type="fixed"/>
        <w:tblLook w:val="0000" w:firstRow="0" w:lastRow="0" w:firstColumn="0" w:lastColumn="0" w:noHBand="0" w:noVBand="0"/>
      </w:tblPr>
      <w:tblGrid>
        <w:gridCol w:w="3157"/>
        <w:gridCol w:w="6129"/>
      </w:tblGrid>
      <w:tr w:rsidR="005C7768" w:rsidRPr="00E8450A" w:rsidTr="00335440">
        <w:tc>
          <w:tcPr>
            <w:tcW w:w="3157"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Centered"/>
              <w:rPr>
                <w:rStyle w:val="CRRefonteDeleted"/>
                <w:noProof/>
                <w:highlight w:val="lightGray"/>
              </w:rPr>
            </w:pPr>
            <w:r w:rsidRPr="00E8450A">
              <w:rPr>
                <w:rStyle w:val="CRRefonteDeleted"/>
                <w:noProof/>
                <w:highlight w:val="lightGray"/>
              </w:rPr>
              <w:t>Parameter</w:t>
            </w:r>
          </w:p>
        </w:tc>
        <w:tc>
          <w:tcPr>
            <w:tcW w:w="6129"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Centered"/>
              <w:rPr>
                <w:rStyle w:val="CRRefonteDeleted"/>
                <w:noProof/>
                <w:highlight w:val="lightGray"/>
              </w:rPr>
            </w:pPr>
            <w:r w:rsidRPr="00E8450A">
              <w:rPr>
                <w:rStyle w:val="CRRefonteDeleted"/>
                <w:noProof/>
                <w:highlight w:val="lightGray"/>
              </w:rPr>
              <w:t>Vyžadovaný podiel platných údajov</w:t>
            </w:r>
          </w:p>
        </w:tc>
      </w:tr>
      <w:tr w:rsidR="005C7768" w:rsidRPr="00E8450A" w:rsidTr="00335440">
        <w:tc>
          <w:tcPr>
            <w:tcW w:w="3157"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t>1-hodinové hodnoty</w:t>
            </w:r>
          </w:p>
        </w:tc>
        <w:tc>
          <w:tcPr>
            <w:tcW w:w="6129"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t>75 % (t. j. 45 minút)</w:t>
            </w:r>
          </w:p>
        </w:tc>
      </w:tr>
      <w:tr w:rsidR="005C7768" w:rsidRPr="00E8450A" w:rsidTr="00335440">
        <w:tc>
          <w:tcPr>
            <w:tcW w:w="3157"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t>8-hodinové hodnoty</w:t>
            </w:r>
          </w:p>
        </w:tc>
        <w:tc>
          <w:tcPr>
            <w:tcW w:w="6129"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t>75 % hodnôt (t. j. 6 hodín)</w:t>
            </w:r>
          </w:p>
        </w:tc>
      </w:tr>
      <w:tr w:rsidR="005C7768" w:rsidRPr="00E8450A" w:rsidTr="00335440">
        <w:tc>
          <w:tcPr>
            <w:tcW w:w="3157"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t>Maximálna denná 8-hodinová stredná hodnota</w:t>
            </w:r>
          </w:p>
        </w:tc>
        <w:tc>
          <w:tcPr>
            <w:tcW w:w="6129"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t>75 % hodinových pohyblivých priemerov z 8 po sebe nasledujúcich hodín (t. j. 18 8-hodinových priemerov za deň)</w:t>
            </w:r>
          </w:p>
        </w:tc>
      </w:tr>
      <w:tr w:rsidR="005C7768" w:rsidRPr="00E8450A" w:rsidTr="00335440">
        <w:tc>
          <w:tcPr>
            <w:tcW w:w="3157"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t>24-hodinové hodnoty</w:t>
            </w:r>
          </w:p>
        </w:tc>
        <w:tc>
          <w:tcPr>
            <w:tcW w:w="6129"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t>75 % hodinových priemerov (t. j. aspoň 18 hodinových hodnôt)</w:t>
            </w:r>
          </w:p>
        </w:tc>
      </w:tr>
      <w:tr w:rsidR="005C7768" w:rsidRPr="00E8450A" w:rsidTr="00335440">
        <w:tc>
          <w:tcPr>
            <w:tcW w:w="3157"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t>Ročná stredná hodnota</w:t>
            </w:r>
          </w:p>
        </w:tc>
        <w:tc>
          <w:tcPr>
            <w:tcW w:w="6129"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t>90 %</w:t>
            </w:r>
            <w:r w:rsidRPr="00E8450A">
              <w:rPr>
                <w:rStyle w:val="CRRefonteDeleted"/>
                <w:noProof/>
                <w:highlight w:val="lightGray"/>
                <w:vertAlign w:val="superscript"/>
              </w:rPr>
              <w:footnoteReference w:id="28"/>
            </w:r>
            <w:r w:rsidRPr="00E8450A">
              <w:rPr>
                <w:rStyle w:val="CRRefonteDeleted"/>
                <w:noProof/>
                <w:highlight w:val="lightGray"/>
              </w:rPr>
              <w:t xml:space="preserve"> 1-hodinových hodnôt alebo (ak nie sú k dispozícii) 24-hodinových hodnôt za rok</w:t>
            </w:r>
          </w:p>
        </w:tc>
      </w:tr>
    </w:tbl>
    <w:p w:rsidR="005C7768" w:rsidRPr="00E8450A" w:rsidRDefault="005C7768" w:rsidP="005C7768">
      <w:pPr>
        <w:rPr>
          <w:rStyle w:val="CRRefonteDeleted"/>
          <w:noProof/>
          <w:highlight w:val="lightGray"/>
        </w:rPr>
      </w:pPr>
    </w:p>
    <w:p w:rsidR="005C7768" w:rsidRPr="00E8450A" w:rsidRDefault="005C7768" w:rsidP="005812BF">
      <w:pPr>
        <w:pStyle w:val="ManualHeading1"/>
        <w:ind w:left="851" w:hanging="851"/>
        <w:rPr>
          <w:rStyle w:val="CRRefonteDeleted"/>
          <w:noProof/>
          <w:highlight w:val="lightGray"/>
        </w:rPr>
      </w:pPr>
      <w:r w:rsidRPr="00E8450A">
        <w:rPr>
          <w:rStyle w:val="CRRefonteDeleted"/>
          <w:noProof/>
          <w:highlight w:val="lightGray"/>
        </w:rPr>
        <w:t>B</w:t>
      </w:r>
      <w:r w:rsidR="005812BF">
        <w:rPr>
          <w:rStyle w:val="CRRefonteDeleted"/>
          <w:noProof/>
          <w:highlight w:val="lightGray"/>
        </w:rPr>
        <w:t>)</w:t>
      </w:r>
      <w:r w:rsidRPr="00E8450A">
        <w:rPr>
          <w:noProof/>
        </w:rPr>
        <w:tab/>
      </w:r>
      <w:r w:rsidRPr="00E8450A">
        <w:rPr>
          <w:rStyle w:val="CRRefonteDeleted"/>
          <w:noProof/>
          <w:highlight w:val="lightGray"/>
        </w:rPr>
        <w:t>Limitné hodnoty</w:t>
      </w:r>
    </w:p>
    <w:tbl>
      <w:tblPr>
        <w:tblW w:w="0" w:type="auto"/>
        <w:tblLayout w:type="fixed"/>
        <w:tblLook w:val="0000" w:firstRow="0" w:lastRow="0" w:firstColumn="0" w:lastColumn="0" w:noHBand="0" w:noVBand="0"/>
      </w:tblPr>
      <w:tblGrid>
        <w:gridCol w:w="1671"/>
        <w:gridCol w:w="2136"/>
        <w:gridCol w:w="3436"/>
        <w:gridCol w:w="2043"/>
      </w:tblGrid>
      <w:tr w:rsidR="005C7768" w:rsidRPr="00E8450A" w:rsidTr="00335440">
        <w:tc>
          <w:tcPr>
            <w:tcW w:w="1671"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Centered"/>
              <w:rPr>
                <w:rStyle w:val="CRRefonteDeleted"/>
                <w:noProof/>
                <w:highlight w:val="lightGray"/>
              </w:rPr>
            </w:pPr>
            <w:r w:rsidRPr="00E8450A">
              <w:rPr>
                <w:rStyle w:val="CRRefonteDeleted"/>
                <w:noProof/>
                <w:highlight w:val="lightGray"/>
              </w:rPr>
              <w:t>Priemerované obdobie</w:t>
            </w:r>
          </w:p>
        </w:tc>
        <w:tc>
          <w:tcPr>
            <w:tcW w:w="2136"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Centered"/>
              <w:rPr>
                <w:rStyle w:val="CRRefonteDeleted"/>
                <w:noProof/>
                <w:highlight w:val="lightGray"/>
              </w:rPr>
            </w:pPr>
            <w:r w:rsidRPr="00E8450A">
              <w:rPr>
                <w:rStyle w:val="CRRefonteDeleted"/>
                <w:noProof/>
                <w:highlight w:val="lightGray"/>
              </w:rPr>
              <w:t>Limitná hodnota</w:t>
            </w:r>
          </w:p>
        </w:tc>
        <w:tc>
          <w:tcPr>
            <w:tcW w:w="3436"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Centered"/>
              <w:rPr>
                <w:rStyle w:val="CRRefonteDeleted"/>
                <w:noProof/>
                <w:highlight w:val="lightGray"/>
              </w:rPr>
            </w:pPr>
            <w:r w:rsidRPr="00E8450A">
              <w:rPr>
                <w:rStyle w:val="CRRefonteDeleted"/>
                <w:noProof/>
                <w:highlight w:val="lightGray"/>
              </w:rPr>
              <w:t>Medza tolerancie</w:t>
            </w:r>
          </w:p>
        </w:tc>
        <w:tc>
          <w:tcPr>
            <w:tcW w:w="2043"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Centered"/>
              <w:rPr>
                <w:rStyle w:val="CRRefonteDeleted"/>
                <w:noProof/>
                <w:highlight w:val="lightGray"/>
              </w:rPr>
            </w:pPr>
            <w:r w:rsidRPr="00E8450A">
              <w:rPr>
                <w:rStyle w:val="CRRefonteDeleted"/>
                <w:noProof/>
                <w:highlight w:val="lightGray"/>
              </w:rPr>
              <w:t>Dátum, ku ktorému sa má limitná hodnota dosiahnuť</w:t>
            </w:r>
          </w:p>
        </w:tc>
      </w:tr>
      <w:tr w:rsidR="005C7768" w:rsidRPr="00E8450A" w:rsidTr="00335440">
        <w:tc>
          <w:tcPr>
            <w:tcW w:w="1671"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Centered"/>
              <w:rPr>
                <w:rStyle w:val="CRRefonteDeleted"/>
                <w:noProof/>
                <w:highlight w:val="lightGray"/>
              </w:rPr>
            </w:pPr>
            <w:r w:rsidRPr="00E8450A">
              <w:rPr>
                <w:rStyle w:val="CRRefonteDeleted"/>
                <w:noProof/>
                <w:highlight w:val="lightGray"/>
              </w:rPr>
              <w:t>Oxid siričitý</w:t>
            </w:r>
          </w:p>
        </w:tc>
        <w:tc>
          <w:tcPr>
            <w:tcW w:w="2136"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Centered"/>
              <w:rPr>
                <w:rStyle w:val="CRRefonteDeleted"/>
                <w:noProof/>
                <w:highlight w:val="lightGray"/>
              </w:rPr>
            </w:pPr>
          </w:p>
        </w:tc>
        <w:tc>
          <w:tcPr>
            <w:tcW w:w="3436"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Centered"/>
              <w:rPr>
                <w:rStyle w:val="CRRefonteDeleted"/>
                <w:noProof/>
                <w:highlight w:val="lightGray"/>
              </w:rPr>
            </w:pPr>
          </w:p>
        </w:tc>
        <w:tc>
          <w:tcPr>
            <w:tcW w:w="2043"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Centered"/>
              <w:rPr>
                <w:rStyle w:val="CRRefonteDeleted"/>
                <w:noProof/>
                <w:highlight w:val="lightGray"/>
              </w:rPr>
            </w:pPr>
          </w:p>
        </w:tc>
      </w:tr>
      <w:tr w:rsidR="005C7768" w:rsidRPr="00E8450A" w:rsidTr="00335440">
        <w:tc>
          <w:tcPr>
            <w:tcW w:w="1671"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t>1 hodina</w:t>
            </w:r>
          </w:p>
        </w:tc>
        <w:tc>
          <w:tcPr>
            <w:tcW w:w="2136"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t>350 μg/m</w:t>
            </w:r>
            <w:r w:rsidRPr="00E8450A">
              <w:rPr>
                <w:rStyle w:val="CRRefonteDeleted"/>
                <w:noProof/>
                <w:highlight w:val="lightGray"/>
                <w:vertAlign w:val="superscript"/>
              </w:rPr>
              <w:t>3</w:t>
            </w:r>
            <w:r w:rsidRPr="00E8450A">
              <w:rPr>
                <w:rStyle w:val="CRRefonteDeleted"/>
                <w:noProof/>
                <w:highlight w:val="lightGray"/>
              </w:rPr>
              <w:t xml:space="preserve"> sa nesmie prekročiť viac ako 24-krát za kalendárny rok</w:t>
            </w:r>
          </w:p>
        </w:tc>
        <w:tc>
          <w:tcPr>
            <w:tcW w:w="3436"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t>150 μg/m</w:t>
            </w:r>
            <w:r w:rsidRPr="00E8450A">
              <w:rPr>
                <w:rStyle w:val="CRRefonteDeleted"/>
                <w:noProof/>
                <w:highlight w:val="lightGray"/>
                <w:vertAlign w:val="superscript"/>
              </w:rPr>
              <w:t>3</w:t>
            </w:r>
            <w:r w:rsidRPr="00E8450A">
              <w:rPr>
                <w:rStyle w:val="CRRefonteDeleted"/>
                <w:noProof/>
                <w:highlight w:val="lightGray"/>
              </w:rPr>
              <w:t xml:space="preserve"> (43 %)</w:t>
            </w:r>
          </w:p>
        </w:tc>
        <w:tc>
          <w:tcPr>
            <w:tcW w:w="2043"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t>—</w:t>
            </w:r>
            <w:r w:rsidRPr="00E8450A">
              <w:rPr>
                <w:rStyle w:val="CRRefonteDeleted"/>
                <w:noProof/>
                <w:highlight w:val="lightGray"/>
                <w:vertAlign w:val="superscript"/>
              </w:rPr>
              <w:footnoteReference w:id="29"/>
            </w:r>
          </w:p>
        </w:tc>
      </w:tr>
      <w:tr w:rsidR="005C7768" w:rsidRPr="00E8450A" w:rsidTr="00335440">
        <w:tc>
          <w:tcPr>
            <w:tcW w:w="1671"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t>1 deň</w:t>
            </w:r>
          </w:p>
        </w:tc>
        <w:tc>
          <w:tcPr>
            <w:tcW w:w="2136"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t>125 μg/m</w:t>
            </w:r>
            <w:r w:rsidRPr="00E8450A">
              <w:rPr>
                <w:rStyle w:val="CRRefonteDeleted"/>
                <w:noProof/>
                <w:highlight w:val="lightGray"/>
                <w:vertAlign w:val="superscript"/>
              </w:rPr>
              <w:t>3</w:t>
            </w:r>
            <w:r w:rsidRPr="00E8450A">
              <w:rPr>
                <w:rStyle w:val="CRRefonteDeleted"/>
                <w:noProof/>
                <w:highlight w:val="lightGray"/>
              </w:rPr>
              <w:t xml:space="preserve"> sa nesmie prekročiť viac ako 3-krát za kalendárny rok</w:t>
            </w:r>
          </w:p>
        </w:tc>
        <w:tc>
          <w:tcPr>
            <w:tcW w:w="3436"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t>Žiadna</w:t>
            </w:r>
          </w:p>
        </w:tc>
        <w:tc>
          <w:tcPr>
            <w:tcW w:w="2043"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t>—</w:t>
            </w:r>
            <w:r w:rsidRPr="00E8450A">
              <w:rPr>
                <w:rStyle w:val="CRRefonteDeleted"/>
                <w:noProof/>
                <w:highlight w:val="lightGray"/>
                <w:vertAlign w:val="superscript"/>
              </w:rPr>
              <w:footnoteReference w:id="30"/>
            </w:r>
          </w:p>
        </w:tc>
      </w:tr>
      <w:tr w:rsidR="005C7768" w:rsidRPr="00E8450A" w:rsidTr="00335440">
        <w:tc>
          <w:tcPr>
            <w:tcW w:w="1671"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Centered"/>
              <w:rPr>
                <w:rStyle w:val="CRRefonteDeleted"/>
                <w:noProof/>
                <w:highlight w:val="lightGray"/>
              </w:rPr>
            </w:pPr>
            <w:r w:rsidRPr="00E8450A">
              <w:rPr>
                <w:rStyle w:val="CRRefonteDeleted"/>
                <w:noProof/>
                <w:highlight w:val="lightGray"/>
              </w:rPr>
              <w:t>Oxid dusičitý</w:t>
            </w:r>
          </w:p>
        </w:tc>
        <w:tc>
          <w:tcPr>
            <w:tcW w:w="2136"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Centered"/>
              <w:rPr>
                <w:rStyle w:val="CRRefonteDeleted"/>
                <w:noProof/>
                <w:highlight w:val="lightGray"/>
              </w:rPr>
            </w:pPr>
          </w:p>
        </w:tc>
        <w:tc>
          <w:tcPr>
            <w:tcW w:w="3436"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Centered"/>
              <w:rPr>
                <w:rStyle w:val="CRRefonteDeleted"/>
                <w:noProof/>
                <w:highlight w:val="lightGray"/>
              </w:rPr>
            </w:pPr>
          </w:p>
        </w:tc>
        <w:tc>
          <w:tcPr>
            <w:tcW w:w="2043"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Centered"/>
              <w:rPr>
                <w:rStyle w:val="CRRefonteDeleted"/>
                <w:noProof/>
                <w:highlight w:val="lightGray"/>
              </w:rPr>
            </w:pPr>
          </w:p>
        </w:tc>
      </w:tr>
      <w:tr w:rsidR="005C7768" w:rsidRPr="00E8450A" w:rsidTr="00335440">
        <w:tc>
          <w:tcPr>
            <w:tcW w:w="1671"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t>1 hodina</w:t>
            </w:r>
          </w:p>
        </w:tc>
        <w:tc>
          <w:tcPr>
            <w:tcW w:w="2136"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t>200 μg/m</w:t>
            </w:r>
            <w:r w:rsidRPr="00E8450A">
              <w:rPr>
                <w:rStyle w:val="CRRefonteDeleted"/>
                <w:noProof/>
                <w:highlight w:val="lightGray"/>
                <w:vertAlign w:val="superscript"/>
              </w:rPr>
              <w:t>3</w:t>
            </w:r>
            <w:r w:rsidRPr="00E8450A">
              <w:rPr>
                <w:rStyle w:val="CRRefonteDeleted"/>
                <w:noProof/>
                <w:highlight w:val="lightGray"/>
              </w:rPr>
              <w:t xml:space="preserve"> sa nesmie prekročiť viac ako 18-krát za kalendárny rok</w:t>
            </w:r>
          </w:p>
        </w:tc>
        <w:tc>
          <w:tcPr>
            <w:tcW w:w="3436"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t>50 % k 19. júlu 1999 so znížením k 1. januáru 2001 a potom každých 12 mesiacov rovnakým ročným percentom až k hodnote 0 % k 1. januáru 2010</w:t>
            </w:r>
          </w:p>
        </w:tc>
        <w:tc>
          <w:tcPr>
            <w:tcW w:w="2043"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t>1. január 2010</w:t>
            </w:r>
          </w:p>
        </w:tc>
      </w:tr>
      <w:tr w:rsidR="005C7768" w:rsidRPr="00E8450A" w:rsidTr="00335440">
        <w:tc>
          <w:tcPr>
            <w:tcW w:w="1671"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t>Kalendárny rok</w:t>
            </w:r>
          </w:p>
        </w:tc>
        <w:tc>
          <w:tcPr>
            <w:tcW w:w="2136"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t>40 μg/m</w:t>
            </w:r>
            <w:r w:rsidRPr="00E8450A">
              <w:rPr>
                <w:rStyle w:val="CRRefonteDeleted"/>
                <w:noProof/>
                <w:highlight w:val="lightGray"/>
                <w:vertAlign w:val="superscript"/>
              </w:rPr>
              <w:t>3</w:t>
            </w:r>
          </w:p>
        </w:tc>
        <w:tc>
          <w:tcPr>
            <w:tcW w:w="3436"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t>50 % k 19. júlu 1999 so znížením k 1. januáru 2001 a potom každých 12 mesiacov rovnakým ročným percentom až k hodnote 0 % k 1. januáru 2010</w:t>
            </w:r>
          </w:p>
        </w:tc>
        <w:tc>
          <w:tcPr>
            <w:tcW w:w="2043"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t>1. január 2010</w:t>
            </w:r>
          </w:p>
        </w:tc>
      </w:tr>
      <w:tr w:rsidR="005C7768" w:rsidRPr="00E8450A" w:rsidTr="00335440">
        <w:tc>
          <w:tcPr>
            <w:tcW w:w="1671"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Centered"/>
              <w:rPr>
                <w:rStyle w:val="CRRefonteDeleted"/>
                <w:noProof/>
                <w:highlight w:val="lightGray"/>
              </w:rPr>
            </w:pPr>
            <w:r w:rsidRPr="00E8450A">
              <w:rPr>
                <w:rStyle w:val="CRRefonteDeleted"/>
                <w:noProof/>
                <w:highlight w:val="lightGray"/>
              </w:rPr>
              <w:t>Benzén</w:t>
            </w:r>
          </w:p>
        </w:tc>
        <w:tc>
          <w:tcPr>
            <w:tcW w:w="2136"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Centered"/>
              <w:rPr>
                <w:rStyle w:val="CRRefonteDeleted"/>
                <w:noProof/>
                <w:highlight w:val="lightGray"/>
              </w:rPr>
            </w:pPr>
          </w:p>
        </w:tc>
        <w:tc>
          <w:tcPr>
            <w:tcW w:w="3436"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Centered"/>
              <w:rPr>
                <w:rStyle w:val="CRRefonteDeleted"/>
                <w:noProof/>
                <w:highlight w:val="lightGray"/>
              </w:rPr>
            </w:pPr>
          </w:p>
        </w:tc>
        <w:tc>
          <w:tcPr>
            <w:tcW w:w="2043"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Centered"/>
              <w:rPr>
                <w:rStyle w:val="CRRefonteDeleted"/>
                <w:noProof/>
                <w:highlight w:val="lightGray"/>
              </w:rPr>
            </w:pPr>
          </w:p>
        </w:tc>
      </w:tr>
      <w:tr w:rsidR="005C7768" w:rsidRPr="00E8450A" w:rsidTr="00335440">
        <w:tc>
          <w:tcPr>
            <w:tcW w:w="1671"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t>Kalendárny rok</w:t>
            </w:r>
          </w:p>
        </w:tc>
        <w:tc>
          <w:tcPr>
            <w:tcW w:w="2136"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t>5 μg/m</w:t>
            </w:r>
            <w:r w:rsidRPr="00E8450A">
              <w:rPr>
                <w:rStyle w:val="CRRefonteDeleted"/>
                <w:noProof/>
                <w:highlight w:val="lightGray"/>
                <w:vertAlign w:val="superscript"/>
              </w:rPr>
              <w:t>3</w:t>
            </w:r>
          </w:p>
        </w:tc>
        <w:tc>
          <w:tcPr>
            <w:tcW w:w="3436"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t>5 μg/m</w:t>
            </w:r>
            <w:r w:rsidRPr="00E8450A">
              <w:rPr>
                <w:rStyle w:val="CRRefonteDeleted"/>
                <w:noProof/>
                <w:highlight w:val="lightGray"/>
                <w:vertAlign w:val="superscript"/>
              </w:rPr>
              <w:t>3</w:t>
            </w:r>
            <w:r w:rsidRPr="00E8450A">
              <w:rPr>
                <w:rStyle w:val="CRRefonteDeleted"/>
                <w:noProof/>
                <w:highlight w:val="lightGray"/>
              </w:rPr>
              <w:t xml:space="preserve"> (100 %) k 13. decembru 2000 so znížením k 1. januáru 2006 a potom každých 12 mesiacov o 1 μg/m3 až k hodnote 0 % k 1. januáru 2010</w:t>
            </w:r>
          </w:p>
        </w:tc>
        <w:tc>
          <w:tcPr>
            <w:tcW w:w="2043"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t>1. január 2010</w:t>
            </w:r>
          </w:p>
        </w:tc>
      </w:tr>
      <w:tr w:rsidR="005C7768" w:rsidRPr="00E8450A" w:rsidTr="00335440">
        <w:tc>
          <w:tcPr>
            <w:tcW w:w="1671"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Centered"/>
              <w:rPr>
                <w:rStyle w:val="CRRefonteDeleted"/>
                <w:noProof/>
                <w:highlight w:val="lightGray"/>
              </w:rPr>
            </w:pPr>
            <w:r w:rsidRPr="00E8450A">
              <w:rPr>
                <w:rStyle w:val="CRRefonteDeleted"/>
                <w:noProof/>
                <w:highlight w:val="lightGray"/>
              </w:rPr>
              <w:t>Oxid uhoľnatý</w:t>
            </w:r>
          </w:p>
        </w:tc>
        <w:tc>
          <w:tcPr>
            <w:tcW w:w="2136"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Centered"/>
              <w:rPr>
                <w:rStyle w:val="CRRefonteDeleted"/>
                <w:noProof/>
                <w:highlight w:val="lightGray"/>
              </w:rPr>
            </w:pPr>
          </w:p>
        </w:tc>
        <w:tc>
          <w:tcPr>
            <w:tcW w:w="3436"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Centered"/>
              <w:rPr>
                <w:rStyle w:val="CRRefonteDeleted"/>
                <w:noProof/>
                <w:highlight w:val="lightGray"/>
              </w:rPr>
            </w:pPr>
          </w:p>
        </w:tc>
        <w:tc>
          <w:tcPr>
            <w:tcW w:w="2043"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Centered"/>
              <w:rPr>
                <w:rStyle w:val="CRRefonteDeleted"/>
                <w:noProof/>
                <w:highlight w:val="lightGray"/>
              </w:rPr>
            </w:pPr>
          </w:p>
        </w:tc>
      </w:tr>
      <w:tr w:rsidR="005C7768" w:rsidRPr="00E8450A" w:rsidTr="00335440">
        <w:tc>
          <w:tcPr>
            <w:tcW w:w="1671"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t>Maximálna denná 8-hodinová stredná hodnota</w:t>
            </w:r>
            <w:r w:rsidRPr="00E8450A">
              <w:rPr>
                <w:rStyle w:val="CRRefonteDeleted"/>
                <w:noProof/>
                <w:highlight w:val="lightGray"/>
                <w:vertAlign w:val="superscript"/>
              </w:rPr>
              <w:footnoteReference w:id="31"/>
            </w:r>
          </w:p>
        </w:tc>
        <w:tc>
          <w:tcPr>
            <w:tcW w:w="2136"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t>10 mg/m</w:t>
            </w:r>
            <w:r w:rsidRPr="00E8450A">
              <w:rPr>
                <w:rStyle w:val="CRRefonteDeleted"/>
                <w:noProof/>
                <w:highlight w:val="lightGray"/>
                <w:vertAlign w:val="superscript"/>
              </w:rPr>
              <w:t>3</w:t>
            </w:r>
          </w:p>
        </w:tc>
        <w:tc>
          <w:tcPr>
            <w:tcW w:w="3436"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t>60 %</w:t>
            </w:r>
          </w:p>
        </w:tc>
        <w:tc>
          <w:tcPr>
            <w:tcW w:w="2043"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t>—</w:t>
            </w:r>
            <w:r w:rsidRPr="00E8450A">
              <w:rPr>
                <w:rStyle w:val="CRRefonteDeleted"/>
                <w:noProof/>
                <w:highlight w:val="lightGray"/>
                <w:vertAlign w:val="superscript"/>
              </w:rPr>
              <w:footnoteReference w:id="32"/>
            </w:r>
          </w:p>
        </w:tc>
      </w:tr>
      <w:tr w:rsidR="005C7768" w:rsidRPr="00E8450A" w:rsidTr="00335440">
        <w:tc>
          <w:tcPr>
            <w:tcW w:w="1671"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Centered"/>
              <w:rPr>
                <w:rStyle w:val="CRRefonteDeleted"/>
                <w:noProof/>
                <w:highlight w:val="lightGray"/>
              </w:rPr>
            </w:pPr>
            <w:r w:rsidRPr="00E8450A">
              <w:rPr>
                <w:rStyle w:val="CRRefonteDeleted"/>
                <w:noProof/>
                <w:highlight w:val="lightGray"/>
              </w:rPr>
              <w:t>Olovo</w:t>
            </w:r>
          </w:p>
        </w:tc>
        <w:tc>
          <w:tcPr>
            <w:tcW w:w="2136"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Centered"/>
              <w:rPr>
                <w:rStyle w:val="CRRefonteDeleted"/>
                <w:noProof/>
                <w:highlight w:val="lightGray"/>
              </w:rPr>
            </w:pPr>
          </w:p>
        </w:tc>
        <w:tc>
          <w:tcPr>
            <w:tcW w:w="3436"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Centered"/>
              <w:rPr>
                <w:rStyle w:val="CRRefonteDeleted"/>
                <w:noProof/>
                <w:highlight w:val="lightGray"/>
              </w:rPr>
            </w:pPr>
          </w:p>
        </w:tc>
        <w:tc>
          <w:tcPr>
            <w:tcW w:w="2043"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Centered"/>
              <w:rPr>
                <w:rStyle w:val="CRRefonteDeleted"/>
                <w:noProof/>
                <w:highlight w:val="lightGray"/>
              </w:rPr>
            </w:pPr>
          </w:p>
        </w:tc>
      </w:tr>
      <w:tr w:rsidR="005C7768" w:rsidRPr="00E8450A" w:rsidTr="00335440">
        <w:tc>
          <w:tcPr>
            <w:tcW w:w="1671"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t>Kalendárny rok</w:t>
            </w:r>
          </w:p>
        </w:tc>
        <w:tc>
          <w:tcPr>
            <w:tcW w:w="2136"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t>0,5 μg/m</w:t>
            </w:r>
            <w:r w:rsidRPr="00E8450A">
              <w:rPr>
                <w:rStyle w:val="CRRefonteDeleted"/>
                <w:noProof/>
                <w:highlight w:val="lightGray"/>
                <w:vertAlign w:val="superscript"/>
              </w:rPr>
              <w:t>3</w:t>
            </w:r>
            <w:r w:rsidRPr="00E8450A">
              <w:rPr>
                <w:rStyle w:val="CRRefonteDeleted"/>
                <w:noProof/>
                <w:highlight w:val="lightGray"/>
                <w:vertAlign w:val="superscript"/>
              </w:rPr>
              <w:footnoteReference w:id="33"/>
            </w:r>
          </w:p>
        </w:tc>
        <w:tc>
          <w:tcPr>
            <w:tcW w:w="3436"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t>100 %</w:t>
            </w:r>
          </w:p>
        </w:tc>
        <w:tc>
          <w:tcPr>
            <w:tcW w:w="2043"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t>—</w:t>
            </w:r>
            <w:r w:rsidRPr="00E8450A">
              <w:rPr>
                <w:rStyle w:val="CRRefonteDeleted"/>
                <w:noProof/>
                <w:highlight w:val="lightGray"/>
                <w:vertAlign w:val="superscript"/>
              </w:rPr>
              <w:footnoteReference w:id="34"/>
            </w:r>
          </w:p>
        </w:tc>
      </w:tr>
      <w:tr w:rsidR="005C7768" w:rsidRPr="00E8450A" w:rsidTr="00335440">
        <w:tc>
          <w:tcPr>
            <w:tcW w:w="1671"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Centered"/>
              <w:rPr>
                <w:rStyle w:val="CRRefonteDeleted"/>
                <w:noProof/>
                <w:highlight w:val="lightGray"/>
              </w:rPr>
            </w:pPr>
            <w:r w:rsidRPr="00E8450A">
              <w:rPr>
                <w:rStyle w:val="CRRefonteDeleted"/>
                <w:noProof/>
                <w:highlight w:val="lightGray"/>
              </w:rPr>
              <w:t>PM</w:t>
            </w:r>
            <w:r w:rsidRPr="00E8450A">
              <w:rPr>
                <w:rStyle w:val="CRRefonteDeleted"/>
                <w:noProof/>
                <w:highlight w:val="lightGray"/>
                <w:vertAlign w:val="subscript"/>
              </w:rPr>
              <w:t>10</w:t>
            </w:r>
          </w:p>
        </w:tc>
        <w:tc>
          <w:tcPr>
            <w:tcW w:w="2136"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Centered"/>
              <w:rPr>
                <w:rStyle w:val="CRRefonteDeleted"/>
                <w:noProof/>
                <w:highlight w:val="lightGray"/>
              </w:rPr>
            </w:pPr>
          </w:p>
        </w:tc>
        <w:tc>
          <w:tcPr>
            <w:tcW w:w="3436"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Centered"/>
              <w:rPr>
                <w:rStyle w:val="CRRefonteDeleted"/>
                <w:noProof/>
                <w:highlight w:val="lightGray"/>
              </w:rPr>
            </w:pPr>
          </w:p>
        </w:tc>
        <w:tc>
          <w:tcPr>
            <w:tcW w:w="2043"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Centered"/>
              <w:rPr>
                <w:rStyle w:val="CRRefonteDeleted"/>
                <w:noProof/>
                <w:highlight w:val="lightGray"/>
              </w:rPr>
            </w:pPr>
          </w:p>
        </w:tc>
      </w:tr>
      <w:tr w:rsidR="005C7768" w:rsidRPr="00E8450A" w:rsidTr="00335440">
        <w:tc>
          <w:tcPr>
            <w:tcW w:w="1671"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t>1 deň</w:t>
            </w:r>
          </w:p>
        </w:tc>
        <w:tc>
          <w:tcPr>
            <w:tcW w:w="2136"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t>50 μg/m</w:t>
            </w:r>
            <w:r w:rsidRPr="00E8450A">
              <w:rPr>
                <w:rStyle w:val="CRRefonteDeleted"/>
                <w:noProof/>
                <w:highlight w:val="lightGray"/>
                <w:vertAlign w:val="superscript"/>
              </w:rPr>
              <w:t>3</w:t>
            </w:r>
            <w:r w:rsidRPr="00E8450A">
              <w:rPr>
                <w:rStyle w:val="CRRefonteDeleted"/>
                <w:noProof/>
                <w:highlight w:val="lightGray"/>
              </w:rPr>
              <w:t xml:space="preserve"> sa nesmie prekročiť viac ako 35-krát za kalendárny rok</w:t>
            </w:r>
          </w:p>
        </w:tc>
        <w:tc>
          <w:tcPr>
            <w:tcW w:w="3436"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t>50 %</w:t>
            </w:r>
          </w:p>
        </w:tc>
        <w:tc>
          <w:tcPr>
            <w:tcW w:w="2043"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t>—</w:t>
            </w:r>
            <w:r w:rsidRPr="00E8450A">
              <w:rPr>
                <w:rStyle w:val="CRRefonteDeleted"/>
                <w:noProof/>
                <w:highlight w:val="lightGray"/>
                <w:vertAlign w:val="superscript"/>
              </w:rPr>
              <w:footnoteReference w:id="35"/>
            </w:r>
          </w:p>
        </w:tc>
      </w:tr>
      <w:tr w:rsidR="005C7768" w:rsidRPr="00E8450A" w:rsidTr="00335440">
        <w:tc>
          <w:tcPr>
            <w:tcW w:w="1671"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t>Kalendárny rok</w:t>
            </w:r>
          </w:p>
        </w:tc>
        <w:tc>
          <w:tcPr>
            <w:tcW w:w="2136"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t>40 μg/m</w:t>
            </w:r>
            <w:r w:rsidRPr="00E8450A">
              <w:rPr>
                <w:rStyle w:val="CRRefonteDeleted"/>
                <w:noProof/>
                <w:highlight w:val="lightGray"/>
                <w:vertAlign w:val="superscript"/>
              </w:rPr>
              <w:t>3</w:t>
            </w:r>
          </w:p>
        </w:tc>
        <w:tc>
          <w:tcPr>
            <w:tcW w:w="3436"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t>20 %</w:t>
            </w:r>
          </w:p>
        </w:tc>
        <w:tc>
          <w:tcPr>
            <w:tcW w:w="2043"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t>—</w:t>
            </w:r>
            <w:r w:rsidRPr="00E8450A">
              <w:rPr>
                <w:rStyle w:val="CRRefonteDeleted"/>
                <w:noProof/>
                <w:highlight w:val="lightGray"/>
                <w:vertAlign w:val="superscript"/>
              </w:rPr>
              <w:footnoteReference w:id="36"/>
            </w:r>
          </w:p>
        </w:tc>
      </w:tr>
    </w:tbl>
    <w:p w:rsidR="005C7768" w:rsidRPr="00E8450A" w:rsidRDefault="005C7768" w:rsidP="005C7768">
      <w:pPr>
        <w:adjustRightInd w:val="0"/>
        <w:spacing w:before="0" w:after="0"/>
        <w:jc w:val="left"/>
        <w:rPr>
          <w:noProof/>
        </w:rPr>
        <w:sectPr w:rsidR="005C7768" w:rsidRPr="00E8450A" w:rsidSect="000A000C">
          <w:pgSz w:w="11906" w:h="16838"/>
          <w:pgMar w:top="1134" w:right="1418" w:bottom="1134" w:left="1418" w:header="709" w:footer="709" w:gutter="0"/>
          <w:cols w:space="709"/>
          <w:docGrid w:linePitch="326"/>
        </w:sectPr>
      </w:pPr>
    </w:p>
    <w:p w:rsidR="005C7768" w:rsidRPr="00E8450A" w:rsidRDefault="005C7768" w:rsidP="005C7768">
      <w:pPr>
        <w:pStyle w:val="CRSeparator"/>
        <w:rPr>
          <w:noProof/>
        </w:rPr>
      </w:pPr>
    </w:p>
    <w:p w:rsidR="005C7768" w:rsidRPr="00E8450A" w:rsidRDefault="005C7768" w:rsidP="005C7768">
      <w:pPr>
        <w:pStyle w:val="CRReference"/>
        <w:rPr>
          <w:noProof/>
        </w:rPr>
      </w:pPr>
      <w:r w:rsidRPr="00E8450A">
        <w:rPr>
          <w:noProof/>
        </w:rPr>
        <w:fldChar w:fldCharType="begin"/>
      </w:r>
      <w:r w:rsidRPr="00E8450A">
        <w:rPr>
          <w:noProof/>
        </w:rPr>
        <w:instrText xml:space="preserve"> QUOTE "ê" </w:instrText>
      </w:r>
      <w:r w:rsidRPr="00E8450A">
        <w:rPr>
          <w:noProof/>
        </w:rPr>
        <w:fldChar w:fldCharType="separate"/>
      </w:r>
      <w:r w:rsidRPr="00E8450A">
        <w:rPr>
          <w:rStyle w:val="CRMarker"/>
          <w:noProof/>
        </w:rPr>
        <w:t>ê</w:t>
      </w:r>
      <w:r w:rsidRPr="00E8450A">
        <w:rPr>
          <w:noProof/>
        </w:rPr>
        <w:fldChar w:fldCharType="end"/>
      </w:r>
      <w:r w:rsidRPr="00E8450A">
        <w:rPr>
          <w:noProof/>
        </w:rPr>
        <w:t> 2008/50/ES</w:t>
      </w:r>
    </w:p>
    <w:p w:rsidR="005C7768" w:rsidRPr="00E8450A" w:rsidRDefault="005C7768" w:rsidP="000A6A7F">
      <w:pPr>
        <w:jc w:val="center"/>
        <w:rPr>
          <w:rStyle w:val="CRRefonteDeleted"/>
          <w:b/>
          <w:noProof/>
          <w:highlight w:val="lightGray"/>
          <w:u w:val="single"/>
        </w:rPr>
      </w:pPr>
      <w:r w:rsidRPr="00E8450A">
        <w:rPr>
          <w:rStyle w:val="CRRefonteDeleted"/>
          <w:b/>
          <w:noProof/>
          <w:highlight w:val="lightGray"/>
          <w:u w:val="single"/>
        </w:rPr>
        <w:t>PRÍLOHA XII</w:t>
      </w:r>
    </w:p>
    <w:p w:rsidR="005C7768" w:rsidRPr="00E8450A" w:rsidRDefault="005C7768" w:rsidP="005C7768">
      <w:pPr>
        <w:pStyle w:val="NormalCentered"/>
        <w:rPr>
          <w:rStyle w:val="CRRefonteDeleted"/>
          <w:noProof/>
          <w:highlight w:val="lightGray"/>
        </w:rPr>
      </w:pPr>
      <w:r w:rsidRPr="00E8450A">
        <w:rPr>
          <w:rStyle w:val="CRRefonteDeleted"/>
          <w:b/>
          <w:noProof/>
          <w:highlight w:val="lightGray"/>
        </w:rPr>
        <w:t>INFORMAČNÉ A VÝSTRAŽNÉ PRAHY</w:t>
      </w:r>
    </w:p>
    <w:p w:rsidR="005C7768" w:rsidRPr="00E8450A" w:rsidRDefault="005C7768" w:rsidP="005812BF">
      <w:pPr>
        <w:pStyle w:val="ManualHeading1"/>
        <w:ind w:left="851" w:hanging="851"/>
        <w:rPr>
          <w:rStyle w:val="CRRefonteDeleted"/>
          <w:noProof/>
          <w:highlight w:val="lightGray"/>
        </w:rPr>
      </w:pPr>
      <w:r w:rsidRPr="00E8450A">
        <w:rPr>
          <w:rStyle w:val="CRRefonteDeleted"/>
          <w:noProof/>
          <w:highlight w:val="lightGray"/>
        </w:rPr>
        <w:t>A</w:t>
      </w:r>
      <w:r w:rsidR="005812BF">
        <w:rPr>
          <w:rStyle w:val="CRRefonteDeleted"/>
          <w:noProof/>
          <w:highlight w:val="lightGray"/>
        </w:rPr>
        <w:t>)</w:t>
      </w:r>
      <w:r w:rsidRPr="00E8450A">
        <w:rPr>
          <w:noProof/>
        </w:rPr>
        <w:tab/>
      </w:r>
      <w:r w:rsidRPr="00E8450A">
        <w:rPr>
          <w:rStyle w:val="CRRefonteDeleted"/>
          <w:noProof/>
          <w:highlight w:val="lightGray"/>
        </w:rPr>
        <w:t>Výstražné prahy pre znečisťujúce látky okrem ozónu</w:t>
      </w:r>
    </w:p>
    <w:p w:rsidR="005C7768" w:rsidRPr="00E8450A" w:rsidRDefault="005C7768" w:rsidP="005C7768">
      <w:pPr>
        <w:rPr>
          <w:rStyle w:val="CRRefonteDeleted"/>
          <w:noProof/>
          <w:highlight w:val="lightGray"/>
        </w:rPr>
      </w:pPr>
      <w:r w:rsidRPr="00E8450A">
        <w:rPr>
          <w:rStyle w:val="CRRefonteDeleted"/>
          <w:noProof/>
          <w:highlight w:val="lightGray"/>
        </w:rPr>
        <w:t>Hodnoty sa merajú počas troch po sebe nasledujúcich hodín na miestach reprezentujúcich kvalitu ovzdušia pre aspoň 100 km</w:t>
      </w:r>
      <w:r w:rsidRPr="00E8450A">
        <w:rPr>
          <w:rStyle w:val="CRRefonteDeleted"/>
          <w:noProof/>
          <w:highlight w:val="lightGray"/>
          <w:vertAlign w:val="superscript"/>
        </w:rPr>
        <w:t>2</w:t>
      </w:r>
      <w:r w:rsidRPr="00E8450A">
        <w:rPr>
          <w:rStyle w:val="CRRefonteDeleted"/>
          <w:noProof/>
          <w:highlight w:val="lightGray"/>
        </w:rPr>
        <w:t xml:space="preserve"> alebo celú zónu či aglomeráciu, podľa toho, čo je menšie.</w:t>
      </w:r>
    </w:p>
    <w:tbl>
      <w:tblPr>
        <w:tblW w:w="0" w:type="auto"/>
        <w:tblInd w:w="2739" w:type="dxa"/>
        <w:tblLayout w:type="fixed"/>
        <w:tblLook w:val="0000" w:firstRow="0" w:lastRow="0" w:firstColumn="0" w:lastColumn="0" w:noHBand="0" w:noVBand="0"/>
      </w:tblPr>
      <w:tblGrid>
        <w:gridCol w:w="1980"/>
        <w:gridCol w:w="1827"/>
      </w:tblGrid>
      <w:tr w:rsidR="005C7768" w:rsidRPr="00E8450A" w:rsidTr="00335440">
        <w:tc>
          <w:tcPr>
            <w:tcW w:w="1980"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Centered"/>
              <w:rPr>
                <w:rStyle w:val="CRRefonteDeleted"/>
                <w:noProof/>
                <w:highlight w:val="lightGray"/>
              </w:rPr>
            </w:pPr>
            <w:r w:rsidRPr="00E8450A">
              <w:rPr>
                <w:rStyle w:val="CRRefonteDeleted"/>
                <w:noProof/>
                <w:highlight w:val="lightGray"/>
              </w:rPr>
              <w:t>Znečisťujúca látka</w:t>
            </w:r>
          </w:p>
        </w:tc>
        <w:tc>
          <w:tcPr>
            <w:tcW w:w="1827"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Centered"/>
              <w:rPr>
                <w:rStyle w:val="CRRefonteDeleted"/>
                <w:noProof/>
                <w:highlight w:val="lightGray"/>
              </w:rPr>
            </w:pPr>
            <w:r w:rsidRPr="00E8450A">
              <w:rPr>
                <w:rStyle w:val="CRRefonteDeleted"/>
                <w:noProof/>
                <w:highlight w:val="lightGray"/>
              </w:rPr>
              <w:t>Výstražný prah</w:t>
            </w:r>
          </w:p>
        </w:tc>
      </w:tr>
      <w:tr w:rsidR="005C7768" w:rsidRPr="00E8450A" w:rsidTr="00335440">
        <w:tc>
          <w:tcPr>
            <w:tcW w:w="1980"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t>Oxid siričitý</w:t>
            </w:r>
          </w:p>
        </w:tc>
        <w:tc>
          <w:tcPr>
            <w:tcW w:w="1827"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t>500 μg/m</w:t>
            </w:r>
            <w:r w:rsidRPr="00E8450A">
              <w:rPr>
                <w:rStyle w:val="CRRefonteDeleted"/>
                <w:noProof/>
                <w:highlight w:val="lightGray"/>
                <w:vertAlign w:val="superscript"/>
              </w:rPr>
              <w:t>3</w:t>
            </w:r>
          </w:p>
        </w:tc>
      </w:tr>
      <w:tr w:rsidR="005C7768" w:rsidRPr="00E8450A" w:rsidTr="00335440">
        <w:tc>
          <w:tcPr>
            <w:tcW w:w="1980"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t>Oxid dusičitý</w:t>
            </w:r>
          </w:p>
        </w:tc>
        <w:tc>
          <w:tcPr>
            <w:tcW w:w="1827"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t>400 μg/m</w:t>
            </w:r>
            <w:r w:rsidRPr="00E8450A">
              <w:rPr>
                <w:rStyle w:val="CRRefonteDeleted"/>
                <w:noProof/>
                <w:highlight w:val="lightGray"/>
                <w:vertAlign w:val="superscript"/>
              </w:rPr>
              <w:t>3</w:t>
            </w:r>
          </w:p>
        </w:tc>
      </w:tr>
    </w:tbl>
    <w:p w:rsidR="005C7768" w:rsidRPr="00E8450A" w:rsidRDefault="005C7768" w:rsidP="005C7768">
      <w:pPr>
        <w:rPr>
          <w:rStyle w:val="CRRefonteDeleted"/>
          <w:noProof/>
          <w:highlight w:val="lightGray"/>
        </w:rPr>
      </w:pPr>
    </w:p>
    <w:p w:rsidR="005C7768" w:rsidRPr="00E8450A" w:rsidRDefault="005C7768" w:rsidP="005812BF">
      <w:pPr>
        <w:pStyle w:val="ManualHeading1"/>
        <w:ind w:left="851" w:hanging="851"/>
        <w:rPr>
          <w:rStyle w:val="CRRefonteDeleted"/>
          <w:noProof/>
          <w:highlight w:val="lightGray"/>
        </w:rPr>
      </w:pPr>
      <w:r w:rsidRPr="00E8450A">
        <w:rPr>
          <w:rStyle w:val="CRRefonteDeleted"/>
          <w:noProof/>
          <w:highlight w:val="lightGray"/>
        </w:rPr>
        <w:t>B</w:t>
      </w:r>
      <w:r w:rsidR="005812BF">
        <w:rPr>
          <w:rStyle w:val="CRRefonteDeleted"/>
          <w:noProof/>
          <w:highlight w:val="lightGray"/>
        </w:rPr>
        <w:t>)</w:t>
      </w:r>
      <w:r w:rsidRPr="00E8450A">
        <w:rPr>
          <w:noProof/>
        </w:rPr>
        <w:tab/>
      </w:r>
      <w:r w:rsidRPr="00E8450A">
        <w:rPr>
          <w:rStyle w:val="CRRefonteDeleted"/>
          <w:noProof/>
          <w:highlight w:val="lightGray"/>
        </w:rPr>
        <w:t>Informačné a výstražné prahy pre ozón</w:t>
      </w:r>
    </w:p>
    <w:tbl>
      <w:tblPr>
        <w:tblW w:w="0" w:type="auto"/>
        <w:tblInd w:w="2136" w:type="dxa"/>
        <w:tblLayout w:type="fixed"/>
        <w:tblLook w:val="0000" w:firstRow="0" w:lastRow="0" w:firstColumn="0" w:lastColumn="0" w:noHBand="0" w:noVBand="0"/>
      </w:tblPr>
      <w:tblGrid>
        <w:gridCol w:w="1554"/>
        <w:gridCol w:w="2107"/>
        <w:gridCol w:w="1353"/>
      </w:tblGrid>
      <w:tr w:rsidR="005C7768" w:rsidRPr="00E8450A" w:rsidTr="00335440">
        <w:tc>
          <w:tcPr>
            <w:tcW w:w="1554"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Centered"/>
              <w:rPr>
                <w:rStyle w:val="CRRefonteDeleted"/>
                <w:noProof/>
                <w:highlight w:val="lightGray"/>
              </w:rPr>
            </w:pPr>
            <w:r w:rsidRPr="00E8450A">
              <w:rPr>
                <w:rStyle w:val="CRRefonteDeleted"/>
                <w:noProof/>
                <w:highlight w:val="lightGray"/>
              </w:rPr>
              <w:t>Účel</w:t>
            </w:r>
          </w:p>
        </w:tc>
        <w:tc>
          <w:tcPr>
            <w:tcW w:w="2107"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Centered"/>
              <w:rPr>
                <w:rStyle w:val="CRRefonteDeleted"/>
                <w:noProof/>
                <w:highlight w:val="lightGray"/>
              </w:rPr>
            </w:pPr>
            <w:r w:rsidRPr="00E8450A">
              <w:rPr>
                <w:rStyle w:val="CRRefonteDeleted"/>
                <w:noProof/>
                <w:highlight w:val="lightGray"/>
              </w:rPr>
              <w:t>Priemerované obdobie</w:t>
            </w:r>
          </w:p>
        </w:tc>
        <w:tc>
          <w:tcPr>
            <w:tcW w:w="1353"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Centered"/>
              <w:rPr>
                <w:rStyle w:val="CRRefonteDeleted"/>
                <w:noProof/>
                <w:highlight w:val="lightGray"/>
              </w:rPr>
            </w:pPr>
            <w:r w:rsidRPr="00E8450A">
              <w:rPr>
                <w:rStyle w:val="CRRefonteDeleted"/>
                <w:noProof/>
                <w:highlight w:val="lightGray"/>
              </w:rPr>
              <w:t>Prah</w:t>
            </w:r>
          </w:p>
        </w:tc>
      </w:tr>
      <w:tr w:rsidR="005C7768" w:rsidRPr="00E8450A" w:rsidTr="00335440">
        <w:tc>
          <w:tcPr>
            <w:tcW w:w="1554"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t>Informácie</w:t>
            </w:r>
          </w:p>
        </w:tc>
        <w:tc>
          <w:tcPr>
            <w:tcW w:w="2107"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t>1 hodina</w:t>
            </w:r>
          </w:p>
        </w:tc>
        <w:tc>
          <w:tcPr>
            <w:tcW w:w="1353"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t>180 μg/m</w:t>
            </w:r>
            <w:r w:rsidRPr="00E8450A">
              <w:rPr>
                <w:rStyle w:val="CRRefonteDeleted"/>
                <w:noProof/>
                <w:highlight w:val="lightGray"/>
                <w:vertAlign w:val="superscript"/>
              </w:rPr>
              <w:t>3</w:t>
            </w:r>
          </w:p>
        </w:tc>
      </w:tr>
      <w:tr w:rsidR="005C7768" w:rsidRPr="00E8450A" w:rsidTr="00335440">
        <w:tc>
          <w:tcPr>
            <w:tcW w:w="1554"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t>Výstraha</w:t>
            </w:r>
          </w:p>
        </w:tc>
        <w:tc>
          <w:tcPr>
            <w:tcW w:w="2107"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t>1 hodina</w:t>
            </w:r>
            <w:r w:rsidRPr="00E8450A">
              <w:rPr>
                <w:rStyle w:val="CRRefonteDeleted"/>
                <w:noProof/>
                <w:highlight w:val="lightGray"/>
                <w:vertAlign w:val="superscript"/>
              </w:rPr>
              <w:footnoteReference w:id="37"/>
            </w:r>
          </w:p>
        </w:tc>
        <w:tc>
          <w:tcPr>
            <w:tcW w:w="1353"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t>240 μg/m</w:t>
            </w:r>
            <w:r w:rsidRPr="00E8450A">
              <w:rPr>
                <w:rStyle w:val="CRRefonteDeleted"/>
                <w:noProof/>
                <w:highlight w:val="lightGray"/>
                <w:vertAlign w:val="superscript"/>
              </w:rPr>
              <w:t>3</w:t>
            </w:r>
          </w:p>
        </w:tc>
      </w:tr>
    </w:tbl>
    <w:p w:rsidR="005C7768" w:rsidRPr="00E8450A" w:rsidRDefault="005C7768" w:rsidP="005C7768">
      <w:pPr>
        <w:rPr>
          <w:rStyle w:val="CRRefonteDeleted"/>
          <w:noProof/>
          <w:highlight w:val="lightGray"/>
        </w:rPr>
      </w:pPr>
    </w:p>
    <w:p w:rsidR="005C7768" w:rsidRPr="00E8450A" w:rsidRDefault="005C7768" w:rsidP="005C7768">
      <w:pPr>
        <w:adjustRightInd w:val="0"/>
        <w:spacing w:before="0" w:after="0"/>
        <w:jc w:val="left"/>
        <w:rPr>
          <w:noProof/>
        </w:rPr>
        <w:sectPr w:rsidR="005C7768" w:rsidRPr="00E8450A" w:rsidSect="000A000C">
          <w:pgSz w:w="11906" w:h="16838"/>
          <w:pgMar w:top="1134" w:right="1418" w:bottom="1134" w:left="1418" w:header="709" w:footer="709" w:gutter="0"/>
          <w:cols w:space="709"/>
          <w:docGrid w:linePitch="326"/>
        </w:sectPr>
      </w:pPr>
    </w:p>
    <w:p w:rsidR="005C7768" w:rsidRPr="00E8450A" w:rsidRDefault="005C7768" w:rsidP="005C7768">
      <w:pPr>
        <w:pStyle w:val="CRSeparator"/>
        <w:rPr>
          <w:noProof/>
        </w:rPr>
      </w:pPr>
    </w:p>
    <w:p w:rsidR="005C7768" w:rsidRPr="00E8450A" w:rsidRDefault="005C7768" w:rsidP="005C7768">
      <w:pPr>
        <w:pStyle w:val="CRReference"/>
        <w:rPr>
          <w:noProof/>
        </w:rPr>
      </w:pPr>
      <w:r w:rsidRPr="00E8450A">
        <w:rPr>
          <w:noProof/>
        </w:rPr>
        <w:fldChar w:fldCharType="begin"/>
      </w:r>
      <w:r w:rsidRPr="00E8450A">
        <w:rPr>
          <w:noProof/>
        </w:rPr>
        <w:instrText xml:space="preserve"> QUOTE "ê" </w:instrText>
      </w:r>
      <w:r w:rsidRPr="00E8450A">
        <w:rPr>
          <w:noProof/>
        </w:rPr>
        <w:fldChar w:fldCharType="separate"/>
      </w:r>
      <w:r w:rsidRPr="00E8450A">
        <w:rPr>
          <w:rStyle w:val="CRMarker"/>
          <w:noProof/>
        </w:rPr>
        <w:t>ê</w:t>
      </w:r>
      <w:r w:rsidRPr="00E8450A">
        <w:rPr>
          <w:noProof/>
        </w:rPr>
        <w:fldChar w:fldCharType="end"/>
      </w:r>
      <w:r w:rsidRPr="00E8450A">
        <w:rPr>
          <w:noProof/>
        </w:rPr>
        <w:t xml:space="preserve"> 2008/50</w:t>
      </w:r>
    </w:p>
    <w:p w:rsidR="005C7768" w:rsidRPr="00E8450A" w:rsidRDefault="005C7768" w:rsidP="000A6A7F">
      <w:pPr>
        <w:jc w:val="center"/>
        <w:rPr>
          <w:rStyle w:val="CRRefonteDeleted"/>
          <w:b/>
          <w:noProof/>
          <w:highlight w:val="lightGray"/>
          <w:u w:val="single"/>
        </w:rPr>
      </w:pPr>
      <w:r w:rsidRPr="00E8450A">
        <w:rPr>
          <w:rStyle w:val="CRRefonteDeleted"/>
          <w:b/>
          <w:noProof/>
          <w:highlight w:val="lightGray"/>
          <w:u w:val="single"/>
        </w:rPr>
        <w:t>PRÍLOHA XIII</w:t>
      </w:r>
    </w:p>
    <w:p w:rsidR="005C7768" w:rsidRPr="00E8450A" w:rsidRDefault="005C7768" w:rsidP="005C7768">
      <w:pPr>
        <w:pStyle w:val="NormalCentered"/>
        <w:rPr>
          <w:rStyle w:val="CRRefonteDeleted"/>
          <w:noProof/>
          <w:highlight w:val="lightGray"/>
        </w:rPr>
      </w:pPr>
      <w:r w:rsidRPr="00E8450A">
        <w:rPr>
          <w:rStyle w:val="CRRefonteDeleted"/>
          <w:b/>
          <w:noProof/>
          <w:highlight w:val="lightGray"/>
        </w:rPr>
        <w:t>KRITICKÉ ÚROVNE NA OCHRANU VEGETÁCIE</w:t>
      </w:r>
    </w:p>
    <w:tbl>
      <w:tblPr>
        <w:tblW w:w="0" w:type="auto"/>
        <w:tblInd w:w="232" w:type="dxa"/>
        <w:tblLayout w:type="fixed"/>
        <w:tblLook w:val="0000" w:firstRow="0" w:lastRow="0" w:firstColumn="0" w:lastColumn="0" w:noHBand="0" w:noVBand="0"/>
      </w:tblPr>
      <w:tblGrid>
        <w:gridCol w:w="4852"/>
        <w:gridCol w:w="1676"/>
        <w:gridCol w:w="2294"/>
      </w:tblGrid>
      <w:tr w:rsidR="005C7768" w:rsidRPr="00E8450A" w:rsidTr="00335440">
        <w:tc>
          <w:tcPr>
            <w:tcW w:w="4852"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Centered"/>
              <w:rPr>
                <w:rStyle w:val="CRRefonteDeleted"/>
                <w:noProof/>
                <w:highlight w:val="lightGray"/>
              </w:rPr>
            </w:pPr>
            <w:r w:rsidRPr="00E8450A">
              <w:rPr>
                <w:rStyle w:val="CRRefonteDeleted"/>
                <w:noProof/>
                <w:highlight w:val="lightGray"/>
              </w:rPr>
              <w:t>Priemerované obdobie</w:t>
            </w:r>
          </w:p>
        </w:tc>
        <w:tc>
          <w:tcPr>
            <w:tcW w:w="1676"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Centered"/>
              <w:rPr>
                <w:rStyle w:val="CRRefonteDeleted"/>
                <w:noProof/>
                <w:highlight w:val="lightGray"/>
              </w:rPr>
            </w:pPr>
            <w:r w:rsidRPr="00E8450A">
              <w:rPr>
                <w:rStyle w:val="CRRefonteDeleted"/>
                <w:noProof/>
                <w:highlight w:val="lightGray"/>
              </w:rPr>
              <w:t>Kritická úroveň</w:t>
            </w:r>
          </w:p>
        </w:tc>
        <w:tc>
          <w:tcPr>
            <w:tcW w:w="2294"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Centered"/>
              <w:rPr>
                <w:rStyle w:val="CRRefonteDeleted"/>
                <w:noProof/>
                <w:highlight w:val="lightGray"/>
              </w:rPr>
            </w:pPr>
            <w:r w:rsidRPr="00E8450A">
              <w:rPr>
                <w:rStyle w:val="CRRefonteDeleted"/>
                <w:noProof/>
                <w:highlight w:val="lightGray"/>
              </w:rPr>
              <w:t>Medza tolerancie</w:t>
            </w:r>
          </w:p>
        </w:tc>
      </w:tr>
      <w:tr w:rsidR="005C7768" w:rsidRPr="00E8450A" w:rsidTr="00335440">
        <w:tc>
          <w:tcPr>
            <w:tcW w:w="8822" w:type="dxa"/>
            <w:gridSpan w:val="3"/>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t>Oxid siričitý</w:t>
            </w:r>
          </w:p>
        </w:tc>
      </w:tr>
      <w:tr w:rsidR="005C7768" w:rsidRPr="00E8450A" w:rsidTr="00335440">
        <w:tc>
          <w:tcPr>
            <w:tcW w:w="4852"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t>Kalendárny rok a zimné obdobie (od 1. októbra do 31. marca)</w:t>
            </w:r>
          </w:p>
        </w:tc>
        <w:tc>
          <w:tcPr>
            <w:tcW w:w="1676"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t>20 μg/m</w:t>
            </w:r>
            <w:r w:rsidRPr="00E8450A">
              <w:rPr>
                <w:rStyle w:val="CRRefonteDeleted"/>
                <w:noProof/>
                <w:highlight w:val="lightGray"/>
                <w:vertAlign w:val="superscript"/>
              </w:rPr>
              <w:t>3</w:t>
            </w:r>
          </w:p>
        </w:tc>
        <w:tc>
          <w:tcPr>
            <w:tcW w:w="2294"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t>Žiadna</w:t>
            </w:r>
          </w:p>
        </w:tc>
      </w:tr>
      <w:tr w:rsidR="005C7768" w:rsidRPr="00E8450A" w:rsidTr="00335440">
        <w:tc>
          <w:tcPr>
            <w:tcW w:w="8822" w:type="dxa"/>
            <w:gridSpan w:val="3"/>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t>Oxidy dusíka</w:t>
            </w:r>
          </w:p>
        </w:tc>
      </w:tr>
      <w:tr w:rsidR="005C7768" w:rsidRPr="00E8450A" w:rsidTr="00335440">
        <w:tc>
          <w:tcPr>
            <w:tcW w:w="4852"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t>Kalendárny rok</w:t>
            </w:r>
          </w:p>
        </w:tc>
        <w:tc>
          <w:tcPr>
            <w:tcW w:w="1676"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t>30 μg/m</w:t>
            </w:r>
            <w:r w:rsidRPr="00E8450A">
              <w:rPr>
                <w:rStyle w:val="CRRefonteDeleted"/>
                <w:noProof/>
                <w:highlight w:val="lightGray"/>
                <w:vertAlign w:val="superscript"/>
              </w:rPr>
              <w:t>3</w:t>
            </w:r>
            <w:r w:rsidRPr="00E8450A">
              <w:rPr>
                <w:rStyle w:val="CRRefonteDeleted"/>
                <w:noProof/>
                <w:highlight w:val="lightGray"/>
              </w:rPr>
              <w:t xml:space="preserve"> NO</w:t>
            </w:r>
            <w:r w:rsidRPr="00E8450A">
              <w:rPr>
                <w:rStyle w:val="CRRefonteDeleted"/>
                <w:noProof/>
                <w:highlight w:val="lightGray"/>
                <w:vertAlign w:val="subscript"/>
              </w:rPr>
              <w:t>x</w:t>
            </w:r>
          </w:p>
        </w:tc>
        <w:tc>
          <w:tcPr>
            <w:tcW w:w="2294"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t>Žiadna</w:t>
            </w:r>
          </w:p>
        </w:tc>
      </w:tr>
    </w:tbl>
    <w:p w:rsidR="005C7768" w:rsidRPr="00E8450A" w:rsidRDefault="005C7768" w:rsidP="005C7768">
      <w:pPr>
        <w:rPr>
          <w:rStyle w:val="CRRefonteDeleted"/>
          <w:noProof/>
          <w:highlight w:val="lightGray"/>
        </w:rPr>
      </w:pPr>
    </w:p>
    <w:p w:rsidR="005C7768" w:rsidRPr="00E8450A" w:rsidRDefault="005C7768" w:rsidP="005C7768">
      <w:pPr>
        <w:adjustRightInd w:val="0"/>
        <w:spacing w:before="0" w:after="0"/>
        <w:jc w:val="left"/>
        <w:rPr>
          <w:noProof/>
        </w:rPr>
        <w:sectPr w:rsidR="005C7768" w:rsidRPr="00E8450A" w:rsidSect="000A000C">
          <w:pgSz w:w="11906" w:h="16838"/>
          <w:pgMar w:top="1134" w:right="1418" w:bottom="1134" w:left="1418" w:header="709" w:footer="709" w:gutter="0"/>
          <w:cols w:space="709"/>
          <w:docGrid w:linePitch="326"/>
        </w:sectPr>
      </w:pPr>
    </w:p>
    <w:p w:rsidR="005C7768" w:rsidRPr="00E8450A" w:rsidRDefault="005C7768" w:rsidP="005C7768">
      <w:pPr>
        <w:pStyle w:val="CRSeparator"/>
        <w:rPr>
          <w:noProof/>
        </w:rPr>
      </w:pPr>
    </w:p>
    <w:p w:rsidR="005C7768" w:rsidRPr="00E8450A" w:rsidRDefault="005C7768" w:rsidP="005C7768">
      <w:pPr>
        <w:pStyle w:val="CRReference"/>
        <w:rPr>
          <w:noProof/>
        </w:rPr>
      </w:pPr>
      <w:r w:rsidRPr="00E8450A">
        <w:rPr>
          <w:noProof/>
        </w:rPr>
        <w:fldChar w:fldCharType="begin"/>
      </w:r>
      <w:r w:rsidRPr="00E8450A">
        <w:rPr>
          <w:noProof/>
        </w:rPr>
        <w:instrText xml:space="preserve"> QUOTE "ê" </w:instrText>
      </w:r>
      <w:r w:rsidRPr="00E8450A">
        <w:rPr>
          <w:noProof/>
        </w:rPr>
        <w:fldChar w:fldCharType="separate"/>
      </w:r>
      <w:r w:rsidRPr="00E8450A">
        <w:rPr>
          <w:rStyle w:val="CRMarker"/>
          <w:noProof/>
        </w:rPr>
        <w:t>ê</w:t>
      </w:r>
      <w:r w:rsidRPr="00E8450A">
        <w:rPr>
          <w:noProof/>
        </w:rPr>
        <w:fldChar w:fldCharType="end"/>
      </w:r>
      <w:r w:rsidRPr="00E8450A">
        <w:rPr>
          <w:noProof/>
        </w:rPr>
        <w:t> 2008/50/ES</w:t>
      </w:r>
    </w:p>
    <w:p w:rsidR="005C7768" w:rsidRPr="00E8450A" w:rsidRDefault="005C7768" w:rsidP="000A6A7F">
      <w:pPr>
        <w:jc w:val="center"/>
        <w:rPr>
          <w:rStyle w:val="CRRefonteDeleted"/>
          <w:b/>
          <w:noProof/>
          <w:highlight w:val="lightGray"/>
          <w:u w:val="single"/>
        </w:rPr>
      </w:pPr>
      <w:r w:rsidRPr="00E8450A">
        <w:rPr>
          <w:rStyle w:val="CRRefonteDeleted"/>
          <w:b/>
          <w:noProof/>
          <w:highlight w:val="lightGray"/>
          <w:u w:val="single"/>
        </w:rPr>
        <w:t>PRÍLOHA XIV</w:t>
      </w:r>
    </w:p>
    <w:p w:rsidR="005C7768" w:rsidRPr="00E8450A" w:rsidRDefault="005C7768" w:rsidP="005C7768">
      <w:pPr>
        <w:pStyle w:val="NormalCentered"/>
        <w:rPr>
          <w:rStyle w:val="CRRefonteDeleted"/>
          <w:noProof/>
          <w:highlight w:val="lightGray"/>
        </w:rPr>
      </w:pPr>
      <w:r w:rsidRPr="00E8450A">
        <w:rPr>
          <w:rStyle w:val="CRRefonteDeleted"/>
          <w:b/>
          <w:noProof/>
          <w:highlight w:val="lightGray"/>
        </w:rPr>
        <w:t>NÁRODNÝ CIEĽ ZNÍŽENIA EXPOZÍCIE, CIEĽOVÁ HODNOTA A LIMITNÁ HODNOTA PRE PM</w:t>
      </w:r>
      <w:r w:rsidRPr="00E8450A">
        <w:rPr>
          <w:rStyle w:val="CRRefonteDeleted"/>
          <w:b/>
          <w:noProof/>
          <w:highlight w:val="lightGray"/>
          <w:vertAlign w:val="subscript"/>
        </w:rPr>
        <w:t>2,5</w:t>
      </w:r>
    </w:p>
    <w:p w:rsidR="005C7768" w:rsidRPr="00E8450A" w:rsidRDefault="005C7768" w:rsidP="005812BF">
      <w:pPr>
        <w:pStyle w:val="ManualHeading1"/>
        <w:ind w:left="851" w:hanging="851"/>
        <w:rPr>
          <w:rStyle w:val="CRRefonteDeleted"/>
          <w:noProof/>
          <w:highlight w:val="lightGray"/>
        </w:rPr>
      </w:pPr>
      <w:r w:rsidRPr="00E8450A">
        <w:rPr>
          <w:rStyle w:val="CRRefonteDeleted"/>
          <w:noProof/>
          <w:highlight w:val="lightGray"/>
        </w:rPr>
        <w:t>A</w:t>
      </w:r>
      <w:r w:rsidR="005812BF">
        <w:rPr>
          <w:rStyle w:val="CRRefonteDeleted"/>
          <w:noProof/>
          <w:highlight w:val="lightGray"/>
        </w:rPr>
        <w:t>)</w:t>
      </w:r>
      <w:r w:rsidRPr="00E8450A">
        <w:rPr>
          <w:noProof/>
        </w:rPr>
        <w:tab/>
      </w:r>
      <w:r w:rsidRPr="00E8450A">
        <w:rPr>
          <w:rStyle w:val="CRRefonteDeleted"/>
          <w:noProof/>
          <w:highlight w:val="lightGray"/>
        </w:rPr>
        <w:t>Indikátor priemernej expozície</w:t>
      </w:r>
    </w:p>
    <w:p w:rsidR="005C7768" w:rsidRPr="00E8450A" w:rsidRDefault="005C7768" w:rsidP="005C7768">
      <w:pPr>
        <w:rPr>
          <w:rStyle w:val="CRRefonteDeleted"/>
          <w:noProof/>
          <w:highlight w:val="lightGray"/>
        </w:rPr>
      </w:pPr>
      <w:r w:rsidRPr="00E8450A">
        <w:rPr>
          <w:rStyle w:val="CRRefonteDeleted"/>
          <w:noProof/>
          <w:highlight w:val="lightGray"/>
        </w:rPr>
        <w:t>Indikátor priemernej expozície vyjadrený v μg/m</w:t>
      </w:r>
      <w:r w:rsidRPr="00E8450A">
        <w:rPr>
          <w:rStyle w:val="CRRefonteDeleted"/>
          <w:noProof/>
          <w:highlight w:val="lightGray"/>
          <w:vertAlign w:val="superscript"/>
        </w:rPr>
        <w:t>3</w:t>
      </w:r>
      <w:r w:rsidRPr="00E8450A">
        <w:rPr>
          <w:rStyle w:val="CRRefonteDeleted"/>
          <w:noProof/>
          <w:highlight w:val="lightGray"/>
        </w:rPr>
        <w:t xml:space="preserve"> (IPE) sa zakladá na meraniach na mestských pozaďových miestach v zónach a aglomeráciách na celom území členského štátu. Mal by sa hodnotiť ako nepretržitá ročná stredná hodnota koncentrácie z troch kalendárnych rokov spriemerovaná za všetky vzorkovacie miesta stanovené podľa oddielu B prílohy V. IPE na referenčný rok 2010 predstavuje strednú hodnotu koncentrácie za roky 2008, 2009 a 2010.</w:t>
      </w:r>
    </w:p>
    <w:p w:rsidR="005C7768" w:rsidRPr="00E8450A" w:rsidRDefault="005C7768" w:rsidP="005C7768">
      <w:pPr>
        <w:rPr>
          <w:rStyle w:val="CRRefonteDeleted"/>
          <w:noProof/>
          <w:highlight w:val="lightGray"/>
        </w:rPr>
      </w:pPr>
      <w:r w:rsidRPr="00E8450A">
        <w:rPr>
          <w:rStyle w:val="CRRefonteDeleted"/>
          <w:noProof/>
          <w:highlight w:val="lightGray"/>
        </w:rPr>
        <w:t>Ak však nie sú k dispozícii údaje za rok 2008, členské štáty môžu použiť strednú hodnotu koncentrácie za roky 2009 a 2010 alebo strednú hodnotu koncentrácie za roky 2009, 2010 a 2011. Členské štáty, ktoré tieto možnosti využijú, musia svoje rozhodnutie oznámiť Komisii do 11. septembra 2008.</w:t>
      </w:r>
    </w:p>
    <w:p w:rsidR="005C7768" w:rsidRPr="00E8450A" w:rsidRDefault="005C7768" w:rsidP="005C7768">
      <w:pPr>
        <w:rPr>
          <w:rStyle w:val="CRRefonteDeleted"/>
          <w:noProof/>
          <w:highlight w:val="lightGray"/>
        </w:rPr>
      </w:pPr>
      <w:r w:rsidRPr="00E8450A">
        <w:rPr>
          <w:rStyle w:val="CRRefonteDeleted"/>
          <w:noProof/>
          <w:highlight w:val="lightGray"/>
        </w:rPr>
        <w:t>IPE na rok 2020 je nepretržitá stredná hodnota koncentrácie z troch rokov spriemerovaná za všetky tieto vzorkovacie miesta za roky 2018, 2019 a 2020. IPE sa využíva na preskúmanie toho, či sa dosiahol národný cieľ zníženia expozície.</w:t>
      </w:r>
    </w:p>
    <w:p w:rsidR="005C7768" w:rsidRPr="00E8450A" w:rsidRDefault="005C7768" w:rsidP="005C7768">
      <w:pPr>
        <w:rPr>
          <w:rStyle w:val="CRRefonteDeleted"/>
          <w:noProof/>
          <w:highlight w:val="lightGray"/>
        </w:rPr>
      </w:pPr>
      <w:r w:rsidRPr="00E8450A">
        <w:rPr>
          <w:rStyle w:val="CRRefonteDeleted"/>
          <w:noProof/>
          <w:highlight w:val="lightGray"/>
        </w:rPr>
        <w:t>IPE na rok 2015 je nepretržitá stredná hodnota koncentrácie z troch rokov spriemerovaná za všetky tieto vzorkovacie miesta za roky 2013, 2014 a 2015. IPE sa využíva na preskúmanie toho, či sa dosiahol záväzok zníženia koncentrácie expozície.</w:t>
      </w:r>
    </w:p>
    <w:p w:rsidR="005C7768" w:rsidRPr="00E8450A" w:rsidRDefault="005C7768" w:rsidP="005812BF">
      <w:pPr>
        <w:pStyle w:val="ManualHeading1"/>
        <w:ind w:left="851" w:hanging="851"/>
        <w:rPr>
          <w:rStyle w:val="CRRefonteDeleted"/>
          <w:noProof/>
          <w:highlight w:val="lightGray"/>
        </w:rPr>
      </w:pPr>
      <w:r w:rsidRPr="00E8450A">
        <w:rPr>
          <w:rStyle w:val="CRRefonteDeleted"/>
          <w:noProof/>
          <w:highlight w:val="lightGray"/>
        </w:rPr>
        <w:t>B</w:t>
      </w:r>
      <w:r w:rsidR="005812BF">
        <w:rPr>
          <w:rStyle w:val="CRRefonteDeleted"/>
          <w:noProof/>
          <w:highlight w:val="lightGray"/>
        </w:rPr>
        <w:t>)</w:t>
      </w:r>
      <w:r w:rsidRPr="00E8450A">
        <w:rPr>
          <w:noProof/>
        </w:rPr>
        <w:tab/>
      </w:r>
      <w:r w:rsidRPr="00E8450A">
        <w:rPr>
          <w:rStyle w:val="CRRefonteDeleted"/>
          <w:noProof/>
          <w:highlight w:val="lightGray"/>
        </w:rPr>
        <w:t>Národný cieľ zníženia expozície</w:t>
      </w:r>
    </w:p>
    <w:tbl>
      <w:tblPr>
        <w:tblW w:w="0" w:type="auto"/>
        <w:tblLayout w:type="fixed"/>
        <w:tblLook w:val="0000" w:firstRow="0" w:lastRow="0" w:firstColumn="0" w:lastColumn="0" w:noHBand="0" w:noVBand="0"/>
      </w:tblPr>
      <w:tblGrid>
        <w:gridCol w:w="2229"/>
        <w:gridCol w:w="3250"/>
        <w:gridCol w:w="3807"/>
      </w:tblGrid>
      <w:tr w:rsidR="005C7768" w:rsidRPr="00E8450A" w:rsidTr="00335440">
        <w:tc>
          <w:tcPr>
            <w:tcW w:w="5479" w:type="dxa"/>
            <w:gridSpan w:val="2"/>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Centered"/>
              <w:rPr>
                <w:rStyle w:val="CRRefonteDeleted"/>
                <w:noProof/>
                <w:highlight w:val="lightGray"/>
              </w:rPr>
            </w:pPr>
            <w:r w:rsidRPr="00E8450A">
              <w:rPr>
                <w:rStyle w:val="CRRefonteDeleted"/>
                <w:noProof/>
                <w:highlight w:val="lightGray"/>
              </w:rPr>
              <w:t>Cieľ zníženia expozície tykajúci sa IPE v roku 2010</w:t>
            </w:r>
          </w:p>
        </w:tc>
        <w:tc>
          <w:tcPr>
            <w:tcW w:w="3807"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Centered"/>
              <w:rPr>
                <w:rStyle w:val="CRRefonteDeleted"/>
                <w:noProof/>
                <w:highlight w:val="lightGray"/>
              </w:rPr>
            </w:pPr>
            <w:r w:rsidRPr="00E8450A">
              <w:rPr>
                <w:rStyle w:val="CRRefonteDeleted"/>
                <w:noProof/>
                <w:highlight w:val="lightGray"/>
              </w:rPr>
              <w:t>Rok, v ktorom by sa mal dosiahnuť cieľ zníženia expozície</w:t>
            </w:r>
          </w:p>
        </w:tc>
      </w:tr>
      <w:tr w:rsidR="005C7768" w:rsidRPr="00E8450A" w:rsidTr="00335440">
        <w:tc>
          <w:tcPr>
            <w:tcW w:w="2229"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t>Počiatočná koncentrácia v μg/m</w:t>
            </w:r>
            <w:r w:rsidRPr="00E8450A">
              <w:rPr>
                <w:rStyle w:val="CRRefonteDeleted"/>
                <w:noProof/>
                <w:highlight w:val="lightGray"/>
                <w:vertAlign w:val="superscript"/>
              </w:rPr>
              <w:t>3</w:t>
            </w:r>
          </w:p>
        </w:tc>
        <w:tc>
          <w:tcPr>
            <w:tcW w:w="3250"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t>Cieľ zníženia v percentách</w:t>
            </w:r>
          </w:p>
        </w:tc>
        <w:tc>
          <w:tcPr>
            <w:tcW w:w="3807" w:type="dxa"/>
            <w:vMerge w:val="restart"/>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t>2020</w:t>
            </w:r>
          </w:p>
        </w:tc>
      </w:tr>
      <w:tr w:rsidR="005C7768" w:rsidRPr="00E8450A" w:rsidTr="00335440">
        <w:tc>
          <w:tcPr>
            <w:tcW w:w="2229"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t>&lt; 8,5 = 8,5</w:t>
            </w:r>
          </w:p>
        </w:tc>
        <w:tc>
          <w:tcPr>
            <w:tcW w:w="3250"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t>0 %</w:t>
            </w:r>
          </w:p>
        </w:tc>
        <w:tc>
          <w:tcPr>
            <w:tcW w:w="3807" w:type="dxa"/>
            <w:vMerge/>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p>
        </w:tc>
      </w:tr>
      <w:tr w:rsidR="005C7768" w:rsidRPr="00E8450A" w:rsidTr="00335440">
        <w:tc>
          <w:tcPr>
            <w:tcW w:w="2229"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t>&gt; 8,5 — &lt; 13</w:t>
            </w:r>
          </w:p>
        </w:tc>
        <w:tc>
          <w:tcPr>
            <w:tcW w:w="3250"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t>10 %</w:t>
            </w:r>
          </w:p>
        </w:tc>
        <w:tc>
          <w:tcPr>
            <w:tcW w:w="3807" w:type="dxa"/>
            <w:vMerge/>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p>
        </w:tc>
      </w:tr>
      <w:tr w:rsidR="005C7768" w:rsidRPr="00E8450A" w:rsidTr="00335440">
        <w:tc>
          <w:tcPr>
            <w:tcW w:w="2229"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t>= 13 — &lt; 18</w:t>
            </w:r>
          </w:p>
        </w:tc>
        <w:tc>
          <w:tcPr>
            <w:tcW w:w="3250"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t>15 %</w:t>
            </w:r>
          </w:p>
        </w:tc>
        <w:tc>
          <w:tcPr>
            <w:tcW w:w="3807" w:type="dxa"/>
            <w:vMerge/>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p>
        </w:tc>
      </w:tr>
      <w:tr w:rsidR="005C7768" w:rsidRPr="00E8450A" w:rsidTr="00335440">
        <w:tc>
          <w:tcPr>
            <w:tcW w:w="2229"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t>= 18 — &lt; 22</w:t>
            </w:r>
          </w:p>
        </w:tc>
        <w:tc>
          <w:tcPr>
            <w:tcW w:w="3250"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t>20 %</w:t>
            </w:r>
          </w:p>
        </w:tc>
        <w:tc>
          <w:tcPr>
            <w:tcW w:w="3807" w:type="dxa"/>
            <w:vMerge/>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p>
        </w:tc>
      </w:tr>
      <w:tr w:rsidR="005C7768" w:rsidRPr="00E8450A" w:rsidTr="00335440">
        <w:tc>
          <w:tcPr>
            <w:tcW w:w="2229"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t>≥ 22</w:t>
            </w:r>
          </w:p>
        </w:tc>
        <w:tc>
          <w:tcPr>
            <w:tcW w:w="3250"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t>Všetky vhodné opatrenia na dosiahnutie 18 μg/m</w:t>
            </w:r>
            <w:r w:rsidRPr="00E8450A">
              <w:rPr>
                <w:rStyle w:val="CRRefonteDeleted"/>
                <w:noProof/>
                <w:highlight w:val="lightGray"/>
                <w:vertAlign w:val="superscript"/>
              </w:rPr>
              <w:t>3</w:t>
            </w:r>
          </w:p>
        </w:tc>
        <w:tc>
          <w:tcPr>
            <w:tcW w:w="3807" w:type="dxa"/>
            <w:vMerge/>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p>
        </w:tc>
      </w:tr>
    </w:tbl>
    <w:p w:rsidR="005C7768" w:rsidRPr="00E8450A" w:rsidRDefault="005C7768" w:rsidP="005C7768">
      <w:pPr>
        <w:rPr>
          <w:rStyle w:val="CRRefonteDeleted"/>
          <w:noProof/>
          <w:highlight w:val="lightGray"/>
        </w:rPr>
      </w:pPr>
    </w:p>
    <w:p w:rsidR="005C7768" w:rsidRPr="00E8450A" w:rsidRDefault="005C7768" w:rsidP="005C7768">
      <w:pPr>
        <w:rPr>
          <w:rStyle w:val="CRRefonteDeleted"/>
          <w:noProof/>
          <w:highlight w:val="lightGray"/>
        </w:rPr>
      </w:pPr>
      <w:r w:rsidRPr="00E8450A">
        <w:rPr>
          <w:rStyle w:val="CRRefonteDeleted"/>
          <w:noProof/>
          <w:highlight w:val="lightGray"/>
        </w:rPr>
        <w:t>Ak je IPE v referenčnom roku 8,5 μg/m</w:t>
      </w:r>
      <w:r w:rsidRPr="00E8450A">
        <w:rPr>
          <w:rStyle w:val="CRRefonteDeleted"/>
          <w:noProof/>
          <w:highlight w:val="lightGray"/>
          <w:vertAlign w:val="superscript"/>
        </w:rPr>
        <w:t>3</w:t>
      </w:r>
      <w:r w:rsidRPr="00E8450A">
        <w:rPr>
          <w:rStyle w:val="CRRefonteDeleted"/>
          <w:noProof/>
          <w:highlight w:val="lightGray"/>
        </w:rPr>
        <w:t xml:space="preserve"> alebo menej, cieľ zníženia expozície sa rovná nule. Cieľ zníženia expozície sa rovná nule aj v prípadoch, ak IPE dosiahne v ktoromkoľvek momente počas obdobia od roku 2010 do roku 2020 úroveň 8,5 μg/m</w:t>
      </w:r>
      <w:r w:rsidRPr="00E8450A">
        <w:rPr>
          <w:rStyle w:val="CRRefonteDeleted"/>
          <w:noProof/>
          <w:highlight w:val="lightGray"/>
          <w:vertAlign w:val="superscript"/>
        </w:rPr>
        <w:t>3</w:t>
      </w:r>
      <w:r w:rsidRPr="00E8450A">
        <w:rPr>
          <w:rStyle w:val="CRRefonteDeleted"/>
          <w:noProof/>
          <w:highlight w:val="lightGray"/>
        </w:rPr>
        <w:t xml:space="preserve"> a udrží sa na tejto úrovni alebo nižšie.</w:t>
      </w:r>
    </w:p>
    <w:p w:rsidR="005C7768" w:rsidRPr="00E8450A" w:rsidRDefault="005C7768" w:rsidP="005812BF">
      <w:pPr>
        <w:pStyle w:val="ManualHeading1"/>
        <w:ind w:left="851" w:hanging="851"/>
        <w:rPr>
          <w:rStyle w:val="CRRefonteDeleted"/>
          <w:noProof/>
          <w:highlight w:val="lightGray"/>
        </w:rPr>
      </w:pPr>
      <w:r w:rsidRPr="00E8450A">
        <w:rPr>
          <w:rStyle w:val="CRRefonteDeleted"/>
          <w:noProof/>
          <w:highlight w:val="lightGray"/>
        </w:rPr>
        <w:t>C</w:t>
      </w:r>
      <w:r w:rsidR="005812BF">
        <w:rPr>
          <w:rStyle w:val="CRRefonteDeleted"/>
          <w:noProof/>
          <w:highlight w:val="lightGray"/>
        </w:rPr>
        <w:t>)</w:t>
      </w:r>
      <w:r w:rsidRPr="00E8450A">
        <w:rPr>
          <w:noProof/>
        </w:rPr>
        <w:tab/>
      </w:r>
      <w:r w:rsidRPr="00E8450A">
        <w:rPr>
          <w:rStyle w:val="CRRefonteDeleted"/>
          <w:noProof/>
          <w:highlight w:val="lightGray"/>
        </w:rPr>
        <w:t>Záväzok zníženia koncentrácie expozície</w:t>
      </w:r>
    </w:p>
    <w:tbl>
      <w:tblPr>
        <w:tblW w:w="0" w:type="auto"/>
        <w:tblInd w:w="418" w:type="dxa"/>
        <w:tblLayout w:type="fixed"/>
        <w:tblLook w:val="0000" w:firstRow="0" w:lastRow="0" w:firstColumn="0" w:lastColumn="0" w:noHBand="0" w:noVBand="0"/>
      </w:tblPr>
      <w:tblGrid>
        <w:gridCol w:w="3634"/>
        <w:gridCol w:w="4816"/>
      </w:tblGrid>
      <w:tr w:rsidR="005C7768" w:rsidRPr="00E8450A" w:rsidTr="00335440">
        <w:tc>
          <w:tcPr>
            <w:tcW w:w="3634"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Centered"/>
              <w:rPr>
                <w:rStyle w:val="CRRefonteDeleted"/>
                <w:noProof/>
                <w:highlight w:val="lightGray"/>
              </w:rPr>
            </w:pPr>
            <w:r w:rsidRPr="00E8450A">
              <w:rPr>
                <w:rStyle w:val="CRRefonteDeleted"/>
                <w:noProof/>
                <w:highlight w:val="lightGray"/>
              </w:rPr>
              <w:t>Záväzok zníženia koncentrácie expozície</w:t>
            </w:r>
          </w:p>
        </w:tc>
        <w:tc>
          <w:tcPr>
            <w:tcW w:w="4816"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Centered"/>
              <w:rPr>
                <w:rStyle w:val="CRRefonteDeleted"/>
                <w:noProof/>
                <w:highlight w:val="lightGray"/>
              </w:rPr>
            </w:pPr>
            <w:r w:rsidRPr="00E8450A">
              <w:rPr>
                <w:rStyle w:val="CRRefonteDeleted"/>
                <w:noProof/>
                <w:highlight w:val="lightGray"/>
              </w:rPr>
              <w:t>Rok, v ktorom sa má záväzok dosiahnuť</w:t>
            </w:r>
          </w:p>
        </w:tc>
      </w:tr>
      <w:tr w:rsidR="005C7768" w:rsidRPr="00E8450A" w:rsidTr="00335440">
        <w:tc>
          <w:tcPr>
            <w:tcW w:w="3634"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t>20 μg/m</w:t>
            </w:r>
            <w:r w:rsidRPr="00E8450A">
              <w:rPr>
                <w:rStyle w:val="CRRefonteDeleted"/>
                <w:noProof/>
                <w:highlight w:val="lightGray"/>
                <w:vertAlign w:val="superscript"/>
              </w:rPr>
              <w:t>3</w:t>
            </w:r>
          </w:p>
        </w:tc>
        <w:tc>
          <w:tcPr>
            <w:tcW w:w="4816"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t>2015</w:t>
            </w:r>
          </w:p>
        </w:tc>
      </w:tr>
    </w:tbl>
    <w:p w:rsidR="005C7768" w:rsidRPr="00E8450A" w:rsidRDefault="005C7768" w:rsidP="005C7768">
      <w:pPr>
        <w:rPr>
          <w:rStyle w:val="CRRefonteDeleted"/>
          <w:noProof/>
          <w:highlight w:val="lightGray"/>
        </w:rPr>
      </w:pPr>
    </w:p>
    <w:p w:rsidR="005C7768" w:rsidRPr="00E8450A" w:rsidRDefault="005C7768" w:rsidP="005812BF">
      <w:pPr>
        <w:pStyle w:val="ManualHeading1"/>
        <w:ind w:left="851" w:hanging="851"/>
        <w:rPr>
          <w:rStyle w:val="CRRefonteDeleted"/>
          <w:noProof/>
          <w:highlight w:val="lightGray"/>
        </w:rPr>
      </w:pPr>
      <w:r w:rsidRPr="00E8450A">
        <w:rPr>
          <w:rStyle w:val="CRRefonteDeleted"/>
          <w:noProof/>
          <w:highlight w:val="lightGray"/>
        </w:rPr>
        <w:t>D</w:t>
      </w:r>
      <w:r w:rsidR="005812BF">
        <w:rPr>
          <w:rStyle w:val="CRRefonteDeleted"/>
          <w:noProof/>
          <w:highlight w:val="lightGray"/>
        </w:rPr>
        <w:t>)</w:t>
      </w:r>
      <w:r w:rsidRPr="00E8450A">
        <w:rPr>
          <w:noProof/>
        </w:rPr>
        <w:tab/>
      </w:r>
      <w:r w:rsidRPr="00E8450A">
        <w:rPr>
          <w:rStyle w:val="CRRefonteDeleted"/>
          <w:noProof/>
          <w:highlight w:val="lightGray"/>
        </w:rPr>
        <w:t>Cieľová hodnota</w:t>
      </w:r>
    </w:p>
    <w:tbl>
      <w:tblPr>
        <w:tblW w:w="0" w:type="auto"/>
        <w:tblInd w:w="650" w:type="dxa"/>
        <w:tblLayout w:type="fixed"/>
        <w:tblLook w:val="0000" w:firstRow="0" w:lastRow="0" w:firstColumn="0" w:lastColumn="0" w:noHBand="0" w:noVBand="0"/>
      </w:tblPr>
      <w:tblGrid>
        <w:gridCol w:w="2076"/>
        <w:gridCol w:w="1598"/>
        <w:gridCol w:w="4312"/>
      </w:tblGrid>
      <w:tr w:rsidR="005C7768" w:rsidRPr="00E8450A" w:rsidTr="00335440">
        <w:tc>
          <w:tcPr>
            <w:tcW w:w="2076"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Centered"/>
              <w:rPr>
                <w:rStyle w:val="CRRefonteDeleted"/>
                <w:noProof/>
                <w:highlight w:val="lightGray"/>
              </w:rPr>
            </w:pPr>
            <w:r w:rsidRPr="00E8450A">
              <w:rPr>
                <w:rStyle w:val="CRRefonteDeleted"/>
                <w:noProof/>
                <w:highlight w:val="lightGray"/>
              </w:rPr>
              <w:t>Priemerované obdobie</w:t>
            </w:r>
          </w:p>
        </w:tc>
        <w:tc>
          <w:tcPr>
            <w:tcW w:w="1598"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Centered"/>
              <w:rPr>
                <w:rStyle w:val="CRRefonteDeleted"/>
                <w:noProof/>
                <w:highlight w:val="lightGray"/>
              </w:rPr>
            </w:pPr>
            <w:r w:rsidRPr="00E8450A">
              <w:rPr>
                <w:rStyle w:val="CRRefonteDeleted"/>
                <w:noProof/>
                <w:highlight w:val="lightGray"/>
              </w:rPr>
              <w:t>Cieľová hodnota</w:t>
            </w:r>
          </w:p>
        </w:tc>
        <w:tc>
          <w:tcPr>
            <w:tcW w:w="4312"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Centered"/>
              <w:rPr>
                <w:rStyle w:val="CRRefonteDeleted"/>
                <w:noProof/>
                <w:highlight w:val="lightGray"/>
              </w:rPr>
            </w:pPr>
            <w:r w:rsidRPr="00E8450A">
              <w:rPr>
                <w:rStyle w:val="CRRefonteDeleted"/>
                <w:noProof/>
                <w:highlight w:val="lightGray"/>
              </w:rPr>
              <w:t>Dátum, ku ktorému by sa mala cieľová hodnota dosiahnuť</w:t>
            </w:r>
          </w:p>
        </w:tc>
      </w:tr>
      <w:tr w:rsidR="005C7768" w:rsidRPr="00E8450A" w:rsidTr="00335440">
        <w:tc>
          <w:tcPr>
            <w:tcW w:w="2076"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t>Kalendárny rok</w:t>
            </w:r>
          </w:p>
        </w:tc>
        <w:tc>
          <w:tcPr>
            <w:tcW w:w="1598"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t>25 μg/m</w:t>
            </w:r>
            <w:r w:rsidRPr="00E8450A">
              <w:rPr>
                <w:rStyle w:val="CRRefonteDeleted"/>
                <w:noProof/>
                <w:highlight w:val="lightGray"/>
                <w:vertAlign w:val="superscript"/>
              </w:rPr>
              <w:t>3</w:t>
            </w:r>
          </w:p>
        </w:tc>
        <w:tc>
          <w:tcPr>
            <w:tcW w:w="4312"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t>1. január 2010</w:t>
            </w:r>
          </w:p>
        </w:tc>
      </w:tr>
    </w:tbl>
    <w:p w:rsidR="005C7768" w:rsidRPr="00E8450A" w:rsidRDefault="005C7768" w:rsidP="005C7768">
      <w:pPr>
        <w:rPr>
          <w:rStyle w:val="CRRefonteDeleted"/>
          <w:noProof/>
          <w:highlight w:val="lightGray"/>
        </w:rPr>
      </w:pPr>
    </w:p>
    <w:p w:rsidR="005C7768" w:rsidRPr="00E8450A" w:rsidRDefault="005C7768" w:rsidP="005812BF">
      <w:pPr>
        <w:pStyle w:val="ManualHeading1"/>
        <w:ind w:left="851" w:hanging="851"/>
        <w:rPr>
          <w:rStyle w:val="CRRefonteDeleted"/>
          <w:noProof/>
          <w:highlight w:val="lightGray"/>
        </w:rPr>
      </w:pPr>
      <w:r w:rsidRPr="00E8450A">
        <w:rPr>
          <w:rStyle w:val="CRRefonteDeleted"/>
          <w:noProof/>
          <w:highlight w:val="lightGray"/>
        </w:rPr>
        <w:t>E</w:t>
      </w:r>
      <w:r w:rsidR="005812BF">
        <w:rPr>
          <w:rStyle w:val="CRRefonteDeleted"/>
          <w:noProof/>
          <w:highlight w:val="lightGray"/>
        </w:rPr>
        <w:t>)</w:t>
      </w:r>
      <w:r w:rsidRPr="00E8450A">
        <w:rPr>
          <w:noProof/>
        </w:rPr>
        <w:tab/>
      </w:r>
      <w:r w:rsidRPr="00E8450A">
        <w:rPr>
          <w:rStyle w:val="CRRefonteDeleted"/>
          <w:noProof/>
          <w:highlight w:val="lightGray"/>
        </w:rPr>
        <w:t>Limitná hodnota</w:t>
      </w:r>
    </w:p>
    <w:tbl>
      <w:tblPr>
        <w:tblW w:w="0" w:type="auto"/>
        <w:tblLayout w:type="fixed"/>
        <w:tblLook w:val="0000" w:firstRow="0" w:lastRow="0" w:firstColumn="0" w:lastColumn="0" w:noHBand="0" w:noVBand="0"/>
      </w:tblPr>
      <w:tblGrid>
        <w:gridCol w:w="1486"/>
        <w:gridCol w:w="1393"/>
        <w:gridCol w:w="4178"/>
        <w:gridCol w:w="2229"/>
      </w:tblGrid>
      <w:tr w:rsidR="005C7768" w:rsidRPr="00E8450A" w:rsidTr="00335440">
        <w:tc>
          <w:tcPr>
            <w:tcW w:w="1486"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Centered"/>
              <w:rPr>
                <w:rStyle w:val="CRRefonteDeleted"/>
                <w:noProof/>
                <w:highlight w:val="lightGray"/>
              </w:rPr>
            </w:pPr>
            <w:r w:rsidRPr="00E8450A">
              <w:rPr>
                <w:rStyle w:val="CRRefonteDeleted"/>
                <w:noProof/>
                <w:highlight w:val="lightGray"/>
              </w:rPr>
              <w:t>Priemerované obdobie</w:t>
            </w:r>
          </w:p>
        </w:tc>
        <w:tc>
          <w:tcPr>
            <w:tcW w:w="1393"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Centered"/>
              <w:rPr>
                <w:rStyle w:val="CRRefonteDeleted"/>
                <w:noProof/>
                <w:highlight w:val="lightGray"/>
              </w:rPr>
            </w:pPr>
            <w:r w:rsidRPr="00E8450A">
              <w:rPr>
                <w:rStyle w:val="CRRefonteDeleted"/>
                <w:noProof/>
                <w:highlight w:val="lightGray"/>
              </w:rPr>
              <w:t>Limitná hodnota</w:t>
            </w:r>
          </w:p>
        </w:tc>
        <w:tc>
          <w:tcPr>
            <w:tcW w:w="4178"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Centered"/>
              <w:rPr>
                <w:rStyle w:val="CRRefonteDeleted"/>
                <w:noProof/>
                <w:highlight w:val="lightGray"/>
              </w:rPr>
            </w:pPr>
            <w:r w:rsidRPr="00E8450A">
              <w:rPr>
                <w:rStyle w:val="CRRefonteDeleted"/>
                <w:noProof/>
                <w:highlight w:val="lightGray"/>
              </w:rPr>
              <w:t>Medza tolerancie</w:t>
            </w:r>
          </w:p>
        </w:tc>
        <w:tc>
          <w:tcPr>
            <w:tcW w:w="2229"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Centered"/>
              <w:rPr>
                <w:rStyle w:val="CRRefonteDeleted"/>
                <w:noProof/>
                <w:highlight w:val="lightGray"/>
              </w:rPr>
            </w:pPr>
            <w:r w:rsidRPr="00E8450A">
              <w:rPr>
                <w:rStyle w:val="CRRefonteDeleted"/>
                <w:noProof/>
                <w:highlight w:val="lightGray"/>
              </w:rPr>
              <w:t>Dátum, ku ktorému sa má limitná hodnota dosiahnuť</w:t>
            </w:r>
          </w:p>
        </w:tc>
      </w:tr>
      <w:tr w:rsidR="005C7768" w:rsidRPr="00E8450A" w:rsidTr="00335440">
        <w:tc>
          <w:tcPr>
            <w:tcW w:w="9286" w:type="dxa"/>
            <w:gridSpan w:val="4"/>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t>PRVÉ ŠTÁDIUM</w:t>
            </w:r>
          </w:p>
        </w:tc>
      </w:tr>
      <w:tr w:rsidR="005C7768" w:rsidRPr="00E8450A" w:rsidTr="00335440">
        <w:tc>
          <w:tcPr>
            <w:tcW w:w="1486"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t>Kalendárny rok</w:t>
            </w:r>
          </w:p>
        </w:tc>
        <w:tc>
          <w:tcPr>
            <w:tcW w:w="1393"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t>25 μg/m</w:t>
            </w:r>
            <w:r w:rsidRPr="00E8450A">
              <w:rPr>
                <w:rStyle w:val="CRRefonteDeleted"/>
                <w:noProof/>
                <w:highlight w:val="lightGray"/>
                <w:vertAlign w:val="superscript"/>
              </w:rPr>
              <w:t>3</w:t>
            </w:r>
          </w:p>
        </w:tc>
        <w:tc>
          <w:tcPr>
            <w:tcW w:w="4178"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t>20 % k 11. júnu 2008 so znížením k nasledujúcemu 1. januáru a potom každých 12 mesiacov o rovnaké ročné percento až k hodnote 0 % k 1. januáru 2015</w:t>
            </w:r>
          </w:p>
        </w:tc>
        <w:tc>
          <w:tcPr>
            <w:tcW w:w="2229"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t>1. januára 2015</w:t>
            </w:r>
          </w:p>
        </w:tc>
      </w:tr>
      <w:tr w:rsidR="005C7768" w:rsidRPr="00E8450A" w:rsidTr="00335440">
        <w:tc>
          <w:tcPr>
            <w:tcW w:w="9286" w:type="dxa"/>
            <w:gridSpan w:val="4"/>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t>DRUHÉ ŠTÁDIUM</w:t>
            </w:r>
            <w:r w:rsidRPr="00E8450A">
              <w:rPr>
                <w:rStyle w:val="CRRefonteDeleted"/>
                <w:noProof/>
                <w:highlight w:val="lightGray"/>
                <w:vertAlign w:val="superscript"/>
              </w:rPr>
              <w:footnoteReference w:id="38"/>
            </w:r>
          </w:p>
        </w:tc>
      </w:tr>
      <w:tr w:rsidR="005C7768" w:rsidRPr="00E8450A" w:rsidTr="00335440">
        <w:tc>
          <w:tcPr>
            <w:tcW w:w="1486"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t>Kalendárny rok</w:t>
            </w:r>
          </w:p>
        </w:tc>
        <w:tc>
          <w:tcPr>
            <w:tcW w:w="1393"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t>20 μg/m</w:t>
            </w:r>
            <w:r w:rsidRPr="00E8450A">
              <w:rPr>
                <w:rStyle w:val="CRRefonteDeleted"/>
                <w:noProof/>
                <w:highlight w:val="lightGray"/>
                <w:vertAlign w:val="superscript"/>
              </w:rPr>
              <w:t>3</w:t>
            </w:r>
          </w:p>
        </w:tc>
        <w:tc>
          <w:tcPr>
            <w:tcW w:w="4178"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p>
        </w:tc>
        <w:tc>
          <w:tcPr>
            <w:tcW w:w="2229"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rStyle w:val="CRRefonteDeleted"/>
                <w:noProof/>
                <w:highlight w:val="lightGray"/>
              </w:rPr>
            </w:pPr>
            <w:r w:rsidRPr="00E8450A">
              <w:rPr>
                <w:rStyle w:val="CRRefonteDeleted"/>
                <w:noProof/>
                <w:highlight w:val="lightGray"/>
              </w:rPr>
              <w:t>1. januára 2020</w:t>
            </w:r>
          </w:p>
        </w:tc>
      </w:tr>
    </w:tbl>
    <w:p w:rsidR="005C7768" w:rsidRPr="00E8450A" w:rsidRDefault="005C7768" w:rsidP="005C7768">
      <w:pPr>
        <w:rPr>
          <w:rStyle w:val="CRRefonteDeleted"/>
          <w:noProof/>
          <w:highlight w:val="lightGray"/>
        </w:rPr>
      </w:pPr>
    </w:p>
    <w:p w:rsidR="005C7768" w:rsidRPr="00E8450A" w:rsidRDefault="005C7768" w:rsidP="005C7768">
      <w:pPr>
        <w:adjustRightInd w:val="0"/>
        <w:spacing w:before="0" w:after="0"/>
        <w:jc w:val="left"/>
        <w:rPr>
          <w:noProof/>
        </w:rPr>
        <w:sectPr w:rsidR="005C7768" w:rsidRPr="00E8450A" w:rsidSect="000A000C">
          <w:pgSz w:w="11906" w:h="16838"/>
          <w:pgMar w:top="1134" w:right="1418" w:bottom="1134" w:left="1418" w:header="709" w:footer="709" w:gutter="0"/>
          <w:cols w:space="709"/>
          <w:docGrid w:linePitch="326"/>
        </w:sectPr>
      </w:pPr>
    </w:p>
    <w:p w:rsidR="005C7768" w:rsidRPr="00E8450A" w:rsidRDefault="005C7768" w:rsidP="005C7768">
      <w:pPr>
        <w:pStyle w:val="CRSeparator"/>
        <w:rPr>
          <w:noProof/>
        </w:rPr>
      </w:pPr>
    </w:p>
    <w:p w:rsidR="005C7768" w:rsidRPr="00E8450A" w:rsidRDefault="005C7768" w:rsidP="005C7768">
      <w:pPr>
        <w:pStyle w:val="CRReference"/>
        <w:rPr>
          <w:noProof/>
        </w:rPr>
      </w:pPr>
      <w:r w:rsidRPr="00E8450A">
        <w:rPr>
          <w:noProof/>
        </w:rPr>
        <w:fldChar w:fldCharType="begin"/>
      </w:r>
      <w:r w:rsidRPr="00E8450A">
        <w:rPr>
          <w:noProof/>
        </w:rPr>
        <w:instrText xml:space="preserve"> QUOTE "ê" </w:instrText>
      </w:r>
      <w:r w:rsidRPr="00E8450A">
        <w:rPr>
          <w:noProof/>
        </w:rPr>
        <w:fldChar w:fldCharType="separate"/>
      </w:r>
      <w:r w:rsidRPr="00E8450A">
        <w:rPr>
          <w:rStyle w:val="CRMarker"/>
          <w:noProof/>
        </w:rPr>
        <w:t>ê</w:t>
      </w:r>
      <w:r w:rsidRPr="00E8450A">
        <w:rPr>
          <w:noProof/>
        </w:rPr>
        <w:fldChar w:fldCharType="end"/>
      </w:r>
      <w:r w:rsidRPr="00E8450A">
        <w:rPr>
          <w:noProof/>
        </w:rPr>
        <w:t xml:space="preserve"> 2008/50</w:t>
      </w:r>
    </w:p>
    <w:p w:rsidR="005C7768" w:rsidRPr="00E8450A" w:rsidRDefault="005C7768" w:rsidP="000A6A7F">
      <w:pPr>
        <w:jc w:val="center"/>
        <w:rPr>
          <w:rStyle w:val="CRRefonteDeleted"/>
          <w:b/>
          <w:noProof/>
          <w:highlight w:val="lightGray"/>
          <w:u w:val="single"/>
        </w:rPr>
      </w:pPr>
      <w:r w:rsidRPr="00E8450A">
        <w:rPr>
          <w:rStyle w:val="CRRefonteDeleted"/>
          <w:b/>
          <w:noProof/>
          <w:highlight w:val="lightGray"/>
          <w:u w:val="single"/>
        </w:rPr>
        <w:t>PRÍLOHA XV</w:t>
      </w:r>
    </w:p>
    <w:p w:rsidR="005C7768" w:rsidRPr="00E8450A" w:rsidRDefault="005C7768" w:rsidP="005C7768">
      <w:pPr>
        <w:pStyle w:val="NormalCentered"/>
        <w:rPr>
          <w:rStyle w:val="CRRefonteDeleted"/>
          <w:noProof/>
          <w:highlight w:val="lightGray"/>
        </w:rPr>
      </w:pPr>
      <w:r w:rsidRPr="00E8450A">
        <w:rPr>
          <w:rStyle w:val="CRRefonteDeleted"/>
          <w:b/>
          <w:noProof/>
          <w:highlight w:val="lightGray"/>
        </w:rPr>
        <w:t>Informácie, ktoré sa zahrnú do miestnych, regionálnych alebo národných plánov kvality ovzdušia na zlepšenie kvality okolitého ovzdušia</w:t>
      </w:r>
    </w:p>
    <w:p w:rsidR="005C7768" w:rsidRPr="00E8450A" w:rsidRDefault="005C7768" w:rsidP="005812BF">
      <w:pPr>
        <w:pStyle w:val="ManualHeading1"/>
        <w:ind w:left="851" w:hanging="851"/>
        <w:rPr>
          <w:rStyle w:val="CRRefonteDeleted"/>
          <w:noProof/>
          <w:highlight w:val="lightGray"/>
        </w:rPr>
      </w:pPr>
      <w:r w:rsidRPr="00E8450A">
        <w:rPr>
          <w:rStyle w:val="CRRefonteDeleted"/>
          <w:noProof/>
          <w:highlight w:val="lightGray"/>
        </w:rPr>
        <w:t>A</w:t>
      </w:r>
      <w:r w:rsidR="005812BF">
        <w:rPr>
          <w:rStyle w:val="CRRefonteDeleted"/>
          <w:noProof/>
          <w:highlight w:val="lightGray"/>
        </w:rPr>
        <w:t>)</w:t>
      </w:r>
      <w:r w:rsidRPr="00E8450A">
        <w:rPr>
          <w:noProof/>
        </w:rPr>
        <w:tab/>
      </w:r>
      <w:r w:rsidRPr="00E8450A">
        <w:rPr>
          <w:rStyle w:val="CRRefonteDeleted"/>
          <w:noProof/>
          <w:highlight w:val="lightGray"/>
        </w:rPr>
        <w:t>Informácie, ktoré sa majú poskytovať podľa článku 23 (plány kvality ovzdušia)</w:t>
      </w:r>
    </w:p>
    <w:p w:rsidR="005C7768" w:rsidRPr="00E8450A" w:rsidRDefault="005C7768" w:rsidP="005C7768">
      <w:pPr>
        <w:pStyle w:val="ManualHeading2"/>
        <w:ind w:left="851" w:hanging="851"/>
        <w:rPr>
          <w:rStyle w:val="CRRefonteDeleted"/>
          <w:noProof/>
          <w:highlight w:val="lightGray"/>
        </w:rPr>
      </w:pPr>
      <w:r w:rsidRPr="00E8450A">
        <w:rPr>
          <w:rStyle w:val="CRRefonteDeleted"/>
          <w:noProof/>
          <w:highlight w:val="lightGray"/>
        </w:rPr>
        <w:t>1.</w:t>
      </w:r>
      <w:r w:rsidRPr="00E8450A">
        <w:rPr>
          <w:noProof/>
        </w:rPr>
        <w:tab/>
      </w:r>
      <w:r w:rsidRPr="00E8450A">
        <w:rPr>
          <w:rStyle w:val="CRRefonteDeleted"/>
          <w:noProof/>
          <w:highlight w:val="lightGray"/>
        </w:rPr>
        <w:t>Lokalizácia nadmerného znečistenia</w:t>
      </w:r>
    </w:p>
    <w:p w:rsidR="005C7768" w:rsidRPr="00E8450A" w:rsidRDefault="005C7768" w:rsidP="005C7768">
      <w:pPr>
        <w:pStyle w:val="Point0"/>
        <w:rPr>
          <w:rStyle w:val="CRRefonteDeleted"/>
          <w:noProof/>
          <w:highlight w:val="lightGray"/>
        </w:rPr>
      </w:pPr>
      <w:r w:rsidRPr="00E8450A">
        <w:rPr>
          <w:noProof/>
        </w:rPr>
        <w:tab/>
      </w:r>
      <w:r w:rsidRPr="00E8450A">
        <w:rPr>
          <w:rStyle w:val="CRRefonteDeleted"/>
          <w:noProof/>
          <w:highlight w:val="lightGray"/>
        </w:rPr>
        <w:t>a)</w:t>
      </w:r>
      <w:r w:rsidRPr="00E8450A">
        <w:rPr>
          <w:noProof/>
        </w:rPr>
        <w:tab/>
      </w:r>
      <w:r w:rsidRPr="00E8450A">
        <w:rPr>
          <w:rStyle w:val="CRRefonteDeleted"/>
          <w:noProof/>
          <w:highlight w:val="lightGray"/>
        </w:rPr>
        <w:t>región;</w:t>
      </w:r>
    </w:p>
    <w:p w:rsidR="005C7768" w:rsidRPr="00E8450A" w:rsidRDefault="005C7768" w:rsidP="005C7768">
      <w:pPr>
        <w:pStyle w:val="Point0"/>
        <w:rPr>
          <w:rStyle w:val="CRRefonteDeleted"/>
          <w:noProof/>
          <w:highlight w:val="lightGray"/>
        </w:rPr>
      </w:pPr>
      <w:r w:rsidRPr="00E8450A">
        <w:rPr>
          <w:noProof/>
        </w:rPr>
        <w:tab/>
      </w:r>
      <w:r w:rsidRPr="00E8450A">
        <w:rPr>
          <w:rStyle w:val="CRRefonteDeleted"/>
          <w:noProof/>
          <w:highlight w:val="lightGray"/>
        </w:rPr>
        <w:t>b)</w:t>
      </w:r>
      <w:r w:rsidRPr="00E8450A">
        <w:rPr>
          <w:noProof/>
        </w:rPr>
        <w:tab/>
      </w:r>
      <w:r w:rsidRPr="00E8450A">
        <w:rPr>
          <w:rStyle w:val="CRRefonteDeleted"/>
          <w:noProof/>
          <w:highlight w:val="lightGray"/>
        </w:rPr>
        <w:t>mesto (mapa);</w:t>
      </w:r>
    </w:p>
    <w:p w:rsidR="005C7768" w:rsidRPr="00E8450A" w:rsidRDefault="005C7768" w:rsidP="005C7768">
      <w:pPr>
        <w:pStyle w:val="Point0"/>
        <w:rPr>
          <w:rStyle w:val="CRRefonteDeleted"/>
          <w:noProof/>
          <w:highlight w:val="lightGray"/>
        </w:rPr>
      </w:pPr>
      <w:r w:rsidRPr="00E8450A">
        <w:rPr>
          <w:noProof/>
        </w:rPr>
        <w:tab/>
      </w:r>
      <w:r w:rsidRPr="00E8450A">
        <w:rPr>
          <w:rStyle w:val="CRRefonteDeleted"/>
          <w:noProof/>
          <w:highlight w:val="lightGray"/>
        </w:rPr>
        <w:t>c)</w:t>
      </w:r>
      <w:r w:rsidRPr="00E8450A">
        <w:rPr>
          <w:noProof/>
        </w:rPr>
        <w:tab/>
      </w:r>
      <w:r w:rsidRPr="00E8450A">
        <w:rPr>
          <w:rStyle w:val="CRRefonteDeleted"/>
          <w:noProof/>
          <w:highlight w:val="lightGray"/>
        </w:rPr>
        <w:t>meracia stanica (mapa, zemepisné súradnice).</w:t>
      </w:r>
    </w:p>
    <w:p w:rsidR="005C7768" w:rsidRPr="00E8450A" w:rsidRDefault="005C7768" w:rsidP="005C7768">
      <w:pPr>
        <w:pStyle w:val="ManualHeading2"/>
        <w:ind w:left="851" w:hanging="851"/>
        <w:rPr>
          <w:rStyle w:val="CRRefonteDeleted"/>
          <w:noProof/>
          <w:highlight w:val="lightGray"/>
        </w:rPr>
      </w:pPr>
      <w:r w:rsidRPr="00E8450A">
        <w:rPr>
          <w:rStyle w:val="CRRefonteDeleted"/>
          <w:noProof/>
          <w:highlight w:val="lightGray"/>
        </w:rPr>
        <w:t>2.</w:t>
      </w:r>
      <w:r w:rsidRPr="00E8450A">
        <w:rPr>
          <w:noProof/>
        </w:rPr>
        <w:tab/>
      </w:r>
      <w:r w:rsidRPr="00E8450A">
        <w:rPr>
          <w:rStyle w:val="CRRefonteDeleted"/>
          <w:noProof/>
          <w:highlight w:val="lightGray"/>
        </w:rPr>
        <w:t>Všeobecné informácie:</w:t>
      </w:r>
    </w:p>
    <w:p w:rsidR="005C7768" w:rsidRPr="00E8450A" w:rsidRDefault="005C7768" w:rsidP="005C7768">
      <w:pPr>
        <w:pStyle w:val="Point0"/>
        <w:rPr>
          <w:rStyle w:val="CRRefonteDeleted"/>
          <w:noProof/>
          <w:highlight w:val="lightGray"/>
        </w:rPr>
      </w:pPr>
      <w:r w:rsidRPr="00E8450A">
        <w:rPr>
          <w:noProof/>
        </w:rPr>
        <w:tab/>
      </w:r>
      <w:r w:rsidRPr="00E8450A">
        <w:rPr>
          <w:rStyle w:val="CRRefonteDeleted"/>
          <w:noProof/>
          <w:highlight w:val="lightGray"/>
        </w:rPr>
        <w:t>a)</w:t>
      </w:r>
      <w:r w:rsidRPr="00E8450A">
        <w:rPr>
          <w:noProof/>
        </w:rPr>
        <w:tab/>
      </w:r>
      <w:r w:rsidRPr="00E8450A">
        <w:rPr>
          <w:rStyle w:val="CRRefonteDeleted"/>
          <w:noProof/>
          <w:highlight w:val="lightGray"/>
        </w:rPr>
        <w:t>typ zóny (mesto, priemyselná alebo vidiecka oblasť);</w:t>
      </w:r>
    </w:p>
    <w:p w:rsidR="005C7768" w:rsidRPr="00E8450A" w:rsidRDefault="005C7768" w:rsidP="005C7768">
      <w:pPr>
        <w:pStyle w:val="Point0"/>
        <w:rPr>
          <w:rStyle w:val="CRRefonteDeleted"/>
          <w:noProof/>
          <w:highlight w:val="lightGray"/>
        </w:rPr>
      </w:pPr>
      <w:r w:rsidRPr="00E8450A">
        <w:rPr>
          <w:noProof/>
        </w:rPr>
        <w:tab/>
      </w:r>
      <w:r w:rsidRPr="00E8450A">
        <w:rPr>
          <w:rStyle w:val="CRRefonteDeleted"/>
          <w:noProof/>
          <w:highlight w:val="lightGray"/>
        </w:rPr>
        <w:t>b)</w:t>
      </w:r>
      <w:r w:rsidRPr="00E8450A">
        <w:rPr>
          <w:noProof/>
        </w:rPr>
        <w:tab/>
      </w:r>
      <w:r w:rsidRPr="00E8450A">
        <w:rPr>
          <w:rStyle w:val="CRRefonteDeleted"/>
          <w:noProof/>
          <w:highlight w:val="lightGray"/>
        </w:rPr>
        <w:t>odhad znečistenej oblasti (km</w:t>
      </w:r>
      <w:r w:rsidRPr="00E8450A">
        <w:rPr>
          <w:rStyle w:val="CRRefonteDeleted"/>
          <w:noProof/>
          <w:highlight w:val="lightGray"/>
          <w:vertAlign w:val="superscript"/>
        </w:rPr>
        <w:t>2</w:t>
      </w:r>
      <w:r w:rsidRPr="00E8450A">
        <w:rPr>
          <w:rStyle w:val="CRRefonteDeleted"/>
          <w:noProof/>
          <w:highlight w:val="lightGray"/>
        </w:rPr>
        <w:t>) a obyvateľstva vystaveného znečisteniu;</w:t>
      </w:r>
    </w:p>
    <w:p w:rsidR="005C7768" w:rsidRPr="00E8450A" w:rsidRDefault="005C7768" w:rsidP="005C7768">
      <w:pPr>
        <w:pStyle w:val="Point0"/>
        <w:rPr>
          <w:rStyle w:val="CRRefonteDeleted"/>
          <w:noProof/>
          <w:highlight w:val="lightGray"/>
        </w:rPr>
      </w:pPr>
      <w:r w:rsidRPr="00E8450A">
        <w:rPr>
          <w:noProof/>
        </w:rPr>
        <w:tab/>
      </w:r>
      <w:r w:rsidRPr="00E8450A">
        <w:rPr>
          <w:rStyle w:val="CRRefonteDeleted"/>
          <w:noProof/>
          <w:highlight w:val="lightGray"/>
        </w:rPr>
        <w:t>c)</w:t>
      </w:r>
      <w:r w:rsidRPr="00E8450A">
        <w:rPr>
          <w:noProof/>
        </w:rPr>
        <w:tab/>
      </w:r>
      <w:r w:rsidRPr="00E8450A">
        <w:rPr>
          <w:rStyle w:val="CRRefonteDeleted"/>
          <w:noProof/>
          <w:highlight w:val="lightGray"/>
        </w:rPr>
        <w:t>užitočné klimatické údaje;</w:t>
      </w:r>
    </w:p>
    <w:p w:rsidR="005C7768" w:rsidRPr="00E8450A" w:rsidRDefault="005C7768" w:rsidP="005C7768">
      <w:pPr>
        <w:pStyle w:val="Point0"/>
        <w:rPr>
          <w:rStyle w:val="CRRefonteDeleted"/>
          <w:noProof/>
          <w:highlight w:val="lightGray"/>
        </w:rPr>
      </w:pPr>
      <w:r w:rsidRPr="00E8450A">
        <w:rPr>
          <w:noProof/>
        </w:rPr>
        <w:tab/>
      </w:r>
      <w:r w:rsidRPr="00E8450A">
        <w:rPr>
          <w:rStyle w:val="CRRefonteDeleted"/>
          <w:noProof/>
          <w:highlight w:val="lightGray"/>
        </w:rPr>
        <w:t>d)</w:t>
      </w:r>
      <w:r w:rsidRPr="00E8450A">
        <w:rPr>
          <w:noProof/>
        </w:rPr>
        <w:tab/>
      </w:r>
      <w:r w:rsidRPr="00E8450A">
        <w:rPr>
          <w:rStyle w:val="CRRefonteDeleted"/>
          <w:noProof/>
          <w:highlight w:val="lightGray"/>
        </w:rPr>
        <w:t>príslušné údaje o topografii;</w:t>
      </w:r>
    </w:p>
    <w:p w:rsidR="005C7768" w:rsidRPr="00E8450A" w:rsidRDefault="005C7768" w:rsidP="005C7768">
      <w:pPr>
        <w:pStyle w:val="Point0"/>
        <w:rPr>
          <w:rStyle w:val="CRRefonteDeleted"/>
          <w:noProof/>
          <w:highlight w:val="lightGray"/>
        </w:rPr>
      </w:pPr>
      <w:r w:rsidRPr="00E8450A">
        <w:rPr>
          <w:noProof/>
        </w:rPr>
        <w:tab/>
      </w:r>
      <w:r w:rsidRPr="00E8450A">
        <w:rPr>
          <w:rStyle w:val="CRRefonteDeleted"/>
          <w:noProof/>
          <w:highlight w:val="lightGray"/>
        </w:rPr>
        <w:t>e)</w:t>
      </w:r>
      <w:r w:rsidRPr="00E8450A">
        <w:rPr>
          <w:noProof/>
        </w:rPr>
        <w:tab/>
      </w:r>
      <w:r w:rsidRPr="00E8450A">
        <w:rPr>
          <w:rStyle w:val="CRRefonteDeleted"/>
          <w:noProof/>
          <w:highlight w:val="lightGray"/>
        </w:rPr>
        <w:t>dostatočné informácie o druhu cieľov, ktoré si v zóne vyžadujú ochranu.</w:t>
      </w:r>
    </w:p>
    <w:p w:rsidR="005C7768" w:rsidRPr="00E8450A" w:rsidRDefault="005C7768" w:rsidP="005C7768">
      <w:pPr>
        <w:pStyle w:val="ManualHeading2"/>
        <w:ind w:left="851" w:hanging="851"/>
        <w:rPr>
          <w:rStyle w:val="CRRefonteDeleted"/>
          <w:noProof/>
          <w:highlight w:val="lightGray"/>
        </w:rPr>
      </w:pPr>
      <w:r w:rsidRPr="00E8450A">
        <w:rPr>
          <w:rStyle w:val="CRRefonteDeleted"/>
          <w:noProof/>
          <w:highlight w:val="lightGray"/>
        </w:rPr>
        <w:t>3.</w:t>
      </w:r>
      <w:r w:rsidRPr="00E8450A">
        <w:rPr>
          <w:noProof/>
        </w:rPr>
        <w:tab/>
      </w:r>
      <w:r w:rsidRPr="00E8450A">
        <w:rPr>
          <w:rStyle w:val="CRRefonteDeleted"/>
          <w:noProof/>
          <w:highlight w:val="lightGray"/>
        </w:rPr>
        <w:t>Zodpovedné orgány</w:t>
      </w:r>
    </w:p>
    <w:p w:rsidR="005C7768" w:rsidRPr="00E8450A" w:rsidRDefault="005C7768" w:rsidP="005C7768">
      <w:pPr>
        <w:rPr>
          <w:rStyle w:val="CRRefonteDeleted"/>
          <w:noProof/>
          <w:highlight w:val="lightGray"/>
        </w:rPr>
      </w:pPr>
      <w:r w:rsidRPr="00E8450A">
        <w:rPr>
          <w:rStyle w:val="CRRefonteDeleted"/>
          <w:noProof/>
          <w:highlight w:val="lightGray"/>
        </w:rPr>
        <w:t>Mená a adresy osôb zodpovedných za vypracovanie a vykonávanie plánov na zlepšenie.</w:t>
      </w:r>
    </w:p>
    <w:p w:rsidR="005C7768" w:rsidRPr="00E8450A" w:rsidRDefault="005C7768" w:rsidP="005C7768">
      <w:pPr>
        <w:pStyle w:val="ManualHeading2"/>
        <w:ind w:left="851" w:hanging="851"/>
        <w:rPr>
          <w:rStyle w:val="CRRefonteDeleted"/>
          <w:noProof/>
          <w:highlight w:val="lightGray"/>
        </w:rPr>
      </w:pPr>
      <w:r w:rsidRPr="00E8450A">
        <w:rPr>
          <w:rStyle w:val="CRRefonteDeleted"/>
          <w:noProof/>
          <w:highlight w:val="lightGray"/>
        </w:rPr>
        <w:t>4.</w:t>
      </w:r>
      <w:r w:rsidRPr="00E8450A">
        <w:rPr>
          <w:noProof/>
        </w:rPr>
        <w:tab/>
      </w:r>
      <w:r w:rsidRPr="00E8450A">
        <w:rPr>
          <w:rStyle w:val="CRRefonteDeleted"/>
          <w:noProof/>
          <w:highlight w:val="lightGray"/>
        </w:rPr>
        <w:t>Povaha a hodnotenie znečistenia:</w:t>
      </w:r>
    </w:p>
    <w:p w:rsidR="005C7768" w:rsidRPr="00E8450A" w:rsidRDefault="005C7768" w:rsidP="005C7768">
      <w:pPr>
        <w:pStyle w:val="Point0"/>
        <w:rPr>
          <w:rStyle w:val="CRRefonteDeleted"/>
          <w:noProof/>
          <w:highlight w:val="lightGray"/>
        </w:rPr>
      </w:pPr>
      <w:r w:rsidRPr="00E8450A">
        <w:rPr>
          <w:noProof/>
        </w:rPr>
        <w:tab/>
      </w:r>
      <w:r w:rsidRPr="00E8450A">
        <w:rPr>
          <w:rStyle w:val="CRRefonteDeleted"/>
          <w:noProof/>
          <w:highlight w:val="lightGray"/>
        </w:rPr>
        <w:t>a)</w:t>
      </w:r>
      <w:r w:rsidRPr="00E8450A">
        <w:rPr>
          <w:noProof/>
        </w:rPr>
        <w:tab/>
      </w:r>
      <w:r w:rsidRPr="00E8450A">
        <w:rPr>
          <w:rStyle w:val="CRRefonteDeleted"/>
          <w:noProof/>
          <w:highlight w:val="lightGray"/>
        </w:rPr>
        <w:t>koncentrácie pozorované za predchádzajúce roky (pred vykonávaním opatrení na zlepšenie);</w:t>
      </w:r>
    </w:p>
    <w:p w:rsidR="005C7768" w:rsidRPr="00E8450A" w:rsidRDefault="005C7768" w:rsidP="005C7768">
      <w:pPr>
        <w:pStyle w:val="Point0"/>
        <w:rPr>
          <w:rStyle w:val="CRRefonteDeleted"/>
          <w:noProof/>
          <w:highlight w:val="lightGray"/>
        </w:rPr>
      </w:pPr>
      <w:r w:rsidRPr="00E8450A">
        <w:rPr>
          <w:noProof/>
        </w:rPr>
        <w:tab/>
      </w:r>
      <w:r w:rsidRPr="00E8450A">
        <w:rPr>
          <w:rStyle w:val="CRRefonteDeleted"/>
          <w:noProof/>
          <w:highlight w:val="lightGray"/>
        </w:rPr>
        <w:t>b)</w:t>
      </w:r>
      <w:r w:rsidRPr="00E8450A">
        <w:rPr>
          <w:noProof/>
        </w:rPr>
        <w:tab/>
      </w:r>
      <w:r w:rsidRPr="00E8450A">
        <w:rPr>
          <w:rStyle w:val="CRRefonteDeleted"/>
          <w:noProof/>
          <w:highlight w:val="lightGray"/>
        </w:rPr>
        <w:t>koncentrácie namerané od začiatku projektu;</w:t>
      </w:r>
    </w:p>
    <w:p w:rsidR="005C7768" w:rsidRPr="00E8450A" w:rsidRDefault="005C7768" w:rsidP="005C7768">
      <w:pPr>
        <w:pStyle w:val="Point0"/>
        <w:rPr>
          <w:rStyle w:val="CRRefonteDeleted"/>
          <w:noProof/>
          <w:highlight w:val="lightGray"/>
        </w:rPr>
      </w:pPr>
      <w:r w:rsidRPr="00E8450A">
        <w:rPr>
          <w:noProof/>
        </w:rPr>
        <w:tab/>
      </w:r>
      <w:r w:rsidRPr="00E8450A">
        <w:rPr>
          <w:rStyle w:val="CRRefonteDeleted"/>
          <w:noProof/>
          <w:highlight w:val="lightGray"/>
        </w:rPr>
        <w:t>c)</w:t>
      </w:r>
      <w:r w:rsidRPr="00E8450A">
        <w:rPr>
          <w:noProof/>
        </w:rPr>
        <w:tab/>
      </w:r>
      <w:r w:rsidRPr="00E8450A">
        <w:rPr>
          <w:rStyle w:val="CRRefonteDeleted"/>
          <w:noProof/>
          <w:highlight w:val="lightGray"/>
        </w:rPr>
        <w:t>techniky využité pri hodnotení.</w:t>
      </w:r>
    </w:p>
    <w:p w:rsidR="005C7768" w:rsidRPr="00E8450A" w:rsidRDefault="005C7768" w:rsidP="005C7768">
      <w:pPr>
        <w:pStyle w:val="ManualHeading2"/>
        <w:ind w:left="851" w:hanging="851"/>
        <w:rPr>
          <w:rStyle w:val="CRRefonteDeleted"/>
          <w:noProof/>
          <w:highlight w:val="lightGray"/>
        </w:rPr>
      </w:pPr>
      <w:r w:rsidRPr="00E8450A">
        <w:rPr>
          <w:rStyle w:val="CRRefonteDeleted"/>
          <w:noProof/>
          <w:highlight w:val="lightGray"/>
        </w:rPr>
        <w:t>5.</w:t>
      </w:r>
      <w:r w:rsidRPr="00E8450A">
        <w:rPr>
          <w:noProof/>
        </w:rPr>
        <w:tab/>
      </w:r>
      <w:r w:rsidRPr="00E8450A">
        <w:rPr>
          <w:rStyle w:val="CRRefonteDeleted"/>
          <w:noProof/>
          <w:highlight w:val="lightGray"/>
        </w:rPr>
        <w:t>Pôvod znečistenia</w:t>
      </w:r>
    </w:p>
    <w:p w:rsidR="005C7768" w:rsidRPr="00E8450A" w:rsidRDefault="005C7768" w:rsidP="005C7768">
      <w:pPr>
        <w:pStyle w:val="Point0"/>
        <w:rPr>
          <w:rStyle w:val="CRRefonteDeleted"/>
          <w:noProof/>
          <w:highlight w:val="lightGray"/>
        </w:rPr>
      </w:pPr>
      <w:r w:rsidRPr="00E8450A">
        <w:rPr>
          <w:noProof/>
        </w:rPr>
        <w:tab/>
      </w:r>
      <w:r w:rsidRPr="00E8450A">
        <w:rPr>
          <w:rStyle w:val="CRRefonteDeleted"/>
          <w:noProof/>
          <w:highlight w:val="lightGray"/>
        </w:rPr>
        <w:t>a)</w:t>
      </w:r>
      <w:r w:rsidRPr="00E8450A">
        <w:rPr>
          <w:noProof/>
        </w:rPr>
        <w:tab/>
      </w:r>
      <w:r w:rsidRPr="00E8450A">
        <w:rPr>
          <w:rStyle w:val="CRRefonteDeleted"/>
          <w:noProof/>
          <w:highlight w:val="lightGray"/>
        </w:rPr>
        <w:t>zoznam hlavných zdrojov emisií, ktoré spôsobujú znečistenie (mapa);</w:t>
      </w:r>
    </w:p>
    <w:p w:rsidR="005C7768" w:rsidRPr="00E8450A" w:rsidRDefault="005C7768" w:rsidP="005C7768">
      <w:pPr>
        <w:pStyle w:val="Point0"/>
        <w:rPr>
          <w:rStyle w:val="CRRefonteDeleted"/>
          <w:noProof/>
          <w:highlight w:val="lightGray"/>
        </w:rPr>
      </w:pPr>
      <w:r w:rsidRPr="00E8450A">
        <w:rPr>
          <w:noProof/>
        </w:rPr>
        <w:tab/>
      </w:r>
      <w:r w:rsidRPr="00E8450A">
        <w:rPr>
          <w:rStyle w:val="CRRefonteDeleted"/>
          <w:noProof/>
          <w:highlight w:val="lightGray"/>
        </w:rPr>
        <w:t>b)</w:t>
      </w:r>
      <w:r w:rsidRPr="00E8450A">
        <w:rPr>
          <w:noProof/>
        </w:rPr>
        <w:tab/>
      </w:r>
      <w:r w:rsidRPr="00E8450A">
        <w:rPr>
          <w:rStyle w:val="CRRefonteDeleted"/>
          <w:noProof/>
          <w:highlight w:val="lightGray"/>
        </w:rPr>
        <w:t>celkové množstvo emisií z týchto zdrojov (tony/rok);</w:t>
      </w:r>
    </w:p>
    <w:p w:rsidR="005C7768" w:rsidRPr="00E8450A" w:rsidRDefault="005C7768" w:rsidP="005C7768">
      <w:pPr>
        <w:pStyle w:val="Point0"/>
        <w:rPr>
          <w:rStyle w:val="CRRefonteDeleted"/>
          <w:noProof/>
          <w:highlight w:val="lightGray"/>
        </w:rPr>
      </w:pPr>
      <w:r w:rsidRPr="00E8450A">
        <w:rPr>
          <w:noProof/>
        </w:rPr>
        <w:tab/>
      </w:r>
      <w:r w:rsidRPr="00E8450A">
        <w:rPr>
          <w:rStyle w:val="CRRefonteDeleted"/>
          <w:noProof/>
          <w:highlight w:val="lightGray"/>
        </w:rPr>
        <w:t>c)</w:t>
      </w:r>
      <w:r w:rsidRPr="00E8450A">
        <w:rPr>
          <w:noProof/>
        </w:rPr>
        <w:tab/>
      </w:r>
      <w:r w:rsidRPr="00E8450A">
        <w:rPr>
          <w:rStyle w:val="CRRefonteDeleted"/>
          <w:noProof/>
          <w:highlight w:val="lightGray"/>
        </w:rPr>
        <w:t>informácie o znečistení, ktoré pochádza z iných regiónov.</w:t>
      </w:r>
    </w:p>
    <w:p w:rsidR="005C7768" w:rsidRPr="00E8450A" w:rsidRDefault="005C7768" w:rsidP="005C7768">
      <w:pPr>
        <w:pStyle w:val="ManualHeading2"/>
        <w:ind w:left="851" w:hanging="851"/>
        <w:rPr>
          <w:rStyle w:val="CRRefonteDeleted"/>
          <w:noProof/>
          <w:highlight w:val="lightGray"/>
        </w:rPr>
      </w:pPr>
      <w:r w:rsidRPr="00E8450A">
        <w:rPr>
          <w:rStyle w:val="CRRefonteDeleted"/>
          <w:noProof/>
          <w:highlight w:val="lightGray"/>
        </w:rPr>
        <w:t>6.</w:t>
      </w:r>
      <w:r w:rsidRPr="00E8450A">
        <w:rPr>
          <w:noProof/>
        </w:rPr>
        <w:tab/>
      </w:r>
      <w:r w:rsidRPr="00E8450A">
        <w:rPr>
          <w:rStyle w:val="CRRefonteDeleted"/>
          <w:noProof/>
          <w:highlight w:val="lightGray"/>
        </w:rPr>
        <w:t>Analýza situácie</w:t>
      </w:r>
    </w:p>
    <w:p w:rsidR="005C7768" w:rsidRPr="00E8450A" w:rsidRDefault="005C7768" w:rsidP="005C7768">
      <w:pPr>
        <w:pStyle w:val="Point0"/>
        <w:rPr>
          <w:rStyle w:val="CRRefonteDeleted"/>
          <w:noProof/>
          <w:highlight w:val="lightGray"/>
        </w:rPr>
      </w:pPr>
      <w:r w:rsidRPr="00E8450A">
        <w:rPr>
          <w:noProof/>
        </w:rPr>
        <w:tab/>
      </w:r>
      <w:r w:rsidRPr="00E8450A">
        <w:rPr>
          <w:rStyle w:val="CRRefonteDeleted"/>
          <w:noProof/>
          <w:highlight w:val="lightGray"/>
        </w:rPr>
        <w:t>a)</w:t>
      </w:r>
      <w:r w:rsidRPr="00E8450A">
        <w:rPr>
          <w:noProof/>
        </w:rPr>
        <w:tab/>
      </w:r>
      <w:r w:rsidRPr="00E8450A">
        <w:rPr>
          <w:rStyle w:val="CRRefonteDeleted"/>
          <w:noProof/>
          <w:highlight w:val="lightGray"/>
        </w:rPr>
        <w:t>podrobnosti o faktoroch zodpovedných za prekročenie (napr. doprava vrátane cezhraničnej dopravy, tvorba sekundárnych znečisťujúcich látok v atmosfére);</w:t>
      </w:r>
    </w:p>
    <w:p w:rsidR="005C7768" w:rsidRPr="00E8450A" w:rsidRDefault="005C7768" w:rsidP="005C7768">
      <w:pPr>
        <w:pStyle w:val="Point0"/>
        <w:rPr>
          <w:rStyle w:val="CRRefonteDeleted"/>
          <w:noProof/>
          <w:highlight w:val="lightGray"/>
        </w:rPr>
      </w:pPr>
      <w:r w:rsidRPr="00E8450A">
        <w:rPr>
          <w:noProof/>
        </w:rPr>
        <w:tab/>
      </w:r>
      <w:r w:rsidRPr="00E8450A">
        <w:rPr>
          <w:rStyle w:val="CRRefonteDeleted"/>
          <w:noProof/>
          <w:highlight w:val="lightGray"/>
        </w:rPr>
        <w:t>b)</w:t>
      </w:r>
      <w:r w:rsidRPr="00E8450A">
        <w:rPr>
          <w:noProof/>
        </w:rPr>
        <w:tab/>
      </w:r>
      <w:r w:rsidRPr="00E8450A">
        <w:rPr>
          <w:rStyle w:val="CRRefonteDeleted"/>
          <w:noProof/>
          <w:highlight w:val="lightGray"/>
        </w:rPr>
        <w:t>podrobnosti o možných opatreniach na zlepšenie kvality ovzdušia.</w:t>
      </w:r>
    </w:p>
    <w:p w:rsidR="005C7768" w:rsidRPr="00E8450A" w:rsidRDefault="005C7768" w:rsidP="005C7768">
      <w:pPr>
        <w:pStyle w:val="ManualHeading2"/>
        <w:ind w:left="851" w:hanging="851"/>
        <w:rPr>
          <w:rStyle w:val="CRRefonteDeleted"/>
          <w:noProof/>
          <w:highlight w:val="lightGray"/>
        </w:rPr>
      </w:pPr>
      <w:r w:rsidRPr="00E8450A">
        <w:rPr>
          <w:rStyle w:val="CRRefonteDeleted"/>
          <w:noProof/>
          <w:highlight w:val="lightGray"/>
        </w:rPr>
        <w:t>7.</w:t>
      </w:r>
      <w:r w:rsidRPr="00E8450A">
        <w:rPr>
          <w:noProof/>
        </w:rPr>
        <w:tab/>
      </w:r>
      <w:r w:rsidRPr="00E8450A">
        <w:rPr>
          <w:rStyle w:val="CRRefonteDeleted"/>
          <w:noProof/>
          <w:highlight w:val="lightGray"/>
        </w:rPr>
        <w:t>Podrobnosti o týchto opatreniach alebo projektoch na zlepšenie, ktoré existovali pred 11. júnom 2008, t. j.:</w:t>
      </w:r>
    </w:p>
    <w:p w:rsidR="005C7768" w:rsidRPr="00E8450A" w:rsidRDefault="005C7768" w:rsidP="005C7768">
      <w:pPr>
        <w:pStyle w:val="Point0"/>
        <w:rPr>
          <w:rStyle w:val="CRRefonteDeleted"/>
          <w:noProof/>
          <w:highlight w:val="lightGray"/>
        </w:rPr>
      </w:pPr>
      <w:r w:rsidRPr="00E8450A">
        <w:rPr>
          <w:noProof/>
        </w:rPr>
        <w:tab/>
      </w:r>
      <w:r w:rsidRPr="00E8450A">
        <w:rPr>
          <w:rStyle w:val="CRRefonteDeleted"/>
          <w:noProof/>
          <w:highlight w:val="lightGray"/>
        </w:rPr>
        <w:t>a)</w:t>
      </w:r>
      <w:r w:rsidRPr="00E8450A">
        <w:rPr>
          <w:noProof/>
        </w:rPr>
        <w:tab/>
      </w:r>
      <w:r w:rsidRPr="00E8450A">
        <w:rPr>
          <w:rStyle w:val="CRRefonteDeleted"/>
          <w:noProof/>
          <w:highlight w:val="lightGray"/>
        </w:rPr>
        <w:t>miestne, regionálne, národné, medzinárodné opatrenia;</w:t>
      </w:r>
    </w:p>
    <w:p w:rsidR="005C7768" w:rsidRPr="00E8450A" w:rsidRDefault="005C7768" w:rsidP="005C7768">
      <w:pPr>
        <w:pStyle w:val="Point0"/>
        <w:rPr>
          <w:rStyle w:val="CRRefonteDeleted"/>
          <w:noProof/>
          <w:highlight w:val="lightGray"/>
        </w:rPr>
      </w:pPr>
      <w:r w:rsidRPr="00E8450A">
        <w:rPr>
          <w:noProof/>
        </w:rPr>
        <w:tab/>
      </w:r>
      <w:r w:rsidRPr="00E8450A">
        <w:rPr>
          <w:rStyle w:val="CRRefonteDeleted"/>
          <w:noProof/>
          <w:highlight w:val="lightGray"/>
        </w:rPr>
        <w:t>b)</w:t>
      </w:r>
      <w:r w:rsidRPr="00E8450A">
        <w:rPr>
          <w:noProof/>
        </w:rPr>
        <w:tab/>
      </w:r>
      <w:r w:rsidRPr="00E8450A">
        <w:rPr>
          <w:rStyle w:val="CRRefonteDeleted"/>
          <w:noProof/>
          <w:highlight w:val="lightGray"/>
        </w:rPr>
        <w:t>pozorované účinky týchto opatrení.</w:t>
      </w:r>
    </w:p>
    <w:p w:rsidR="005C7768" w:rsidRPr="00E8450A" w:rsidRDefault="005C7768" w:rsidP="005C7768">
      <w:pPr>
        <w:pStyle w:val="ManualHeading2"/>
        <w:ind w:left="851" w:hanging="851"/>
        <w:rPr>
          <w:rStyle w:val="CRRefonteDeleted"/>
          <w:noProof/>
          <w:highlight w:val="lightGray"/>
        </w:rPr>
      </w:pPr>
      <w:r w:rsidRPr="00E8450A">
        <w:rPr>
          <w:rStyle w:val="CRRefonteDeleted"/>
          <w:noProof/>
          <w:highlight w:val="lightGray"/>
        </w:rPr>
        <w:t>8.</w:t>
      </w:r>
      <w:r w:rsidRPr="00E8450A">
        <w:rPr>
          <w:noProof/>
        </w:rPr>
        <w:tab/>
      </w:r>
      <w:r w:rsidRPr="00E8450A">
        <w:rPr>
          <w:rStyle w:val="CRRefonteDeleted"/>
          <w:noProof/>
          <w:highlight w:val="lightGray"/>
        </w:rPr>
        <w:t>Podrobnosti o týchto opatreniach alebo projektoch prijatých s cieľom znížiť znečistenie po nadobudnutí účinnosti tejto smernice:</w:t>
      </w:r>
    </w:p>
    <w:p w:rsidR="005C7768" w:rsidRPr="00E8450A" w:rsidRDefault="005C7768" w:rsidP="005C7768">
      <w:pPr>
        <w:pStyle w:val="Point0"/>
        <w:rPr>
          <w:rStyle w:val="CRRefonteDeleted"/>
          <w:noProof/>
          <w:highlight w:val="lightGray"/>
        </w:rPr>
      </w:pPr>
      <w:r w:rsidRPr="00E8450A">
        <w:rPr>
          <w:noProof/>
        </w:rPr>
        <w:tab/>
      </w:r>
      <w:r w:rsidRPr="00E8450A">
        <w:rPr>
          <w:rStyle w:val="CRRefonteDeleted"/>
          <w:noProof/>
          <w:highlight w:val="lightGray"/>
        </w:rPr>
        <w:t>a)</w:t>
      </w:r>
      <w:r w:rsidRPr="00E8450A">
        <w:rPr>
          <w:noProof/>
        </w:rPr>
        <w:tab/>
      </w:r>
      <w:r w:rsidRPr="00E8450A">
        <w:rPr>
          <w:rStyle w:val="CRRefonteDeleted"/>
          <w:noProof/>
          <w:highlight w:val="lightGray"/>
        </w:rPr>
        <w:t>zoznam a opis všetkých opatrení stanovených v projekte;</w:t>
      </w:r>
    </w:p>
    <w:p w:rsidR="005C7768" w:rsidRPr="00E8450A" w:rsidRDefault="005C7768" w:rsidP="005C7768">
      <w:pPr>
        <w:pStyle w:val="Point0"/>
        <w:rPr>
          <w:rStyle w:val="CRRefonteDeleted"/>
          <w:noProof/>
          <w:highlight w:val="lightGray"/>
        </w:rPr>
      </w:pPr>
      <w:r w:rsidRPr="00E8450A">
        <w:rPr>
          <w:noProof/>
        </w:rPr>
        <w:tab/>
      </w:r>
      <w:r w:rsidRPr="00E8450A">
        <w:rPr>
          <w:rStyle w:val="CRRefonteDeleted"/>
          <w:noProof/>
          <w:highlight w:val="lightGray"/>
        </w:rPr>
        <w:t>b)</w:t>
      </w:r>
      <w:r w:rsidRPr="00E8450A">
        <w:rPr>
          <w:noProof/>
        </w:rPr>
        <w:tab/>
      </w:r>
      <w:r w:rsidRPr="00E8450A">
        <w:rPr>
          <w:rStyle w:val="CRRefonteDeleted"/>
          <w:noProof/>
          <w:highlight w:val="lightGray"/>
        </w:rPr>
        <w:t>časový harmonogram vykonávania;</w:t>
      </w:r>
    </w:p>
    <w:p w:rsidR="005C7768" w:rsidRPr="00E8450A" w:rsidRDefault="005C7768" w:rsidP="005C7768">
      <w:pPr>
        <w:pStyle w:val="Point0"/>
        <w:rPr>
          <w:rStyle w:val="CRRefonteDeleted"/>
          <w:noProof/>
          <w:highlight w:val="lightGray"/>
        </w:rPr>
      </w:pPr>
      <w:r w:rsidRPr="00E8450A">
        <w:rPr>
          <w:noProof/>
        </w:rPr>
        <w:tab/>
      </w:r>
      <w:r w:rsidRPr="00E8450A">
        <w:rPr>
          <w:rStyle w:val="CRRefonteDeleted"/>
          <w:noProof/>
          <w:highlight w:val="lightGray"/>
        </w:rPr>
        <w:t>c)</w:t>
      </w:r>
      <w:r w:rsidRPr="00E8450A">
        <w:rPr>
          <w:noProof/>
        </w:rPr>
        <w:tab/>
      </w:r>
      <w:r w:rsidRPr="00E8450A">
        <w:rPr>
          <w:rStyle w:val="CRRefonteDeleted"/>
          <w:noProof/>
          <w:highlight w:val="lightGray"/>
        </w:rPr>
        <w:t>odhad plánovaných zlepšení kvality ovzdušia a predpokladaného času potrebného na dosiahnutie týchto cieľov.</w:t>
      </w:r>
    </w:p>
    <w:p w:rsidR="005C7768" w:rsidRPr="00E8450A" w:rsidRDefault="005C7768" w:rsidP="005C7768">
      <w:pPr>
        <w:pStyle w:val="ManualHeading2"/>
        <w:ind w:left="851" w:hanging="851"/>
        <w:rPr>
          <w:rStyle w:val="CRRefonteDeleted"/>
          <w:noProof/>
          <w:highlight w:val="lightGray"/>
        </w:rPr>
      </w:pPr>
      <w:r w:rsidRPr="00E8450A">
        <w:rPr>
          <w:rStyle w:val="CRRefonteDeleted"/>
          <w:noProof/>
          <w:highlight w:val="lightGray"/>
        </w:rPr>
        <w:t>9.</w:t>
      </w:r>
      <w:r w:rsidRPr="00E8450A">
        <w:rPr>
          <w:noProof/>
        </w:rPr>
        <w:tab/>
      </w:r>
      <w:r w:rsidRPr="00E8450A">
        <w:rPr>
          <w:rStyle w:val="CRRefonteDeleted"/>
          <w:noProof/>
          <w:highlight w:val="lightGray"/>
        </w:rPr>
        <w:t>Podrobnosti o dlhodobo plánovaných alebo skúmaných opatreniach alebo projektoch.</w:t>
      </w:r>
    </w:p>
    <w:p w:rsidR="005C7768" w:rsidRPr="00E8450A" w:rsidRDefault="005C7768" w:rsidP="005C7768">
      <w:pPr>
        <w:pStyle w:val="ManualHeading2"/>
        <w:ind w:left="851" w:hanging="851"/>
        <w:rPr>
          <w:rStyle w:val="CRRefonteDeleted"/>
          <w:noProof/>
          <w:highlight w:val="lightGray"/>
        </w:rPr>
      </w:pPr>
      <w:r w:rsidRPr="00E8450A">
        <w:rPr>
          <w:rStyle w:val="CRRefonteDeleted"/>
          <w:noProof/>
          <w:highlight w:val="lightGray"/>
        </w:rPr>
        <w:t>10.</w:t>
      </w:r>
      <w:r w:rsidRPr="00E8450A">
        <w:rPr>
          <w:noProof/>
        </w:rPr>
        <w:tab/>
      </w:r>
      <w:r w:rsidRPr="00E8450A">
        <w:rPr>
          <w:rStyle w:val="CRRefonteDeleted"/>
          <w:noProof/>
          <w:highlight w:val="lightGray"/>
        </w:rPr>
        <w:t>Zoznam publikácií, dokumentov, prác atď. použitých na doplnenie údajov požadovaných v tejto prílohe.</w:t>
      </w:r>
    </w:p>
    <w:p w:rsidR="005C7768" w:rsidRPr="00E8450A" w:rsidRDefault="005C7768" w:rsidP="005812BF">
      <w:pPr>
        <w:pStyle w:val="ManualHeading1"/>
        <w:ind w:left="851" w:hanging="851"/>
        <w:rPr>
          <w:rStyle w:val="CRRefonteDeleted"/>
          <w:noProof/>
          <w:highlight w:val="lightGray"/>
        </w:rPr>
      </w:pPr>
      <w:r w:rsidRPr="00E8450A">
        <w:rPr>
          <w:rStyle w:val="CRRefonteDeleted"/>
          <w:noProof/>
          <w:highlight w:val="lightGray"/>
        </w:rPr>
        <w:t>B</w:t>
      </w:r>
      <w:r w:rsidR="005812BF">
        <w:rPr>
          <w:rStyle w:val="CRRefonteDeleted"/>
          <w:noProof/>
          <w:highlight w:val="lightGray"/>
        </w:rPr>
        <w:t>)</w:t>
      </w:r>
      <w:r w:rsidRPr="00E8450A">
        <w:rPr>
          <w:noProof/>
        </w:rPr>
        <w:tab/>
      </w:r>
      <w:r w:rsidRPr="00E8450A">
        <w:rPr>
          <w:rStyle w:val="CRRefonteDeleted"/>
          <w:noProof/>
          <w:highlight w:val="lightGray"/>
        </w:rPr>
        <w:t>Informácie, ktoré sa majú poskytovať podľa článku 22 ods. 1</w:t>
      </w:r>
    </w:p>
    <w:p w:rsidR="005C7768" w:rsidRPr="00E8450A" w:rsidRDefault="005C7768" w:rsidP="005C7768">
      <w:pPr>
        <w:rPr>
          <w:rStyle w:val="CRRefonteDeleted"/>
          <w:noProof/>
          <w:highlight w:val="lightGray"/>
        </w:rPr>
      </w:pPr>
      <w:r w:rsidRPr="00E8450A">
        <w:rPr>
          <w:rStyle w:val="CRRefonteDeleted"/>
          <w:noProof/>
          <w:highlight w:val="lightGray"/>
        </w:rPr>
        <w:t>1.</w:t>
      </w:r>
      <w:r w:rsidRPr="00E8450A">
        <w:rPr>
          <w:noProof/>
        </w:rPr>
        <w:tab/>
      </w:r>
      <w:r w:rsidRPr="00E8450A">
        <w:rPr>
          <w:rStyle w:val="CRRefonteDeleted"/>
          <w:noProof/>
          <w:highlight w:val="lightGray"/>
        </w:rPr>
        <w:t>Všetky informácie, ako sú ustanovené v oddiele A.</w:t>
      </w:r>
    </w:p>
    <w:p w:rsidR="005C7768" w:rsidRPr="00E8450A" w:rsidRDefault="005C7768" w:rsidP="005C7768">
      <w:pPr>
        <w:rPr>
          <w:rStyle w:val="CRRefonteDeleted"/>
          <w:noProof/>
          <w:highlight w:val="lightGray"/>
        </w:rPr>
      </w:pPr>
      <w:r w:rsidRPr="00E8450A">
        <w:rPr>
          <w:rStyle w:val="CRRefonteDeleted"/>
          <w:noProof/>
          <w:highlight w:val="lightGray"/>
        </w:rPr>
        <w:t>2.</w:t>
      </w:r>
      <w:r w:rsidRPr="00E8450A">
        <w:rPr>
          <w:noProof/>
        </w:rPr>
        <w:tab/>
      </w:r>
      <w:r w:rsidRPr="00E8450A">
        <w:rPr>
          <w:rStyle w:val="CRRefonteDeleted"/>
          <w:noProof/>
          <w:highlight w:val="lightGray"/>
        </w:rPr>
        <w:t>Informácie o stave vykonávania týchto smerníc:</w:t>
      </w:r>
    </w:p>
    <w:p w:rsidR="005C7768" w:rsidRPr="00E8450A" w:rsidRDefault="005C7768" w:rsidP="005C7768">
      <w:pPr>
        <w:pStyle w:val="Point0"/>
        <w:rPr>
          <w:rStyle w:val="CRRefonteDeleted"/>
          <w:noProof/>
          <w:highlight w:val="lightGray"/>
        </w:rPr>
      </w:pPr>
      <w:r w:rsidRPr="00E8450A">
        <w:rPr>
          <w:noProof/>
        </w:rPr>
        <w:tab/>
      </w:r>
      <w:r w:rsidRPr="00E8450A">
        <w:rPr>
          <w:rStyle w:val="CRRefonteDeleted"/>
          <w:noProof/>
          <w:highlight w:val="lightGray"/>
        </w:rPr>
        <w:t>1.</w:t>
      </w:r>
      <w:r w:rsidRPr="00E8450A">
        <w:rPr>
          <w:noProof/>
        </w:rPr>
        <w:tab/>
      </w:r>
      <w:r w:rsidRPr="00E8450A">
        <w:rPr>
          <w:rStyle w:val="CRRefonteDeleted"/>
          <w:noProof/>
          <w:highlight w:val="lightGray"/>
        </w:rPr>
        <w:t>smernica Rady 70/220/EHS z 20. marca 1970 o aproximácii právnych predpisov členských štátov o opatreniach proti znečisťovaniu ovzdušia emisiami z motorových vozidiel</w:t>
      </w:r>
      <w:r w:rsidRPr="00E8450A">
        <w:rPr>
          <w:rStyle w:val="CRRefonteDeleted"/>
          <w:noProof/>
          <w:highlight w:val="lightGray"/>
          <w:vertAlign w:val="superscript"/>
        </w:rPr>
        <w:footnoteReference w:id="39"/>
      </w:r>
      <w:r w:rsidRPr="00E8450A">
        <w:rPr>
          <w:rStyle w:val="CRRefonteDeleted"/>
          <w:noProof/>
          <w:highlight w:val="lightGray"/>
        </w:rPr>
        <w:t>;</w:t>
      </w:r>
    </w:p>
    <w:p w:rsidR="005C7768" w:rsidRPr="00E8450A" w:rsidRDefault="005C7768" w:rsidP="005C7768">
      <w:pPr>
        <w:pStyle w:val="Point0"/>
        <w:rPr>
          <w:rStyle w:val="CRRefonteDeleted"/>
          <w:noProof/>
          <w:highlight w:val="lightGray"/>
        </w:rPr>
      </w:pPr>
      <w:r w:rsidRPr="00E8450A">
        <w:rPr>
          <w:noProof/>
        </w:rPr>
        <w:tab/>
      </w:r>
      <w:r w:rsidRPr="00E8450A">
        <w:rPr>
          <w:rStyle w:val="CRRefonteDeleted"/>
          <w:noProof/>
          <w:highlight w:val="lightGray"/>
        </w:rPr>
        <w:t>2.</w:t>
      </w:r>
      <w:r w:rsidRPr="00E8450A">
        <w:rPr>
          <w:noProof/>
        </w:rPr>
        <w:tab/>
      </w:r>
      <w:r w:rsidRPr="00E8450A">
        <w:rPr>
          <w:rStyle w:val="CRRefonteDeleted"/>
          <w:noProof/>
          <w:highlight w:val="lightGray"/>
        </w:rPr>
        <w:t>smernica Európskeho parlamentu a Rady 94/63/ES z 20. decembra 1994 o obmedzení emisií prchavých organických zlúčenín (POZ), ktoré vznikajú pri skladovaní benzínu a jeho distribúcii z distribučných skladov do čerpacích staníc</w:t>
      </w:r>
      <w:r w:rsidRPr="00E8450A">
        <w:rPr>
          <w:rStyle w:val="CRRefonteDeleted"/>
          <w:noProof/>
          <w:highlight w:val="lightGray"/>
          <w:vertAlign w:val="superscript"/>
        </w:rPr>
        <w:footnoteReference w:id="40"/>
      </w:r>
      <w:r w:rsidRPr="00E8450A">
        <w:rPr>
          <w:rStyle w:val="CRRefonteDeleted"/>
          <w:noProof/>
          <w:highlight w:val="lightGray"/>
        </w:rPr>
        <w:t>;</w:t>
      </w:r>
    </w:p>
    <w:p w:rsidR="005C7768" w:rsidRPr="00E8450A" w:rsidRDefault="005C7768" w:rsidP="005C7768">
      <w:pPr>
        <w:pStyle w:val="Point0"/>
        <w:rPr>
          <w:rStyle w:val="CRRefonteDeleted"/>
          <w:noProof/>
          <w:highlight w:val="lightGray"/>
        </w:rPr>
      </w:pPr>
      <w:r w:rsidRPr="00E8450A">
        <w:rPr>
          <w:noProof/>
        </w:rPr>
        <w:tab/>
      </w:r>
      <w:r w:rsidRPr="00E8450A">
        <w:rPr>
          <w:rStyle w:val="CRRefonteDeleted"/>
          <w:noProof/>
          <w:highlight w:val="lightGray"/>
        </w:rPr>
        <w:t>3.</w:t>
      </w:r>
      <w:r w:rsidRPr="00E8450A">
        <w:rPr>
          <w:noProof/>
        </w:rPr>
        <w:tab/>
      </w:r>
      <w:r w:rsidRPr="00E8450A">
        <w:rPr>
          <w:rStyle w:val="CRRefonteDeleted"/>
          <w:noProof/>
          <w:highlight w:val="lightGray"/>
        </w:rPr>
        <w:t>smernica Európskeho parlamentu a Rady 2008/1/ES z 15. januára 2008 o integrovanej prevencii a kontrole znečisťovania životného prostredia</w:t>
      </w:r>
      <w:r w:rsidRPr="00E8450A">
        <w:rPr>
          <w:rStyle w:val="CRRefonteDeleted"/>
          <w:noProof/>
          <w:highlight w:val="lightGray"/>
          <w:vertAlign w:val="superscript"/>
        </w:rPr>
        <w:footnoteReference w:id="41"/>
      </w:r>
      <w:r w:rsidRPr="00E8450A">
        <w:rPr>
          <w:rStyle w:val="CRRefonteDeleted"/>
          <w:noProof/>
          <w:highlight w:val="lightGray"/>
        </w:rPr>
        <w:t>;</w:t>
      </w:r>
    </w:p>
    <w:p w:rsidR="005C7768" w:rsidRPr="00E8450A" w:rsidRDefault="005C7768" w:rsidP="005C7768">
      <w:pPr>
        <w:pStyle w:val="Point0"/>
        <w:rPr>
          <w:rStyle w:val="CRRefonteDeleted"/>
          <w:noProof/>
          <w:highlight w:val="lightGray"/>
        </w:rPr>
      </w:pPr>
      <w:r w:rsidRPr="00E8450A">
        <w:rPr>
          <w:noProof/>
        </w:rPr>
        <w:tab/>
      </w:r>
      <w:r w:rsidRPr="00E8450A">
        <w:rPr>
          <w:rStyle w:val="CRRefonteDeleted"/>
          <w:noProof/>
          <w:highlight w:val="lightGray"/>
        </w:rPr>
        <w:t>4.</w:t>
      </w:r>
      <w:r w:rsidRPr="00E8450A">
        <w:rPr>
          <w:noProof/>
        </w:rPr>
        <w:tab/>
      </w:r>
      <w:r w:rsidRPr="00E8450A">
        <w:rPr>
          <w:rStyle w:val="CRRefonteDeleted"/>
          <w:noProof/>
          <w:highlight w:val="lightGray"/>
        </w:rPr>
        <w:t>smernica Európskeho parlamentu a Rady 97/68/ES zo 16. decembra 1997 o aproximácii právnych predpisov členských štátov, ktoré sa týkajú opatrení voči emisiám plynných a suspendovaných znečisťujúcich látok zo spaľovacích motorov, inštalovaných v necestných pojazdných strojoch</w:t>
      </w:r>
      <w:r w:rsidRPr="00E8450A">
        <w:rPr>
          <w:rStyle w:val="CRRefonteDeleted"/>
          <w:noProof/>
          <w:highlight w:val="lightGray"/>
          <w:vertAlign w:val="superscript"/>
        </w:rPr>
        <w:footnoteReference w:id="42"/>
      </w:r>
      <w:r w:rsidRPr="00E8450A">
        <w:rPr>
          <w:rStyle w:val="CRRefonteDeleted"/>
          <w:noProof/>
          <w:highlight w:val="lightGray"/>
        </w:rPr>
        <w:t>;</w:t>
      </w:r>
    </w:p>
    <w:p w:rsidR="005C7768" w:rsidRPr="00E8450A" w:rsidRDefault="005C7768" w:rsidP="005C7768">
      <w:pPr>
        <w:pStyle w:val="Point0"/>
        <w:rPr>
          <w:rStyle w:val="CRRefonteDeleted"/>
          <w:noProof/>
          <w:highlight w:val="lightGray"/>
        </w:rPr>
      </w:pPr>
      <w:r w:rsidRPr="00E8450A">
        <w:rPr>
          <w:noProof/>
        </w:rPr>
        <w:tab/>
      </w:r>
      <w:r w:rsidRPr="00E8450A">
        <w:rPr>
          <w:rStyle w:val="CRRefonteDeleted"/>
          <w:noProof/>
          <w:highlight w:val="lightGray"/>
        </w:rPr>
        <w:t>5.</w:t>
      </w:r>
      <w:r w:rsidRPr="00E8450A">
        <w:rPr>
          <w:noProof/>
        </w:rPr>
        <w:tab/>
      </w:r>
      <w:r w:rsidRPr="00E8450A">
        <w:rPr>
          <w:rStyle w:val="CRRefonteDeleted"/>
          <w:noProof/>
          <w:highlight w:val="lightGray"/>
        </w:rPr>
        <w:t>smernica Európskeho parlamentu a Rady 98/70/ES z 13. októbra 1998 týkajúca sa kvality benzínu a naftových palív</w:t>
      </w:r>
      <w:r w:rsidRPr="00E8450A">
        <w:rPr>
          <w:rStyle w:val="CRRefonteDeleted"/>
          <w:noProof/>
          <w:highlight w:val="lightGray"/>
          <w:vertAlign w:val="superscript"/>
        </w:rPr>
        <w:footnoteReference w:id="43"/>
      </w:r>
      <w:r w:rsidRPr="00E8450A">
        <w:rPr>
          <w:rStyle w:val="CRRefonteDeleted"/>
          <w:noProof/>
          <w:highlight w:val="lightGray"/>
        </w:rPr>
        <w:t>;</w:t>
      </w:r>
    </w:p>
    <w:p w:rsidR="005C7768" w:rsidRPr="00E8450A" w:rsidRDefault="005C7768" w:rsidP="005C7768">
      <w:pPr>
        <w:pStyle w:val="Point0"/>
        <w:rPr>
          <w:rStyle w:val="CRRefonteDeleted"/>
          <w:noProof/>
          <w:highlight w:val="lightGray"/>
        </w:rPr>
      </w:pPr>
      <w:r w:rsidRPr="00E8450A">
        <w:rPr>
          <w:noProof/>
        </w:rPr>
        <w:tab/>
      </w:r>
      <w:r w:rsidRPr="00E8450A">
        <w:rPr>
          <w:rStyle w:val="CRRefonteDeleted"/>
          <w:noProof/>
          <w:highlight w:val="lightGray"/>
        </w:rPr>
        <w:t>6.</w:t>
      </w:r>
      <w:r w:rsidRPr="00E8450A">
        <w:rPr>
          <w:noProof/>
        </w:rPr>
        <w:tab/>
      </w:r>
      <w:r w:rsidRPr="00E8450A">
        <w:rPr>
          <w:rStyle w:val="CRRefonteDeleted"/>
          <w:noProof/>
          <w:highlight w:val="lightGray"/>
        </w:rPr>
        <w:t>smernica Rady 1999/13/ES z 11. marca 1999 o obmedzení emisií prchavých organických zlúčenín unikajúcich pri používaní organických rozpúšťadiel pri určitých činnostiach a v určitých zariadeniach</w:t>
      </w:r>
      <w:r w:rsidRPr="00E8450A">
        <w:rPr>
          <w:rStyle w:val="CRRefonteDeleted"/>
          <w:noProof/>
          <w:highlight w:val="lightGray"/>
          <w:vertAlign w:val="superscript"/>
        </w:rPr>
        <w:footnoteReference w:id="44"/>
      </w:r>
      <w:r w:rsidRPr="00E8450A">
        <w:rPr>
          <w:rStyle w:val="CRRefonteDeleted"/>
          <w:noProof/>
          <w:highlight w:val="lightGray"/>
        </w:rPr>
        <w:t>;</w:t>
      </w:r>
    </w:p>
    <w:p w:rsidR="005C7768" w:rsidRPr="00E8450A" w:rsidRDefault="005C7768" w:rsidP="005C7768">
      <w:pPr>
        <w:pStyle w:val="Point0"/>
        <w:rPr>
          <w:rStyle w:val="CRRefonteDeleted"/>
          <w:noProof/>
          <w:highlight w:val="lightGray"/>
        </w:rPr>
      </w:pPr>
      <w:r w:rsidRPr="00E8450A">
        <w:rPr>
          <w:noProof/>
        </w:rPr>
        <w:tab/>
      </w:r>
      <w:r w:rsidRPr="00E8450A">
        <w:rPr>
          <w:rStyle w:val="CRRefonteDeleted"/>
          <w:noProof/>
          <w:highlight w:val="lightGray"/>
        </w:rPr>
        <w:t>7.</w:t>
      </w:r>
      <w:r w:rsidRPr="00E8450A">
        <w:rPr>
          <w:noProof/>
        </w:rPr>
        <w:tab/>
      </w:r>
      <w:r w:rsidRPr="00E8450A">
        <w:rPr>
          <w:rStyle w:val="CRRefonteDeleted"/>
          <w:noProof/>
          <w:highlight w:val="lightGray"/>
        </w:rPr>
        <w:t>smernica Rady 1999/32/ES z 26. apríla 1999 o znížení obsahu síry v niektorých kvapalných palivách</w:t>
      </w:r>
      <w:r w:rsidRPr="00E8450A">
        <w:rPr>
          <w:rStyle w:val="CRRefonteDeleted"/>
          <w:noProof/>
          <w:highlight w:val="lightGray"/>
          <w:vertAlign w:val="superscript"/>
        </w:rPr>
        <w:footnoteReference w:id="45"/>
      </w:r>
      <w:r w:rsidRPr="00E8450A">
        <w:rPr>
          <w:rStyle w:val="CRRefonteDeleted"/>
          <w:noProof/>
          <w:highlight w:val="lightGray"/>
        </w:rPr>
        <w:t>;</w:t>
      </w:r>
    </w:p>
    <w:p w:rsidR="005C7768" w:rsidRPr="00E8450A" w:rsidRDefault="005C7768" w:rsidP="005C7768">
      <w:pPr>
        <w:pStyle w:val="Point0"/>
        <w:rPr>
          <w:rStyle w:val="CRRefonteDeleted"/>
          <w:noProof/>
          <w:highlight w:val="lightGray"/>
        </w:rPr>
      </w:pPr>
      <w:r w:rsidRPr="00E8450A">
        <w:rPr>
          <w:noProof/>
        </w:rPr>
        <w:tab/>
      </w:r>
      <w:r w:rsidRPr="00E8450A">
        <w:rPr>
          <w:rStyle w:val="CRRefonteDeleted"/>
          <w:noProof/>
          <w:highlight w:val="lightGray"/>
        </w:rPr>
        <w:t>8.</w:t>
      </w:r>
      <w:r w:rsidRPr="00E8450A">
        <w:rPr>
          <w:noProof/>
        </w:rPr>
        <w:tab/>
      </w:r>
      <w:r w:rsidRPr="00E8450A">
        <w:rPr>
          <w:rStyle w:val="CRRefonteDeleted"/>
          <w:noProof/>
          <w:highlight w:val="lightGray"/>
        </w:rPr>
        <w:t>smernica Európskeho parlamentu a Rady 2000/76/ES zo 4. decembra 2000 o spaľovaní odpadov</w:t>
      </w:r>
      <w:r w:rsidRPr="00E8450A">
        <w:rPr>
          <w:rStyle w:val="CRRefonteDeleted"/>
          <w:noProof/>
          <w:highlight w:val="lightGray"/>
          <w:vertAlign w:val="superscript"/>
        </w:rPr>
        <w:footnoteReference w:id="46"/>
      </w:r>
      <w:r w:rsidRPr="00E8450A">
        <w:rPr>
          <w:rStyle w:val="CRRefonteDeleted"/>
          <w:noProof/>
          <w:highlight w:val="lightGray"/>
        </w:rPr>
        <w:t>;</w:t>
      </w:r>
    </w:p>
    <w:p w:rsidR="005C7768" w:rsidRPr="00E8450A" w:rsidRDefault="005C7768" w:rsidP="005C7768">
      <w:pPr>
        <w:pStyle w:val="Point0"/>
        <w:rPr>
          <w:rStyle w:val="CRRefonteDeleted"/>
          <w:noProof/>
          <w:highlight w:val="lightGray"/>
        </w:rPr>
      </w:pPr>
      <w:r w:rsidRPr="00E8450A">
        <w:rPr>
          <w:noProof/>
        </w:rPr>
        <w:tab/>
      </w:r>
      <w:r w:rsidRPr="00E8450A">
        <w:rPr>
          <w:rStyle w:val="CRRefonteDeleted"/>
          <w:noProof/>
          <w:highlight w:val="lightGray"/>
        </w:rPr>
        <w:t>9.</w:t>
      </w:r>
      <w:r w:rsidRPr="00E8450A">
        <w:rPr>
          <w:noProof/>
        </w:rPr>
        <w:tab/>
      </w:r>
      <w:r w:rsidRPr="00E8450A">
        <w:rPr>
          <w:rStyle w:val="CRRefonteDeleted"/>
          <w:noProof/>
          <w:highlight w:val="lightGray"/>
        </w:rPr>
        <w:t>smernica Európskeho parlamentu a Rady 2001/80/ES z 23. októbra 2001 o obmedzení emisií určitých znečisťujúcich látok do ovzdušia z veľkých spaľovacích zariadení;</w:t>
      </w:r>
    </w:p>
    <w:p w:rsidR="005C7768" w:rsidRPr="00E8450A" w:rsidRDefault="005C7768" w:rsidP="005C7768">
      <w:pPr>
        <w:pStyle w:val="Point0"/>
        <w:rPr>
          <w:rStyle w:val="CRRefonteDeleted"/>
          <w:noProof/>
          <w:highlight w:val="lightGray"/>
        </w:rPr>
      </w:pPr>
      <w:r w:rsidRPr="00E8450A">
        <w:rPr>
          <w:noProof/>
        </w:rPr>
        <w:tab/>
      </w:r>
      <w:r w:rsidRPr="00E8450A">
        <w:rPr>
          <w:rStyle w:val="CRRefonteDeleted"/>
          <w:noProof/>
          <w:highlight w:val="lightGray"/>
        </w:rPr>
        <w:t>10.</w:t>
      </w:r>
      <w:r w:rsidRPr="00E8450A">
        <w:rPr>
          <w:noProof/>
        </w:rPr>
        <w:tab/>
      </w:r>
      <w:r w:rsidRPr="00E8450A">
        <w:rPr>
          <w:rStyle w:val="CRRefonteDeleted"/>
          <w:noProof/>
          <w:highlight w:val="lightGray"/>
        </w:rPr>
        <w:t>smernica Európskeho parlamentu a Rady 2001/81/ES z 23. októbra 2001 o národných emisných stropoch pre určité látky znečisťujúce ovzdušie;</w:t>
      </w:r>
    </w:p>
    <w:p w:rsidR="005C7768" w:rsidRPr="00E8450A" w:rsidRDefault="005C7768" w:rsidP="005C7768">
      <w:pPr>
        <w:pStyle w:val="Point0"/>
        <w:rPr>
          <w:rStyle w:val="CRRefonteDeleted"/>
          <w:noProof/>
          <w:highlight w:val="lightGray"/>
        </w:rPr>
      </w:pPr>
      <w:r w:rsidRPr="00E8450A">
        <w:rPr>
          <w:noProof/>
        </w:rPr>
        <w:tab/>
      </w:r>
      <w:r w:rsidRPr="00E8450A">
        <w:rPr>
          <w:rStyle w:val="CRRefonteDeleted"/>
          <w:noProof/>
          <w:highlight w:val="lightGray"/>
        </w:rPr>
        <w:t>11.</w:t>
      </w:r>
      <w:r w:rsidRPr="00E8450A">
        <w:rPr>
          <w:noProof/>
        </w:rPr>
        <w:tab/>
      </w:r>
      <w:r w:rsidRPr="00E8450A">
        <w:rPr>
          <w:rStyle w:val="CRRefonteDeleted"/>
          <w:noProof/>
          <w:highlight w:val="lightGray"/>
        </w:rPr>
        <w:t>smernica Európskeho parlamentu a Rady 2004/42/ES z 21. apríla 2004 o obmedzení emisií prchavých organických zlúčenín unikajúcich pri používaní organických rozpúšťadiel v určitých farbách a lakoch a vo výrobkoch na povrchovú úpravu vozidiel</w:t>
      </w:r>
      <w:r w:rsidRPr="00E8450A">
        <w:rPr>
          <w:rStyle w:val="CRRefonteDeleted"/>
          <w:noProof/>
          <w:highlight w:val="lightGray"/>
          <w:vertAlign w:val="superscript"/>
        </w:rPr>
        <w:footnoteReference w:id="47"/>
      </w:r>
      <w:r w:rsidRPr="00E8450A">
        <w:rPr>
          <w:rStyle w:val="CRRefonteDeleted"/>
          <w:noProof/>
          <w:highlight w:val="lightGray"/>
        </w:rPr>
        <w:t>;</w:t>
      </w:r>
    </w:p>
    <w:p w:rsidR="005C7768" w:rsidRPr="00E8450A" w:rsidRDefault="005C7768" w:rsidP="005C7768">
      <w:pPr>
        <w:pStyle w:val="Point0"/>
        <w:rPr>
          <w:rStyle w:val="CRRefonteDeleted"/>
          <w:noProof/>
          <w:highlight w:val="lightGray"/>
        </w:rPr>
      </w:pPr>
      <w:r w:rsidRPr="00E8450A">
        <w:rPr>
          <w:noProof/>
        </w:rPr>
        <w:tab/>
      </w:r>
      <w:r w:rsidRPr="00E8450A">
        <w:rPr>
          <w:rStyle w:val="CRRefonteDeleted"/>
          <w:noProof/>
          <w:highlight w:val="lightGray"/>
        </w:rPr>
        <w:t>12.</w:t>
      </w:r>
      <w:r w:rsidRPr="00E8450A">
        <w:rPr>
          <w:noProof/>
        </w:rPr>
        <w:tab/>
      </w:r>
      <w:r w:rsidRPr="00E8450A">
        <w:rPr>
          <w:rStyle w:val="CRRefonteDeleted"/>
          <w:noProof/>
          <w:highlight w:val="lightGray"/>
        </w:rPr>
        <w:t>smernica Európskeho parlamentu a Rady 2005/33/ES zo 6. júla 2005, ktorou sa mení a dopĺňa smernica 1999/32/ES vzhľadom na o obsah síry v lodných palivách</w:t>
      </w:r>
      <w:r w:rsidRPr="00E8450A">
        <w:rPr>
          <w:rStyle w:val="CRRefonteDeleted"/>
          <w:noProof/>
          <w:highlight w:val="lightGray"/>
          <w:vertAlign w:val="superscript"/>
        </w:rPr>
        <w:footnoteReference w:id="48"/>
      </w:r>
      <w:r w:rsidRPr="00E8450A">
        <w:rPr>
          <w:rStyle w:val="CRRefonteDeleted"/>
          <w:noProof/>
          <w:highlight w:val="lightGray"/>
        </w:rPr>
        <w:t>;</w:t>
      </w:r>
    </w:p>
    <w:p w:rsidR="005C7768" w:rsidRPr="00E8450A" w:rsidRDefault="005C7768" w:rsidP="005C7768">
      <w:pPr>
        <w:pStyle w:val="Point0"/>
        <w:rPr>
          <w:rStyle w:val="CRRefonteDeleted"/>
          <w:noProof/>
          <w:highlight w:val="lightGray"/>
        </w:rPr>
      </w:pPr>
      <w:r w:rsidRPr="00E8450A">
        <w:rPr>
          <w:noProof/>
        </w:rPr>
        <w:tab/>
      </w:r>
      <w:r w:rsidRPr="00E8450A">
        <w:rPr>
          <w:rStyle w:val="CRRefonteDeleted"/>
          <w:noProof/>
          <w:highlight w:val="lightGray"/>
        </w:rPr>
        <w:t>13.</w:t>
      </w:r>
      <w:r w:rsidRPr="00E8450A">
        <w:rPr>
          <w:noProof/>
        </w:rPr>
        <w:tab/>
      </w:r>
      <w:r w:rsidRPr="00E8450A">
        <w:rPr>
          <w:rStyle w:val="CRRefonteDeleted"/>
          <w:noProof/>
          <w:highlight w:val="lightGray"/>
        </w:rPr>
        <w:t>smernica Európskeho parlamentu a Rady 2005/55/ES z 28. septembra 2005 o aproximácii právnych predpisov členských štátov vzťahujúcich sa na opatrenia, ktoré sa majú prijať proti emisiám plynných a tuhých znečisťujúcich látok zo vznetových motorov určených na používanie vo vozidlách a proti emisiám plynných znečisťujúcich látok zo zážihových motorov poháňaných zemným plynom alebo skvapalneným ropným plynom, určených na používanie vo vozidlách</w:t>
      </w:r>
      <w:r w:rsidRPr="00E8450A">
        <w:rPr>
          <w:rStyle w:val="CRRefonteDeleted"/>
          <w:noProof/>
          <w:highlight w:val="lightGray"/>
          <w:vertAlign w:val="superscript"/>
        </w:rPr>
        <w:footnoteReference w:id="49"/>
      </w:r>
      <w:r w:rsidRPr="00E8450A">
        <w:rPr>
          <w:rStyle w:val="CRRefonteDeleted"/>
          <w:noProof/>
          <w:highlight w:val="lightGray"/>
        </w:rPr>
        <w:t>;</w:t>
      </w:r>
    </w:p>
    <w:p w:rsidR="005C7768" w:rsidRPr="00E8450A" w:rsidRDefault="005C7768" w:rsidP="005C7768">
      <w:pPr>
        <w:pStyle w:val="Point0"/>
        <w:rPr>
          <w:rStyle w:val="CRRefonteDeleted"/>
          <w:noProof/>
          <w:highlight w:val="lightGray"/>
        </w:rPr>
      </w:pPr>
      <w:r w:rsidRPr="00E8450A">
        <w:rPr>
          <w:noProof/>
        </w:rPr>
        <w:tab/>
      </w:r>
      <w:r w:rsidRPr="00E8450A">
        <w:rPr>
          <w:rStyle w:val="CRRefonteDeleted"/>
          <w:noProof/>
          <w:highlight w:val="lightGray"/>
        </w:rPr>
        <w:t>14.</w:t>
      </w:r>
      <w:r w:rsidRPr="00E8450A">
        <w:rPr>
          <w:noProof/>
        </w:rPr>
        <w:tab/>
      </w:r>
      <w:r w:rsidRPr="00E8450A">
        <w:rPr>
          <w:rStyle w:val="CRRefonteDeleted"/>
          <w:noProof/>
          <w:highlight w:val="lightGray"/>
        </w:rPr>
        <w:t>smernica Európskeho parlamentu a Rady 2006/32/ES z 5. apríla 2006 o energetickej účinnosti konečného využitia energie a energetických službách</w:t>
      </w:r>
      <w:r w:rsidRPr="00E8450A">
        <w:rPr>
          <w:rStyle w:val="CRRefonteDeleted"/>
          <w:noProof/>
          <w:highlight w:val="lightGray"/>
          <w:vertAlign w:val="superscript"/>
        </w:rPr>
        <w:footnoteReference w:id="50"/>
      </w:r>
      <w:r w:rsidRPr="00E8450A">
        <w:rPr>
          <w:rStyle w:val="CRRefonteDeleted"/>
          <w:noProof/>
          <w:highlight w:val="lightGray"/>
        </w:rPr>
        <w:t>.</w:t>
      </w:r>
    </w:p>
    <w:p w:rsidR="005C7768" w:rsidRPr="00E8450A" w:rsidRDefault="005C7768" w:rsidP="005C7768">
      <w:pPr>
        <w:rPr>
          <w:rStyle w:val="CRRefonteDeleted"/>
          <w:noProof/>
          <w:highlight w:val="lightGray"/>
        </w:rPr>
      </w:pPr>
      <w:r w:rsidRPr="00E8450A">
        <w:rPr>
          <w:rStyle w:val="CRRefonteDeleted"/>
          <w:noProof/>
          <w:highlight w:val="lightGray"/>
        </w:rPr>
        <w:t>3.</w:t>
      </w:r>
      <w:r w:rsidRPr="00E8450A">
        <w:rPr>
          <w:noProof/>
        </w:rPr>
        <w:tab/>
      </w:r>
      <w:r w:rsidRPr="00E8450A">
        <w:rPr>
          <w:rStyle w:val="CRRefonteDeleted"/>
          <w:noProof/>
          <w:highlight w:val="lightGray"/>
        </w:rPr>
        <w:t>Informácie o všetkých opatreniach na znižovanie znečistenia ovzdušia, ktorých vykonávanie sa zvažovalo na primeranej miestnej, regionálnej a celoštátnej úrovni v súvislosti s dosahovaním cieľov kvality ovzdušia vrátane:</w:t>
      </w:r>
    </w:p>
    <w:p w:rsidR="005C7768" w:rsidRPr="00E8450A" w:rsidRDefault="005C7768" w:rsidP="005C7768">
      <w:pPr>
        <w:pStyle w:val="Point0"/>
        <w:rPr>
          <w:rStyle w:val="CRRefonteDeleted"/>
          <w:noProof/>
          <w:highlight w:val="lightGray"/>
        </w:rPr>
      </w:pPr>
      <w:r w:rsidRPr="00E8450A">
        <w:rPr>
          <w:noProof/>
        </w:rPr>
        <w:tab/>
      </w:r>
      <w:r w:rsidRPr="00E8450A">
        <w:rPr>
          <w:rStyle w:val="CRRefonteDeleted"/>
          <w:noProof/>
          <w:highlight w:val="lightGray"/>
        </w:rPr>
        <w:t>a)</w:t>
      </w:r>
      <w:r w:rsidRPr="00E8450A">
        <w:rPr>
          <w:noProof/>
        </w:rPr>
        <w:tab/>
      </w:r>
      <w:r w:rsidRPr="00E8450A">
        <w:rPr>
          <w:rStyle w:val="CRRefonteDeleted"/>
          <w:noProof/>
          <w:highlight w:val="lightGray"/>
        </w:rPr>
        <w:t>znižovania emisií zo stacionárnych zdrojov tým, že sa zabezpečí, aby boli malé a stredné stacionárne spaľovacie zdroje (vrátane spaľovní biomasy) vybavené zariadením na kontrolu emisií alebo aby boli nahradené;</w:t>
      </w:r>
    </w:p>
    <w:p w:rsidR="005C7768" w:rsidRPr="00E8450A" w:rsidRDefault="005C7768" w:rsidP="005C7768">
      <w:pPr>
        <w:pStyle w:val="Point0"/>
        <w:rPr>
          <w:rStyle w:val="CRRefonteDeleted"/>
          <w:noProof/>
          <w:highlight w:val="lightGray"/>
        </w:rPr>
      </w:pPr>
      <w:r w:rsidRPr="00E8450A">
        <w:rPr>
          <w:noProof/>
        </w:rPr>
        <w:tab/>
      </w:r>
      <w:r w:rsidRPr="00E8450A">
        <w:rPr>
          <w:rStyle w:val="CRRefonteDeleted"/>
          <w:noProof/>
          <w:highlight w:val="lightGray"/>
        </w:rPr>
        <w:t>b)</w:t>
      </w:r>
      <w:r w:rsidRPr="00E8450A">
        <w:rPr>
          <w:noProof/>
        </w:rPr>
        <w:tab/>
      </w:r>
      <w:r w:rsidRPr="00E8450A">
        <w:rPr>
          <w:rStyle w:val="CRRefonteDeleted"/>
          <w:noProof/>
          <w:highlight w:val="lightGray"/>
        </w:rPr>
        <w:t>znižovania emisií z vozidiel prostredníctvom dodatočného vybavenia zariadeniami na kontrolu emisií; malo by sa zvážiť využívanie ekonomických stimulov na urýchlené osvojenie opatrení;</w:t>
      </w:r>
    </w:p>
    <w:p w:rsidR="005C7768" w:rsidRPr="00E8450A" w:rsidRDefault="005C7768" w:rsidP="005C7768">
      <w:pPr>
        <w:pStyle w:val="Point0"/>
        <w:rPr>
          <w:rStyle w:val="CRRefonteDeleted"/>
          <w:noProof/>
          <w:highlight w:val="lightGray"/>
        </w:rPr>
      </w:pPr>
      <w:r w:rsidRPr="00E8450A">
        <w:rPr>
          <w:noProof/>
        </w:rPr>
        <w:tab/>
      </w:r>
      <w:r w:rsidRPr="00E8450A">
        <w:rPr>
          <w:rStyle w:val="CRRefonteDeleted"/>
          <w:noProof/>
          <w:highlight w:val="lightGray"/>
        </w:rPr>
        <w:t>c)</w:t>
      </w:r>
      <w:r w:rsidRPr="00E8450A">
        <w:rPr>
          <w:noProof/>
        </w:rPr>
        <w:tab/>
      </w:r>
      <w:r w:rsidRPr="00E8450A">
        <w:rPr>
          <w:rStyle w:val="CRRefonteDeleted"/>
          <w:noProof/>
          <w:highlight w:val="lightGray"/>
        </w:rPr>
        <w:t>obstarávania zo strany verejných orgánov v súlade s príručkou o environmentálnom verejnom obstarávaní, ktorého predmetom sú cestné vozidlá, palivá a spaľovacie zariadenia na zníženie emisií, vrátane nákupu:</w:t>
      </w:r>
    </w:p>
    <w:p w:rsidR="005C7768" w:rsidRPr="00E8450A" w:rsidRDefault="005C7768" w:rsidP="008B60A5">
      <w:pPr>
        <w:pStyle w:val="Tiret1"/>
        <w:numPr>
          <w:ilvl w:val="0"/>
          <w:numId w:val="29"/>
        </w:numPr>
        <w:autoSpaceDE w:val="0"/>
        <w:autoSpaceDN w:val="0"/>
        <w:ind w:left="1418" w:hanging="567"/>
        <w:rPr>
          <w:rStyle w:val="CRRefonteDeleted"/>
          <w:noProof/>
          <w:highlight w:val="lightGray"/>
        </w:rPr>
      </w:pPr>
      <w:r w:rsidRPr="00E8450A">
        <w:rPr>
          <w:rStyle w:val="CRRefonteDeleted"/>
          <w:noProof/>
          <w:highlight w:val="lightGray"/>
        </w:rPr>
        <w:t>nových vozidiel, vrátane vozidiel z nízkymi emisiami,</w:t>
      </w:r>
    </w:p>
    <w:p w:rsidR="005C7768" w:rsidRPr="00E8450A" w:rsidRDefault="005C7768" w:rsidP="008B60A5">
      <w:pPr>
        <w:pStyle w:val="Tiret1"/>
        <w:numPr>
          <w:ilvl w:val="0"/>
          <w:numId w:val="29"/>
        </w:numPr>
        <w:autoSpaceDE w:val="0"/>
        <w:autoSpaceDN w:val="0"/>
        <w:ind w:left="1418" w:hanging="567"/>
        <w:rPr>
          <w:rStyle w:val="CRRefonteDeleted"/>
          <w:noProof/>
          <w:highlight w:val="lightGray"/>
        </w:rPr>
      </w:pPr>
      <w:r w:rsidRPr="00E8450A">
        <w:rPr>
          <w:rStyle w:val="CRRefonteDeleted"/>
          <w:noProof/>
          <w:highlight w:val="lightGray"/>
        </w:rPr>
        <w:t>čistejších dopravných automobilových služieb,</w:t>
      </w:r>
    </w:p>
    <w:p w:rsidR="005C7768" w:rsidRPr="00E8450A" w:rsidRDefault="005C7768" w:rsidP="008B60A5">
      <w:pPr>
        <w:pStyle w:val="Tiret1"/>
        <w:numPr>
          <w:ilvl w:val="0"/>
          <w:numId w:val="29"/>
        </w:numPr>
        <w:autoSpaceDE w:val="0"/>
        <w:autoSpaceDN w:val="0"/>
        <w:ind w:left="1418" w:hanging="567"/>
        <w:rPr>
          <w:rStyle w:val="CRRefonteDeleted"/>
          <w:noProof/>
          <w:highlight w:val="lightGray"/>
        </w:rPr>
      </w:pPr>
      <w:r w:rsidRPr="00E8450A">
        <w:rPr>
          <w:rStyle w:val="CRRefonteDeleted"/>
          <w:noProof/>
          <w:highlight w:val="lightGray"/>
        </w:rPr>
        <w:t>nízkoemisných stacionárnych spaľovacích zdrojov,</w:t>
      </w:r>
    </w:p>
    <w:p w:rsidR="005C7768" w:rsidRPr="00E8450A" w:rsidRDefault="005C7768" w:rsidP="008B60A5">
      <w:pPr>
        <w:pStyle w:val="Tiret1"/>
        <w:numPr>
          <w:ilvl w:val="0"/>
          <w:numId w:val="29"/>
        </w:numPr>
        <w:autoSpaceDE w:val="0"/>
        <w:autoSpaceDN w:val="0"/>
        <w:ind w:left="1418" w:hanging="567"/>
        <w:rPr>
          <w:rStyle w:val="CRRefonteDeleted"/>
          <w:noProof/>
          <w:highlight w:val="lightGray"/>
        </w:rPr>
      </w:pPr>
      <w:r w:rsidRPr="00E8450A">
        <w:rPr>
          <w:rStyle w:val="CRRefonteDeleted"/>
          <w:noProof/>
          <w:highlight w:val="lightGray"/>
        </w:rPr>
        <w:t>nízkoemisných palív pre stacionárne a mobilné zdroje;</w:t>
      </w:r>
    </w:p>
    <w:p w:rsidR="005C7768" w:rsidRPr="00E8450A" w:rsidRDefault="005C7768" w:rsidP="005C7768">
      <w:pPr>
        <w:pStyle w:val="Point0"/>
        <w:rPr>
          <w:rStyle w:val="CRRefonteDeleted"/>
          <w:noProof/>
          <w:highlight w:val="lightGray"/>
        </w:rPr>
      </w:pPr>
      <w:r w:rsidRPr="00E8450A">
        <w:rPr>
          <w:noProof/>
        </w:rPr>
        <w:tab/>
      </w:r>
      <w:r w:rsidRPr="00E8450A">
        <w:rPr>
          <w:rStyle w:val="CRRefonteDeleted"/>
          <w:noProof/>
          <w:highlight w:val="lightGray"/>
        </w:rPr>
        <w:t>d)</w:t>
      </w:r>
      <w:r w:rsidRPr="00E8450A">
        <w:rPr>
          <w:noProof/>
        </w:rPr>
        <w:tab/>
      </w:r>
      <w:r w:rsidRPr="00E8450A">
        <w:rPr>
          <w:rStyle w:val="CRRefonteDeleted"/>
          <w:noProof/>
          <w:highlight w:val="lightGray"/>
        </w:rPr>
        <w:t>opatrení na obmedzenie emisií z dopravy prostredníctvom plánovania a riadenia dopravy (vrátane stanovenia poplatkov za dopravné zaťaženie, diferencovaných parkovacích poplatkov a ostatných ekonomických stimulov; zriaďovania „nízkoemisných zón“);</w:t>
      </w:r>
    </w:p>
    <w:p w:rsidR="005C7768" w:rsidRPr="00E8450A" w:rsidRDefault="005C7768" w:rsidP="005C7768">
      <w:pPr>
        <w:pStyle w:val="Point0"/>
        <w:rPr>
          <w:rStyle w:val="CRRefonteDeleted"/>
          <w:noProof/>
          <w:highlight w:val="lightGray"/>
        </w:rPr>
      </w:pPr>
      <w:r w:rsidRPr="00E8450A">
        <w:rPr>
          <w:noProof/>
        </w:rPr>
        <w:tab/>
      </w:r>
      <w:r w:rsidRPr="00E8450A">
        <w:rPr>
          <w:rStyle w:val="CRRefonteDeleted"/>
          <w:noProof/>
          <w:highlight w:val="lightGray"/>
        </w:rPr>
        <w:t>e)</w:t>
      </w:r>
      <w:r w:rsidRPr="00E8450A">
        <w:rPr>
          <w:noProof/>
        </w:rPr>
        <w:tab/>
      </w:r>
      <w:r w:rsidRPr="00E8450A">
        <w:rPr>
          <w:rStyle w:val="CRRefonteDeleted"/>
          <w:noProof/>
          <w:highlight w:val="lightGray"/>
        </w:rPr>
        <w:t>opatrení na podporu zmeny dopravy na menej znečisťujúce druhy;</w:t>
      </w:r>
    </w:p>
    <w:p w:rsidR="005C7768" w:rsidRPr="00E8450A" w:rsidRDefault="005C7768" w:rsidP="005C7768">
      <w:pPr>
        <w:pStyle w:val="Point0"/>
        <w:rPr>
          <w:rStyle w:val="CRRefonteDeleted"/>
          <w:noProof/>
          <w:highlight w:val="lightGray"/>
        </w:rPr>
      </w:pPr>
      <w:r w:rsidRPr="00E8450A">
        <w:rPr>
          <w:noProof/>
        </w:rPr>
        <w:tab/>
      </w:r>
      <w:r w:rsidRPr="00E8450A">
        <w:rPr>
          <w:rStyle w:val="CRRefonteDeleted"/>
          <w:noProof/>
          <w:highlight w:val="lightGray"/>
        </w:rPr>
        <w:t>f)</w:t>
      </w:r>
      <w:r w:rsidRPr="00E8450A">
        <w:rPr>
          <w:noProof/>
        </w:rPr>
        <w:tab/>
      </w:r>
      <w:r w:rsidRPr="00E8450A">
        <w:rPr>
          <w:rStyle w:val="CRRefonteDeleted"/>
          <w:noProof/>
          <w:highlight w:val="lightGray"/>
        </w:rPr>
        <w:t>zabezpečenia využívania nízkoemisných palív v malých, stredných a veľkých stacionárnych zdrojoch a v mobilných zdrojoch;</w:t>
      </w:r>
    </w:p>
    <w:p w:rsidR="005C7768" w:rsidRPr="00E8450A" w:rsidRDefault="005C7768" w:rsidP="005C7768">
      <w:pPr>
        <w:pStyle w:val="Point0"/>
        <w:rPr>
          <w:rStyle w:val="CRRefonteDeleted"/>
          <w:noProof/>
          <w:highlight w:val="lightGray"/>
        </w:rPr>
      </w:pPr>
      <w:r w:rsidRPr="00E8450A">
        <w:rPr>
          <w:noProof/>
        </w:rPr>
        <w:tab/>
      </w:r>
      <w:r w:rsidRPr="00E8450A">
        <w:rPr>
          <w:rStyle w:val="CRRefonteDeleted"/>
          <w:noProof/>
          <w:highlight w:val="lightGray"/>
        </w:rPr>
        <w:t>g)</w:t>
      </w:r>
      <w:r w:rsidRPr="00E8450A">
        <w:rPr>
          <w:noProof/>
        </w:rPr>
        <w:tab/>
      </w:r>
      <w:r w:rsidRPr="00E8450A">
        <w:rPr>
          <w:rStyle w:val="CRRefonteDeleted"/>
          <w:noProof/>
          <w:highlight w:val="lightGray"/>
        </w:rPr>
        <w:t>opatrení na zníženie znečistenia ovzdušia prostredníctvom systému povolení podľa smernice 2008/1/ES, národných plánov podľa smernice 2001/80/ES a prostredníctvom využívania ekonomických nástrojov, ako sú dane, poplatky alebo obchodovanie s emisiami;</w:t>
      </w:r>
    </w:p>
    <w:p w:rsidR="005C7768" w:rsidRPr="00E8450A" w:rsidRDefault="005C7768" w:rsidP="005C7768">
      <w:pPr>
        <w:pStyle w:val="Point0"/>
        <w:rPr>
          <w:rStyle w:val="CRRefonteDeleted"/>
          <w:noProof/>
          <w:highlight w:val="lightGray"/>
        </w:rPr>
      </w:pPr>
      <w:r w:rsidRPr="00E8450A">
        <w:rPr>
          <w:noProof/>
        </w:rPr>
        <w:tab/>
      </w:r>
      <w:r w:rsidRPr="00E8450A">
        <w:rPr>
          <w:rStyle w:val="CRRefonteDeleted"/>
          <w:noProof/>
          <w:highlight w:val="lightGray"/>
        </w:rPr>
        <w:t>h)</w:t>
      </w:r>
      <w:r w:rsidRPr="00E8450A">
        <w:rPr>
          <w:noProof/>
        </w:rPr>
        <w:tab/>
      </w:r>
      <w:r w:rsidRPr="00E8450A">
        <w:rPr>
          <w:rStyle w:val="CRRefonteDeleted"/>
          <w:noProof/>
          <w:highlight w:val="lightGray"/>
        </w:rPr>
        <w:t>ak je to vhodné, opatrení na ochranu zdravia detí alebo iných citlivých skupín obyvateľstva.</w:t>
      </w:r>
    </w:p>
    <w:p w:rsidR="005C7768" w:rsidRPr="00E8450A" w:rsidRDefault="005C7768" w:rsidP="005C7768">
      <w:pPr>
        <w:adjustRightInd w:val="0"/>
        <w:spacing w:before="0" w:after="0"/>
        <w:jc w:val="left"/>
        <w:rPr>
          <w:noProof/>
        </w:rPr>
        <w:sectPr w:rsidR="005C7768" w:rsidRPr="00E8450A" w:rsidSect="000A000C">
          <w:pgSz w:w="11906" w:h="16838"/>
          <w:pgMar w:top="1134" w:right="1418" w:bottom="1134" w:left="1418" w:header="709" w:footer="709" w:gutter="0"/>
          <w:cols w:space="709"/>
          <w:docGrid w:linePitch="326"/>
        </w:sectPr>
      </w:pPr>
    </w:p>
    <w:p w:rsidR="005C7768" w:rsidRPr="00E8450A" w:rsidRDefault="005C7768" w:rsidP="005C7768">
      <w:pPr>
        <w:pStyle w:val="CRSeparator"/>
        <w:rPr>
          <w:noProof/>
        </w:rPr>
      </w:pPr>
    </w:p>
    <w:p w:rsidR="005C7768" w:rsidRPr="00E8450A" w:rsidRDefault="005C7768" w:rsidP="005C7768">
      <w:pPr>
        <w:pStyle w:val="CRReference"/>
        <w:rPr>
          <w:noProof/>
        </w:rPr>
      </w:pPr>
      <w:r w:rsidRPr="00E8450A">
        <w:rPr>
          <w:noProof/>
        </w:rPr>
        <w:fldChar w:fldCharType="begin"/>
      </w:r>
      <w:r w:rsidRPr="00E8450A">
        <w:rPr>
          <w:noProof/>
        </w:rPr>
        <w:instrText xml:space="preserve"> QUOTE "ê" </w:instrText>
      </w:r>
      <w:r w:rsidRPr="00E8450A">
        <w:rPr>
          <w:noProof/>
        </w:rPr>
        <w:fldChar w:fldCharType="separate"/>
      </w:r>
      <w:r w:rsidRPr="00E8450A">
        <w:rPr>
          <w:rStyle w:val="CRMarker"/>
          <w:noProof/>
        </w:rPr>
        <w:t>ê</w:t>
      </w:r>
      <w:r w:rsidRPr="00E8450A">
        <w:rPr>
          <w:noProof/>
        </w:rPr>
        <w:fldChar w:fldCharType="end"/>
      </w:r>
      <w:r w:rsidRPr="00E8450A">
        <w:rPr>
          <w:noProof/>
        </w:rPr>
        <w:t> 2008/50/ES</w:t>
      </w:r>
    </w:p>
    <w:p w:rsidR="005C7768" w:rsidRPr="00E8450A" w:rsidRDefault="005C7768" w:rsidP="00F11FDB">
      <w:pPr>
        <w:jc w:val="center"/>
        <w:rPr>
          <w:rStyle w:val="CRRefonteDeleted"/>
          <w:b/>
          <w:noProof/>
          <w:highlight w:val="lightGray"/>
          <w:u w:val="single"/>
        </w:rPr>
      </w:pPr>
      <w:r w:rsidRPr="00E8450A">
        <w:rPr>
          <w:rStyle w:val="CRRefonteDeleted"/>
          <w:b/>
          <w:noProof/>
          <w:highlight w:val="lightGray"/>
          <w:u w:val="single"/>
        </w:rPr>
        <w:t>PRÍLOHA XVI</w:t>
      </w:r>
    </w:p>
    <w:p w:rsidR="005C7768" w:rsidRPr="00E8450A" w:rsidRDefault="005C7768" w:rsidP="005C7768">
      <w:pPr>
        <w:pStyle w:val="NormalCentered"/>
        <w:rPr>
          <w:rStyle w:val="CRRefonteDeleted"/>
          <w:noProof/>
          <w:highlight w:val="lightGray"/>
        </w:rPr>
      </w:pPr>
      <w:r w:rsidRPr="00E8450A">
        <w:rPr>
          <w:rStyle w:val="CRRefonteDeleted"/>
          <w:b/>
          <w:noProof/>
          <w:highlight w:val="lightGray"/>
        </w:rPr>
        <w:t>INFORMÁCIE PRE VEREJNOSŤ</w:t>
      </w:r>
    </w:p>
    <w:p w:rsidR="005C7768" w:rsidRPr="00E8450A" w:rsidRDefault="005C7768" w:rsidP="005C7768">
      <w:pPr>
        <w:rPr>
          <w:rStyle w:val="CRRefonteDeleted"/>
          <w:noProof/>
          <w:highlight w:val="lightGray"/>
        </w:rPr>
      </w:pPr>
      <w:r w:rsidRPr="00E8450A">
        <w:rPr>
          <w:rStyle w:val="CRRefonteDeleted"/>
          <w:noProof/>
          <w:highlight w:val="lightGray"/>
        </w:rPr>
        <w:t>1.</w:t>
      </w:r>
      <w:r w:rsidRPr="00E8450A">
        <w:rPr>
          <w:noProof/>
        </w:rPr>
        <w:tab/>
      </w:r>
      <w:r w:rsidRPr="00E8450A">
        <w:rPr>
          <w:rStyle w:val="CRRefonteDeleted"/>
          <w:noProof/>
          <w:highlight w:val="lightGray"/>
        </w:rPr>
        <w:t>Členské štáty zabezpečia, aby sa aktuálne informácie o koncentráciách znečisťujúcich látok v okolitom ovzduší, na ktoré sa vzťahuje táto smernica, bežne sprístupňovali verejnosti.</w:t>
      </w:r>
    </w:p>
    <w:p w:rsidR="005C7768" w:rsidRPr="00E8450A" w:rsidRDefault="005C7768" w:rsidP="005C7768">
      <w:pPr>
        <w:rPr>
          <w:rStyle w:val="CRRefonteDeleted"/>
          <w:noProof/>
          <w:highlight w:val="lightGray"/>
        </w:rPr>
      </w:pPr>
      <w:r w:rsidRPr="00E8450A">
        <w:rPr>
          <w:rStyle w:val="CRRefonteDeleted"/>
          <w:noProof/>
          <w:highlight w:val="lightGray"/>
        </w:rPr>
        <w:t>2.</w:t>
      </w:r>
      <w:r w:rsidRPr="00E8450A">
        <w:rPr>
          <w:noProof/>
        </w:rPr>
        <w:tab/>
      </w:r>
      <w:r w:rsidRPr="00E8450A">
        <w:rPr>
          <w:rStyle w:val="CRRefonteDeleted"/>
          <w:noProof/>
          <w:highlight w:val="lightGray"/>
        </w:rPr>
        <w:t>Poskytnuté koncentrácie v okolitom ovzduší sa oznámia vo forme priemerných hodnôt v rámci príslušného priemerovaného obdobia, ako je ustanovené v prílohe VII a v prílohách XI až XIV. Informácie uvádzajú aspoň všetky úrovne prekračujúce ciele kvality ovzdušia vrátane limitných hodnôt, cieľových hodnôt, výstražných prahov, informačných prahov alebo dlhodobých cieľov pre regulované znečisťujúce látky. Poskytnú aj krátke hodnotenie v súvislosti s cieľmi kvality ovzdušia a vhodné informácie o vplyvoch na zdravie, prípadne na vegetáciu.</w:t>
      </w:r>
    </w:p>
    <w:p w:rsidR="005C7768" w:rsidRPr="00E8450A" w:rsidRDefault="005C7768" w:rsidP="005C7768">
      <w:pPr>
        <w:rPr>
          <w:rStyle w:val="CRRefonteDeleted"/>
          <w:noProof/>
          <w:highlight w:val="lightGray"/>
        </w:rPr>
      </w:pPr>
      <w:r w:rsidRPr="00E8450A">
        <w:rPr>
          <w:rStyle w:val="CRRefonteDeleted"/>
          <w:noProof/>
          <w:highlight w:val="lightGray"/>
        </w:rPr>
        <w:t>3.</w:t>
      </w:r>
      <w:r w:rsidRPr="00E8450A">
        <w:rPr>
          <w:noProof/>
        </w:rPr>
        <w:tab/>
      </w:r>
      <w:r w:rsidRPr="00E8450A">
        <w:rPr>
          <w:rStyle w:val="CRRefonteDeleted"/>
          <w:noProof/>
          <w:highlight w:val="lightGray"/>
        </w:rPr>
        <w:t>Informácie o koncentráciách oxidu siričitého, oxidu dusičitého, suspendovaných častíc (aspoň PM</w:t>
      </w:r>
      <w:r w:rsidRPr="00E8450A">
        <w:rPr>
          <w:rStyle w:val="CRRefonteDeleted"/>
          <w:noProof/>
          <w:highlight w:val="lightGray"/>
          <w:vertAlign w:val="subscript"/>
        </w:rPr>
        <w:t>10</w:t>
      </w:r>
      <w:r w:rsidRPr="00E8450A">
        <w:rPr>
          <w:rStyle w:val="CRRefonteDeleted"/>
          <w:noProof/>
          <w:highlight w:val="lightGray"/>
        </w:rPr>
        <w:t>), ozónu a oxidu uhoľnatého v okolitom ovzduší sa aktualizujú aspoň raz denne, a ak je to možné, aktualizujú sa každú hodinu. Informácie o koncentráciách olova a benzénu v okolitom ovzduší uvádzané ako priemerná hodnota za posledných 12 mesiacov sa aktualizujú každé tri mesiace, a ak je to možné, každý mesiac.</w:t>
      </w:r>
    </w:p>
    <w:p w:rsidR="005C7768" w:rsidRPr="00E8450A" w:rsidRDefault="005C7768" w:rsidP="005C7768">
      <w:pPr>
        <w:rPr>
          <w:rStyle w:val="CRRefonteDeleted"/>
          <w:noProof/>
          <w:highlight w:val="lightGray"/>
        </w:rPr>
      </w:pPr>
      <w:r w:rsidRPr="00E8450A">
        <w:rPr>
          <w:rStyle w:val="CRRefonteDeleted"/>
          <w:noProof/>
          <w:highlight w:val="lightGray"/>
        </w:rPr>
        <w:t>4.</w:t>
      </w:r>
      <w:r w:rsidRPr="00E8450A">
        <w:rPr>
          <w:noProof/>
        </w:rPr>
        <w:tab/>
      </w:r>
      <w:r w:rsidRPr="00E8450A">
        <w:rPr>
          <w:rStyle w:val="CRRefonteDeleted"/>
          <w:noProof/>
          <w:highlight w:val="lightGray"/>
        </w:rPr>
        <w:t>Členské štáty zabezpečia, aby sa verejnosti poskytovali včasné informácie o skutočných alebo predpokladaných prekročeniach výstražných prahov a akýchkoľvek informačných prahov. Poskytované údaje obsahujú aspoň tieto informácie:</w:t>
      </w:r>
    </w:p>
    <w:p w:rsidR="005C7768" w:rsidRPr="00E8450A" w:rsidRDefault="005C7768" w:rsidP="005C7768">
      <w:pPr>
        <w:pStyle w:val="Point0"/>
        <w:rPr>
          <w:rStyle w:val="CRRefonteDeleted"/>
          <w:noProof/>
          <w:highlight w:val="lightGray"/>
        </w:rPr>
      </w:pPr>
      <w:r w:rsidRPr="00E8450A">
        <w:rPr>
          <w:noProof/>
        </w:rPr>
        <w:tab/>
      </w:r>
      <w:r w:rsidRPr="00E8450A">
        <w:rPr>
          <w:rStyle w:val="CRRefonteDeleted"/>
          <w:noProof/>
          <w:highlight w:val="lightGray"/>
        </w:rPr>
        <w:t>a)</w:t>
      </w:r>
      <w:r w:rsidRPr="00E8450A">
        <w:rPr>
          <w:noProof/>
        </w:rPr>
        <w:tab/>
      </w:r>
      <w:r w:rsidRPr="00E8450A">
        <w:rPr>
          <w:rStyle w:val="CRRefonteDeleted"/>
          <w:noProof/>
          <w:highlight w:val="lightGray"/>
        </w:rPr>
        <w:t>informácie o pozorovaných prekročeniach:</w:t>
      </w:r>
    </w:p>
    <w:p w:rsidR="005C7768" w:rsidRPr="00E8450A" w:rsidRDefault="005C7768" w:rsidP="008B60A5">
      <w:pPr>
        <w:pStyle w:val="Tiret1"/>
        <w:numPr>
          <w:ilvl w:val="0"/>
          <w:numId w:val="29"/>
        </w:numPr>
        <w:autoSpaceDE w:val="0"/>
        <w:autoSpaceDN w:val="0"/>
        <w:ind w:left="1418" w:hanging="567"/>
        <w:rPr>
          <w:rStyle w:val="CRRefonteDeleted"/>
          <w:noProof/>
          <w:highlight w:val="lightGray"/>
        </w:rPr>
      </w:pPr>
      <w:r w:rsidRPr="00E8450A">
        <w:rPr>
          <w:rStyle w:val="CRRefonteDeleted"/>
          <w:noProof/>
          <w:highlight w:val="lightGray"/>
        </w:rPr>
        <w:t>miesto alebo oblasť prekročenia,</w:t>
      </w:r>
    </w:p>
    <w:p w:rsidR="005C7768" w:rsidRPr="00E8450A" w:rsidRDefault="005C7768" w:rsidP="008B60A5">
      <w:pPr>
        <w:pStyle w:val="Tiret1"/>
        <w:numPr>
          <w:ilvl w:val="0"/>
          <w:numId w:val="29"/>
        </w:numPr>
        <w:autoSpaceDE w:val="0"/>
        <w:autoSpaceDN w:val="0"/>
        <w:ind w:left="1418" w:hanging="567"/>
        <w:rPr>
          <w:rStyle w:val="CRRefonteDeleted"/>
          <w:noProof/>
          <w:highlight w:val="lightGray"/>
        </w:rPr>
      </w:pPr>
      <w:r w:rsidRPr="00E8450A">
        <w:rPr>
          <w:rStyle w:val="CRRefonteDeleted"/>
          <w:noProof/>
          <w:highlight w:val="lightGray"/>
        </w:rPr>
        <w:t>druh prekročeného prahu (informačný alebo výstražný),</w:t>
      </w:r>
    </w:p>
    <w:p w:rsidR="005C7768" w:rsidRPr="00E8450A" w:rsidRDefault="005C7768" w:rsidP="008B60A5">
      <w:pPr>
        <w:pStyle w:val="Tiret1"/>
        <w:numPr>
          <w:ilvl w:val="0"/>
          <w:numId w:val="29"/>
        </w:numPr>
        <w:autoSpaceDE w:val="0"/>
        <w:autoSpaceDN w:val="0"/>
        <w:ind w:left="1418" w:hanging="567"/>
        <w:rPr>
          <w:rStyle w:val="CRRefonteDeleted"/>
          <w:noProof/>
          <w:highlight w:val="lightGray"/>
        </w:rPr>
      </w:pPr>
      <w:r w:rsidRPr="00E8450A">
        <w:rPr>
          <w:rStyle w:val="CRRefonteDeleted"/>
          <w:noProof/>
          <w:highlight w:val="lightGray"/>
        </w:rPr>
        <w:t>čas začiatku a trvanie prekročenia,</w:t>
      </w:r>
    </w:p>
    <w:p w:rsidR="005C7768" w:rsidRPr="00E8450A" w:rsidRDefault="005C7768" w:rsidP="008B60A5">
      <w:pPr>
        <w:pStyle w:val="Tiret1"/>
        <w:numPr>
          <w:ilvl w:val="0"/>
          <w:numId w:val="29"/>
        </w:numPr>
        <w:autoSpaceDE w:val="0"/>
        <w:autoSpaceDN w:val="0"/>
        <w:ind w:left="1418" w:hanging="567"/>
        <w:rPr>
          <w:rStyle w:val="CRRefonteDeleted"/>
          <w:noProof/>
          <w:highlight w:val="lightGray"/>
        </w:rPr>
      </w:pPr>
      <w:r w:rsidRPr="00E8450A">
        <w:rPr>
          <w:rStyle w:val="CRRefonteDeleted"/>
          <w:noProof/>
          <w:highlight w:val="lightGray"/>
        </w:rPr>
        <w:t>najvyššiu 1-hodinovú koncentráciu a v prípade ozónu aj najvyššiu 8-hodinovú strednú hodnotu koncentrácie;</w:t>
      </w:r>
    </w:p>
    <w:p w:rsidR="005C7768" w:rsidRPr="00E8450A" w:rsidRDefault="005C7768" w:rsidP="005C7768">
      <w:pPr>
        <w:pStyle w:val="Point0"/>
        <w:rPr>
          <w:rStyle w:val="CRRefonteDeleted"/>
          <w:noProof/>
          <w:highlight w:val="lightGray"/>
        </w:rPr>
      </w:pPr>
      <w:r w:rsidRPr="00E8450A">
        <w:rPr>
          <w:noProof/>
        </w:rPr>
        <w:tab/>
      </w:r>
      <w:r w:rsidRPr="00E8450A">
        <w:rPr>
          <w:rStyle w:val="CRRefonteDeleted"/>
          <w:noProof/>
          <w:highlight w:val="lightGray"/>
        </w:rPr>
        <w:t>b)</w:t>
      </w:r>
      <w:r w:rsidRPr="00E8450A">
        <w:rPr>
          <w:noProof/>
        </w:rPr>
        <w:tab/>
      </w:r>
      <w:r w:rsidRPr="00E8450A">
        <w:rPr>
          <w:rStyle w:val="CRRefonteDeleted"/>
          <w:noProof/>
          <w:highlight w:val="lightGray"/>
        </w:rPr>
        <w:t>predpoveď na nasledujúce popoludnie/deň (dni):</w:t>
      </w:r>
    </w:p>
    <w:p w:rsidR="005C7768" w:rsidRPr="00E8450A" w:rsidRDefault="005C7768" w:rsidP="008B60A5">
      <w:pPr>
        <w:pStyle w:val="Tiret1"/>
        <w:numPr>
          <w:ilvl w:val="0"/>
          <w:numId w:val="29"/>
        </w:numPr>
        <w:autoSpaceDE w:val="0"/>
        <w:autoSpaceDN w:val="0"/>
        <w:ind w:left="1418" w:hanging="567"/>
        <w:rPr>
          <w:rStyle w:val="CRRefonteDeleted"/>
          <w:noProof/>
          <w:highlight w:val="lightGray"/>
        </w:rPr>
      </w:pPr>
      <w:r w:rsidRPr="00E8450A">
        <w:rPr>
          <w:rStyle w:val="CRRefonteDeleted"/>
          <w:noProof/>
          <w:highlight w:val="lightGray"/>
        </w:rPr>
        <w:t>zemepisnú oblasť očakávaných prekročení informačného a/alebo výstražného prahu,</w:t>
      </w:r>
    </w:p>
    <w:p w:rsidR="005C7768" w:rsidRPr="00E8450A" w:rsidRDefault="005C7768" w:rsidP="008B60A5">
      <w:pPr>
        <w:pStyle w:val="Tiret1"/>
        <w:numPr>
          <w:ilvl w:val="0"/>
          <w:numId w:val="29"/>
        </w:numPr>
        <w:autoSpaceDE w:val="0"/>
        <w:autoSpaceDN w:val="0"/>
        <w:ind w:left="1418" w:hanging="567"/>
        <w:rPr>
          <w:rStyle w:val="CRRefonteDeleted"/>
          <w:noProof/>
          <w:highlight w:val="lightGray"/>
        </w:rPr>
      </w:pPr>
      <w:r w:rsidRPr="00E8450A">
        <w:rPr>
          <w:rStyle w:val="CRRefonteDeleted"/>
          <w:noProof/>
          <w:highlight w:val="lightGray"/>
        </w:rPr>
        <w:t>predpokladané zmeny znečistenia (zlepšenie, stabilizácia alebo zhoršenie) spolu s dôvodmi týchto zmien;</w:t>
      </w:r>
    </w:p>
    <w:p w:rsidR="005C7768" w:rsidRPr="00E8450A" w:rsidRDefault="005C7768" w:rsidP="005C7768">
      <w:pPr>
        <w:pStyle w:val="Point0"/>
        <w:rPr>
          <w:rStyle w:val="CRRefonteDeleted"/>
          <w:noProof/>
          <w:highlight w:val="lightGray"/>
        </w:rPr>
      </w:pPr>
      <w:r w:rsidRPr="00E8450A">
        <w:rPr>
          <w:noProof/>
        </w:rPr>
        <w:tab/>
      </w:r>
      <w:r w:rsidRPr="00E8450A">
        <w:rPr>
          <w:rStyle w:val="CRRefonteDeleted"/>
          <w:noProof/>
          <w:highlight w:val="lightGray"/>
        </w:rPr>
        <w:t>c)</w:t>
      </w:r>
      <w:r w:rsidRPr="00E8450A">
        <w:rPr>
          <w:noProof/>
        </w:rPr>
        <w:tab/>
      </w:r>
      <w:r w:rsidRPr="00E8450A">
        <w:rPr>
          <w:rStyle w:val="CRRefonteDeleted"/>
          <w:noProof/>
          <w:highlight w:val="lightGray"/>
        </w:rPr>
        <w:t>informácie o type dotknutého obyvateľstva, možných vplyvoch na zdravie a odporúčanom správaní:</w:t>
      </w:r>
    </w:p>
    <w:p w:rsidR="005C7768" w:rsidRPr="00E8450A" w:rsidRDefault="005C7768" w:rsidP="008B60A5">
      <w:pPr>
        <w:pStyle w:val="Tiret1"/>
        <w:numPr>
          <w:ilvl w:val="0"/>
          <w:numId w:val="29"/>
        </w:numPr>
        <w:autoSpaceDE w:val="0"/>
        <w:autoSpaceDN w:val="0"/>
        <w:ind w:left="1418" w:hanging="567"/>
        <w:rPr>
          <w:rStyle w:val="CRRefonteDeleted"/>
          <w:noProof/>
          <w:highlight w:val="lightGray"/>
        </w:rPr>
      </w:pPr>
      <w:r w:rsidRPr="00E8450A">
        <w:rPr>
          <w:rStyle w:val="CRRefonteDeleted"/>
          <w:noProof/>
          <w:highlight w:val="lightGray"/>
        </w:rPr>
        <w:t>informácie o ohrozených skupinách obyvateľstva,</w:t>
      </w:r>
    </w:p>
    <w:p w:rsidR="005C7768" w:rsidRPr="00E8450A" w:rsidRDefault="005C7768" w:rsidP="008B60A5">
      <w:pPr>
        <w:pStyle w:val="Tiret1"/>
        <w:numPr>
          <w:ilvl w:val="0"/>
          <w:numId w:val="29"/>
        </w:numPr>
        <w:autoSpaceDE w:val="0"/>
        <w:autoSpaceDN w:val="0"/>
        <w:ind w:left="1418" w:hanging="567"/>
        <w:rPr>
          <w:rStyle w:val="CRRefonteDeleted"/>
          <w:noProof/>
          <w:highlight w:val="lightGray"/>
        </w:rPr>
      </w:pPr>
      <w:r w:rsidRPr="00E8450A">
        <w:rPr>
          <w:rStyle w:val="CRRefonteDeleted"/>
          <w:noProof/>
          <w:highlight w:val="lightGray"/>
        </w:rPr>
        <w:t>opis pravdepodobných príznakov,</w:t>
      </w:r>
    </w:p>
    <w:p w:rsidR="005C7768" w:rsidRPr="00E8450A" w:rsidRDefault="005C7768" w:rsidP="008B60A5">
      <w:pPr>
        <w:pStyle w:val="Tiret1"/>
        <w:numPr>
          <w:ilvl w:val="0"/>
          <w:numId w:val="29"/>
        </w:numPr>
        <w:autoSpaceDE w:val="0"/>
        <w:autoSpaceDN w:val="0"/>
        <w:ind w:left="1418" w:hanging="567"/>
        <w:rPr>
          <w:rStyle w:val="CRRefonteDeleted"/>
          <w:noProof/>
          <w:highlight w:val="lightGray"/>
        </w:rPr>
      </w:pPr>
      <w:r w:rsidRPr="00E8450A">
        <w:rPr>
          <w:rStyle w:val="CRRefonteDeleted"/>
          <w:noProof/>
          <w:highlight w:val="lightGray"/>
        </w:rPr>
        <w:t>odporúčané predbežné opatrenia, ktoré by malo prijať dotknuté obyvateľstvo,</w:t>
      </w:r>
    </w:p>
    <w:p w:rsidR="005C7768" w:rsidRPr="00E8450A" w:rsidRDefault="005C7768" w:rsidP="008B60A5">
      <w:pPr>
        <w:pStyle w:val="Tiret1"/>
        <w:numPr>
          <w:ilvl w:val="0"/>
          <w:numId w:val="29"/>
        </w:numPr>
        <w:autoSpaceDE w:val="0"/>
        <w:autoSpaceDN w:val="0"/>
        <w:ind w:left="1418" w:hanging="567"/>
        <w:rPr>
          <w:rStyle w:val="CRRefonteDeleted"/>
          <w:noProof/>
          <w:highlight w:val="lightGray"/>
        </w:rPr>
      </w:pPr>
      <w:r w:rsidRPr="00E8450A">
        <w:rPr>
          <w:rStyle w:val="CRRefonteDeleted"/>
          <w:noProof/>
          <w:highlight w:val="lightGray"/>
        </w:rPr>
        <w:t>kde je možné nájsť ďalšie informácie;</w:t>
      </w:r>
    </w:p>
    <w:p w:rsidR="005C7768" w:rsidRPr="00E8450A" w:rsidRDefault="005C7768" w:rsidP="005C7768">
      <w:pPr>
        <w:pStyle w:val="Point0"/>
        <w:rPr>
          <w:rStyle w:val="CRRefonteDeleted"/>
          <w:noProof/>
          <w:highlight w:val="lightGray"/>
        </w:rPr>
      </w:pPr>
      <w:r w:rsidRPr="00E8450A">
        <w:rPr>
          <w:noProof/>
        </w:rPr>
        <w:tab/>
      </w:r>
      <w:r w:rsidRPr="00E8450A">
        <w:rPr>
          <w:rStyle w:val="CRRefonteDeleted"/>
          <w:noProof/>
          <w:highlight w:val="lightGray"/>
        </w:rPr>
        <w:t>d)</w:t>
      </w:r>
      <w:r w:rsidRPr="00E8450A">
        <w:rPr>
          <w:noProof/>
        </w:rPr>
        <w:tab/>
      </w:r>
      <w:r w:rsidRPr="00E8450A">
        <w:rPr>
          <w:rStyle w:val="CRRefonteDeleted"/>
          <w:noProof/>
          <w:highlight w:val="lightGray"/>
        </w:rPr>
        <w:t>informácie o preventívnych opatreniach na zníženie znečistenia a/alebo expozície tomuto znečisteniu: označenie odvetví s hlavnými zdrojmi, odporúčania opatrení na zníženie emisií;</w:t>
      </w:r>
    </w:p>
    <w:p w:rsidR="005C7768" w:rsidRPr="00E8450A" w:rsidRDefault="005C7768" w:rsidP="005C7768">
      <w:pPr>
        <w:pStyle w:val="Point0"/>
        <w:rPr>
          <w:rStyle w:val="CRRefonteDeleted"/>
          <w:noProof/>
          <w:highlight w:val="lightGray"/>
        </w:rPr>
      </w:pPr>
      <w:r w:rsidRPr="00E8450A">
        <w:rPr>
          <w:noProof/>
        </w:rPr>
        <w:tab/>
      </w:r>
      <w:r w:rsidRPr="00E8450A">
        <w:rPr>
          <w:rStyle w:val="CRRefonteDeleted"/>
          <w:noProof/>
          <w:highlight w:val="lightGray"/>
        </w:rPr>
        <w:t>e)</w:t>
      </w:r>
      <w:r w:rsidRPr="00E8450A">
        <w:rPr>
          <w:noProof/>
        </w:rPr>
        <w:tab/>
      </w:r>
      <w:r w:rsidRPr="00E8450A">
        <w:rPr>
          <w:rStyle w:val="CRRefonteDeleted"/>
          <w:noProof/>
          <w:highlight w:val="lightGray"/>
        </w:rPr>
        <w:t>v prípade predpovedaných prekročení podnikne členský štát kroky na zabezpečenie poskytovania údajov v uskutočniteľnom rozsahu.</w:t>
      </w:r>
    </w:p>
    <w:p w:rsidR="005C7768" w:rsidRPr="00E8450A" w:rsidRDefault="005C7768" w:rsidP="005C7768">
      <w:pPr>
        <w:adjustRightInd w:val="0"/>
        <w:spacing w:before="0" w:after="0"/>
        <w:jc w:val="left"/>
        <w:rPr>
          <w:noProof/>
        </w:rPr>
        <w:sectPr w:rsidR="005C7768" w:rsidRPr="00E8450A" w:rsidSect="000A000C">
          <w:pgSz w:w="11906" w:h="16838"/>
          <w:pgMar w:top="1134" w:right="1418" w:bottom="1134" w:left="1418" w:header="709" w:footer="709" w:gutter="0"/>
          <w:cols w:space="709"/>
          <w:docGrid w:linePitch="326"/>
        </w:sectPr>
      </w:pPr>
    </w:p>
    <w:p w:rsidR="005C7768" w:rsidRPr="00E8450A" w:rsidRDefault="005C7768" w:rsidP="005C7768">
      <w:pPr>
        <w:pStyle w:val="CRSeparator"/>
        <w:rPr>
          <w:noProof/>
        </w:rPr>
      </w:pPr>
    </w:p>
    <w:p w:rsidR="005C7768" w:rsidRPr="00E8450A" w:rsidRDefault="005C7768" w:rsidP="005C7768">
      <w:pPr>
        <w:pStyle w:val="CRReference"/>
        <w:rPr>
          <w:noProof/>
        </w:rPr>
      </w:pPr>
      <w:r w:rsidRPr="00E8450A">
        <w:rPr>
          <w:noProof/>
        </w:rPr>
        <w:fldChar w:fldCharType="begin"/>
      </w:r>
      <w:r w:rsidRPr="00E8450A">
        <w:rPr>
          <w:noProof/>
        </w:rPr>
        <w:instrText xml:space="preserve"> QUOTE "ê" </w:instrText>
      </w:r>
      <w:r w:rsidRPr="00E8450A">
        <w:rPr>
          <w:noProof/>
        </w:rPr>
        <w:fldChar w:fldCharType="separate"/>
      </w:r>
      <w:r w:rsidRPr="00E8450A">
        <w:rPr>
          <w:rStyle w:val="CRMarker"/>
          <w:noProof/>
        </w:rPr>
        <w:t>ê</w:t>
      </w:r>
      <w:r w:rsidRPr="00E8450A">
        <w:rPr>
          <w:noProof/>
        </w:rPr>
        <w:fldChar w:fldCharType="end"/>
      </w:r>
      <w:r w:rsidRPr="00E8450A">
        <w:rPr>
          <w:noProof/>
        </w:rPr>
        <w:t xml:space="preserve"> 2008/50 (prispôsobené)</w:t>
      </w:r>
    </w:p>
    <w:p w:rsidR="005C7768" w:rsidRPr="00E8450A" w:rsidRDefault="005C7768" w:rsidP="00F11FDB">
      <w:pPr>
        <w:jc w:val="center"/>
        <w:rPr>
          <w:b/>
          <w:noProof/>
          <w:u w:val="single"/>
        </w:rPr>
      </w:pPr>
      <w:r w:rsidRPr="00E8450A">
        <w:rPr>
          <w:rStyle w:val="CRDeleted"/>
          <w:b/>
          <w:noProof/>
          <w:u w:val="single"/>
        </w:rPr>
        <w:t>PRÍLOHA XVII</w:t>
      </w:r>
    </w:p>
    <w:p w:rsidR="005C7768" w:rsidRPr="00E8450A" w:rsidRDefault="005C7768" w:rsidP="005C7768">
      <w:pPr>
        <w:pStyle w:val="NormalCentered"/>
        <w:rPr>
          <w:b/>
          <w:bCs/>
          <w:noProof/>
        </w:rPr>
      </w:pPr>
      <w:r w:rsidRPr="00E8450A">
        <w:rPr>
          <w:rStyle w:val="CRDeleted"/>
          <w:b/>
          <w:noProof/>
        </w:rPr>
        <w:t>TABUĽKA ZHODY</w:t>
      </w:r>
    </w:p>
    <w:tbl>
      <w:tblPr>
        <w:tblW w:w="0" w:type="auto"/>
        <w:tblLayout w:type="fixed"/>
        <w:tblLook w:val="0000" w:firstRow="0" w:lastRow="0" w:firstColumn="0" w:lastColumn="0" w:noHBand="0" w:noVBand="0"/>
      </w:tblPr>
      <w:tblGrid>
        <w:gridCol w:w="2136"/>
        <w:gridCol w:w="1764"/>
        <w:gridCol w:w="1950"/>
        <w:gridCol w:w="1765"/>
        <w:gridCol w:w="1671"/>
      </w:tblGrid>
      <w:tr w:rsidR="005C7768" w:rsidRPr="00E8450A" w:rsidTr="00335440">
        <w:tc>
          <w:tcPr>
            <w:tcW w:w="2136"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Centered"/>
              <w:rPr>
                <w:noProof/>
              </w:rPr>
            </w:pPr>
            <w:r w:rsidRPr="00E8450A">
              <w:rPr>
                <w:rStyle w:val="CRDeleted"/>
                <w:noProof/>
              </w:rPr>
              <w:t>Táto smernica</w:t>
            </w:r>
          </w:p>
        </w:tc>
        <w:tc>
          <w:tcPr>
            <w:tcW w:w="1764"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Centered"/>
              <w:rPr>
                <w:noProof/>
              </w:rPr>
            </w:pPr>
            <w:r w:rsidRPr="00E8450A">
              <w:rPr>
                <w:rStyle w:val="CRDeleted"/>
                <w:noProof/>
              </w:rPr>
              <w:t>Smernica 96/62/ES</w:t>
            </w:r>
          </w:p>
        </w:tc>
        <w:tc>
          <w:tcPr>
            <w:tcW w:w="1950"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Centered"/>
              <w:rPr>
                <w:noProof/>
              </w:rPr>
            </w:pPr>
            <w:r w:rsidRPr="00E8450A">
              <w:rPr>
                <w:rStyle w:val="CRDeleted"/>
                <w:noProof/>
              </w:rPr>
              <w:t>Smernica 1999/30/ES</w:t>
            </w:r>
          </w:p>
        </w:tc>
        <w:tc>
          <w:tcPr>
            <w:tcW w:w="1765"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Centered"/>
              <w:rPr>
                <w:noProof/>
              </w:rPr>
            </w:pPr>
            <w:r w:rsidRPr="00E8450A">
              <w:rPr>
                <w:rStyle w:val="CRDeleted"/>
                <w:noProof/>
              </w:rPr>
              <w:t>Smernica 2000/69/ES</w:t>
            </w:r>
          </w:p>
        </w:tc>
        <w:tc>
          <w:tcPr>
            <w:tcW w:w="1671"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Centered"/>
              <w:rPr>
                <w:noProof/>
              </w:rPr>
            </w:pPr>
            <w:r w:rsidRPr="00E8450A">
              <w:rPr>
                <w:rStyle w:val="CRDeleted"/>
                <w:noProof/>
              </w:rPr>
              <w:t>Smernica 2002/3/ES</w:t>
            </w:r>
          </w:p>
        </w:tc>
      </w:tr>
      <w:tr w:rsidR="005C7768" w:rsidRPr="00E8450A" w:rsidTr="00335440">
        <w:tc>
          <w:tcPr>
            <w:tcW w:w="2136"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článok 1</w:t>
            </w:r>
          </w:p>
        </w:tc>
        <w:tc>
          <w:tcPr>
            <w:tcW w:w="1764"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článok 1</w:t>
            </w:r>
          </w:p>
        </w:tc>
        <w:tc>
          <w:tcPr>
            <w:tcW w:w="1950"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článok 1</w:t>
            </w:r>
          </w:p>
        </w:tc>
        <w:tc>
          <w:tcPr>
            <w:tcW w:w="1765"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článok 1</w:t>
            </w:r>
          </w:p>
        </w:tc>
        <w:tc>
          <w:tcPr>
            <w:tcW w:w="1671"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článok 1</w:t>
            </w:r>
          </w:p>
        </w:tc>
      </w:tr>
      <w:tr w:rsidR="005C7768" w:rsidRPr="00E8450A" w:rsidTr="00335440">
        <w:tc>
          <w:tcPr>
            <w:tcW w:w="2136"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článok 2 ods. 1 až 5</w:t>
            </w:r>
          </w:p>
        </w:tc>
        <w:tc>
          <w:tcPr>
            <w:tcW w:w="1764"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článok 2 ods. 1 až 5</w:t>
            </w:r>
          </w:p>
        </w:tc>
        <w:tc>
          <w:tcPr>
            <w:tcW w:w="1950"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w:t>
            </w:r>
          </w:p>
        </w:tc>
        <w:tc>
          <w:tcPr>
            <w:tcW w:w="1765"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w:t>
            </w:r>
          </w:p>
        </w:tc>
        <w:tc>
          <w:tcPr>
            <w:tcW w:w="1671"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w:t>
            </w:r>
          </w:p>
        </w:tc>
      </w:tr>
      <w:tr w:rsidR="005C7768" w:rsidRPr="00E8450A" w:rsidTr="00335440">
        <w:tc>
          <w:tcPr>
            <w:tcW w:w="2136"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článok 2 ods. 6 a 7</w:t>
            </w:r>
          </w:p>
        </w:tc>
        <w:tc>
          <w:tcPr>
            <w:tcW w:w="1764"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w:t>
            </w:r>
          </w:p>
        </w:tc>
        <w:tc>
          <w:tcPr>
            <w:tcW w:w="1950"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w:t>
            </w:r>
          </w:p>
        </w:tc>
        <w:tc>
          <w:tcPr>
            <w:tcW w:w="1765"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w:t>
            </w:r>
          </w:p>
        </w:tc>
        <w:tc>
          <w:tcPr>
            <w:tcW w:w="1671"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w:t>
            </w:r>
          </w:p>
        </w:tc>
      </w:tr>
      <w:tr w:rsidR="005C7768" w:rsidRPr="00E8450A" w:rsidTr="00335440">
        <w:tc>
          <w:tcPr>
            <w:tcW w:w="2136"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článok 2 ods. 8</w:t>
            </w:r>
          </w:p>
        </w:tc>
        <w:tc>
          <w:tcPr>
            <w:tcW w:w="1764"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článok 2 ods. 8</w:t>
            </w:r>
          </w:p>
        </w:tc>
        <w:tc>
          <w:tcPr>
            <w:tcW w:w="1950"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článok 2 ods. 7</w:t>
            </w:r>
          </w:p>
        </w:tc>
        <w:tc>
          <w:tcPr>
            <w:tcW w:w="1765"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w:t>
            </w:r>
          </w:p>
        </w:tc>
        <w:tc>
          <w:tcPr>
            <w:tcW w:w="1671"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w:t>
            </w:r>
          </w:p>
        </w:tc>
      </w:tr>
      <w:tr w:rsidR="005C7768" w:rsidRPr="00E8450A" w:rsidTr="00335440">
        <w:tc>
          <w:tcPr>
            <w:tcW w:w="2136"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článok 2 ods. 9</w:t>
            </w:r>
          </w:p>
        </w:tc>
        <w:tc>
          <w:tcPr>
            <w:tcW w:w="1764"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článok 2 ods. 6</w:t>
            </w:r>
          </w:p>
        </w:tc>
        <w:tc>
          <w:tcPr>
            <w:tcW w:w="1950"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w:t>
            </w:r>
          </w:p>
        </w:tc>
        <w:tc>
          <w:tcPr>
            <w:tcW w:w="1765"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w:t>
            </w:r>
          </w:p>
        </w:tc>
        <w:tc>
          <w:tcPr>
            <w:tcW w:w="1671"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článok 2 ods. 9</w:t>
            </w:r>
          </w:p>
        </w:tc>
      </w:tr>
      <w:tr w:rsidR="005C7768" w:rsidRPr="00E8450A" w:rsidTr="00335440">
        <w:tc>
          <w:tcPr>
            <w:tcW w:w="2136"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článok 2 ods. 10</w:t>
            </w:r>
          </w:p>
        </w:tc>
        <w:tc>
          <w:tcPr>
            <w:tcW w:w="1764"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článok 2 ods. 7</w:t>
            </w:r>
          </w:p>
        </w:tc>
        <w:tc>
          <w:tcPr>
            <w:tcW w:w="1950"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článok 2 ods. 6</w:t>
            </w:r>
          </w:p>
        </w:tc>
        <w:tc>
          <w:tcPr>
            <w:tcW w:w="1765"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w:t>
            </w:r>
          </w:p>
        </w:tc>
        <w:tc>
          <w:tcPr>
            <w:tcW w:w="1671"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článok 2 ods. 11</w:t>
            </w:r>
          </w:p>
        </w:tc>
      </w:tr>
      <w:tr w:rsidR="005C7768" w:rsidRPr="00E8450A" w:rsidTr="00335440">
        <w:tc>
          <w:tcPr>
            <w:tcW w:w="2136"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článok 2 ods. 11</w:t>
            </w:r>
          </w:p>
        </w:tc>
        <w:tc>
          <w:tcPr>
            <w:tcW w:w="1764"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w:t>
            </w:r>
          </w:p>
        </w:tc>
        <w:tc>
          <w:tcPr>
            <w:tcW w:w="1950"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w:t>
            </w:r>
          </w:p>
        </w:tc>
        <w:tc>
          <w:tcPr>
            <w:tcW w:w="1765"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w:t>
            </w:r>
          </w:p>
        </w:tc>
        <w:tc>
          <w:tcPr>
            <w:tcW w:w="1671"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článok 2 ods. 12</w:t>
            </w:r>
          </w:p>
        </w:tc>
      </w:tr>
      <w:tr w:rsidR="005C7768" w:rsidRPr="00E8450A" w:rsidTr="00335440">
        <w:tc>
          <w:tcPr>
            <w:tcW w:w="2136"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článok 2 ods. 12 a 13</w:t>
            </w:r>
          </w:p>
        </w:tc>
        <w:tc>
          <w:tcPr>
            <w:tcW w:w="1764"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w:t>
            </w:r>
          </w:p>
        </w:tc>
        <w:tc>
          <w:tcPr>
            <w:tcW w:w="1950"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článok 2 ods. 13 a 14</w:t>
            </w:r>
          </w:p>
        </w:tc>
        <w:tc>
          <w:tcPr>
            <w:tcW w:w="1765"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článok 2 písm. a) a b)</w:t>
            </w:r>
          </w:p>
        </w:tc>
        <w:tc>
          <w:tcPr>
            <w:tcW w:w="1671"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w:t>
            </w:r>
          </w:p>
        </w:tc>
      </w:tr>
      <w:tr w:rsidR="005C7768" w:rsidRPr="00E8450A" w:rsidTr="00335440">
        <w:tc>
          <w:tcPr>
            <w:tcW w:w="2136"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článok 2 ods. 14</w:t>
            </w:r>
          </w:p>
        </w:tc>
        <w:tc>
          <w:tcPr>
            <w:tcW w:w="1764"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w:t>
            </w:r>
          </w:p>
        </w:tc>
        <w:tc>
          <w:tcPr>
            <w:tcW w:w="1950"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w:t>
            </w:r>
          </w:p>
        </w:tc>
        <w:tc>
          <w:tcPr>
            <w:tcW w:w="1765"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w:t>
            </w:r>
          </w:p>
        </w:tc>
        <w:tc>
          <w:tcPr>
            <w:tcW w:w="1671"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článok 2 ods. 10</w:t>
            </w:r>
          </w:p>
        </w:tc>
      </w:tr>
      <w:tr w:rsidR="005C7768" w:rsidRPr="00E8450A" w:rsidTr="00335440">
        <w:tc>
          <w:tcPr>
            <w:tcW w:w="2136"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článok 2 ods. 15 a 16</w:t>
            </w:r>
          </w:p>
        </w:tc>
        <w:tc>
          <w:tcPr>
            <w:tcW w:w="1764"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článok 2 ods. 9 a 10</w:t>
            </w:r>
          </w:p>
        </w:tc>
        <w:tc>
          <w:tcPr>
            <w:tcW w:w="1950"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článok 2 ods. 8 a 9</w:t>
            </w:r>
          </w:p>
        </w:tc>
        <w:tc>
          <w:tcPr>
            <w:tcW w:w="1765"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w:t>
            </w:r>
          </w:p>
        </w:tc>
        <w:tc>
          <w:tcPr>
            <w:tcW w:w="1671"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článok 2 ods. 7 a 8</w:t>
            </w:r>
          </w:p>
        </w:tc>
      </w:tr>
      <w:tr w:rsidR="005C7768" w:rsidRPr="00E8450A" w:rsidTr="00335440">
        <w:tc>
          <w:tcPr>
            <w:tcW w:w="2136"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článok 2 ods. 17 a 18</w:t>
            </w:r>
          </w:p>
        </w:tc>
        <w:tc>
          <w:tcPr>
            <w:tcW w:w="1764"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w:t>
            </w:r>
          </w:p>
        </w:tc>
        <w:tc>
          <w:tcPr>
            <w:tcW w:w="1950"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článok 2 ods. 11 a 12</w:t>
            </w:r>
          </w:p>
        </w:tc>
        <w:tc>
          <w:tcPr>
            <w:tcW w:w="1765"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w:t>
            </w:r>
          </w:p>
        </w:tc>
        <w:tc>
          <w:tcPr>
            <w:tcW w:w="1671"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w:t>
            </w:r>
          </w:p>
        </w:tc>
      </w:tr>
      <w:tr w:rsidR="005C7768" w:rsidRPr="00E8450A" w:rsidTr="00335440">
        <w:tc>
          <w:tcPr>
            <w:tcW w:w="2136"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článok 2 ods. 19, 20, 21, 22 a 23</w:t>
            </w:r>
          </w:p>
        </w:tc>
        <w:tc>
          <w:tcPr>
            <w:tcW w:w="1764"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w:t>
            </w:r>
          </w:p>
        </w:tc>
        <w:tc>
          <w:tcPr>
            <w:tcW w:w="1950"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w:t>
            </w:r>
          </w:p>
        </w:tc>
        <w:tc>
          <w:tcPr>
            <w:tcW w:w="1765"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w:t>
            </w:r>
          </w:p>
        </w:tc>
        <w:tc>
          <w:tcPr>
            <w:tcW w:w="1671"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w:t>
            </w:r>
          </w:p>
        </w:tc>
      </w:tr>
      <w:tr w:rsidR="005C7768" w:rsidRPr="00E8450A" w:rsidTr="00335440">
        <w:tc>
          <w:tcPr>
            <w:tcW w:w="2136"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článok 2 ods. 24</w:t>
            </w:r>
          </w:p>
        </w:tc>
        <w:tc>
          <w:tcPr>
            <w:tcW w:w="1764"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w:t>
            </w:r>
          </w:p>
        </w:tc>
        <w:tc>
          <w:tcPr>
            <w:tcW w:w="1950"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článok 2 ods. 10</w:t>
            </w:r>
          </w:p>
        </w:tc>
        <w:tc>
          <w:tcPr>
            <w:tcW w:w="1765"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w:t>
            </w:r>
          </w:p>
        </w:tc>
        <w:tc>
          <w:tcPr>
            <w:tcW w:w="1671"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w:t>
            </w:r>
          </w:p>
        </w:tc>
      </w:tr>
      <w:tr w:rsidR="005C7768" w:rsidRPr="00E8450A" w:rsidTr="00335440">
        <w:tc>
          <w:tcPr>
            <w:tcW w:w="2136"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článok 2 ods. 25 a 26</w:t>
            </w:r>
          </w:p>
        </w:tc>
        <w:tc>
          <w:tcPr>
            <w:tcW w:w="1764"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článok 6 ods. 5</w:t>
            </w:r>
          </w:p>
        </w:tc>
        <w:tc>
          <w:tcPr>
            <w:tcW w:w="1950"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w:t>
            </w:r>
          </w:p>
        </w:tc>
        <w:tc>
          <w:tcPr>
            <w:tcW w:w="1765"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w:t>
            </w:r>
          </w:p>
        </w:tc>
        <w:tc>
          <w:tcPr>
            <w:tcW w:w="1671"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w:t>
            </w:r>
          </w:p>
        </w:tc>
      </w:tr>
      <w:tr w:rsidR="005C7768" w:rsidRPr="00E8450A" w:rsidTr="00335440">
        <w:tc>
          <w:tcPr>
            <w:tcW w:w="2136"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článok 2 ods. 27</w:t>
            </w:r>
          </w:p>
        </w:tc>
        <w:tc>
          <w:tcPr>
            <w:tcW w:w="1764"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w:t>
            </w:r>
          </w:p>
        </w:tc>
        <w:tc>
          <w:tcPr>
            <w:tcW w:w="1950"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w:t>
            </w:r>
          </w:p>
        </w:tc>
        <w:tc>
          <w:tcPr>
            <w:tcW w:w="1765"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w:t>
            </w:r>
          </w:p>
        </w:tc>
        <w:tc>
          <w:tcPr>
            <w:tcW w:w="1671"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článok 2 ods. 13</w:t>
            </w:r>
          </w:p>
        </w:tc>
      </w:tr>
      <w:tr w:rsidR="005C7768" w:rsidRPr="00E8450A" w:rsidTr="00335440">
        <w:tc>
          <w:tcPr>
            <w:tcW w:w="2136"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článok 2 ods. 28</w:t>
            </w:r>
          </w:p>
        </w:tc>
        <w:tc>
          <w:tcPr>
            <w:tcW w:w="1764"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w:t>
            </w:r>
          </w:p>
        </w:tc>
        <w:tc>
          <w:tcPr>
            <w:tcW w:w="1950"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w:t>
            </w:r>
          </w:p>
        </w:tc>
        <w:tc>
          <w:tcPr>
            <w:tcW w:w="1765"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w:t>
            </w:r>
          </w:p>
        </w:tc>
        <w:tc>
          <w:tcPr>
            <w:tcW w:w="1671"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článok 2 ods. 3</w:t>
            </w:r>
          </w:p>
        </w:tc>
      </w:tr>
      <w:tr w:rsidR="005C7768" w:rsidRPr="00E8450A" w:rsidTr="00335440">
        <w:tc>
          <w:tcPr>
            <w:tcW w:w="2136"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článok 3 s výnimkou odseku 1 písm. f)</w:t>
            </w:r>
          </w:p>
        </w:tc>
        <w:tc>
          <w:tcPr>
            <w:tcW w:w="1764"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článok 3</w:t>
            </w:r>
          </w:p>
        </w:tc>
        <w:tc>
          <w:tcPr>
            <w:tcW w:w="1950"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w:t>
            </w:r>
          </w:p>
        </w:tc>
        <w:tc>
          <w:tcPr>
            <w:tcW w:w="1765"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w:t>
            </w:r>
          </w:p>
        </w:tc>
        <w:tc>
          <w:tcPr>
            <w:tcW w:w="1671"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w:t>
            </w:r>
          </w:p>
        </w:tc>
      </w:tr>
      <w:tr w:rsidR="005C7768" w:rsidRPr="00E8450A" w:rsidTr="00335440">
        <w:tc>
          <w:tcPr>
            <w:tcW w:w="2136"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článok 3 ods. 1 písm. f)</w:t>
            </w:r>
          </w:p>
        </w:tc>
        <w:tc>
          <w:tcPr>
            <w:tcW w:w="1764"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w:t>
            </w:r>
          </w:p>
        </w:tc>
        <w:tc>
          <w:tcPr>
            <w:tcW w:w="1950"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w:t>
            </w:r>
          </w:p>
        </w:tc>
        <w:tc>
          <w:tcPr>
            <w:tcW w:w="1765"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w:t>
            </w:r>
          </w:p>
        </w:tc>
        <w:tc>
          <w:tcPr>
            <w:tcW w:w="1671"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w:t>
            </w:r>
          </w:p>
        </w:tc>
      </w:tr>
      <w:tr w:rsidR="005C7768" w:rsidRPr="00E8450A" w:rsidTr="00335440">
        <w:tc>
          <w:tcPr>
            <w:tcW w:w="2136"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článok 4</w:t>
            </w:r>
          </w:p>
        </w:tc>
        <w:tc>
          <w:tcPr>
            <w:tcW w:w="1764"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článok 2 ods. 9 a 10, článok 6 ods. 1</w:t>
            </w:r>
          </w:p>
        </w:tc>
        <w:tc>
          <w:tcPr>
            <w:tcW w:w="1950"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w:t>
            </w:r>
          </w:p>
        </w:tc>
        <w:tc>
          <w:tcPr>
            <w:tcW w:w="1765"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w:t>
            </w:r>
          </w:p>
        </w:tc>
        <w:tc>
          <w:tcPr>
            <w:tcW w:w="1671"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w:t>
            </w:r>
          </w:p>
        </w:tc>
      </w:tr>
      <w:tr w:rsidR="005C7768" w:rsidRPr="00E8450A" w:rsidTr="00335440">
        <w:tc>
          <w:tcPr>
            <w:tcW w:w="2136"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článok 5</w:t>
            </w:r>
          </w:p>
        </w:tc>
        <w:tc>
          <w:tcPr>
            <w:tcW w:w="1764"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w:t>
            </w:r>
          </w:p>
        </w:tc>
        <w:tc>
          <w:tcPr>
            <w:tcW w:w="1950"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článok 7 ods. 1</w:t>
            </w:r>
          </w:p>
        </w:tc>
        <w:tc>
          <w:tcPr>
            <w:tcW w:w="1765"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článok 5 ods. 1</w:t>
            </w:r>
          </w:p>
        </w:tc>
        <w:tc>
          <w:tcPr>
            <w:tcW w:w="1671"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w:t>
            </w:r>
          </w:p>
        </w:tc>
      </w:tr>
      <w:tr w:rsidR="005C7768" w:rsidRPr="00E8450A" w:rsidTr="00335440">
        <w:tc>
          <w:tcPr>
            <w:tcW w:w="2136"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článok 6 ods. 1 až 4</w:t>
            </w:r>
          </w:p>
        </w:tc>
        <w:tc>
          <w:tcPr>
            <w:tcW w:w="1764"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článok 6 ods. 1 až 4</w:t>
            </w:r>
          </w:p>
        </w:tc>
        <w:tc>
          <w:tcPr>
            <w:tcW w:w="1950"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w:t>
            </w:r>
          </w:p>
        </w:tc>
        <w:tc>
          <w:tcPr>
            <w:tcW w:w="1765"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w:t>
            </w:r>
          </w:p>
        </w:tc>
        <w:tc>
          <w:tcPr>
            <w:tcW w:w="1671"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w:t>
            </w:r>
          </w:p>
        </w:tc>
      </w:tr>
      <w:tr w:rsidR="005C7768" w:rsidRPr="00E8450A" w:rsidTr="00335440">
        <w:tc>
          <w:tcPr>
            <w:tcW w:w="2136"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článok 6 ods. 5</w:t>
            </w:r>
          </w:p>
        </w:tc>
        <w:tc>
          <w:tcPr>
            <w:tcW w:w="1764"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w:t>
            </w:r>
          </w:p>
        </w:tc>
        <w:tc>
          <w:tcPr>
            <w:tcW w:w="1950"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w:t>
            </w:r>
          </w:p>
        </w:tc>
        <w:tc>
          <w:tcPr>
            <w:tcW w:w="1765"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w:t>
            </w:r>
          </w:p>
        </w:tc>
        <w:tc>
          <w:tcPr>
            <w:tcW w:w="1671"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w:t>
            </w:r>
          </w:p>
        </w:tc>
      </w:tr>
      <w:tr w:rsidR="005C7768" w:rsidRPr="00E8450A" w:rsidTr="00335440">
        <w:tc>
          <w:tcPr>
            <w:tcW w:w="2136"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článok 7</w:t>
            </w:r>
          </w:p>
        </w:tc>
        <w:tc>
          <w:tcPr>
            <w:tcW w:w="1764"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w:t>
            </w:r>
          </w:p>
        </w:tc>
        <w:tc>
          <w:tcPr>
            <w:tcW w:w="1950"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článok 7 ods. 2 a 3 so zmenami a doplneniami</w:t>
            </w:r>
          </w:p>
        </w:tc>
        <w:tc>
          <w:tcPr>
            <w:tcW w:w="1765"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článok 5 ods. 2 a 3 so zmenami a doplneniami</w:t>
            </w:r>
          </w:p>
        </w:tc>
        <w:tc>
          <w:tcPr>
            <w:tcW w:w="1671"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w:t>
            </w:r>
          </w:p>
        </w:tc>
      </w:tr>
      <w:tr w:rsidR="005C7768" w:rsidRPr="00E8450A" w:rsidTr="00335440">
        <w:tc>
          <w:tcPr>
            <w:tcW w:w="2136"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článok 8</w:t>
            </w:r>
          </w:p>
        </w:tc>
        <w:tc>
          <w:tcPr>
            <w:tcW w:w="1764"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w:t>
            </w:r>
          </w:p>
        </w:tc>
        <w:tc>
          <w:tcPr>
            <w:tcW w:w="1950"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článok 7 ods. 5</w:t>
            </w:r>
          </w:p>
        </w:tc>
        <w:tc>
          <w:tcPr>
            <w:tcW w:w="1765"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článok 5 ods. 5</w:t>
            </w:r>
          </w:p>
        </w:tc>
        <w:tc>
          <w:tcPr>
            <w:tcW w:w="1671"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w:t>
            </w:r>
          </w:p>
        </w:tc>
      </w:tr>
      <w:tr w:rsidR="005C7768" w:rsidRPr="00E8450A" w:rsidTr="00335440">
        <w:tc>
          <w:tcPr>
            <w:tcW w:w="2136"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článok 9</w:t>
            </w:r>
          </w:p>
        </w:tc>
        <w:tc>
          <w:tcPr>
            <w:tcW w:w="1764"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w:t>
            </w:r>
          </w:p>
        </w:tc>
        <w:tc>
          <w:tcPr>
            <w:tcW w:w="1950"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w:t>
            </w:r>
          </w:p>
        </w:tc>
        <w:tc>
          <w:tcPr>
            <w:tcW w:w="1765"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w:t>
            </w:r>
          </w:p>
        </w:tc>
        <w:tc>
          <w:tcPr>
            <w:tcW w:w="1671"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článok 9 ods. 1 prvý a druhý pododsek</w:t>
            </w:r>
          </w:p>
        </w:tc>
      </w:tr>
      <w:tr w:rsidR="005C7768" w:rsidRPr="00E8450A" w:rsidTr="00335440">
        <w:tc>
          <w:tcPr>
            <w:tcW w:w="2136"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článok 10</w:t>
            </w:r>
          </w:p>
        </w:tc>
        <w:tc>
          <w:tcPr>
            <w:tcW w:w="1764"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w:t>
            </w:r>
          </w:p>
        </w:tc>
        <w:tc>
          <w:tcPr>
            <w:tcW w:w="1950"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w:t>
            </w:r>
          </w:p>
        </w:tc>
        <w:tc>
          <w:tcPr>
            <w:tcW w:w="1765"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w:t>
            </w:r>
          </w:p>
        </w:tc>
        <w:tc>
          <w:tcPr>
            <w:tcW w:w="1671"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článok 9 ods. 1 až 3 so zmenami a doplneniami</w:t>
            </w:r>
          </w:p>
        </w:tc>
      </w:tr>
      <w:tr w:rsidR="005C7768" w:rsidRPr="00E8450A" w:rsidTr="00335440">
        <w:tc>
          <w:tcPr>
            <w:tcW w:w="2136"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článok 11 ods. 1</w:t>
            </w:r>
          </w:p>
        </w:tc>
        <w:tc>
          <w:tcPr>
            <w:tcW w:w="1764"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w:t>
            </w:r>
          </w:p>
        </w:tc>
        <w:tc>
          <w:tcPr>
            <w:tcW w:w="1950"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w:t>
            </w:r>
          </w:p>
        </w:tc>
        <w:tc>
          <w:tcPr>
            <w:tcW w:w="1765"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w:t>
            </w:r>
          </w:p>
        </w:tc>
        <w:tc>
          <w:tcPr>
            <w:tcW w:w="1671"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článok 9 ods. 4</w:t>
            </w:r>
          </w:p>
        </w:tc>
      </w:tr>
      <w:tr w:rsidR="005C7768" w:rsidRPr="00E8450A" w:rsidTr="00335440">
        <w:tc>
          <w:tcPr>
            <w:tcW w:w="2136"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článok 11 ods. 2</w:t>
            </w:r>
          </w:p>
        </w:tc>
        <w:tc>
          <w:tcPr>
            <w:tcW w:w="1764"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w:t>
            </w:r>
          </w:p>
        </w:tc>
        <w:tc>
          <w:tcPr>
            <w:tcW w:w="1950"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w:t>
            </w:r>
          </w:p>
        </w:tc>
        <w:tc>
          <w:tcPr>
            <w:tcW w:w="1765"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w:t>
            </w:r>
          </w:p>
        </w:tc>
        <w:tc>
          <w:tcPr>
            <w:tcW w:w="1671"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w:t>
            </w:r>
          </w:p>
        </w:tc>
      </w:tr>
      <w:tr w:rsidR="005C7768" w:rsidRPr="00E8450A" w:rsidTr="00335440">
        <w:tc>
          <w:tcPr>
            <w:tcW w:w="2136"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článok 12</w:t>
            </w:r>
          </w:p>
        </w:tc>
        <w:tc>
          <w:tcPr>
            <w:tcW w:w="1764"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článok 9</w:t>
            </w:r>
          </w:p>
        </w:tc>
        <w:tc>
          <w:tcPr>
            <w:tcW w:w="1950"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w:t>
            </w:r>
          </w:p>
        </w:tc>
        <w:tc>
          <w:tcPr>
            <w:tcW w:w="1765"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w:t>
            </w:r>
          </w:p>
        </w:tc>
        <w:tc>
          <w:tcPr>
            <w:tcW w:w="1671"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w:t>
            </w:r>
          </w:p>
        </w:tc>
      </w:tr>
      <w:tr w:rsidR="005C7768" w:rsidRPr="00E8450A" w:rsidTr="00335440">
        <w:tc>
          <w:tcPr>
            <w:tcW w:w="2136"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článok 13 ods. 1</w:t>
            </w:r>
          </w:p>
        </w:tc>
        <w:tc>
          <w:tcPr>
            <w:tcW w:w="1764"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w:t>
            </w:r>
          </w:p>
        </w:tc>
        <w:tc>
          <w:tcPr>
            <w:tcW w:w="1950"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článok 3 ods. 1, článok 4 ods. 1, článok 5 ods. 1 a článok 6</w:t>
            </w:r>
          </w:p>
        </w:tc>
        <w:tc>
          <w:tcPr>
            <w:tcW w:w="1765"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článok 3 ods. 1 a článok 4</w:t>
            </w:r>
          </w:p>
        </w:tc>
        <w:tc>
          <w:tcPr>
            <w:tcW w:w="1671"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w:t>
            </w:r>
          </w:p>
        </w:tc>
      </w:tr>
      <w:tr w:rsidR="005C7768" w:rsidRPr="00E8450A" w:rsidTr="00335440">
        <w:tc>
          <w:tcPr>
            <w:tcW w:w="2136"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článok 13 ods. 2</w:t>
            </w:r>
          </w:p>
        </w:tc>
        <w:tc>
          <w:tcPr>
            <w:tcW w:w="1764"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w:t>
            </w:r>
          </w:p>
        </w:tc>
        <w:tc>
          <w:tcPr>
            <w:tcW w:w="1950"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článok 3 ods. 2 a článok 4 ods. 2</w:t>
            </w:r>
          </w:p>
        </w:tc>
        <w:tc>
          <w:tcPr>
            <w:tcW w:w="1765"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w:t>
            </w:r>
          </w:p>
        </w:tc>
        <w:tc>
          <w:tcPr>
            <w:tcW w:w="1671"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w:t>
            </w:r>
          </w:p>
        </w:tc>
      </w:tr>
      <w:tr w:rsidR="005C7768" w:rsidRPr="00E8450A" w:rsidTr="00335440">
        <w:tc>
          <w:tcPr>
            <w:tcW w:w="2136"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článok 13 ods. 3</w:t>
            </w:r>
          </w:p>
        </w:tc>
        <w:tc>
          <w:tcPr>
            <w:tcW w:w="1764"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w:t>
            </w:r>
          </w:p>
        </w:tc>
        <w:tc>
          <w:tcPr>
            <w:tcW w:w="1950"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článok 5 ods. 5</w:t>
            </w:r>
          </w:p>
        </w:tc>
        <w:tc>
          <w:tcPr>
            <w:tcW w:w="1765"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w:t>
            </w:r>
          </w:p>
        </w:tc>
        <w:tc>
          <w:tcPr>
            <w:tcW w:w="1671"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w:t>
            </w:r>
          </w:p>
        </w:tc>
      </w:tr>
      <w:tr w:rsidR="005C7768" w:rsidRPr="00E8450A" w:rsidTr="00335440">
        <w:tc>
          <w:tcPr>
            <w:tcW w:w="2136"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článok 14</w:t>
            </w:r>
          </w:p>
        </w:tc>
        <w:tc>
          <w:tcPr>
            <w:tcW w:w="1764"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w:t>
            </w:r>
          </w:p>
        </w:tc>
        <w:tc>
          <w:tcPr>
            <w:tcW w:w="1950"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článok 3 ods. 1 a článok 4 ods. 1 so zmenami a doplneniami</w:t>
            </w:r>
          </w:p>
        </w:tc>
        <w:tc>
          <w:tcPr>
            <w:tcW w:w="1765"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w:t>
            </w:r>
          </w:p>
        </w:tc>
        <w:tc>
          <w:tcPr>
            <w:tcW w:w="1671"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w:t>
            </w:r>
          </w:p>
        </w:tc>
      </w:tr>
      <w:tr w:rsidR="005C7768" w:rsidRPr="00E8450A" w:rsidTr="00335440">
        <w:tc>
          <w:tcPr>
            <w:tcW w:w="2136"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článok 15</w:t>
            </w:r>
          </w:p>
        </w:tc>
        <w:tc>
          <w:tcPr>
            <w:tcW w:w="1764"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w:t>
            </w:r>
          </w:p>
        </w:tc>
        <w:tc>
          <w:tcPr>
            <w:tcW w:w="1950"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w:t>
            </w:r>
          </w:p>
        </w:tc>
        <w:tc>
          <w:tcPr>
            <w:tcW w:w="1765"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w:t>
            </w:r>
          </w:p>
        </w:tc>
        <w:tc>
          <w:tcPr>
            <w:tcW w:w="1671"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w:t>
            </w:r>
          </w:p>
        </w:tc>
      </w:tr>
      <w:tr w:rsidR="005C7768" w:rsidRPr="00E8450A" w:rsidTr="00335440">
        <w:tc>
          <w:tcPr>
            <w:tcW w:w="2136"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článok 16</w:t>
            </w:r>
          </w:p>
        </w:tc>
        <w:tc>
          <w:tcPr>
            <w:tcW w:w="1764"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w:t>
            </w:r>
          </w:p>
        </w:tc>
        <w:tc>
          <w:tcPr>
            <w:tcW w:w="1950"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w:t>
            </w:r>
          </w:p>
        </w:tc>
        <w:tc>
          <w:tcPr>
            <w:tcW w:w="1765"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w:t>
            </w:r>
          </w:p>
        </w:tc>
        <w:tc>
          <w:tcPr>
            <w:tcW w:w="1671"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w:t>
            </w:r>
          </w:p>
        </w:tc>
      </w:tr>
      <w:tr w:rsidR="005C7768" w:rsidRPr="00E8450A" w:rsidTr="00335440">
        <w:tc>
          <w:tcPr>
            <w:tcW w:w="2136"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článok 17 ods. 1</w:t>
            </w:r>
          </w:p>
        </w:tc>
        <w:tc>
          <w:tcPr>
            <w:tcW w:w="1764"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w:t>
            </w:r>
          </w:p>
        </w:tc>
        <w:tc>
          <w:tcPr>
            <w:tcW w:w="1950"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w:t>
            </w:r>
          </w:p>
        </w:tc>
        <w:tc>
          <w:tcPr>
            <w:tcW w:w="1765"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w:t>
            </w:r>
          </w:p>
        </w:tc>
        <w:tc>
          <w:tcPr>
            <w:tcW w:w="1671"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článok 3 ods. 1 a článok 4 ods. 1</w:t>
            </w:r>
          </w:p>
        </w:tc>
      </w:tr>
      <w:tr w:rsidR="005C7768" w:rsidRPr="00E8450A" w:rsidTr="00335440">
        <w:tc>
          <w:tcPr>
            <w:tcW w:w="2136"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článok 17 ods. 2</w:t>
            </w:r>
          </w:p>
        </w:tc>
        <w:tc>
          <w:tcPr>
            <w:tcW w:w="1764"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w:t>
            </w:r>
          </w:p>
        </w:tc>
        <w:tc>
          <w:tcPr>
            <w:tcW w:w="1950"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w:t>
            </w:r>
          </w:p>
        </w:tc>
        <w:tc>
          <w:tcPr>
            <w:tcW w:w="1765"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w:t>
            </w:r>
          </w:p>
        </w:tc>
        <w:tc>
          <w:tcPr>
            <w:tcW w:w="1671"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článok 3 ods. 2 a 3</w:t>
            </w:r>
          </w:p>
        </w:tc>
      </w:tr>
      <w:tr w:rsidR="005C7768" w:rsidRPr="00E8450A" w:rsidTr="00335440">
        <w:tc>
          <w:tcPr>
            <w:tcW w:w="2136"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článok 17 ods. 3</w:t>
            </w:r>
          </w:p>
        </w:tc>
        <w:tc>
          <w:tcPr>
            <w:tcW w:w="1764"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w:t>
            </w:r>
          </w:p>
        </w:tc>
        <w:tc>
          <w:tcPr>
            <w:tcW w:w="1950"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w:t>
            </w:r>
          </w:p>
        </w:tc>
        <w:tc>
          <w:tcPr>
            <w:tcW w:w="1765"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w:t>
            </w:r>
          </w:p>
        </w:tc>
        <w:tc>
          <w:tcPr>
            <w:tcW w:w="1671"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článok 4 ods. 2</w:t>
            </w:r>
          </w:p>
        </w:tc>
      </w:tr>
      <w:tr w:rsidR="005C7768" w:rsidRPr="00E8450A" w:rsidTr="00335440">
        <w:tc>
          <w:tcPr>
            <w:tcW w:w="2136"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článok 18</w:t>
            </w:r>
          </w:p>
        </w:tc>
        <w:tc>
          <w:tcPr>
            <w:tcW w:w="1764"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w:t>
            </w:r>
          </w:p>
        </w:tc>
        <w:tc>
          <w:tcPr>
            <w:tcW w:w="1950"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w:t>
            </w:r>
          </w:p>
        </w:tc>
        <w:tc>
          <w:tcPr>
            <w:tcW w:w="1765"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w:t>
            </w:r>
          </w:p>
        </w:tc>
        <w:tc>
          <w:tcPr>
            <w:tcW w:w="1671"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článok 5</w:t>
            </w:r>
          </w:p>
        </w:tc>
      </w:tr>
      <w:tr w:rsidR="005C7768" w:rsidRPr="00E8450A" w:rsidTr="00335440">
        <w:tc>
          <w:tcPr>
            <w:tcW w:w="2136"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článok 19</w:t>
            </w:r>
          </w:p>
        </w:tc>
        <w:tc>
          <w:tcPr>
            <w:tcW w:w="1764"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článok 10 so zmenami a doplneniami</w:t>
            </w:r>
          </w:p>
        </w:tc>
        <w:tc>
          <w:tcPr>
            <w:tcW w:w="1950"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článok 8 ods. 3</w:t>
            </w:r>
          </w:p>
        </w:tc>
        <w:tc>
          <w:tcPr>
            <w:tcW w:w="1765"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w:t>
            </w:r>
          </w:p>
        </w:tc>
        <w:tc>
          <w:tcPr>
            <w:tcW w:w="1671"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článok 6 so zmenami a doplneniami</w:t>
            </w:r>
          </w:p>
        </w:tc>
      </w:tr>
      <w:tr w:rsidR="005C7768" w:rsidRPr="00E8450A" w:rsidTr="00335440">
        <w:tc>
          <w:tcPr>
            <w:tcW w:w="2136"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článok 20</w:t>
            </w:r>
          </w:p>
        </w:tc>
        <w:tc>
          <w:tcPr>
            <w:tcW w:w="1764"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w:t>
            </w:r>
          </w:p>
        </w:tc>
        <w:tc>
          <w:tcPr>
            <w:tcW w:w="1950"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článok 3 ods. 4 a článok 5 ods. 4 so zmenami a doplneniami</w:t>
            </w:r>
          </w:p>
        </w:tc>
        <w:tc>
          <w:tcPr>
            <w:tcW w:w="1765"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w:t>
            </w:r>
          </w:p>
        </w:tc>
        <w:tc>
          <w:tcPr>
            <w:tcW w:w="1671"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w:t>
            </w:r>
          </w:p>
        </w:tc>
      </w:tr>
      <w:tr w:rsidR="005C7768" w:rsidRPr="00E8450A" w:rsidTr="00335440">
        <w:tc>
          <w:tcPr>
            <w:tcW w:w="2136"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článok 21</w:t>
            </w:r>
          </w:p>
        </w:tc>
        <w:tc>
          <w:tcPr>
            <w:tcW w:w="1764"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w:t>
            </w:r>
          </w:p>
        </w:tc>
        <w:tc>
          <w:tcPr>
            <w:tcW w:w="1950"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w:t>
            </w:r>
          </w:p>
        </w:tc>
        <w:tc>
          <w:tcPr>
            <w:tcW w:w="1765"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w:t>
            </w:r>
          </w:p>
        </w:tc>
        <w:tc>
          <w:tcPr>
            <w:tcW w:w="1671"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w:t>
            </w:r>
          </w:p>
        </w:tc>
      </w:tr>
      <w:tr w:rsidR="005C7768" w:rsidRPr="00E8450A" w:rsidTr="00335440">
        <w:tc>
          <w:tcPr>
            <w:tcW w:w="2136"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článok 22</w:t>
            </w:r>
          </w:p>
        </w:tc>
        <w:tc>
          <w:tcPr>
            <w:tcW w:w="1764"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w:t>
            </w:r>
          </w:p>
        </w:tc>
        <w:tc>
          <w:tcPr>
            <w:tcW w:w="1950"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w:t>
            </w:r>
          </w:p>
        </w:tc>
        <w:tc>
          <w:tcPr>
            <w:tcW w:w="1765"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w:t>
            </w:r>
          </w:p>
        </w:tc>
        <w:tc>
          <w:tcPr>
            <w:tcW w:w="1671"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w:t>
            </w:r>
          </w:p>
        </w:tc>
      </w:tr>
      <w:tr w:rsidR="005C7768" w:rsidRPr="00E8450A" w:rsidTr="00335440">
        <w:tc>
          <w:tcPr>
            <w:tcW w:w="2136"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článok 23</w:t>
            </w:r>
          </w:p>
        </w:tc>
        <w:tc>
          <w:tcPr>
            <w:tcW w:w="1764"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článok 8 ods. 1 až 4 so zmenami a doplneniami</w:t>
            </w:r>
          </w:p>
        </w:tc>
        <w:tc>
          <w:tcPr>
            <w:tcW w:w="1950"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w:t>
            </w:r>
          </w:p>
        </w:tc>
        <w:tc>
          <w:tcPr>
            <w:tcW w:w="1765"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w:t>
            </w:r>
          </w:p>
        </w:tc>
        <w:tc>
          <w:tcPr>
            <w:tcW w:w="1671"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w:t>
            </w:r>
          </w:p>
        </w:tc>
      </w:tr>
      <w:tr w:rsidR="005C7768" w:rsidRPr="00E8450A" w:rsidTr="00335440">
        <w:tc>
          <w:tcPr>
            <w:tcW w:w="2136"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článok 24</w:t>
            </w:r>
          </w:p>
        </w:tc>
        <w:tc>
          <w:tcPr>
            <w:tcW w:w="1764"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článok 7 ods. 3 so zmenami a doplneniami</w:t>
            </w:r>
          </w:p>
        </w:tc>
        <w:tc>
          <w:tcPr>
            <w:tcW w:w="1950"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w:t>
            </w:r>
          </w:p>
        </w:tc>
        <w:tc>
          <w:tcPr>
            <w:tcW w:w="1765"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w:t>
            </w:r>
          </w:p>
        </w:tc>
        <w:tc>
          <w:tcPr>
            <w:tcW w:w="1671"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článok 7 so zmenami a doplneniami</w:t>
            </w:r>
          </w:p>
        </w:tc>
      </w:tr>
      <w:tr w:rsidR="005C7768" w:rsidRPr="00E8450A" w:rsidTr="00335440">
        <w:tc>
          <w:tcPr>
            <w:tcW w:w="2136"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článok 25</w:t>
            </w:r>
          </w:p>
        </w:tc>
        <w:tc>
          <w:tcPr>
            <w:tcW w:w="1764"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článok 8 ods. 5 so zmenami a doplneniami</w:t>
            </w:r>
          </w:p>
        </w:tc>
        <w:tc>
          <w:tcPr>
            <w:tcW w:w="1950"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w:t>
            </w:r>
          </w:p>
        </w:tc>
        <w:tc>
          <w:tcPr>
            <w:tcW w:w="1765"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w:t>
            </w:r>
          </w:p>
        </w:tc>
        <w:tc>
          <w:tcPr>
            <w:tcW w:w="1671"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článok 8 so zmenami a doplneniami</w:t>
            </w:r>
          </w:p>
        </w:tc>
      </w:tr>
      <w:tr w:rsidR="005C7768" w:rsidRPr="00E8450A" w:rsidTr="00335440">
        <w:tc>
          <w:tcPr>
            <w:tcW w:w="2136"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článok 26</w:t>
            </w:r>
          </w:p>
        </w:tc>
        <w:tc>
          <w:tcPr>
            <w:tcW w:w="1764"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w:t>
            </w:r>
          </w:p>
        </w:tc>
        <w:tc>
          <w:tcPr>
            <w:tcW w:w="1950"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článok 8 so zmenami a doplneniami</w:t>
            </w:r>
          </w:p>
        </w:tc>
        <w:tc>
          <w:tcPr>
            <w:tcW w:w="1765"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článok 7 so zmenami a doplneniami</w:t>
            </w:r>
          </w:p>
        </w:tc>
        <w:tc>
          <w:tcPr>
            <w:tcW w:w="1671"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článok 6 so zmenami a doplneniami</w:t>
            </w:r>
          </w:p>
        </w:tc>
      </w:tr>
      <w:tr w:rsidR="005C7768" w:rsidRPr="00E8450A" w:rsidTr="00335440">
        <w:tc>
          <w:tcPr>
            <w:tcW w:w="2136"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článok 27</w:t>
            </w:r>
          </w:p>
        </w:tc>
        <w:tc>
          <w:tcPr>
            <w:tcW w:w="1764"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článok 11 so zmenami a doplneniami</w:t>
            </w:r>
          </w:p>
        </w:tc>
        <w:tc>
          <w:tcPr>
            <w:tcW w:w="1950"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článok 5 ods. 2 druhý pododsek</w:t>
            </w:r>
          </w:p>
        </w:tc>
        <w:tc>
          <w:tcPr>
            <w:tcW w:w="1765"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w:t>
            </w:r>
          </w:p>
        </w:tc>
        <w:tc>
          <w:tcPr>
            <w:tcW w:w="1671"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článok 10 so zmenami a doplneniami</w:t>
            </w:r>
          </w:p>
        </w:tc>
      </w:tr>
      <w:tr w:rsidR="005C7768" w:rsidRPr="00E8450A" w:rsidTr="00335440">
        <w:tc>
          <w:tcPr>
            <w:tcW w:w="2136"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článok 28 ods. 1</w:t>
            </w:r>
          </w:p>
        </w:tc>
        <w:tc>
          <w:tcPr>
            <w:tcW w:w="1764"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článok 12 ods. 1 so zmenami a doplneniami</w:t>
            </w:r>
          </w:p>
        </w:tc>
        <w:tc>
          <w:tcPr>
            <w:tcW w:w="1950"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w:t>
            </w:r>
          </w:p>
        </w:tc>
        <w:tc>
          <w:tcPr>
            <w:tcW w:w="1765"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w:t>
            </w:r>
          </w:p>
        </w:tc>
        <w:tc>
          <w:tcPr>
            <w:tcW w:w="1671"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w:t>
            </w:r>
          </w:p>
        </w:tc>
      </w:tr>
      <w:tr w:rsidR="005C7768" w:rsidRPr="00E8450A" w:rsidTr="00335440">
        <w:tc>
          <w:tcPr>
            <w:tcW w:w="2136"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článok 28 ods. 2</w:t>
            </w:r>
          </w:p>
        </w:tc>
        <w:tc>
          <w:tcPr>
            <w:tcW w:w="1764"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článok 11 so zmenami a doplneniami</w:t>
            </w:r>
          </w:p>
        </w:tc>
        <w:tc>
          <w:tcPr>
            <w:tcW w:w="1950"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w:t>
            </w:r>
          </w:p>
        </w:tc>
        <w:tc>
          <w:tcPr>
            <w:tcW w:w="1765"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w:t>
            </w:r>
          </w:p>
        </w:tc>
        <w:tc>
          <w:tcPr>
            <w:tcW w:w="1671"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w:t>
            </w:r>
          </w:p>
        </w:tc>
      </w:tr>
      <w:tr w:rsidR="005C7768" w:rsidRPr="00E8450A" w:rsidTr="00335440">
        <w:tc>
          <w:tcPr>
            <w:tcW w:w="2136"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článok 28 ods. 3</w:t>
            </w:r>
          </w:p>
        </w:tc>
        <w:tc>
          <w:tcPr>
            <w:tcW w:w="1764"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w:t>
            </w:r>
          </w:p>
        </w:tc>
        <w:tc>
          <w:tcPr>
            <w:tcW w:w="1950"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w:t>
            </w:r>
          </w:p>
        </w:tc>
        <w:tc>
          <w:tcPr>
            <w:tcW w:w="1765"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w:t>
            </w:r>
          </w:p>
        </w:tc>
        <w:tc>
          <w:tcPr>
            <w:tcW w:w="1671"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w:t>
            </w:r>
          </w:p>
        </w:tc>
      </w:tr>
      <w:tr w:rsidR="005C7768" w:rsidRPr="00E8450A" w:rsidTr="00335440">
        <w:tc>
          <w:tcPr>
            <w:tcW w:w="2136"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článok 28 ods. 4</w:t>
            </w:r>
          </w:p>
        </w:tc>
        <w:tc>
          <w:tcPr>
            <w:tcW w:w="1764"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w:t>
            </w:r>
          </w:p>
        </w:tc>
        <w:tc>
          <w:tcPr>
            <w:tcW w:w="1950"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príloha IX so zmenami a doplneniami</w:t>
            </w:r>
          </w:p>
        </w:tc>
        <w:tc>
          <w:tcPr>
            <w:tcW w:w="1765"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w:t>
            </w:r>
          </w:p>
        </w:tc>
        <w:tc>
          <w:tcPr>
            <w:tcW w:w="1671"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w:t>
            </w:r>
          </w:p>
        </w:tc>
      </w:tr>
      <w:tr w:rsidR="005C7768" w:rsidRPr="00E8450A" w:rsidTr="00335440">
        <w:tc>
          <w:tcPr>
            <w:tcW w:w="2136"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článok 29</w:t>
            </w:r>
          </w:p>
        </w:tc>
        <w:tc>
          <w:tcPr>
            <w:tcW w:w="1764"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článok 12 ods. 2</w:t>
            </w:r>
          </w:p>
        </w:tc>
        <w:tc>
          <w:tcPr>
            <w:tcW w:w="1950"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w:t>
            </w:r>
          </w:p>
        </w:tc>
        <w:tc>
          <w:tcPr>
            <w:tcW w:w="1765"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w:t>
            </w:r>
          </w:p>
        </w:tc>
        <w:tc>
          <w:tcPr>
            <w:tcW w:w="1671"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w:t>
            </w:r>
          </w:p>
        </w:tc>
      </w:tr>
      <w:tr w:rsidR="005C7768" w:rsidRPr="00E8450A" w:rsidTr="00335440">
        <w:tc>
          <w:tcPr>
            <w:tcW w:w="2136"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článok 30</w:t>
            </w:r>
          </w:p>
        </w:tc>
        <w:tc>
          <w:tcPr>
            <w:tcW w:w="1764"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w:t>
            </w:r>
          </w:p>
        </w:tc>
        <w:tc>
          <w:tcPr>
            <w:tcW w:w="1950"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článok 11</w:t>
            </w:r>
          </w:p>
        </w:tc>
        <w:tc>
          <w:tcPr>
            <w:tcW w:w="1765"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článok 9</w:t>
            </w:r>
          </w:p>
        </w:tc>
        <w:tc>
          <w:tcPr>
            <w:tcW w:w="1671"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článok 14</w:t>
            </w:r>
          </w:p>
        </w:tc>
      </w:tr>
      <w:tr w:rsidR="005C7768" w:rsidRPr="00E8450A" w:rsidTr="00335440">
        <w:tc>
          <w:tcPr>
            <w:tcW w:w="2136"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článok 31</w:t>
            </w:r>
          </w:p>
        </w:tc>
        <w:tc>
          <w:tcPr>
            <w:tcW w:w="1764"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w:t>
            </w:r>
          </w:p>
        </w:tc>
        <w:tc>
          <w:tcPr>
            <w:tcW w:w="1950"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w:t>
            </w:r>
          </w:p>
        </w:tc>
        <w:tc>
          <w:tcPr>
            <w:tcW w:w="1765"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w:t>
            </w:r>
          </w:p>
        </w:tc>
        <w:tc>
          <w:tcPr>
            <w:tcW w:w="1671"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w:t>
            </w:r>
          </w:p>
        </w:tc>
      </w:tr>
      <w:tr w:rsidR="005C7768" w:rsidRPr="00E8450A" w:rsidTr="00335440">
        <w:tc>
          <w:tcPr>
            <w:tcW w:w="2136"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článok 32</w:t>
            </w:r>
          </w:p>
        </w:tc>
        <w:tc>
          <w:tcPr>
            <w:tcW w:w="1764"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w:t>
            </w:r>
          </w:p>
        </w:tc>
        <w:tc>
          <w:tcPr>
            <w:tcW w:w="1950"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w:t>
            </w:r>
          </w:p>
        </w:tc>
        <w:tc>
          <w:tcPr>
            <w:tcW w:w="1765"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w:t>
            </w:r>
          </w:p>
        </w:tc>
        <w:tc>
          <w:tcPr>
            <w:tcW w:w="1671"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w:t>
            </w:r>
          </w:p>
        </w:tc>
      </w:tr>
      <w:tr w:rsidR="005C7768" w:rsidRPr="00E8450A" w:rsidTr="00335440">
        <w:tc>
          <w:tcPr>
            <w:tcW w:w="2136"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článok 33</w:t>
            </w:r>
          </w:p>
        </w:tc>
        <w:tc>
          <w:tcPr>
            <w:tcW w:w="1764"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článok 13</w:t>
            </w:r>
          </w:p>
        </w:tc>
        <w:tc>
          <w:tcPr>
            <w:tcW w:w="1950"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článok 12</w:t>
            </w:r>
          </w:p>
        </w:tc>
        <w:tc>
          <w:tcPr>
            <w:tcW w:w="1765"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článok 10</w:t>
            </w:r>
          </w:p>
        </w:tc>
        <w:tc>
          <w:tcPr>
            <w:tcW w:w="1671"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článok 15</w:t>
            </w:r>
          </w:p>
        </w:tc>
      </w:tr>
      <w:tr w:rsidR="005C7768" w:rsidRPr="00E8450A" w:rsidTr="00335440">
        <w:tc>
          <w:tcPr>
            <w:tcW w:w="2136"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článok 34</w:t>
            </w:r>
          </w:p>
        </w:tc>
        <w:tc>
          <w:tcPr>
            <w:tcW w:w="1764"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článok 14</w:t>
            </w:r>
          </w:p>
        </w:tc>
        <w:tc>
          <w:tcPr>
            <w:tcW w:w="1950"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článok 13</w:t>
            </w:r>
          </w:p>
        </w:tc>
        <w:tc>
          <w:tcPr>
            <w:tcW w:w="1765"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článok 11</w:t>
            </w:r>
          </w:p>
        </w:tc>
        <w:tc>
          <w:tcPr>
            <w:tcW w:w="1671"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článok 17</w:t>
            </w:r>
          </w:p>
        </w:tc>
      </w:tr>
      <w:tr w:rsidR="005C7768" w:rsidRPr="00E8450A" w:rsidTr="00335440">
        <w:tc>
          <w:tcPr>
            <w:tcW w:w="2136"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článok 35</w:t>
            </w:r>
          </w:p>
        </w:tc>
        <w:tc>
          <w:tcPr>
            <w:tcW w:w="1764"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článok 15</w:t>
            </w:r>
          </w:p>
        </w:tc>
        <w:tc>
          <w:tcPr>
            <w:tcW w:w="1950"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článok 14</w:t>
            </w:r>
          </w:p>
        </w:tc>
        <w:tc>
          <w:tcPr>
            <w:tcW w:w="1765"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článok 12</w:t>
            </w:r>
          </w:p>
        </w:tc>
        <w:tc>
          <w:tcPr>
            <w:tcW w:w="1671"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článok 18</w:t>
            </w:r>
          </w:p>
        </w:tc>
      </w:tr>
      <w:tr w:rsidR="005C7768" w:rsidRPr="00E8450A" w:rsidTr="00335440">
        <w:tc>
          <w:tcPr>
            <w:tcW w:w="2136"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príloha I</w:t>
            </w:r>
          </w:p>
        </w:tc>
        <w:tc>
          <w:tcPr>
            <w:tcW w:w="1764"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w:t>
            </w:r>
          </w:p>
        </w:tc>
        <w:tc>
          <w:tcPr>
            <w:tcW w:w="1950"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príloha VIII so zmenami a doplneniami</w:t>
            </w:r>
          </w:p>
        </w:tc>
        <w:tc>
          <w:tcPr>
            <w:tcW w:w="1765"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príloha VI</w:t>
            </w:r>
          </w:p>
        </w:tc>
        <w:tc>
          <w:tcPr>
            <w:tcW w:w="1671"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príloha VII</w:t>
            </w:r>
          </w:p>
        </w:tc>
      </w:tr>
      <w:tr w:rsidR="005C7768" w:rsidRPr="00E8450A" w:rsidTr="00335440">
        <w:tc>
          <w:tcPr>
            <w:tcW w:w="2136"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príloha II</w:t>
            </w:r>
          </w:p>
        </w:tc>
        <w:tc>
          <w:tcPr>
            <w:tcW w:w="1764"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w:t>
            </w:r>
          </w:p>
        </w:tc>
        <w:tc>
          <w:tcPr>
            <w:tcW w:w="1950"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príloha V so zmenami a doplneniami</w:t>
            </w:r>
          </w:p>
        </w:tc>
        <w:tc>
          <w:tcPr>
            <w:tcW w:w="1765"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príloha III</w:t>
            </w:r>
          </w:p>
        </w:tc>
        <w:tc>
          <w:tcPr>
            <w:tcW w:w="1671"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w:t>
            </w:r>
          </w:p>
        </w:tc>
      </w:tr>
      <w:tr w:rsidR="005C7768" w:rsidRPr="00E8450A" w:rsidTr="00335440">
        <w:tc>
          <w:tcPr>
            <w:tcW w:w="2136"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príloha III</w:t>
            </w:r>
          </w:p>
        </w:tc>
        <w:tc>
          <w:tcPr>
            <w:tcW w:w="1764"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w:t>
            </w:r>
          </w:p>
        </w:tc>
        <w:tc>
          <w:tcPr>
            <w:tcW w:w="1950"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príloha VI</w:t>
            </w:r>
          </w:p>
        </w:tc>
        <w:tc>
          <w:tcPr>
            <w:tcW w:w="1765"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príloha IV</w:t>
            </w:r>
          </w:p>
        </w:tc>
        <w:tc>
          <w:tcPr>
            <w:tcW w:w="1671"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w:t>
            </w:r>
          </w:p>
        </w:tc>
      </w:tr>
      <w:tr w:rsidR="005C7768" w:rsidRPr="00E8450A" w:rsidTr="00335440">
        <w:tc>
          <w:tcPr>
            <w:tcW w:w="2136"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príloha IV</w:t>
            </w:r>
          </w:p>
        </w:tc>
        <w:tc>
          <w:tcPr>
            <w:tcW w:w="1764"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w:t>
            </w:r>
          </w:p>
        </w:tc>
        <w:tc>
          <w:tcPr>
            <w:tcW w:w="1950"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w:t>
            </w:r>
          </w:p>
        </w:tc>
        <w:tc>
          <w:tcPr>
            <w:tcW w:w="1765"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w:t>
            </w:r>
          </w:p>
        </w:tc>
        <w:tc>
          <w:tcPr>
            <w:tcW w:w="1671"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w:t>
            </w:r>
          </w:p>
        </w:tc>
      </w:tr>
      <w:tr w:rsidR="005C7768" w:rsidRPr="00E8450A" w:rsidTr="00335440">
        <w:tc>
          <w:tcPr>
            <w:tcW w:w="2136"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príloha V</w:t>
            </w:r>
          </w:p>
        </w:tc>
        <w:tc>
          <w:tcPr>
            <w:tcW w:w="1764"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w:t>
            </w:r>
          </w:p>
        </w:tc>
        <w:tc>
          <w:tcPr>
            <w:tcW w:w="1950"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príloha VII so zmenami a doplneniami</w:t>
            </w:r>
          </w:p>
        </w:tc>
        <w:tc>
          <w:tcPr>
            <w:tcW w:w="1765"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príloha V</w:t>
            </w:r>
          </w:p>
        </w:tc>
        <w:tc>
          <w:tcPr>
            <w:tcW w:w="1671"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w:t>
            </w:r>
          </w:p>
        </w:tc>
      </w:tr>
      <w:tr w:rsidR="005C7768" w:rsidRPr="00E8450A" w:rsidTr="00335440">
        <w:tc>
          <w:tcPr>
            <w:tcW w:w="2136"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príloha VI</w:t>
            </w:r>
          </w:p>
        </w:tc>
        <w:tc>
          <w:tcPr>
            <w:tcW w:w="1764"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w:t>
            </w:r>
          </w:p>
        </w:tc>
        <w:tc>
          <w:tcPr>
            <w:tcW w:w="1950"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príloha IX so zmenami a doplneniami</w:t>
            </w:r>
          </w:p>
        </w:tc>
        <w:tc>
          <w:tcPr>
            <w:tcW w:w="1765"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príloha VII</w:t>
            </w:r>
          </w:p>
        </w:tc>
        <w:tc>
          <w:tcPr>
            <w:tcW w:w="1671"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príloha VIII</w:t>
            </w:r>
          </w:p>
        </w:tc>
      </w:tr>
      <w:tr w:rsidR="005C7768" w:rsidRPr="00E8450A" w:rsidTr="00335440">
        <w:tc>
          <w:tcPr>
            <w:tcW w:w="2136"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príloha VII</w:t>
            </w:r>
          </w:p>
        </w:tc>
        <w:tc>
          <w:tcPr>
            <w:tcW w:w="1764"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w:t>
            </w:r>
          </w:p>
        </w:tc>
        <w:tc>
          <w:tcPr>
            <w:tcW w:w="1950"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w:t>
            </w:r>
          </w:p>
        </w:tc>
        <w:tc>
          <w:tcPr>
            <w:tcW w:w="1765"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w:t>
            </w:r>
          </w:p>
        </w:tc>
        <w:tc>
          <w:tcPr>
            <w:tcW w:w="1671"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príloha I, príloha III oddiel II</w:t>
            </w:r>
          </w:p>
        </w:tc>
      </w:tr>
      <w:tr w:rsidR="005C7768" w:rsidRPr="00E8450A" w:rsidTr="00335440">
        <w:tc>
          <w:tcPr>
            <w:tcW w:w="2136"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príloha VIII</w:t>
            </w:r>
          </w:p>
        </w:tc>
        <w:tc>
          <w:tcPr>
            <w:tcW w:w="1764"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w:t>
            </w:r>
          </w:p>
        </w:tc>
        <w:tc>
          <w:tcPr>
            <w:tcW w:w="1950"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w:t>
            </w:r>
          </w:p>
        </w:tc>
        <w:tc>
          <w:tcPr>
            <w:tcW w:w="1765"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w:t>
            </w:r>
          </w:p>
        </w:tc>
        <w:tc>
          <w:tcPr>
            <w:tcW w:w="1671"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príloha IV</w:t>
            </w:r>
          </w:p>
        </w:tc>
      </w:tr>
      <w:tr w:rsidR="005C7768" w:rsidRPr="00E8450A" w:rsidTr="00335440">
        <w:tc>
          <w:tcPr>
            <w:tcW w:w="2136"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príloha IX</w:t>
            </w:r>
          </w:p>
        </w:tc>
        <w:tc>
          <w:tcPr>
            <w:tcW w:w="1764"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w:t>
            </w:r>
          </w:p>
        </w:tc>
        <w:tc>
          <w:tcPr>
            <w:tcW w:w="1950"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w:t>
            </w:r>
          </w:p>
        </w:tc>
        <w:tc>
          <w:tcPr>
            <w:tcW w:w="1765"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w:t>
            </w:r>
          </w:p>
        </w:tc>
        <w:tc>
          <w:tcPr>
            <w:tcW w:w="1671"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príloha V</w:t>
            </w:r>
          </w:p>
        </w:tc>
      </w:tr>
      <w:tr w:rsidR="005C7768" w:rsidRPr="00E8450A" w:rsidTr="00335440">
        <w:tc>
          <w:tcPr>
            <w:tcW w:w="2136"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príloha X</w:t>
            </w:r>
          </w:p>
        </w:tc>
        <w:tc>
          <w:tcPr>
            <w:tcW w:w="1764"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w:t>
            </w:r>
          </w:p>
        </w:tc>
        <w:tc>
          <w:tcPr>
            <w:tcW w:w="1950"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w:t>
            </w:r>
          </w:p>
        </w:tc>
        <w:tc>
          <w:tcPr>
            <w:tcW w:w="1765"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w:t>
            </w:r>
          </w:p>
        </w:tc>
        <w:tc>
          <w:tcPr>
            <w:tcW w:w="1671"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príloha VI</w:t>
            </w:r>
          </w:p>
        </w:tc>
      </w:tr>
      <w:tr w:rsidR="005C7768" w:rsidRPr="00E8450A" w:rsidTr="00335440">
        <w:tc>
          <w:tcPr>
            <w:tcW w:w="2136"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príloha XI</w:t>
            </w:r>
          </w:p>
        </w:tc>
        <w:tc>
          <w:tcPr>
            <w:tcW w:w="1764"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w:t>
            </w:r>
          </w:p>
        </w:tc>
        <w:tc>
          <w:tcPr>
            <w:tcW w:w="1950"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príloha I oddiel I, príloha II oddiel I a príloha III (so zmenami a doplneniami); príloha IV (nezmenená)</w:t>
            </w:r>
          </w:p>
        </w:tc>
        <w:tc>
          <w:tcPr>
            <w:tcW w:w="1765"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príloha I, príloha II</w:t>
            </w:r>
          </w:p>
        </w:tc>
        <w:tc>
          <w:tcPr>
            <w:tcW w:w="1671"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w:t>
            </w:r>
          </w:p>
        </w:tc>
      </w:tr>
      <w:tr w:rsidR="005C7768" w:rsidRPr="00E8450A" w:rsidTr="00335440">
        <w:tc>
          <w:tcPr>
            <w:tcW w:w="2136"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príloha XII</w:t>
            </w:r>
          </w:p>
        </w:tc>
        <w:tc>
          <w:tcPr>
            <w:tcW w:w="1764"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w:t>
            </w:r>
          </w:p>
        </w:tc>
        <w:tc>
          <w:tcPr>
            <w:tcW w:w="1950"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príloha I oddiel II, príloha II oddiel II</w:t>
            </w:r>
          </w:p>
        </w:tc>
        <w:tc>
          <w:tcPr>
            <w:tcW w:w="1765"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w:t>
            </w:r>
          </w:p>
        </w:tc>
        <w:tc>
          <w:tcPr>
            <w:tcW w:w="1671"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príloha II oddiel I</w:t>
            </w:r>
          </w:p>
        </w:tc>
      </w:tr>
      <w:tr w:rsidR="005C7768" w:rsidRPr="00E8450A" w:rsidTr="00335440">
        <w:tc>
          <w:tcPr>
            <w:tcW w:w="2136"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príloha XIII</w:t>
            </w:r>
          </w:p>
        </w:tc>
        <w:tc>
          <w:tcPr>
            <w:tcW w:w="1764"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w:t>
            </w:r>
          </w:p>
        </w:tc>
        <w:tc>
          <w:tcPr>
            <w:tcW w:w="1950"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príloha I oddiel I, príloha II oddiel I</w:t>
            </w:r>
          </w:p>
        </w:tc>
        <w:tc>
          <w:tcPr>
            <w:tcW w:w="1765"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w:t>
            </w:r>
          </w:p>
        </w:tc>
        <w:tc>
          <w:tcPr>
            <w:tcW w:w="1671"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w:t>
            </w:r>
          </w:p>
        </w:tc>
      </w:tr>
      <w:tr w:rsidR="005C7768" w:rsidRPr="00E8450A" w:rsidTr="00335440">
        <w:tc>
          <w:tcPr>
            <w:tcW w:w="2136"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príloha XIV</w:t>
            </w:r>
          </w:p>
        </w:tc>
        <w:tc>
          <w:tcPr>
            <w:tcW w:w="1764"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w:t>
            </w:r>
          </w:p>
        </w:tc>
        <w:tc>
          <w:tcPr>
            <w:tcW w:w="1950"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w:t>
            </w:r>
          </w:p>
        </w:tc>
        <w:tc>
          <w:tcPr>
            <w:tcW w:w="1765"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w:t>
            </w:r>
          </w:p>
        </w:tc>
        <w:tc>
          <w:tcPr>
            <w:tcW w:w="1671"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w:t>
            </w:r>
          </w:p>
        </w:tc>
      </w:tr>
      <w:tr w:rsidR="005C7768" w:rsidRPr="00E8450A" w:rsidTr="00335440">
        <w:tc>
          <w:tcPr>
            <w:tcW w:w="2136"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príloha XV oddiel A</w:t>
            </w:r>
          </w:p>
        </w:tc>
        <w:tc>
          <w:tcPr>
            <w:tcW w:w="1764"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príloha IV</w:t>
            </w:r>
          </w:p>
        </w:tc>
        <w:tc>
          <w:tcPr>
            <w:tcW w:w="1950"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w:t>
            </w:r>
          </w:p>
        </w:tc>
        <w:tc>
          <w:tcPr>
            <w:tcW w:w="1765"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w:t>
            </w:r>
          </w:p>
        </w:tc>
        <w:tc>
          <w:tcPr>
            <w:tcW w:w="1671"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w:t>
            </w:r>
          </w:p>
        </w:tc>
      </w:tr>
      <w:tr w:rsidR="005C7768" w:rsidRPr="00E8450A" w:rsidTr="00335440">
        <w:tc>
          <w:tcPr>
            <w:tcW w:w="2136"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príloha XV oddiel B</w:t>
            </w:r>
          </w:p>
        </w:tc>
        <w:tc>
          <w:tcPr>
            <w:tcW w:w="1764"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w:t>
            </w:r>
          </w:p>
        </w:tc>
        <w:tc>
          <w:tcPr>
            <w:tcW w:w="1950"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w:t>
            </w:r>
          </w:p>
        </w:tc>
        <w:tc>
          <w:tcPr>
            <w:tcW w:w="1765"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w:t>
            </w:r>
          </w:p>
        </w:tc>
        <w:tc>
          <w:tcPr>
            <w:tcW w:w="1671"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w:t>
            </w:r>
          </w:p>
        </w:tc>
      </w:tr>
      <w:tr w:rsidR="005C7768" w:rsidRPr="00E8450A" w:rsidTr="00335440">
        <w:tc>
          <w:tcPr>
            <w:tcW w:w="2136"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príloha XVI</w:t>
            </w:r>
          </w:p>
        </w:tc>
        <w:tc>
          <w:tcPr>
            <w:tcW w:w="1764"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w:t>
            </w:r>
          </w:p>
        </w:tc>
        <w:tc>
          <w:tcPr>
            <w:tcW w:w="1950"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článok 8</w:t>
            </w:r>
          </w:p>
        </w:tc>
        <w:tc>
          <w:tcPr>
            <w:tcW w:w="1765"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článok 7</w:t>
            </w:r>
          </w:p>
        </w:tc>
        <w:tc>
          <w:tcPr>
            <w:tcW w:w="1671" w:type="dxa"/>
            <w:tcBorders>
              <w:top w:val="single" w:sz="2" w:space="0" w:color="auto"/>
              <w:left w:val="single" w:sz="2" w:space="0" w:color="auto"/>
              <w:bottom w:val="single" w:sz="2" w:space="0" w:color="auto"/>
              <w:right w:val="single" w:sz="2" w:space="0" w:color="auto"/>
            </w:tcBorders>
          </w:tcPr>
          <w:p w:rsidR="005C7768" w:rsidRPr="00E8450A" w:rsidRDefault="005C7768" w:rsidP="00335440">
            <w:pPr>
              <w:pStyle w:val="NormalLeft"/>
              <w:rPr>
                <w:noProof/>
              </w:rPr>
            </w:pPr>
            <w:r w:rsidRPr="00E8450A">
              <w:rPr>
                <w:rStyle w:val="CRDeleted"/>
                <w:noProof/>
              </w:rPr>
              <w:t>článok 6 so zmenami a doplneniami</w:t>
            </w:r>
          </w:p>
        </w:tc>
      </w:tr>
    </w:tbl>
    <w:p w:rsidR="00905D22" w:rsidRPr="00E8450A" w:rsidRDefault="00905D22" w:rsidP="00B2621D">
      <w:pPr>
        <w:rPr>
          <w:noProof/>
        </w:rPr>
      </w:pPr>
    </w:p>
    <w:sectPr w:rsidR="00905D22" w:rsidRPr="00E8450A" w:rsidSect="000A000C">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2FD4" w:rsidRDefault="00A52FD4" w:rsidP="00396189">
      <w:pPr>
        <w:spacing w:before="0" w:after="0"/>
      </w:pPr>
      <w:r>
        <w:separator/>
      </w:r>
    </w:p>
  </w:endnote>
  <w:endnote w:type="continuationSeparator" w:id="0">
    <w:p w:rsidR="00A52FD4" w:rsidRDefault="00A52FD4" w:rsidP="00396189">
      <w:pPr>
        <w:spacing w:before="0" w:after="0"/>
      </w:pPr>
      <w:r>
        <w:continuationSeparator/>
      </w:r>
    </w:p>
  </w:endnote>
  <w:endnote w:type="continuationNotice" w:id="1">
    <w:p w:rsidR="00A52FD4" w:rsidRDefault="00A52FD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Roboto">
    <w:altName w:val="Times New Roman"/>
    <w:charset w:val="00"/>
    <w:family w:val="auto"/>
    <w:pitch w:val="variable"/>
    <w:sig w:usb0="00000001"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000C" w:rsidRPr="000A000C" w:rsidRDefault="000A000C" w:rsidP="000A00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2FD4" w:rsidRPr="000A000C" w:rsidRDefault="000A000C" w:rsidP="000A000C">
    <w:pPr>
      <w:pStyle w:val="Footer"/>
      <w:rPr>
        <w:rFonts w:ascii="Arial" w:hAnsi="Arial" w:cs="Arial"/>
        <w:b/>
        <w:sz w:val="48"/>
      </w:rPr>
    </w:pPr>
    <w:r w:rsidRPr="000A000C">
      <w:rPr>
        <w:rFonts w:ascii="Arial" w:hAnsi="Arial" w:cs="Arial"/>
        <w:b/>
        <w:sz w:val="48"/>
      </w:rPr>
      <w:t>SK</w:t>
    </w:r>
    <w:r w:rsidRPr="000A000C">
      <w:rPr>
        <w:rFonts w:ascii="Arial" w:hAnsi="Arial" w:cs="Arial"/>
        <w:b/>
        <w:sz w:val="48"/>
      </w:rPr>
      <w:tab/>
    </w:r>
    <w:r w:rsidRPr="000A000C">
      <w:rPr>
        <w:rFonts w:ascii="Arial" w:hAnsi="Arial" w:cs="Arial"/>
        <w:b/>
        <w:sz w:val="48"/>
      </w:rPr>
      <w:tab/>
    </w:r>
    <w:r w:rsidRPr="000A000C">
      <w:tab/>
    </w:r>
    <w:r w:rsidRPr="000A000C">
      <w:rPr>
        <w:rFonts w:ascii="Arial" w:hAnsi="Arial" w:cs="Arial"/>
        <w:b/>
        <w:sz w:val="48"/>
      </w:rPr>
      <w:t>SK</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000C" w:rsidRPr="000A000C" w:rsidRDefault="000A000C" w:rsidP="000A000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000C" w:rsidRPr="000A000C" w:rsidRDefault="000A000C" w:rsidP="000A000C">
    <w:pPr>
      <w:pStyle w:val="Footer"/>
      <w:rPr>
        <w:rFonts w:ascii="Arial" w:hAnsi="Arial" w:cs="Arial"/>
        <w:b/>
        <w:sz w:val="48"/>
      </w:rPr>
    </w:pPr>
    <w:r w:rsidRPr="000A000C">
      <w:rPr>
        <w:rFonts w:ascii="Arial" w:hAnsi="Arial" w:cs="Arial"/>
        <w:b/>
        <w:sz w:val="48"/>
      </w:rPr>
      <w:t>SK</w:t>
    </w:r>
    <w:r w:rsidRPr="000A000C">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0A000C">
      <w:tab/>
    </w:r>
    <w:r w:rsidRPr="000A000C">
      <w:rPr>
        <w:rFonts w:ascii="Arial" w:hAnsi="Arial" w:cs="Arial"/>
        <w:b/>
        <w:sz w:val="48"/>
      </w:rPr>
      <w:t>SK</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000C" w:rsidRPr="000A000C" w:rsidRDefault="000A000C" w:rsidP="000A00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2FD4" w:rsidRDefault="00A52FD4" w:rsidP="00396189">
      <w:pPr>
        <w:spacing w:before="0" w:after="0"/>
      </w:pPr>
      <w:r>
        <w:separator/>
      </w:r>
    </w:p>
  </w:footnote>
  <w:footnote w:type="continuationSeparator" w:id="0">
    <w:p w:rsidR="00A52FD4" w:rsidRDefault="00A52FD4" w:rsidP="00396189">
      <w:pPr>
        <w:spacing w:before="0" w:after="0"/>
      </w:pPr>
      <w:r>
        <w:continuationSeparator/>
      </w:r>
    </w:p>
  </w:footnote>
  <w:footnote w:type="continuationNotice" w:id="1">
    <w:p w:rsidR="00A52FD4" w:rsidRDefault="00A52FD4">
      <w:pPr>
        <w:spacing w:before="0" w:after="0"/>
      </w:pPr>
    </w:p>
  </w:footnote>
  <w:footnote w:id="2">
    <w:p w:rsidR="00A52FD4" w:rsidRPr="00EC2071" w:rsidRDefault="00A52FD4" w:rsidP="00FC18DA">
      <w:pPr>
        <w:pStyle w:val="title-bold"/>
        <w:shd w:val="clear" w:color="auto" w:fill="FFFFFF"/>
        <w:spacing w:before="0" w:beforeAutospacing="0" w:after="75" w:afterAutospacing="0"/>
        <w:ind w:left="720" w:hanging="720"/>
        <w:rPr>
          <w:rFonts w:ascii="Roboto" w:hAnsi="Roboto"/>
          <w:color w:val="333333"/>
          <w:sz w:val="22"/>
          <w:szCs w:val="22"/>
          <w:highlight w:val="lightGray"/>
        </w:rPr>
      </w:pPr>
      <w:r>
        <w:rPr>
          <w:rStyle w:val="FootnoteReference"/>
          <w:highlight w:val="lightGray"/>
        </w:rPr>
        <w:footnoteRef/>
      </w:r>
      <w:r>
        <w:tab/>
      </w:r>
      <w:r>
        <w:rPr>
          <w:sz w:val="20"/>
          <w:highlight w:val="lightGray"/>
        </w:rPr>
        <w:t>Smernica Európskeho parlamentu a Rady (EÚ) 2016/2284 zo 14. decembra 2016 o znížení národných emisií určitých látok znečisťujúcich ovzdušie, ktorou sa mení smernica 2003/35/ES a zrušuje smernica 2001/81/ES (Ú. v. EÚ L 344, 17.12.2016, s. 1).</w:t>
      </w:r>
    </w:p>
    <w:p w:rsidR="00A52FD4" w:rsidRDefault="00A52FD4" w:rsidP="004F4CD1">
      <w:pPr>
        <w:pStyle w:val="title-bold"/>
        <w:shd w:val="clear" w:color="auto" w:fill="FFFFFF"/>
        <w:spacing w:before="0" w:beforeAutospacing="0" w:after="75" w:afterAutospacing="0"/>
      </w:pPr>
    </w:p>
  </w:footnote>
  <w:footnote w:id="3">
    <w:p w:rsidR="00A52FD4" w:rsidRPr="00E8450A" w:rsidRDefault="00A52FD4" w:rsidP="004F4CD1">
      <w:pPr>
        <w:pStyle w:val="FootnoteText"/>
        <w:rPr>
          <w:highlight w:val="lightGray"/>
        </w:rPr>
      </w:pPr>
      <w:r>
        <w:rPr>
          <w:rStyle w:val="FootnoteReference"/>
          <w:highlight w:val="lightGray"/>
        </w:rPr>
        <w:footnoteRef/>
      </w:r>
      <w:r w:rsidRPr="00E8450A">
        <w:tab/>
      </w:r>
      <w:r w:rsidRPr="00E8450A">
        <w:rPr>
          <w:sz w:val="18"/>
          <w:highlight w:val="lightGray"/>
        </w:rPr>
        <w:t>Nariadenie Komisie (ES) č. 1737/2006 zo 7. novembra 2006, ktorým sa stanovujú podrobné pravidlá vykonávania nariadenia Európskeho parlamentu a Rady (ES) č. 2152/2003 týkajúce sa monitorovania lesov a environmentálnych interakcií v Spoločenstve (Ú. v. EÚ L 334, 30.11.2006, s. 1).</w:t>
      </w:r>
    </w:p>
  </w:footnote>
  <w:footnote w:id="4">
    <w:p w:rsidR="00A52FD4" w:rsidRPr="00E8450A" w:rsidRDefault="00A52FD4" w:rsidP="004F4CD1">
      <w:pPr>
        <w:pStyle w:val="FootnoteText"/>
        <w:rPr>
          <w:highlight w:val="lightGray"/>
          <w:lang w:val="es-ES"/>
        </w:rPr>
      </w:pPr>
      <w:r>
        <w:rPr>
          <w:rStyle w:val="FootnoteReference"/>
          <w:highlight w:val="lightGray"/>
        </w:rPr>
        <w:footnoteRef/>
      </w:r>
      <w:r w:rsidRPr="00E8450A">
        <w:rPr>
          <w:lang w:val="es-ES"/>
        </w:rPr>
        <w:tab/>
      </w:r>
      <w:r w:rsidRPr="00E8450A">
        <w:rPr>
          <w:highlight w:val="lightGray"/>
          <w:lang w:val="es-ES"/>
        </w:rPr>
        <w:t>Prahová hodnota sa pre PM</w:t>
      </w:r>
      <w:r w:rsidRPr="00E8450A">
        <w:rPr>
          <w:highlight w:val="lightGray"/>
          <w:vertAlign w:val="subscript"/>
          <w:lang w:val="es-ES"/>
        </w:rPr>
        <w:t>10</w:t>
      </w:r>
      <w:r w:rsidRPr="00E8450A">
        <w:rPr>
          <w:highlight w:val="lightGray"/>
          <w:lang w:val="es-ES"/>
        </w:rPr>
        <w:t xml:space="preserve"> stanoví na 4 µg/m</w:t>
      </w:r>
      <w:r w:rsidRPr="00E8450A">
        <w:rPr>
          <w:highlight w:val="lightGray"/>
          <w:vertAlign w:val="superscript"/>
          <w:lang w:val="es-ES"/>
        </w:rPr>
        <w:t>3</w:t>
      </w:r>
      <w:r w:rsidRPr="00E8450A">
        <w:rPr>
          <w:highlight w:val="lightGray"/>
          <w:lang w:val="es-ES"/>
        </w:rPr>
        <w:t>, pre PM</w:t>
      </w:r>
      <w:r w:rsidRPr="00E8450A">
        <w:rPr>
          <w:highlight w:val="lightGray"/>
          <w:vertAlign w:val="subscript"/>
          <w:lang w:val="es-ES"/>
        </w:rPr>
        <w:t>2,5</w:t>
      </w:r>
      <w:r w:rsidRPr="00E8450A">
        <w:rPr>
          <w:highlight w:val="lightGray"/>
          <w:lang w:val="es-ES"/>
        </w:rPr>
        <w:t xml:space="preserve"> na 3 µg/m</w:t>
      </w:r>
      <w:r w:rsidRPr="00E8450A">
        <w:rPr>
          <w:highlight w:val="lightGray"/>
          <w:vertAlign w:val="superscript"/>
          <w:lang w:val="es-ES"/>
        </w:rPr>
        <w:t>3</w:t>
      </w:r>
      <w:r w:rsidRPr="00E8450A">
        <w:rPr>
          <w:highlight w:val="lightGray"/>
          <w:lang w:val="es-ES"/>
        </w:rPr>
        <w:t>, pre O</w:t>
      </w:r>
      <w:r w:rsidRPr="00E8450A">
        <w:rPr>
          <w:highlight w:val="lightGray"/>
          <w:vertAlign w:val="subscript"/>
          <w:lang w:val="es-ES"/>
        </w:rPr>
        <w:t>3</w:t>
      </w:r>
      <w:r w:rsidRPr="00E8450A">
        <w:rPr>
          <w:highlight w:val="lightGray"/>
          <w:lang w:val="es-ES"/>
        </w:rPr>
        <w:t xml:space="preserve"> na 10 µg/m</w:t>
      </w:r>
      <w:r w:rsidRPr="00E8450A">
        <w:rPr>
          <w:highlight w:val="lightGray"/>
          <w:vertAlign w:val="superscript"/>
          <w:lang w:val="es-ES"/>
        </w:rPr>
        <w:t>3</w:t>
      </w:r>
      <w:r w:rsidRPr="00E8450A">
        <w:rPr>
          <w:highlight w:val="lightGray"/>
          <w:lang w:val="es-ES"/>
        </w:rPr>
        <w:t>, pre NO</w:t>
      </w:r>
      <w:r w:rsidRPr="00E8450A">
        <w:rPr>
          <w:highlight w:val="lightGray"/>
          <w:vertAlign w:val="subscript"/>
          <w:lang w:val="es-ES"/>
        </w:rPr>
        <w:t>2</w:t>
      </w:r>
      <w:r w:rsidRPr="00E8450A">
        <w:rPr>
          <w:highlight w:val="lightGray"/>
          <w:lang w:val="es-ES"/>
        </w:rPr>
        <w:t xml:space="preserve"> na 3 µg/m</w:t>
      </w:r>
      <w:r w:rsidRPr="00E8450A">
        <w:rPr>
          <w:highlight w:val="lightGray"/>
          <w:vertAlign w:val="superscript"/>
          <w:lang w:val="es-ES"/>
        </w:rPr>
        <w:t>3</w:t>
      </w:r>
      <w:r w:rsidRPr="00E8450A">
        <w:rPr>
          <w:highlight w:val="lightGray"/>
          <w:lang w:val="es-ES"/>
        </w:rPr>
        <w:t>, pre SO</w:t>
      </w:r>
      <w:r w:rsidRPr="00E8450A">
        <w:rPr>
          <w:highlight w:val="lightGray"/>
          <w:vertAlign w:val="subscript"/>
          <w:lang w:val="es-ES"/>
        </w:rPr>
        <w:t>2</w:t>
      </w:r>
      <w:r w:rsidRPr="00E8450A">
        <w:rPr>
          <w:highlight w:val="lightGray"/>
          <w:lang w:val="es-ES"/>
        </w:rPr>
        <w:t xml:space="preserve"> na 5 µg/m</w:t>
      </w:r>
      <w:r w:rsidRPr="00E8450A">
        <w:rPr>
          <w:highlight w:val="lightGray"/>
          <w:vertAlign w:val="superscript"/>
          <w:lang w:val="es-ES"/>
        </w:rPr>
        <w:t>3</w:t>
      </w:r>
      <w:r w:rsidRPr="00E8450A">
        <w:rPr>
          <w:highlight w:val="lightGray"/>
          <w:lang w:val="es-ES"/>
        </w:rPr>
        <w:t xml:space="preserve"> a pre CO na 0,5 mg/m</w:t>
      </w:r>
      <w:r w:rsidRPr="00E8450A">
        <w:rPr>
          <w:highlight w:val="lightGray"/>
          <w:vertAlign w:val="superscript"/>
          <w:lang w:val="es-ES"/>
        </w:rPr>
        <w:t>3</w:t>
      </w:r>
      <w:r w:rsidRPr="00E8450A">
        <w:rPr>
          <w:highlight w:val="lightGray"/>
          <w:lang w:val="es-ES"/>
        </w:rPr>
        <w:t>. Tieto hodnoty vyplývajú zo súčasných poznatkov a musia sa pravidelne aktualizovať aspoň každých päť rokov, aby odrážali najnovší vývoj.</w:t>
      </w:r>
    </w:p>
  </w:footnote>
  <w:footnote w:id="5">
    <w:p w:rsidR="00A52FD4" w:rsidRPr="00EC2071" w:rsidRDefault="00A52FD4" w:rsidP="00F965F6">
      <w:pPr>
        <w:pStyle w:val="title-bold"/>
        <w:shd w:val="clear" w:color="auto" w:fill="FFFFFF"/>
        <w:spacing w:before="0" w:beforeAutospacing="0" w:after="75" w:afterAutospacing="0"/>
        <w:ind w:left="720" w:hanging="720"/>
        <w:rPr>
          <w:color w:val="333333"/>
          <w:sz w:val="18"/>
          <w:szCs w:val="18"/>
          <w:highlight w:val="lightGray"/>
        </w:rPr>
      </w:pPr>
      <w:r>
        <w:rPr>
          <w:rStyle w:val="FootnoteReference"/>
          <w:highlight w:val="lightGray"/>
        </w:rPr>
        <w:footnoteRef/>
      </w:r>
      <w:r>
        <w:tab/>
      </w:r>
      <w:r>
        <w:rPr>
          <w:color w:val="333333"/>
          <w:sz w:val="18"/>
          <w:highlight w:val="lightGray"/>
        </w:rPr>
        <w:t>Nariadenie Európskeho parlamentu a Rady (ES) č. 765/2008 z 9. júla 2008, ktorým sa stanovujú požiadavky akreditácie a dohľadu nad trhom v súvislosti s uvádzaním výrobkov na trh a ktorým sa zrušuje nariadenie (EHS) č. 339/93 (Ú. v. EÚ L 218, 13.8.2008, s. 30).</w:t>
      </w:r>
    </w:p>
    <w:p w:rsidR="00A52FD4" w:rsidRDefault="00A52FD4" w:rsidP="004F4CD1">
      <w:pPr>
        <w:pStyle w:val="title-bold"/>
        <w:shd w:val="clear" w:color="auto" w:fill="FFFFFF"/>
        <w:spacing w:before="0" w:beforeAutospacing="0" w:after="75" w:afterAutospacing="0"/>
      </w:pPr>
    </w:p>
  </w:footnote>
  <w:footnote w:id="6">
    <w:p w:rsidR="00A52FD4" w:rsidRPr="00E8450A" w:rsidRDefault="00A52FD4" w:rsidP="005C7768">
      <w:pPr>
        <w:pStyle w:val="FootnoteText"/>
      </w:pPr>
      <w:r>
        <w:rPr>
          <w:rStyle w:val="FootnoteReference"/>
          <w:highlight w:val="lightGray"/>
          <w:lang w:val="en-US"/>
        </w:rPr>
        <w:footnoteRef/>
      </w:r>
      <w:r w:rsidRPr="00E8450A">
        <w:tab/>
      </w:r>
      <w:r>
        <w:rPr>
          <w:rStyle w:val="CRRefonteDeleted"/>
          <w:highlight w:val="lightGray"/>
        </w:rPr>
        <w:t>Rozdelené v rámci roka tak, aby predstavovali rôzne podmienky klímy a antropogénnych činností.</w:t>
      </w:r>
    </w:p>
  </w:footnote>
  <w:footnote w:id="7">
    <w:p w:rsidR="00A52FD4" w:rsidRPr="00E8450A" w:rsidRDefault="00A52FD4" w:rsidP="005C7768">
      <w:pPr>
        <w:pStyle w:val="FootnoteText"/>
      </w:pPr>
      <w:r>
        <w:rPr>
          <w:rStyle w:val="FootnoteReference"/>
          <w:highlight w:val="lightGray"/>
          <w:lang w:val="en-US"/>
        </w:rPr>
        <w:footnoteRef/>
      </w:r>
      <w:r w:rsidRPr="00E8450A">
        <w:tab/>
      </w:r>
      <w:r>
        <w:rPr>
          <w:rStyle w:val="CRRefonteDeleted"/>
          <w:highlight w:val="lightGray"/>
        </w:rPr>
        <w:t>Rozdelené v rámci roka tak, aby predstavovali rôzne podmienky klímy a antropogénnych činností.</w:t>
      </w:r>
    </w:p>
  </w:footnote>
  <w:footnote w:id="8">
    <w:p w:rsidR="00A52FD4" w:rsidRPr="00E8450A" w:rsidRDefault="00A52FD4" w:rsidP="005C7768">
      <w:pPr>
        <w:pStyle w:val="FootnoteText"/>
      </w:pPr>
      <w:r>
        <w:rPr>
          <w:rStyle w:val="FootnoteReference"/>
          <w:highlight w:val="lightGray"/>
          <w:lang w:val="en-US"/>
        </w:rPr>
        <w:footnoteRef/>
      </w:r>
      <w:r w:rsidRPr="00E8450A">
        <w:tab/>
      </w:r>
      <w:r>
        <w:rPr>
          <w:rStyle w:val="CRRefonteDeleted"/>
          <w:highlight w:val="lightGray"/>
        </w:rPr>
        <w:t>Indikatívne merania sú merania, ktoré sa vykonávajú so zníženou pravidelnosťou, ale spĺňajú ostatné ciele kvality údajov.</w:t>
      </w:r>
    </w:p>
  </w:footnote>
  <w:footnote w:id="9">
    <w:p w:rsidR="00A52FD4" w:rsidRPr="00E8450A" w:rsidRDefault="00A52FD4" w:rsidP="005C7768">
      <w:pPr>
        <w:pStyle w:val="FootnoteText"/>
      </w:pPr>
      <w:r>
        <w:rPr>
          <w:rStyle w:val="FootnoteReference"/>
          <w:highlight w:val="lightGray"/>
          <w:lang w:val="en-US"/>
        </w:rPr>
        <w:footnoteRef/>
      </w:r>
      <w:r w:rsidRPr="00E8450A">
        <w:tab/>
      </w:r>
      <w:r>
        <w:rPr>
          <w:rStyle w:val="CRRefonteDeleted"/>
          <w:highlight w:val="lightGray"/>
        </w:rPr>
        <w:t>Členské štáty môžu pri benzéne, olove a suspendovaných časticiach uplatňovať náhodné merania namiesto nepretržitých meraní, ak môžu Komisii dokázať, že neistota vrátane neistoty v rámci náhodného odberu vzoriek spĺňa kvalitatívny cieľ 25 % a časové pokrytie je vždy dlhšie ako minimálne časové pokrytie pre indikatívne merania. Náhodný odber vzorky je potrebné rozdeliť v rámci roka rovnomerne, aby sa zabránilo skresleniu údajov. Neistota v rámci náhodného odberu vzorky sa môže určiť postupom ustanoveným v ISO 11222 (2002) „Kvalita ovzdušia – Stanovenie neistoty priemernej hodnoty pri meraniach kvality ovzdušia“. Ak sa náhodné merania používajú na hodnotenie požiadaviek na limitnú hodnotu PM</w:t>
      </w:r>
      <w:r>
        <w:rPr>
          <w:rStyle w:val="CRRefonteDeleted"/>
          <w:highlight w:val="lightGray"/>
          <w:vertAlign w:val="subscript"/>
        </w:rPr>
        <w:t>10</w:t>
      </w:r>
      <w:r>
        <w:rPr>
          <w:rStyle w:val="CRRefonteDeleted"/>
          <w:highlight w:val="lightGray"/>
        </w:rPr>
        <w:t>, mal by sa namiesto počtu prekročení, na ktorý veľmi vplýva rozsah údajov, hodnotiť 90,4-percentil (má byť nižší alebo rovný 50 μg/m</w:t>
      </w:r>
      <w:r>
        <w:rPr>
          <w:rStyle w:val="CRRefonteDeleted"/>
          <w:highlight w:val="lightGray"/>
          <w:vertAlign w:val="superscript"/>
        </w:rPr>
        <w:t>3</w:t>
      </w:r>
      <w:r>
        <w:rPr>
          <w:rStyle w:val="CRRefonteDeleted"/>
          <w:highlight w:val="lightGray"/>
        </w:rPr>
        <w:t>).</w:t>
      </w:r>
    </w:p>
  </w:footnote>
  <w:footnote w:id="10">
    <w:p w:rsidR="00A52FD4" w:rsidRPr="00E8450A" w:rsidRDefault="00A52FD4" w:rsidP="005C7768">
      <w:pPr>
        <w:pStyle w:val="FootnoteText"/>
      </w:pPr>
      <w:r>
        <w:rPr>
          <w:rStyle w:val="FootnoteReference"/>
          <w:highlight w:val="lightGray"/>
          <w:lang w:val="en-US"/>
        </w:rPr>
        <w:footnoteRef/>
      </w:r>
      <w:r w:rsidRPr="00E8450A">
        <w:tab/>
      </w:r>
      <w:r>
        <w:rPr>
          <w:rStyle w:val="CRRefonteDeleted"/>
          <w:highlight w:val="lightGray"/>
        </w:rPr>
        <w:t>Rozdelené v rámci roka tak, aby predstavovali rôzne podmienky klímy a dopravy.</w:t>
      </w:r>
    </w:p>
  </w:footnote>
  <w:footnote w:id="11">
    <w:p w:rsidR="00A52FD4" w:rsidRPr="00E8450A" w:rsidRDefault="00A52FD4" w:rsidP="005C7768">
      <w:pPr>
        <w:pStyle w:val="FootnoteText"/>
      </w:pPr>
      <w:r>
        <w:rPr>
          <w:rStyle w:val="FootnoteReference"/>
          <w:highlight w:val="lightGray"/>
          <w:lang w:val="en-US"/>
        </w:rPr>
        <w:footnoteRef/>
      </w:r>
      <w:r w:rsidRPr="00E8450A">
        <w:tab/>
      </w:r>
      <w:r>
        <w:rPr>
          <w:rStyle w:val="CRRefonteDeleted"/>
          <w:highlight w:val="lightGray"/>
        </w:rPr>
        <w:t>Jedno náhodné meranie týždenne rovnomerne rozdelené počas roka alebo 8 týždňov rovnomerne rozdelených počas roka.</w:t>
      </w:r>
    </w:p>
  </w:footnote>
  <w:footnote w:id="12">
    <w:p w:rsidR="00A52FD4" w:rsidRPr="00E8450A" w:rsidRDefault="00A52FD4" w:rsidP="005C7768">
      <w:pPr>
        <w:pStyle w:val="FootnoteText"/>
      </w:pPr>
      <w:r>
        <w:rPr>
          <w:rStyle w:val="FootnoteReference"/>
          <w:highlight w:val="lightGray"/>
          <w:lang w:val="en-US"/>
        </w:rPr>
        <w:footnoteRef/>
      </w:r>
      <w:r w:rsidRPr="00E8450A">
        <w:tab/>
      </w:r>
      <w:r>
        <w:rPr>
          <w:rStyle w:val="CRRefonteDeleted"/>
          <w:highlight w:val="lightGray"/>
        </w:rPr>
        <w:t>Jedno náhodné denné meranie týždenne rovnomerne rozdelené počas roka alebo 8 týždňov rovnomerne rozdelených počas roka.</w:t>
      </w:r>
    </w:p>
  </w:footnote>
  <w:footnote w:id="13">
    <w:p w:rsidR="00A52FD4" w:rsidRPr="00E8450A" w:rsidRDefault="00A52FD4" w:rsidP="005C7768">
      <w:pPr>
        <w:pStyle w:val="FootnoteText"/>
      </w:pPr>
      <w:r>
        <w:rPr>
          <w:rStyle w:val="FootnoteReference"/>
          <w:highlight w:val="lightGray"/>
          <w:lang w:val="en-US"/>
        </w:rPr>
        <w:footnoteRef/>
      </w:r>
      <w:r w:rsidRPr="00E8450A">
        <w:tab/>
      </w:r>
      <w:r>
        <w:rPr>
          <w:rStyle w:val="CRRefonteDeleted"/>
          <w:highlight w:val="lightGray"/>
        </w:rPr>
        <w:t>Jedno náhodné meranie týždenne rovnomerne rozdelené počas roka alebo 8 týždňov rovnomerne rozdelených počas roka.</w:t>
      </w:r>
    </w:p>
  </w:footnote>
  <w:footnote w:id="14">
    <w:p w:rsidR="00A52FD4" w:rsidRPr="00E8450A" w:rsidRDefault="00A52FD4" w:rsidP="005C7768">
      <w:pPr>
        <w:pStyle w:val="FootnoteText"/>
      </w:pPr>
      <w:r>
        <w:rPr>
          <w:rStyle w:val="FootnoteReference"/>
          <w:highlight w:val="lightGray"/>
          <w:lang w:val="en-US"/>
        </w:rPr>
        <w:footnoteRef/>
      </w:r>
      <w:r w:rsidRPr="00E8450A">
        <w:tab/>
      </w:r>
      <w:r>
        <w:rPr>
          <w:rStyle w:val="CRRefonteDeleted"/>
          <w:highlight w:val="lightGray"/>
        </w:rPr>
        <w:t>Horný prah na hodnotenie a dolný prah na hodnotenie pre PM</w:t>
      </w:r>
      <w:r>
        <w:rPr>
          <w:rStyle w:val="CRRefonteDeleted"/>
          <w:highlight w:val="lightGray"/>
          <w:vertAlign w:val="subscript"/>
        </w:rPr>
        <w:t>2,5</w:t>
      </w:r>
      <w:r>
        <w:rPr>
          <w:rStyle w:val="CRRefonteDeleted"/>
          <w:highlight w:val="lightGray"/>
        </w:rPr>
        <w:t xml:space="preserve"> sa nevzťahujú na merania na posúdenie dodržiavania cieľa zníženia expozície pre PM</w:t>
      </w:r>
      <w:r>
        <w:rPr>
          <w:rStyle w:val="CRRefonteDeleted"/>
          <w:highlight w:val="lightGray"/>
          <w:vertAlign w:val="subscript"/>
        </w:rPr>
        <w:t>2,5</w:t>
      </w:r>
      <w:r>
        <w:rPr>
          <w:rStyle w:val="CRRefonteDeleted"/>
          <w:highlight w:val="lightGray"/>
        </w:rPr>
        <w:t xml:space="preserve"> na ochranu zdravia ľudí.</w:t>
      </w:r>
    </w:p>
  </w:footnote>
  <w:footnote w:id="15">
    <w:p w:rsidR="00A52FD4" w:rsidRPr="00E8450A" w:rsidRDefault="00A52FD4" w:rsidP="005C7768">
      <w:pPr>
        <w:pStyle w:val="FootnoteText"/>
      </w:pPr>
      <w:r>
        <w:rPr>
          <w:rStyle w:val="FootnoteReference"/>
          <w:highlight w:val="lightGray"/>
          <w:lang w:val="en-US"/>
        </w:rPr>
        <w:footnoteRef/>
      </w:r>
      <w:r w:rsidRPr="00E8450A">
        <w:tab/>
      </w:r>
      <w:r>
        <w:rPr>
          <w:rStyle w:val="CRRefonteDeleted"/>
          <w:highlight w:val="lightGray"/>
        </w:rPr>
        <w:t>Pre oxid siričitý, suspendované častice, benzén a oxid uhoľnatý: zahrnúť aspoň jednu monitorovaciu stanicu na mestskom pozadí a jednu stanicu orientovanú na dopravu pod podmienkou, že to nezvýši počet vzorkovacích miest. Pre tieto znečisťujúce látky sa celkový počet mestských pozaďových staníc a celkový počet staníc orientovaných na dopravu v členskom štáte požadovaný podľa oddielu A bodu 1 nesmie líšiť o viac ako dvojnásobok. Vzorkovacie miesta, na ktorých sa za posledné tri roky limitná hodnota pre PM</w:t>
      </w:r>
      <w:r>
        <w:rPr>
          <w:rStyle w:val="CRRefonteDeleted"/>
          <w:highlight w:val="lightGray"/>
          <w:vertAlign w:val="subscript"/>
        </w:rPr>
        <w:t>10</w:t>
      </w:r>
      <w:r>
        <w:rPr>
          <w:rStyle w:val="CRRefonteDeleted"/>
          <w:highlight w:val="lightGray"/>
        </w:rPr>
        <w:t xml:space="preserve"> prekročila, sa zachovajú, pokiaľ nie je potrebné premiestnenie v dôsledku osobitných okolností, najmä územného rozvoja.</w:t>
      </w:r>
    </w:p>
  </w:footnote>
  <w:footnote w:id="16">
    <w:p w:rsidR="00A52FD4" w:rsidRPr="00E8450A" w:rsidRDefault="00A52FD4" w:rsidP="005C7768">
      <w:pPr>
        <w:pStyle w:val="FootnoteText"/>
      </w:pPr>
      <w:r>
        <w:rPr>
          <w:rStyle w:val="FootnoteReference"/>
          <w:highlight w:val="lightGray"/>
          <w:lang w:val="en-US"/>
        </w:rPr>
        <w:footnoteRef/>
      </w:r>
      <w:r w:rsidRPr="00E8450A">
        <w:tab/>
      </w:r>
      <w:r>
        <w:rPr>
          <w:rStyle w:val="CRRefonteDeleted"/>
          <w:highlight w:val="lightGray"/>
        </w:rPr>
        <w:t>Ak sa PM</w:t>
      </w:r>
      <w:r>
        <w:rPr>
          <w:rStyle w:val="CRRefonteDeleted"/>
          <w:highlight w:val="lightGray"/>
          <w:vertAlign w:val="subscript"/>
        </w:rPr>
        <w:t>2,5</w:t>
      </w:r>
      <w:r>
        <w:rPr>
          <w:rStyle w:val="CRRefonteDeleted"/>
          <w:highlight w:val="lightGray"/>
        </w:rPr>
        <w:t xml:space="preserve"> a PM</w:t>
      </w:r>
      <w:r>
        <w:rPr>
          <w:rStyle w:val="CRRefonteDeleted"/>
          <w:highlight w:val="lightGray"/>
          <w:vertAlign w:val="subscript"/>
        </w:rPr>
        <w:t>10</w:t>
      </w:r>
      <w:r>
        <w:rPr>
          <w:rStyle w:val="CRRefonteDeleted"/>
          <w:highlight w:val="lightGray"/>
        </w:rPr>
        <w:t xml:space="preserve"> merajú v súlade s článkom 8 na tej istej monitorovacej stanici, počítajú sa za dve rozdielne vzorkovacie miesta. Celkový počet vzorkovacích miest pre PM</w:t>
      </w:r>
      <w:r>
        <w:rPr>
          <w:rStyle w:val="CRRefonteDeleted"/>
          <w:highlight w:val="lightGray"/>
          <w:vertAlign w:val="subscript"/>
        </w:rPr>
        <w:t>2,5</w:t>
      </w:r>
      <w:r>
        <w:rPr>
          <w:rStyle w:val="CRRefonteDeleted"/>
          <w:highlight w:val="lightGray"/>
        </w:rPr>
        <w:t xml:space="preserve"> a PM</w:t>
      </w:r>
      <w:r>
        <w:rPr>
          <w:rStyle w:val="CRRefonteDeleted"/>
          <w:highlight w:val="lightGray"/>
          <w:vertAlign w:val="subscript"/>
        </w:rPr>
        <w:t>10</w:t>
      </w:r>
      <w:r>
        <w:rPr>
          <w:rStyle w:val="CRRefonteDeleted"/>
          <w:highlight w:val="lightGray"/>
        </w:rPr>
        <w:t xml:space="preserve"> v členskom štáte, ktorý sa požaduje podľa oddielu A bodu 1, sa nesmie líšiť o viac ako dvojnásobok a počet vzorkovacích miest pre PM</w:t>
      </w:r>
      <w:r>
        <w:rPr>
          <w:rStyle w:val="CRRefonteDeleted"/>
          <w:highlight w:val="lightGray"/>
          <w:vertAlign w:val="subscript"/>
        </w:rPr>
        <w:t>2,5</w:t>
      </w:r>
      <w:r>
        <w:rPr>
          <w:rStyle w:val="CRRefonteDeleted"/>
          <w:highlight w:val="lightGray"/>
        </w:rPr>
        <w:t xml:space="preserve"> v mestskom pozadí aglomerácií a mestských oblastí musí spĺňať požiadavky podľa oddielu B prílohy V.</w:t>
      </w:r>
    </w:p>
  </w:footnote>
  <w:footnote w:id="17">
    <w:p w:rsidR="00A52FD4" w:rsidRPr="00E8450A" w:rsidRDefault="00A52FD4" w:rsidP="005C7768">
      <w:pPr>
        <w:pStyle w:val="FootnoteText"/>
      </w:pPr>
      <w:r>
        <w:rPr>
          <w:rStyle w:val="FootnoteReference"/>
          <w:highlight w:val="lightGray"/>
          <w:lang w:val="en-US"/>
        </w:rPr>
        <w:footnoteRef/>
      </w:r>
      <w:r w:rsidRPr="00E8450A">
        <w:tab/>
      </w:r>
      <w:r>
        <w:rPr>
          <w:rStyle w:val="CRRefonteDeleted"/>
          <w:highlight w:val="lightGray"/>
        </w:rPr>
        <w:t>Ak sa PM</w:t>
      </w:r>
      <w:r>
        <w:rPr>
          <w:rStyle w:val="CRRefonteDeleted"/>
          <w:highlight w:val="lightGray"/>
          <w:vertAlign w:val="subscript"/>
        </w:rPr>
        <w:t>2,5</w:t>
      </w:r>
      <w:r>
        <w:rPr>
          <w:rStyle w:val="CRRefonteDeleted"/>
          <w:highlight w:val="lightGray"/>
        </w:rPr>
        <w:t xml:space="preserve"> a PM</w:t>
      </w:r>
      <w:r>
        <w:rPr>
          <w:rStyle w:val="CRRefonteDeleted"/>
          <w:highlight w:val="lightGray"/>
          <w:vertAlign w:val="subscript"/>
        </w:rPr>
        <w:t>10</w:t>
      </w:r>
      <w:r>
        <w:rPr>
          <w:rStyle w:val="CRRefonteDeleted"/>
          <w:highlight w:val="lightGray"/>
        </w:rPr>
        <w:t xml:space="preserve"> merajú v súlade s článkom 8 na tej istej monitorovacej stanici, počítajú sa za dve rozdielne vzorkovacie miesta. Celkový počet vzorkovacích miest pre PM</w:t>
      </w:r>
      <w:r>
        <w:rPr>
          <w:rStyle w:val="CRRefonteDeleted"/>
          <w:highlight w:val="lightGray"/>
          <w:vertAlign w:val="subscript"/>
        </w:rPr>
        <w:t>2,5</w:t>
      </w:r>
      <w:r>
        <w:rPr>
          <w:rStyle w:val="CRRefonteDeleted"/>
          <w:highlight w:val="lightGray"/>
        </w:rPr>
        <w:t xml:space="preserve"> a PM</w:t>
      </w:r>
      <w:r>
        <w:rPr>
          <w:rStyle w:val="CRRefonteDeleted"/>
          <w:highlight w:val="lightGray"/>
          <w:vertAlign w:val="subscript"/>
        </w:rPr>
        <w:t>10</w:t>
      </w:r>
      <w:r>
        <w:rPr>
          <w:rStyle w:val="CRRefonteDeleted"/>
          <w:highlight w:val="lightGray"/>
        </w:rPr>
        <w:t xml:space="preserve"> v členskom štáte, ktorý sa požaduje podľa oddielu A bodu 1, sa nesmie líšiť o viac ako dvojnásobok a počet vzorkovacích miest pre PM</w:t>
      </w:r>
      <w:r>
        <w:rPr>
          <w:rStyle w:val="CRRefonteDeleted"/>
          <w:highlight w:val="lightGray"/>
          <w:vertAlign w:val="subscript"/>
        </w:rPr>
        <w:t>2,5</w:t>
      </w:r>
      <w:r>
        <w:rPr>
          <w:rStyle w:val="CRRefonteDeleted"/>
          <w:highlight w:val="lightGray"/>
        </w:rPr>
        <w:t xml:space="preserve"> v mestskom pozadí aglomerácií a mestských oblastí musí spĺňať požiadavky podľa oddielu B prílohy V.</w:t>
      </w:r>
    </w:p>
  </w:footnote>
  <w:footnote w:id="18">
    <w:p w:rsidR="00A52FD4" w:rsidRPr="00BF6654" w:rsidRDefault="00A52FD4" w:rsidP="005C7768">
      <w:pPr>
        <w:adjustRightInd w:val="0"/>
        <w:spacing w:before="0" w:after="0"/>
        <w:jc w:val="left"/>
        <w:rPr>
          <w:rStyle w:val="CRRefonteDeleted"/>
          <w:highlight w:val="lightGray"/>
        </w:rPr>
      </w:pPr>
      <w:r>
        <w:rPr>
          <w:rStyle w:val="FootnoteReference"/>
          <w:highlight w:val="lightGray"/>
          <w:lang w:val="en-US"/>
        </w:rPr>
        <w:footnoteRef/>
      </w:r>
      <w:r w:rsidRPr="00E8450A">
        <w:tab/>
      </w:r>
      <w:r>
        <w:rPr>
          <w:rStyle w:val="CRRefonteDeleted"/>
          <w:highlight w:val="lightGray"/>
        </w:rPr>
        <w:t>V prípadoch, keď nie sú k dispozícii všetky možné merané údaje, na vypočítanie hodnôt AOT40 sa použije tento faktor:</w:t>
      </w:r>
    </w:p>
    <w:tbl>
      <w:tblPr>
        <w:tblW w:w="0" w:type="auto"/>
        <w:tblLayout w:type="fixed"/>
        <w:tblLook w:val="0000" w:firstRow="0" w:lastRow="0" w:firstColumn="0" w:lastColumn="0" w:noHBand="0" w:noVBand="0"/>
      </w:tblPr>
      <w:tblGrid>
        <w:gridCol w:w="4736"/>
        <w:gridCol w:w="4550"/>
      </w:tblGrid>
      <w:tr w:rsidR="00A52FD4" w:rsidRPr="007F603A">
        <w:tc>
          <w:tcPr>
            <w:tcW w:w="4736" w:type="dxa"/>
            <w:vMerge w:val="restart"/>
            <w:tcBorders>
              <w:top w:val="single" w:sz="2" w:space="0" w:color="auto"/>
              <w:left w:val="single" w:sz="2" w:space="0" w:color="auto"/>
              <w:bottom w:val="single" w:sz="2" w:space="0" w:color="auto"/>
              <w:right w:val="single" w:sz="2" w:space="0" w:color="auto"/>
            </w:tcBorders>
          </w:tcPr>
          <w:p w:rsidR="00A52FD4" w:rsidRPr="007F603A" w:rsidRDefault="00A52FD4">
            <w:pPr>
              <w:pStyle w:val="NormalLeft"/>
              <w:rPr>
                <w:rStyle w:val="CRRefonteDeleted"/>
                <w:highlight w:val="lightGray"/>
              </w:rPr>
            </w:pPr>
            <w:r>
              <w:rPr>
                <w:rStyle w:val="CRRefonteDeleted"/>
                <w:highlight w:val="lightGray"/>
              </w:rPr>
              <w:t>AOT40</w:t>
            </w:r>
            <w:r>
              <w:rPr>
                <w:rStyle w:val="CRRefonteDeleted"/>
                <w:highlight w:val="lightGray"/>
                <w:vertAlign w:val="subscript"/>
              </w:rPr>
              <w:t>odhad</w:t>
            </w:r>
            <w:r>
              <w:rPr>
                <w:rStyle w:val="CRRefonteDeleted"/>
                <w:highlight w:val="lightGray"/>
              </w:rPr>
              <w:t xml:space="preserve"> = AOT40</w:t>
            </w:r>
            <w:r>
              <w:rPr>
                <w:rStyle w:val="CRRefonteDeleted"/>
                <w:highlight w:val="lightGray"/>
                <w:vertAlign w:val="subscript"/>
              </w:rPr>
              <w:t>meraný</w:t>
            </w:r>
            <w:r>
              <w:rPr>
                <w:rStyle w:val="CRRefonteDeleted"/>
                <w:highlight w:val="lightGray"/>
              </w:rPr>
              <w:t xml:space="preserve"> ×</w:t>
            </w:r>
          </w:p>
        </w:tc>
        <w:tc>
          <w:tcPr>
            <w:tcW w:w="4550" w:type="dxa"/>
            <w:tcBorders>
              <w:top w:val="single" w:sz="2" w:space="0" w:color="auto"/>
              <w:left w:val="single" w:sz="2" w:space="0" w:color="auto"/>
              <w:bottom w:val="single" w:sz="2" w:space="0" w:color="auto"/>
              <w:right w:val="single" w:sz="2" w:space="0" w:color="auto"/>
            </w:tcBorders>
          </w:tcPr>
          <w:p w:rsidR="00A52FD4" w:rsidRPr="003141E8" w:rsidRDefault="00A52FD4">
            <w:pPr>
              <w:pStyle w:val="NormalLeft"/>
              <w:rPr>
                <w:rStyle w:val="CRRefonteDeleted"/>
                <w:highlight w:val="lightGray"/>
              </w:rPr>
            </w:pPr>
            <w:r>
              <w:rPr>
                <w:rStyle w:val="CRRefonteDeleted"/>
                <w:highlight w:val="lightGray"/>
              </w:rPr>
              <w:t>celkový možný počet hodín (*)</w:t>
            </w:r>
          </w:p>
        </w:tc>
      </w:tr>
      <w:tr w:rsidR="00A52FD4" w:rsidRPr="007F603A">
        <w:tc>
          <w:tcPr>
            <w:tcW w:w="4736" w:type="dxa"/>
            <w:vMerge/>
            <w:tcBorders>
              <w:top w:val="single" w:sz="2" w:space="0" w:color="auto"/>
              <w:left w:val="single" w:sz="2" w:space="0" w:color="auto"/>
              <w:bottom w:val="single" w:sz="2" w:space="0" w:color="auto"/>
              <w:right w:val="single" w:sz="2" w:space="0" w:color="auto"/>
            </w:tcBorders>
          </w:tcPr>
          <w:p w:rsidR="00A52FD4" w:rsidRPr="00BF6654" w:rsidRDefault="00A52FD4">
            <w:pPr>
              <w:adjustRightInd w:val="0"/>
              <w:spacing w:before="0" w:after="0"/>
              <w:jc w:val="left"/>
              <w:rPr>
                <w:rStyle w:val="CRRefonteDeleted"/>
                <w:highlight w:val="lightGray"/>
                <w:lang w:val="en-IE"/>
              </w:rPr>
            </w:pPr>
          </w:p>
        </w:tc>
        <w:tc>
          <w:tcPr>
            <w:tcW w:w="4550" w:type="dxa"/>
            <w:tcBorders>
              <w:top w:val="single" w:sz="2" w:space="0" w:color="auto"/>
              <w:left w:val="single" w:sz="2" w:space="0" w:color="auto"/>
              <w:bottom w:val="single" w:sz="2" w:space="0" w:color="auto"/>
              <w:right w:val="single" w:sz="2" w:space="0" w:color="auto"/>
            </w:tcBorders>
          </w:tcPr>
          <w:p w:rsidR="00A52FD4" w:rsidRPr="003141E8" w:rsidRDefault="00A52FD4">
            <w:pPr>
              <w:pStyle w:val="NormalLeft"/>
              <w:rPr>
                <w:rStyle w:val="CRRefonteDeleted"/>
                <w:highlight w:val="lightGray"/>
              </w:rPr>
            </w:pPr>
            <w:r>
              <w:rPr>
                <w:rStyle w:val="CRRefonteDeleted"/>
                <w:highlight w:val="lightGray"/>
              </w:rPr>
              <w:t>počet nameraných hodinových hodnôt</w:t>
            </w:r>
          </w:p>
        </w:tc>
      </w:tr>
    </w:tbl>
    <w:p w:rsidR="00A52FD4" w:rsidRPr="007F603A" w:rsidRDefault="00A52FD4" w:rsidP="005C7768">
      <w:pPr>
        <w:adjustRightInd w:val="0"/>
        <w:spacing w:before="0" w:after="0"/>
        <w:jc w:val="left"/>
        <w:rPr>
          <w:highlight w:val="lightGray"/>
        </w:rPr>
      </w:pPr>
      <w:r>
        <w:rPr>
          <w:rStyle w:val="CRRefonteDeleted"/>
          <w:highlight w:val="lightGray"/>
        </w:rPr>
        <w:t>(*)</w:t>
      </w:r>
      <w:r>
        <w:tab/>
      </w:r>
      <w:r>
        <w:rPr>
          <w:rStyle w:val="CRRefonteDeleted"/>
          <w:highlight w:val="lightGray"/>
        </w:rPr>
        <w:t>Predstavuje počet hodín v rámci doby uvedenej v definícii AOT40 (t. j. od 8.00 do 20.00 h SEČ každoročne od 1. mája do 31. júla pre ochranu vegetácie a každoročne od 1. apríla do 30. septembra pre ochranu lesov).</w:t>
      </w:r>
    </w:p>
    <w:p w:rsidR="00A52FD4" w:rsidRDefault="00A52FD4" w:rsidP="005C7768">
      <w:pPr>
        <w:adjustRightInd w:val="0"/>
        <w:spacing w:before="0" w:after="0"/>
        <w:jc w:val="left"/>
      </w:pPr>
    </w:p>
  </w:footnote>
  <w:footnote w:id="19">
    <w:p w:rsidR="00A52FD4" w:rsidRPr="00E8450A" w:rsidRDefault="00A52FD4" w:rsidP="005C7768">
      <w:pPr>
        <w:pStyle w:val="FootnoteText"/>
      </w:pPr>
      <w:r>
        <w:rPr>
          <w:rStyle w:val="FootnoteReference"/>
          <w:highlight w:val="lightGray"/>
          <w:lang w:val="en-US"/>
        </w:rPr>
        <w:footnoteRef/>
      </w:r>
      <w:r>
        <w:tab/>
      </w:r>
      <w:r>
        <w:rPr>
          <w:rStyle w:val="CRRefonteDeleted"/>
          <w:highlight w:val="lightGray"/>
        </w:rPr>
        <w:t>Dodržiavanie cieľových hodnôt sa bude posudzovať od tohto dátumu. To znamená, že rok 2010 bude prvým rokom, za ktorý sa budú údaje používať na výpočet súladu počas nasledujúcich 3 alebo prípadne 5 rokov.</w:t>
      </w:r>
    </w:p>
  </w:footnote>
  <w:footnote w:id="20">
    <w:p w:rsidR="00A52FD4" w:rsidRPr="00E8450A" w:rsidRDefault="00A52FD4" w:rsidP="005C7768">
      <w:pPr>
        <w:pStyle w:val="FootnoteText"/>
      </w:pPr>
      <w:r>
        <w:rPr>
          <w:rStyle w:val="FootnoteReference"/>
          <w:highlight w:val="lightGray"/>
          <w:lang w:val="en-US"/>
        </w:rPr>
        <w:footnoteRef/>
      </w:r>
      <w:r w:rsidRPr="00E8450A">
        <w:tab/>
      </w:r>
      <w:r>
        <w:rPr>
          <w:rStyle w:val="CRRefonteDeleted"/>
          <w:highlight w:val="lightGray"/>
        </w:rPr>
        <w:t>Maximálna denná 8-hodinová stredná hodnota koncentrácie sa vyberie preskúmaním 8-hodinových pohyblivých priemerov vypočítaných z hodinových údajov a aktualizovaných každú hodinu. Každý takto vypočítaný 8-hodinový priemer sa priradí ku dňu, v ktorom končí, t. j. prvým výpočtovým obdobím pre ktorýkoľvek deň je obdobie od 17.00 hod. predchádzajúceho dňa do 1.00 hod. daného dňa; posledným výpočtovým obdobím pre ktorýkoľvek jeden deň je obdobie od 16.00 hod. do 24.00 hod. daného dňa.</w:t>
      </w:r>
    </w:p>
  </w:footnote>
  <w:footnote w:id="21">
    <w:p w:rsidR="00A52FD4" w:rsidRPr="008F3560" w:rsidRDefault="00A52FD4" w:rsidP="005C7768">
      <w:pPr>
        <w:adjustRightInd w:val="0"/>
        <w:spacing w:before="0" w:after="0"/>
        <w:jc w:val="left"/>
        <w:rPr>
          <w:rStyle w:val="CRRefonteDeleted"/>
          <w:sz w:val="20"/>
          <w:szCs w:val="20"/>
          <w:highlight w:val="lightGray"/>
        </w:rPr>
      </w:pPr>
      <w:r>
        <w:rPr>
          <w:rStyle w:val="FootnoteReference"/>
          <w:highlight w:val="lightGray"/>
        </w:rPr>
        <w:footnoteRef/>
      </w:r>
      <w:r w:rsidRPr="00E8450A">
        <w:tab/>
      </w:r>
      <w:r>
        <w:rPr>
          <w:rStyle w:val="CRRefonteDeleted"/>
          <w:sz w:val="20"/>
          <w:highlight w:val="lightGray"/>
        </w:rPr>
        <w:t>Ak nie je možné určiť troj- alebo päťročné priemery na základe úplných a po sebe nasledujúcich súborov ročných údajov, minimálne ročné údaje vyžadované na kontrolu dodržiavania cieľových hodnôt budú tieto:</w:t>
      </w:r>
    </w:p>
    <w:p w:rsidR="00A52FD4" w:rsidRPr="008F3560" w:rsidRDefault="00A52FD4" w:rsidP="008B60A5">
      <w:pPr>
        <w:pStyle w:val="Tiret0"/>
        <w:numPr>
          <w:ilvl w:val="0"/>
          <w:numId w:val="29"/>
        </w:numPr>
        <w:autoSpaceDE w:val="0"/>
        <w:autoSpaceDN w:val="0"/>
        <w:ind w:left="851" w:hanging="851"/>
        <w:rPr>
          <w:rStyle w:val="CRRefonteDeleted"/>
          <w:sz w:val="20"/>
          <w:szCs w:val="20"/>
          <w:highlight w:val="lightGray"/>
        </w:rPr>
      </w:pPr>
      <w:r>
        <w:rPr>
          <w:rStyle w:val="CRRefonteDeleted"/>
          <w:sz w:val="20"/>
          <w:highlight w:val="lightGray"/>
        </w:rPr>
        <w:t>pre cieľovú hodnotu na ochranu zdravia ľudí: platné údaje za jeden rok,</w:t>
      </w:r>
    </w:p>
    <w:p w:rsidR="00A52FD4" w:rsidRPr="00E8450A" w:rsidRDefault="00A52FD4" w:rsidP="008B60A5">
      <w:pPr>
        <w:pStyle w:val="Tiret0"/>
        <w:numPr>
          <w:ilvl w:val="0"/>
          <w:numId w:val="29"/>
        </w:numPr>
        <w:autoSpaceDE w:val="0"/>
        <w:autoSpaceDN w:val="0"/>
        <w:ind w:left="851" w:hanging="851"/>
        <w:rPr>
          <w:sz w:val="20"/>
          <w:szCs w:val="20"/>
          <w:highlight w:val="lightGray"/>
        </w:rPr>
      </w:pPr>
      <w:r>
        <w:rPr>
          <w:rStyle w:val="CRRefonteDeleted"/>
          <w:sz w:val="20"/>
          <w:highlight w:val="lightGray"/>
        </w:rPr>
        <w:t>pre cieľovú hodnotu na ochranu vegetácie: platné údaje za tri roky.</w:t>
      </w:r>
    </w:p>
    <w:p w:rsidR="00A52FD4" w:rsidRPr="00E8450A" w:rsidRDefault="00A52FD4" w:rsidP="008B60A5">
      <w:pPr>
        <w:pStyle w:val="Tiret0"/>
        <w:numPr>
          <w:ilvl w:val="0"/>
          <w:numId w:val="29"/>
        </w:numPr>
        <w:autoSpaceDE w:val="0"/>
        <w:autoSpaceDN w:val="0"/>
        <w:ind w:left="851" w:hanging="851"/>
        <w:rPr>
          <w:sz w:val="20"/>
          <w:szCs w:val="20"/>
        </w:rPr>
      </w:pPr>
    </w:p>
  </w:footnote>
  <w:footnote w:id="22">
    <w:p w:rsidR="00A52FD4" w:rsidRPr="008F3560" w:rsidRDefault="00A52FD4" w:rsidP="005C7768">
      <w:pPr>
        <w:adjustRightInd w:val="0"/>
        <w:spacing w:before="0" w:after="0"/>
        <w:jc w:val="left"/>
        <w:rPr>
          <w:rStyle w:val="CRRefonteDeleted"/>
          <w:sz w:val="20"/>
          <w:szCs w:val="20"/>
          <w:highlight w:val="lightGray"/>
        </w:rPr>
      </w:pPr>
      <w:r>
        <w:rPr>
          <w:rStyle w:val="FootnoteReference"/>
          <w:highlight w:val="lightGray"/>
        </w:rPr>
        <w:footnoteRef/>
      </w:r>
      <w:r w:rsidRPr="00E8450A">
        <w:tab/>
      </w:r>
      <w:r>
        <w:rPr>
          <w:rStyle w:val="CRRefonteDeleted"/>
          <w:sz w:val="20"/>
          <w:highlight w:val="lightGray"/>
        </w:rPr>
        <w:t>Ak nie je možné určiť troj- alebo päťročné priemery na základe úplných a po sebe nasledujúcich súborov ročných údajov, minimálne ročné údaje vyžadované na kontrolu dodržiavania cieľových hodnôt budú tieto:</w:t>
      </w:r>
    </w:p>
    <w:p w:rsidR="00A52FD4" w:rsidRPr="008F3560" w:rsidRDefault="00A52FD4" w:rsidP="008B60A5">
      <w:pPr>
        <w:pStyle w:val="Tiret0"/>
        <w:numPr>
          <w:ilvl w:val="0"/>
          <w:numId w:val="29"/>
        </w:numPr>
        <w:autoSpaceDE w:val="0"/>
        <w:autoSpaceDN w:val="0"/>
        <w:ind w:left="851" w:hanging="851"/>
        <w:rPr>
          <w:rStyle w:val="CRRefonteDeleted"/>
          <w:sz w:val="20"/>
          <w:szCs w:val="20"/>
          <w:highlight w:val="lightGray"/>
        </w:rPr>
      </w:pPr>
      <w:r>
        <w:rPr>
          <w:rStyle w:val="CRRefonteDeleted"/>
          <w:sz w:val="20"/>
          <w:highlight w:val="lightGray"/>
        </w:rPr>
        <w:t>pre cieľovú hodnotu na ochranu zdravia ľudí: platné údaje za jeden rok,</w:t>
      </w:r>
    </w:p>
    <w:p w:rsidR="00A52FD4" w:rsidRPr="00E8450A" w:rsidRDefault="00A52FD4" w:rsidP="008B60A5">
      <w:pPr>
        <w:pStyle w:val="Tiret0"/>
        <w:numPr>
          <w:ilvl w:val="0"/>
          <w:numId w:val="29"/>
        </w:numPr>
        <w:autoSpaceDE w:val="0"/>
        <w:autoSpaceDN w:val="0"/>
        <w:ind w:left="851" w:hanging="851"/>
        <w:rPr>
          <w:sz w:val="20"/>
          <w:szCs w:val="20"/>
          <w:highlight w:val="lightGray"/>
        </w:rPr>
      </w:pPr>
      <w:r>
        <w:rPr>
          <w:rStyle w:val="CRRefonteDeleted"/>
          <w:sz w:val="20"/>
          <w:highlight w:val="lightGray"/>
        </w:rPr>
        <w:t>pre cieľovú hodnotu na ochranu vegetácie: platné údaje za tri roky.</w:t>
      </w:r>
    </w:p>
    <w:p w:rsidR="00A52FD4" w:rsidRPr="00E8450A" w:rsidRDefault="00A52FD4" w:rsidP="008B60A5">
      <w:pPr>
        <w:pStyle w:val="Tiret0"/>
        <w:numPr>
          <w:ilvl w:val="0"/>
          <w:numId w:val="29"/>
        </w:numPr>
        <w:autoSpaceDE w:val="0"/>
        <w:autoSpaceDN w:val="0"/>
        <w:ind w:left="851" w:hanging="851"/>
      </w:pPr>
    </w:p>
  </w:footnote>
  <w:footnote w:id="23">
    <w:p w:rsidR="00A52FD4" w:rsidRPr="00E8450A" w:rsidRDefault="00A52FD4" w:rsidP="005C7768">
      <w:pPr>
        <w:pStyle w:val="FootnoteText"/>
      </w:pPr>
      <w:r>
        <w:rPr>
          <w:rStyle w:val="FootnoteReference"/>
          <w:highlight w:val="lightGray"/>
          <w:lang w:val="en-US"/>
        </w:rPr>
        <w:footnoteRef/>
      </w:r>
      <w:r w:rsidRPr="00E8450A">
        <w:tab/>
      </w:r>
      <w:r>
        <w:rPr>
          <w:rStyle w:val="CRRefonteDeleted"/>
          <w:highlight w:val="lightGray"/>
        </w:rPr>
        <w:t>Vzorkovacie miesta by mali byť podľa možnosti reprezentatívne pre podobné miesta, ktoré nie sú v ich bezprostrednej blízkosti.</w:t>
      </w:r>
    </w:p>
  </w:footnote>
  <w:footnote w:id="24">
    <w:p w:rsidR="00A52FD4" w:rsidRPr="00E8450A" w:rsidRDefault="00A52FD4" w:rsidP="005C7768">
      <w:pPr>
        <w:pStyle w:val="FootnoteText"/>
      </w:pPr>
      <w:r>
        <w:rPr>
          <w:rStyle w:val="FootnoteReference"/>
          <w:highlight w:val="lightGray"/>
          <w:lang w:val="en-US"/>
        </w:rPr>
        <w:footnoteRef/>
      </w:r>
      <w:r w:rsidRPr="00E8450A">
        <w:tab/>
      </w:r>
      <w:r>
        <w:rPr>
          <w:rStyle w:val="CRRefonteDeleted"/>
          <w:highlight w:val="lightGray"/>
        </w:rPr>
        <w:t>Ú. v. EÚ L 334, 30.11.2006, s. 1.</w:t>
      </w:r>
    </w:p>
  </w:footnote>
  <w:footnote w:id="25">
    <w:p w:rsidR="00A52FD4" w:rsidRPr="00E8450A" w:rsidRDefault="00A52FD4" w:rsidP="005C7768">
      <w:pPr>
        <w:pStyle w:val="FootnoteText"/>
      </w:pPr>
      <w:r>
        <w:rPr>
          <w:rStyle w:val="FootnoteReference"/>
          <w:highlight w:val="lightGray"/>
          <w:lang w:val="en-US"/>
        </w:rPr>
        <w:footnoteRef/>
      </w:r>
      <w:r w:rsidRPr="00E8450A">
        <w:tab/>
      </w:r>
      <w:r>
        <w:rPr>
          <w:rStyle w:val="CRRefonteDeleted"/>
          <w:highlight w:val="lightGray"/>
        </w:rPr>
        <w:t>Aspoň 1 stanica v oblastiach, v ktorých pravdepodobne dôjde k expozícii obyvateľstva najvyšším koncentráciám ozónu. V aglomeráciách sa najmenej 50 % staníc umiestni v predmestských oblastiach.</w:t>
      </w:r>
    </w:p>
  </w:footnote>
  <w:footnote w:id="26">
    <w:p w:rsidR="00A52FD4" w:rsidRPr="00E8450A" w:rsidRDefault="00A52FD4" w:rsidP="005C7768">
      <w:pPr>
        <w:pStyle w:val="FootnoteText"/>
      </w:pPr>
      <w:r>
        <w:rPr>
          <w:rStyle w:val="FootnoteReference"/>
          <w:highlight w:val="lightGray"/>
          <w:lang w:val="en-US"/>
        </w:rPr>
        <w:footnoteRef/>
      </w:r>
      <w:r w:rsidRPr="00E8450A">
        <w:tab/>
      </w:r>
      <w:r>
        <w:rPr>
          <w:rStyle w:val="CRRefonteDeleted"/>
          <w:highlight w:val="lightGray"/>
        </w:rPr>
        <w:t>Aspoň 1 stanica v oblastiach, v ktorých pravdepodobne dôjde k expozícii obyvateľstva najvyšším koncentráciám ozónu. V aglomeráciách sa najmenej 50 % staníc umiestni v predmestských oblastiach.</w:t>
      </w:r>
    </w:p>
  </w:footnote>
  <w:footnote w:id="27">
    <w:p w:rsidR="00A52FD4" w:rsidRPr="00E8450A" w:rsidRDefault="00A52FD4" w:rsidP="005C7768">
      <w:pPr>
        <w:pStyle w:val="FootnoteText"/>
      </w:pPr>
      <w:r>
        <w:rPr>
          <w:rStyle w:val="FootnoteReference"/>
          <w:highlight w:val="lightGray"/>
          <w:lang w:val="en-US"/>
        </w:rPr>
        <w:footnoteRef/>
      </w:r>
      <w:r w:rsidRPr="00E8450A">
        <w:tab/>
      </w:r>
      <w:r>
        <w:rPr>
          <w:rStyle w:val="CRRefonteDeleted"/>
          <w:highlight w:val="lightGray"/>
        </w:rPr>
        <w:t>V zložitom teréne sa odporúča 1 stanica na 25 000 km</w:t>
      </w:r>
      <w:r>
        <w:rPr>
          <w:rStyle w:val="CRRefonteDeleted"/>
          <w:highlight w:val="lightGray"/>
          <w:vertAlign w:val="superscript"/>
        </w:rPr>
        <w:t>2</w:t>
      </w:r>
      <w:r>
        <w:rPr>
          <w:rStyle w:val="CRRefonteDeleted"/>
          <w:highlight w:val="lightGray"/>
        </w:rPr>
        <w:t>.</w:t>
      </w:r>
    </w:p>
  </w:footnote>
  <w:footnote w:id="28">
    <w:p w:rsidR="00A52FD4" w:rsidRPr="00E8450A" w:rsidRDefault="00A52FD4" w:rsidP="005C7768">
      <w:pPr>
        <w:pStyle w:val="FootnoteText"/>
      </w:pPr>
      <w:r>
        <w:rPr>
          <w:rStyle w:val="FootnoteReference"/>
          <w:highlight w:val="lightGray"/>
          <w:lang w:val="en-US"/>
        </w:rPr>
        <w:footnoteRef/>
      </w:r>
      <w:r w:rsidRPr="00E8450A">
        <w:tab/>
      </w:r>
      <w:r>
        <w:rPr>
          <w:rStyle w:val="CRRefonteDeleted"/>
          <w:highlight w:val="lightGray"/>
        </w:rPr>
        <w:t>Požiadavky na výpočet ročnej strednej hodnoty nezahŕňajú straty údajov spôsobené pravidelnou kalibráciou alebo bežnou údržbou prístrojov.</w:t>
      </w:r>
    </w:p>
  </w:footnote>
  <w:footnote w:id="29">
    <w:p w:rsidR="00A52FD4" w:rsidRPr="00E8450A" w:rsidRDefault="00A52FD4" w:rsidP="005C7768">
      <w:pPr>
        <w:pStyle w:val="FootnoteText"/>
      </w:pPr>
      <w:r>
        <w:rPr>
          <w:rStyle w:val="FootnoteReference"/>
          <w:highlight w:val="lightGray"/>
          <w:lang w:val="en-US"/>
        </w:rPr>
        <w:footnoteRef/>
      </w:r>
      <w:r w:rsidRPr="00E8450A">
        <w:tab/>
      </w:r>
      <w:r>
        <w:rPr>
          <w:rStyle w:val="CRRefonteDeleted"/>
          <w:highlight w:val="lightGray"/>
        </w:rPr>
        <w:t>Účinné už od 1. januára 2005.</w:t>
      </w:r>
    </w:p>
  </w:footnote>
  <w:footnote w:id="30">
    <w:p w:rsidR="00A52FD4" w:rsidRPr="00E8450A" w:rsidRDefault="00A52FD4" w:rsidP="005C7768">
      <w:pPr>
        <w:pStyle w:val="FootnoteText"/>
      </w:pPr>
      <w:r>
        <w:rPr>
          <w:rStyle w:val="FootnoteReference"/>
          <w:highlight w:val="lightGray"/>
          <w:lang w:val="en-US"/>
        </w:rPr>
        <w:footnoteRef/>
      </w:r>
      <w:r w:rsidRPr="00E8450A">
        <w:tab/>
      </w:r>
      <w:r>
        <w:rPr>
          <w:rStyle w:val="CRRefonteDeleted"/>
          <w:highlight w:val="lightGray"/>
        </w:rPr>
        <w:t>Účinné už od 1. januára 2005.</w:t>
      </w:r>
    </w:p>
  </w:footnote>
  <w:footnote w:id="31">
    <w:p w:rsidR="00A52FD4" w:rsidRPr="00E8450A" w:rsidRDefault="00A52FD4" w:rsidP="005C7768">
      <w:pPr>
        <w:pStyle w:val="FootnoteText"/>
      </w:pPr>
      <w:r>
        <w:rPr>
          <w:rStyle w:val="FootnoteReference"/>
          <w:highlight w:val="lightGray"/>
          <w:lang w:val="en-US"/>
        </w:rPr>
        <w:footnoteRef/>
      </w:r>
      <w:r w:rsidRPr="00E8450A">
        <w:tab/>
      </w:r>
      <w:r>
        <w:rPr>
          <w:rStyle w:val="CRRefonteDeleted"/>
          <w:highlight w:val="lightGray"/>
        </w:rPr>
        <w:t>Maximálna denná 8-hodinová stredná koncentrácia sa vyberie preskúmaním 8-hodinových pohyblivých priemerov vypočítaných z hodinových údajov a aktualizovaných každú hodinu. Každý takto vypočítaný 8-hodinový priemer sa priradí ku dňu, v ktorom končí, t. j. prvým výpočtovým obdobím pre ktorýkoľvek jeden deň je obdobie od 17.00 hod. predchádzajúceho dňa do 1.00 hod. daného dňa; posledným výpočtovým obdobím pre ktorýkoľvek jeden deň je obdobie od 16.00 hod. do 24.00 hod. daného dňa.</w:t>
      </w:r>
    </w:p>
  </w:footnote>
  <w:footnote w:id="32">
    <w:p w:rsidR="00A52FD4" w:rsidRPr="00E8450A" w:rsidRDefault="00A52FD4" w:rsidP="005C7768">
      <w:pPr>
        <w:pStyle w:val="FootnoteText"/>
      </w:pPr>
      <w:r>
        <w:rPr>
          <w:rStyle w:val="FootnoteReference"/>
          <w:highlight w:val="lightGray"/>
          <w:lang w:val="en-US"/>
        </w:rPr>
        <w:footnoteRef/>
      </w:r>
      <w:r w:rsidRPr="00E8450A">
        <w:tab/>
      </w:r>
      <w:r>
        <w:rPr>
          <w:rStyle w:val="CRRefonteDeleted"/>
          <w:highlight w:val="lightGray"/>
        </w:rPr>
        <w:t>Účinné už od 1. januára 2005.</w:t>
      </w:r>
    </w:p>
  </w:footnote>
  <w:footnote w:id="33">
    <w:p w:rsidR="00A52FD4" w:rsidRPr="00E8450A" w:rsidRDefault="00A52FD4" w:rsidP="005C7768">
      <w:pPr>
        <w:pStyle w:val="FootnoteText"/>
      </w:pPr>
      <w:r>
        <w:rPr>
          <w:rStyle w:val="FootnoteReference"/>
          <w:highlight w:val="lightGray"/>
          <w:lang w:val="en-US"/>
        </w:rPr>
        <w:footnoteRef/>
      </w:r>
      <w:r w:rsidRPr="00E8450A">
        <w:tab/>
      </w:r>
      <w:r>
        <w:rPr>
          <w:rStyle w:val="CRRefonteDeleted"/>
          <w:highlight w:val="lightGray"/>
        </w:rPr>
        <w:t>Účinné už od 1. januára 2005. Limitná hodnota, ktorá sa má dosiahnuť do 1. januára 2010 v bezprostrednej blízkosti špecifických priemyselných zdrojov, ktoré sa nachádzajú na miestach kontaminovaných v dôsledku desaťročia trvajúcich priemyselných činností. V takýchto prípadoch bude do 1. januára 2010 limitná hodnota 1,0 μg/m</w:t>
      </w:r>
      <w:r>
        <w:rPr>
          <w:rStyle w:val="CRRefonteDeleted"/>
          <w:highlight w:val="lightGray"/>
          <w:vertAlign w:val="superscript"/>
        </w:rPr>
        <w:t>3</w:t>
      </w:r>
      <w:r>
        <w:rPr>
          <w:rStyle w:val="CRRefonteDeleted"/>
          <w:highlight w:val="lightGray"/>
        </w:rPr>
        <w:t>. Oblasti, na ktoré sa vzťahujú vyššie limitné hodnoty, sa nesmú rozšíriť ďalej ako 1 000 m od takýchto špecifických zdrojov.</w:t>
      </w:r>
    </w:p>
  </w:footnote>
  <w:footnote w:id="34">
    <w:p w:rsidR="00A52FD4" w:rsidRPr="00E8450A" w:rsidRDefault="00A52FD4" w:rsidP="005C7768">
      <w:pPr>
        <w:pStyle w:val="FootnoteText"/>
      </w:pPr>
      <w:r>
        <w:rPr>
          <w:rStyle w:val="FootnoteReference"/>
          <w:highlight w:val="lightGray"/>
          <w:lang w:val="en-US"/>
        </w:rPr>
        <w:footnoteRef/>
      </w:r>
      <w:r w:rsidRPr="00E8450A">
        <w:tab/>
      </w:r>
      <w:r>
        <w:rPr>
          <w:rStyle w:val="CRRefonteDeleted"/>
          <w:highlight w:val="lightGray"/>
        </w:rPr>
        <w:t>Účinné už od 1. januára 2005. Limitná hodnota, ktorá sa má dosiahnuť do 1. januára 2010 v bezprostrednej blízkosti špecifických priemyselných zdrojov, ktoré sa nachádzajú na miestach kontaminovaných v dôsledku desaťročia trvajúcich priemyselných činností. V takýchto prípadoch bude do 1. januára 2010 limitná hodnota 1,0 μg/m</w:t>
      </w:r>
      <w:r>
        <w:rPr>
          <w:rStyle w:val="CRRefonteDeleted"/>
          <w:highlight w:val="lightGray"/>
          <w:vertAlign w:val="superscript"/>
        </w:rPr>
        <w:t>3</w:t>
      </w:r>
      <w:r>
        <w:rPr>
          <w:rStyle w:val="CRRefonteDeleted"/>
          <w:highlight w:val="lightGray"/>
        </w:rPr>
        <w:t>. Oblasti, na ktoré sa vzťahujú vyššie limitné hodnoty, sa nesmú rozšíriť ďalej ako 1 000 m od takýchto špecifických zdrojov.</w:t>
      </w:r>
    </w:p>
  </w:footnote>
  <w:footnote w:id="35">
    <w:p w:rsidR="00A52FD4" w:rsidRPr="00E8450A" w:rsidRDefault="00A52FD4" w:rsidP="005C7768">
      <w:pPr>
        <w:pStyle w:val="FootnoteText"/>
      </w:pPr>
      <w:r>
        <w:rPr>
          <w:rStyle w:val="FootnoteReference"/>
          <w:highlight w:val="lightGray"/>
          <w:lang w:val="en-US"/>
        </w:rPr>
        <w:footnoteRef/>
      </w:r>
      <w:r w:rsidRPr="00E8450A">
        <w:tab/>
      </w:r>
      <w:r>
        <w:rPr>
          <w:rStyle w:val="CRRefonteDeleted"/>
          <w:highlight w:val="lightGray"/>
        </w:rPr>
        <w:t>Účinné už od 1. januára 2005.</w:t>
      </w:r>
    </w:p>
  </w:footnote>
  <w:footnote w:id="36">
    <w:p w:rsidR="00A52FD4" w:rsidRPr="00E8450A" w:rsidRDefault="00A52FD4" w:rsidP="005C7768">
      <w:pPr>
        <w:pStyle w:val="FootnoteText"/>
      </w:pPr>
      <w:r>
        <w:rPr>
          <w:rStyle w:val="FootnoteReference"/>
          <w:highlight w:val="lightGray"/>
          <w:lang w:val="en-US"/>
        </w:rPr>
        <w:footnoteRef/>
      </w:r>
      <w:r w:rsidRPr="00E8450A">
        <w:tab/>
      </w:r>
      <w:r>
        <w:rPr>
          <w:rStyle w:val="CRRefonteDeleted"/>
          <w:highlight w:val="lightGray"/>
        </w:rPr>
        <w:t>Účinné už od 1. januára 2005.</w:t>
      </w:r>
    </w:p>
  </w:footnote>
  <w:footnote w:id="37">
    <w:p w:rsidR="00A52FD4" w:rsidRPr="00E8450A" w:rsidRDefault="00A52FD4" w:rsidP="005C7768">
      <w:pPr>
        <w:pStyle w:val="FootnoteText"/>
      </w:pPr>
      <w:r>
        <w:rPr>
          <w:rStyle w:val="FootnoteReference"/>
          <w:highlight w:val="lightGray"/>
          <w:lang w:val="en-US"/>
        </w:rPr>
        <w:footnoteRef/>
      </w:r>
      <w:r w:rsidRPr="00E8450A">
        <w:tab/>
      </w:r>
      <w:r>
        <w:rPr>
          <w:rStyle w:val="CRRefonteDeleted"/>
          <w:highlight w:val="lightGray"/>
        </w:rPr>
        <w:t>Na vykonávanie článku 24 sa prekročenie prahu meria alebo predpovedá tri po sebe nasledujúce hodiny.</w:t>
      </w:r>
    </w:p>
  </w:footnote>
  <w:footnote w:id="38">
    <w:p w:rsidR="00A52FD4" w:rsidRPr="00E8450A" w:rsidRDefault="00A52FD4" w:rsidP="005C7768">
      <w:pPr>
        <w:pStyle w:val="FootnoteText"/>
      </w:pPr>
      <w:r>
        <w:rPr>
          <w:rStyle w:val="FootnoteReference"/>
          <w:highlight w:val="lightGray"/>
          <w:lang w:val="en-US"/>
        </w:rPr>
        <w:footnoteRef/>
      </w:r>
      <w:r w:rsidRPr="00E8450A">
        <w:tab/>
      </w:r>
      <w:r>
        <w:rPr>
          <w:rStyle w:val="CRRefonteDeleted"/>
          <w:highlight w:val="lightGray"/>
        </w:rPr>
        <w:t>Druhé štádium – Komisia preskúma orientačnú limitnú hodnotu v roku 2013 so zreteľom na ďalšie informácie o vplyvoch na zdravie a životné prostredie, o technickej uskutočniteľnosti a skúsenostiach súvisiacich s cieľovou hodnotou v členských štátoch.</w:t>
      </w:r>
    </w:p>
  </w:footnote>
  <w:footnote w:id="39">
    <w:p w:rsidR="00A52FD4" w:rsidRPr="00E8450A" w:rsidRDefault="00A52FD4" w:rsidP="005C7768">
      <w:pPr>
        <w:pStyle w:val="FootnoteText"/>
        <w:rPr>
          <w:lang w:val="es-ES"/>
        </w:rPr>
      </w:pPr>
      <w:r>
        <w:rPr>
          <w:rStyle w:val="FootnoteReference"/>
          <w:highlight w:val="lightGray"/>
          <w:lang w:val="en-US"/>
        </w:rPr>
        <w:footnoteRef/>
      </w:r>
      <w:r w:rsidRPr="00E8450A">
        <w:rPr>
          <w:lang w:val="es-ES"/>
        </w:rPr>
        <w:tab/>
      </w:r>
      <w:r>
        <w:rPr>
          <w:rStyle w:val="CRRefonteDeleted"/>
          <w:highlight w:val="lightGray"/>
        </w:rPr>
        <w:t>Ú. v. ES L 76, 6.4.1970, s. 1. Smernica naposledy zmenená a doplnená smernicou 2006/96/ES (Ú. v. EÚ L 363, 20.12.2006, s. 81).</w:t>
      </w:r>
    </w:p>
  </w:footnote>
  <w:footnote w:id="40">
    <w:p w:rsidR="00A52FD4" w:rsidRPr="00E8450A" w:rsidRDefault="00A52FD4" w:rsidP="005C7768">
      <w:pPr>
        <w:pStyle w:val="FootnoteText"/>
        <w:rPr>
          <w:lang w:val="es-ES"/>
        </w:rPr>
      </w:pPr>
      <w:r>
        <w:rPr>
          <w:rStyle w:val="FootnoteReference"/>
          <w:highlight w:val="lightGray"/>
          <w:lang w:val="en-US"/>
        </w:rPr>
        <w:footnoteRef/>
      </w:r>
      <w:r w:rsidRPr="00E8450A">
        <w:rPr>
          <w:lang w:val="es-ES"/>
        </w:rPr>
        <w:tab/>
      </w:r>
      <w:r>
        <w:rPr>
          <w:rStyle w:val="CRRefonteDeleted"/>
          <w:highlight w:val="lightGray"/>
        </w:rPr>
        <w:t>Ú. v. ES L 365, 31.12.1994, s. 24. Smernica zmenená a doplnená nariadením (ES) č. 1882/2003 (Ú. v. EÚ L 284, 31.10.2003, s. 1).</w:t>
      </w:r>
    </w:p>
  </w:footnote>
  <w:footnote w:id="41">
    <w:p w:rsidR="00A52FD4" w:rsidRPr="00E8450A" w:rsidRDefault="00A52FD4" w:rsidP="005C7768">
      <w:pPr>
        <w:pStyle w:val="FootnoteText"/>
        <w:rPr>
          <w:lang w:val="es-ES"/>
        </w:rPr>
      </w:pPr>
      <w:r>
        <w:rPr>
          <w:rStyle w:val="FootnoteReference"/>
          <w:highlight w:val="lightGray"/>
          <w:lang w:val="en-US"/>
        </w:rPr>
        <w:footnoteRef/>
      </w:r>
      <w:r w:rsidRPr="00E8450A">
        <w:rPr>
          <w:lang w:val="es-ES"/>
        </w:rPr>
        <w:tab/>
      </w:r>
      <w:r>
        <w:rPr>
          <w:rStyle w:val="CRRefonteDeleted"/>
          <w:highlight w:val="lightGray"/>
        </w:rPr>
        <w:t>Ú. v. EÚ L 24, 29.1.2008, s. 8.</w:t>
      </w:r>
    </w:p>
  </w:footnote>
  <w:footnote w:id="42">
    <w:p w:rsidR="00A52FD4" w:rsidRPr="00E8450A" w:rsidRDefault="00A52FD4" w:rsidP="005C7768">
      <w:pPr>
        <w:pStyle w:val="FootnoteText"/>
        <w:rPr>
          <w:lang w:val="es-ES"/>
        </w:rPr>
      </w:pPr>
      <w:r>
        <w:rPr>
          <w:rStyle w:val="FootnoteReference"/>
          <w:highlight w:val="lightGray"/>
          <w:lang w:val="en-US"/>
        </w:rPr>
        <w:footnoteRef/>
      </w:r>
      <w:r w:rsidRPr="00E8450A">
        <w:rPr>
          <w:lang w:val="es-ES"/>
        </w:rPr>
        <w:tab/>
      </w:r>
      <w:r>
        <w:rPr>
          <w:rStyle w:val="CRRefonteDeleted"/>
          <w:highlight w:val="lightGray"/>
        </w:rPr>
        <w:t>Ú. v. ES L 59, 27.2.1998, s. 1. Smernica naposledy zmenená a doplnená smernicou 2006/105/ES.</w:t>
      </w:r>
    </w:p>
  </w:footnote>
  <w:footnote w:id="43">
    <w:p w:rsidR="00A52FD4" w:rsidRPr="00E8450A" w:rsidRDefault="00A52FD4" w:rsidP="005C7768">
      <w:pPr>
        <w:pStyle w:val="FootnoteText"/>
        <w:rPr>
          <w:lang w:val="es-ES"/>
        </w:rPr>
      </w:pPr>
      <w:r>
        <w:rPr>
          <w:rStyle w:val="FootnoteReference"/>
          <w:highlight w:val="lightGray"/>
          <w:lang w:val="en-US"/>
        </w:rPr>
        <w:footnoteRef/>
      </w:r>
      <w:r w:rsidRPr="00E8450A">
        <w:rPr>
          <w:lang w:val="es-ES"/>
        </w:rPr>
        <w:tab/>
      </w:r>
      <w:r>
        <w:rPr>
          <w:rStyle w:val="CRRefonteDeleted"/>
          <w:highlight w:val="lightGray"/>
        </w:rPr>
        <w:t>Ú. v. ES L 350, 28.12.1998, s. 58. Smernica zmenená a doplnená nariadením (ES) č. 1882/2003.</w:t>
      </w:r>
    </w:p>
  </w:footnote>
  <w:footnote w:id="44">
    <w:p w:rsidR="00A52FD4" w:rsidRPr="00E8450A" w:rsidRDefault="00A52FD4" w:rsidP="005C7768">
      <w:pPr>
        <w:pStyle w:val="FootnoteText"/>
        <w:rPr>
          <w:lang w:val="es-ES"/>
        </w:rPr>
      </w:pPr>
      <w:r>
        <w:rPr>
          <w:rStyle w:val="FootnoteReference"/>
          <w:highlight w:val="lightGray"/>
          <w:lang w:val="en-US"/>
        </w:rPr>
        <w:footnoteRef/>
      </w:r>
      <w:r w:rsidRPr="00E8450A">
        <w:rPr>
          <w:lang w:val="es-ES"/>
        </w:rPr>
        <w:tab/>
      </w:r>
      <w:r>
        <w:rPr>
          <w:rStyle w:val="CRRefonteDeleted"/>
          <w:highlight w:val="lightGray"/>
        </w:rPr>
        <w:t>Ú. v. ES L 85, 29.3.1999, s. 1. Smernica naposledy zmenená a doplnená smernicou Európskeho parlamentu a Rady 2004/42/ES (Ú. v. EÚ L 143, 30.4.2004, s. 87).</w:t>
      </w:r>
    </w:p>
  </w:footnote>
  <w:footnote w:id="45">
    <w:p w:rsidR="00A52FD4" w:rsidRPr="00E8450A" w:rsidRDefault="00A52FD4" w:rsidP="005C7768">
      <w:pPr>
        <w:pStyle w:val="FootnoteText"/>
        <w:rPr>
          <w:lang w:val="es-ES"/>
        </w:rPr>
      </w:pPr>
      <w:r>
        <w:rPr>
          <w:rStyle w:val="FootnoteReference"/>
          <w:highlight w:val="lightGray"/>
          <w:lang w:val="en-US"/>
        </w:rPr>
        <w:footnoteRef/>
      </w:r>
      <w:r w:rsidRPr="00E8450A">
        <w:rPr>
          <w:lang w:val="es-ES"/>
        </w:rPr>
        <w:tab/>
      </w:r>
      <w:r>
        <w:rPr>
          <w:rStyle w:val="CRRefonteDeleted"/>
          <w:highlight w:val="lightGray"/>
        </w:rPr>
        <w:t>Ú. v. ES L 121, 11.5.1999, s. 13. Smernica naposledy zmenená a doplnená smernicou Európskeho parlamentu a Rady 2005/33/ES (Ú. v. EÚ L 191, 22.7.2005, s. 59).</w:t>
      </w:r>
    </w:p>
  </w:footnote>
  <w:footnote w:id="46">
    <w:p w:rsidR="00A52FD4" w:rsidRPr="00E8450A" w:rsidRDefault="00A52FD4" w:rsidP="005C7768">
      <w:pPr>
        <w:pStyle w:val="FootnoteText"/>
        <w:rPr>
          <w:lang w:val="es-ES"/>
        </w:rPr>
      </w:pPr>
      <w:r>
        <w:rPr>
          <w:rStyle w:val="FootnoteReference"/>
          <w:highlight w:val="lightGray"/>
          <w:lang w:val="en-US"/>
        </w:rPr>
        <w:footnoteRef/>
      </w:r>
      <w:r w:rsidRPr="00E8450A">
        <w:rPr>
          <w:lang w:val="es-ES"/>
        </w:rPr>
        <w:tab/>
      </w:r>
      <w:r>
        <w:rPr>
          <w:rStyle w:val="CRRefonteDeleted"/>
          <w:highlight w:val="lightGray"/>
        </w:rPr>
        <w:t>Ú. v. ES L 332, 28.12.2000, s. 91.</w:t>
      </w:r>
    </w:p>
  </w:footnote>
  <w:footnote w:id="47">
    <w:p w:rsidR="00A52FD4" w:rsidRPr="00E8450A" w:rsidRDefault="00A52FD4" w:rsidP="005C7768">
      <w:pPr>
        <w:pStyle w:val="FootnoteText"/>
        <w:rPr>
          <w:lang w:val="es-ES"/>
        </w:rPr>
      </w:pPr>
      <w:r>
        <w:rPr>
          <w:rStyle w:val="FootnoteReference"/>
          <w:highlight w:val="lightGray"/>
          <w:lang w:val="en-US"/>
        </w:rPr>
        <w:footnoteRef/>
      </w:r>
      <w:r w:rsidRPr="00E8450A">
        <w:rPr>
          <w:lang w:val="es-ES"/>
        </w:rPr>
        <w:tab/>
      </w:r>
      <w:r>
        <w:rPr>
          <w:rStyle w:val="CRRefonteDeleted"/>
          <w:highlight w:val="lightGray"/>
        </w:rPr>
        <w:t>Ú. v. EÚ L 143, 30.4.2004, s. 87.</w:t>
      </w:r>
    </w:p>
  </w:footnote>
  <w:footnote w:id="48">
    <w:p w:rsidR="00A52FD4" w:rsidRPr="00E8450A" w:rsidRDefault="00A52FD4" w:rsidP="005C7768">
      <w:pPr>
        <w:pStyle w:val="FootnoteText"/>
        <w:rPr>
          <w:lang w:val="es-ES"/>
        </w:rPr>
      </w:pPr>
      <w:r>
        <w:rPr>
          <w:rStyle w:val="FootnoteReference"/>
          <w:highlight w:val="lightGray"/>
          <w:lang w:val="en-US"/>
        </w:rPr>
        <w:footnoteRef/>
      </w:r>
      <w:r w:rsidRPr="00E8450A">
        <w:rPr>
          <w:lang w:val="es-ES"/>
        </w:rPr>
        <w:tab/>
      </w:r>
      <w:r>
        <w:rPr>
          <w:rStyle w:val="CRRefonteDeleted"/>
          <w:highlight w:val="lightGray"/>
        </w:rPr>
        <w:t>Ú. v. EÚ L 191, 22.7.2005, s. 59.</w:t>
      </w:r>
    </w:p>
  </w:footnote>
  <w:footnote w:id="49">
    <w:p w:rsidR="00A52FD4" w:rsidRPr="00E8450A" w:rsidRDefault="00A52FD4" w:rsidP="005C7768">
      <w:pPr>
        <w:pStyle w:val="FootnoteText"/>
        <w:rPr>
          <w:lang w:val="es-ES"/>
        </w:rPr>
      </w:pPr>
      <w:r>
        <w:rPr>
          <w:rStyle w:val="FootnoteReference"/>
          <w:highlight w:val="lightGray"/>
          <w:lang w:val="en-US"/>
        </w:rPr>
        <w:footnoteRef/>
      </w:r>
      <w:r w:rsidRPr="00E8450A">
        <w:rPr>
          <w:lang w:val="es-ES"/>
        </w:rPr>
        <w:tab/>
      </w:r>
      <w:r>
        <w:rPr>
          <w:rStyle w:val="CRRefonteDeleted"/>
          <w:highlight w:val="lightGray"/>
        </w:rPr>
        <w:t>Ú. v. EÚ L 275, 20.10.2005, s. 1. Smernica naposledy zmenená a doplnená nariadením (ES) č. 715/2007 (Ú. v. EÚ L 171, 29.6.2007, s. 1).</w:t>
      </w:r>
    </w:p>
  </w:footnote>
  <w:footnote w:id="50">
    <w:p w:rsidR="00A52FD4" w:rsidRDefault="00A52FD4" w:rsidP="005C7768">
      <w:pPr>
        <w:pStyle w:val="FootnoteText"/>
      </w:pPr>
      <w:r>
        <w:rPr>
          <w:rStyle w:val="FootnoteReference"/>
          <w:highlight w:val="lightGray"/>
          <w:lang w:val="en-US"/>
        </w:rPr>
        <w:footnoteRef/>
      </w:r>
      <w:r>
        <w:tab/>
      </w:r>
      <w:r>
        <w:rPr>
          <w:rStyle w:val="CRRefonteDeleted"/>
          <w:highlight w:val="lightGray"/>
        </w:rPr>
        <w:t>Ú. v. EÚ L 114, 27.4.2006, s. 64.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000C" w:rsidRPr="000A000C" w:rsidRDefault="000A000C" w:rsidP="000A00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000C" w:rsidRPr="000A000C" w:rsidRDefault="000A000C" w:rsidP="000A00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000C" w:rsidRPr="000A000C" w:rsidRDefault="000A000C" w:rsidP="000A00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DFF09030"/>
    <w:lvl w:ilvl="0">
      <w:start w:val="1"/>
      <w:numFmt w:val="decimal"/>
      <w:pStyle w:val="ListNumber4"/>
      <w:lvlText w:val="%1."/>
      <w:lvlJc w:val="left"/>
      <w:pPr>
        <w:tabs>
          <w:tab w:val="num" w:pos="1209"/>
        </w:tabs>
        <w:ind w:left="1209" w:hanging="360"/>
      </w:pPr>
    </w:lvl>
  </w:abstractNum>
  <w:abstractNum w:abstractNumId="1" w15:restartNumberingAfterBreak="0">
    <w:nsid w:val="FFFFFF88"/>
    <w:multiLevelType w:val="singleLevel"/>
    <w:tmpl w:val="E508265E"/>
    <w:lvl w:ilvl="0">
      <w:start w:val="1"/>
      <w:numFmt w:val="decimal"/>
      <w:pStyle w:val="ListNumber"/>
      <w:lvlText w:val="%1."/>
      <w:lvlJc w:val="left"/>
      <w:pPr>
        <w:tabs>
          <w:tab w:val="num" w:pos="360"/>
        </w:tabs>
        <w:ind w:left="360" w:hanging="360"/>
      </w:pPr>
    </w:lvl>
  </w:abstractNum>
  <w:abstractNum w:abstractNumId="2" w15:restartNumberingAfterBreak="0">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3" w15:restartNumberingAfterBreak="0">
    <w:nsid w:val="081C3E3D"/>
    <w:multiLevelType w:val="hybridMultilevel"/>
    <w:tmpl w:val="2A7C2C40"/>
    <w:lvl w:ilvl="0" w:tplc="FFFFFFFF">
      <w:start w:val="1"/>
      <w:numFmt w:val="decimal"/>
      <w:lvlText w:val="(%1)"/>
      <w:lvlJc w:val="left"/>
      <w:pPr>
        <w:ind w:left="360" w:hanging="360"/>
      </w:pPr>
      <w:rPr>
        <w:rFonts w:cs="Times New Roman" w:hint="default"/>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4" w15:restartNumberingAfterBreak="0">
    <w:nsid w:val="128364B0"/>
    <w:multiLevelType w:val="singleLevel"/>
    <w:tmpl w:val="D084FB54"/>
    <w:lvl w:ilvl="0">
      <w:start w:val="1"/>
      <w:numFmt w:val="bullet"/>
      <w:pStyle w:val="ListDash3"/>
      <w:lvlText w:val="–"/>
      <w:lvlJc w:val="left"/>
      <w:pPr>
        <w:tabs>
          <w:tab w:val="num" w:pos="1134"/>
        </w:tabs>
        <w:ind w:left="1134" w:hanging="283"/>
      </w:pPr>
      <w:rPr>
        <w:rFonts w:ascii="Times New Roman" w:hAnsi="Times New Roman"/>
      </w:rPr>
    </w:lvl>
  </w:abstractNum>
  <w:abstractNum w:abstractNumId="5" w15:restartNumberingAfterBreak="0">
    <w:nsid w:val="13E4330B"/>
    <w:multiLevelType w:val="multilevel"/>
    <w:tmpl w:val="875C4416"/>
    <w:name w:val="List Dash 3"/>
    <w:lvl w:ilvl="0">
      <w:start w:val="1"/>
      <w:numFmt w:val="decimal"/>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15:restartNumberingAfterBreak="0">
    <w:nsid w:val="18FB7D7F"/>
    <w:multiLevelType w:val="hybridMultilevel"/>
    <w:tmpl w:val="F89E68AE"/>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7"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74F3124"/>
    <w:multiLevelType w:val="hybridMultilevel"/>
    <w:tmpl w:val="28F0EA92"/>
    <w:lvl w:ilvl="0" w:tplc="56AEE232">
      <w:start w:val="1"/>
      <w:numFmt w:val="decimal"/>
      <w:lvlText w:val="(%1)"/>
      <w:lvlJc w:val="left"/>
      <w:pPr>
        <w:ind w:left="720" w:hanging="360"/>
      </w:pPr>
      <w:rPr>
        <w:rFonts w:cs="Times New Roman" w:hint="default"/>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2D820C1F"/>
    <w:multiLevelType w:val="singleLevel"/>
    <w:tmpl w:val="7896AADE"/>
    <w:name w:val="List Dash"/>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13" w15:restartNumberingAfterBreak="0">
    <w:nsid w:val="2F191641"/>
    <w:multiLevelType w:val="multilevel"/>
    <w:tmpl w:val="B67C4E92"/>
    <w:lvl w:ilvl="0">
      <w:start w:val="1"/>
      <w:numFmt w:val="decimal"/>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4" w15:restartNumberingAfterBreak="0">
    <w:nsid w:val="31CD398A"/>
    <w:multiLevelType w:val="singleLevel"/>
    <w:tmpl w:val="0276BF00"/>
    <w:lvl w:ilvl="0">
      <w:start w:val="1"/>
      <w:numFmt w:val="bullet"/>
      <w:pStyle w:val="ListDash4"/>
      <w:lvlText w:val="–"/>
      <w:lvlJc w:val="left"/>
      <w:pPr>
        <w:tabs>
          <w:tab w:val="num" w:pos="1134"/>
        </w:tabs>
        <w:ind w:left="1134" w:hanging="283"/>
      </w:pPr>
      <w:rPr>
        <w:rFonts w:ascii="Times New Roman" w:hAnsi="Times New Roman"/>
      </w:rPr>
    </w:lvl>
  </w:abstractNum>
  <w:abstractNum w:abstractNumId="15" w15:restartNumberingAfterBreak="0">
    <w:nsid w:val="33BB4495"/>
    <w:multiLevelType w:val="hybridMultilevel"/>
    <w:tmpl w:val="17465E62"/>
    <w:lvl w:ilvl="0" w:tplc="E18C5C80">
      <w:start w:val="1"/>
      <w:numFmt w:val="decimal"/>
      <w:lvlText w:val="(%1)"/>
      <w:lvlJc w:val="left"/>
      <w:pPr>
        <w:ind w:left="360" w:hanging="360"/>
      </w:pPr>
      <w:rPr>
        <w:rFonts w:cs="Times New Roman" w:hint="default"/>
      </w:rPr>
    </w:lvl>
    <w:lvl w:ilvl="1" w:tplc="18090019" w:tentative="1">
      <w:start w:val="1"/>
      <w:numFmt w:val="lowerLetter"/>
      <w:lvlText w:val="%2."/>
      <w:lvlJc w:val="left"/>
      <w:pPr>
        <w:ind w:left="1080" w:hanging="360"/>
      </w:pPr>
      <w:rPr>
        <w:rFonts w:cs="Times New Roman"/>
      </w:rPr>
    </w:lvl>
    <w:lvl w:ilvl="2" w:tplc="1809001B" w:tentative="1">
      <w:start w:val="1"/>
      <w:numFmt w:val="lowerRoman"/>
      <w:lvlText w:val="%3."/>
      <w:lvlJc w:val="right"/>
      <w:pPr>
        <w:ind w:left="1800" w:hanging="180"/>
      </w:pPr>
      <w:rPr>
        <w:rFonts w:cs="Times New Roman"/>
      </w:rPr>
    </w:lvl>
    <w:lvl w:ilvl="3" w:tplc="1809000F" w:tentative="1">
      <w:start w:val="1"/>
      <w:numFmt w:val="decimal"/>
      <w:lvlText w:val="%4."/>
      <w:lvlJc w:val="left"/>
      <w:pPr>
        <w:ind w:left="2520" w:hanging="360"/>
      </w:pPr>
      <w:rPr>
        <w:rFonts w:cs="Times New Roman"/>
      </w:rPr>
    </w:lvl>
    <w:lvl w:ilvl="4" w:tplc="18090019" w:tentative="1">
      <w:start w:val="1"/>
      <w:numFmt w:val="lowerLetter"/>
      <w:lvlText w:val="%5."/>
      <w:lvlJc w:val="left"/>
      <w:pPr>
        <w:ind w:left="3240" w:hanging="360"/>
      </w:pPr>
      <w:rPr>
        <w:rFonts w:cs="Times New Roman"/>
      </w:rPr>
    </w:lvl>
    <w:lvl w:ilvl="5" w:tplc="1809001B" w:tentative="1">
      <w:start w:val="1"/>
      <w:numFmt w:val="lowerRoman"/>
      <w:lvlText w:val="%6."/>
      <w:lvlJc w:val="right"/>
      <w:pPr>
        <w:ind w:left="3960" w:hanging="180"/>
      </w:pPr>
      <w:rPr>
        <w:rFonts w:cs="Times New Roman"/>
      </w:rPr>
    </w:lvl>
    <w:lvl w:ilvl="6" w:tplc="1809000F" w:tentative="1">
      <w:start w:val="1"/>
      <w:numFmt w:val="decimal"/>
      <w:lvlText w:val="%7."/>
      <w:lvlJc w:val="left"/>
      <w:pPr>
        <w:ind w:left="4680" w:hanging="360"/>
      </w:pPr>
      <w:rPr>
        <w:rFonts w:cs="Times New Roman"/>
      </w:rPr>
    </w:lvl>
    <w:lvl w:ilvl="7" w:tplc="18090019" w:tentative="1">
      <w:start w:val="1"/>
      <w:numFmt w:val="lowerLetter"/>
      <w:lvlText w:val="%8."/>
      <w:lvlJc w:val="left"/>
      <w:pPr>
        <w:ind w:left="5400" w:hanging="360"/>
      </w:pPr>
      <w:rPr>
        <w:rFonts w:cs="Times New Roman"/>
      </w:rPr>
    </w:lvl>
    <w:lvl w:ilvl="8" w:tplc="1809001B" w:tentative="1">
      <w:start w:val="1"/>
      <w:numFmt w:val="lowerRoman"/>
      <w:lvlText w:val="%9."/>
      <w:lvlJc w:val="right"/>
      <w:pPr>
        <w:ind w:left="6120" w:hanging="180"/>
      </w:pPr>
      <w:rPr>
        <w:rFonts w:cs="Times New Roman"/>
      </w:rPr>
    </w:lvl>
  </w:abstractNum>
  <w:abstractNum w:abstractNumId="16" w15:restartNumberingAfterBreak="0">
    <w:nsid w:val="398C015E"/>
    <w:multiLevelType w:val="multilevel"/>
    <w:tmpl w:val="027A66BA"/>
    <w:name w:val="List Dash 4"/>
    <w:lvl w:ilvl="0">
      <w:start w:val="1"/>
      <w:numFmt w:val="decimal"/>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7" w15:restartNumberingAfterBreak="0">
    <w:nsid w:val="422F3EFB"/>
    <w:multiLevelType w:val="hybridMultilevel"/>
    <w:tmpl w:val="453450C6"/>
    <w:lvl w:ilvl="0" w:tplc="FE92BF52">
      <w:start w:val="1"/>
      <w:numFmt w:val="decimal"/>
      <w:lvlText w:val="(%1)"/>
      <w:lvlJc w:val="left"/>
      <w:pPr>
        <w:ind w:left="360" w:hanging="360"/>
      </w:pPr>
      <w:rPr>
        <w:rFonts w:cs="Times New Roman" w:hint="default"/>
      </w:rPr>
    </w:lvl>
    <w:lvl w:ilvl="1" w:tplc="18090019" w:tentative="1">
      <w:start w:val="1"/>
      <w:numFmt w:val="lowerLetter"/>
      <w:lvlText w:val="%2."/>
      <w:lvlJc w:val="left"/>
      <w:pPr>
        <w:ind w:left="1080" w:hanging="360"/>
      </w:pPr>
      <w:rPr>
        <w:rFonts w:cs="Times New Roman"/>
      </w:rPr>
    </w:lvl>
    <w:lvl w:ilvl="2" w:tplc="1809001B" w:tentative="1">
      <w:start w:val="1"/>
      <w:numFmt w:val="lowerRoman"/>
      <w:lvlText w:val="%3."/>
      <w:lvlJc w:val="right"/>
      <w:pPr>
        <w:ind w:left="1800" w:hanging="180"/>
      </w:pPr>
      <w:rPr>
        <w:rFonts w:cs="Times New Roman"/>
      </w:rPr>
    </w:lvl>
    <w:lvl w:ilvl="3" w:tplc="1809000F" w:tentative="1">
      <w:start w:val="1"/>
      <w:numFmt w:val="decimal"/>
      <w:lvlText w:val="%4."/>
      <w:lvlJc w:val="left"/>
      <w:pPr>
        <w:ind w:left="2520" w:hanging="360"/>
      </w:pPr>
      <w:rPr>
        <w:rFonts w:cs="Times New Roman"/>
      </w:rPr>
    </w:lvl>
    <w:lvl w:ilvl="4" w:tplc="18090019" w:tentative="1">
      <w:start w:val="1"/>
      <w:numFmt w:val="lowerLetter"/>
      <w:lvlText w:val="%5."/>
      <w:lvlJc w:val="left"/>
      <w:pPr>
        <w:ind w:left="3240" w:hanging="360"/>
      </w:pPr>
      <w:rPr>
        <w:rFonts w:cs="Times New Roman"/>
      </w:rPr>
    </w:lvl>
    <w:lvl w:ilvl="5" w:tplc="1809001B" w:tentative="1">
      <w:start w:val="1"/>
      <w:numFmt w:val="lowerRoman"/>
      <w:lvlText w:val="%6."/>
      <w:lvlJc w:val="right"/>
      <w:pPr>
        <w:ind w:left="3960" w:hanging="180"/>
      </w:pPr>
      <w:rPr>
        <w:rFonts w:cs="Times New Roman"/>
      </w:rPr>
    </w:lvl>
    <w:lvl w:ilvl="6" w:tplc="1809000F" w:tentative="1">
      <w:start w:val="1"/>
      <w:numFmt w:val="decimal"/>
      <w:lvlText w:val="%7."/>
      <w:lvlJc w:val="left"/>
      <w:pPr>
        <w:ind w:left="4680" w:hanging="360"/>
      </w:pPr>
      <w:rPr>
        <w:rFonts w:cs="Times New Roman"/>
      </w:rPr>
    </w:lvl>
    <w:lvl w:ilvl="7" w:tplc="18090019" w:tentative="1">
      <w:start w:val="1"/>
      <w:numFmt w:val="lowerLetter"/>
      <w:lvlText w:val="%8."/>
      <w:lvlJc w:val="left"/>
      <w:pPr>
        <w:ind w:left="5400" w:hanging="360"/>
      </w:pPr>
      <w:rPr>
        <w:rFonts w:cs="Times New Roman"/>
      </w:rPr>
    </w:lvl>
    <w:lvl w:ilvl="8" w:tplc="1809001B" w:tentative="1">
      <w:start w:val="1"/>
      <w:numFmt w:val="lowerRoman"/>
      <w:lvlText w:val="%9."/>
      <w:lvlJc w:val="right"/>
      <w:pPr>
        <w:ind w:left="6120" w:hanging="180"/>
      </w:pPr>
      <w:rPr>
        <w:rFonts w:cs="Times New Roman"/>
      </w:rPr>
    </w:lvl>
  </w:abstractNum>
  <w:abstractNum w:abstractNumId="1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9"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0"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21"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2" w15:restartNumberingAfterBreak="0">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23" w15:restartNumberingAfterBreak="0">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24"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5" w15:restartNumberingAfterBreak="0">
    <w:nsid w:val="5B0B0635"/>
    <w:multiLevelType w:val="singleLevel"/>
    <w:tmpl w:val="017E7CEE"/>
    <w:lvl w:ilvl="0">
      <w:start w:val="1"/>
      <w:numFmt w:val="bullet"/>
      <w:lvlRestart w:val="0"/>
      <w:pStyle w:val="ListBullet4"/>
      <w:lvlText w:val=""/>
      <w:lvlJc w:val="left"/>
      <w:pPr>
        <w:tabs>
          <w:tab w:val="num" w:pos="1134"/>
        </w:tabs>
        <w:ind w:left="1134" w:hanging="283"/>
      </w:pPr>
      <w:rPr>
        <w:rFonts w:ascii="Symbol" w:hAnsi="Symbol" w:hint="default"/>
      </w:rPr>
    </w:lvl>
  </w:abstractNum>
  <w:abstractNum w:abstractNumId="26"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7"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9" w15:restartNumberingAfterBreak="0">
    <w:nsid w:val="5DAC4AA0"/>
    <w:multiLevelType w:val="hybridMultilevel"/>
    <w:tmpl w:val="686433AE"/>
    <w:lvl w:ilvl="0" w:tplc="CD76CBD6">
      <w:start w:val="1"/>
      <w:numFmt w:val="decimal"/>
      <w:lvlText w:val="(%1)"/>
      <w:lvlJc w:val="left"/>
      <w:pPr>
        <w:ind w:left="360" w:hanging="360"/>
      </w:pPr>
      <w:rPr>
        <w:rFonts w:cs="Times New Roman" w:hint="default"/>
      </w:rPr>
    </w:lvl>
    <w:lvl w:ilvl="1" w:tplc="18090019" w:tentative="1">
      <w:start w:val="1"/>
      <w:numFmt w:val="lowerLetter"/>
      <w:lvlText w:val="%2."/>
      <w:lvlJc w:val="left"/>
      <w:pPr>
        <w:ind w:left="1080" w:hanging="360"/>
      </w:pPr>
      <w:rPr>
        <w:rFonts w:cs="Times New Roman"/>
      </w:rPr>
    </w:lvl>
    <w:lvl w:ilvl="2" w:tplc="1809001B" w:tentative="1">
      <w:start w:val="1"/>
      <w:numFmt w:val="lowerRoman"/>
      <w:lvlText w:val="%3."/>
      <w:lvlJc w:val="right"/>
      <w:pPr>
        <w:ind w:left="1800" w:hanging="180"/>
      </w:pPr>
      <w:rPr>
        <w:rFonts w:cs="Times New Roman"/>
      </w:rPr>
    </w:lvl>
    <w:lvl w:ilvl="3" w:tplc="1809000F" w:tentative="1">
      <w:start w:val="1"/>
      <w:numFmt w:val="decimal"/>
      <w:lvlText w:val="%4."/>
      <w:lvlJc w:val="left"/>
      <w:pPr>
        <w:ind w:left="2520" w:hanging="360"/>
      </w:pPr>
      <w:rPr>
        <w:rFonts w:cs="Times New Roman"/>
      </w:rPr>
    </w:lvl>
    <w:lvl w:ilvl="4" w:tplc="18090019" w:tentative="1">
      <w:start w:val="1"/>
      <w:numFmt w:val="lowerLetter"/>
      <w:lvlText w:val="%5."/>
      <w:lvlJc w:val="left"/>
      <w:pPr>
        <w:ind w:left="3240" w:hanging="360"/>
      </w:pPr>
      <w:rPr>
        <w:rFonts w:cs="Times New Roman"/>
      </w:rPr>
    </w:lvl>
    <w:lvl w:ilvl="5" w:tplc="1809001B" w:tentative="1">
      <w:start w:val="1"/>
      <w:numFmt w:val="lowerRoman"/>
      <w:lvlText w:val="%6."/>
      <w:lvlJc w:val="right"/>
      <w:pPr>
        <w:ind w:left="3960" w:hanging="180"/>
      </w:pPr>
      <w:rPr>
        <w:rFonts w:cs="Times New Roman"/>
      </w:rPr>
    </w:lvl>
    <w:lvl w:ilvl="6" w:tplc="1809000F" w:tentative="1">
      <w:start w:val="1"/>
      <w:numFmt w:val="decimal"/>
      <w:lvlText w:val="%7."/>
      <w:lvlJc w:val="left"/>
      <w:pPr>
        <w:ind w:left="4680" w:hanging="360"/>
      </w:pPr>
      <w:rPr>
        <w:rFonts w:cs="Times New Roman"/>
      </w:rPr>
    </w:lvl>
    <w:lvl w:ilvl="7" w:tplc="18090019" w:tentative="1">
      <w:start w:val="1"/>
      <w:numFmt w:val="lowerLetter"/>
      <w:lvlText w:val="%8."/>
      <w:lvlJc w:val="left"/>
      <w:pPr>
        <w:ind w:left="5400" w:hanging="360"/>
      </w:pPr>
      <w:rPr>
        <w:rFonts w:cs="Times New Roman"/>
      </w:rPr>
    </w:lvl>
    <w:lvl w:ilvl="8" w:tplc="1809001B" w:tentative="1">
      <w:start w:val="1"/>
      <w:numFmt w:val="lowerRoman"/>
      <w:lvlText w:val="%9."/>
      <w:lvlJc w:val="right"/>
      <w:pPr>
        <w:ind w:left="6120" w:hanging="180"/>
      </w:pPr>
      <w:rPr>
        <w:rFonts w:cs="Times New Roman"/>
      </w:rPr>
    </w:lvl>
  </w:abstractNum>
  <w:abstractNum w:abstractNumId="30" w15:restartNumberingAfterBreak="0">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31" w15:restartNumberingAfterBreak="0">
    <w:nsid w:val="5E4E1AC7"/>
    <w:multiLevelType w:val="hybridMultilevel"/>
    <w:tmpl w:val="453450C6"/>
    <w:lvl w:ilvl="0" w:tplc="FFFFFFFF">
      <w:start w:val="1"/>
      <w:numFmt w:val="decimal"/>
      <w:lvlText w:val="(%1)"/>
      <w:lvlJc w:val="left"/>
      <w:pPr>
        <w:ind w:left="360" w:hanging="360"/>
      </w:pPr>
      <w:rPr>
        <w:rFonts w:cs="Times New Roman" w:hint="default"/>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32" w15:restartNumberingAfterBreak="0">
    <w:nsid w:val="5EE53005"/>
    <w:multiLevelType w:val="hybridMultilevel"/>
    <w:tmpl w:val="F89E68AE"/>
    <w:lvl w:ilvl="0" w:tplc="9C1ECEDA">
      <w:start w:val="1"/>
      <w:numFmt w:val="decimal"/>
      <w:lvlText w:val="(%1)"/>
      <w:lvlJc w:val="left"/>
      <w:pPr>
        <w:ind w:left="720" w:hanging="360"/>
      </w:pPr>
      <w:rPr>
        <w:rFonts w:cs="Times New Roman" w:hint="default"/>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33"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5111626"/>
    <w:multiLevelType w:val="hybridMultilevel"/>
    <w:tmpl w:val="DDACD348"/>
    <w:lvl w:ilvl="0" w:tplc="EA8202D4">
      <w:start w:val="1"/>
      <w:numFmt w:val="decimal"/>
      <w:lvlText w:val="(%1)"/>
      <w:lvlJc w:val="left"/>
      <w:pPr>
        <w:ind w:left="360" w:hanging="360"/>
      </w:pPr>
      <w:rPr>
        <w:rFonts w:cs="Times New Roman" w:hint="default"/>
      </w:rPr>
    </w:lvl>
    <w:lvl w:ilvl="1" w:tplc="18090019" w:tentative="1">
      <w:start w:val="1"/>
      <w:numFmt w:val="lowerLetter"/>
      <w:lvlText w:val="%2."/>
      <w:lvlJc w:val="left"/>
      <w:pPr>
        <w:ind w:left="1080" w:hanging="360"/>
      </w:pPr>
      <w:rPr>
        <w:rFonts w:cs="Times New Roman"/>
      </w:rPr>
    </w:lvl>
    <w:lvl w:ilvl="2" w:tplc="1809001B" w:tentative="1">
      <w:start w:val="1"/>
      <w:numFmt w:val="lowerRoman"/>
      <w:lvlText w:val="%3."/>
      <w:lvlJc w:val="right"/>
      <w:pPr>
        <w:ind w:left="1800" w:hanging="180"/>
      </w:pPr>
      <w:rPr>
        <w:rFonts w:cs="Times New Roman"/>
      </w:rPr>
    </w:lvl>
    <w:lvl w:ilvl="3" w:tplc="1809000F" w:tentative="1">
      <w:start w:val="1"/>
      <w:numFmt w:val="decimal"/>
      <w:lvlText w:val="%4."/>
      <w:lvlJc w:val="left"/>
      <w:pPr>
        <w:ind w:left="2520" w:hanging="360"/>
      </w:pPr>
      <w:rPr>
        <w:rFonts w:cs="Times New Roman"/>
      </w:rPr>
    </w:lvl>
    <w:lvl w:ilvl="4" w:tplc="18090019" w:tentative="1">
      <w:start w:val="1"/>
      <w:numFmt w:val="lowerLetter"/>
      <w:lvlText w:val="%5."/>
      <w:lvlJc w:val="left"/>
      <w:pPr>
        <w:ind w:left="3240" w:hanging="360"/>
      </w:pPr>
      <w:rPr>
        <w:rFonts w:cs="Times New Roman"/>
      </w:rPr>
    </w:lvl>
    <w:lvl w:ilvl="5" w:tplc="1809001B" w:tentative="1">
      <w:start w:val="1"/>
      <w:numFmt w:val="lowerRoman"/>
      <w:lvlText w:val="%6."/>
      <w:lvlJc w:val="right"/>
      <w:pPr>
        <w:ind w:left="3960" w:hanging="180"/>
      </w:pPr>
      <w:rPr>
        <w:rFonts w:cs="Times New Roman"/>
      </w:rPr>
    </w:lvl>
    <w:lvl w:ilvl="6" w:tplc="1809000F" w:tentative="1">
      <w:start w:val="1"/>
      <w:numFmt w:val="decimal"/>
      <w:lvlText w:val="%7."/>
      <w:lvlJc w:val="left"/>
      <w:pPr>
        <w:ind w:left="4680" w:hanging="360"/>
      </w:pPr>
      <w:rPr>
        <w:rFonts w:cs="Times New Roman"/>
      </w:rPr>
    </w:lvl>
    <w:lvl w:ilvl="7" w:tplc="18090019" w:tentative="1">
      <w:start w:val="1"/>
      <w:numFmt w:val="lowerLetter"/>
      <w:lvlText w:val="%8."/>
      <w:lvlJc w:val="left"/>
      <w:pPr>
        <w:ind w:left="5400" w:hanging="360"/>
      </w:pPr>
      <w:rPr>
        <w:rFonts w:cs="Times New Roman"/>
      </w:rPr>
    </w:lvl>
    <w:lvl w:ilvl="8" w:tplc="1809001B" w:tentative="1">
      <w:start w:val="1"/>
      <w:numFmt w:val="lowerRoman"/>
      <w:lvlText w:val="%9."/>
      <w:lvlJc w:val="right"/>
      <w:pPr>
        <w:ind w:left="6120" w:hanging="180"/>
      </w:pPr>
      <w:rPr>
        <w:rFonts w:cs="Times New Roman"/>
      </w:rPr>
    </w:lvl>
  </w:abstractNum>
  <w:abstractNum w:abstractNumId="35"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6" w15:restartNumberingAfterBreak="0">
    <w:nsid w:val="67CD7935"/>
    <w:multiLevelType w:val="hybridMultilevel"/>
    <w:tmpl w:val="BB74EB96"/>
    <w:lvl w:ilvl="0" w:tplc="66706240">
      <w:start w:val="1"/>
      <w:numFmt w:val="decimal"/>
      <w:lvlText w:val="(%1)"/>
      <w:lvlJc w:val="left"/>
      <w:pPr>
        <w:ind w:left="360" w:hanging="360"/>
      </w:pPr>
      <w:rPr>
        <w:rFonts w:cs="Times New Roman" w:hint="default"/>
        <w:sz w:val="20"/>
      </w:rPr>
    </w:lvl>
    <w:lvl w:ilvl="1" w:tplc="18090019" w:tentative="1">
      <w:start w:val="1"/>
      <w:numFmt w:val="lowerLetter"/>
      <w:lvlText w:val="%2."/>
      <w:lvlJc w:val="left"/>
      <w:pPr>
        <w:ind w:left="1080" w:hanging="360"/>
      </w:pPr>
      <w:rPr>
        <w:rFonts w:cs="Times New Roman"/>
      </w:rPr>
    </w:lvl>
    <w:lvl w:ilvl="2" w:tplc="1809001B" w:tentative="1">
      <w:start w:val="1"/>
      <w:numFmt w:val="lowerRoman"/>
      <w:lvlText w:val="%3."/>
      <w:lvlJc w:val="right"/>
      <w:pPr>
        <w:ind w:left="1800" w:hanging="180"/>
      </w:pPr>
      <w:rPr>
        <w:rFonts w:cs="Times New Roman"/>
      </w:rPr>
    </w:lvl>
    <w:lvl w:ilvl="3" w:tplc="1809000F" w:tentative="1">
      <w:start w:val="1"/>
      <w:numFmt w:val="decimal"/>
      <w:lvlText w:val="%4."/>
      <w:lvlJc w:val="left"/>
      <w:pPr>
        <w:ind w:left="2520" w:hanging="360"/>
      </w:pPr>
      <w:rPr>
        <w:rFonts w:cs="Times New Roman"/>
      </w:rPr>
    </w:lvl>
    <w:lvl w:ilvl="4" w:tplc="18090019" w:tentative="1">
      <w:start w:val="1"/>
      <w:numFmt w:val="lowerLetter"/>
      <w:lvlText w:val="%5."/>
      <w:lvlJc w:val="left"/>
      <w:pPr>
        <w:ind w:left="3240" w:hanging="360"/>
      </w:pPr>
      <w:rPr>
        <w:rFonts w:cs="Times New Roman"/>
      </w:rPr>
    </w:lvl>
    <w:lvl w:ilvl="5" w:tplc="1809001B" w:tentative="1">
      <w:start w:val="1"/>
      <w:numFmt w:val="lowerRoman"/>
      <w:lvlText w:val="%6."/>
      <w:lvlJc w:val="right"/>
      <w:pPr>
        <w:ind w:left="3960" w:hanging="180"/>
      </w:pPr>
      <w:rPr>
        <w:rFonts w:cs="Times New Roman"/>
      </w:rPr>
    </w:lvl>
    <w:lvl w:ilvl="6" w:tplc="1809000F" w:tentative="1">
      <w:start w:val="1"/>
      <w:numFmt w:val="decimal"/>
      <w:lvlText w:val="%7."/>
      <w:lvlJc w:val="left"/>
      <w:pPr>
        <w:ind w:left="4680" w:hanging="360"/>
      </w:pPr>
      <w:rPr>
        <w:rFonts w:cs="Times New Roman"/>
      </w:rPr>
    </w:lvl>
    <w:lvl w:ilvl="7" w:tplc="18090019" w:tentative="1">
      <w:start w:val="1"/>
      <w:numFmt w:val="lowerLetter"/>
      <w:lvlText w:val="%8."/>
      <w:lvlJc w:val="left"/>
      <w:pPr>
        <w:ind w:left="5400" w:hanging="360"/>
      </w:pPr>
      <w:rPr>
        <w:rFonts w:cs="Times New Roman"/>
      </w:rPr>
    </w:lvl>
    <w:lvl w:ilvl="8" w:tplc="1809001B" w:tentative="1">
      <w:start w:val="1"/>
      <w:numFmt w:val="lowerRoman"/>
      <w:lvlText w:val="%9."/>
      <w:lvlJc w:val="right"/>
      <w:pPr>
        <w:ind w:left="6120" w:hanging="180"/>
      </w:pPr>
      <w:rPr>
        <w:rFonts w:cs="Times New Roman"/>
      </w:rPr>
    </w:lvl>
  </w:abstractNum>
  <w:abstractNum w:abstractNumId="37" w15:restartNumberingAfterBreak="0">
    <w:nsid w:val="6D5B107D"/>
    <w:multiLevelType w:val="hybridMultilevel"/>
    <w:tmpl w:val="2A7C2C40"/>
    <w:lvl w:ilvl="0" w:tplc="87369F7E">
      <w:start w:val="1"/>
      <w:numFmt w:val="decimal"/>
      <w:lvlText w:val="(%1)"/>
      <w:lvlJc w:val="left"/>
      <w:pPr>
        <w:ind w:left="360" w:hanging="360"/>
      </w:pPr>
      <w:rPr>
        <w:rFonts w:cs="Times New Roman" w:hint="default"/>
      </w:rPr>
    </w:lvl>
    <w:lvl w:ilvl="1" w:tplc="18090019" w:tentative="1">
      <w:start w:val="1"/>
      <w:numFmt w:val="lowerLetter"/>
      <w:lvlText w:val="%2."/>
      <w:lvlJc w:val="left"/>
      <w:pPr>
        <w:ind w:left="1080" w:hanging="360"/>
      </w:pPr>
      <w:rPr>
        <w:rFonts w:cs="Times New Roman"/>
      </w:rPr>
    </w:lvl>
    <w:lvl w:ilvl="2" w:tplc="1809001B" w:tentative="1">
      <w:start w:val="1"/>
      <w:numFmt w:val="lowerRoman"/>
      <w:lvlText w:val="%3."/>
      <w:lvlJc w:val="right"/>
      <w:pPr>
        <w:ind w:left="1800" w:hanging="180"/>
      </w:pPr>
      <w:rPr>
        <w:rFonts w:cs="Times New Roman"/>
      </w:rPr>
    </w:lvl>
    <w:lvl w:ilvl="3" w:tplc="1809000F" w:tentative="1">
      <w:start w:val="1"/>
      <w:numFmt w:val="decimal"/>
      <w:lvlText w:val="%4."/>
      <w:lvlJc w:val="left"/>
      <w:pPr>
        <w:ind w:left="2520" w:hanging="360"/>
      </w:pPr>
      <w:rPr>
        <w:rFonts w:cs="Times New Roman"/>
      </w:rPr>
    </w:lvl>
    <w:lvl w:ilvl="4" w:tplc="18090019" w:tentative="1">
      <w:start w:val="1"/>
      <w:numFmt w:val="lowerLetter"/>
      <w:lvlText w:val="%5."/>
      <w:lvlJc w:val="left"/>
      <w:pPr>
        <w:ind w:left="3240" w:hanging="360"/>
      </w:pPr>
      <w:rPr>
        <w:rFonts w:cs="Times New Roman"/>
      </w:rPr>
    </w:lvl>
    <w:lvl w:ilvl="5" w:tplc="1809001B" w:tentative="1">
      <w:start w:val="1"/>
      <w:numFmt w:val="lowerRoman"/>
      <w:lvlText w:val="%6."/>
      <w:lvlJc w:val="right"/>
      <w:pPr>
        <w:ind w:left="3960" w:hanging="180"/>
      </w:pPr>
      <w:rPr>
        <w:rFonts w:cs="Times New Roman"/>
      </w:rPr>
    </w:lvl>
    <w:lvl w:ilvl="6" w:tplc="1809000F" w:tentative="1">
      <w:start w:val="1"/>
      <w:numFmt w:val="decimal"/>
      <w:lvlText w:val="%7."/>
      <w:lvlJc w:val="left"/>
      <w:pPr>
        <w:ind w:left="4680" w:hanging="360"/>
      </w:pPr>
      <w:rPr>
        <w:rFonts w:cs="Times New Roman"/>
      </w:rPr>
    </w:lvl>
    <w:lvl w:ilvl="7" w:tplc="18090019" w:tentative="1">
      <w:start w:val="1"/>
      <w:numFmt w:val="lowerLetter"/>
      <w:lvlText w:val="%8."/>
      <w:lvlJc w:val="left"/>
      <w:pPr>
        <w:ind w:left="5400" w:hanging="360"/>
      </w:pPr>
      <w:rPr>
        <w:rFonts w:cs="Times New Roman"/>
      </w:rPr>
    </w:lvl>
    <w:lvl w:ilvl="8" w:tplc="1809001B" w:tentative="1">
      <w:start w:val="1"/>
      <w:numFmt w:val="lowerRoman"/>
      <w:lvlText w:val="%9."/>
      <w:lvlJc w:val="right"/>
      <w:pPr>
        <w:ind w:left="6120" w:hanging="180"/>
      </w:pPr>
      <w:rPr>
        <w:rFonts w:cs="Times New Roman"/>
      </w:rPr>
    </w:lvl>
  </w:abstractNum>
  <w:abstractNum w:abstractNumId="38" w15:restartNumberingAfterBreak="0">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39" w15:restartNumberingAfterBreak="0">
    <w:nsid w:val="76BC5C11"/>
    <w:multiLevelType w:val="singleLevel"/>
    <w:tmpl w:val="E44CE82E"/>
    <w:lvl w:ilvl="0">
      <w:start w:val="1"/>
      <w:numFmt w:val="bullet"/>
      <w:pStyle w:val="ListBullet3"/>
      <w:lvlText w:val=""/>
      <w:lvlJc w:val="left"/>
      <w:pPr>
        <w:tabs>
          <w:tab w:val="num" w:pos="1134"/>
        </w:tabs>
        <w:ind w:left="1134" w:hanging="283"/>
      </w:pPr>
      <w:rPr>
        <w:rFonts w:ascii="Symbol" w:hAnsi="Symbol" w:hint="default"/>
      </w:rPr>
    </w:lvl>
  </w:abstractNum>
  <w:abstractNum w:abstractNumId="40"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
  </w:num>
  <w:num w:numId="2">
    <w:abstractNumId w:val="0"/>
  </w:num>
  <w:num w:numId="3">
    <w:abstractNumId w:val="2"/>
  </w:num>
  <w:num w:numId="4">
    <w:abstractNumId w:val="12"/>
  </w:num>
  <w:num w:numId="5">
    <w:abstractNumId w:val="23"/>
  </w:num>
  <w:num w:numId="6">
    <w:abstractNumId w:val="22"/>
  </w:num>
  <w:num w:numId="7">
    <w:abstractNumId w:val="39"/>
  </w:num>
  <w:num w:numId="8">
    <w:abstractNumId w:val="4"/>
  </w:num>
  <w:num w:numId="9">
    <w:abstractNumId w:val="14"/>
  </w:num>
  <w:num w:numId="10">
    <w:abstractNumId w:val="5"/>
  </w:num>
  <w:num w:numId="11">
    <w:abstractNumId w:val="16"/>
  </w:num>
  <w:num w:numId="12">
    <w:abstractNumId w:val="13"/>
  </w:num>
  <w:num w:numId="13">
    <w:abstractNumId w:val="9"/>
  </w:num>
  <w:num w:numId="14">
    <w:abstractNumId w:val="17"/>
  </w:num>
  <w:num w:numId="15">
    <w:abstractNumId w:val="31"/>
  </w:num>
  <w:num w:numId="16">
    <w:abstractNumId w:val="32"/>
  </w:num>
  <w:num w:numId="17">
    <w:abstractNumId w:val="15"/>
  </w:num>
  <w:num w:numId="18">
    <w:abstractNumId w:val="37"/>
  </w:num>
  <w:num w:numId="19">
    <w:abstractNumId w:val="36"/>
  </w:num>
  <w:num w:numId="20">
    <w:abstractNumId w:val="34"/>
  </w:num>
  <w:num w:numId="21">
    <w:abstractNumId w:val="29"/>
  </w:num>
  <w:num w:numId="22">
    <w:abstractNumId w:val="3"/>
  </w:num>
  <w:num w:numId="23">
    <w:abstractNumId w:val="1"/>
    <w:lvlOverride w:ilvl="0">
      <w:startOverride w:val="1"/>
    </w:lvlOverride>
  </w:num>
  <w:num w:numId="24">
    <w:abstractNumId w:val="1"/>
    <w:lvlOverride w:ilvl="0">
      <w:startOverride w:val="1"/>
    </w:lvlOverride>
  </w:num>
  <w:num w:numId="25">
    <w:abstractNumId w:val="1"/>
    <w:lvlOverride w:ilvl="0">
      <w:startOverride w:val="1"/>
    </w:lvlOverride>
  </w:num>
  <w:num w:numId="26">
    <w:abstractNumId w:val="25"/>
  </w:num>
  <w:num w:numId="27">
    <w:abstractNumId w:val="30"/>
  </w:num>
  <w:num w:numId="28">
    <w:abstractNumId w:val="38"/>
  </w:num>
  <w:num w:numId="29">
    <w:abstractNumId w:val="28"/>
    <w:lvlOverride w:ilvl="0">
      <w:lvl w:ilvl="0">
        <w:start w:val="1"/>
        <w:numFmt w:val="bullet"/>
        <w:pStyle w:val="Tiret0"/>
        <w:lvlText w:val="–"/>
        <w:legacy w:legacy="1" w:legacySpace="0" w:legacyIndent="283"/>
        <w:lvlJc w:val="left"/>
        <w:pPr>
          <w:ind w:left="283" w:hanging="283"/>
        </w:pPr>
        <w:rPr>
          <w:rFonts w:ascii="Times New Roman" w:hAnsi="Times New Roman" w:hint="default"/>
        </w:rPr>
      </w:lvl>
    </w:lvlOverride>
  </w:num>
  <w:num w:numId="30">
    <w:abstractNumId w:val="28"/>
    <w:lvlOverride w:ilvl="0">
      <w:startOverride w:val="1"/>
    </w:lvlOverride>
  </w:num>
  <w:num w:numId="31">
    <w:abstractNumId w:val="11"/>
    <w:lvlOverride w:ilvl="0">
      <w:startOverride w:val="1"/>
    </w:lvlOverride>
  </w:num>
  <w:num w:numId="32">
    <w:abstractNumId w:val="1"/>
    <w:lvlOverride w:ilvl="0">
      <w:startOverride w:val="1"/>
    </w:lvlOverride>
  </w:num>
  <w:num w:numId="33">
    <w:abstractNumId w:val="6"/>
  </w:num>
  <w:num w:numId="34">
    <w:abstractNumId w:val="28"/>
  </w:num>
  <w:num w:numId="35">
    <w:abstractNumId w:val="18"/>
  </w:num>
  <w:num w:numId="36">
    <w:abstractNumId w:val="35"/>
  </w:num>
  <w:num w:numId="37">
    <w:abstractNumId w:val="11"/>
  </w:num>
  <w:num w:numId="38">
    <w:abstractNumId w:val="19"/>
  </w:num>
  <w:num w:numId="39">
    <w:abstractNumId w:val="20"/>
  </w:num>
  <w:num w:numId="40">
    <w:abstractNumId w:val="8"/>
  </w:num>
  <w:num w:numId="41">
    <w:abstractNumId w:val="33"/>
  </w:num>
  <w:num w:numId="42">
    <w:abstractNumId w:val="7"/>
  </w:num>
  <w:num w:numId="43">
    <w:abstractNumId w:val="21"/>
  </w:num>
  <w:num w:numId="44">
    <w:abstractNumId w:val="26"/>
  </w:num>
  <w:num w:numId="45">
    <w:abstractNumId w:val="27"/>
  </w:num>
  <w:num w:numId="46">
    <w:abstractNumId w:val="10"/>
  </w:num>
  <w:num w:numId="47">
    <w:abstractNumId w:val="24"/>
  </w:num>
  <w:num w:numId="48">
    <w:abstractNumId w:val="40"/>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hideSpellingErrors/>
  <w:hideGrammaticalErrors/>
  <w:attachedTemplate r:id="rId1"/>
  <w:revisionView w:markup="0"/>
  <w:defaultTabStop w:val="720"/>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3-01-17 19:28:17"/>
    <w:docVar w:name="DQCNUMB_1" w:val="1266"/>
    <w:docVar w:name="DQCNUMB_2" w:val="1267"/>
    <w:docVar w:name="DQCNUMB_3" w:val="1268"/>
    <w:docVar w:name="DQCNUMB_4" w:val="1329"/>
    <w:docVar w:name="DQCNUMB_5" w:val="1335"/>
    <w:docVar w:name="DQCNUMB_6" w:val="1336"/>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LW_ACCOMPAGNANT" w:val="k"/>
    <w:docVar w:name="LW_ACCOMPAGNANT.CP" w:val="k"/>
    <w:docVar w:name="LW_ANNEX_NBR_FIRST" w:val="1"/>
    <w:docVar w:name="LW_ANNEX_NBR_LAST" w:val="11"/>
    <w:docVar w:name="LW_ANNEX_UNIQUE" w:val="0"/>
    <w:docVar w:name="LW_CORRIGENDUM" w:val="&lt;UNUSED&gt;"/>
    <w:docVar w:name="LW_COVERPAGE_EXISTS" w:val="True"/>
    <w:docVar w:name="LW_COVERPAGE_GUID" w:val="A3AF48A9-9DD5-4DB5-BC11-B4059D299C41"/>
    <w:docVar w:name="LW_COVERPAGE_TYPE" w:val="1"/>
    <w:docVar w:name="LW_CROSSREFERENCE" w:val="{SEC(2022) 542 final} - {SWD(2022) 345 final} - {SWD(2022) 542 final} - {SWD(2022) 545 final}"/>
    <w:docVar w:name="LW_DocType" w:val="ANNEX"/>
    <w:docVar w:name="LW_EMISSION" w:val="26. 10. 2022"/>
    <w:docVar w:name="LW_EMISSION_ISODATE" w:val="2022-10-26"/>
    <w:docVar w:name="LW_EMISSION_LOCATION" w:val="BRX"/>
    <w:docVar w:name="LW_EMISSION_PREFIX" w:val="V Bruseli"/>
    <w:docVar w:name="LW_EMISSION_SUFFIX" w:val=" "/>
    <w:docVar w:name="LW_ID_DOCSTRUCTURE" w:val="COM/ANNEX"/>
    <w:docVar w:name="LW_ID_DOCTYPE" w:val="SG-017"/>
    <w:docVar w:name="LW_LANGUE" w:val="SK"/>
    <w:docVar w:name="LW_LEVEL_OF_SENSITIVITY" w:val="Standard treatment"/>
    <w:docVar w:name="LW_NOM.INST" w:val="EURÓPSKA KOMISIA"/>
    <w:docVar w:name="LW_NOM.INST_JOINTDOC" w:val="&lt;EMPTY&gt;"/>
    <w:docVar w:name="LW_OBJETACTEPRINCIPAL" w:val="&lt;FMT:Bold&gt;o kvalite okolitého ovzdu\u353?ia a \u269?istej\u353?om ovzdu\u353?í v Európe (prepracované znenie)&lt;/FMT&gt;"/>
    <w:docVar w:name="LW_OBJETACTEPRINCIPAL.CP" w:val="&lt;FMT:Bold&gt;o kvalite okolitého ovzdušia a čistejšom ovzduší v Európe (prepracované znenie)&lt;/FMT&gt;"/>
    <w:docVar w:name="LW_PART_NBR" w:val="&lt;UNUSED&gt;"/>
    <w:docVar w:name="LW_PART_NBR_TOTAL" w:val="&lt;UNUSED&gt;"/>
    <w:docVar w:name="LW_REF.INST.NEW" w:val="COM"/>
    <w:docVar w:name="LW_REF.INST.NEW_ADOPTED" w:val="final"/>
    <w:docVar w:name="LW_REF.INST.NEW_TEXT" w:val="(2022) 54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PRÍLOHY"/>
    <w:docVar w:name="LW_TYPE.DOC.CP" w:val="PRÍLOHY"/>
    <w:docVar w:name="LW_TYPEACTEPRINCIPAL" w:val="návrhu smernice Európskeho parlamentu a&lt;LWCR:NBS&gt;Rady"/>
    <w:docVar w:name="LW_TYPEACTEPRINCIPAL.CP" w:val="návrhu smernice Európskeho parlamentu a Rady"/>
    <w:docVar w:name="LwApiVersions" w:val="LW4CoDe 1.23.2.0; LW 8.0, Build 20211117"/>
  </w:docVars>
  <w:rsids>
    <w:rsidRoot w:val="00396189"/>
    <w:rsid w:val="00000A20"/>
    <w:rsid w:val="00004294"/>
    <w:rsid w:val="00004298"/>
    <w:rsid w:val="00006BD0"/>
    <w:rsid w:val="00010AC2"/>
    <w:rsid w:val="000132B1"/>
    <w:rsid w:val="0001431A"/>
    <w:rsid w:val="00014B02"/>
    <w:rsid w:val="00016037"/>
    <w:rsid w:val="000218A9"/>
    <w:rsid w:val="0002194D"/>
    <w:rsid w:val="000230F3"/>
    <w:rsid w:val="00023185"/>
    <w:rsid w:val="00027D24"/>
    <w:rsid w:val="00033226"/>
    <w:rsid w:val="000336FB"/>
    <w:rsid w:val="00034D57"/>
    <w:rsid w:val="00037F0B"/>
    <w:rsid w:val="00040F62"/>
    <w:rsid w:val="00041B3C"/>
    <w:rsid w:val="00041BE7"/>
    <w:rsid w:val="00041EF6"/>
    <w:rsid w:val="0004645A"/>
    <w:rsid w:val="00047C38"/>
    <w:rsid w:val="00053A42"/>
    <w:rsid w:val="000567FF"/>
    <w:rsid w:val="00060527"/>
    <w:rsid w:val="00061323"/>
    <w:rsid w:val="00065D44"/>
    <w:rsid w:val="000665C0"/>
    <w:rsid w:val="00072B4F"/>
    <w:rsid w:val="000744B4"/>
    <w:rsid w:val="00080B11"/>
    <w:rsid w:val="00082760"/>
    <w:rsid w:val="0008730F"/>
    <w:rsid w:val="000901D6"/>
    <w:rsid w:val="00094FC2"/>
    <w:rsid w:val="00095717"/>
    <w:rsid w:val="000969D8"/>
    <w:rsid w:val="00096BD5"/>
    <w:rsid w:val="000A000C"/>
    <w:rsid w:val="000A07FE"/>
    <w:rsid w:val="000A0843"/>
    <w:rsid w:val="000A6A4F"/>
    <w:rsid w:val="000A6A7F"/>
    <w:rsid w:val="000A7517"/>
    <w:rsid w:val="000A78BA"/>
    <w:rsid w:val="000B0579"/>
    <w:rsid w:val="000B6879"/>
    <w:rsid w:val="000C08C4"/>
    <w:rsid w:val="000C1D3B"/>
    <w:rsid w:val="000C2D47"/>
    <w:rsid w:val="000C5EC0"/>
    <w:rsid w:val="000C5FCC"/>
    <w:rsid w:val="000D09BD"/>
    <w:rsid w:val="000D45D3"/>
    <w:rsid w:val="000D77F9"/>
    <w:rsid w:val="000D79AF"/>
    <w:rsid w:val="000E198E"/>
    <w:rsid w:val="000E2114"/>
    <w:rsid w:val="000E5472"/>
    <w:rsid w:val="000F26E5"/>
    <w:rsid w:val="000F36B8"/>
    <w:rsid w:val="000F4100"/>
    <w:rsid w:val="000F7599"/>
    <w:rsid w:val="00102336"/>
    <w:rsid w:val="00104399"/>
    <w:rsid w:val="00106C9B"/>
    <w:rsid w:val="00110C40"/>
    <w:rsid w:val="0011678F"/>
    <w:rsid w:val="001167E5"/>
    <w:rsid w:val="00117426"/>
    <w:rsid w:val="001178FD"/>
    <w:rsid w:val="00123CA7"/>
    <w:rsid w:val="00124112"/>
    <w:rsid w:val="001250EC"/>
    <w:rsid w:val="001259C4"/>
    <w:rsid w:val="00131168"/>
    <w:rsid w:val="00134026"/>
    <w:rsid w:val="001354F0"/>
    <w:rsid w:val="00136D00"/>
    <w:rsid w:val="00137C90"/>
    <w:rsid w:val="00141B90"/>
    <w:rsid w:val="00142FD1"/>
    <w:rsid w:val="001435E3"/>
    <w:rsid w:val="00143BEB"/>
    <w:rsid w:val="00144039"/>
    <w:rsid w:val="00153490"/>
    <w:rsid w:val="00154C93"/>
    <w:rsid w:val="00156470"/>
    <w:rsid w:val="00161720"/>
    <w:rsid w:val="00162163"/>
    <w:rsid w:val="00163FF8"/>
    <w:rsid w:val="00165C4F"/>
    <w:rsid w:val="00166F2C"/>
    <w:rsid w:val="00167E8C"/>
    <w:rsid w:val="001703ED"/>
    <w:rsid w:val="001757BF"/>
    <w:rsid w:val="00177D2A"/>
    <w:rsid w:val="001814B4"/>
    <w:rsid w:val="00181588"/>
    <w:rsid w:val="001815C3"/>
    <w:rsid w:val="00183221"/>
    <w:rsid w:val="00186C7D"/>
    <w:rsid w:val="00187D7A"/>
    <w:rsid w:val="00194B3E"/>
    <w:rsid w:val="00194FB2"/>
    <w:rsid w:val="001A01DA"/>
    <w:rsid w:val="001A4021"/>
    <w:rsid w:val="001A5957"/>
    <w:rsid w:val="001A7907"/>
    <w:rsid w:val="001B7717"/>
    <w:rsid w:val="001C0840"/>
    <w:rsid w:val="001C14D6"/>
    <w:rsid w:val="001C2816"/>
    <w:rsid w:val="001C29C5"/>
    <w:rsid w:val="001C4977"/>
    <w:rsid w:val="001D2C77"/>
    <w:rsid w:val="001D3B0F"/>
    <w:rsid w:val="001D6669"/>
    <w:rsid w:val="001D6F98"/>
    <w:rsid w:val="001E0B46"/>
    <w:rsid w:val="001E3891"/>
    <w:rsid w:val="001E611A"/>
    <w:rsid w:val="001E7AD6"/>
    <w:rsid w:val="001F0A12"/>
    <w:rsid w:val="001F0CE0"/>
    <w:rsid w:val="001F291E"/>
    <w:rsid w:val="001F335E"/>
    <w:rsid w:val="001F343E"/>
    <w:rsid w:val="001F3593"/>
    <w:rsid w:val="001F364E"/>
    <w:rsid w:val="00201F4D"/>
    <w:rsid w:val="00210AF0"/>
    <w:rsid w:val="002129DB"/>
    <w:rsid w:val="0021312D"/>
    <w:rsid w:val="00220654"/>
    <w:rsid w:val="002207C6"/>
    <w:rsid w:val="00221917"/>
    <w:rsid w:val="00224B01"/>
    <w:rsid w:val="00224C66"/>
    <w:rsid w:val="00232E98"/>
    <w:rsid w:val="002335A6"/>
    <w:rsid w:val="00236AB6"/>
    <w:rsid w:val="00236AEF"/>
    <w:rsid w:val="00240340"/>
    <w:rsid w:val="00241D1E"/>
    <w:rsid w:val="00246B83"/>
    <w:rsid w:val="00250EBC"/>
    <w:rsid w:val="00251D5C"/>
    <w:rsid w:val="00253E29"/>
    <w:rsid w:val="00256E4D"/>
    <w:rsid w:val="00257B45"/>
    <w:rsid w:val="00261815"/>
    <w:rsid w:val="0026263A"/>
    <w:rsid w:val="002830CB"/>
    <w:rsid w:val="00285CBA"/>
    <w:rsid w:val="00286853"/>
    <w:rsid w:val="00287DF1"/>
    <w:rsid w:val="00295770"/>
    <w:rsid w:val="00296996"/>
    <w:rsid w:val="00296B83"/>
    <w:rsid w:val="002A51B1"/>
    <w:rsid w:val="002B1CF7"/>
    <w:rsid w:val="002B56D4"/>
    <w:rsid w:val="002B62F1"/>
    <w:rsid w:val="002B6544"/>
    <w:rsid w:val="002B6746"/>
    <w:rsid w:val="002C0FCF"/>
    <w:rsid w:val="002C29D0"/>
    <w:rsid w:val="002C65AA"/>
    <w:rsid w:val="002D01FA"/>
    <w:rsid w:val="002D0D62"/>
    <w:rsid w:val="002D45B0"/>
    <w:rsid w:val="002E04B4"/>
    <w:rsid w:val="002E15B4"/>
    <w:rsid w:val="002E21E6"/>
    <w:rsid w:val="002E4D52"/>
    <w:rsid w:val="002E5722"/>
    <w:rsid w:val="002E659F"/>
    <w:rsid w:val="002E753A"/>
    <w:rsid w:val="002F057A"/>
    <w:rsid w:val="002F1E0D"/>
    <w:rsid w:val="002F6113"/>
    <w:rsid w:val="003141E8"/>
    <w:rsid w:val="003157CF"/>
    <w:rsid w:val="00322FC5"/>
    <w:rsid w:val="0032319C"/>
    <w:rsid w:val="00323571"/>
    <w:rsid w:val="00323EE6"/>
    <w:rsid w:val="00324080"/>
    <w:rsid w:val="003262D1"/>
    <w:rsid w:val="0033208E"/>
    <w:rsid w:val="00335440"/>
    <w:rsid w:val="00337765"/>
    <w:rsid w:val="00340866"/>
    <w:rsid w:val="0034245A"/>
    <w:rsid w:val="00342617"/>
    <w:rsid w:val="00343080"/>
    <w:rsid w:val="00344999"/>
    <w:rsid w:val="00346CD9"/>
    <w:rsid w:val="00350869"/>
    <w:rsid w:val="00351C9F"/>
    <w:rsid w:val="00352F67"/>
    <w:rsid w:val="00355561"/>
    <w:rsid w:val="00355AA4"/>
    <w:rsid w:val="003569C7"/>
    <w:rsid w:val="00356CDA"/>
    <w:rsid w:val="003579BC"/>
    <w:rsid w:val="00360951"/>
    <w:rsid w:val="00360C11"/>
    <w:rsid w:val="0036198E"/>
    <w:rsid w:val="00363FF3"/>
    <w:rsid w:val="00370CF8"/>
    <w:rsid w:val="003715EC"/>
    <w:rsid w:val="0037390F"/>
    <w:rsid w:val="00375702"/>
    <w:rsid w:val="00376D7B"/>
    <w:rsid w:val="003773F5"/>
    <w:rsid w:val="00381756"/>
    <w:rsid w:val="003821CD"/>
    <w:rsid w:val="003855EE"/>
    <w:rsid w:val="00386141"/>
    <w:rsid w:val="00386FF8"/>
    <w:rsid w:val="0038712C"/>
    <w:rsid w:val="00392637"/>
    <w:rsid w:val="00392A29"/>
    <w:rsid w:val="00393A3E"/>
    <w:rsid w:val="003955D8"/>
    <w:rsid w:val="00395A63"/>
    <w:rsid w:val="00396189"/>
    <w:rsid w:val="003A2F0D"/>
    <w:rsid w:val="003A3001"/>
    <w:rsid w:val="003A3961"/>
    <w:rsid w:val="003B25E8"/>
    <w:rsid w:val="003B318E"/>
    <w:rsid w:val="003B5C01"/>
    <w:rsid w:val="003C1206"/>
    <w:rsid w:val="003D1566"/>
    <w:rsid w:val="003D2B71"/>
    <w:rsid w:val="003D2C21"/>
    <w:rsid w:val="003D4509"/>
    <w:rsid w:val="003D45C9"/>
    <w:rsid w:val="003E35D9"/>
    <w:rsid w:val="003E3BDA"/>
    <w:rsid w:val="003E5CEF"/>
    <w:rsid w:val="003F22E3"/>
    <w:rsid w:val="003F2832"/>
    <w:rsid w:val="003F4F17"/>
    <w:rsid w:val="00402184"/>
    <w:rsid w:val="00402F16"/>
    <w:rsid w:val="0040432A"/>
    <w:rsid w:val="00404777"/>
    <w:rsid w:val="00406D8B"/>
    <w:rsid w:val="00411D26"/>
    <w:rsid w:val="0041333A"/>
    <w:rsid w:val="00416747"/>
    <w:rsid w:val="00426814"/>
    <w:rsid w:val="0042715C"/>
    <w:rsid w:val="00433084"/>
    <w:rsid w:val="004340D8"/>
    <w:rsid w:val="00445A06"/>
    <w:rsid w:val="0044763E"/>
    <w:rsid w:val="0045158A"/>
    <w:rsid w:val="0045371D"/>
    <w:rsid w:val="0045418A"/>
    <w:rsid w:val="004547E0"/>
    <w:rsid w:val="004564DC"/>
    <w:rsid w:val="004657C6"/>
    <w:rsid w:val="00471FD0"/>
    <w:rsid w:val="004721E9"/>
    <w:rsid w:val="004722E6"/>
    <w:rsid w:val="00475B1F"/>
    <w:rsid w:val="00477EC9"/>
    <w:rsid w:val="0048714B"/>
    <w:rsid w:val="00487D93"/>
    <w:rsid w:val="004905D2"/>
    <w:rsid w:val="00491CCF"/>
    <w:rsid w:val="00492EB7"/>
    <w:rsid w:val="00493D72"/>
    <w:rsid w:val="00494445"/>
    <w:rsid w:val="004959D8"/>
    <w:rsid w:val="00496082"/>
    <w:rsid w:val="0049608F"/>
    <w:rsid w:val="00496C66"/>
    <w:rsid w:val="00496F69"/>
    <w:rsid w:val="004A2AC7"/>
    <w:rsid w:val="004A6A4F"/>
    <w:rsid w:val="004B3956"/>
    <w:rsid w:val="004B42AB"/>
    <w:rsid w:val="004B6503"/>
    <w:rsid w:val="004C1B54"/>
    <w:rsid w:val="004C1EFF"/>
    <w:rsid w:val="004C2AAA"/>
    <w:rsid w:val="004C2FAA"/>
    <w:rsid w:val="004C4F11"/>
    <w:rsid w:val="004C68A6"/>
    <w:rsid w:val="004C77AF"/>
    <w:rsid w:val="004D26EC"/>
    <w:rsid w:val="004D2783"/>
    <w:rsid w:val="004D6761"/>
    <w:rsid w:val="004D7FF9"/>
    <w:rsid w:val="004E0E75"/>
    <w:rsid w:val="004E14F4"/>
    <w:rsid w:val="004E1C9D"/>
    <w:rsid w:val="004E54D5"/>
    <w:rsid w:val="004E59F5"/>
    <w:rsid w:val="004E6627"/>
    <w:rsid w:val="004F2C2D"/>
    <w:rsid w:val="004F4CD1"/>
    <w:rsid w:val="004F5881"/>
    <w:rsid w:val="005012E0"/>
    <w:rsid w:val="0050181B"/>
    <w:rsid w:val="00505264"/>
    <w:rsid w:val="00505D17"/>
    <w:rsid w:val="00506A6E"/>
    <w:rsid w:val="00511E86"/>
    <w:rsid w:val="005125E5"/>
    <w:rsid w:val="00515EDB"/>
    <w:rsid w:val="00516D48"/>
    <w:rsid w:val="005170F1"/>
    <w:rsid w:val="00522FF3"/>
    <w:rsid w:val="00523FCD"/>
    <w:rsid w:val="005274D5"/>
    <w:rsid w:val="00527A3A"/>
    <w:rsid w:val="0053110D"/>
    <w:rsid w:val="00531234"/>
    <w:rsid w:val="00532C7E"/>
    <w:rsid w:val="00536435"/>
    <w:rsid w:val="00536E97"/>
    <w:rsid w:val="00537738"/>
    <w:rsid w:val="00540024"/>
    <w:rsid w:val="00540E6E"/>
    <w:rsid w:val="0054127C"/>
    <w:rsid w:val="00541D53"/>
    <w:rsid w:val="00550080"/>
    <w:rsid w:val="00552BE7"/>
    <w:rsid w:val="00553202"/>
    <w:rsid w:val="005550BF"/>
    <w:rsid w:val="0056194A"/>
    <w:rsid w:val="00562190"/>
    <w:rsid w:val="0056649B"/>
    <w:rsid w:val="00573BDF"/>
    <w:rsid w:val="005742DB"/>
    <w:rsid w:val="00574C0A"/>
    <w:rsid w:val="005763AC"/>
    <w:rsid w:val="005812BF"/>
    <w:rsid w:val="00582991"/>
    <w:rsid w:val="00583A87"/>
    <w:rsid w:val="005847B1"/>
    <w:rsid w:val="0058592D"/>
    <w:rsid w:val="005870D7"/>
    <w:rsid w:val="0058768E"/>
    <w:rsid w:val="00587A03"/>
    <w:rsid w:val="005900CA"/>
    <w:rsid w:val="00593D56"/>
    <w:rsid w:val="00593EE7"/>
    <w:rsid w:val="00595925"/>
    <w:rsid w:val="00595AE8"/>
    <w:rsid w:val="005A5D00"/>
    <w:rsid w:val="005A671E"/>
    <w:rsid w:val="005B0170"/>
    <w:rsid w:val="005B42F9"/>
    <w:rsid w:val="005C1927"/>
    <w:rsid w:val="005C1DE1"/>
    <w:rsid w:val="005C20C0"/>
    <w:rsid w:val="005C291E"/>
    <w:rsid w:val="005C6141"/>
    <w:rsid w:val="005C7768"/>
    <w:rsid w:val="005C7E70"/>
    <w:rsid w:val="005D298C"/>
    <w:rsid w:val="005D2D65"/>
    <w:rsid w:val="005D3551"/>
    <w:rsid w:val="005D505A"/>
    <w:rsid w:val="005D597F"/>
    <w:rsid w:val="005D5EC4"/>
    <w:rsid w:val="005D7489"/>
    <w:rsid w:val="005E4048"/>
    <w:rsid w:val="005E68C0"/>
    <w:rsid w:val="005E7A95"/>
    <w:rsid w:val="005E7BD2"/>
    <w:rsid w:val="005F01C5"/>
    <w:rsid w:val="005F1767"/>
    <w:rsid w:val="005F4196"/>
    <w:rsid w:val="005F5127"/>
    <w:rsid w:val="00600546"/>
    <w:rsid w:val="00603984"/>
    <w:rsid w:val="00603994"/>
    <w:rsid w:val="0060773C"/>
    <w:rsid w:val="00607816"/>
    <w:rsid w:val="00611605"/>
    <w:rsid w:val="00615481"/>
    <w:rsid w:val="006158DF"/>
    <w:rsid w:val="00616696"/>
    <w:rsid w:val="00626E37"/>
    <w:rsid w:val="0063250B"/>
    <w:rsid w:val="00633C9D"/>
    <w:rsid w:val="00633FED"/>
    <w:rsid w:val="00634A02"/>
    <w:rsid w:val="006357E0"/>
    <w:rsid w:val="00642066"/>
    <w:rsid w:val="006443BF"/>
    <w:rsid w:val="00645634"/>
    <w:rsid w:val="00646FFB"/>
    <w:rsid w:val="00651FCB"/>
    <w:rsid w:val="0065374F"/>
    <w:rsid w:val="00657CA3"/>
    <w:rsid w:val="0066316B"/>
    <w:rsid w:val="0066695B"/>
    <w:rsid w:val="0067098D"/>
    <w:rsid w:val="00671879"/>
    <w:rsid w:val="00672358"/>
    <w:rsid w:val="00672575"/>
    <w:rsid w:val="00672A66"/>
    <w:rsid w:val="0067355B"/>
    <w:rsid w:val="00673C77"/>
    <w:rsid w:val="00676BE4"/>
    <w:rsid w:val="00685A20"/>
    <w:rsid w:val="006862AF"/>
    <w:rsid w:val="00690B79"/>
    <w:rsid w:val="00692162"/>
    <w:rsid w:val="0069399B"/>
    <w:rsid w:val="0069716D"/>
    <w:rsid w:val="00697776"/>
    <w:rsid w:val="006A03A5"/>
    <w:rsid w:val="006A2D09"/>
    <w:rsid w:val="006A6BCB"/>
    <w:rsid w:val="006B0FB0"/>
    <w:rsid w:val="006B41D0"/>
    <w:rsid w:val="006C1CF1"/>
    <w:rsid w:val="006C1F3C"/>
    <w:rsid w:val="006C2EC9"/>
    <w:rsid w:val="006C592A"/>
    <w:rsid w:val="006C78F6"/>
    <w:rsid w:val="006D7A8F"/>
    <w:rsid w:val="006E161A"/>
    <w:rsid w:val="006E2317"/>
    <w:rsid w:val="006E5208"/>
    <w:rsid w:val="006E57CA"/>
    <w:rsid w:val="006E7BBF"/>
    <w:rsid w:val="006F0662"/>
    <w:rsid w:val="006F35D5"/>
    <w:rsid w:val="006F3F11"/>
    <w:rsid w:val="006F797D"/>
    <w:rsid w:val="0070128F"/>
    <w:rsid w:val="00702474"/>
    <w:rsid w:val="00703744"/>
    <w:rsid w:val="00704F46"/>
    <w:rsid w:val="007102E0"/>
    <w:rsid w:val="007108AD"/>
    <w:rsid w:val="00712095"/>
    <w:rsid w:val="00713558"/>
    <w:rsid w:val="00714F83"/>
    <w:rsid w:val="00715325"/>
    <w:rsid w:val="00721BE7"/>
    <w:rsid w:val="0072203D"/>
    <w:rsid w:val="00724F80"/>
    <w:rsid w:val="007324D4"/>
    <w:rsid w:val="00732736"/>
    <w:rsid w:val="00733286"/>
    <w:rsid w:val="007333F7"/>
    <w:rsid w:val="00733F29"/>
    <w:rsid w:val="00740C6B"/>
    <w:rsid w:val="00742342"/>
    <w:rsid w:val="0074266C"/>
    <w:rsid w:val="00753324"/>
    <w:rsid w:val="0075541C"/>
    <w:rsid w:val="00755D3A"/>
    <w:rsid w:val="0076166A"/>
    <w:rsid w:val="007634A0"/>
    <w:rsid w:val="00764A14"/>
    <w:rsid w:val="00765963"/>
    <w:rsid w:val="00766E74"/>
    <w:rsid w:val="0076729F"/>
    <w:rsid w:val="00771D75"/>
    <w:rsid w:val="00772AAC"/>
    <w:rsid w:val="0077676A"/>
    <w:rsid w:val="00782F2B"/>
    <w:rsid w:val="0079141A"/>
    <w:rsid w:val="00793961"/>
    <w:rsid w:val="00793B55"/>
    <w:rsid w:val="00794D86"/>
    <w:rsid w:val="007950AF"/>
    <w:rsid w:val="00797D8E"/>
    <w:rsid w:val="007A336B"/>
    <w:rsid w:val="007A59D6"/>
    <w:rsid w:val="007A6750"/>
    <w:rsid w:val="007A707B"/>
    <w:rsid w:val="007B43A2"/>
    <w:rsid w:val="007B7AD7"/>
    <w:rsid w:val="007C06F6"/>
    <w:rsid w:val="007C0EA1"/>
    <w:rsid w:val="007C3B1C"/>
    <w:rsid w:val="007C7B04"/>
    <w:rsid w:val="007D004A"/>
    <w:rsid w:val="007D6599"/>
    <w:rsid w:val="007D7310"/>
    <w:rsid w:val="007D732B"/>
    <w:rsid w:val="007E0745"/>
    <w:rsid w:val="007E109E"/>
    <w:rsid w:val="007E5BE6"/>
    <w:rsid w:val="007E6BFE"/>
    <w:rsid w:val="007F0F4C"/>
    <w:rsid w:val="007F20DC"/>
    <w:rsid w:val="007F701F"/>
    <w:rsid w:val="00804185"/>
    <w:rsid w:val="008047BB"/>
    <w:rsid w:val="00807E65"/>
    <w:rsid w:val="00814130"/>
    <w:rsid w:val="00814ED7"/>
    <w:rsid w:val="00815784"/>
    <w:rsid w:val="008228F1"/>
    <w:rsid w:val="0082685E"/>
    <w:rsid w:val="0083547D"/>
    <w:rsid w:val="00836656"/>
    <w:rsid w:val="008404F9"/>
    <w:rsid w:val="008427AC"/>
    <w:rsid w:val="008430DB"/>
    <w:rsid w:val="00844B11"/>
    <w:rsid w:val="00844F36"/>
    <w:rsid w:val="00844FBE"/>
    <w:rsid w:val="00845E98"/>
    <w:rsid w:val="00852A95"/>
    <w:rsid w:val="008541F2"/>
    <w:rsid w:val="00856DCF"/>
    <w:rsid w:val="008657F9"/>
    <w:rsid w:val="00866D55"/>
    <w:rsid w:val="0087124F"/>
    <w:rsid w:val="008735AD"/>
    <w:rsid w:val="00875310"/>
    <w:rsid w:val="00877877"/>
    <w:rsid w:val="008779C6"/>
    <w:rsid w:val="00880FD1"/>
    <w:rsid w:val="008814E4"/>
    <w:rsid w:val="00881BCF"/>
    <w:rsid w:val="008821AD"/>
    <w:rsid w:val="008830DF"/>
    <w:rsid w:val="0088783B"/>
    <w:rsid w:val="008904DE"/>
    <w:rsid w:val="008909CD"/>
    <w:rsid w:val="0089229A"/>
    <w:rsid w:val="00892AC5"/>
    <w:rsid w:val="00893144"/>
    <w:rsid w:val="0089330C"/>
    <w:rsid w:val="0089765F"/>
    <w:rsid w:val="00897B9B"/>
    <w:rsid w:val="008A18BC"/>
    <w:rsid w:val="008A1F90"/>
    <w:rsid w:val="008A31D5"/>
    <w:rsid w:val="008A6D47"/>
    <w:rsid w:val="008A75DF"/>
    <w:rsid w:val="008B12D1"/>
    <w:rsid w:val="008B3F7F"/>
    <w:rsid w:val="008B4ECB"/>
    <w:rsid w:val="008B5043"/>
    <w:rsid w:val="008B60A5"/>
    <w:rsid w:val="008C185B"/>
    <w:rsid w:val="008C2891"/>
    <w:rsid w:val="008C4544"/>
    <w:rsid w:val="008C46DF"/>
    <w:rsid w:val="008C758A"/>
    <w:rsid w:val="008D6398"/>
    <w:rsid w:val="008D66AE"/>
    <w:rsid w:val="008E2B28"/>
    <w:rsid w:val="008E2D34"/>
    <w:rsid w:val="008E2FA8"/>
    <w:rsid w:val="008E38EE"/>
    <w:rsid w:val="008E3F8D"/>
    <w:rsid w:val="008E5BAC"/>
    <w:rsid w:val="008F24F4"/>
    <w:rsid w:val="008F3560"/>
    <w:rsid w:val="00901D9C"/>
    <w:rsid w:val="0090233F"/>
    <w:rsid w:val="0090245B"/>
    <w:rsid w:val="009032E2"/>
    <w:rsid w:val="00903C9C"/>
    <w:rsid w:val="00904A32"/>
    <w:rsid w:val="00905D22"/>
    <w:rsid w:val="00913071"/>
    <w:rsid w:val="0091438C"/>
    <w:rsid w:val="00916446"/>
    <w:rsid w:val="009172F8"/>
    <w:rsid w:val="00921A4D"/>
    <w:rsid w:val="00921D9F"/>
    <w:rsid w:val="00922C8D"/>
    <w:rsid w:val="009262D9"/>
    <w:rsid w:val="009270DC"/>
    <w:rsid w:val="00927D42"/>
    <w:rsid w:val="00933FFA"/>
    <w:rsid w:val="0093508F"/>
    <w:rsid w:val="009352EB"/>
    <w:rsid w:val="00935A08"/>
    <w:rsid w:val="00935E92"/>
    <w:rsid w:val="00936FC6"/>
    <w:rsid w:val="009426CE"/>
    <w:rsid w:val="00950213"/>
    <w:rsid w:val="00950B6B"/>
    <w:rsid w:val="00950E62"/>
    <w:rsid w:val="00950F20"/>
    <w:rsid w:val="00951875"/>
    <w:rsid w:val="009525AE"/>
    <w:rsid w:val="00955A5B"/>
    <w:rsid w:val="00956129"/>
    <w:rsid w:val="00961EA5"/>
    <w:rsid w:val="00965199"/>
    <w:rsid w:val="00973094"/>
    <w:rsid w:val="009731A0"/>
    <w:rsid w:val="00973571"/>
    <w:rsid w:val="00975B14"/>
    <w:rsid w:val="0098111D"/>
    <w:rsid w:val="009823B4"/>
    <w:rsid w:val="00983F3F"/>
    <w:rsid w:val="00986B33"/>
    <w:rsid w:val="00987AD5"/>
    <w:rsid w:val="0099009A"/>
    <w:rsid w:val="00990690"/>
    <w:rsid w:val="00996866"/>
    <w:rsid w:val="009977DF"/>
    <w:rsid w:val="009A17A4"/>
    <w:rsid w:val="009A2913"/>
    <w:rsid w:val="009A5BF6"/>
    <w:rsid w:val="009A61EB"/>
    <w:rsid w:val="009A7862"/>
    <w:rsid w:val="009B0782"/>
    <w:rsid w:val="009B2CE0"/>
    <w:rsid w:val="009B3BBF"/>
    <w:rsid w:val="009B4A2A"/>
    <w:rsid w:val="009B57F5"/>
    <w:rsid w:val="009B7138"/>
    <w:rsid w:val="009B7FBD"/>
    <w:rsid w:val="009C2161"/>
    <w:rsid w:val="009C76BA"/>
    <w:rsid w:val="009D0C14"/>
    <w:rsid w:val="009D16E9"/>
    <w:rsid w:val="009D545E"/>
    <w:rsid w:val="009D62DF"/>
    <w:rsid w:val="009D68A6"/>
    <w:rsid w:val="009E0B05"/>
    <w:rsid w:val="009E51ED"/>
    <w:rsid w:val="009E679F"/>
    <w:rsid w:val="009E6B27"/>
    <w:rsid w:val="009F68A2"/>
    <w:rsid w:val="009F6FB3"/>
    <w:rsid w:val="00A02317"/>
    <w:rsid w:val="00A02BE7"/>
    <w:rsid w:val="00A04329"/>
    <w:rsid w:val="00A058F2"/>
    <w:rsid w:val="00A05BFC"/>
    <w:rsid w:val="00A06570"/>
    <w:rsid w:val="00A13937"/>
    <w:rsid w:val="00A14104"/>
    <w:rsid w:val="00A143C7"/>
    <w:rsid w:val="00A21AB8"/>
    <w:rsid w:val="00A23433"/>
    <w:rsid w:val="00A24F7C"/>
    <w:rsid w:val="00A264D4"/>
    <w:rsid w:val="00A27167"/>
    <w:rsid w:val="00A30767"/>
    <w:rsid w:val="00A342CC"/>
    <w:rsid w:val="00A4194A"/>
    <w:rsid w:val="00A430C5"/>
    <w:rsid w:val="00A4397A"/>
    <w:rsid w:val="00A44799"/>
    <w:rsid w:val="00A47531"/>
    <w:rsid w:val="00A5029F"/>
    <w:rsid w:val="00A51B84"/>
    <w:rsid w:val="00A528D2"/>
    <w:rsid w:val="00A52CC8"/>
    <w:rsid w:val="00A52FD4"/>
    <w:rsid w:val="00A6243B"/>
    <w:rsid w:val="00A638D7"/>
    <w:rsid w:val="00A67F2E"/>
    <w:rsid w:val="00A70327"/>
    <w:rsid w:val="00A71F6D"/>
    <w:rsid w:val="00A77320"/>
    <w:rsid w:val="00A77D56"/>
    <w:rsid w:val="00A80604"/>
    <w:rsid w:val="00A8121A"/>
    <w:rsid w:val="00A91799"/>
    <w:rsid w:val="00A96757"/>
    <w:rsid w:val="00A96A5F"/>
    <w:rsid w:val="00A9765B"/>
    <w:rsid w:val="00A97F5A"/>
    <w:rsid w:val="00AA23C0"/>
    <w:rsid w:val="00AA2B2D"/>
    <w:rsid w:val="00AA403C"/>
    <w:rsid w:val="00AA6C21"/>
    <w:rsid w:val="00AC053E"/>
    <w:rsid w:val="00AC3337"/>
    <w:rsid w:val="00AC3C31"/>
    <w:rsid w:val="00AC4141"/>
    <w:rsid w:val="00AC433B"/>
    <w:rsid w:val="00AC736A"/>
    <w:rsid w:val="00AC7B8E"/>
    <w:rsid w:val="00AD11A4"/>
    <w:rsid w:val="00AD1919"/>
    <w:rsid w:val="00AD42F3"/>
    <w:rsid w:val="00AD55C0"/>
    <w:rsid w:val="00AD7BAA"/>
    <w:rsid w:val="00AD7EA7"/>
    <w:rsid w:val="00AE17DD"/>
    <w:rsid w:val="00AE19D6"/>
    <w:rsid w:val="00AE1C58"/>
    <w:rsid w:val="00AE2041"/>
    <w:rsid w:val="00AE4078"/>
    <w:rsid w:val="00AF0A3C"/>
    <w:rsid w:val="00AF202B"/>
    <w:rsid w:val="00AF2654"/>
    <w:rsid w:val="00AF5811"/>
    <w:rsid w:val="00B00C0B"/>
    <w:rsid w:val="00B01302"/>
    <w:rsid w:val="00B02FA2"/>
    <w:rsid w:val="00B124E8"/>
    <w:rsid w:val="00B12C3B"/>
    <w:rsid w:val="00B12FD2"/>
    <w:rsid w:val="00B150E3"/>
    <w:rsid w:val="00B15543"/>
    <w:rsid w:val="00B1555C"/>
    <w:rsid w:val="00B15A1C"/>
    <w:rsid w:val="00B16B42"/>
    <w:rsid w:val="00B2191F"/>
    <w:rsid w:val="00B2621D"/>
    <w:rsid w:val="00B33AB2"/>
    <w:rsid w:val="00B36A10"/>
    <w:rsid w:val="00B439C8"/>
    <w:rsid w:val="00B43B38"/>
    <w:rsid w:val="00B45303"/>
    <w:rsid w:val="00B45985"/>
    <w:rsid w:val="00B4617D"/>
    <w:rsid w:val="00B47878"/>
    <w:rsid w:val="00B51F7F"/>
    <w:rsid w:val="00B52AE9"/>
    <w:rsid w:val="00B53F34"/>
    <w:rsid w:val="00B53F9D"/>
    <w:rsid w:val="00B540D9"/>
    <w:rsid w:val="00B54C6A"/>
    <w:rsid w:val="00B56796"/>
    <w:rsid w:val="00B56B5D"/>
    <w:rsid w:val="00B62C14"/>
    <w:rsid w:val="00B63B6D"/>
    <w:rsid w:val="00B71F6D"/>
    <w:rsid w:val="00B73694"/>
    <w:rsid w:val="00B73747"/>
    <w:rsid w:val="00B7773F"/>
    <w:rsid w:val="00B85FFD"/>
    <w:rsid w:val="00B86992"/>
    <w:rsid w:val="00B96F4E"/>
    <w:rsid w:val="00BA0B12"/>
    <w:rsid w:val="00BA381D"/>
    <w:rsid w:val="00BA3DB8"/>
    <w:rsid w:val="00BA4F3C"/>
    <w:rsid w:val="00BA591F"/>
    <w:rsid w:val="00BB016D"/>
    <w:rsid w:val="00BB13F7"/>
    <w:rsid w:val="00BB30BC"/>
    <w:rsid w:val="00BB3B2F"/>
    <w:rsid w:val="00BB3E78"/>
    <w:rsid w:val="00BB57B9"/>
    <w:rsid w:val="00BB65D1"/>
    <w:rsid w:val="00BB7624"/>
    <w:rsid w:val="00BC180F"/>
    <w:rsid w:val="00BC189D"/>
    <w:rsid w:val="00BC20D5"/>
    <w:rsid w:val="00BC572E"/>
    <w:rsid w:val="00BC6155"/>
    <w:rsid w:val="00BC6E8E"/>
    <w:rsid w:val="00BD5B41"/>
    <w:rsid w:val="00BE246D"/>
    <w:rsid w:val="00BE4530"/>
    <w:rsid w:val="00BE5B8E"/>
    <w:rsid w:val="00BE6459"/>
    <w:rsid w:val="00BF17AA"/>
    <w:rsid w:val="00BF45DA"/>
    <w:rsid w:val="00BF538B"/>
    <w:rsid w:val="00BF596E"/>
    <w:rsid w:val="00C0416D"/>
    <w:rsid w:val="00C05BC4"/>
    <w:rsid w:val="00C06275"/>
    <w:rsid w:val="00C064D8"/>
    <w:rsid w:val="00C12ABA"/>
    <w:rsid w:val="00C13B42"/>
    <w:rsid w:val="00C16CEC"/>
    <w:rsid w:val="00C20563"/>
    <w:rsid w:val="00C238B8"/>
    <w:rsid w:val="00C23D5E"/>
    <w:rsid w:val="00C24556"/>
    <w:rsid w:val="00C26056"/>
    <w:rsid w:val="00C27396"/>
    <w:rsid w:val="00C27867"/>
    <w:rsid w:val="00C27BE4"/>
    <w:rsid w:val="00C27E61"/>
    <w:rsid w:val="00C30F9A"/>
    <w:rsid w:val="00C31BB3"/>
    <w:rsid w:val="00C368AA"/>
    <w:rsid w:val="00C36AE4"/>
    <w:rsid w:val="00C462CA"/>
    <w:rsid w:val="00C47483"/>
    <w:rsid w:val="00C51AFB"/>
    <w:rsid w:val="00C51C07"/>
    <w:rsid w:val="00C56CC0"/>
    <w:rsid w:val="00C57E9C"/>
    <w:rsid w:val="00C631D0"/>
    <w:rsid w:val="00C63D7D"/>
    <w:rsid w:val="00C66B05"/>
    <w:rsid w:val="00C671A6"/>
    <w:rsid w:val="00C70889"/>
    <w:rsid w:val="00C708F5"/>
    <w:rsid w:val="00C73B6C"/>
    <w:rsid w:val="00C74661"/>
    <w:rsid w:val="00C80375"/>
    <w:rsid w:val="00C84025"/>
    <w:rsid w:val="00C8549A"/>
    <w:rsid w:val="00C9060A"/>
    <w:rsid w:val="00C914C5"/>
    <w:rsid w:val="00C935AD"/>
    <w:rsid w:val="00C953CA"/>
    <w:rsid w:val="00C97A7E"/>
    <w:rsid w:val="00C97BAB"/>
    <w:rsid w:val="00CA31FA"/>
    <w:rsid w:val="00CA3AC0"/>
    <w:rsid w:val="00CA412D"/>
    <w:rsid w:val="00CB06FF"/>
    <w:rsid w:val="00CB3A4E"/>
    <w:rsid w:val="00CC0FA8"/>
    <w:rsid w:val="00CC1BC7"/>
    <w:rsid w:val="00CC2506"/>
    <w:rsid w:val="00CC40A7"/>
    <w:rsid w:val="00CC5311"/>
    <w:rsid w:val="00CC7CB5"/>
    <w:rsid w:val="00CD0C7E"/>
    <w:rsid w:val="00CD32FA"/>
    <w:rsid w:val="00CD7A6E"/>
    <w:rsid w:val="00CE1945"/>
    <w:rsid w:val="00CE3993"/>
    <w:rsid w:val="00CE46CB"/>
    <w:rsid w:val="00CF2577"/>
    <w:rsid w:val="00CF306F"/>
    <w:rsid w:val="00CF45AA"/>
    <w:rsid w:val="00CF5765"/>
    <w:rsid w:val="00CF7A23"/>
    <w:rsid w:val="00D01E8D"/>
    <w:rsid w:val="00D043A1"/>
    <w:rsid w:val="00D10AC2"/>
    <w:rsid w:val="00D115FC"/>
    <w:rsid w:val="00D14388"/>
    <w:rsid w:val="00D21CA8"/>
    <w:rsid w:val="00D22366"/>
    <w:rsid w:val="00D22A73"/>
    <w:rsid w:val="00D2444B"/>
    <w:rsid w:val="00D26E12"/>
    <w:rsid w:val="00D27C11"/>
    <w:rsid w:val="00D27CA7"/>
    <w:rsid w:val="00D321BA"/>
    <w:rsid w:val="00D328C4"/>
    <w:rsid w:val="00D33986"/>
    <w:rsid w:val="00D34BFD"/>
    <w:rsid w:val="00D37B2F"/>
    <w:rsid w:val="00D40EB4"/>
    <w:rsid w:val="00D40EF9"/>
    <w:rsid w:val="00D41352"/>
    <w:rsid w:val="00D500AC"/>
    <w:rsid w:val="00D56C18"/>
    <w:rsid w:val="00D60955"/>
    <w:rsid w:val="00D63400"/>
    <w:rsid w:val="00D679A4"/>
    <w:rsid w:val="00D734D7"/>
    <w:rsid w:val="00D75BB2"/>
    <w:rsid w:val="00D75DA9"/>
    <w:rsid w:val="00D770D1"/>
    <w:rsid w:val="00D7714A"/>
    <w:rsid w:val="00D77CAA"/>
    <w:rsid w:val="00D809CA"/>
    <w:rsid w:val="00D81856"/>
    <w:rsid w:val="00D82EAB"/>
    <w:rsid w:val="00D84097"/>
    <w:rsid w:val="00D86356"/>
    <w:rsid w:val="00D90839"/>
    <w:rsid w:val="00D94BE9"/>
    <w:rsid w:val="00D95220"/>
    <w:rsid w:val="00D966BA"/>
    <w:rsid w:val="00DA124B"/>
    <w:rsid w:val="00DA23BF"/>
    <w:rsid w:val="00DA32FC"/>
    <w:rsid w:val="00DA42A5"/>
    <w:rsid w:val="00DA490B"/>
    <w:rsid w:val="00DA5703"/>
    <w:rsid w:val="00DA6CD8"/>
    <w:rsid w:val="00DB2406"/>
    <w:rsid w:val="00DB3072"/>
    <w:rsid w:val="00DB3894"/>
    <w:rsid w:val="00DB3FFD"/>
    <w:rsid w:val="00DB50E6"/>
    <w:rsid w:val="00DB638D"/>
    <w:rsid w:val="00DC05E6"/>
    <w:rsid w:val="00DC20C0"/>
    <w:rsid w:val="00DC2AC9"/>
    <w:rsid w:val="00DC5771"/>
    <w:rsid w:val="00DD40A9"/>
    <w:rsid w:val="00DD7DB9"/>
    <w:rsid w:val="00DE06DF"/>
    <w:rsid w:val="00DE4E20"/>
    <w:rsid w:val="00DF2814"/>
    <w:rsid w:val="00DF2DC3"/>
    <w:rsid w:val="00DF300A"/>
    <w:rsid w:val="00E001DD"/>
    <w:rsid w:val="00E029AA"/>
    <w:rsid w:val="00E02E86"/>
    <w:rsid w:val="00E031FD"/>
    <w:rsid w:val="00E033BC"/>
    <w:rsid w:val="00E04436"/>
    <w:rsid w:val="00E048AB"/>
    <w:rsid w:val="00E056A5"/>
    <w:rsid w:val="00E069E2"/>
    <w:rsid w:val="00E077C5"/>
    <w:rsid w:val="00E14560"/>
    <w:rsid w:val="00E160F7"/>
    <w:rsid w:val="00E170E7"/>
    <w:rsid w:val="00E22731"/>
    <w:rsid w:val="00E23B85"/>
    <w:rsid w:val="00E325FE"/>
    <w:rsid w:val="00E34082"/>
    <w:rsid w:val="00E351BD"/>
    <w:rsid w:val="00E35290"/>
    <w:rsid w:val="00E35980"/>
    <w:rsid w:val="00E35B73"/>
    <w:rsid w:val="00E36574"/>
    <w:rsid w:val="00E37734"/>
    <w:rsid w:val="00E37ED8"/>
    <w:rsid w:val="00E4316D"/>
    <w:rsid w:val="00E46673"/>
    <w:rsid w:val="00E472AB"/>
    <w:rsid w:val="00E474C1"/>
    <w:rsid w:val="00E51616"/>
    <w:rsid w:val="00E517BD"/>
    <w:rsid w:val="00E519DA"/>
    <w:rsid w:val="00E51DE3"/>
    <w:rsid w:val="00E52132"/>
    <w:rsid w:val="00E55B74"/>
    <w:rsid w:val="00E572B4"/>
    <w:rsid w:val="00E57611"/>
    <w:rsid w:val="00E660FD"/>
    <w:rsid w:val="00E723B8"/>
    <w:rsid w:val="00E7343C"/>
    <w:rsid w:val="00E73DCB"/>
    <w:rsid w:val="00E75867"/>
    <w:rsid w:val="00E76781"/>
    <w:rsid w:val="00E76846"/>
    <w:rsid w:val="00E80E58"/>
    <w:rsid w:val="00E840DC"/>
    <w:rsid w:val="00E8450A"/>
    <w:rsid w:val="00E846BF"/>
    <w:rsid w:val="00E86C56"/>
    <w:rsid w:val="00E87393"/>
    <w:rsid w:val="00E873C3"/>
    <w:rsid w:val="00E90773"/>
    <w:rsid w:val="00E919B5"/>
    <w:rsid w:val="00E94D3F"/>
    <w:rsid w:val="00E97EA4"/>
    <w:rsid w:val="00EA1726"/>
    <w:rsid w:val="00EA3ABE"/>
    <w:rsid w:val="00EA55FF"/>
    <w:rsid w:val="00EB19D3"/>
    <w:rsid w:val="00EB4133"/>
    <w:rsid w:val="00EB5496"/>
    <w:rsid w:val="00EB5D0D"/>
    <w:rsid w:val="00EB5F44"/>
    <w:rsid w:val="00EB7A85"/>
    <w:rsid w:val="00EC0578"/>
    <w:rsid w:val="00EC2071"/>
    <w:rsid w:val="00EC2992"/>
    <w:rsid w:val="00EC3781"/>
    <w:rsid w:val="00EC42B3"/>
    <w:rsid w:val="00ED22B2"/>
    <w:rsid w:val="00ED2FD0"/>
    <w:rsid w:val="00ED45BB"/>
    <w:rsid w:val="00ED4B23"/>
    <w:rsid w:val="00ED5B1C"/>
    <w:rsid w:val="00ED679C"/>
    <w:rsid w:val="00ED6B9F"/>
    <w:rsid w:val="00ED7A73"/>
    <w:rsid w:val="00EE1CF8"/>
    <w:rsid w:val="00EE30E3"/>
    <w:rsid w:val="00EE3247"/>
    <w:rsid w:val="00EE4F0F"/>
    <w:rsid w:val="00EE5E7A"/>
    <w:rsid w:val="00EE696B"/>
    <w:rsid w:val="00EE770D"/>
    <w:rsid w:val="00EF145A"/>
    <w:rsid w:val="00EF2A3E"/>
    <w:rsid w:val="00EF74BE"/>
    <w:rsid w:val="00F01333"/>
    <w:rsid w:val="00F060D1"/>
    <w:rsid w:val="00F06C9B"/>
    <w:rsid w:val="00F06FB6"/>
    <w:rsid w:val="00F11FDB"/>
    <w:rsid w:val="00F12071"/>
    <w:rsid w:val="00F14485"/>
    <w:rsid w:val="00F1596B"/>
    <w:rsid w:val="00F16D53"/>
    <w:rsid w:val="00F20062"/>
    <w:rsid w:val="00F20B22"/>
    <w:rsid w:val="00F23D4A"/>
    <w:rsid w:val="00F23F57"/>
    <w:rsid w:val="00F2735D"/>
    <w:rsid w:val="00F36AD2"/>
    <w:rsid w:val="00F4002B"/>
    <w:rsid w:val="00F40BC8"/>
    <w:rsid w:val="00F41A46"/>
    <w:rsid w:val="00F41BFF"/>
    <w:rsid w:val="00F42C35"/>
    <w:rsid w:val="00F43BC2"/>
    <w:rsid w:val="00F44A87"/>
    <w:rsid w:val="00F4620F"/>
    <w:rsid w:val="00F508A4"/>
    <w:rsid w:val="00F52C5B"/>
    <w:rsid w:val="00F52FF7"/>
    <w:rsid w:val="00F53551"/>
    <w:rsid w:val="00F54489"/>
    <w:rsid w:val="00F55929"/>
    <w:rsid w:val="00F63C7E"/>
    <w:rsid w:val="00F66B33"/>
    <w:rsid w:val="00F7024E"/>
    <w:rsid w:val="00F72524"/>
    <w:rsid w:val="00F72A56"/>
    <w:rsid w:val="00F75CF2"/>
    <w:rsid w:val="00F7689F"/>
    <w:rsid w:val="00F808A1"/>
    <w:rsid w:val="00F81ABB"/>
    <w:rsid w:val="00F82260"/>
    <w:rsid w:val="00F85928"/>
    <w:rsid w:val="00F9250C"/>
    <w:rsid w:val="00F93A6E"/>
    <w:rsid w:val="00F965F6"/>
    <w:rsid w:val="00F97E1E"/>
    <w:rsid w:val="00FA2A96"/>
    <w:rsid w:val="00FA5327"/>
    <w:rsid w:val="00FA53CA"/>
    <w:rsid w:val="00FB17C6"/>
    <w:rsid w:val="00FC012F"/>
    <w:rsid w:val="00FC09EB"/>
    <w:rsid w:val="00FC109C"/>
    <w:rsid w:val="00FC18DA"/>
    <w:rsid w:val="00FC53B5"/>
    <w:rsid w:val="00FD3095"/>
    <w:rsid w:val="00FD4DB5"/>
    <w:rsid w:val="00FD72AA"/>
    <w:rsid w:val="00FD7543"/>
    <w:rsid w:val="00FE179B"/>
    <w:rsid w:val="00FE2EE6"/>
    <w:rsid w:val="00FE3EA6"/>
    <w:rsid w:val="00FF41DB"/>
    <w:rsid w:val="00FF447E"/>
    <w:rsid w:val="00FF73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sk-SK"/>
    </w:rPr>
  </w:style>
  <w:style w:type="paragraph" w:styleId="Heading1">
    <w:name w:val="heading 1"/>
    <w:basedOn w:val="Normal"/>
    <w:next w:val="Text1"/>
    <w:link w:val="Heading1Char"/>
    <w:uiPriority w:val="9"/>
    <w:qFormat/>
    <w:pPr>
      <w:keepNext/>
      <w:numPr>
        <w:numId w:val="4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1"/>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41"/>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41"/>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41"/>
      </w:numPr>
      <w:outlineLvl w:val="6"/>
    </w:pPr>
    <w:rPr>
      <w:rFonts w:eastAsiaTheme="majorEastAsia"/>
      <w:iCs/>
    </w:rPr>
  </w:style>
  <w:style w:type="paragraph" w:styleId="Heading8">
    <w:name w:val="heading 8"/>
    <w:basedOn w:val="Normal"/>
    <w:next w:val="Normal"/>
    <w:link w:val="Heading8Char"/>
    <w:uiPriority w:val="99"/>
    <w:qFormat/>
    <w:rsid w:val="004F4CD1"/>
    <w:pPr>
      <w:autoSpaceDE w:val="0"/>
      <w:autoSpaceDN w:val="0"/>
      <w:spacing w:before="240" w:after="60"/>
      <w:outlineLvl w:val="7"/>
    </w:pPr>
    <w:rPr>
      <w:rFonts w:ascii="Arial" w:eastAsiaTheme="minorEastAsia" w:hAnsi="Arial" w:cs="Arial"/>
      <w:i/>
      <w:iCs/>
      <w:sz w:val="20"/>
      <w:szCs w:val="20"/>
      <w:lang w:eastAsia="en-GB"/>
    </w:rPr>
  </w:style>
  <w:style w:type="paragraph" w:styleId="Heading9">
    <w:name w:val="heading 9"/>
    <w:basedOn w:val="Normal"/>
    <w:next w:val="Normal"/>
    <w:link w:val="Heading9Char"/>
    <w:uiPriority w:val="99"/>
    <w:qFormat/>
    <w:rsid w:val="004F4CD1"/>
    <w:pPr>
      <w:autoSpaceDE w:val="0"/>
      <w:autoSpaceDN w:val="0"/>
      <w:spacing w:before="240" w:after="60"/>
      <w:outlineLvl w:val="8"/>
    </w:pPr>
    <w:rPr>
      <w:rFonts w:ascii="Arial" w:eastAsiaTheme="minorEastAsia" w:hAnsi="Arial" w:cs="Arial"/>
      <w:i/>
      <w:iCs/>
      <w:sz w:val="18"/>
      <w:szCs w:val="18"/>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955A5B"/>
    <w:pPr>
      <w:numPr>
        <w:numId w:val="27"/>
      </w:numPr>
    </w:pPr>
    <w:rPr>
      <w:rFonts w:eastAsia="Times New Roman"/>
      <w:lang w:eastAsia="en-GB"/>
    </w:rPr>
  </w:style>
  <w:style w:type="paragraph" w:styleId="ListBullet2">
    <w:name w:val="List Bullet 2"/>
    <w:basedOn w:val="Normal"/>
    <w:rsid w:val="00955A5B"/>
    <w:pPr>
      <w:numPr>
        <w:numId w:val="28"/>
      </w:numPr>
    </w:pPr>
    <w:rPr>
      <w:rFonts w:eastAsia="Times New Roman"/>
      <w:lang w:eastAsia="en-GB"/>
    </w:rPr>
  </w:style>
  <w:style w:type="paragraph" w:styleId="ListBullet3">
    <w:name w:val="List Bullet 3"/>
    <w:basedOn w:val="Normal"/>
    <w:rsid w:val="00955A5B"/>
    <w:pPr>
      <w:numPr>
        <w:numId w:val="7"/>
      </w:numPr>
    </w:pPr>
    <w:rPr>
      <w:rFonts w:eastAsia="Times New Roman"/>
      <w:lang w:eastAsia="en-GB"/>
    </w:rPr>
  </w:style>
  <w:style w:type="paragraph" w:styleId="ListBullet4">
    <w:name w:val="List Bullet 4"/>
    <w:basedOn w:val="Normal"/>
    <w:rsid w:val="00955A5B"/>
    <w:pPr>
      <w:numPr>
        <w:numId w:val="26"/>
      </w:numPr>
    </w:pPr>
    <w:rPr>
      <w:rFonts w:eastAsia="Times New Roman"/>
      <w:lang w:eastAsia="de-DE"/>
    </w:rPr>
  </w:style>
  <w:style w:type="character" w:customStyle="1" w:styleId="Heading8Char">
    <w:name w:val="Heading 8 Char"/>
    <w:basedOn w:val="DefaultParagraphFont"/>
    <w:link w:val="Heading8"/>
    <w:uiPriority w:val="99"/>
    <w:rsid w:val="004F4CD1"/>
    <w:rPr>
      <w:rFonts w:ascii="Arial" w:eastAsiaTheme="minorEastAsia" w:hAnsi="Arial" w:cs="Arial"/>
      <w:i/>
      <w:iCs/>
      <w:sz w:val="20"/>
      <w:szCs w:val="20"/>
      <w:lang w:val="sk-SK" w:eastAsia="en-GB"/>
    </w:rPr>
  </w:style>
  <w:style w:type="character" w:customStyle="1" w:styleId="Heading9Char">
    <w:name w:val="Heading 9 Char"/>
    <w:basedOn w:val="DefaultParagraphFont"/>
    <w:link w:val="Heading9"/>
    <w:uiPriority w:val="99"/>
    <w:rsid w:val="004F4CD1"/>
    <w:rPr>
      <w:rFonts w:ascii="Arial" w:eastAsiaTheme="minorEastAsia" w:hAnsi="Arial" w:cs="Arial"/>
      <w:i/>
      <w:iCs/>
      <w:sz w:val="18"/>
      <w:szCs w:val="18"/>
      <w:lang w:val="sk-SK" w:eastAsia="en-GB"/>
    </w:rPr>
  </w:style>
  <w:style w:type="paragraph" w:styleId="ListNumber">
    <w:name w:val="List Number"/>
    <w:basedOn w:val="Normal"/>
    <w:rsid w:val="00955A5B"/>
    <w:pPr>
      <w:numPr>
        <w:numId w:val="1"/>
      </w:numPr>
    </w:pPr>
    <w:rPr>
      <w:rFonts w:eastAsia="Times New Roman"/>
      <w:lang w:eastAsia="en-GB"/>
    </w:rPr>
  </w:style>
  <w:style w:type="paragraph" w:styleId="ListNumber4">
    <w:name w:val="List Number 4"/>
    <w:basedOn w:val="Normal"/>
    <w:rsid w:val="00955A5B"/>
    <w:pPr>
      <w:numPr>
        <w:numId w:val="2"/>
      </w:numPr>
    </w:pPr>
    <w:rPr>
      <w:rFonts w:eastAsia="Times New Roman"/>
      <w:lang w:eastAsia="en-GB"/>
    </w:rPr>
  </w:style>
  <w:style w:type="character" w:styleId="Hyperlink">
    <w:name w:val="Hyperlink"/>
    <w:uiPriority w:val="99"/>
    <w:rsid w:val="004F4CD1"/>
    <w:rPr>
      <w:color w:val="0000FF"/>
      <w:u w:val="single"/>
      <w:shd w:val="clear" w:color="auto" w:fill="auto"/>
    </w:rPr>
  </w:style>
  <w:style w:type="paragraph" w:customStyle="1" w:styleId="ListBullet1">
    <w:name w:val="List Bullet 1"/>
    <w:basedOn w:val="Normal"/>
    <w:rsid w:val="00955A5B"/>
    <w:pPr>
      <w:numPr>
        <w:numId w:val="3"/>
      </w:numPr>
    </w:pPr>
    <w:rPr>
      <w:rFonts w:eastAsia="Times New Roman"/>
      <w:lang w:eastAsia="de-DE"/>
    </w:rPr>
  </w:style>
  <w:style w:type="paragraph" w:customStyle="1" w:styleId="ListDash">
    <w:name w:val="List Dash"/>
    <w:basedOn w:val="Normal"/>
    <w:rsid w:val="00955A5B"/>
    <w:pPr>
      <w:numPr>
        <w:numId w:val="4"/>
      </w:numPr>
    </w:pPr>
    <w:rPr>
      <w:rFonts w:eastAsia="Times New Roman"/>
      <w:lang w:eastAsia="de-DE"/>
    </w:rPr>
  </w:style>
  <w:style w:type="paragraph" w:customStyle="1" w:styleId="ListDash1">
    <w:name w:val="List Dash 1"/>
    <w:basedOn w:val="Normal"/>
    <w:rsid w:val="00955A5B"/>
    <w:pPr>
      <w:numPr>
        <w:numId w:val="5"/>
      </w:numPr>
    </w:pPr>
    <w:rPr>
      <w:rFonts w:eastAsia="Times New Roman"/>
      <w:lang w:eastAsia="de-DE"/>
    </w:rPr>
  </w:style>
  <w:style w:type="paragraph" w:customStyle="1" w:styleId="ListDash2">
    <w:name w:val="List Dash 2"/>
    <w:basedOn w:val="Normal"/>
    <w:rsid w:val="00955A5B"/>
    <w:pPr>
      <w:numPr>
        <w:numId w:val="6"/>
      </w:numPr>
    </w:pPr>
    <w:rPr>
      <w:rFonts w:eastAsia="Times New Roman"/>
      <w:lang w:eastAsia="de-DE"/>
    </w:rPr>
  </w:style>
  <w:style w:type="paragraph" w:customStyle="1" w:styleId="ListNumberLevel2">
    <w:name w:val="List Number (Level 2)"/>
    <w:basedOn w:val="Normal"/>
    <w:rsid w:val="004F4CD1"/>
    <w:pPr>
      <w:tabs>
        <w:tab w:val="num" w:pos="1417"/>
      </w:tabs>
      <w:ind w:left="1417" w:hanging="708"/>
    </w:pPr>
    <w:rPr>
      <w:rFonts w:eastAsia="Times New Roman"/>
      <w:lang w:eastAsia="de-DE"/>
    </w:rPr>
  </w:style>
  <w:style w:type="paragraph" w:customStyle="1" w:styleId="ListNumberLevel3">
    <w:name w:val="List Number (Level 3)"/>
    <w:basedOn w:val="Normal"/>
    <w:rsid w:val="004F4CD1"/>
    <w:pPr>
      <w:tabs>
        <w:tab w:val="num" w:pos="2126"/>
      </w:tabs>
      <w:ind w:left="2126" w:hanging="709"/>
    </w:pPr>
    <w:rPr>
      <w:rFonts w:eastAsia="Times New Roman"/>
      <w:lang w:eastAsia="de-DE"/>
    </w:rPr>
  </w:style>
  <w:style w:type="paragraph" w:customStyle="1" w:styleId="ListNumberLevel4">
    <w:name w:val="List Number (Level 4)"/>
    <w:basedOn w:val="Normal"/>
    <w:rsid w:val="004F4CD1"/>
    <w:pPr>
      <w:tabs>
        <w:tab w:val="num" w:pos="2835"/>
      </w:tabs>
      <w:ind w:left="2835" w:hanging="709"/>
    </w:pPr>
    <w:rPr>
      <w:rFonts w:eastAsia="Times New Roman"/>
      <w:lang w:eastAsia="de-DE"/>
    </w:rPr>
  </w:style>
  <w:style w:type="table" w:styleId="TableGrid">
    <w:name w:val="Table Grid"/>
    <w:basedOn w:val="TableNormal"/>
    <w:uiPriority w:val="59"/>
    <w:rsid w:val="004F4CD1"/>
    <w:pPr>
      <w:spacing w:before="120" w:after="120" w:line="240" w:lineRule="auto"/>
      <w:jc w:val="both"/>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2">
    <w:name w:val="List Number 2"/>
    <w:basedOn w:val="Normal"/>
    <w:rsid w:val="00955A5B"/>
    <w:pPr>
      <w:numPr>
        <w:numId w:val="11"/>
      </w:numPr>
    </w:pPr>
    <w:rPr>
      <w:rFonts w:eastAsia="Times New Roman"/>
      <w:lang w:eastAsia="en-GB"/>
    </w:rPr>
  </w:style>
  <w:style w:type="paragraph" w:styleId="ListNumber3">
    <w:name w:val="List Number 3"/>
    <w:basedOn w:val="Normal"/>
    <w:rsid w:val="00955A5B"/>
    <w:pPr>
      <w:numPr>
        <w:numId w:val="12"/>
      </w:numPr>
    </w:pPr>
    <w:rPr>
      <w:rFonts w:eastAsia="Times New Roman"/>
      <w:lang w:eastAsia="en-GB"/>
    </w:rPr>
  </w:style>
  <w:style w:type="paragraph" w:customStyle="1" w:styleId="ListDash3">
    <w:name w:val="List Dash 3"/>
    <w:basedOn w:val="Normal"/>
    <w:rsid w:val="00955A5B"/>
    <w:pPr>
      <w:numPr>
        <w:numId w:val="8"/>
      </w:numPr>
    </w:pPr>
    <w:rPr>
      <w:rFonts w:eastAsia="Times New Roman"/>
      <w:lang w:eastAsia="en-GB"/>
    </w:rPr>
  </w:style>
  <w:style w:type="paragraph" w:customStyle="1" w:styleId="ListDash4">
    <w:name w:val="List Dash 4"/>
    <w:basedOn w:val="Normal"/>
    <w:rsid w:val="00955A5B"/>
    <w:pPr>
      <w:numPr>
        <w:numId w:val="9"/>
      </w:numPr>
    </w:pPr>
    <w:rPr>
      <w:rFonts w:eastAsia="Times New Roman"/>
      <w:lang w:eastAsia="en-GB"/>
    </w:rPr>
  </w:style>
  <w:style w:type="paragraph" w:customStyle="1" w:styleId="ListNumber1">
    <w:name w:val="List Number 1"/>
    <w:basedOn w:val="Text1"/>
    <w:rsid w:val="00955A5B"/>
    <w:pPr>
      <w:numPr>
        <w:numId w:val="10"/>
      </w:numPr>
    </w:pPr>
    <w:rPr>
      <w:rFonts w:eastAsia="Times New Roman"/>
      <w:lang w:eastAsia="en-GB"/>
    </w:rPr>
  </w:style>
  <w:style w:type="paragraph" w:customStyle="1" w:styleId="ListNumber1Level2">
    <w:name w:val="List Number 1 (Level 2)"/>
    <w:basedOn w:val="Text1"/>
    <w:rsid w:val="004F4CD1"/>
    <w:pPr>
      <w:numPr>
        <w:ilvl w:val="1"/>
        <w:numId w:val="10"/>
      </w:numPr>
    </w:pPr>
    <w:rPr>
      <w:rFonts w:eastAsia="Times New Roman"/>
      <w:lang w:eastAsia="en-GB"/>
    </w:rPr>
  </w:style>
  <w:style w:type="paragraph" w:customStyle="1" w:styleId="ListNumber2Level2">
    <w:name w:val="List Number 2 (Level 2)"/>
    <w:basedOn w:val="Text2"/>
    <w:rsid w:val="004F4CD1"/>
    <w:pPr>
      <w:numPr>
        <w:ilvl w:val="1"/>
        <w:numId w:val="11"/>
      </w:numPr>
    </w:pPr>
    <w:rPr>
      <w:rFonts w:eastAsia="Times New Roman"/>
      <w:lang w:eastAsia="en-GB"/>
    </w:rPr>
  </w:style>
  <w:style w:type="paragraph" w:customStyle="1" w:styleId="ListNumber3Level2">
    <w:name w:val="List Number 3 (Level 2)"/>
    <w:basedOn w:val="Text3"/>
    <w:rsid w:val="004F4CD1"/>
    <w:pPr>
      <w:numPr>
        <w:ilvl w:val="1"/>
        <w:numId w:val="12"/>
      </w:numPr>
    </w:pPr>
    <w:rPr>
      <w:rFonts w:eastAsia="Times New Roman"/>
      <w:lang w:eastAsia="en-GB"/>
    </w:rPr>
  </w:style>
  <w:style w:type="paragraph" w:customStyle="1" w:styleId="ListNumber4Level2">
    <w:name w:val="List Number 4 (Level 2)"/>
    <w:basedOn w:val="Text4"/>
    <w:rsid w:val="004F4CD1"/>
    <w:pPr>
      <w:tabs>
        <w:tab w:val="num" w:pos="2268"/>
      </w:tabs>
      <w:ind w:left="2268" w:hanging="708"/>
    </w:pPr>
    <w:rPr>
      <w:rFonts w:eastAsia="Times New Roman"/>
      <w:lang w:eastAsia="en-GB"/>
    </w:rPr>
  </w:style>
  <w:style w:type="paragraph" w:customStyle="1" w:styleId="ListNumber1Level3">
    <w:name w:val="List Number 1 (Level 3)"/>
    <w:basedOn w:val="Text1"/>
    <w:rsid w:val="004F4CD1"/>
    <w:pPr>
      <w:numPr>
        <w:ilvl w:val="2"/>
        <w:numId w:val="10"/>
      </w:numPr>
    </w:pPr>
    <w:rPr>
      <w:rFonts w:eastAsia="Times New Roman"/>
      <w:lang w:eastAsia="en-GB"/>
    </w:rPr>
  </w:style>
  <w:style w:type="paragraph" w:customStyle="1" w:styleId="ListNumber2Level3">
    <w:name w:val="List Number 2 (Level 3)"/>
    <w:basedOn w:val="Text2"/>
    <w:rsid w:val="004F4CD1"/>
    <w:pPr>
      <w:numPr>
        <w:ilvl w:val="2"/>
        <w:numId w:val="11"/>
      </w:numPr>
    </w:pPr>
    <w:rPr>
      <w:rFonts w:eastAsia="Times New Roman"/>
      <w:lang w:eastAsia="en-GB"/>
    </w:rPr>
  </w:style>
  <w:style w:type="paragraph" w:customStyle="1" w:styleId="ListNumber3Level3">
    <w:name w:val="List Number 3 (Level 3)"/>
    <w:basedOn w:val="Text3"/>
    <w:rsid w:val="004F4CD1"/>
    <w:pPr>
      <w:numPr>
        <w:ilvl w:val="2"/>
        <w:numId w:val="12"/>
      </w:numPr>
    </w:pPr>
    <w:rPr>
      <w:rFonts w:eastAsia="Times New Roman"/>
      <w:lang w:eastAsia="en-GB"/>
    </w:rPr>
  </w:style>
  <w:style w:type="paragraph" w:customStyle="1" w:styleId="ListNumber4Level3">
    <w:name w:val="List Number 4 (Level 3)"/>
    <w:basedOn w:val="Text4"/>
    <w:rsid w:val="004F4CD1"/>
    <w:pPr>
      <w:tabs>
        <w:tab w:val="num" w:pos="2977"/>
      </w:tabs>
      <w:ind w:left="2977" w:hanging="709"/>
    </w:pPr>
    <w:rPr>
      <w:rFonts w:eastAsia="Times New Roman"/>
      <w:lang w:eastAsia="en-GB"/>
    </w:rPr>
  </w:style>
  <w:style w:type="paragraph" w:customStyle="1" w:styleId="ListNumber1Level4">
    <w:name w:val="List Number 1 (Level 4)"/>
    <w:basedOn w:val="Text1"/>
    <w:rsid w:val="004F4CD1"/>
    <w:pPr>
      <w:numPr>
        <w:ilvl w:val="3"/>
        <w:numId w:val="10"/>
      </w:numPr>
    </w:pPr>
    <w:rPr>
      <w:rFonts w:eastAsia="Times New Roman"/>
      <w:lang w:eastAsia="en-GB"/>
    </w:rPr>
  </w:style>
  <w:style w:type="paragraph" w:customStyle="1" w:styleId="ListNumber2Level4">
    <w:name w:val="List Number 2 (Level 4)"/>
    <w:basedOn w:val="Text2"/>
    <w:rsid w:val="004F4CD1"/>
    <w:pPr>
      <w:numPr>
        <w:ilvl w:val="3"/>
        <w:numId w:val="11"/>
      </w:numPr>
    </w:pPr>
    <w:rPr>
      <w:rFonts w:eastAsia="Times New Roman"/>
      <w:lang w:eastAsia="en-GB"/>
    </w:rPr>
  </w:style>
  <w:style w:type="paragraph" w:customStyle="1" w:styleId="ListNumber3Level4">
    <w:name w:val="List Number 3 (Level 4)"/>
    <w:basedOn w:val="Text3"/>
    <w:rsid w:val="004F4CD1"/>
    <w:pPr>
      <w:numPr>
        <w:ilvl w:val="3"/>
        <w:numId w:val="12"/>
      </w:numPr>
    </w:pPr>
    <w:rPr>
      <w:rFonts w:eastAsia="Times New Roman"/>
      <w:lang w:eastAsia="en-GB"/>
    </w:rPr>
  </w:style>
  <w:style w:type="paragraph" w:customStyle="1" w:styleId="ListNumber4Level4">
    <w:name w:val="List Number 4 (Level 4)"/>
    <w:basedOn w:val="Text4"/>
    <w:rsid w:val="004F4CD1"/>
    <w:pPr>
      <w:tabs>
        <w:tab w:val="num" w:pos="3686"/>
      </w:tabs>
      <w:ind w:left="3686" w:hanging="709"/>
    </w:pPr>
    <w:rPr>
      <w:rFonts w:eastAsia="Times New Roman"/>
      <w:lang w:eastAsia="en-GB"/>
    </w:rPr>
  </w:style>
  <w:style w:type="paragraph" w:customStyle="1" w:styleId="Annexetitreacte">
    <w:name w:val="Annexe titre (acte)"/>
    <w:basedOn w:val="Normal"/>
    <w:next w:val="Normal"/>
    <w:uiPriority w:val="99"/>
    <w:rsid w:val="004F4CD1"/>
    <w:pPr>
      <w:jc w:val="center"/>
    </w:pPr>
    <w:rPr>
      <w:rFonts w:eastAsia="Times New Roman"/>
      <w:b/>
      <w:u w:val="single"/>
      <w:lang w:eastAsia="en-GB"/>
    </w:rPr>
  </w:style>
  <w:style w:type="paragraph" w:customStyle="1" w:styleId="Annexetitreexposglobal">
    <w:name w:val="Annexe titre (exposé global)"/>
    <w:basedOn w:val="Normal"/>
    <w:next w:val="Normal"/>
    <w:uiPriority w:val="99"/>
    <w:rsid w:val="004F4CD1"/>
    <w:pPr>
      <w:jc w:val="center"/>
    </w:pPr>
    <w:rPr>
      <w:rFonts w:eastAsia="Times New Roman"/>
      <w:b/>
      <w:u w:val="single"/>
      <w:lang w:eastAsia="en-GB"/>
    </w:rPr>
  </w:style>
  <w:style w:type="paragraph" w:customStyle="1" w:styleId="Annexetitrefichefinacte">
    <w:name w:val="Annexe titre (fiche fin. acte)"/>
    <w:basedOn w:val="Normal"/>
    <w:next w:val="Normal"/>
    <w:uiPriority w:val="99"/>
    <w:rsid w:val="004F4CD1"/>
    <w:pPr>
      <w:jc w:val="center"/>
    </w:pPr>
    <w:rPr>
      <w:rFonts w:eastAsia="Times New Roman"/>
      <w:b/>
      <w:u w:val="single"/>
      <w:lang w:eastAsia="en-GB"/>
    </w:rPr>
  </w:style>
  <w:style w:type="paragraph" w:customStyle="1" w:styleId="Annexetitrefichefinglobale">
    <w:name w:val="Annexe titre (fiche fin. globale)"/>
    <w:basedOn w:val="Normal"/>
    <w:next w:val="Normal"/>
    <w:uiPriority w:val="99"/>
    <w:rsid w:val="004F4CD1"/>
    <w:pPr>
      <w:jc w:val="center"/>
    </w:pPr>
    <w:rPr>
      <w:rFonts w:eastAsia="Times New Roman"/>
      <w:b/>
      <w:u w:val="single"/>
      <w:lang w:eastAsia="en-GB"/>
    </w:rPr>
  </w:style>
  <w:style w:type="paragraph" w:customStyle="1" w:styleId="Annexetitreglobale">
    <w:name w:val="Annexe titre (globale)"/>
    <w:basedOn w:val="Normal"/>
    <w:next w:val="Normal"/>
    <w:uiPriority w:val="99"/>
    <w:rsid w:val="004F4CD1"/>
    <w:pPr>
      <w:jc w:val="center"/>
    </w:pPr>
    <w:rPr>
      <w:rFonts w:eastAsia="Times New Roman"/>
      <w:b/>
      <w:u w:val="single"/>
      <w:lang w:eastAsia="en-GB"/>
    </w:rPr>
  </w:style>
  <w:style w:type="paragraph" w:customStyle="1" w:styleId="Exposdesmotifstitreglobal">
    <w:name w:val="Exposé des motifs titre (global)"/>
    <w:basedOn w:val="Normal"/>
    <w:next w:val="Normal"/>
    <w:uiPriority w:val="99"/>
    <w:rsid w:val="004F4CD1"/>
    <w:pPr>
      <w:jc w:val="center"/>
    </w:pPr>
    <w:rPr>
      <w:rFonts w:eastAsia="Times New Roman"/>
      <w:b/>
      <w:u w:val="single"/>
      <w:lang w:eastAsia="en-GB"/>
    </w:rPr>
  </w:style>
  <w:style w:type="paragraph" w:customStyle="1" w:styleId="Langueoriginale">
    <w:name w:val="Langue originale"/>
    <w:basedOn w:val="Normal"/>
    <w:uiPriority w:val="99"/>
    <w:rsid w:val="004F4CD1"/>
    <w:pPr>
      <w:spacing w:before="360"/>
      <w:jc w:val="center"/>
    </w:pPr>
    <w:rPr>
      <w:rFonts w:eastAsia="Times New Roman"/>
      <w:caps/>
      <w:lang w:eastAsia="en-GB"/>
    </w:rPr>
  </w:style>
  <w:style w:type="paragraph" w:customStyle="1" w:styleId="Phrasefinale">
    <w:name w:val="Phrase finale"/>
    <w:basedOn w:val="Normal"/>
    <w:next w:val="Normal"/>
    <w:uiPriority w:val="99"/>
    <w:rsid w:val="004F4CD1"/>
    <w:pPr>
      <w:spacing w:before="360" w:after="0"/>
      <w:jc w:val="center"/>
    </w:pPr>
    <w:rPr>
      <w:rFonts w:eastAsia="Times New Roman"/>
      <w:lang w:eastAsia="en-GB"/>
    </w:rPr>
  </w:style>
  <w:style w:type="paragraph" w:customStyle="1" w:styleId="Prliminairetitre">
    <w:name w:val="Préliminaire titre"/>
    <w:basedOn w:val="Normal"/>
    <w:next w:val="Normal"/>
    <w:uiPriority w:val="99"/>
    <w:rsid w:val="004F4CD1"/>
    <w:pPr>
      <w:spacing w:before="360" w:after="360"/>
      <w:jc w:val="center"/>
    </w:pPr>
    <w:rPr>
      <w:rFonts w:eastAsia="Times New Roman"/>
      <w:b/>
      <w:lang w:eastAsia="en-GB"/>
    </w:rPr>
  </w:style>
  <w:style w:type="paragraph" w:customStyle="1" w:styleId="Prliminairetype">
    <w:name w:val="Préliminaire type"/>
    <w:basedOn w:val="Normal"/>
    <w:next w:val="Normal"/>
    <w:uiPriority w:val="99"/>
    <w:rsid w:val="004F4CD1"/>
    <w:pPr>
      <w:spacing w:before="360" w:after="0"/>
      <w:jc w:val="center"/>
    </w:pPr>
    <w:rPr>
      <w:rFonts w:eastAsia="Times New Roman"/>
      <w:b/>
      <w:lang w:eastAsia="en-GB"/>
    </w:rPr>
  </w:style>
  <w:style w:type="paragraph" w:customStyle="1" w:styleId="Rfrenceinstitutionelle">
    <w:name w:val="Référence institutionelle"/>
    <w:basedOn w:val="Normal"/>
    <w:next w:val="Statut"/>
    <w:uiPriority w:val="99"/>
    <w:rsid w:val="004F4CD1"/>
    <w:pPr>
      <w:spacing w:before="0" w:after="240"/>
      <w:ind w:left="5103"/>
      <w:jc w:val="left"/>
    </w:pPr>
    <w:rPr>
      <w:rFonts w:eastAsia="Times New Roman"/>
      <w:lang w:eastAsia="en-GB"/>
    </w:rPr>
  </w:style>
  <w:style w:type="paragraph" w:customStyle="1" w:styleId="Rfrenceinterinstitutionelle">
    <w:name w:val="Référence interinstitutionelle"/>
    <w:basedOn w:val="Normal"/>
    <w:next w:val="Statut"/>
    <w:uiPriority w:val="99"/>
    <w:rsid w:val="004F4CD1"/>
    <w:pPr>
      <w:spacing w:before="0" w:after="0"/>
      <w:ind w:left="5103"/>
      <w:jc w:val="left"/>
    </w:pPr>
    <w:rPr>
      <w:rFonts w:eastAsia="Times New Roman"/>
      <w:lang w:eastAsia="en-GB"/>
    </w:rPr>
  </w:style>
  <w:style w:type="paragraph" w:customStyle="1" w:styleId="Rfrenceinterinstitutionelleprliminaire">
    <w:name w:val="Référence interinstitutionelle (préliminaire)"/>
    <w:basedOn w:val="Normal"/>
    <w:next w:val="Normal"/>
    <w:rsid w:val="004F4CD1"/>
    <w:pPr>
      <w:spacing w:before="0" w:after="0"/>
      <w:ind w:left="5103"/>
      <w:jc w:val="left"/>
    </w:pPr>
    <w:rPr>
      <w:rFonts w:eastAsia="Times New Roman"/>
      <w:lang w:eastAsia="en-GB"/>
    </w:rPr>
  </w:style>
  <w:style w:type="paragraph" w:customStyle="1" w:styleId="Sous-titreobjetprliminaire">
    <w:name w:val="Sous-titre objet (préliminaire)"/>
    <w:basedOn w:val="Normal"/>
    <w:rsid w:val="004F4CD1"/>
    <w:pPr>
      <w:spacing w:before="0" w:after="0"/>
      <w:jc w:val="center"/>
    </w:pPr>
    <w:rPr>
      <w:rFonts w:eastAsia="Times New Roman"/>
      <w:b/>
      <w:lang w:eastAsia="en-GB"/>
    </w:rPr>
  </w:style>
  <w:style w:type="paragraph" w:customStyle="1" w:styleId="Statutprliminaire">
    <w:name w:val="Statut (préliminaire)"/>
    <w:basedOn w:val="Normal"/>
    <w:next w:val="Normal"/>
    <w:rsid w:val="004F4CD1"/>
    <w:pPr>
      <w:spacing w:before="360" w:after="0"/>
      <w:jc w:val="center"/>
    </w:pPr>
    <w:rPr>
      <w:rFonts w:eastAsia="Times New Roman"/>
      <w:lang w:eastAsia="en-GB"/>
    </w:rPr>
  </w:style>
  <w:style w:type="paragraph" w:customStyle="1" w:styleId="Titreobjetprliminaire">
    <w:name w:val="Titre objet (préliminaire)"/>
    <w:basedOn w:val="Normal"/>
    <w:next w:val="Normal"/>
    <w:rsid w:val="004F4CD1"/>
    <w:pPr>
      <w:spacing w:before="360" w:after="360"/>
      <w:jc w:val="center"/>
    </w:pPr>
    <w:rPr>
      <w:rFonts w:eastAsia="Times New Roman"/>
      <w:b/>
      <w:lang w:eastAsia="en-GB"/>
    </w:rPr>
  </w:style>
  <w:style w:type="paragraph" w:customStyle="1" w:styleId="Typedudocumentprliminaire">
    <w:name w:val="Type du document (préliminaire)"/>
    <w:basedOn w:val="Normal"/>
    <w:next w:val="Normal"/>
    <w:rsid w:val="004F4CD1"/>
    <w:pPr>
      <w:spacing w:before="360" w:after="0"/>
      <w:jc w:val="center"/>
    </w:pPr>
    <w:rPr>
      <w:rFonts w:eastAsia="Times New Roman"/>
      <w:b/>
      <w:lang w:eastAsia="en-GB"/>
    </w:rPr>
  </w:style>
  <w:style w:type="paragraph" w:customStyle="1" w:styleId="Fichefinancirestandardtitre">
    <w:name w:val="Fiche financière (standard) titre"/>
    <w:basedOn w:val="Normal"/>
    <w:next w:val="Normal"/>
    <w:rsid w:val="004F4CD1"/>
    <w:pPr>
      <w:jc w:val="center"/>
    </w:pPr>
    <w:rPr>
      <w:rFonts w:eastAsia="Times New Roman"/>
      <w:b/>
      <w:u w:val="single"/>
      <w:lang w:eastAsia="en-GB"/>
    </w:rPr>
  </w:style>
  <w:style w:type="paragraph" w:customStyle="1" w:styleId="Fichefinancirestandardtitreacte">
    <w:name w:val="Fiche financière (standard) titre (acte)"/>
    <w:basedOn w:val="Normal"/>
    <w:next w:val="Normal"/>
    <w:rsid w:val="004F4CD1"/>
    <w:pPr>
      <w:jc w:val="center"/>
    </w:pPr>
    <w:rPr>
      <w:rFonts w:eastAsia="Times New Roman"/>
      <w:b/>
      <w:u w:val="single"/>
      <w:lang w:eastAsia="en-GB"/>
    </w:rPr>
  </w:style>
  <w:style w:type="paragraph" w:customStyle="1" w:styleId="Fichefinanciretravailtitre">
    <w:name w:val="Fiche financière (travail) titre"/>
    <w:basedOn w:val="Normal"/>
    <w:next w:val="Normal"/>
    <w:rsid w:val="004F4CD1"/>
    <w:pPr>
      <w:jc w:val="center"/>
    </w:pPr>
    <w:rPr>
      <w:rFonts w:eastAsia="Times New Roman"/>
      <w:b/>
      <w:u w:val="single"/>
      <w:lang w:eastAsia="en-GB"/>
    </w:rPr>
  </w:style>
  <w:style w:type="paragraph" w:customStyle="1" w:styleId="Fichefinanciretravailtitreacte">
    <w:name w:val="Fiche financière (travail) titre (acte)"/>
    <w:basedOn w:val="Normal"/>
    <w:next w:val="Normal"/>
    <w:rsid w:val="004F4CD1"/>
    <w:pPr>
      <w:jc w:val="center"/>
    </w:pPr>
    <w:rPr>
      <w:rFonts w:eastAsia="Times New Roman"/>
      <w:b/>
      <w:u w:val="single"/>
      <w:lang w:eastAsia="en-GB"/>
    </w:rPr>
  </w:style>
  <w:style w:type="paragraph" w:customStyle="1" w:styleId="Fichefinancireattributiontitre">
    <w:name w:val="Fiche financière (attribution) titre"/>
    <w:basedOn w:val="Normal"/>
    <w:next w:val="Normal"/>
    <w:rsid w:val="004F4CD1"/>
    <w:pPr>
      <w:jc w:val="center"/>
    </w:pPr>
    <w:rPr>
      <w:rFonts w:eastAsia="Times New Roman"/>
      <w:b/>
      <w:u w:val="single"/>
      <w:lang w:eastAsia="en-GB"/>
    </w:rPr>
  </w:style>
  <w:style w:type="paragraph" w:customStyle="1" w:styleId="Fichefinancireattributiontitreacte">
    <w:name w:val="Fiche financière (attribution) titre (acte)"/>
    <w:basedOn w:val="Normal"/>
    <w:next w:val="Normal"/>
    <w:rsid w:val="004F4CD1"/>
    <w:pPr>
      <w:jc w:val="center"/>
    </w:pPr>
    <w:rPr>
      <w:rFonts w:eastAsia="Times New Roman"/>
      <w:b/>
      <w:u w:val="single"/>
      <w:lang w:eastAsia="en-GB"/>
    </w:rPr>
  </w:style>
  <w:style w:type="character" w:styleId="CommentReference">
    <w:name w:val="annotation reference"/>
    <w:uiPriority w:val="99"/>
    <w:rsid w:val="004F4CD1"/>
    <w:rPr>
      <w:rFonts w:cs="Times New Roman"/>
      <w:sz w:val="16"/>
      <w:szCs w:val="16"/>
    </w:rPr>
  </w:style>
  <w:style w:type="paragraph" w:styleId="CommentText">
    <w:name w:val="annotation text"/>
    <w:basedOn w:val="Normal"/>
    <w:link w:val="CommentTextChar"/>
    <w:uiPriority w:val="99"/>
    <w:rsid w:val="004F4CD1"/>
    <w:rPr>
      <w:rFonts w:eastAsia="Times New Roman"/>
      <w:sz w:val="20"/>
      <w:szCs w:val="20"/>
      <w:lang w:eastAsia="en-GB"/>
    </w:rPr>
  </w:style>
  <w:style w:type="character" w:customStyle="1" w:styleId="CommentTextChar">
    <w:name w:val="Comment Text Char"/>
    <w:basedOn w:val="DefaultParagraphFont"/>
    <w:link w:val="CommentText"/>
    <w:uiPriority w:val="99"/>
    <w:rsid w:val="004F4CD1"/>
    <w:rPr>
      <w:rFonts w:ascii="Times New Roman" w:eastAsia="Times New Roman" w:hAnsi="Times New Roman" w:cs="Times New Roman"/>
      <w:sz w:val="20"/>
      <w:szCs w:val="20"/>
      <w:lang w:val="sk-SK" w:eastAsia="en-GB"/>
    </w:rPr>
  </w:style>
  <w:style w:type="paragraph" w:styleId="CommentSubject">
    <w:name w:val="annotation subject"/>
    <w:basedOn w:val="CommentText"/>
    <w:next w:val="CommentText"/>
    <w:link w:val="CommentSubjectChar"/>
    <w:uiPriority w:val="99"/>
    <w:rsid w:val="004F4CD1"/>
    <w:rPr>
      <w:b/>
      <w:bCs/>
    </w:rPr>
  </w:style>
  <w:style w:type="character" w:customStyle="1" w:styleId="CommentSubjectChar">
    <w:name w:val="Comment Subject Char"/>
    <w:basedOn w:val="CommentTextChar"/>
    <w:link w:val="CommentSubject"/>
    <w:uiPriority w:val="99"/>
    <w:rsid w:val="004F4CD1"/>
    <w:rPr>
      <w:rFonts w:ascii="Times New Roman" w:eastAsia="Times New Roman" w:hAnsi="Times New Roman" w:cs="Times New Roman"/>
      <w:b/>
      <w:bCs/>
      <w:sz w:val="20"/>
      <w:szCs w:val="20"/>
      <w:lang w:val="sk-SK" w:eastAsia="en-GB"/>
    </w:rPr>
  </w:style>
  <w:style w:type="paragraph" w:styleId="BalloonText">
    <w:name w:val="Balloon Text"/>
    <w:basedOn w:val="Normal"/>
    <w:link w:val="BalloonTextChar"/>
    <w:uiPriority w:val="99"/>
    <w:rsid w:val="004F4CD1"/>
    <w:rPr>
      <w:rFonts w:ascii="Tahoma" w:eastAsia="Times New Roman" w:hAnsi="Tahoma" w:cs="Tahoma"/>
      <w:sz w:val="16"/>
      <w:szCs w:val="16"/>
      <w:lang w:eastAsia="en-GB"/>
    </w:rPr>
  </w:style>
  <w:style w:type="character" w:customStyle="1" w:styleId="BalloonTextChar">
    <w:name w:val="Balloon Text Char"/>
    <w:basedOn w:val="DefaultParagraphFont"/>
    <w:link w:val="BalloonText"/>
    <w:uiPriority w:val="99"/>
    <w:rsid w:val="004F4CD1"/>
    <w:rPr>
      <w:rFonts w:ascii="Tahoma" w:eastAsia="Times New Roman" w:hAnsi="Tahoma" w:cs="Tahoma"/>
      <w:sz w:val="16"/>
      <w:szCs w:val="16"/>
      <w:lang w:val="sk-SK" w:eastAsia="en-GB"/>
    </w:rPr>
  </w:style>
  <w:style w:type="paragraph" w:styleId="Caption">
    <w:name w:val="caption"/>
    <w:basedOn w:val="Normal"/>
    <w:next w:val="Normal"/>
    <w:uiPriority w:val="99"/>
    <w:qFormat/>
    <w:rsid w:val="004F4CD1"/>
    <w:rPr>
      <w:rFonts w:eastAsia="Times New Roman"/>
      <w:b/>
      <w:bCs/>
      <w:sz w:val="20"/>
      <w:szCs w:val="20"/>
      <w:lang w:eastAsia="en-GB"/>
    </w:rPr>
  </w:style>
  <w:style w:type="paragraph" w:styleId="TableofFigures">
    <w:name w:val="table of figures"/>
    <w:basedOn w:val="Normal"/>
    <w:next w:val="Normal"/>
    <w:rsid w:val="004F4CD1"/>
    <w:rPr>
      <w:rFonts w:eastAsia="Times New Roman"/>
      <w:lang w:eastAsia="en-GB"/>
    </w:rPr>
  </w:style>
  <w:style w:type="character" w:styleId="PageNumber">
    <w:name w:val="page number"/>
    <w:uiPriority w:val="99"/>
    <w:rsid w:val="004F4CD1"/>
  </w:style>
  <w:style w:type="character" w:customStyle="1" w:styleId="tw4winMark">
    <w:name w:val="tw4winMark"/>
    <w:rsid w:val="004F4CD1"/>
    <w:rPr>
      <w:vanish/>
      <w:color w:val="800080"/>
      <w:vertAlign w:val="subscript"/>
    </w:rPr>
  </w:style>
  <w:style w:type="character" w:styleId="FollowedHyperlink">
    <w:name w:val="FollowedHyperlink"/>
    <w:uiPriority w:val="99"/>
    <w:rsid w:val="004F4CD1"/>
    <w:rPr>
      <w:color w:val="800080"/>
      <w:u w:val="single"/>
    </w:rPr>
  </w:style>
  <w:style w:type="paragraph" w:customStyle="1" w:styleId="Sous-titreobjet">
    <w:name w:val="Sous-titre objet"/>
    <w:basedOn w:val="Normal"/>
    <w:uiPriority w:val="99"/>
    <w:rsid w:val="004F4CD1"/>
    <w:pPr>
      <w:spacing w:before="0" w:after="0"/>
      <w:jc w:val="center"/>
    </w:pPr>
    <w:rPr>
      <w:rFonts w:eastAsia="Times New Roman"/>
      <w:b/>
      <w:lang w:eastAsia="en-GB"/>
    </w:rPr>
  </w:style>
  <w:style w:type="paragraph" w:customStyle="1" w:styleId="Sous-titreobjetPagedecouverture">
    <w:name w:val="Sous-titre objet (Page de couverture)"/>
    <w:basedOn w:val="Sous-titreobjet"/>
    <w:rsid w:val="004F4CD1"/>
  </w:style>
  <w:style w:type="paragraph" w:styleId="Revision">
    <w:name w:val="Revision"/>
    <w:hidden/>
    <w:uiPriority w:val="99"/>
    <w:semiHidden/>
    <w:rsid w:val="004F4CD1"/>
    <w:rPr>
      <w:sz w:val="24"/>
      <w:lang w:eastAsia="en-GB"/>
    </w:rPr>
  </w:style>
  <w:style w:type="paragraph" w:customStyle="1" w:styleId="FooterCoverPage">
    <w:name w:val="Footer Cover Page"/>
    <w:basedOn w:val="Normal"/>
    <w:link w:val="FooterCoverPageChar"/>
    <w:rsid w:val="004F4CD1"/>
    <w:pPr>
      <w:tabs>
        <w:tab w:val="center" w:pos="4535"/>
        <w:tab w:val="right" w:pos="9071"/>
        <w:tab w:val="right" w:pos="9921"/>
      </w:tabs>
      <w:spacing w:before="360" w:after="0"/>
      <w:ind w:left="-850" w:right="-850"/>
      <w:jc w:val="left"/>
    </w:pPr>
  </w:style>
  <w:style w:type="character" w:customStyle="1" w:styleId="TOCHeadingChar">
    <w:name w:val="TOC Heading Char"/>
    <w:basedOn w:val="DefaultParagraphFont"/>
    <w:uiPriority w:val="39"/>
    <w:rsid w:val="004F4CD1"/>
    <w:rPr>
      <w:rFonts w:ascii="Times New Roman" w:hAnsi="Times New Roman" w:cs="Times New Roman"/>
      <w:b/>
      <w:sz w:val="28"/>
      <w:lang w:val="sk-SK"/>
    </w:rPr>
  </w:style>
  <w:style w:type="character" w:customStyle="1" w:styleId="FooterCoverPageChar">
    <w:name w:val="Footer Cover Page Char"/>
    <w:basedOn w:val="TOCHeadingChar"/>
    <w:link w:val="FooterCoverPage"/>
    <w:rsid w:val="004F4CD1"/>
    <w:rPr>
      <w:rFonts w:ascii="Times New Roman" w:hAnsi="Times New Roman" w:cs="Times New Roman"/>
      <w:b w:val="0"/>
      <w:sz w:val="24"/>
      <w:lang w:val="sk-SK"/>
    </w:rPr>
  </w:style>
  <w:style w:type="paragraph" w:customStyle="1" w:styleId="HeaderCoverPage">
    <w:name w:val="Header Cover Page"/>
    <w:basedOn w:val="Normal"/>
    <w:link w:val="HeaderCoverPageChar"/>
    <w:rsid w:val="004F4CD1"/>
    <w:pPr>
      <w:tabs>
        <w:tab w:val="center" w:pos="4535"/>
        <w:tab w:val="right" w:pos="9071"/>
      </w:tabs>
      <w:spacing w:before="0"/>
    </w:pPr>
    <w:rPr>
      <w:lang w:eastAsia="en-GB"/>
    </w:rPr>
  </w:style>
  <w:style w:type="character" w:customStyle="1" w:styleId="HeaderCoverPageChar">
    <w:name w:val="Header Cover Page Char"/>
    <w:basedOn w:val="TOCHeadingChar"/>
    <w:link w:val="HeaderCoverPage"/>
    <w:rsid w:val="004F4CD1"/>
    <w:rPr>
      <w:rFonts w:ascii="Times New Roman" w:hAnsi="Times New Roman" w:cs="Times New Roman"/>
      <w:b w:val="0"/>
      <w:sz w:val="24"/>
      <w:lang w:val="sk-SK" w:eastAsia="en-GB"/>
    </w:rPr>
  </w:style>
  <w:style w:type="character" w:customStyle="1" w:styleId="normaltextrun">
    <w:name w:val="normaltextrun"/>
    <w:basedOn w:val="DefaultParagraphFont"/>
    <w:rsid w:val="004F4CD1"/>
  </w:style>
  <w:style w:type="character" w:customStyle="1" w:styleId="eop">
    <w:name w:val="eop"/>
    <w:basedOn w:val="DefaultParagraphFont"/>
    <w:rsid w:val="004F4CD1"/>
  </w:style>
  <w:style w:type="paragraph" w:styleId="ListParagraph">
    <w:name w:val="List Paragraph"/>
    <w:basedOn w:val="Normal"/>
    <w:uiPriority w:val="34"/>
    <w:qFormat/>
    <w:rsid w:val="004F4CD1"/>
    <w:pPr>
      <w:ind w:left="720"/>
      <w:contextualSpacing/>
    </w:pPr>
    <w:rPr>
      <w:lang w:eastAsia="en-GB"/>
    </w:rPr>
  </w:style>
  <w:style w:type="character" w:styleId="PlaceholderText">
    <w:name w:val="Placeholder Text"/>
    <w:basedOn w:val="DefaultParagraphFont"/>
    <w:uiPriority w:val="99"/>
    <w:semiHidden/>
    <w:rsid w:val="004F4CD1"/>
    <w:rPr>
      <w:color w:val="808080"/>
    </w:rPr>
  </w:style>
  <w:style w:type="paragraph" w:customStyle="1" w:styleId="Headding2">
    <w:name w:val="Headding 2"/>
    <w:basedOn w:val="Normal"/>
    <w:rsid w:val="004F4CD1"/>
    <w:pPr>
      <w:keepNext/>
      <w:tabs>
        <w:tab w:val="num" w:pos="850"/>
      </w:tabs>
      <w:ind w:left="850" w:hanging="850"/>
      <w:outlineLvl w:val="1"/>
    </w:pPr>
    <w:rPr>
      <w:rFonts w:eastAsiaTheme="majorEastAsia"/>
      <w:b/>
      <w:bCs/>
      <w:noProof/>
      <w:szCs w:val="26"/>
      <w:lang w:eastAsia="en-GB"/>
    </w:rPr>
  </w:style>
  <w:style w:type="paragraph" w:customStyle="1" w:styleId="Heading">
    <w:name w:val="Heading"/>
    <w:basedOn w:val="Heading3"/>
    <w:rsid w:val="002335A6"/>
    <w:rPr>
      <w:noProof/>
      <w:szCs w:val="24"/>
      <w:lang w:eastAsia="en-GB"/>
    </w:rPr>
  </w:style>
  <w:style w:type="paragraph" w:customStyle="1" w:styleId="1111">
    <w:name w:val="1.1.1.1"/>
    <w:basedOn w:val="Heading"/>
    <w:rsid w:val="004F4CD1"/>
  </w:style>
  <w:style w:type="character" w:styleId="Emphasis">
    <w:name w:val="Emphasis"/>
    <w:uiPriority w:val="20"/>
    <w:qFormat/>
    <w:rsid w:val="004F4CD1"/>
    <w:rPr>
      <w:i/>
    </w:rPr>
  </w:style>
  <w:style w:type="paragraph" w:customStyle="1" w:styleId="1ListNumberLevel2">
    <w:name w:val="1.List Number (Level 2)"/>
    <w:basedOn w:val="ListNumberLevel2"/>
    <w:rsid w:val="004F4CD1"/>
  </w:style>
  <w:style w:type="paragraph" w:customStyle="1" w:styleId="2ListNumberLevel2">
    <w:name w:val="2.List Number (Level 2)"/>
    <w:basedOn w:val="ListNumberLevel2"/>
    <w:rsid w:val="004F4CD1"/>
  </w:style>
  <w:style w:type="paragraph" w:customStyle="1" w:styleId="3ListNumberLevel2">
    <w:name w:val="3.List Number (Level 2)"/>
    <w:basedOn w:val="ListNumberLevel2"/>
    <w:rsid w:val="004F4CD1"/>
  </w:style>
  <w:style w:type="paragraph" w:customStyle="1" w:styleId="4ListNumberLevel2">
    <w:name w:val="4.List Number (Level 2)"/>
    <w:basedOn w:val="ListNumberLevel2"/>
    <w:rsid w:val="004F4CD1"/>
  </w:style>
  <w:style w:type="paragraph" w:customStyle="1" w:styleId="aListNumberLevel2">
    <w:name w:val="aList Number (Level 2)"/>
    <w:basedOn w:val="ListNumberLevel2"/>
    <w:rsid w:val="004F4CD1"/>
  </w:style>
  <w:style w:type="paragraph" w:customStyle="1" w:styleId="aListNumberLevel20">
    <w:name w:val="a.List Number (Level 2)"/>
    <w:basedOn w:val="ListNumberLevel2"/>
    <w:rsid w:val="004F4CD1"/>
  </w:style>
  <w:style w:type="paragraph" w:customStyle="1" w:styleId="iListNumberLevel3">
    <w:name w:val="i.List Number (Level 3)"/>
    <w:basedOn w:val="ListNumberLevel3"/>
    <w:rsid w:val="004F4CD1"/>
  </w:style>
  <w:style w:type="paragraph" w:customStyle="1" w:styleId="FichedimpactPMEtitre">
    <w:name w:val="Fiche d'impact PME titre"/>
    <w:basedOn w:val="Normal"/>
    <w:next w:val="Normal"/>
    <w:uiPriority w:val="99"/>
    <w:rsid w:val="004F4CD1"/>
    <w:pPr>
      <w:autoSpaceDE w:val="0"/>
      <w:autoSpaceDN w:val="0"/>
      <w:jc w:val="center"/>
    </w:pPr>
    <w:rPr>
      <w:rFonts w:eastAsiaTheme="minorEastAsia"/>
      <w:b/>
      <w:bCs/>
      <w:szCs w:val="24"/>
      <w:lang w:eastAsia="en-GB"/>
    </w:rPr>
  </w:style>
  <w:style w:type="paragraph" w:customStyle="1" w:styleId="Fichefinanciretextetable">
    <w:name w:val="Fiche financière texte (table)"/>
    <w:basedOn w:val="Normal"/>
    <w:uiPriority w:val="99"/>
    <w:rsid w:val="004F4CD1"/>
    <w:pPr>
      <w:autoSpaceDE w:val="0"/>
      <w:autoSpaceDN w:val="0"/>
      <w:spacing w:before="0" w:after="0"/>
      <w:jc w:val="left"/>
    </w:pPr>
    <w:rPr>
      <w:rFonts w:eastAsiaTheme="minorEastAsia"/>
      <w:sz w:val="20"/>
      <w:szCs w:val="20"/>
      <w:lang w:eastAsia="en-GB"/>
    </w:rPr>
  </w:style>
  <w:style w:type="paragraph" w:customStyle="1" w:styleId="Fichefinanciretitreactetable">
    <w:name w:val="Fiche financière titre (acte table)"/>
    <w:basedOn w:val="Normal"/>
    <w:next w:val="Normal"/>
    <w:uiPriority w:val="99"/>
    <w:rsid w:val="004F4CD1"/>
    <w:pPr>
      <w:autoSpaceDE w:val="0"/>
      <w:autoSpaceDN w:val="0"/>
      <w:jc w:val="center"/>
    </w:pPr>
    <w:rPr>
      <w:rFonts w:eastAsiaTheme="minorEastAsia"/>
      <w:b/>
      <w:bCs/>
      <w:sz w:val="40"/>
      <w:szCs w:val="40"/>
      <w:lang w:eastAsia="en-GB"/>
    </w:rPr>
  </w:style>
  <w:style w:type="paragraph" w:customStyle="1" w:styleId="Fichefinanciretitreacte">
    <w:name w:val="Fiche financière titre (acte)"/>
    <w:basedOn w:val="Normal"/>
    <w:next w:val="Normal"/>
    <w:uiPriority w:val="99"/>
    <w:rsid w:val="004F4CD1"/>
    <w:pPr>
      <w:autoSpaceDE w:val="0"/>
      <w:autoSpaceDN w:val="0"/>
      <w:jc w:val="center"/>
    </w:pPr>
    <w:rPr>
      <w:rFonts w:eastAsiaTheme="minorEastAsia"/>
      <w:b/>
      <w:bCs/>
      <w:szCs w:val="24"/>
      <w:u w:val="single"/>
      <w:lang w:eastAsia="en-GB"/>
    </w:rPr>
  </w:style>
  <w:style w:type="paragraph" w:customStyle="1" w:styleId="Fichefinanciretitretable">
    <w:name w:val="Fiche financière titre (table)"/>
    <w:basedOn w:val="Normal"/>
    <w:uiPriority w:val="99"/>
    <w:rsid w:val="004F4CD1"/>
    <w:pPr>
      <w:autoSpaceDE w:val="0"/>
      <w:autoSpaceDN w:val="0"/>
      <w:jc w:val="center"/>
    </w:pPr>
    <w:rPr>
      <w:rFonts w:eastAsiaTheme="minorEastAsia"/>
      <w:b/>
      <w:bCs/>
      <w:sz w:val="40"/>
      <w:szCs w:val="40"/>
      <w:lang w:eastAsia="en-GB"/>
    </w:rPr>
  </w:style>
  <w:style w:type="paragraph" w:styleId="TOAHeading">
    <w:name w:val="toa heading"/>
    <w:basedOn w:val="Normal"/>
    <w:next w:val="Normal"/>
    <w:uiPriority w:val="99"/>
    <w:rsid w:val="004F4CD1"/>
    <w:pPr>
      <w:autoSpaceDE w:val="0"/>
      <w:autoSpaceDN w:val="0"/>
    </w:pPr>
    <w:rPr>
      <w:rFonts w:ascii="Arial" w:eastAsiaTheme="minorEastAsia" w:hAnsi="Arial" w:cs="Arial"/>
      <w:b/>
      <w:bCs/>
      <w:szCs w:val="24"/>
      <w:lang w:eastAsia="en-GB"/>
    </w:rPr>
  </w:style>
  <w:style w:type="character" w:customStyle="1" w:styleId="CRMarker">
    <w:name w:val="CR Marker"/>
    <w:basedOn w:val="DefaultParagraphFont"/>
    <w:uiPriority w:val="99"/>
    <w:rsid w:val="004F4CD1"/>
    <w:rPr>
      <w:rFonts w:ascii="Wingdings" w:hAnsi="Wingdings" w:cs="Wingdings"/>
    </w:rPr>
  </w:style>
  <w:style w:type="paragraph" w:customStyle="1" w:styleId="CRSeparator">
    <w:name w:val="CR Separator"/>
    <w:basedOn w:val="Normal"/>
    <w:next w:val="CRReference"/>
    <w:uiPriority w:val="99"/>
    <w:rsid w:val="004F4CD1"/>
    <w:pPr>
      <w:keepNext/>
      <w:pBdr>
        <w:top w:val="single" w:sz="4" w:space="1" w:color="auto"/>
      </w:pBdr>
      <w:autoSpaceDE w:val="0"/>
      <w:autoSpaceDN w:val="0"/>
      <w:spacing w:before="0" w:after="0"/>
    </w:pPr>
    <w:rPr>
      <w:rFonts w:eastAsiaTheme="minorEastAsia"/>
      <w:szCs w:val="24"/>
      <w:lang w:eastAsia="en-GB"/>
    </w:rPr>
  </w:style>
  <w:style w:type="paragraph" w:customStyle="1" w:styleId="CRReference">
    <w:name w:val="CR Reference"/>
    <w:basedOn w:val="Normal"/>
    <w:uiPriority w:val="99"/>
    <w:rsid w:val="004F4CD1"/>
    <w:pPr>
      <w:keepNext/>
      <w:pBdr>
        <w:top w:val="single" w:sz="4" w:space="1" w:color="auto"/>
        <w:left w:val="single" w:sz="4" w:space="4" w:color="auto"/>
        <w:bottom w:val="single" w:sz="4" w:space="1" w:color="auto"/>
        <w:right w:val="single" w:sz="4" w:space="4" w:color="auto"/>
      </w:pBdr>
      <w:autoSpaceDE w:val="0"/>
      <w:autoSpaceDN w:val="0"/>
      <w:spacing w:before="0" w:after="0"/>
      <w:ind w:left="5670"/>
      <w:jc w:val="left"/>
    </w:pPr>
    <w:rPr>
      <w:rFonts w:eastAsiaTheme="minorEastAsia"/>
      <w:szCs w:val="24"/>
      <w:lang w:eastAsia="en-GB"/>
    </w:rPr>
  </w:style>
  <w:style w:type="character" w:customStyle="1" w:styleId="CRRefNum">
    <w:name w:val="CR RefNum"/>
    <w:basedOn w:val="DefaultParagraphFont"/>
    <w:uiPriority w:val="99"/>
    <w:rsid w:val="004F4CD1"/>
    <w:rPr>
      <w:rFonts w:cs="Times New Roman"/>
      <w:vertAlign w:val="subscript"/>
    </w:rPr>
  </w:style>
  <w:style w:type="paragraph" w:customStyle="1" w:styleId="CRParaDeleted">
    <w:name w:val="CR ParaDeleted"/>
    <w:basedOn w:val="Normal"/>
    <w:next w:val="Normal"/>
    <w:uiPriority w:val="99"/>
    <w:rsid w:val="004F4CD1"/>
    <w:pPr>
      <w:autoSpaceDE w:val="0"/>
      <w:autoSpaceDN w:val="0"/>
    </w:pPr>
    <w:rPr>
      <w:rFonts w:eastAsiaTheme="minorEastAsia"/>
      <w:szCs w:val="24"/>
      <w:lang w:eastAsia="en-GB"/>
    </w:rPr>
  </w:style>
  <w:style w:type="character" w:customStyle="1" w:styleId="CRTextDeleted">
    <w:name w:val="CR TextDeleted"/>
    <w:basedOn w:val="DefaultParagraphFont"/>
    <w:uiPriority w:val="99"/>
    <w:rsid w:val="004F4CD1"/>
    <w:rPr>
      <w:rFonts w:cs="Times New Roman"/>
    </w:rPr>
  </w:style>
  <w:style w:type="paragraph" w:customStyle="1" w:styleId="Titredumodificateur">
    <w:name w:val="Titre du modificateur"/>
    <w:basedOn w:val="Normal"/>
    <w:next w:val="Annexetitrefichefinacte"/>
    <w:uiPriority w:val="99"/>
    <w:rsid w:val="004F4CD1"/>
    <w:pPr>
      <w:autoSpaceDE w:val="0"/>
      <w:autoSpaceDN w:val="0"/>
      <w:spacing w:before="240" w:after="60"/>
      <w:jc w:val="left"/>
    </w:pPr>
    <w:rPr>
      <w:rFonts w:eastAsiaTheme="minorEastAsia"/>
      <w:b/>
      <w:bCs/>
      <w:szCs w:val="24"/>
      <w:lang w:eastAsia="en-GB"/>
    </w:rPr>
  </w:style>
  <w:style w:type="paragraph" w:customStyle="1" w:styleId="Referencedumodificateur">
    <w:name w:val="Reference du modificateur"/>
    <w:basedOn w:val="Normal"/>
    <w:next w:val="Annexetitrefichefinglobale"/>
    <w:uiPriority w:val="99"/>
    <w:rsid w:val="004F4CD1"/>
    <w:pPr>
      <w:autoSpaceDE w:val="0"/>
      <w:autoSpaceDN w:val="0"/>
      <w:spacing w:before="0"/>
      <w:jc w:val="left"/>
    </w:pPr>
    <w:rPr>
      <w:rFonts w:eastAsiaTheme="minorEastAsia"/>
      <w:szCs w:val="24"/>
      <w:lang w:eastAsia="en-GB"/>
    </w:rPr>
  </w:style>
  <w:style w:type="paragraph" w:styleId="NormalWeb">
    <w:name w:val="Normal (Web)"/>
    <w:basedOn w:val="Normal"/>
    <w:uiPriority w:val="99"/>
    <w:unhideWhenUsed/>
    <w:rsid w:val="004F4CD1"/>
    <w:pPr>
      <w:spacing w:before="100" w:beforeAutospacing="1" w:after="100" w:afterAutospacing="1"/>
      <w:jc w:val="left"/>
    </w:pPr>
    <w:rPr>
      <w:rFonts w:eastAsiaTheme="minorEastAsia"/>
      <w:szCs w:val="24"/>
    </w:rPr>
  </w:style>
  <w:style w:type="character" w:customStyle="1" w:styleId="2">
    <w:name w:val="2"/>
    <w:rsid w:val="004F4CD1"/>
  </w:style>
  <w:style w:type="character" w:customStyle="1" w:styleId="5">
    <w:name w:val="5"/>
    <w:rsid w:val="004F4CD1"/>
  </w:style>
  <w:style w:type="character" w:styleId="HTMLDefinition">
    <w:name w:val="HTML Definition"/>
    <w:basedOn w:val="DefaultParagraphFont"/>
    <w:uiPriority w:val="99"/>
    <w:semiHidden/>
    <w:unhideWhenUsed/>
    <w:rsid w:val="004F4CD1"/>
    <w:rPr>
      <w:rFonts w:cs="Times New Roman"/>
      <w:i/>
    </w:rPr>
  </w:style>
  <w:style w:type="character" w:customStyle="1" w:styleId="-5">
    <w:name w:val="-5"/>
    <w:rsid w:val="004F4CD1"/>
  </w:style>
  <w:style w:type="character" w:customStyle="1" w:styleId="-6">
    <w:name w:val="-6"/>
    <w:rsid w:val="004F4CD1"/>
  </w:style>
  <w:style w:type="character" w:customStyle="1" w:styleId="-3">
    <w:name w:val="-3"/>
    <w:rsid w:val="004F4CD1"/>
  </w:style>
  <w:style w:type="character" w:customStyle="1" w:styleId="Bodytext2">
    <w:name w:val="Body text|2_"/>
    <w:link w:val="Bodytext20"/>
    <w:locked/>
    <w:rsid w:val="004F4CD1"/>
    <w:rPr>
      <w:sz w:val="19"/>
      <w:shd w:val="clear" w:color="auto" w:fill="FFFFFF"/>
    </w:rPr>
  </w:style>
  <w:style w:type="character" w:customStyle="1" w:styleId="Bodytext27pt">
    <w:name w:val="Body text|2 + 7 pt"/>
    <w:semiHidden/>
    <w:unhideWhenUsed/>
    <w:rsid w:val="004F4CD1"/>
    <w:rPr>
      <w:rFonts w:ascii="Times New Roman" w:hAnsi="Times New Roman"/>
      <w:color w:val="231F20"/>
      <w:spacing w:val="0"/>
      <w:w w:val="100"/>
      <w:position w:val="0"/>
      <w:sz w:val="14"/>
      <w:shd w:val="clear" w:color="auto" w:fill="FFFFFF"/>
      <w:lang w:val="sk-SK" w:eastAsia="en-US"/>
    </w:rPr>
  </w:style>
  <w:style w:type="paragraph" w:customStyle="1" w:styleId="Bodytext20">
    <w:name w:val="Body text|2"/>
    <w:basedOn w:val="Normal"/>
    <w:link w:val="Bodytext2"/>
    <w:qFormat/>
    <w:rsid w:val="004F4CD1"/>
    <w:pPr>
      <w:widowControl w:val="0"/>
      <w:shd w:val="clear" w:color="auto" w:fill="FFFFFF"/>
      <w:spacing w:before="0" w:after="760" w:line="326" w:lineRule="exact"/>
      <w:ind w:hanging="320"/>
      <w:jc w:val="center"/>
    </w:pPr>
    <w:rPr>
      <w:rFonts w:asciiTheme="minorHAnsi" w:hAnsiTheme="minorHAnsi" w:cstheme="minorBidi"/>
      <w:sz w:val="19"/>
    </w:rPr>
  </w:style>
  <w:style w:type="character" w:customStyle="1" w:styleId="Bodytext28pt">
    <w:name w:val="Body text|2 + 8 pt"/>
    <w:semiHidden/>
    <w:unhideWhenUsed/>
    <w:rsid w:val="004F4CD1"/>
    <w:rPr>
      <w:rFonts w:ascii="Times New Roman" w:hAnsi="Times New Roman"/>
      <w:color w:val="231F20"/>
      <w:spacing w:val="0"/>
      <w:w w:val="100"/>
      <w:position w:val="0"/>
      <w:sz w:val="16"/>
      <w:u w:val="none"/>
      <w:shd w:val="clear" w:color="auto" w:fill="FFFFFF"/>
      <w:lang w:val="sk-SK" w:eastAsia="en-US"/>
    </w:rPr>
  </w:style>
  <w:style w:type="character" w:customStyle="1" w:styleId="markedcontent">
    <w:name w:val="markedcontent"/>
    <w:rsid w:val="004F4CD1"/>
  </w:style>
  <w:style w:type="paragraph" w:styleId="BodyText">
    <w:name w:val="Body Text"/>
    <w:basedOn w:val="Normal"/>
    <w:link w:val="BodyTextChar"/>
    <w:uiPriority w:val="1"/>
    <w:unhideWhenUsed/>
    <w:qFormat/>
    <w:rsid w:val="004F4CD1"/>
    <w:pPr>
      <w:spacing w:before="0" w:after="160" w:line="276" w:lineRule="auto"/>
      <w:jc w:val="left"/>
    </w:pPr>
    <w:rPr>
      <w:rFonts w:asciiTheme="minorHAnsi" w:eastAsiaTheme="minorEastAsia" w:hAnsiTheme="minorHAnsi" w:cs="Arial"/>
      <w:sz w:val="22"/>
      <w:lang w:eastAsia="en-GB"/>
    </w:rPr>
  </w:style>
  <w:style w:type="character" w:customStyle="1" w:styleId="BodyTextChar">
    <w:name w:val="Body Text Char"/>
    <w:basedOn w:val="DefaultParagraphFont"/>
    <w:link w:val="BodyText"/>
    <w:uiPriority w:val="1"/>
    <w:rsid w:val="004F4CD1"/>
    <w:rPr>
      <w:rFonts w:eastAsiaTheme="minorEastAsia" w:cs="Arial"/>
      <w:lang w:val="sk-SK" w:eastAsia="en-GB"/>
    </w:rPr>
  </w:style>
  <w:style w:type="paragraph" w:customStyle="1" w:styleId="paragraph">
    <w:name w:val="paragraph"/>
    <w:basedOn w:val="Normal"/>
    <w:rsid w:val="004F4CD1"/>
    <w:pPr>
      <w:spacing w:before="100" w:beforeAutospacing="1" w:after="100" w:afterAutospacing="1"/>
      <w:jc w:val="left"/>
    </w:pPr>
    <w:rPr>
      <w:rFonts w:eastAsiaTheme="minorEastAsia"/>
      <w:szCs w:val="24"/>
    </w:rPr>
  </w:style>
  <w:style w:type="character" w:customStyle="1" w:styleId="UnresolvedMention1">
    <w:name w:val="Unresolved Mention1"/>
    <w:uiPriority w:val="99"/>
    <w:unhideWhenUsed/>
    <w:rsid w:val="004F4CD1"/>
    <w:rPr>
      <w:color w:val="605E5C"/>
      <w:shd w:val="clear" w:color="auto" w:fill="E1DFDD"/>
    </w:rPr>
  </w:style>
  <w:style w:type="character" w:customStyle="1" w:styleId="jlqj4b">
    <w:name w:val="jlqj4b"/>
    <w:rsid w:val="004F4CD1"/>
  </w:style>
  <w:style w:type="paragraph" w:customStyle="1" w:styleId="norm">
    <w:name w:val="norm"/>
    <w:basedOn w:val="Normal"/>
    <w:rsid w:val="004F4CD1"/>
    <w:pPr>
      <w:spacing w:before="100" w:beforeAutospacing="1" w:after="100" w:afterAutospacing="1"/>
      <w:jc w:val="left"/>
    </w:pPr>
    <w:rPr>
      <w:rFonts w:eastAsiaTheme="minorEastAsia"/>
      <w:szCs w:val="24"/>
      <w:lang w:eastAsia="sv-SE"/>
    </w:rPr>
  </w:style>
  <w:style w:type="paragraph" w:customStyle="1" w:styleId="title-gr-seq-level-1">
    <w:name w:val="title-gr-seq-level-1"/>
    <w:basedOn w:val="Normal"/>
    <w:rsid w:val="004F4CD1"/>
    <w:pPr>
      <w:spacing w:before="100" w:beforeAutospacing="1" w:after="100" w:afterAutospacing="1"/>
      <w:jc w:val="left"/>
    </w:pPr>
    <w:rPr>
      <w:rFonts w:eastAsiaTheme="minorEastAsia"/>
      <w:szCs w:val="24"/>
      <w:lang w:eastAsia="sv-SE"/>
    </w:rPr>
  </w:style>
  <w:style w:type="character" w:customStyle="1" w:styleId="boldface">
    <w:name w:val="boldface"/>
    <w:rsid w:val="004F4CD1"/>
  </w:style>
  <w:style w:type="paragraph" w:customStyle="1" w:styleId="tbl-norm">
    <w:name w:val="tbl-norm"/>
    <w:basedOn w:val="Normal"/>
    <w:rsid w:val="004F4CD1"/>
    <w:pPr>
      <w:spacing w:before="100" w:beforeAutospacing="1" w:after="100" w:afterAutospacing="1"/>
      <w:jc w:val="left"/>
    </w:pPr>
    <w:rPr>
      <w:rFonts w:eastAsiaTheme="minorEastAsia"/>
      <w:szCs w:val="24"/>
      <w:lang w:eastAsia="sv-SE"/>
    </w:rPr>
  </w:style>
  <w:style w:type="character" w:customStyle="1" w:styleId="UnresolvedMention2">
    <w:name w:val="Unresolved Mention2"/>
    <w:uiPriority w:val="99"/>
    <w:unhideWhenUsed/>
    <w:rsid w:val="004F4CD1"/>
    <w:rPr>
      <w:color w:val="605E5C"/>
      <w:shd w:val="clear" w:color="auto" w:fill="E1DFDD"/>
    </w:rPr>
  </w:style>
  <w:style w:type="character" w:customStyle="1" w:styleId="Mention1">
    <w:name w:val="Mention1"/>
    <w:uiPriority w:val="99"/>
    <w:unhideWhenUsed/>
    <w:rsid w:val="004F4CD1"/>
    <w:rPr>
      <w:color w:val="2B579A"/>
      <w:shd w:val="clear" w:color="auto" w:fill="E6E6E6"/>
    </w:rPr>
  </w:style>
  <w:style w:type="character" w:customStyle="1" w:styleId="UnresolvedMention3">
    <w:name w:val="Unresolved Mention3"/>
    <w:uiPriority w:val="99"/>
    <w:unhideWhenUsed/>
    <w:rsid w:val="004F4CD1"/>
    <w:rPr>
      <w:color w:val="605E5C"/>
      <w:shd w:val="clear" w:color="auto" w:fill="E1DFDD"/>
    </w:rPr>
  </w:style>
  <w:style w:type="character" w:customStyle="1" w:styleId="Mention2">
    <w:name w:val="Mention2"/>
    <w:uiPriority w:val="99"/>
    <w:unhideWhenUsed/>
    <w:rsid w:val="004F4CD1"/>
    <w:rPr>
      <w:color w:val="2B579A"/>
      <w:shd w:val="clear" w:color="auto" w:fill="E1DFDD"/>
    </w:rPr>
  </w:style>
  <w:style w:type="character" w:customStyle="1" w:styleId="UnresolvedMention4">
    <w:name w:val="Unresolved Mention4"/>
    <w:uiPriority w:val="99"/>
    <w:unhideWhenUsed/>
    <w:rsid w:val="004F4CD1"/>
    <w:rPr>
      <w:color w:val="605E5C"/>
      <w:shd w:val="clear" w:color="auto" w:fill="E1DFDD"/>
    </w:rPr>
  </w:style>
  <w:style w:type="character" w:customStyle="1" w:styleId="Mention3">
    <w:name w:val="Mention3"/>
    <w:uiPriority w:val="99"/>
    <w:unhideWhenUsed/>
    <w:rsid w:val="004F4CD1"/>
    <w:rPr>
      <w:color w:val="2B579A"/>
      <w:shd w:val="clear" w:color="auto" w:fill="E1DFDD"/>
    </w:rPr>
  </w:style>
  <w:style w:type="character" w:customStyle="1" w:styleId="UnresolvedMention5">
    <w:name w:val="Unresolved Mention5"/>
    <w:uiPriority w:val="99"/>
    <w:unhideWhenUsed/>
    <w:rsid w:val="004F4CD1"/>
    <w:rPr>
      <w:color w:val="605E5C"/>
      <w:shd w:val="clear" w:color="auto" w:fill="E1DFDD"/>
    </w:rPr>
  </w:style>
  <w:style w:type="character" w:customStyle="1" w:styleId="Mention4">
    <w:name w:val="Mention4"/>
    <w:uiPriority w:val="99"/>
    <w:unhideWhenUsed/>
    <w:rsid w:val="004F4CD1"/>
    <w:rPr>
      <w:color w:val="2B579A"/>
      <w:shd w:val="clear" w:color="auto" w:fill="E1DFDD"/>
    </w:rPr>
  </w:style>
  <w:style w:type="character" w:customStyle="1" w:styleId="UnresolvedMention6">
    <w:name w:val="Unresolved Mention6"/>
    <w:uiPriority w:val="99"/>
    <w:unhideWhenUsed/>
    <w:rsid w:val="004F4CD1"/>
    <w:rPr>
      <w:color w:val="605E5C"/>
      <w:shd w:val="clear" w:color="auto" w:fill="E1DFDD"/>
    </w:rPr>
  </w:style>
  <w:style w:type="character" w:customStyle="1" w:styleId="Mention5">
    <w:name w:val="Mention5"/>
    <w:uiPriority w:val="99"/>
    <w:unhideWhenUsed/>
    <w:rsid w:val="004F4CD1"/>
    <w:rPr>
      <w:color w:val="2B579A"/>
      <w:shd w:val="clear" w:color="auto" w:fill="E1DFDD"/>
    </w:rPr>
  </w:style>
  <w:style w:type="character" w:customStyle="1" w:styleId="UnresolvedMention7">
    <w:name w:val="Unresolved Mention7"/>
    <w:uiPriority w:val="99"/>
    <w:unhideWhenUsed/>
    <w:rsid w:val="004F4CD1"/>
    <w:rPr>
      <w:color w:val="605E5C"/>
      <w:shd w:val="clear" w:color="auto" w:fill="E1DFDD"/>
    </w:rPr>
  </w:style>
  <w:style w:type="character" w:customStyle="1" w:styleId="Mention6">
    <w:name w:val="Mention6"/>
    <w:uiPriority w:val="99"/>
    <w:unhideWhenUsed/>
    <w:rsid w:val="004F4CD1"/>
    <w:rPr>
      <w:color w:val="2B579A"/>
      <w:shd w:val="clear" w:color="auto" w:fill="E1DFDD"/>
    </w:rPr>
  </w:style>
  <w:style w:type="character" w:customStyle="1" w:styleId="superscript">
    <w:name w:val="superscript"/>
    <w:rsid w:val="004F4CD1"/>
  </w:style>
  <w:style w:type="character" w:customStyle="1" w:styleId="tabchar">
    <w:name w:val="tabchar"/>
    <w:rsid w:val="004F4CD1"/>
  </w:style>
  <w:style w:type="character" w:customStyle="1" w:styleId="CRDeleted">
    <w:name w:val="CR Deleted"/>
    <w:basedOn w:val="DefaultParagraphFont"/>
    <w:rsid w:val="004F4CD1"/>
    <w:rPr>
      <w:rFonts w:cs="Times New Roman"/>
      <w:dstrike/>
      <w:lang w:val="sk-SK" w:eastAsia="x-none"/>
    </w:rPr>
  </w:style>
  <w:style w:type="character" w:customStyle="1" w:styleId="CRRefonteDeleted">
    <w:name w:val="CR Refonte Deleted"/>
    <w:basedOn w:val="DefaultParagraphFont"/>
    <w:rsid w:val="004F4CD1"/>
    <w:rPr>
      <w:rFonts w:cs="Times New Roman"/>
      <w:dstrike/>
      <w:lang w:val="sk-SK" w:eastAsia="x-none"/>
    </w:rPr>
  </w:style>
  <w:style w:type="character" w:customStyle="1" w:styleId="CRMinorChangeAdded">
    <w:name w:val="CR Minor Change Added"/>
    <w:basedOn w:val="DefaultParagraphFont"/>
    <w:rsid w:val="004F4CD1"/>
    <w:rPr>
      <w:rFonts w:cs="Times New Roman"/>
      <w:u w:val="double"/>
      <w:lang w:val="sk-SK" w:eastAsia="x-none"/>
    </w:rPr>
  </w:style>
  <w:style w:type="character" w:customStyle="1" w:styleId="CRMinorChangeDeleted">
    <w:name w:val="CR Minor Change Deleted"/>
    <w:basedOn w:val="DefaultParagraphFont"/>
    <w:rsid w:val="004F4CD1"/>
    <w:rPr>
      <w:rFonts w:cs="Times New Roman"/>
      <w:dstrike/>
      <w:u w:val="double"/>
      <w:lang w:val="sk-SK" w:eastAsia="x-none"/>
    </w:rPr>
  </w:style>
  <w:style w:type="character" w:customStyle="1" w:styleId="UnresolvedMention8">
    <w:name w:val="Unresolved Mention8"/>
    <w:basedOn w:val="DefaultParagraphFont"/>
    <w:uiPriority w:val="99"/>
    <w:unhideWhenUsed/>
    <w:rsid w:val="004F4CD1"/>
    <w:rPr>
      <w:rFonts w:cs="Times New Roman"/>
      <w:color w:val="605E5C"/>
      <w:shd w:val="clear" w:color="auto" w:fill="E1DFDD"/>
    </w:rPr>
  </w:style>
  <w:style w:type="character" w:customStyle="1" w:styleId="Mention7">
    <w:name w:val="Mention7"/>
    <w:basedOn w:val="DefaultParagraphFont"/>
    <w:uiPriority w:val="99"/>
    <w:unhideWhenUsed/>
    <w:rsid w:val="004F4CD1"/>
    <w:rPr>
      <w:rFonts w:cs="Times New Roman"/>
      <w:color w:val="2B579A"/>
      <w:shd w:val="clear" w:color="auto" w:fill="E1DFDD"/>
    </w:rPr>
  </w:style>
  <w:style w:type="table" w:customStyle="1" w:styleId="TableGrid1">
    <w:name w:val="Table Grid1"/>
    <w:basedOn w:val="TableNormal"/>
    <w:next w:val="TableGrid"/>
    <w:uiPriority w:val="59"/>
    <w:rsid w:val="004F4CD1"/>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71">
    <w:name w:val="Mention71"/>
    <w:uiPriority w:val="99"/>
    <w:unhideWhenUsed/>
    <w:rsid w:val="004F4CD1"/>
    <w:rPr>
      <w:color w:val="2B579A"/>
      <w:shd w:val="clear" w:color="auto" w:fill="E1DFDD"/>
    </w:rPr>
  </w:style>
  <w:style w:type="paragraph" w:customStyle="1" w:styleId="title-bold">
    <w:name w:val="title-bold"/>
    <w:basedOn w:val="Normal"/>
    <w:rsid w:val="004F4CD1"/>
    <w:pPr>
      <w:spacing w:before="100" w:beforeAutospacing="1" w:after="100" w:afterAutospacing="1"/>
      <w:jc w:val="left"/>
    </w:pPr>
    <w:rPr>
      <w:rFonts w:eastAsiaTheme="minorEastAsia"/>
      <w:szCs w:val="24"/>
    </w:rPr>
  </w:style>
  <w:style w:type="character" w:customStyle="1" w:styleId="ltkoo">
    <w:name w:val="ltkoo"/>
    <w:basedOn w:val="DefaultParagraphFont"/>
    <w:rsid w:val="004F4CD1"/>
    <w:rPr>
      <w:rFonts w:cs="Times New Roman"/>
    </w:rPr>
  </w:style>
  <w:style w:type="character" w:customStyle="1" w:styleId="fe69if">
    <w:name w:val="fe69if"/>
    <w:basedOn w:val="DefaultParagraphFont"/>
    <w:rsid w:val="004F4CD1"/>
    <w:rPr>
      <w:rFonts w:cs="Times New Roman"/>
    </w:rPr>
  </w:style>
  <w:style w:type="character" w:customStyle="1" w:styleId="yrbpuc">
    <w:name w:val="yrbpuc"/>
    <w:basedOn w:val="DefaultParagraphFont"/>
    <w:rsid w:val="004F4CD1"/>
    <w:rPr>
      <w:rFonts w:cs="Times New Roman"/>
    </w:rPr>
  </w:style>
  <w:style w:type="character" w:customStyle="1" w:styleId="UnresolvedMention81">
    <w:name w:val="Unresolved Mention81"/>
    <w:uiPriority w:val="99"/>
    <w:unhideWhenUsed/>
    <w:rsid w:val="004F4CD1"/>
    <w:rPr>
      <w:color w:val="605E5C"/>
      <w:shd w:val="clear" w:color="auto" w:fill="E1DFDD"/>
    </w:rPr>
  </w:style>
  <w:style w:type="character" w:customStyle="1" w:styleId="Mention8">
    <w:name w:val="Mention8"/>
    <w:uiPriority w:val="99"/>
    <w:unhideWhenUsed/>
    <w:rsid w:val="004F4CD1"/>
    <w:rPr>
      <w:color w:val="2B579A"/>
      <w:shd w:val="clear" w:color="auto" w:fill="E1DFDD"/>
    </w:rPr>
  </w:style>
  <w:style w:type="paragraph" w:customStyle="1" w:styleId="JRCText">
    <w:name w:val="JRC_Text"/>
    <w:basedOn w:val="Normal"/>
    <w:qFormat/>
    <w:rsid w:val="004F4CD1"/>
    <w:rPr>
      <w:rFonts w:ascii="Verdana" w:eastAsiaTheme="minorEastAsia" w:hAnsi="Verdana"/>
      <w:sz w:val="20"/>
    </w:rPr>
  </w:style>
  <w:style w:type="character" w:customStyle="1" w:styleId="scxw243032748">
    <w:name w:val="scxw243032748"/>
    <w:basedOn w:val="DefaultParagraphFont"/>
    <w:rsid w:val="004F4CD1"/>
    <w:rPr>
      <w:rFonts w:cs="Times New Roman"/>
    </w:rPr>
  </w:style>
  <w:style w:type="character" w:customStyle="1" w:styleId="UnresolvedMention9">
    <w:name w:val="Unresolved Mention9"/>
    <w:uiPriority w:val="99"/>
    <w:unhideWhenUsed/>
    <w:rsid w:val="004F4CD1"/>
    <w:rPr>
      <w:color w:val="605E5C"/>
      <w:shd w:val="clear" w:color="auto" w:fill="E1DFDD"/>
    </w:rPr>
  </w:style>
  <w:style w:type="character" w:customStyle="1" w:styleId="Mention9">
    <w:name w:val="Mention9"/>
    <w:uiPriority w:val="99"/>
    <w:unhideWhenUsed/>
    <w:rsid w:val="004F4CD1"/>
    <w:rPr>
      <w:color w:val="2B579A"/>
      <w:shd w:val="clear" w:color="auto" w:fill="E1DFDD"/>
    </w:rPr>
  </w:style>
  <w:style w:type="character" w:customStyle="1" w:styleId="UnresolvedMention10">
    <w:name w:val="Unresolved Mention10"/>
    <w:uiPriority w:val="99"/>
    <w:unhideWhenUsed/>
    <w:rsid w:val="004F4CD1"/>
    <w:rPr>
      <w:color w:val="605E5C"/>
      <w:shd w:val="clear" w:color="auto" w:fill="E1DFDD"/>
    </w:rPr>
  </w:style>
  <w:style w:type="character" w:customStyle="1" w:styleId="Mention10">
    <w:name w:val="Mention10"/>
    <w:uiPriority w:val="99"/>
    <w:unhideWhenUsed/>
    <w:rsid w:val="004F4CD1"/>
    <w:rPr>
      <w:color w:val="2B579A"/>
      <w:shd w:val="clear" w:color="auto" w:fill="E1DFDD"/>
    </w:rPr>
  </w:style>
  <w:style w:type="paragraph" w:customStyle="1" w:styleId="NumPar10">
    <w:name w:val="NumPar1"/>
    <w:basedOn w:val="Point1letter"/>
    <w:rsid w:val="008A75DF"/>
    <w:pPr>
      <w:numPr>
        <w:ilvl w:val="0"/>
        <w:numId w:val="0"/>
      </w:numPr>
      <w:tabs>
        <w:tab w:val="num" w:pos="1417"/>
      </w:tabs>
      <w:ind w:left="1417" w:hanging="567"/>
    </w:pPr>
  </w:style>
  <w:style w:type="paragraph" w:customStyle="1" w:styleId="Typududocument">
    <w:name w:val="Typu du document"/>
    <w:basedOn w:val="Normal"/>
    <w:rsid w:val="004F4CD1"/>
    <w:pPr>
      <w:spacing w:before="360" w:after="0"/>
      <w:jc w:val="center"/>
    </w:pPr>
    <w:rPr>
      <w:b/>
      <w:bCs/>
    </w:rPr>
  </w:style>
  <w:style w:type="character" w:customStyle="1" w:styleId="filetitle">
    <w:name w:val="file__title"/>
    <w:basedOn w:val="DefaultParagraphFont"/>
    <w:rsid w:val="004F4CD1"/>
  </w:style>
  <w:style w:type="paragraph" w:customStyle="1" w:styleId="Titreobjet">
    <w:name w:val="Titre objet"/>
    <w:basedOn w:val="Normal"/>
    <w:next w:val="IntrtEEE"/>
    <w:rsid w:val="004F4CD1"/>
    <w:pPr>
      <w:spacing w:before="360" w:after="360"/>
      <w:jc w:val="center"/>
    </w:pPr>
    <w:rPr>
      <w:b/>
    </w:rPr>
  </w:style>
  <w:style w:type="paragraph" w:customStyle="1" w:styleId="TitreobjetPagedecouverture">
    <w:name w:val="Titre objet (Page de couverture)"/>
    <w:basedOn w:val="Titreobjet"/>
    <w:next w:val="IntrtEEEPagedecouverture"/>
    <w:rsid w:val="004F4CD1"/>
  </w:style>
  <w:style w:type="paragraph" w:customStyle="1" w:styleId="Annextitre">
    <w:name w:val="Annex titre"/>
    <w:basedOn w:val="1111"/>
    <w:rsid w:val="00897B9B"/>
  </w:style>
  <w:style w:type="paragraph" w:styleId="Header">
    <w:name w:val="header"/>
    <w:basedOn w:val="Normal"/>
    <w:link w:val="HeaderChar"/>
    <w:uiPriority w:val="99"/>
    <w:unhideWhenUsed/>
    <w:rsid w:val="000A000C"/>
    <w:pPr>
      <w:tabs>
        <w:tab w:val="center" w:pos="4535"/>
        <w:tab w:val="right" w:pos="9071"/>
      </w:tabs>
      <w:spacing w:before="0"/>
    </w:pPr>
  </w:style>
  <w:style w:type="character" w:customStyle="1" w:styleId="HeaderChar">
    <w:name w:val="Header Char"/>
    <w:basedOn w:val="DefaultParagraphFont"/>
    <w:link w:val="Header"/>
    <w:uiPriority w:val="99"/>
    <w:rsid w:val="000A000C"/>
    <w:rPr>
      <w:rFonts w:ascii="Times New Roman" w:hAnsi="Times New Roman" w:cs="Times New Roman"/>
      <w:sz w:val="24"/>
      <w:lang w:val="sk-SK"/>
    </w:rPr>
  </w:style>
  <w:style w:type="paragraph" w:styleId="Footer">
    <w:name w:val="footer"/>
    <w:basedOn w:val="Normal"/>
    <w:link w:val="FooterChar"/>
    <w:uiPriority w:val="99"/>
    <w:unhideWhenUsed/>
    <w:rsid w:val="000A000C"/>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0A000C"/>
    <w:rPr>
      <w:rFonts w:ascii="Times New Roman" w:hAnsi="Times New Roman" w:cs="Times New Roman"/>
      <w:sz w:val="24"/>
      <w:lang w:val="sk-SK"/>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sk-SK"/>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sk-SK"/>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sk-SK"/>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sk-SK"/>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lang w:val="sk-SK"/>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lang w:val="sk-SK"/>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lang w:val="sk-SK"/>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paragraph" w:customStyle="1" w:styleId="HeaderLandscape">
    <w:name w:val="HeaderLandscape"/>
    <w:basedOn w:val="Normal"/>
    <w:rsid w:val="000A000C"/>
    <w:pPr>
      <w:tabs>
        <w:tab w:val="center" w:pos="7285"/>
        <w:tab w:val="right" w:pos="14003"/>
      </w:tabs>
      <w:spacing w:before="0"/>
    </w:pPr>
  </w:style>
  <w:style w:type="paragraph" w:customStyle="1" w:styleId="FooterLandscape">
    <w:name w:val="FooterLandscape"/>
    <w:basedOn w:val="Normal"/>
    <w:rsid w:val="000A000C"/>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0A000C"/>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0A000C"/>
    <w:pPr>
      <w:spacing w:before="0"/>
      <w:jc w:val="right"/>
    </w:pPr>
    <w:rPr>
      <w:sz w:val="28"/>
    </w:rPr>
  </w:style>
  <w:style w:type="paragraph" w:customStyle="1" w:styleId="FooterSensitivity">
    <w:name w:val="Footer Sensitivity"/>
    <w:basedOn w:val="Normal"/>
    <w:rsid w:val="000A000C"/>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34"/>
      </w:numPr>
    </w:pPr>
  </w:style>
  <w:style w:type="paragraph" w:customStyle="1" w:styleId="Tiret1">
    <w:name w:val="Tiret 1"/>
    <w:basedOn w:val="Point1"/>
    <w:pPr>
      <w:numPr>
        <w:numId w:val="35"/>
      </w:numPr>
    </w:pPr>
  </w:style>
  <w:style w:type="paragraph" w:customStyle="1" w:styleId="Tiret2">
    <w:name w:val="Tiret 2"/>
    <w:basedOn w:val="Point2"/>
    <w:pPr>
      <w:numPr>
        <w:numId w:val="36"/>
      </w:numPr>
    </w:pPr>
  </w:style>
  <w:style w:type="paragraph" w:customStyle="1" w:styleId="Tiret3">
    <w:name w:val="Tiret 3"/>
    <w:basedOn w:val="Point3"/>
    <w:pPr>
      <w:numPr>
        <w:numId w:val="37"/>
      </w:numPr>
    </w:pPr>
  </w:style>
  <w:style w:type="paragraph" w:customStyle="1" w:styleId="Tiret4">
    <w:name w:val="Tiret 4"/>
    <w:basedOn w:val="Point4"/>
    <w:pPr>
      <w:numPr>
        <w:numId w:val="38"/>
      </w:numPr>
    </w:pPr>
  </w:style>
  <w:style w:type="paragraph" w:customStyle="1" w:styleId="Tiret5">
    <w:name w:val="Tiret 5"/>
    <w:basedOn w:val="Point5"/>
    <w:pPr>
      <w:numPr>
        <w:numId w:val="3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0"/>
      </w:numPr>
    </w:pPr>
  </w:style>
  <w:style w:type="paragraph" w:customStyle="1" w:styleId="NumPar2">
    <w:name w:val="NumPar 2"/>
    <w:basedOn w:val="Normal"/>
    <w:next w:val="Text1"/>
    <w:pPr>
      <w:numPr>
        <w:ilvl w:val="1"/>
        <w:numId w:val="40"/>
      </w:numPr>
    </w:pPr>
  </w:style>
  <w:style w:type="paragraph" w:customStyle="1" w:styleId="NumPar3">
    <w:name w:val="NumPar 3"/>
    <w:basedOn w:val="Normal"/>
    <w:next w:val="Text1"/>
    <w:pPr>
      <w:numPr>
        <w:ilvl w:val="2"/>
        <w:numId w:val="40"/>
      </w:numPr>
    </w:pPr>
  </w:style>
  <w:style w:type="paragraph" w:customStyle="1" w:styleId="NumPar4">
    <w:name w:val="NumPar 4"/>
    <w:basedOn w:val="Normal"/>
    <w:next w:val="Text1"/>
    <w:pPr>
      <w:numPr>
        <w:ilvl w:val="3"/>
        <w:numId w:val="40"/>
      </w:numPr>
    </w:pPr>
  </w:style>
  <w:style w:type="paragraph" w:customStyle="1" w:styleId="NumPar5">
    <w:name w:val="NumPar 5"/>
    <w:basedOn w:val="Normal"/>
    <w:next w:val="Text2"/>
    <w:pPr>
      <w:numPr>
        <w:ilvl w:val="4"/>
        <w:numId w:val="40"/>
      </w:numPr>
    </w:pPr>
  </w:style>
  <w:style w:type="paragraph" w:customStyle="1" w:styleId="NumPar6">
    <w:name w:val="NumPar 6"/>
    <w:basedOn w:val="Normal"/>
    <w:next w:val="Text2"/>
    <w:pPr>
      <w:numPr>
        <w:ilvl w:val="5"/>
        <w:numId w:val="40"/>
      </w:numPr>
    </w:pPr>
  </w:style>
  <w:style w:type="paragraph" w:customStyle="1" w:styleId="NumPar7">
    <w:name w:val="NumPar 7"/>
    <w:basedOn w:val="Normal"/>
    <w:next w:val="Text2"/>
    <w:pPr>
      <w:numPr>
        <w:ilvl w:val="6"/>
        <w:numId w:val="4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2"/>
      </w:numPr>
    </w:pPr>
  </w:style>
  <w:style w:type="paragraph" w:customStyle="1" w:styleId="Point1number">
    <w:name w:val="Point 1 (number)"/>
    <w:basedOn w:val="Normal"/>
    <w:pPr>
      <w:numPr>
        <w:ilvl w:val="2"/>
        <w:numId w:val="42"/>
      </w:numPr>
    </w:pPr>
  </w:style>
  <w:style w:type="paragraph" w:customStyle="1" w:styleId="Point2number">
    <w:name w:val="Point 2 (number)"/>
    <w:basedOn w:val="Normal"/>
    <w:pPr>
      <w:numPr>
        <w:ilvl w:val="4"/>
        <w:numId w:val="42"/>
      </w:numPr>
    </w:pPr>
  </w:style>
  <w:style w:type="paragraph" w:customStyle="1" w:styleId="Point3number">
    <w:name w:val="Point 3 (number)"/>
    <w:basedOn w:val="Normal"/>
    <w:pPr>
      <w:numPr>
        <w:ilvl w:val="6"/>
        <w:numId w:val="42"/>
      </w:numPr>
    </w:pPr>
  </w:style>
  <w:style w:type="paragraph" w:customStyle="1" w:styleId="Point0letter">
    <w:name w:val="Point 0 (letter)"/>
    <w:basedOn w:val="Normal"/>
    <w:pPr>
      <w:numPr>
        <w:ilvl w:val="1"/>
        <w:numId w:val="42"/>
      </w:numPr>
    </w:pPr>
  </w:style>
  <w:style w:type="paragraph" w:customStyle="1" w:styleId="Point1letter">
    <w:name w:val="Point 1 (letter)"/>
    <w:basedOn w:val="Normal"/>
    <w:pPr>
      <w:numPr>
        <w:ilvl w:val="3"/>
        <w:numId w:val="42"/>
      </w:numPr>
    </w:pPr>
  </w:style>
  <w:style w:type="paragraph" w:customStyle="1" w:styleId="Point2letter">
    <w:name w:val="Point 2 (letter)"/>
    <w:basedOn w:val="Normal"/>
    <w:pPr>
      <w:numPr>
        <w:ilvl w:val="5"/>
        <w:numId w:val="42"/>
      </w:numPr>
    </w:pPr>
  </w:style>
  <w:style w:type="paragraph" w:customStyle="1" w:styleId="Point3letter">
    <w:name w:val="Point 3 (letter)"/>
    <w:basedOn w:val="Normal"/>
    <w:pPr>
      <w:numPr>
        <w:ilvl w:val="7"/>
        <w:numId w:val="42"/>
      </w:numPr>
    </w:pPr>
  </w:style>
  <w:style w:type="paragraph" w:customStyle="1" w:styleId="Point4letter">
    <w:name w:val="Point 4 (letter)"/>
    <w:basedOn w:val="Normal"/>
    <w:pPr>
      <w:numPr>
        <w:ilvl w:val="8"/>
        <w:numId w:val="42"/>
      </w:numPr>
    </w:pPr>
  </w:style>
  <w:style w:type="paragraph" w:customStyle="1" w:styleId="Bullet0">
    <w:name w:val="Bullet 0"/>
    <w:basedOn w:val="Normal"/>
    <w:pPr>
      <w:numPr>
        <w:numId w:val="43"/>
      </w:numPr>
    </w:pPr>
  </w:style>
  <w:style w:type="paragraph" w:customStyle="1" w:styleId="Bullet1">
    <w:name w:val="Bullet 1"/>
    <w:basedOn w:val="Normal"/>
    <w:pPr>
      <w:numPr>
        <w:numId w:val="44"/>
      </w:numPr>
    </w:pPr>
  </w:style>
  <w:style w:type="paragraph" w:customStyle="1" w:styleId="Bullet2">
    <w:name w:val="Bullet 2"/>
    <w:basedOn w:val="Normal"/>
    <w:pPr>
      <w:numPr>
        <w:numId w:val="45"/>
      </w:numPr>
    </w:pPr>
  </w:style>
  <w:style w:type="paragraph" w:customStyle="1" w:styleId="Bullet3">
    <w:name w:val="Bullet 3"/>
    <w:basedOn w:val="Normal"/>
    <w:pPr>
      <w:numPr>
        <w:numId w:val="46"/>
      </w:numPr>
    </w:pPr>
  </w:style>
  <w:style w:type="paragraph" w:customStyle="1" w:styleId="Bullet4">
    <w:name w:val="Bullet 4"/>
    <w:basedOn w:val="Normal"/>
    <w:pPr>
      <w:numPr>
        <w:numId w:val="4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098236">
      <w:bodyDiv w:val="1"/>
      <w:marLeft w:val="0"/>
      <w:marRight w:val="0"/>
      <w:marTop w:val="0"/>
      <w:marBottom w:val="0"/>
      <w:divBdr>
        <w:top w:val="none" w:sz="0" w:space="0" w:color="auto"/>
        <w:left w:val="none" w:sz="0" w:space="0" w:color="auto"/>
        <w:bottom w:val="none" w:sz="0" w:space="0" w:color="auto"/>
        <w:right w:val="none" w:sz="0" w:space="0" w:color="auto"/>
      </w:divBdr>
    </w:div>
    <w:div w:id="436029022">
      <w:bodyDiv w:val="1"/>
      <w:marLeft w:val="0"/>
      <w:marRight w:val="0"/>
      <w:marTop w:val="0"/>
      <w:marBottom w:val="0"/>
      <w:divBdr>
        <w:top w:val="none" w:sz="0" w:space="0" w:color="auto"/>
        <w:left w:val="none" w:sz="0" w:space="0" w:color="auto"/>
        <w:bottom w:val="none" w:sz="0" w:space="0" w:color="auto"/>
        <w:right w:val="none" w:sz="0" w:space="0" w:color="auto"/>
      </w:divBdr>
    </w:div>
    <w:div w:id="484205310">
      <w:bodyDiv w:val="1"/>
      <w:marLeft w:val="0"/>
      <w:marRight w:val="0"/>
      <w:marTop w:val="0"/>
      <w:marBottom w:val="0"/>
      <w:divBdr>
        <w:top w:val="none" w:sz="0" w:space="0" w:color="auto"/>
        <w:left w:val="none" w:sz="0" w:space="0" w:color="auto"/>
        <w:bottom w:val="none" w:sz="0" w:space="0" w:color="auto"/>
        <w:right w:val="none" w:sz="0" w:space="0" w:color="auto"/>
      </w:divBdr>
    </w:div>
    <w:div w:id="572937009">
      <w:bodyDiv w:val="1"/>
      <w:marLeft w:val="0"/>
      <w:marRight w:val="0"/>
      <w:marTop w:val="0"/>
      <w:marBottom w:val="0"/>
      <w:divBdr>
        <w:top w:val="none" w:sz="0" w:space="0" w:color="auto"/>
        <w:left w:val="none" w:sz="0" w:space="0" w:color="auto"/>
        <w:bottom w:val="none" w:sz="0" w:space="0" w:color="auto"/>
        <w:right w:val="none" w:sz="0" w:space="0" w:color="auto"/>
      </w:divBdr>
    </w:div>
    <w:div w:id="595137956">
      <w:bodyDiv w:val="1"/>
      <w:marLeft w:val="0"/>
      <w:marRight w:val="0"/>
      <w:marTop w:val="0"/>
      <w:marBottom w:val="0"/>
      <w:divBdr>
        <w:top w:val="none" w:sz="0" w:space="0" w:color="auto"/>
        <w:left w:val="none" w:sz="0" w:space="0" w:color="auto"/>
        <w:bottom w:val="none" w:sz="0" w:space="0" w:color="auto"/>
        <w:right w:val="none" w:sz="0" w:space="0" w:color="auto"/>
      </w:divBdr>
    </w:div>
    <w:div w:id="697778526">
      <w:bodyDiv w:val="1"/>
      <w:marLeft w:val="0"/>
      <w:marRight w:val="0"/>
      <w:marTop w:val="0"/>
      <w:marBottom w:val="0"/>
      <w:divBdr>
        <w:top w:val="none" w:sz="0" w:space="0" w:color="auto"/>
        <w:left w:val="none" w:sz="0" w:space="0" w:color="auto"/>
        <w:bottom w:val="none" w:sz="0" w:space="0" w:color="auto"/>
        <w:right w:val="none" w:sz="0" w:space="0" w:color="auto"/>
      </w:divBdr>
    </w:div>
    <w:div w:id="754593184">
      <w:bodyDiv w:val="1"/>
      <w:marLeft w:val="0"/>
      <w:marRight w:val="0"/>
      <w:marTop w:val="0"/>
      <w:marBottom w:val="0"/>
      <w:divBdr>
        <w:top w:val="none" w:sz="0" w:space="0" w:color="auto"/>
        <w:left w:val="none" w:sz="0" w:space="0" w:color="auto"/>
        <w:bottom w:val="none" w:sz="0" w:space="0" w:color="auto"/>
        <w:right w:val="none" w:sz="0" w:space="0" w:color="auto"/>
      </w:divBdr>
    </w:div>
    <w:div w:id="879130173">
      <w:bodyDiv w:val="1"/>
      <w:marLeft w:val="0"/>
      <w:marRight w:val="0"/>
      <w:marTop w:val="0"/>
      <w:marBottom w:val="0"/>
      <w:divBdr>
        <w:top w:val="none" w:sz="0" w:space="0" w:color="auto"/>
        <w:left w:val="none" w:sz="0" w:space="0" w:color="auto"/>
        <w:bottom w:val="none" w:sz="0" w:space="0" w:color="auto"/>
        <w:right w:val="none" w:sz="0" w:space="0" w:color="auto"/>
      </w:divBdr>
    </w:div>
    <w:div w:id="901795578">
      <w:bodyDiv w:val="1"/>
      <w:marLeft w:val="0"/>
      <w:marRight w:val="0"/>
      <w:marTop w:val="0"/>
      <w:marBottom w:val="0"/>
      <w:divBdr>
        <w:top w:val="none" w:sz="0" w:space="0" w:color="auto"/>
        <w:left w:val="none" w:sz="0" w:space="0" w:color="auto"/>
        <w:bottom w:val="none" w:sz="0" w:space="0" w:color="auto"/>
        <w:right w:val="none" w:sz="0" w:space="0" w:color="auto"/>
      </w:divBdr>
    </w:div>
    <w:div w:id="1034694309">
      <w:bodyDiv w:val="1"/>
      <w:marLeft w:val="0"/>
      <w:marRight w:val="0"/>
      <w:marTop w:val="0"/>
      <w:marBottom w:val="0"/>
      <w:divBdr>
        <w:top w:val="none" w:sz="0" w:space="0" w:color="auto"/>
        <w:left w:val="none" w:sz="0" w:space="0" w:color="auto"/>
        <w:bottom w:val="none" w:sz="0" w:space="0" w:color="auto"/>
        <w:right w:val="none" w:sz="0" w:space="0" w:color="auto"/>
      </w:divBdr>
    </w:div>
    <w:div w:id="1174343627">
      <w:bodyDiv w:val="1"/>
      <w:marLeft w:val="0"/>
      <w:marRight w:val="0"/>
      <w:marTop w:val="0"/>
      <w:marBottom w:val="0"/>
      <w:divBdr>
        <w:top w:val="none" w:sz="0" w:space="0" w:color="auto"/>
        <w:left w:val="none" w:sz="0" w:space="0" w:color="auto"/>
        <w:bottom w:val="none" w:sz="0" w:space="0" w:color="auto"/>
        <w:right w:val="none" w:sz="0" w:space="0" w:color="auto"/>
      </w:divBdr>
      <w:divsChild>
        <w:div w:id="1080298292">
          <w:marLeft w:val="0"/>
          <w:marRight w:val="0"/>
          <w:marTop w:val="0"/>
          <w:marBottom w:val="0"/>
          <w:divBdr>
            <w:top w:val="none" w:sz="0" w:space="0" w:color="auto"/>
            <w:left w:val="none" w:sz="0" w:space="0" w:color="auto"/>
            <w:bottom w:val="none" w:sz="0" w:space="0" w:color="auto"/>
            <w:right w:val="none" w:sz="0" w:space="0" w:color="auto"/>
          </w:divBdr>
        </w:div>
        <w:div w:id="1207794565">
          <w:marLeft w:val="0"/>
          <w:marRight w:val="0"/>
          <w:marTop w:val="0"/>
          <w:marBottom w:val="0"/>
          <w:divBdr>
            <w:top w:val="none" w:sz="0" w:space="0" w:color="auto"/>
            <w:left w:val="none" w:sz="0" w:space="0" w:color="auto"/>
            <w:bottom w:val="none" w:sz="0" w:space="0" w:color="auto"/>
            <w:right w:val="none" w:sz="0" w:space="0" w:color="auto"/>
          </w:divBdr>
        </w:div>
      </w:divsChild>
    </w:div>
    <w:div w:id="1609002813">
      <w:bodyDiv w:val="1"/>
      <w:marLeft w:val="0"/>
      <w:marRight w:val="0"/>
      <w:marTop w:val="0"/>
      <w:marBottom w:val="0"/>
      <w:divBdr>
        <w:top w:val="none" w:sz="0" w:space="0" w:color="auto"/>
        <w:left w:val="none" w:sz="0" w:space="0" w:color="auto"/>
        <w:bottom w:val="none" w:sz="0" w:space="0" w:color="auto"/>
        <w:right w:val="none" w:sz="0" w:space="0" w:color="auto"/>
      </w:divBdr>
    </w:div>
    <w:div w:id="1704592222">
      <w:bodyDiv w:val="1"/>
      <w:marLeft w:val="0"/>
      <w:marRight w:val="0"/>
      <w:marTop w:val="0"/>
      <w:marBottom w:val="0"/>
      <w:divBdr>
        <w:top w:val="none" w:sz="0" w:space="0" w:color="auto"/>
        <w:left w:val="none" w:sz="0" w:space="0" w:color="auto"/>
        <w:bottom w:val="none" w:sz="0" w:space="0" w:color="auto"/>
        <w:right w:val="none" w:sz="0" w:space="0" w:color="auto"/>
      </w:divBdr>
    </w:div>
    <w:div w:id="1730377936">
      <w:bodyDiv w:val="1"/>
      <w:marLeft w:val="0"/>
      <w:marRight w:val="0"/>
      <w:marTop w:val="0"/>
      <w:marBottom w:val="0"/>
      <w:divBdr>
        <w:top w:val="none" w:sz="0" w:space="0" w:color="auto"/>
        <w:left w:val="none" w:sz="0" w:space="0" w:color="auto"/>
        <w:bottom w:val="none" w:sz="0" w:space="0" w:color="auto"/>
        <w:right w:val="none" w:sz="0" w:space="0" w:color="auto"/>
      </w:divBdr>
    </w:div>
    <w:div w:id="1920751794">
      <w:bodyDiv w:val="1"/>
      <w:marLeft w:val="0"/>
      <w:marRight w:val="0"/>
      <w:marTop w:val="0"/>
      <w:marBottom w:val="0"/>
      <w:divBdr>
        <w:top w:val="none" w:sz="0" w:space="0" w:color="auto"/>
        <w:left w:val="none" w:sz="0" w:space="0" w:color="auto"/>
        <w:bottom w:val="none" w:sz="0" w:space="0" w:color="auto"/>
        <w:right w:val="none" w:sz="0" w:space="0" w:color="auto"/>
      </w:divBdr>
    </w:div>
    <w:div w:id="2000225833">
      <w:bodyDiv w:val="1"/>
      <w:marLeft w:val="0"/>
      <w:marRight w:val="0"/>
      <w:marTop w:val="0"/>
      <w:marBottom w:val="0"/>
      <w:divBdr>
        <w:top w:val="none" w:sz="0" w:space="0" w:color="auto"/>
        <w:left w:val="none" w:sz="0" w:space="0" w:color="auto"/>
        <w:bottom w:val="none" w:sz="0" w:space="0" w:color="auto"/>
        <w:right w:val="none" w:sz="0" w:space="0" w:color="auto"/>
      </w:divBdr>
    </w:div>
    <w:div w:id="2058432332">
      <w:bodyDiv w:val="1"/>
      <w:marLeft w:val="0"/>
      <w:marRight w:val="0"/>
      <w:marTop w:val="0"/>
      <w:marBottom w:val="0"/>
      <w:divBdr>
        <w:top w:val="none" w:sz="0" w:space="0" w:color="auto"/>
        <w:left w:val="none" w:sz="0" w:space="0" w:color="auto"/>
        <w:bottom w:val="none" w:sz="0" w:space="0" w:color="auto"/>
        <w:right w:val="none" w:sz="0" w:space="0" w:color="auto"/>
      </w:divBdr>
    </w:div>
    <w:div w:id="2078823080">
      <w:bodyDiv w:val="1"/>
      <w:marLeft w:val="0"/>
      <w:marRight w:val="0"/>
      <w:marTop w:val="0"/>
      <w:marBottom w:val="0"/>
      <w:divBdr>
        <w:top w:val="none" w:sz="0" w:space="0" w:color="auto"/>
        <w:left w:val="none" w:sz="0" w:space="0" w:color="auto"/>
        <w:bottom w:val="none" w:sz="0" w:space="0" w:color="auto"/>
        <w:right w:val="none" w:sz="0" w:space="0" w:color="auto"/>
      </w:divBdr>
    </w:div>
    <w:div w:id="2135638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2C36F1-1E09-4A98-ADDA-26135E2E1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0</TotalTime>
  <Pages>51</Pages>
  <Words>20001</Words>
  <Characters>114012</Characters>
  <Application>Microsoft Office Word</Application>
  <DocSecurity>0</DocSecurity>
  <Lines>950</Lines>
  <Paragraphs>267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2023-01-17T09:16:00Z</dcterms:created>
  <dcterms:modified xsi:type="dcterms:W3CDTF">2023-01-17T18:28:00Z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8.1, Build 20220902</vt:lpwstr>
  </property>
  <property fmtid="{D5CDD505-2E9C-101B-9397-08002B2CF9AE}" pid="3" name="MSIP_Label_6bd9ddd1-4d20-43f6-abfa-fc3c07406f94_Enabled">
    <vt:lpwstr>true</vt:lpwstr>
  </property>
  <property fmtid="{D5CDD505-2E9C-101B-9397-08002B2CF9AE}" pid="4" name="MSIP_Label_6bd9ddd1-4d20-43f6-abfa-fc3c07406f94_SetDate">
    <vt:lpwstr>2022-10-21T16:26:29Z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35161097-608b-471d-b172-8c8505441a90</vt:lpwstr>
  </property>
  <property fmtid="{D5CDD505-2E9C-101B-9397-08002B2CF9AE}" pid="9" name="MSIP_Label_6bd9ddd1-4d20-43f6-abfa-fc3c07406f94_ContentBits">
    <vt:lpwstr>0</vt:lpwstr>
  </property>
  <property fmtid="{D5CDD505-2E9C-101B-9397-08002B2CF9AE}" pid="10" name="Category">
    <vt:lpwstr>COM/ANNEX</vt:lpwstr>
  </property>
  <property fmtid="{D5CDD505-2E9C-101B-9397-08002B2CF9AE}" pid="11" name="Level of sensitivity">
    <vt:lpwstr>Standard treatment</vt:lpwstr>
  </property>
  <property fmtid="{D5CDD505-2E9C-101B-9397-08002B2CF9AE}" pid="12" name="First annex">
    <vt:lpwstr>1</vt:lpwstr>
  </property>
  <property fmtid="{D5CDD505-2E9C-101B-9397-08002B2CF9AE}" pid="13" name="Last annex">
    <vt:lpwstr>11</vt:lpwstr>
  </property>
  <property fmtid="{D5CDD505-2E9C-101B-9397-08002B2CF9AE}" pid="14" name="Unique annex">
    <vt:lpwstr>0</vt:lpwstr>
  </property>
  <property fmtid="{D5CDD505-2E9C-101B-9397-08002B2CF9AE}" pid="15" name="Part">
    <vt:lpwstr>&lt;UNUSED&gt;</vt:lpwstr>
  </property>
  <property fmtid="{D5CDD505-2E9C-101B-9397-08002B2CF9AE}" pid="16" name="Total parts">
    <vt:lpwstr>&lt;UNUSED&gt;</vt:lpwstr>
  </property>
  <property fmtid="{D5CDD505-2E9C-101B-9397-08002B2CF9AE}" pid="17" name="LWTemplateID">
    <vt:lpwstr>SG-017</vt:lpwstr>
  </property>
  <property fmtid="{D5CDD505-2E9C-101B-9397-08002B2CF9AE}" pid="18" name="DQCStatus">
    <vt:lpwstr>Green (DQC version 03)</vt:lpwstr>
  </property>
</Properties>
</file>