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9BB53" w14:textId="7DFC1CCC" w:rsidR="007F065E" w:rsidRPr="00CB683A" w:rsidRDefault="009925B6" w:rsidP="009925B6">
      <w:pPr>
        <w:pStyle w:val="Pagedecouverture"/>
        <w:rPr>
          <w:noProof/>
        </w:rPr>
      </w:pPr>
      <w:r>
        <w:rPr>
          <w:noProof/>
        </w:rPr>
        <w:pict w14:anchorId="3495EE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67296F4B-4A9E-4856-8B15-9E6DBE8C7724" style="width:455.25pt;height:426pt">
            <v:imagedata r:id="rId8" o:title=""/>
          </v:shape>
        </w:pict>
      </w:r>
    </w:p>
    <w:p w14:paraId="56D40FC8" w14:textId="77777777" w:rsidR="007F065E" w:rsidRPr="00CB683A" w:rsidRDefault="007F065E" w:rsidP="007F065E">
      <w:pPr>
        <w:rPr>
          <w:noProof/>
        </w:rPr>
        <w:sectPr w:rsidR="007F065E" w:rsidRPr="00CB683A" w:rsidSect="009925B6">
          <w:footerReference w:type="default" r:id="rId9"/>
          <w:pgSz w:w="11907" w:h="16839"/>
          <w:pgMar w:top="1134" w:right="1417" w:bottom="1134" w:left="1417" w:header="709" w:footer="709" w:gutter="0"/>
          <w:pgNumType w:start="0"/>
          <w:cols w:space="720"/>
          <w:docGrid w:linePitch="360"/>
        </w:sectPr>
      </w:pPr>
    </w:p>
    <w:p w14:paraId="206E4114" w14:textId="77777777" w:rsidR="007F065E" w:rsidRPr="00CB683A" w:rsidRDefault="007F065E" w:rsidP="00FE41E8">
      <w:pPr>
        <w:pStyle w:val="Exposdesmotifstitre"/>
        <w:rPr>
          <w:noProof/>
        </w:rPr>
      </w:pPr>
      <w:bookmarkStart w:id="0" w:name="_GoBack"/>
      <w:bookmarkEnd w:id="0"/>
      <w:r w:rsidRPr="00CB683A">
        <w:rPr>
          <w:noProof/>
        </w:rPr>
        <w:lastRenderedPageBreak/>
        <w:t>DŮVODOVÁ ZPRÁVA</w:t>
      </w:r>
    </w:p>
    <w:p w14:paraId="40C35270" w14:textId="77777777" w:rsidR="007F065E" w:rsidRPr="00CB683A" w:rsidRDefault="007F065E" w:rsidP="00FE41E8">
      <w:pPr>
        <w:pStyle w:val="ManualHeading1"/>
        <w:rPr>
          <w:noProof/>
        </w:rPr>
      </w:pPr>
      <w:r w:rsidRPr="00CB683A">
        <w:rPr>
          <w:noProof/>
        </w:rPr>
        <w:t>1.</w:t>
      </w:r>
      <w:r w:rsidRPr="00CB683A">
        <w:rPr>
          <w:noProof/>
        </w:rPr>
        <w:tab/>
        <w:t>SOUVISLOSTI NÁVRHU</w:t>
      </w:r>
    </w:p>
    <w:p w14:paraId="203E790B" w14:textId="77777777" w:rsidR="007F065E" w:rsidRPr="00CB683A" w:rsidRDefault="007F065E" w:rsidP="006B525D">
      <w:pPr>
        <w:pStyle w:val="ManualHeading2"/>
        <w:rPr>
          <w:rFonts w:eastAsia="Arial Unicode MS"/>
          <w:noProof/>
        </w:rPr>
      </w:pPr>
      <w:r w:rsidRPr="00CB683A">
        <w:rPr>
          <w:noProof/>
          <w:color w:val="000000"/>
          <w:u w:color="000000"/>
          <w:bdr w:val="nil"/>
        </w:rPr>
        <w:t>•</w:t>
      </w:r>
      <w:r w:rsidRPr="00CB683A">
        <w:rPr>
          <w:noProof/>
        </w:rPr>
        <w:tab/>
        <w:t>Odůvodnění a cíle návrhu</w:t>
      </w:r>
    </w:p>
    <w:p w14:paraId="17B6531F" w14:textId="77777777" w:rsidR="006B525D" w:rsidRPr="00CB683A" w:rsidRDefault="003A0693" w:rsidP="0037357C">
      <w:pPr>
        <w:rPr>
          <w:noProof/>
        </w:rPr>
      </w:pPr>
      <w:r w:rsidRPr="00CB683A">
        <w:rPr>
          <w:noProof/>
        </w:rPr>
        <w:t>Včasná, spolehlivá, podrobná a srovnatelná evropská statistika je potřebná k rozvoji a naplňování politik a činností ve prospěch EU v oblastech, které spadají do její pravomoci, jak je stanoveno v článcích 2 a 3 Smlouvy o fungování Evropské unie (dále jen „Smlouva o fungování EU“). Komise monitoruje demografickou situaci v EU a předkládá o ní zprávy v souladu s článkem 159 Smlouvy o fungování EU. Orgány EU pak potřebují přesné a srovnatelné údaje o počtu obyvatel pro administrativní a procedurální účely, např. pro hlasování kvalifikovanou většinou v Radě. Tyto statistiky také poskytují základní vstupní údaje pro veřejný výzkum, neboť přinášejí poznatky a informují společnost o vývoji. Odhady počtu obyvatel jsou rovněž nezbytné k získání ukazatelů na obyvatele pro účely statistiky. Statistika o obyvatelstvu poskytuje vstupní údaje pro populační projekce pro dlouhodobé hospodářské a rozpočtové projekce EU a obecně pro hospodářskou a sociální politiku a politiku soudržnosti EU. Je také něčím, s čím se veřejnost může snadno ztotožnit, protože popisuje skutečnosti a události, které se týkají každého jednotlivce.</w:t>
      </w:r>
    </w:p>
    <w:p w14:paraId="489F819C" w14:textId="78DCF17D" w:rsidR="006B525D" w:rsidRPr="00CB683A" w:rsidRDefault="006B525D" w:rsidP="0037357C">
      <w:pPr>
        <w:rPr>
          <w:noProof/>
        </w:rPr>
      </w:pPr>
      <w:r w:rsidRPr="00CB683A">
        <w:rPr>
          <w:noProof/>
        </w:rPr>
        <w:t xml:space="preserve">V souvislosti s touto iniciativou se evropskou statistikou o obyvatelstvu rozumí oficiální statistika na úrovni EU týkající se obyvatelstva, demografických událostí a migrace a různé ukazatele vycházející z těchto statistik. Eurostat zveřejňuje statistiky v těchto oblastech od roku 1960, kdy se uskutečnilo první zjišťování týkající se počtu a </w:t>
      </w:r>
      <w:r w:rsidR="00B96E34" w:rsidRPr="00CB683A">
        <w:rPr>
          <w:noProof/>
        </w:rPr>
        <w:t>struktury</w:t>
      </w:r>
      <w:r w:rsidRPr="00CB683A">
        <w:rPr>
          <w:noProof/>
        </w:rPr>
        <w:t xml:space="preserve"> ekonomicky aktivních obyvatel v tehdejších členských státech. Od té doby se statistiky o obyvatelstvu vytvářejí především na základě výsledků přímých sčítání lidu a interpolace dílčích období s informacemi o změnách počtu obyvatel převzatými z administrativních systémů pro registraci obyvatel (týkající se narození, úmrtí a migrace). Probíhající přechod od tradičních terénních sčítání lidu ke kombinovaným sčítáním, nebo dokonce ke sčítáním založeným na registrech minimalizuje zatížení široké veřejnosti, neboť sestavování těchto statistik vychází především ze zdrojů administrativních údajů. </w:t>
      </w:r>
    </w:p>
    <w:p w14:paraId="2A3C241A" w14:textId="7AF50EB8" w:rsidR="006B525D" w:rsidRPr="00CB683A" w:rsidRDefault="006B525D" w:rsidP="0037357C">
      <w:pPr>
        <w:rPr>
          <w:noProof/>
        </w:rPr>
      </w:pPr>
      <w:r w:rsidRPr="00CB683A">
        <w:rPr>
          <w:noProof/>
        </w:rPr>
        <w:t>Do roku 2007 předávaly členské státy všechny údaje o obyvatelstvu d</w:t>
      </w:r>
      <w:r w:rsidR="00B96E34">
        <w:rPr>
          <w:noProof/>
        </w:rPr>
        <w:t>obrovolně. To vedlo k nejednotnosti</w:t>
      </w:r>
      <w:r w:rsidRPr="00CB683A">
        <w:rPr>
          <w:noProof/>
        </w:rPr>
        <w:t>, neúplnosti nebo zpožděním, jak ukazuje nedávné hodnocení situace</w:t>
      </w:r>
      <w:r w:rsidRPr="00CB683A">
        <w:rPr>
          <w:rStyle w:val="FootnoteReference"/>
          <w:noProof/>
        </w:rPr>
        <w:footnoteReference w:id="1"/>
      </w:r>
      <w:r w:rsidRPr="00CB683A">
        <w:rPr>
          <w:noProof/>
        </w:rPr>
        <w:t>. Článek 338 Smlouvy o fungování EU ukládá normotvůrci povinnost přijmout opatření k tvorbě oficiálních statistik, je-li to nezbytné k provádění politik EU. V současné době vycházejí statistiky o obyvatelstvu z právního rámce přijatého v období 2007 až 2013. Nařízení (ES) č. 862/2007</w:t>
      </w:r>
      <w:r w:rsidRPr="00CB683A">
        <w:rPr>
          <w:rStyle w:val="FootnoteReference"/>
          <w:noProof/>
        </w:rPr>
        <w:footnoteReference w:id="2"/>
      </w:r>
      <w:r w:rsidRPr="00CB683A">
        <w:rPr>
          <w:noProof/>
        </w:rPr>
        <w:t xml:space="preserve"> stanovilo v souladu s akčním plánem na shromažďování a analýzu statistik Společenství v oblasti migrace</w:t>
      </w:r>
      <w:r w:rsidRPr="00CB683A">
        <w:rPr>
          <w:rStyle w:val="FootnoteReference"/>
          <w:noProof/>
        </w:rPr>
        <w:footnoteReference w:id="3"/>
      </w:r>
      <w:r w:rsidRPr="00CB683A">
        <w:rPr>
          <w:noProof/>
        </w:rPr>
        <w:t xml:space="preserve"> požadavky na statistiku o migraci. Článek 3 uvedeného nařízení se týká statistik o přistěhování na území členských států a vystěhování z území členských států</w:t>
      </w:r>
      <w:r w:rsidR="00D106F5">
        <w:rPr>
          <w:noProof/>
        </w:rPr>
        <w:t>,</w:t>
      </w:r>
      <w:r w:rsidRPr="00CB683A">
        <w:rPr>
          <w:noProof/>
        </w:rPr>
        <w:t xml:space="preserve"> včetně toků z území jednoho členského státu na území jiného a toků mezi územím členského státu a územím třetí země, statistik o státním občanství a zemi narození osob s místem obvyklého pobytu na území členských států a statistik o nabývání státního občanství</w:t>
      </w:r>
      <w:r w:rsidRPr="00CB683A">
        <w:rPr>
          <w:rStyle w:val="FootnoteReference"/>
          <w:noProof/>
        </w:rPr>
        <w:footnoteReference w:id="4"/>
      </w:r>
      <w:r w:rsidRPr="00CB683A">
        <w:rPr>
          <w:noProof/>
        </w:rPr>
        <w:t>. Nařízení (ES) č. 763/2008</w:t>
      </w:r>
      <w:r w:rsidRPr="00CB683A">
        <w:rPr>
          <w:rStyle w:val="FootnoteReference"/>
          <w:noProof/>
        </w:rPr>
        <w:footnoteReference w:id="5"/>
      </w:r>
      <w:r w:rsidRPr="00CB683A">
        <w:rPr>
          <w:noProof/>
        </w:rPr>
        <w:t xml:space="preserve"> pak stanovilo společná pravidla pro poskytování souhrnných údajů o sčítání lidu, domů a bytů v EU každých deset let. Tím bylo zajištěno sestavení podrobných údajů o předem stanovených demografických, sociálních a ekonomických charakteristikách, jež se vztahují na osoby, rodiny a domácnosti, jakož i na domy a byty na celostátní, regionální a místní úrovni. A nakonec nařízení (EU) č. 1260/2013</w:t>
      </w:r>
      <w:r w:rsidRPr="00CB683A">
        <w:rPr>
          <w:rStyle w:val="FootnoteReference"/>
          <w:noProof/>
        </w:rPr>
        <w:footnoteReference w:id="6"/>
      </w:r>
      <w:r w:rsidRPr="00CB683A">
        <w:rPr>
          <w:noProof/>
        </w:rPr>
        <w:t xml:space="preserve"> stanovilo společná pravidla pro evropské demografické údaje, včetně požadavků na údaje o stavu obyvatelstva a událostech přirozené měny, jako jsou narození a úmrtí. Nařízení (EU) č. 1260/2013 rovněž ukládá členským státům povinnost poskytnout Komisi (Eurostatu) harmonizované údaje o celkovém počtu obyvatel na národní úrovni, které se použijí jako váhy pro hlasování kvalifikovanou většinou v Radě.</w:t>
      </w:r>
    </w:p>
    <w:p w14:paraId="6041B889" w14:textId="77777777" w:rsidR="007F065E" w:rsidRPr="00CB683A" w:rsidRDefault="004F57E3" w:rsidP="00094CCD">
      <w:pPr>
        <w:rPr>
          <w:noProof/>
        </w:rPr>
      </w:pPr>
      <w:r w:rsidRPr="00CB683A">
        <w:rPr>
          <w:noProof/>
        </w:rPr>
        <w:t>Hodnocení provedené Komisí ukázalo, že současný právní rámec tří výše uvedených aktů celkově výrazně zlepšil evropské statistiky o obyvatelstvu. Výrazně se zvýšila přidaná hodnota EU a byly splněny všechny politické a institucionální potřeby EU v oblasti statistiky o obyvatelstvu. Hodnocení však také odhalilo sníženou – a dále se snižující – relevanci, soudržnost, konzistentnost a srovnatelnost údajů a statistik o obyvatelstvu v jednotlivých členských státech, což má negativní dopad na rozhodování na jejich základě. Proto je zapotřebí nového právního základu, který by poskytl dlouhodobý rámec pro vývoj, jenž je nezbytný pro další harmonizaci evropské statistiky o obyvatelstvu. Uvedený rámec by měl rovněž poskytovat dostatečnou flexibilitu, aby se mohl lépe přizpůsobovat měnícím se politickým potřebám a využívat příležitostí plynoucích z nových zdrojů údajů. Existují také potenciální příležitosti pro administrativní zjednodušení a integraci procesů namísto současného roztříštěného stavu v této oblasti. Tato iniciativa je proto zařazena do pracovního programu Komise na rok 2022 jako iniciativa pro účelnost právních předpisů.</w:t>
      </w:r>
    </w:p>
    <w:p w14:paraId="5451375C" w14:textId="77777777" w:rsidR="00FE41E8" w:rsidRPr="00CB683A" w:rsidRDefault="00FE41E8" w:rsidP="0037357C">
      <w:pPr>
        <w:rPr>
          <w:noProof/>
        </w:rPr>
      </w:pPr>
      <w:r w:rsidRPr="00CB683A">
        <w:rPr>
          <w:noProof/>
        </w:rPr>
        <w:t>Jak hodnocení uznává, statistické údaje o obyvatelstvu EU – včetně demografických a migračních událostí a informací o rodinách, domácnostech a způsobu bydlení – jsou zásadní pro tvorbu politiky založené na faktech. Vysoce kvalitní statistiky týkající se všech členských států jsou zásadní pro mnoho oblastí politiky a politické iniciativy EU. Kromě výše uvedených případů dlouhodobého využití byla ve čtyřech ze šesti priorit Komise na období 2019–2024</w:t>
      </w:r>
      <w:r w:rsidRPr="00CB683A">
        <w:rPr>
          <w:rStyle w:val="FootnoteReference"/>
          <w:noProof/>
        </w:rPr>
        <w:footnoteReference w:id="7"/>
      </w:r>
      <w:r w:rsidRPr="00CB683A">
        <w:rPr>
          <w:noProof/>
        </w:rPr>
        <w:t xml:space="preserve"> identifikována zjevná potřeba specifických statistik EU o obyvatelstvu jako faktických údajů pro tyto politiky: </w:t>
      </w:r>
      <w:r w:rsidRPr="00CB683A">
        <w:rPr>
          <w:i/>
          <w:noProof/>
        </w:rPr>
        <w:t>Zelená dohoda pro Evropu</w:t>
      </w:r>
      <w:r w:rsidRPr="00CB683A">
        <w:rPr>
          <w:noProof/>
        </w:rPr>
        <w:t xml:space="preserve">, </w:t>
      </w:r>
      <w:r w:rsidRPr="00CB683A">
        <w:rPr>
          <w:i/>
          <w:noProof/>
        </w:rPr>
        <w:t>podpora evropského způsobu života</w:t>
      </w:r>
      <w:r w:rsidRPr="00CB683A">
        <w:rPr>
          <w:noProof/>
        </w:rPr>
        <w:t xml:space="preserve">, </w:t>
      </w:r>
      <w:r w:rsidRPr="00CB683A">
        <w:rPr>
          <w:i/>
          <w:noProof/>
        </w:rPr>
        <w:t>nový impuls pro evropskou demokracii</w:t>
      </w:r>
      <w:r w:rsidRPr="00CB683A">
        <w:rPr>
          <w:noProof/>
        </w:rPr>
        <w:t xml:space="preserve"> a </w:t>
      </w:r>
      <w:r w:rsidRPr="00CB683A">
        <w:rPr>
          <w:i/>
          <w:noProof/>
        </w:rPr>
        <w:t>hospodářství ve prospěch lidí</w:t>
      </w:r>
      <w:r w:rsidRPr="00CB683A">
        <w:rPr>
          <w:noProof/>
        </w:rPr>
        <w:t>. V závěrečných návrzích konference o budoucnosti Evropy</w:t>
      </w:r>
      <w:r w:rsidRPr="00CB683A">
        <w:rPr>
          <w:rStyle w:val="FootnoteReference"/>
          <w:noProof/>
        </w:rPr>
        <w:footnoteReference w:id="8"/>
      </w:r>
      <w:r w:rsidRPr="00CB683A">
        <w:rPr>
          <w:noProof/>
        </w:rPr>
        <w:t xml:space="preserve"> bylo poukázáno na to, že je zapotřebí dalšího úsilí EU o shromažďování těchto údajů.</w:t>
      </w:r>
    </w:p>
    <w:p w14:paraId="4AC5AB39" w14:textId="77777777" w:rsidR="00FE41E8" w:rsidRPr="00CB683A" w:rsidRDefault="009245BB" w:rsidP="0037357C">
      <w:pPr>
        <w:rPr>
          <w:noProof/>
        </w:rPr>
      </w:pPr>
      <w:r w:rsidRPr="00CB683A">
        <w:rPr>
          <w:noProof/>
        </w:rPr>
        <w:t>Hodnocení podpořené konzultacemi se zúčastněnými stranami odhalilo v současném statistickém rámci také různé významné nedostatky, zejména nedostatečnou geografickou a statistickou podrobnost a nedostatečnou včasnost a četnost statistických výstupů. Zjištění hodnocení byla podpořena konzultacemi se zúčastněnými stranami, kterých se účastnili institucionální a další profesionální uživatelé na úrovni EU i na jiných úrovních. V posouzení dopadů byly možnosti politiky pro tuto iniciativu hodnoceny z hlediska jejich schopnosti tyto nedostatky odstranit. Tento legislativní návrh vychází z podrobných zjištění hodnocení a posouzení dopadů s cílem vyřešit tyto nedostatky účinným a přiměřeným způsobem.</w:t>
      </w:r>
    </w:p>
    <w:p w14:paraId="1C468BA4" w14:textId="205C8BDF" w:rsidR="00491676" w:rsidRPr="00CB683A" w:rsidRDefault="00491676" w:rsidP="00491676">
      <w:pPr>
        <w:rPr>
          <w:noProof/>
        </w:rPr>
      </w:pPr>
      <w:r w:rsidRPr="00CB683A">
        <w:rPr>
          <w:noProof/>
        </w:rPr>
        <w:t>V roce 2014 zahájila Komise (Eurostat) s podporou národních statistických úřadů členských států modernizaci sociálních statistik, aby vyhovovaly novým statistickým potřebám. To vedlo k přijetí společného právního rámce pro evropské statistiky týkající se osob a domácností založené na individuálních údajích sbíraných na základě výběrových souborů osob a domácností, a to v podobě nařízení (EU) 2019/1700</w:t>
      </w:r>
      <w:r w:rsidRPr="00CB683A">
        <w:rPr>
          <w:rStyle w:val="FootnoteReference"/>
          <w:noProof/>
        </w:rPr>
        <w:footnoteReference w:id="9"/>
      </w:r>
      <w:r w:rsidRPr="00CB683A">
        <w:rPr>
          <w:noProof/>
        </w:rPr>
        <w:t>. Tento rámec je zásadní pro vytvoření pevných základů na evropské úrovni pro sběr údajů na základě výběrových souborů. Tato iniciativa týkající se evropské statistiky o obyvatelstvu je druhým hlavním prvkem zmíněného modernizačního procesu. Včasná podpora této iniciativy na vysoké úrovni v Evropském statistickém systému byla vyjádřena v Budapešťském memorandu z roku 2017</w:t>
      </w:r>
      <w:r w:rsidRPr="00CB683A">
        <w:rPr>
          <w:rStyle w:val="FootnoteReference"/>
          <w:noProof/>
        </w:rPr>
        <w:footnoteReference w:id="10"/>
      </w:r>
      <w:r w:rsidRPr="00CB683A">
        <w:rPr>
          <w:noProof/>
        </w:rPr>
        <w:t xml:space="preserve"> schválením opatření, která mají pružně reagovat na měnící se potřeby, dále harmonizovat pojmy a definice a rozšířit roční sběr údajů</w:t>
      </w:r>
      <w:r w:rsidR="00D106F5">
        <w:rPr>
          <w:noProof/>
        </w:rPr>
        <w:t>,</w:t>
      </w:r>
      <w:r w:rsidRPr="00CB683A">
        <w:rPr>
          <w:noProof/>
        </w:rPr>
        <w:t xml:space="preserve"> včetně údajů o migraci a podrobných geografických údajů.</w:t>
      </w:r>
    </w:p>
    <w:p w14:paraId="5967D590" w14:textId="77777777" w:rsidR="00491676" w:rsidRPr="00CB683A" w:rsidRDefault="006D3836" w:rsidP="00491676">
      <w:pPr>
        <w:rPr>
          <w:noProof/>
        </w:rPr>
      </w:pPr>
      <w:r w:rsidRPr="00CB683A">
        <w:rPr>
          <w:noProof/>
        </w:rPr>
        <w:t>Na základě zjištění hodnocení a posouzení dopadů obsahuje tento legislativní návrh ambiciózní prvky, které mají posílit vazby mezi všemi sociálními statistikami EU založenými na osobách a domácnostech a jejich obecnou konzistentnost. Návrh obsahuje ustanovení, jejichž cílem je vypracovat harmonizovanou definici obyvatelstva založenou na spolehlivých statistických pojmech pro všechny výstupy a usnadnit přístup k dostupným zdrojům údajů, které zlepší procesy tvorby a obecnou kvalitu sociálních statistik. Návrh rovněž obsahuje ustanovení, která mají více sladit statistiku o obyvatelstvu a mezinárodní migraci se statistikou správních a soudních událostí týkajících se azylu, legální a nelegální migrace podle článků 4, 5, 6 a 7 nařízení (ES) č. 862/2007.</w:t>
      </w:r>
    </w:p>
    <w:p w14:paraId="7F78DDFC" w14:textId="77777777" w:rsidR="00491676" w:rsidRPr="00CB683A" w:rsidRDefault="00491676" w:rsidP="0037357C">
      <w:pPr>
        <w:rPr>
          <w:noProof/>
        </w:rPr>
      </w:pPr>
    </w:p>
    <w:p w14:paraId="5AE9033B" w14:textId="77777777" w:rsidR="007F065E" w:rsidRPr="00CB683A" w:rsidRDefault="007F065E" w:rsidP="00FE41E8">
      <w:pPr>
        <w:pStyle w:val="ManualHeading1"/>
        <w:rPr>
          <w:noProof/>
        </w:rPr>
      </w:pPr>
      <w:r w:rsidRPr="00CB683A">
        <w:rPr>
          <w:noProof/>
        </w:rPr>
        <w:t>2.</w:t>
      </w:r>
      <w:r w:rsidRPr="00CB683A">
        <w:rPr>
          <w:noProof/>
        </w:rPr>
        <w:tab/>
        <w:t>PRÁVNÍ ZÁKLAD, SUBSIDIARITA A PROPORCIONALITA</w:t>
      </w:r>
    </w:p>
    <w:p w14:paraId="382DE3D9" w14:textId="77777777" w:rsidR="007F065E" w:rsidRPr="00CB683A" w:rsidRDefault="007F065E" w:rsidP="00CF4E2D">
      <w:pPr>
        <w:pStyle w:val="ManualHeading2"/>
        <w:rPr>
          <w:rFonts w:eastAsia="Arial Unicode MS"/>
          <w:noProof/>
          <w:u w:color="000000"/>
          <w:bdr w:val="nil"/>
        </w:rPr>
      </w:pPr>
      <w:r w:rsidRPr="00CB683A">
        <w:rPr>
          <w:noProof/>
          <w:u w:color="000000"/>
          <w:bdr w:val="nil"/>
        </w:rPr>
        <w:t>•</w:t>
      </w:r>
      <w:r w:rsidRPr="00CB683A">
        <w:rPr>
          <w:noProof/>
        </w:rPr>
        <w:tab/>
      </w:r>
      <w:r w:rsidRPr="00CB683A">
        <w:rPr>
          <w:noProof/>
          <w:u w:color="000000"/>
          <w:bdr w:val="nil"/>
        </w:rPr>
        <w:t>Právní základ</w:t>
      </w:r>
    </w:p>
    <w:p w14:paraId="538AC782" w14:textId="77777777" w:rsidR="00CF4E2D" w:rsidRPr="00CB683A" w:rsidRDefault="00CF4E2D" w:rsidP="00CF4E2D">
      <w:pPr>
        <w:pBdr>
          <w:top w:val="nil"/>
          <w:left w:val="nil"/>
          <w:bottom w:val="nil"/>
          <w:right w:val="nil"/>
          <w:between w:val="nil"/>
          <w:bar w:val="nil"/>
        </w:pBdr>
        <w:spacing w:before="0" w:after="240"/>
        <w:rPr>
          <w:noProof/>
        </w:rPr>
      </w:pPr>
      <w:r w:rsidRPr="00CB683A">
        <w:rPr>
          <w:noProof/>
          <w:sz w:val="23"/>
        </w:rPr>
        <w:t>Právním základem tohoto návrhu je čl. 338 odst. 1 Smlouvy o fungování EU</w:t>
      </w:r>
      <w:r w:rsidRPr="00CB683A">
        <w:rPr>
          <w:noProof/>
        </w:rPr>
        <w:t>, který stanoví právní základ pro evropskou statistiku. Opatření k vypracování statistik přijímají řádným legislativním postupem Evropský parlament a Rada, jestliže jsou tyto statistiky nezbytné pro činnost EU. Článek 338 stanoví požadavky na vypracování evropské statistiky, když uvádí, že musí splňovat zásady nestrannosti, spolehlivosti, objektivity, vědecké nezávislosti, hospodárnosti výdajů a důvěrnosti statistických informací, aniž by nadměrně zatěžovaly podniky, orgány nebo veřejnost</w:t>
      </w:r>
      <w:r w:rsidRPr="00CB683A">
        <w:rPr>
          <w:noProof/>
          <w:sz w:val="23"/>
        </w:rPr>
        <w:t xml:space="preserve">. </w:t>
      </w:r>
    </w:p>
    <w:p w14:paraId="0E14B19A" w14:textId="77777777" w:rsidR="007F065E" w:rsidRPr="00CB683A" w:rsidRDefault="007F065E" w:rsidP="00CF4E2D">
      <w:pPr>
        <w:pStyle w:val="ManualHeading2"/>
        <w:rPr>
          <w:rFonts w:eastAsia="Arial Unicode MS"/>
          <w:noProof/>
          <w:u w:color="000000"/>
          <w:bdr w:val="nil"/>
        </w:rPr>
      </w:pPr>
      <w:r w:rsidRPr="00CB683A">
        <w:rPr>
          <w:noProof/>
          <w:u w:color="000000"/>
          <w:bdr w:val="nil"/>
        </w:rPr>
        <w:t>•</w:t>
      </w:r>
      <w:r w:rsidRPr="00CB683A">
        <w:rPr>
          <w:noProof/>
        </w:rPr>
        <w:tab/>
      </w:r>
      <w:r w:rsidRPr="00CB683A">
        <w:rPr>
          <w:noProof/>
          <w:u w:color="000000"/>
          <w:bdr w:val="nil"/>
        </w:rPr>
        <w:t xml:space="preserve">Subsidiarita (v případě nevýlučné pravomoci) </w:t>
      </w:r>
    </w:p>
    <w:p w14:paraId="4AEE1F96" w14:textId="77777777" w:rsidR="00CF4E2D" w:rsidRPr="00CB683A" w:rsidRDefault="00CF4E2D" w:rsidP="00CF4E2D">
      <w:pPr>
        <w:pBdr>
          <w:top w:val="nil"/>
          <w:left w:val="nil"/>
          <w:bottom w:val="nil"/>
          <w:right w:val="nil"/>
          <w:between w:val="nil"/>
          <w:bar w:val="nil"/>
        </w:pBdr>
        <w:tabs>
          <w:tab w:val="left" w:pos="720"/>
        </w:tabs>
        <w:spacing w:before="0" w:after="240"/>
        <w:rPr>
          <w:rFonts w:eastAsia="Arial Unicode MS"/>
          <w:noProof/>
        </w:rPr>
      </w:pPr>
      <w:r w:rsidRPr="00CB683A">
        <w:rPr>
          <w:noProof/>
        </w:rPr>
        <w:t xml:space="preserve">ESS zajišťuje infrastrukturu pro statistické informace. Systém je koncipován tak, aby naplňoval potřeby nejrůznějších uživatelů v demokratických společnostech. </w:t>
      </w:r>
    </w:p>
    <w:p w14:paraId="2C3E91A3" w14:textId="2CA1C891" w:rsidR="00CF4E2D" w:rsidRPr="00CB683A" w:rsidRDefault="00CF4E2D" w:rsidP="00CF4E2D">
      <w:pPr>
        <w:pBdr>
          <w:top w:val="nil"/>
          <w:left w:val="nil"/>
          <w:bottom w:val="nil"/>
          <w:right w:val="nil"/>
          <w:between w:val="nil"/>
          <w:bar w:val="nil"/>
        </w:pBdr>
        <w:tabs>
          <w:tab w:val="left" w:pos="720"/>
        </w:tabs>
        <w:spacing w:before="0" w:after="240"/>
        <w:rPr>
          <w:rFonts w:eastAsia="Arial Unicode MS"/>
          <w:noProof/>
        </w:rPr>
      </w:pPr>
      <w:r w:rsidRPr="00CB683A">
        <w:rPr>
          <w:noProof/>
        </w:rPr>
        <w:t>Jedním z hlavních kritérií kvality, která musí evropské statistiky splňovat, je konzistentnost a srovnatelnost. Srovnatelnost je pro sta</w:t>
      </w:r>
      <w:r w:rsidR="003745E4">
        <w:rPr>
          <w:noProof/>
        </w:rPr>
        <w:t>tistiku o obyvatelstvu, domech a bytech</w:t>
      </w:r>
      <w:r w:rsidRPr="00CB683A">
        <w:rPr>
          <w:noProof/>
        </w:rPr>
        <w:t xml:space="preserve"> velmi důležitá, protože hraje zásadní roli při podpoře hospodářských a sociálních politik a politik soudržnosti založených na faktech. Nezbytné konzistentnosti a srovnatelnosti nemohou členské státy dosáhnout bez jasného evropského rámce v podobě právních předpisů EU, které stanoví společné statistické pojmy, formáty vykazování a požadavky na kvalitu. </w:t>
      </w:r>
    </w:p>
    <w:p w14:paraId="7765F360" w14:textId="77777777" w:rsidR="00CF4E2D" w:rsidRPr="00CB683A" w:rsidRDefault="00CF4E2D" w:rsidP="00CF4E2D">
      <w:pPr>
        <w:pBdr>
          <w:top w:val="nil"/>
          <w:left w:val="nil"/>
          <w:bottom w:val="nil"/>
          <w:right w:val="nil"/>
          <w:between w:val="nil"/>
          <w:bar w:val="nil"/>
        </w:pBdr>
        <w:tabs>
          <w:tab w:val="left" w:pos="720"/>
        </w:tabs>
        <w:spacing w:before="0" w:after="240"/>
        <w:rPr>
          <w:rFonts w:eastAsia="Arial Unicode MS"/>
          <w:noProof/>
        </w:rPr>
      </w:pPr>
      <w:r w:rsidRPr="00CB683A">
        <w:rPr>
          <w:noProof/>
        </w:rPr>
        <w:t>Cíle navrhovaného opatření nemůže být uspokojivě dosaženo na úrovni samostatně jednajících členských států. Příslušné kroky lze účinněji provést na úrovni EU, a to prostřednictvím právního aktu Unie, který zajistí srovnatelnost statistických informací ve statistických oblastech, na které se navrhovaný akt vztahuje. Vlastní sběr údajů mohou provádět členské státy.</w:t>
      </w:r>
    </w:p>
    <w:p w14:paraId="1D36AFED" w14:textId="77777777" w:rsidR="007F065E" w:rsidRPr="00CB683A" w:rsidRDefault="007F065E" w:rsidP="00FE41E8">
      <w:pPr>
        <w:pStyle w:val="ManualHeading2"/>
        <w:rPr>
          <w:rFonts w:eastAsia="Arial Unicode MS"/>
          <w:noProof/>
          <w:u w:color="000000"/>
          <w:bdr w:val="nil"/>
        </w:rPr>
      </w:pPr>
      <w:r w:rsidRPr="00CB683A">
        <w:rPr>
          <w:noProof/>
          <w:u w:color="000000"/>
          <w:bdr w:val="nil"/>
        </w:rPr>
        <w:t>•</w:t>
      </w:r>
      <w:r w:rsidRPr="00CB683A">
        <w:rPr>
          <w:noProof/>
        </w:rPr>
        <w:tab/>
      </w:r>
      <w:r w:rsidRPr="00CB683A">
        <w:rPr>
          <w:noProof/>
          <w:u w:color="000000"/>
          <w:bdr w:val="nil"/>
        </w:rPr>
        <w:t>Proporcionalita</w:t>
      </w:r>
    </w:p>
    <w:p w14:paraId="5607C8ED" w14:textId="77777777" w:rsidR="00CF4E2D" w:rsidRPr="00CB683A" w:rsidRDefault="00CF4E2D" w:rsidP="00CF4E2D">
      <w:pPr>
        <w:tabs>
          <w:tab w:val="left" w:pos="720"/>
        </w:tabs>
        <w:rPr>
          <w:rFonts w:eastAsia="Calibri"/>
          <w:noProof/>
          <w:szCs w:val="24"/>
        </w:rPr>
      </w:pPr>
      <w:r w:rsidRPr="00CB683A">
        <w:rPr>
          <w:noProof/>
        </w:rPr>
        <w:t>Návrh je v souladu se zásadou proporcionality tímto způsobem.</w:t>
      </w:r>
    </w:p>
    <w:p w14:paraId="03B3FDEC" w14:textId="09695D20" w:rsidR="00CF4E2D" w:rsidRPr="00CB683A" w:rsidRDefault="00CF4E2D" w:rsidP="00CF4E2D">
      <w:pPr>
        <w:tabs>
          <w:tab w:val="left" w:pos="720"/>
        </w:tabs>
        <w:rPr>
          <w:rFonts w:eastAsia="Arial Unicode MS"/>
          <w:noProof/>
        </w:rPr>
      </w:pPr>
      <w:r w:rsidRPr="00CB683A">
        <w:rPr>
          <w:noProof/>
        </w:rPr>
        <w:t>Zajistí kvalitu a srovnatelnost evropských statistik o obyvatelstvu</w:t>
      </w:r>
      <w:r w:rsidR="003745E4">
        <w:rPr>
          <w:noProof/>
        </w:rPr>
        <w:t>, domech a bytech</w:t>
      </w:r>
      <w:r w:rsidRPr="00CB683A">
        <w:rPr>
          <w:noProof/>
        </w:rPr>
        <w:t xml:space="preserve"> sbíraných a sestavovaných při použití stejných zásad napříč členskými státy. Rovněž zajistí, aby evr</w:t>
      </w:r>
      <w:r w:rsidR="003745E4">
        <w:rPr>
          <w:noProof/>
        </w:rPr>
        <w:t>opská statistika o obyvatelstvu, domech a bytech</w:t>
      </w:r>
      <w:r w:rsidR="003745E4" w:rsidRPr="00CB683A">
        <w:rPr>
          <w:noProof/>
        </w:rPr>
        <w:t xml:space="preserve"> </w:t>
      </w:r>
      <w:r w:rsidRPr="00CB683A">
        <w:rPr>
          <w:noProof/>
        </w:rPr>
        <w:t>zůstala relevantní a byla přizpůsobena tak, aby odpovídala potřebám uživatelů. Nařízením se tvorba statistik nákladově zefektivní a zároveň se zohlední specifičnost statistických systémů jednotlivých členských států.</w:t>
      </w:r>
    </w:p>
    <w:p w14:paraId="2B2107B3" w14:textId="77777777" w:rsidR="00CF4E2D" w:rsidRPr="00CB683A" w:rsidRDefault="00CF4E2D" w:rsidP="00CF4E2D">
      <w:pPr>
        <w:tabs>
          <w:tab w:val="left" w:pos="720"/>
        </w:tabs>
        <w:rPr>
          <w:rFonts w:eastAsia="Calibri"/>
          <w:noProof/>
          <w:szCs w:val="24"/>
        </w:rPr>
      </w:pPr>
      <w:r w:rsidRPr="00CB683A">
        <w:rPr>
          <w:noProof/>
        </w:rPr>
        <w:t xml:space="preserve">V souladu se zásadou proporcionality se navrhované nařízení omezuje na míru nezbytně nutnou k dosažení svého cíle a nepřekračuje rámec toho, co je pro tento účel nezbytné. </w:t>
      </w:r>
    </w:p>
    <w:p w14:paraId="2D312403" w14:textId="77777777" w:rsidR="007F065E" w:rsidRPr="00CB683A" w:rsidRDefault="007F065E" w:rsidP="00CF4E2D">
      <w:pPr>
        <w:pStyle w:val="ManualHeading2"/>
        <w:rPr>
          <w:rFonts w:eastAsia="Arial Unicode MS"/>
          <w:noProof/>
          <w:u w:color="000000"/>
          <w:bdr w:val="nil"/>
        </w:rPr>
      </w:pPr>
      <w:r w:rsidRPr="00CB683A">
        <w:rPr>
          <w:noProof/>
          <w:u w:color="000000"/>
          <w:bdr w:val="nil"/>
        </w:rPr>
        <w:t>•</w:t>
      </w:r>
      <w:r w:rsidRPr="00CB683A">
        <w:rPr>
          <w:noProof/>
        </w:rPr>
        <w:tab/>
      </w:r>
      <w:r w:rsidRPr="00CB683A">
        <w:rPr>
          <w:noProof/>
          <w:u w:color="000000"/>
          <w:bdr w:val="nil"/>
        </w:rPr>
        <w:t>Volba nástroje</w:t>
      </w:r>
    </w:p>
    <w:p w14:paraId="513F5397" w14:textId="77777777" w:rsidR="00CF4E2D" w:rsidRPr="00CB683A" w:rsidRDefault="00CF4E2D" w:rsidP="00CF4E2D">
      <w:pPr>
        <w:pBdr>
          <w:top w:val="nil"/>
          <w:left w:val="nil"/>
          <w:bottom w:val="nil"/>
          <w:right w:val="nil"/>
          <w:between w:val="nil"/>
          <w:bar w:val="nil"/>
        </w:pBdr>
        <w:tabs>
          <w:tab w:val="left" w:pos="720"/>
        </w:tabs>
        <w:spacing w:before="0" w:after="240"/>
        <w:rPr>
          <w:rFonts w:eastAsia="Arial Unicode MS"/>
          <w:noProof/>
        </w:rPr>
      </w:pPr>
      <w:r w:rsidRPr="00CB683A">
        <w:rPr>
          <w:noProof/>
        </w:rPr>
        <w:t>Navrhovaný nástroj: nařízení.</w:t>
      </w:r>
    </w:p>
    <w:p w14:paraId="0576B328" w14:textId="2F72B4A4" w:rsidR="00CF4E2D" w:rsidRPr="00CB683A" w:rsidRDefault="00CF4E2D" w:rsidP="00CF4E2D">
      <w:pPr>
        <w:pBdr>
          <w:top w:val="nil"/>
          <w:left w:val="nil"/>
          <w:bottom w:val="nil"/>
          <w:right w:val="nil"/>
          <w:between w:val="nil"/>
          <w:bar w:val="nil"/>
        </w:pBdr>
        <w:tabs>
          <w:tab w:val="left" w:pos="720"/>
        </w:tabs>
        <w:spacing w:before="0" w:after="240"/>
        <w:rPr>
          <w:rFonts w:eastAsia="Calibri"/>
          <w:noProof/>
        </w:rPr>
      </w:pPr>
      <w:r w:rsidRPr="00CB683A">
        <w:rPr>
          <w:noProof/>
        </w:rPr>
        <w:t>Vzhledem k cílům a obsahu návrhu je nejvhodnějším nástrojem nařízení. Významné politiky EU, jako je hospodářská a sociální politika a politika soudržnosti, ze své podstaty závisí na srovnatelné, harmonizované a vysoce kvalitní evropské statistice o obyvatelstvu</w:t>
      </w:r>
      <w:r w:rsidR="00B357C4">
        <w:rPr>
          <w:noProof/>
        </w:rPr>
        <w:t>, domech a bytech</w:t>
      </w:r>
      <w:r w:rsidRPr="00CB683A">
        <w:rPr>
          <w:noProof/>
        </w:rPr>
        <w:t xml:space="preserve">. Tu lze nejlépe zajistit prostřednictvím nařízení, která jsou přímo použitelná v členských státech, a proto nevyžadují prvotní provedení ve vnitrostátním právu. </w:t>
      </w:r>
    </w:p>
    <w:p w14:paraId="35C3BD34" w14:textId="77777777" w:rsidR="007F065E" w:rsidRPr="00CB683A" w:rsidRDefault="007F065E" w:rsidP="00FE41E8">
      <w:pPr>
        <w:pStyle w:val="ManualHeading1"/>
        <w:rPr>
          <w:noProof/>
        </w:rPr>
      </w:pPr>
      <w:r w:rsidRPr="00CB683A">
        <w:rPr>
          <w:noProof/>
        </w:rPr>
        <w:t>3.</w:t>
      </w:r>
      <w:r w:rsidRPr="00CB683A">
        <w:rPr>
          <w:noProof/>
        </w:rPr>
        <w:tab/>
        <w:t xml:space="preserve">VÝSLEDKY HODNOCENÍ </w:t>
      </w:r>
      <w:r w:rsidRPr="00CB683A">
        <w:rPr>
          <w:i/>
          <w:noProof/>
        </w:rPr>
        <w:t>EX POST</w:t>
      </w:r>
      <w:r w:rsidRPr="00CB683A">
        <w:rPr>
          <w:noProof/>
        </w:rPr>
        <w:t>, KONZULTACÍ SE ZÚČASTNĚNÝMI STRANAMI A POSOUZENÍ DOPADŮ</w:t>
      </w:r>
    </w:p>
    <w:p w14:paraId="313E4C28" w14:textId="77777777" w:rsidR="007F065E" w:rsidRPr="00CB683A" w:rsidRDefault="007F065E" w:rsidP="00AD5824">
      <w:pPr>
        <w:pStyle w:val="ManualHeading2"/>
        <w:rPr>
          <w:rFonts w:eastAsia="Arial Unicode MS"/>
          <w:noProof/>
          <w:u w:color="000000"/>
          <w:bdr w:val="nil"/>
        </w:rPr>
      </w:pPr>
      <w:r w:rsidRPr="00CB683A">
        <w:rPr>
          <w:noProof/>
          <w:u w:color="000000"/>
          <w:bdr w:val="nil"/>
        </w:rPr>
        <w:t>•</w:t>
      </w:r>
      <w:r w:rsidRPr="00CB683A">
        <w:rPr>
          <w:noProof/>
        </w:rPr>
        <w:tab/>
      </w:r>
      <w:r w:rsidRPr="00CB683A">
        <w:rPr>
          <w:noProof/>
          <w:u w:color="000000"/>
          <w:bdr w:val="nil"/>
        </w:rPr>
        <w:t xml:space="preserve">Hodnocení </w:t>
      </w:r>
      <w:r w:rsidRPr="00CB683A">
        <w:rPr>
          <w:i/>
          <w:noProof/>
          <w:u w:color="000000"/>
          <w:bdr w:val="nil"/>
        </w:rPr>
        <w:t>ex post</w:t>
      </w:r>
      <w:r w:rsidRPr="00CB683A">
        <w:rPr>
          <w:noProof/>
          <w:u w:color="000000"/>
          <w:bdr w:val="nil"/>
        </w:rPr>
        <w:t xml:space="preserve"> / kontroly účelnosti platných právních předpisů</w:t>
      </w:r>
    </w:p>
    <w:p w14:paraId="3DFC7352" w14:textId="77777777" w:rsidR="00BF3835" w:rsidRPr="00CB683A" w:rsidRDefault="0076517D" w:rsidP="00BF3835">
      <w:pPr>
        <w:rPr>
          <w:noProof/>
        </w:rPr>
      </w:pPr>
      <w:r w:rsidRPr="00CB683A">
        <w:rPr>
          <w:noProof/>
        </w:rPr>
        <w:t>Jako součást této iniciativy Komise vyhodnotila stávající právní rámec pro evropskou statistiku o obyvatelstvu, který tvoří nařízení (ES) č. 763/2008 a (EU) č. 1260/2013 a článek 3 nařízení (ES) č. 862/2007 a jejich prováděcí opatření. Pozitivní je, že tento současný právní rámec celkově výrazně zlepšil evropskou statistiku o obyvatelstvu. Například se výrazně zvýšila přidaná hodnota EU a byly splněny všechny aktuální potřeby politiky/orgánů EU v oblasti statistiky o obyvatelstvu, které byly známy před předchozím zásahem (přibližně v roce 2005). Současný právní rámec má však tyto čtyři nedostatky.</w:t>
      </w:r>
    </w:p>
    <w:p w14:paraId="18E0F3FF" w14:textId="77777777" w:rsidR="0076517D" w:rsidRPr="00CB683A" w:rsidRDefault="00CA0B10" w:rsidP="000234CC">
      <w:pPr>
        <w:rPr>
          <w:noProof/>
        </w:rPr>
      </w:pPr>
      <w:r w:rsidRPr="00CB683A">
        <w:rPr>
          <w:noProof/>
        </w:rPr>
        <w:t xml:space="preserve">Jedním z nedostatků současného právního rámce je, že </w:t>
      </w:r>
      <w:r w:rsidRPr="00CB683A">
        <w:rPr>
          <w:b/>
          <w:noProof/>
        </w:rPr>
        <w:t>plně nezajišťuje dostatečně soudržnou, srovnatelnou a úplnou statistiku</w:t>
      </w:r>
      <w:r w:rsidRPr="00CB683A">
        <w:rPr>
          <w:noProof/>
        </w:rPr>
        <w:t>.</w:t>
      </w:r>
    </w:p>
    <w:p w14:paraId="08FD4400" w14:textId="77777777" w:rsidR="0076517D" w:rsidRPr="00CB683A" w:rsidRDefault="0076517D" w:rsidP="0037357C">
      <w:pPr>
        <w:rPr>
          <w:noProof/>
          <w:szCs w:val="24"/>
        </w:rPr>
      </w:pPr>
      <w:r w:rsidRPr="00CB683A">
        <w:rPr>
          <w:noProof/>
        </w:rPr>
        <w:t xml:space="preserve">I když rámec obsahuje společné definice klíčových statistických pojmů, členské státy tyto definice často uplatňují flexibilně. Zejména používají tři koncepčně odlišné definice populační základny (místo obvyklého pobytu, ohlášený pobyt, oprávněný pobyt), které jsou povoleny, přičemž někdy používají různé definice pro různé soubory údajů. Tím se snížila srovnatelnost a soudržnost statistických údajů o obyvatelstvu z různých členských států, a to na úkor přidané hodnoty EU, pokud jde o sbírané údaje. </w:t>
      </w:r>
    </w:p>
    <w:p w14:paraId="7726569D" w14:textId="08F6A66C" w:rsidR="00BF3835" w:rsidRPr="00CB683A" w:rsidRDefault="0076517D" w:rsidP="0037357C">
      <w:pPr>
        <w:rPr>
          <w:noProof/>
          <w:szCs w:val="24"/>
        </w:rPr>
      </w:pPr>
      <w:r w:rsidRPr="00CB683A">
        <w:rPr>
          <w:noProof/>
        </w:rPr>
        <w:t xml:space="preserve">Některé mezery v údajích jsou v současné době </w:t>
      </w:r>
      <w:r w:rsidR="00424A74" w:rsidRPr="00CB683A">
        <w:rPr>
          <w:noProof/>
        </w:rPr>
        <w:t xml:space="preserve">vyplňovány pomocí údajů, které </w:t>
      </w:r>
      <w:r w:rsidRPr="00CB683A">
        <w:rPr>
          <w:noProof/>
        </w:rPr>
        <w:t>členské státy poskytují dobrovolně. Výsledkem jsou neúplné statistiky na úrovni EU, které nemusí být soudržné s povinnými statistikami. Dobrovolné statistiky jsou tudíž z hlediska přidané hodnoty EU méně nákladově efektivní, a proto je nutné a důležité, aby byly v budoucnu povinné. Dobrovolné sběry mohou být zpočátku užitečné při vytváření nových statistik, ale pro jejich plné zavedení jako oficiálních evropských statistik je nutný jasný právní základ.</w:t>
      </w:r>
    </w:p>
    <w:p w14:paraId="14D5C218" w14:textId="77777777" w:rsidR="0076517D" w:rsidRPr="00CB683A" w:rsidRDefault="00BF3835" w:rsidP="0001057C">
      <w:pPr>
        <w:rPr>
          <w:noProof/>
        </w:rPr>
      </w:pPr>
      <w:r w:rsidRPr="00CB683A">
        <w:rPr>
          <w:noProof/>
        </w:rPr>
        <w:t xml:space="preserve">Dalším nedostatkem současného právního rámce je, že </w:t>
      </w:r>
      <w:r w:rsidRPr="00CB683A">
        <w:rPr>
          <w:b/>
          <w:noProof/>
        </w:rPr>
        <w:t>nezajišťuje dostatečnou dostupnost údajů o obyvatelstvu, pokud jde o včasnost a četnost zveřejňování údajů</w:t>
      </w:r>
      <w:r w:rsidRPr="00CB683A">
        <w:rPr>
          <w:noProof/>
        </w:rPr>
        <w:t>.</w:t>
      </w:r>
    </w:p>
    <w:p w14:paraId="6783CC56" w14:textId="7372503B" w:rsidR="00707E7A" w:rsidRPr="00CB683A" w:rsidRDefault="0076517D" w:rsidP="0037357C">
      <w:pPr>
        <w:rPr>
          <w:noProof/>
          <w:szCs w:val="24"/>
        </w:rPr>
      </w:pPr>
      <w:r w:rsidRPr="00CB683A">
        <w:rPr>
          <w:noProof/>
        </w:rPr>
        <w:t>Stávající právní předpisy se vztahují pouze na roční demografické statistiky a statistiky o migraci. Podle stávajících právních předpisů se většina souborů ročních údajů poskytuje pouze do dvanácti měsíců od konce referenčního období a zároveň soubory údajů ze sčítání prováděného jednou za deset let se poskytují pouze do 27 měsíců od konce roku sčítání. Tato četnost a příslušné lhůty nesplňují očekávání uživatelů a ve většině členských států neodpovídají zveřejnění národních statistik ani jiným předáváním mezinárodních statistik. Podle stávajících právních předpisů nelze zlepšit zákonné lhůty a četnost, například tak, aby se vztahovaly na další víceleté statistiky o obyvatelstvu</w:t>
      </w:r>
      <w:r w:rsidR="00B357C4">
        <w:rPr>
          <w:noProof/>
        </w:rPr>
        <w:t>, domech a bytech</w:t>
      </w:r>
      <w:r w:rsidRPr="00CB683A">
        <w:rPr>
          <w:noProof/>
        </w:rPr>
        <w:t xml:space="preserve"> nebo krátkodobé statistiky do jednoho roku týkající se obyvatelstva (tj. sestavované více než jednou v daném roce), jako jsou nedávno vypracované statistiky o nadúmrtnosti v souvislosti s onemocněním COVID-19.</w:t>
      </w:r>
    </w:p>
    <w:p w14:paraId="4642F33B" w14:textId="77777777" w:rsidR="0076517D" w:rsidRPr="00CB683A" w:rsidRDefault="00707E7A" w:rsidP="0037357C">
      <w:pPr>
        <w:rPr>
          <w:noProof/>
          <w:szCs w:val="24"/>
        </w:rPr>
      </w:pPr>
      <w:r w:rsidRPr="00CB683A">
        <w:rPr>
          <w:noProof/>
        </w:rPr>
        <w:t xml:space="preserve">Dalším nedostatkem je, že rámec </w:t>
      </w:r>
      <w:r w:rsidRPr="00CB683A">
        <w:rPr>
          <w:b/>
          <w:noProof/>
        </w:rPr>
        <w:t>nezachycuje charakteristiky a podrobné údaje témat nebo skupin obyvatelstva, které se staly politicky a společensky relevantními</w:t>
      </w:r>
      <w:r w:rsidRPr="00CB683A">
        <w:rPr>
          <w:noProof/>
        </w:rPr>
        <w:t xml:space="preserve"> v posledním desetiletí. </w:t>
      </w:r>
    </w:p>
    <w:p w14:paraId="1179FF2B" w14:textId="77777777" w:rsidR="0076517D" w:rsidRPr="00CB683A" w:rsidRDefault="00640092" w:rsidP="0037357C">
      <w:pPr>
        <w:rPr>
          <w:noProof/>
          <w:szCs w:val="24"/>
        </w:rPr>
      </w:pPr>
      <w:r w:rsidRPr="00CB683A">
        <w:rPr>
          <w:noProof/>
        </w:rPr>
        <w:t>Důvodem je skutečnost, že</w:t>
      </w:r>
      <w:r w:rsidRPr="00CB683A">
        <w:rPr>
          <w:b/>
          <w:noProof/>
        </w:rPr>
        <w:t xml:space="preserve"> </w:t>
      </w:r>
      <w:r w:rsidRPr="00CB683A">
        <w:rPr>
          <w:noProof/>
        </w:rPr>
        <w:t>stávající právní předpisy se zaměřují na potřeby údajů pro politické priority v době, kdy byly zmíněné právní předpisy vytvořeny. V průběhu času se priority změnily, což vedlo k tomu, že dostupné statistiky o obyvatelstvu již řádně nepokrývají charakteristiky, témata nebo skupiny obyvatelstva důležité pro politiku. Nedostatky zjištěné při konzultacích se zúčastněnými stranami se týkají zejména charakteristik politicky relevantních témat a skupin. Mezi příklady patří údaje o bydlení pro Zelenou dohodu pro Evropu, o migrantech a mobilitě v EU, městském/venkovském obyvatelstvu a o zranitelných menšinách. Existují také nedostatky týkající se nedostatečné granularity geografických statistik, včetně funkčních typologií a georeferenčních údajů pro integraci měst a venkova a přeshraniční analýzu.</w:t>
      </w:r>
    </w:p>
    <w:p w14:paraId="103EDB35" w14:textId="77777777" w:rsidR="00E82263" w:rsidRPr="00CB683A" w:rsidRDefault="00E82263" w:rsidP="0037357C">
      <w:pPr>
        <w:rPr>
          <w:noProof/>
          <w:szCs w:val="24"/>
        </w:rPr>
      </w:pPr>
      <w:r w:rsidRPr="00CB683A">
        <w:rPr>
          <w:noProof/>
        </w:rPr>
        <w:t xml:space="preserve">A konečně rámec </w:t>
      </w:r>
      <w:r w:rsidRPr="00CB683A">
        <w:rPr>
          <w:b/>
          <w:noProof/>
        </w:rPr>
        <w:t>není dostatečně pružný, aby se mohl přizpůsobit</w:t>
      </w:r>
      <w:r w:rsidRPr="00CB683A">
        <w:rPr>
          <w:noProof/>
        </w:rPr>
        <w:t xml:space="preserve"> měnícím se politickým potřebám nebo aby umožnil členským státům nebo EU využívat nové zdroje.</w:t>
      </w:r>
    </w:p>
    <w:p w14:paraId="566C37C6" w14:textId="66EAA52C" w:rsidR="0076517D" w:rsidRPr="00CB683A" w:rsidRDefault="00E82263" w:rsidP="0037357C">
      <w:pPr>
        <w:rPr>
          <w:noProof/>
          <w:szCs w:val="24"/>
        </w:rPr>
      </w:pPr>
      <w:r w:rsidRPr="00CB683A">
        <w:rPr>
          <w:noProof/>
        </w:rPr>
        <w:t>Je to proto, že stávající právní předpisy nejsou dostatečně pružné, aby mu umožnily přizpůsobit se novým statistickým potřebám. Nové zdroje údajů v členských státech a na úrovni EU (zejména administrativní údaje</w:t>
      </w:r>
      <w:r w:rsidR="00D106F5">
        <w:rPr>
          <w:noProof/>
        </w:rPr>
        <w:t>,</w:t>
      </w:r>
      <w:r w:rsidRPr="00CB683A">
        <w:rPr>
          <w:noProof/>
        </w:rPr>
        <w:t xml:space="preserve"> včetně systémů interoperability a údajů v držení soukromých subjektů) nabízejí potenciální zlepšení nákladů a včasnosti, ale stávající právní předpisy jejich přijetí nepodporují.</w:t>
      </w:r>
    </w:p>
    <w:p w14:paraId="10A497A0" w14:textId="77777777" w:rsidR="0076517D" w:rsidRPr="00CB683A" w:rsidRDefault="0076517D" w:rsidP="0037357C">
      <w:pPr>
        <w:rPr>
          <w:noProof/>
        </w:rPr>
      </w:pPr>
      <w:r w:rsidRPr="00CB683A">
        <w:rPr>
          <w:noProof/>
        </w:rPr>
        <w:t>V neposlední řadě byly v rámci hodnocení zjištěny nadbytečné prvky související s programem REFIT, pokud jde o dodržování, prosazování a monitorování. Důvodem je rozdělení stávajících právních předpisů do tří právních aktů, které nebyly vypracovány společně. Současná situace, kdy členské státy vytvářejí mnoho dobrovolných, ale nekompletních souborů údajů (s vysokou, ale ne 100% úplností ve všech členských státech), vede k výraznému snížení účinnosti na úrovni EU.</w:t>
      </w:r>
    </w:p>
    <w:p w14:paraId="15598FCC" w14:textId="77777777" w:rsidR="007F065E" w:rsidRPr="00CB683A" w:rsidRDefault="007F065E" w:rsidP="00521A79">
      <w:pPr>
        <w:pStyle w:val="ManualHeading2"/>
        <w:rPr>
          <w:rFonts w:eastAsia="Arial Unicode MS"/>
          <w:noProof/>
          <w:u w:color="000000"/>
          <w:bdr w:val="nil"/>
        </w:rPr>
      </w:pPr>
      <w:r w:rsidRPr="00CB683A">
        <w:rPr>
          <w:noProof/>
          <w:u w:color="000000"/>
          <w:bdr w:val="nil"/>
        </w:rPr>
        <w:t>•</w:t>
      </w:r>
      <w:r w:rsidRPr="00CB683A">
        <w:rPr>
          <w:noProof/>
        </w:rPr>
        <w:tab/>
      </w:r>
      <w:r w:rsidRPr="00CB683A">
        <w:rPr>
          <w:noProof/>
          <w:u w:color="000000"/>
          <w:bdr w:val="nil"/>
        </w:rPr>
        <w:t>Konzultace se zúčastněnými stranami</w:t>
      </w:r>
    </w:p>
    <w:p w14:paraId="27EE4134" w14:textId="77777777" w:rsidR="00D27FD0" w:rsidRPr="00CB683A" w:rsidRDefault="00096E98" w:rsidP="0037357C">
      <w:pPr>
        <w:rPr>
          <w:noProof/>
        </w:rPr>
      </w:pPr>
      <w:r w:rsidRPr="00CB683A">
        <w:rPr>
          <w:noProof/>
        </w:rPr>
        <w:t>Konzultační</w:t>
      </w:r>
      <w:r w:rsidRPr="00CB683A">
        <w:rPr>
          <w:rStyle w:val="FootnoteReference"/>
          <w:noProof/>
        </w:rPr>
        <w:footnoteReference w:id="11"/>
      </w:r>
      <w:r w:rsidRPr="00CB683A">
        <w:rPr>
          <w:noProof/>
        </w:rPr>
        <w:t xml:space="preserve"> strategie zmapovala profily klíčových zúčastněných stran ve třech hlavních skupinách (poskytovatelé výchozích údajů – např. držitelé administrativních údajů a dalších zdrojů důležitých údajů; tvůrci statistik – především národní statistické úřady – a uživatelé statistik) podle konzultačních činností. Konzultace zahrnovaly veřejné a cílené konzultace, cílená pracovní setkání, konzultace s expertními skupinami, rozhovory s klíčovými zúčastněnými stranami a analýzu podkladů.</w:t>
      </w:r>
    </w:p>
    <w:p w14:paraId="7A48354A" w14:textId="77777777" w:rsidR="00D27FD0" w:rsidRPr="00CB683A" w:rsidRDefault="00D27FD0" w:rsidP="0037357C">
      <w:pPr>
        <w:rPr>
          <w:noProof/>
        </w:rPr>
      </w:pPr>
      <w:r w:rsidRPr="00CB683A">
        <w:rPr>
          <w:noProof/>
        </w:rPr>
        <w:t>Konzultace se zúčastněnými stranami úspěšně oslovila zamýšlené skupiny zúčastněných stran, s výjimkou poskytovatelů administrativních údajů a mediálních organizací. Vzhledem k technické povaze tématu bylo celkové zapojení respondentů z hlediska podpory souběžného hodnocení a posouzení dopadů evropské statistiky o obyvatelstvu považováno za dostatečné.</w:t>
      </w:r>
    </w:p>
    <w:p w14:paraId="3F314A13" w14:textId="77777777" w:rsidR="00D27FD0" w:rsidRPr="00CB683A" w:rsidRDefault="00D27FD0" w:rsidP="0037357C">
      <w:pPr>
        <w:rPr>
          <w:noProof/>
        </w:rPr>
      </w:pPr>
      <w:r w:rsidRPr="00CB683A">
        <w:rPr>
          <w:noProof/>
        </w:rPr>
        <w:t>Konzultace podpořila iniciativu Komise a uznala, že od předchozího politického zásahu do demografické statistiky a statistiky v oblasti mezinárodní migrace a sčítání lidu, domů a bytů se situace výrazně zlepšila. Zjistila však také nedostatky ve statistice a vznik nových potřeb statistiky, které současný právní rámec nemůže uspokojit.</w:t>
      </w:r>
    </w:p>
    <w:p w14:paraId="60F38DD9" w14:textId="77777777" w:rsidR="00D27FD0" w:rsidRPr="00CB683A" w:rsidRDefault="00D27FD0" w:rsidP="0037357C">
      <w:pPr>
        <w:rPr>
          <w:noProof/>
        </w:rPr>
      </w:pPr>
      <w:r w:rsidRPr="00CB683A">
        <w:rPr>
          <w:noProof/>
        </w:rPr>
        <w:t xml:space="preserve">Všechny zúčastněné strany potvrdily potřebu naplánovat statistická zlepšení, i když se ne vždy shodly na úrovni ambicí těchto zlepšení. Tvůrci statistik byli v tomto ohledu poněkud konzervativnější než uživatelé statistik. </w:t>
      </w:r>
    </w:p>
    <w:p w14:paraId="7A959A97" w14:textId="77777777" w:rsidR="00D27FD0" w:rsidRPr="00CB683A" w:rsidRDefault="00D27FD0" w:rsidP="0037357C">
      <w:pPr>
        <w:rPr>
          <w:noProof/>
        </w:rPr>
      </w:pPr>
      <w:r w:rsidRPr="00CB683A">
        <w:rPr>
          <w:noProof/>
        </w:rPr>
        <w:t xml:space="preserve">Statistická témata, na kterých se všechny skupiny zúčastněných stran shodly jako na prioritních, byla lepší statistika migrace, větší geografická podrobnost a včasnější a četnější statistiky. Všechny zúčastněné strany uznaly, že harmonizace populační základny je velmi důležitá, byť někteří tvůrci statistik vyjádřily proti změně námitky. </w:t>
      </w:r>
    </w:p>
    <w:p w14:paraId="58588E1D" w14:textId="77777777" w:rsidR="00521A79" w:rsidRPr="00CB683A" w:rsidRDefault="00D27FD0" w:rsidP="0037357C">
      <w:pPr>
        <w:rPr>
          <w:noProof/>
        </w:rPr>
      </w:pPr>
      <w:r w:rsidRPr="00CB683A">
        <w:rPr>
          <w:noProof/>
        </w:rPr>
        <w:t>Hlavní statistická témata, u kterých se názory tvůrců a uživatelů rozcházely, se týkala údajů o rovnosti a zavedení povinného sběru stávajících dobrovolných údajů. V menší míře se názory tvůrců a uživatelů rozcházely u statistik o bytech a domech, legálně provedených přerušeních těhotenství a kojenecké úmrtnosti.</w:t>
      </w:r>
    </w:p>
    <w:p w14:paraId="5850C0BB" w14:textId="77777777" w:rsidR="007F065E" w:rsidRPr="00CB683A" w:rsidRDefault="007F065E" w:rsidP="002F250E">
      <w:pPr>
        <w:pStyle w:val="ManualHeading2"/>
        <w:rPr>
          <w:rFonts w:eastAsia="Arial Unicode MS"/>
          <w:noProof/>
          <w:u w:color="000000"/>
          <w:bdr w:val="nil"/>
        </w:rPr>
      </w:pPr>
      <w:r w:rsidRPr="00CB683A">
        <w:rPr>
          <w:noProof/>
          <w:u w:color="000000"/>
          <w:bdr w:val="nil"/>
        </w:rPr>
        <w:t>•</w:t>
      </w:r>
      <w:r w:rsidRPr="00CB683A">
        <w:rPr>
          <w:noProof/>
        </w:rPr>
        <w:tab/>
      </w:r>
      <w:r w:rsidRPr="00CB683A">
        <w:rPr>
          <w:noProof/>
          <w:u w:color="000000"/>
          <w:bdr w:val="nil"/>
        </w:rPr>
        <w:t>Sběr a využití výsledků odborných konzultací</w:t>
      </w:r>
    </w:p>
    <w:p w14:paraId="2CFEA9BD" w14:textId="77777777" w:rsidR="002F250E" w:rsidRPr="00CB683A" w:rsidRDefault="002F250E" w:rsidP="0037357C">
      <w:pPr>
        <w:rPr>
          <w:noProof/>
        </w:rPr>
      </w:pPr>
      <w:r w:rsidRPr="00CB683A">
        <w:rPr>
          <w:noProof/>
        </w:rPr>
        <w:t>Komise pravidelně žádá své příslušné expertní skupiny, aby jí poskytly rady a podněty k postupu hodnocení a posouzení dopadů. O pokroku byl informován také Výbor pro Evropský statistický systém</w:t>
      </w:r>
      <w:r w:rsidRPr="00CB683A">
        <w:rPr>
          <w:rStyle w:val="FootnoteReference"/>
          <w:noProof/>
        </w:rPr>
        <w:footnoteReference w:id="12"/>
      </w:r>
      <w:r w:rsidRPr="00CB683A">
        <w:rPr>
          <w:noProof/>
        </w:rPr>
        <w:t>. Jedná se o tyto tři expertní skupiny (Rejstřík expertních skupin Komise</w:t>
      </w:r>
      <w:r w:rsidRPr="00CB683A">
        <w:rPr>
          <w:rStyle w:val="FootnoteReference"/>
          <w:noProof/>
        </w:rPr>
        <w:footnoteReference w:id="13"/>
      </w:r>
      <w:r w:rsidRPr="00CB683A">
        <w:rPr>
          <w:noProof/>
        </w:rPr>
        <w:t>):</w:t>
      </w:r>
    </w:p>
    <w:p w14:paraId="40C28F67" w14:textId="77777777" w:rsidR="002F250E" w:rsidRPr="00CB683A" w:rsidRDefault="002F250E" w:rsidP="00800874">
      <w:pPr>
        <w:pStyle w:val="Tiret0"/>
        <w:numPr>
          <w:ilvl w:val="0"/>
          <w:numId w:val="19"/>
        </w:numPr>
        <w:rPr>
          <w:noProof/>
        </w:rPr>
      </w:pPr>
      <w:r w:rsidRPr="00CB683A">
        <w:rPr>
          <w:noProof/>
        </w:rPr>
        <w:t>pracovní skupina pro sčítání lidu, domů a bytů (</w:t>
      </w:r>
      <w:hyperlink r:id="rId10" w:history="1">
        <w:r w:rsidRPr="00CB683A">
          <w:rPr>
            <w:rStyle w:val="Hyperlink"/>
            <w:noProof/>
          </w:rPr>
          <w:t>E01544</w:t>
        </w:r>
      </w:hyperlink>
      <w:r w:rsidRPr="00CB683A">
        <w:rPr>
          <w:noProof/>
        </w:rPr>
        <w:t>) a její podskupina, pracovní skupina pro budoucnost sčítání lidu,</w:t>
      </w:r>
    </w:p>
    <w:p w14:paraId="030430CC" w14:textId="77777777" w:rsidR="002F250E" w:rsidRPr="00CB683A" w:rsidRDefault="002F250E" w:rsidP="0014116E">
      <w:pPr>
        <w:pStyle w:val="Tiret0"/>
        <w:rPr>
          <w:noProof/>
          <w:szCs w:val="24"/>
        </w:rPr>
      </w:pPr>
      <w:r w:rsidRPr="00CB683A">
        <w:rPr>
          <w:noProof/>
        </w:rPr>
        <w:t>pracovní skupina pro statistiku o obyvatelstvu (</w:t>
      </w:r>
      <w:hyperlink r:id="rId11" w:history="1">
        <w:r w:rsidRPr="00CB683A">
          <w:rPr>
            <w:rStyle w:val="Hyperlink"/>
            <w:noProof/>
          </w:rPr>
          <w:t>E03076</w:t>
        </w:r>
      </w:hyperlink>
      <w:r w:rsidRPr="00CB683A">
        <w:rPr>
          <w:noProof/>
        </w:rPr>
        <w:t>),</w:t>
      </w:r>
    </w:p>
    <w:p w14:paraId="52D0B56F" w14:textId="77777777" w:rsidR="002F250E" w:rsidRPr="00CB683A" w:rsidRDefault="002F250E" w:rsidP="0014116E">
      <w:pPr>
        <w:pStyle w:val="Tiret0"/>
        <w:rPr>
          <w:noProof/>
          <w:szCs w:val="24"/>
        </w:rPr>
      </w:pPr>
      <w:r w:rsidRPr="00CB683A">
        <w:rPr>
          <w:noProof/>
        </w:rPr>
        <w:t>evropští ředitelé pro sociální statistiku (</w:t>
      </w:r>
      <w:hyperlink r:id="rId12" w:history="1">
        <w:r w:rsidRPr="00CB683A">
          <w:rPr>
            <w:rStyle w:val="Hyperlink"/>
            <w:noProof/>
          </w:rPr>
          <w:t>E01552</w:t>
        </w:r>
      </w:hyperlink>
      <w:r w:rsidRPr="00CB683A">
        <w:rPr>
          <w:noProof/>
        </w:rPr>
        <w:t>)</w:t>
      </w:r>
      <w:r w:rsidRPr="00CB683A">
        <w:rPr>
          <w:noProof/>
          <w:sz w:val="22"/>
        </w:rPr>
        <w:t>.</w:t>
      </w:r>
    </w:p>
    <w:p w14:paraId="2BCD4D6D" w14:textId="77777777" w:rsidR="002F250E" w:rsidRPr="00CB683A" w:rsidRDefault="00570723" w:rsidP="0037357C">
      <w:pPr>
        <w:rPr>
          <w:noProof/>
        </w:rPr>
      </w:pPr>
      <w:r w:rsidRPr="00CB683A">
        <w:rPr>
          <w:noProof/>
        </w:rPr>
        <w:t>Komise provedla souběžné hodnocení a posouzení dopadů s podporou studie dodavatele, kterou vypracovala společnost ICF SA, Belgie. Podpůrná studie poskytla pro účely hodnocení ekonomickou analýzu a analýzu subsidiarity a případové studie týkající se definic pojmu obyvatelstvo. Pro účely posouzení dopadů dodala studie kvantitativní analýzu nákladů a metodickou podporu pro bodování a stanovení pořadí možností politiky. Zhotovitel rovněž podpořil různé konzultační činnosti se zúčastněnými stranami, včetně veřejných konzultací, cílených konzultací národních statistických úřadů a několika tematických pracovních setkání s konkrétními skupinami zúčastněných stran.</w:t>
      </w:r>
    </w:p>
    <w:p w14:paraId="7E2020DE" w14:textId="77777777" w:rsidR="007F065E" w:rsidRPr="00CB683A" w:rsidRDefault="007F065E" w:rsidP="008E5ED9">
      <w:pPr>
        <w:pStyle w:val="ManualHeading2"/>
        <w:rPr>
          <w:rFonts w:eastAsia="Arial Unicode MS"/>
          <w:noProof/>
          <w:u w:color="000000"/>
          <w:bdr w:val="nil"/>
        </w:rPr>
      </w:pPr>
      <w:r w:rsidRPr="00CB683A">
        <w:rPr>
          <w:noProof/>
          <w:u w:color="000000"/>
          <w:bdr w:val="nil"/>
        </w:rPr>
        <w:t>•</w:t>
      </w:r>
      <w:r w:rsidRPr="00CB683A">
        <w:rPr>
          <w:noProof/>
        </w:rPr>
        <w:tab/>
      </w:r>
      <w:r w:rsidRPr="00CB683A">
        <w:rPr>
          <w:noProof/>
          <w:u w:color="000000"/>
          <w:bdr w:val="nil"/>
        </w:rPr>
        <w:t>Posouzení dopadů</w:t>
      </w:r>
    </w:p>
    <w:p w14:paraId="3199CF6C" w14:textId="77777777" w:rsidR="008E5ED9" w:rsidRPr="00CB683A" w:rsidRDefault="008E5ED9" w:rsidP="0037357C">
      <w:pPr>
        <w:rPr>
          <w:noProof/>
        </w:rPr>
      </w:pPr>
      <w:r w:rsidRPr="00CB683A">
        <w:rPr>
          <w:noProof/>
        </w:rPr>
        <w:t>Posouzení dopadů této iniciativy</w:t>
      </w:r>
      <w:r w:rsidRPr="00CB683A">
        <w:rPr>
          <w:rStyle w:val="FootnoteReference"/>
          <w:rFonts w:eastAsia="Arial Unicode MS"/>
          <w:noProof/>
        </w:rPr>
        <w:footnoteReference w:id="14"/>
      </w:r>
      <w:r w:rsidRPr="00CB683A">
        <w:rPr>
          <w:noProof/>
        </w:rPr>
        <w:t>, které projednal Výbor pro kontrolu regulace na formálním zasedání dne 16. března 2022, obdrželo kladné stanovisko s výhradami</w:t>
      </w:r>
      <w:r w:rsidRPr="00CB683A">
        <w:rPr>
          <w:rStyle w:val="FootnoteReference"/>
          <w:rFonts w:eastAsia="Arial Unicode MS"/>
          <w:noProof/>
        </w:rPr>
        <w:footnoteReference w:id="15"/>
      </w:r>
      <w:r w:rsidRPr="00CB683A">
        <w:rPr>
          <w:noProof/>
        </w:rPr>
        <w:t>. Revidovanou verzi zprávy o posouzení dopadů, která řeší nedostatky zjištěné ve stanovisku, schválila meziútvarová řídící skupina na svém zasedání dne 16. června 2022.</w:t>
      </w:r>
    </w:p>
    <w:p w14:paraId="74B735ED" w14:textId="77777777" w:rsidR="00937289" w:rsidRPr="00CB683A" w:rsidRDefault="00937289" w:rsidP="0037357C">
      <w:pPr>
        <w:rPr>
          <w:noProof/>
          <w:szCs w:val="24"/>
        </w:rPr>
      </w:pPr>
      <w:r w:rsidRPr="00CB683A">
        <w:rPr>
          <w:noProof/>
        </w:rPr>
        <w:t>Obecným cílem vymezeným v posouzení dopadů je lépe reagovat na potřeby uživatelů a modernizovat a zvýšit relevanci, harmonizaci a soudržnost evropské statistiky o obyvatelstvu. Tento obecný cíl lze rozdělit do čtyř specifických cílů, které mají řešit výše uvedené nedostatky, a to:</w:t>
      </w:r>
    </w:p>
    <w:p w14:paraId="339CC12E" w14:textId="3FD06912" w:rsidR="00937289" w:rsidRPr="00CB683A" w:rsidRDefault="00C90467" w:rsidP="00C90467">
      <w:pPr>
        <w:pStyle w:val="Point0"/>
        <w:rPr>
          <w:noProof/>
        </w:rPr>
      </w:pPr>
      <w:r>
        <w:rPr>
          <w:noProof/>
        </w:rPr>
        <w:t>1)</w:t>
      </w:r>
      <w:r>
        <w:rPr>
          <w:noProof/>
        </w:rPr>
        <w:tab/>
      </w:r>
      <w:r w:rsidR="00937289" w:rsidRPr="00CB683A">
        <w:rPr>
          <w:noProof/>
        </w:rPr>
        <w:t>zajistit úplné, soudržné a srovnatelné evropské statistiky o obyvatelstvu;</w:t>
      </w:r>
    </w:p>
    <w:p w14:paraId="1FABD3C2" w14:textId="459AF722" w:rsidR="00937289" w:rsidRPr="00CB683A" w:rsidRDefault="00C90467" w:rsidP="00C90467">
      <w:pPr>
        <w:pStyle w:val="Point0"/>
        <w:rPr>
          <w:noProof/>
        </w:rPr>
      </w:pPr>
      <w:r>
        <w:rPr>
          <w:noProof/>
        </w:rPr>
        <w:t>2)</w:t>
      </w:r>
      <w:r>
        <w:rPr>
          <w:noProof/>
        </w:rPr>
        <w:tab/>
      </w:r>
      <w:r w:rsidR="00937289" w:rsidRPr="00CB683A">
        <w:rPr>
          <w:noProof/>
        </w:rPr>
        <w:t>zajistit včasné a četné statistiky pro uspokojení potřeb uživatelů;</w:t>
      </w:r>
    </w:p>
    <w:p w14:paraId="1DE78F59" w14:textId="704776D2" w:rsidR="00937289" w:rsidRPr="00CB683A" w:rsidRDefault="00C90467" w:rsidP="00C90467">
      <w:pPr>
        <w:pStyle w:val="Point0"/>
        <w:rPr>
          <w:noProof/>
        </w:rPr>
      </w:pPr>
      <w:r>
        <w:rPr>
          <w:noProof/>
        </w:rPr>
        <w:t>3)</w:t>
      </w:r>
      <w:r>
        <w:rPr>
          <w:noProof/>
        </w:rPr>
        <w:tab/>
      </w:r>
      <w:r w:rsidR="00937289" w:rsidRPr="00CB683A">
        <w:rPr>
          <w:noProof/>
        </w:rPr>
        <w:t>poskytovat statistiky, které jsou dostatečně komplexní z hlediska příslušných témat a dostatečně podrobné z hlediska charakteristik a členění;</w:t>
      </w:r>
    </w:p>
    <w:p w14:paraId="577302F3" w14:textId="76E8F0B6" w:rsidR="00937289" w:rsidRPr="00CB683A" w:rsidRDefault="00C90467" w:rsidP="00C90467">
      <w:pPr>
        <w:pStyle w:val="Point0"/>
        <w:rPr>
          <w:noProof/>
        </w:rPr>
      </w:pPr>
      <w:r>
        <w:rPr>
          <w:noProof/>
        </w:rPr>
        <w:t>4)</w:t>
      </w:r>
      <w:r>
        <w:rPr>
          <w:noProof/>
        </w:rPr>
        <w:tab/>
      </w:r>
      <w:r w:rsidR="00937289" w:rsidRPr="00CB683A">
        <w:rPr>
          <w:noProof/>
        </w:rPr>
        <w:t>podporovat právní rámce a rámce pro sběr údajů, které jsou dostatečně pružné, aby bylo možné přizpůsobovat soubory údajů měnícím se politickým potřebám a využívat příležitostí, které přinášejí nové zdroje údajů.</w:t>
      </w:r>
    </w:p>
    <w:p w14:paraId="72451843" w14:textId="77777777" w:rsidR="00937289" w:rsidRPr="00CB683A" w:rsidRDefault="00937289" w:rsidP="00937289">
      <w:pPr>
        <w:spacing w:after="240"/>
        <w:rPr>
          <w:noProof/>
          <w:szCs w:val="24"/>
        </w:rPr>
      </w:pPr>
      <w:r w:rsidRPr="00CB683A">
        <w:rPr>
          <w:noProof/>
        </w:rPr>
        <w:t xml:space="preserve">Možnosti politiky byly vypracovány seskupením granulárních politických opatření zaměřených na konkrétní cíle podle čtyř charakteristik: harmonizace statistik, kde je hlavním cílem definovat populační základnu; integrace statistických procesů; statistických výstupů; pružnosti rámce. </w:t>
      </w:r>
    </w:p>
    <w:p w14:paraId="5FC0C96F" w14:textId="77777777" w:rsidR="00937289" w:rsidRPr="00CB683A" w:rsidRDefault="00937289" w:rsidP="00800874">
      <w:pPr>
        <w:pStyle w:val="Tiret0"/>
        <w:numPr>
          <w:ilvl w:val="0"/>
          <w:numId w:val="17"/>
        </w:numPr>
        <w:rPr>
          <w:noProof/>
        </w:rPr>
      </w:pPr>
      <w:r w:rsidRPr="00CB683A">
        <w:rPr>
          <w:noProof/>
        </w:rPr>
        <w:t xml:space="preserve">Možnost A je základním scénářem s oddělenými statistickými procesy a právními předpisy, omezenou harmonizací definice populace a žádnými novými statistickými výstupy. </w:t>
      </w:r>
    </w:p>
    <w:p w14:paraId="01FC9459" w14:textId="77777777" w:rsidR="00937289" w:rsidRPr="00CB683A" w:rsidRDefault="00937289" w:rsidP="0014116E">
      <w:pPr>
        <w:pStyle w:val="Tiret0"/>
        <w:rPr>
          <w:noProof/>
        </w:rPr>
      </w:pPr>
      <w:r w:rsidRPr="00CB683A">
        <w:rPr>
          <w:noProof/>
        </w:rPr>
        <w:t xml:space="preserve">Hlavními rysy možností B.1 a B.2 je modernizace statistických výstupů s rostoucími ambicemi a pružnost rámce, avšak omezená harmonizace populační základny. </w:t>
      </w:r>
    </w:p>
    <w:p w14:paraId="51D3D8D2" w14:textId="77777777" w:rsidR="00937289" w:rsidRPr="00CB683A" w:rsidRDefault="00937289" w:rsidP="0014116E">
      <w:pPr>
        <w:pStyle w:val="Tiret0"/>
        <w:rPr>
          <w:noProof/>
        </w:rPr>
      </w:pPr>
      <w:r w:rsidRPr="00CB683A">
        <w:rPr>
          <w:noProof/>
        </w:rPr>
        <w:t xml:space="preserve">Možnosti C.1 a C.2 jsou stejné jako možnosti B.1 a B.2, ale s ambicióznějším úsilím o harmonizaci populační základny. Možnosti B.2 a C.2 zahrnují rozsáhlejší modernizaci statistických výstupů a pružnost rámce než možnosti B.1 a C.1. </w:t>
      </w:r>
    </w:p>
    <w:p w14:paraId="4731DCDD" w14:textId="77777777" w:rsidR="00937289" w:rsidRPr="00CB683A" w:rsidRDefault="00937289" w:rsidP="0014116E">
      <w:pPr>
        <w:pStyle w:val="Tiret0"/>
        <w:rPr>
          <w:noProof/>
        </w:rPr>
      </w:pPr>
      <w:r w:rsidRPr="00CB683A">
        <w:rPr>
          <w:noProof/>
        </w:rPr>
        <w:t>Možnosti D.1 a D.2 by znamenaly úplnou harmonizaci a větší modernizaci výstupů, jakož i dostatečnou pružnost pro budoucí rozvoj statistik, aby vyhovovaly novým potřebám. Možnost D.2 rovněž obsahuje zavedení statistického registru obyvatelstva ve všech členských státech.</w:t>
      </w:r>
    </w:p>
    <w:p w14:paraId="5EF2DC54" w14:textId="77777777" w:rsidR="00937289" w:rsidRPr="00CB683A" w:rsidRDefault="00937289" w:rsidP="0037357C">
      <w:pPr>
        <w:rPr>
          <w:noProof/>
        </w:rPr>
      </w:pPr>
      <w:r w:rsidRPr="00CB683A">
        <w:rPr>
          <w:noProof/>
        </w:rPr>
        <w:t>Náklady na všechny možnosti byly kvantifikovány v maximální možné míře na základě těchto kritérií: i) úroveň harmonizace populační základny; ii) modernizace statistických výstupů a iii) integrace statistických procesů prostřednictvím národních statistických registrů obyvatelstva. Nakonec byly přínosy podrobně rozepsány, ale většinu z nich nebylo možné kvantifikovat kvůli jejich často nepřímé nebo rozptýlené povaze, a proto byly posouzeny kvalitativně.</w:t>
      </w:r>
    </w:p>
    <w:p w14:paraId="25FB7EC0" w14:textId="77777777" w:rsidR="00937289" w:rsidRPr="00CB683A" w:rsidRDefault="00937289" w:rsidP="0037357C">
      <w:pPr>
        <w:rPr>
          <w:noProof/>
        </w:rPr>
      </w:pPr>
      <w:r w:rsidRPr="00CB683A">
        <w:rPr>
          <w:noProof/>
        </w:rPr>
        <w:t>Vzhledem k absenci kvantifikovaných přínosů nebylo možné sestavit přímé pořadí možností. Posouzení účinnosti však kvalitativně ukázalo, že žádná z možností není zjevně nákladově efektivnější než kterákoli jiná. Spíše nabízejí zvýšené přínosy (přímo pro uživatele statistik a nepřímo pro celou společnost) za vyšší náklady (především pro tvůrce statistik, tj. národní systémy tvorby statistik). Odráží se v tom velký rozdíl mezi tvůrci a uživateli statistik, protože tvůrci se zaměřovali na náklady, zatímco uživatelé se více zajímali o přínosy. Posouzení však jasně ukázalo, že ambiciózní opatření k uspokojení potřeb v oblasti údajů pro politické priority EU má svou cenu v podobě dodatečných zdrojů potřebných pro tvůrce statistik, které jsou ve srovnání se současnými základními náklady značné (až zhruba 10 % u možnosti D.2). Pouze nejambicióznější možnosti D.1 a D.2 však obsahují dalekosáhlá opatření k řešení potřeb klíčových oblastí politiky EU, jako je integrace měst a venkova, Zelená dohoda pro Evropu a základní práva a nediskriminace. Navíc pouze možnost D.2 zahrnuje statistické registry obyvatelstva pro efektivnější tvorbu statistik, čímž pomáhá dosáhnout ambiciózních výstupních cílů.</w:t>
      </w:r>
    </w:p>
    <w:p w14:paraId="3C3A455F" w14:textId="77777777" w:rsidR="00937289" w:rsidRPr="00CB683A" w:rsidRDefault="00855121" w:rsidP="0037357C">
      <w:pPr>
        <w:rPr>
          <w:noProof/>
        </w:rPr>
      </w:pPr>
      <w:r w:rsidRPr="00CB683A">
        <w:rPr>
          <w:noProof/>
        </w:rPr>
        <w:t>Celkově byla proto upřednostněna možnost D.2. Je nejambicióznější, pokud jde o statistické výstupy a pružnost rámce, a dosahuje nejlepších výsledků díky podobně ambicióznímu zjednodušení, integraci systémů tvorby statistik a udržitelným a dlouhodobým úsporám z důvodu vyšší efektivity. Vedle značných nákladů na úpravy v důsledku zavedení interoperabilních statistických registrů obyvatelstva ve všech členských státech však přetrvávají nejistoty ohledně subsidiarity a proporcionality. Z tohoto důvodu by byl rozumný i alternativní (konzervativní) přístup upřednostňující možnost C.2, pokud by se větší váha přikládala obavám ohledně proporcionality a účinnosti možnosti D.2 – to by bylo přijatelnější i pro tvůrce statistik jako klíčové zúčastněné strany provedení ve vnitrostátním právu.</w:t>
      </w:r>
    </w:p>
    <w:p w14:paraId="22841B24" w14:textId="77777777" w:rsidR="00937289" w:rsidRPr="00CB683A" w:rsidRDefault="002C7D14" w:rsidP="0037357C">
      <w:pPr>
        <w:rPr>
          <w:noProof/>
        </w:rPr>
      </w:pPr>
      <w:r w:rsidRPr="00CB683A">
        <w:rPr>
          <w:noProof/>
        </w:rPr>
        <w:t>Nejvýznamnější odchylky tohoto legislativního návrhu od možností upřednostňovaných v posouzení dopadů spočívají ve snížení ambicí, které se týkají údajů o rovnosti a zřízení statistických registrů obyvatelstva v členských státech. Pokud jde o zřízení statistických registrů obyvatelstva v členských státech, posouzení dopadů zmiňuje konkrétní pochybnosti ohledně proporcionality a subsidiarity požadavku na takové statistické registry ve všech členských státech. Návrh se proto řídí spíše možností C.2, tj. zaměřuje se více na aspekty statistických infrastruktur orientované na výstupy, aniž by specifikoval procesní omezení. Konzultovaní odborníci z národních statistických úřadů rovněž výrazně upřednostňují tento přístup zaměřený na výstupy. Návrh by ještě posílil právní základ a podpořil vývoj inovativních řešení, která by umožnila sdílení údajů mezi členskými státy za účelem řešení přeshraničních problémů s kvalitou souvisejících se svobodou pohybu občanů EU. Zejména jsou výslovně podporovány technologie pro posílení ochrany soukromí, aby bylo možné provádět sdílení údajů plně v souladu s právními předpisy EU o ochraně osobních údajů (viz níže „Základní práva“).</w:t>
      </w:r>
    </w:p>
    <w:p w14:paraId="4111EE73" w14:textId="77777777" w:rsidR="007F065E" w:rsidRPr="00CB683A" w:rsidRDefault="007F065E" w:rsidP="00FE41E8">
      <w:pPr>
        <w:pStyle w:val="ManualHeading2"/>
        <w:rPr>
          <w:rFonts w:eastAsia="Arial Unicode MS"/>
          <w:noProof/>
          <w:u w:color="000000"/>
          <w:bdr w:val="nil"/>
        </w:rPr>
      </w:pPr>
      <w:r w:rsidRPr="00CB683A">
        <w:rPr>
          <w:noProof/>
          <w:u w:color="000000"/>
          <w:bdr w:val="nil"/>
        </w:rPr>
        <w:t>•</w:t>
      </w:r>
      <w:r w:rsidRPr="00CB683A">
        <w:rPr>
          <w:noProof/>
        </w:rPr>
        <w:tab/>
      </w:r>
      <w:r w:rsidRPr="00CB683A">
        <w:rPr>
          <w:noProof/>
          <w:u w:color="000000"/>
          <w:bdr w:val="nil"/>
        </w:rPr>
        <w:t>Účelnost právních předpisů a zjednodušení</w:t>
      </w:r>
    </w:p>
    <w:p w14:paraId="67F5785C" w14:textId="77777777" w:rsidR="00937289" w:rsidRPr="00CB683A" w:rsidRDefault="00937289" w:rsidP="0037357C">
      <w:pPr>
        <w:rPr>
          <w:noProof/>
        </w:rPr>
      </w:pPr>
      <w:r w:rsidRPr="00CB683A">
        <w:rPr>
          <w:noProof/>
        </w:rPr>
        <w:t>Upřednostňované možnosti D.2 nebo C.2 pravděpodobně vytvoří určitý prostor pro možné úspory nákladů související s Programem pro účelnost a účinnost právních předpisů, které vyplynou ze zjednodušení, zefektivnění a integrace statistických procesů. Zjednodušení se očekává zejména v oblasti sdílení údajů mezi vlastníky zdrojových údajů a národními statistickými úřady, přizpůsobení předpisů měnícím se potřebám údajů pro národní statistické úřady a Eurostat a při postupech předávání údajů národními statistickými úřady Eurostatu. Uživatelé budou moci využívat zjednodušený a centralizovaný přístup ke statistikám na internetových stránkách Eurostatu.</w:t>
      </w:r>
    </w:p>
    <w:p w14:paraId="4F173F4E" w14:textId="77777777" w:rsidR="00937289" w:rsidRPr="00CB683A" w:rsidRDefault="001A744C" w:rsidP="0037357C">
      <w:pPr>
        <w:rPr>
          <w:rFonts w:eastAsia="Arial Unicode MS"/>
          <w:noProof/>
        </w:rPr>
      </w:pPr>
      <w:r w:rsidRPr="00CB683A">
        <w:rPr>
          <w:noProof/>
        </w:rPr>
        <w:t>V souladu s upřednostňovanou možností C.2 se v tomto návrhu nevyžadují statistické registry obyvatelstva, ale posilují se právní a technické předpoklady pro sdílení údajů mezi členskými státy. Sdílení údajů pomocí moderních technologií může z dlouhodobého hlediska nabídnout účinnější a efektivnější řešení zajištění kvalitních statistik.</w:t>
      </w:r>
    </w:p>
    <w:p w14:paraId="49E48407" w14:textId="77777777" w:rsidR="007F065E" w:rsidRPr="00CB683A" w:rsidRDefault="007F065E" w:rsidP="006A4733">
      <w:pPr>
        <w:pStyle w:val="ManualHeading2"/>
        <w:rPr>
          <w:rFonts w:eastAsia="Arial Unicode MS"/>
          <w:noProof/>
          <w:u w:color="000000"/>
          <w:bdr w:val="nil"/>
        </w:rPr>
      </w:pPr>
      <w:r w:rsidRPr="00CB683A">
        <w:rPr>
          <w:noProof/>
          <w:u w:color="000000"/>
          <w:bdr w:val="nil"/>
        </w:rPr>
        <w:t>•</w:t>
      </w:r>
      <w:r w:rsidRPr="00CB683A">
        <w:rPr>
          <w:noProof/>
        </w:rPr>
        <w:tab/>
      </w:r>
      <w:r w:rsidRPr="00CB683A">
        <w:rPr>
          <w:noProof/>
          <w:u w:color="000000"/>
          <w:bdr w:val="nil"/>
        </w:rPr>
        <w:t>Základní práva</w:t>
      </w:r>
    </w:p>
    <w:p w14:paraId="5EA9E193" w14:textId="77777777" w:rsidR="006A4733" w:rsidRPr="00CB683A" w:rsidRDefault="006A4733" w:rsidP="0037357C">
      <w:pPr>
        <w:rPr>
          <w:noProof/>
        </w:rPr>
      </w:pPr>
      <w:r w:rsidRPr="00CB683A">
        <w:rPr>
          <w:noProof/>
        </w:rPr>
        <w:t>Posouzení dopadů zjistilo dva hlavní zdroje potenciálních nepřímých dopadů na základní práva. Na jedné straně různé skupiny zúčastněných stran v rámci konzultací se zúčastněnými stranami vyjádřily obavy z možných větších rizik pro ochranu osobních údajů, která souvisejí se zdokonalenými a modernizovanými statistickými infrastrukturami, jež účinně propojí všechny druhy příslušných zdrojů a umožní sdílení údajů mezi členskými státy. Na druhé straně by větší dostupnost a lepší kvalita statistik o sociálních jevech (včetně lepších údajů o sociálně-ekonomických charakteristikách zranitelných skupin nebo o důvodech diskriminace) zlepšila politiky v oblasti základních práv.</w:t>
      </w:r>
    </w:p>
    <w:p w14:paraId="363FA6DC" w14:textId="77777777" w:rsidR="006A4733" w:rsidRPr="00CB683A" w:rsidRDefault="006A4733" w:rsidP="0037357C">
      <w:pPr>
        <w:rPr>
          <w:noProof/>
        </w:rPr>
      </w:pPr>
      <w:r w:rsidRPr="00CB683A">
        <w:rPr>
          <w:noProof/>
        </w:rPr>
        <w:t>Tento návrh zohledňuje tato zjištění tím, že navrhuje přiměřené a cílené zlepšení příslušných statistických výstupů, přičemž se drží zásad a zohledňuje právní důsledky právních předpisů EU o ochraně osobních údajů v nařízeních (EU) 2016/679</w:t>
      </w:r>
      <w:r w:rsidRPr="00CB683A">
        <w:rPr>
          <w:rStyle w:val="FootnoteReference"/>
          <w:noProof/>
        </w:rPr>
        <w:footnoteReference w:id="16"/>
      </w:r>
      <w:r w:rsidRPr="00CB683A">
        <w:rPr>
          <w:noProof/>
        </w:rPr>
        <w:t xml:space="preserve"> a (EU) 2018/1725</w:t>
      </w:r>
      <w:r w:rsidRPr="00CB683A">
        <w:rPr>
          <w:rStyle w:val="FootnoteReference"/>
          <w:noProof/>
        </w:rPr>
        <w:footnoteReference w:id="17"/>
      </w:r>
      <w:r w:rsidRPr="00CB683A">
        <w:rPr>
          <w:noProof/>
        </w:rPr>
        <w:t>.</w:t>
      </w:r>
    </w:p>
    <w:p w14:paraId="42F11353" w14:textId="77777777" w:rsidR="007F065E" w:rsidRPr="00CB683A" w:rsidRDefault="007F065E" w:rsidP="00FE41E8">
      <w:pPr>
        <w:pStyle w:val="ManualHeading1"/>
        <w:rPr>
          <w:noProof/>
        </w:rPr>
      </w:pPr>
      <w:r w:rsidRPr="00CB683A">
        <w:rPr>
          <w:noProof/>
        </w:rPr>
        <w:t>4.</w:t>
      </w:r>
      <w:r w:rsidRPr="00CB683A">
        <w:rPr>
          <w:noProof/>
        </w:rPr>
        <w:tab/>
        <w:t>ROZPOČTOVÉ DŮSLEDKY</w:t>
      </w:r>
    </w:p>
    <w:p w14:paraId="357F22FB" w14:textId="77777777" w:rsidR="007B1876" w:rsidRPr="00CB683A" w:rsidRDefault="007B1876" w:rsidP="003A2F4C">
      <w:pPr>
        <w:pBdr>
          <w:top w:val="nil"/>
          <w:left w:val="nil"/>
          <w:bottom w:val="nil"/>
          <w:right w:val="nil"/>
          <w:between w:val="nil"/>
          <w:bar w:val="nil"/>
        </w:pBdr>
        <w:spacing w:before="0" w:after="240"/>
        <w:rPr>
          <w:noProof/>
        </w:rPr>
      </w:pPr>
      <w:r w:rsidRPr="00CB683A">
        <w:rPr>
          <w:noProof/>
        </w:rPr>
        <w:t>Návrh nezahrnuje financování pravidelného sběru údajů, ale upravuje spolufinancování příslušných modernizačních opatření ze strany EU, včetně pilotních studií a studií proveditelnosti v členských státech. Komise (Eurostat) se rovněž zavazuje k rozvoji bezpečné infrastruktury pro sdílení údajů. V neposlední řadě bude třeba zvýšit lidské a operační (IT) zdroje Komise (Eurostatu), aby bylo možné zvládnout zvýšenou pracovní zátěž spojenou s právními předpisy, monitorováním a tvorbou, která vznikne v důsledku výrazně rozšířeného sběru údajů.</w:t>
      </w:r>
    </w:p>
    <w:p w14:paraId="696DCA21" w14:textId="77777777" w:rsidR="007B1876" w:rsidRPr="00CB683A" w:rsidRDefault="007B1876" w:rsidP="007B1876">
      <w:pPr>
        <w:rPr>
          <w:noProof/>
        </w:rPr>
      </w:pPr>
      <w:r w:rsidRPr="00CB683A">
        <w:rPr>
          <w:noProof/>
        </w:rPr>
        <w:t>Celkový finanční dopad návrhu je časově neomezený. Odhadované rozpočtové důsledky na prvních deset let po vstupu nařízení v platnost jsou uvedeny v legislativním finančním výkazu.</w:t>
      </w:r>
    </w:p>
    <w:p w14:paraId="33F030C0" w14:textId="77777777" w:rsidR="007F065E" w:rsidRPr="00CB683A" w:rsidRDefault="007F065E" w:rsidP="00FE41E8">
      <w:pPr>
        <w:pStyle w:val="ManualHeading1"/>
        <w:rPr>
          <w:noProof/>
        </w:rPr>
      </w:pPr>
      <w:r w:rsidRPr="00CB683A">
        <w:rPr>
          <w:noProof/>
        </w:rPr>
        <w:t>5.</w:t>
      </w:r>
      <w:r w:rsidRPr="00CB683A">
        <w:rPr>
          <w:noProof/>
        </w:rPr>
        <w:tab/>
        <w:t>OSTATNÍ PRVKY</w:t>
      </w:r>
    </w:p>
    <w:p w14:paraId="208B0AA5" w14:textId="77777777" w:rsidR="007F065E" w:rsidRPr="00CB683A" w:rsidRDefault="007F065E" w:rsidP="006A4733">
      <w:pPr>
        <w:pStyle w:val="ManualHeading2"/>
        <w:rPr>
          <w:rFonts w:eastAsia="Arial Unicode MS"/>
          <w:noProof/>
          <w:u w:color="000000"/>
          <w:bdr w:val="nil"/>
        </w:rPr>
      </w:pPr>
      <w:r w:rsidRPr="00CB683A">
        <w:rPr>
          <w:noProof/>
          <w:u w:color="000000"/>
          <w:bdr w:val="nil"/>
        </w:rPr>
        <w:t>•</w:t>
      </w:r>
      <w:r w:rsidRPr="00CB683A">
        <w:rPr>
          <w:noProof/>
        </w:rPr>
        <w:tab/>
      </w:r>
      <w:r w:rsidRPr="00CB683A">
        <w:rPr>
          <w:noProof/>
          <w:u w:color="000000"/>
          <w:bdr w:val="nil"/>
        </w:rPr>
        <w:t>Plány provádění a způsoby monitorování, hodnocení a podávání zpráv</w:t>
      </w:r>
    </w:p>
    <w:p w14:paraId="11242E11" w14:textId="77777777" w:rsidR="006A4733" w:rsidRPr="00CB683A" w:rsidRDefault="006A4733" w:rsidP="003A2F4C">
      <w:pPr>
        <w:pBdr>
          <w:top w:val="nil"/>
          <w:left w:val="nil"/>
          <w:bottom w:val="nil"/>
          <w:right w:val="nil"/>
          <w:between w:val="nil"/>
          <w:bar w:val="nil"/>
        </w:pBdr>
        <w:spacing w:before="0" w:after="240"/>
        <w:rPr>
          <w:noProof/>
        </w:rPr>
      </w:pPr>
      <w:r w:rsidRPr="00CB683A">
        <w:rPr>
          <w:noProof/>
        </w:rPr>
        <w:t>Očekává se, že Evropský parlament a Rada přijmou navrhované nařízení v roce 2023 a Komise brzy nato přijme prováděcí opatření. Nařízení bude přímo použitelné ve všech členských státech EU, aniž by byl zapotřebí prováděcí plán.</w:t>
      </w:r>
    </w:p>
    <w:p w14:paraId="3407F8A6" w14:textId="77777777" w:rsidR="006A4733" w:rsidRPr="00CB683A" w:rsidRDefault="006A4733" w:rsidP="0037357C">
      <w:pPr>
        <w:rPr>
          <w:noProof/>
        </w:rPr>
      </w:pPr>
      <w:r w:rsidRPr="00CB683A">
        <w:rPr>
          <w:noProof/>
        </w:rPr>
        <w:t>Počítá se s tím, že členské státy zahájí poskytování údajů Komisi podle nového nařízení v roce 2026.</w:t>
      </w:r>
    </w:p>
    <w:p w14:paraId="30DAD42B" w14:textId="77777777" w:rsidR="007F065E" w:rsidRPr="00CB683A" w:rsidRDefault="006A4733" w:rsidP="00625B5A">
      <w:pPr>
        <w:rPr>
          <w:noProof/>
        </w:rPr>
      </w:pPr>
      <w:r w:rsidRPr="00CB683A">
        <w:rPr>
          <w:noProof/>
        </w:rPr>
        <w:t>V souladu s posouzením dopadů bude provádění přijatého nařízení pravidelně monitorováno a vyhodnocováno. Posouzení dopadů obsahuje rovněž mechanismy pro monitorování, včetně návrhů ukazatelů, které se mají použít.</w:t>
      </w:r>
    </w:p>
    <w:p w14:paraId="560A439F" w14:textId="77777777" w:rsidR="007F065E" w:rsidRPr="00CB683A" w:rsidRDefault="007F065E" w:rsidP="00FE41E8">
      <w:pPr>
        <w:pStyle w:val="ManualHeading2"/>
        <w:rPr>
          <w:rFonts w:eastAsia="Arial Unicode MS"/>
          <w:noProof/>
          <w:u w:color="000000"/>
          <w:bdr w:val="nil"/>
        </w:rPr>
      </w:pPr>
      <w:r w:rsidRPr="00CB683A">
        <w:rPr>
          <w:noProof/>
          <w:u w:color="000000"/>
          <w:bdr w:val="nil"/>
        </w:rPr>
        <w:t>•</w:t>
      </w:r>
      <w:r w:rsidRPr="00CB683A">
        <w:rPr>
          <w:noProof/>
        </w:rPr>
        <w:tab/>
      </w:r>
      <w:r w:rsidRPr="00CB683A">
        <w:rPr>
          <w:noProof/>
          <w:u w:color="000000"/>
          <w:bdr w:val="nil"/>
        </w:rPr>
        <w:t>Podrobné vysvětlení konkrétních ustanovení návrhu</w:t>
      </w:r>
    </w:p>
    <w:p w14:paraId="62D107F9" w14:textId="77777777" w:rsidR="001274D5" w:rsidRPr="00CB683A" w:rsidRDefault="001274D5" w:rsidP="001A4795">
      <w:pPr>
        <w:rPr>
          <w:noProof/>
        </w:rPr>
      </w:pPr>
      <w:r w:rsidRPr="00CB683A">
        <w:rPr>
          <w:noProof/>
        </w:rPr>
        <w:t>Navrhované nařízení zavádí nový rámec pro evropskou statistiku o obyvatelstvu, domech a bytech. Zahrnuje současné statistiky o demografii, migraci a sčítání lidu a stanoví, že členské státy musí poskytovat statistiky o třech oblastech (demografie, byty a domy, rodiny a domácnosti), jedenácti souvisejících tématech a 23 dílčích tématech. Tyto statistiky mají být podpořeny články o předmětu, definicích, statistickém souboru a jednotkách, periodicitě a referenčních časech, zdrojích údajů a metodách, včetně specifických prvků pro opakované využití zdrojů administrativních údajů, statistické důvěrnosti, specifikacích kvality, sdílení údajů, pilotních studiích a studiích proveditelnosti a případných finančních příspěvcích.</w:t>
      </w:r>
    </w:p>
    <w:p w14:paraId="082BB3CD" w14:textId="77777777" w:rsidR="0052127B" w:rsidRPr="00CB683A" w:rsidRDefault="0052127B" w:rsidP="00B76807">
      <w:pPr>
        <w:rPr>
          <w:noProof/>
        </w:rPr>
      </w:pPr>
      <w:r w:rsidRPr="00CB683A">
        <w:rPr>
          <w:noProof/>
        </w:rPr>
        <w:t>Jako klíčový aspekt definic pojmů je tento návrh zaměřen na řešení strukturálního problému v současných právních předpisech, který byl zjištěn při hodnocení: nedostatečná harmonizace definice populační základny. Nový návrh vychází ze společné definice obyvatelstva založené na statistickém pojmu místa obvyklého pobytu bez standardních výjimek. Kromě toho jsou výslovně podporovány vědecké statistické metody odhadu (jako jsou „známky života“ nebo „míra pobytu“), aby bylo možné zavést definici vycházející ze zdrojů administrativních údajů. Dosažení harmonizované definice obyvatelstva, která by byla v souladu s upřednostňovanými možnostmi v posouzení dopadů řádně zavedena ve všech členských státech, by výrazně zlepšilo srovnatelnost a soudržnost evropské statistiky o obyvatelstvu.</w:t>
      </w:r>
    </w:p>
    <w:p w14:paraId="0F9D78DF" w14:textId="77777777" w:rsidR="001274D5" w:rsidRPr="00CB683A" w:rsidRDefault="00313CD6" w:rsidP="001A4795">
      <w:pPr>
        <w:rPr>
          <w:noProof/>
        </w:rPr>
      </w:pPr>
      <w:r w:rsidRPr="00CB683A">
        <w:rPr>
          <w:noProof/>
        </w:rPr>
        <w:t xml:space="preserve">Podrobnosti o požadavcích na údaje by byly stanoveny v prováděcích aktech, ale navrhované nařízení umožňuje měnit seznam dílčích témat a jejich periodicitu a referenční časy pomocí aktů v přenesené pravomoci. Návrh rovněž poskytuje možnost reagovat na budoucí požadavky na údaje prostřednictvím sběru údajů </w:t>
      </w:r>
      <w:r w:rsidRPr="00CB683A">
        <w:rPr>
          <w:i/>
          <w:noProof/>
        </w:rPr>
        <w:t>ad hoc</w:t>
      </w:r>
      <w:r w:rsidRPr="00CB683A">
        <w:rPr>
          <w:noProof/>
        </w:rPr>
        <w:t>. Navrhované nařízení také vyžaduje, aby byly podle potřeby zahájeny pilotní studie a studie proveditelnosti, a nabízí možné spolufinancování další modernizace systémů tvorby statistik a testování nových témat. Tyto prováděcí a přenesené pravomoci svěřené Komisi, jakož i možnost zahájit pilotní studie / studie proveditelnosti, jsou navrhovány s cílem zachovat určitou pružnost nového rámce, aby bylo možné řešit vznikající potřeby uživatelů a příležitosti vyplývající z nových zdrojů údajů v delším časovém horizontu do budoucna.</w:t>
      </w:r>
    </w:p>
    <w:p w14:paraId="2732BBBC" w14:textId="77777777" w:rsidR="009370AA" w:rsidRPr="00CB683A" w:rsidRDefault="009370AA" w:rsidP="009370AA">
      <w:pPr>
        <w:rPr>
          <w:noProof/>
        </w:rPr>
      </w:pPr>
      <w:r w:rsidRPr="00CB683A">
        <w:rPr>
          <w:noProof/>
        </w:rPr>
        <w:t>Kromě toho je v článku věnovaném konkrétně sdílení údajů popsáno, jak lze pro zvláštní účely statistiky o obyvatelstvu sdílet důvěrné údaje podle nařízení Evropského parlamentu a Rady (ES) č. 223/2009</w:t>
      </w:r>
      <w:r w:rsidRPr="00CB683A">
        <w:rPr>
          <w:rStyle w:val="FootnoteReference"/>
          <w:noProof/>
        </w:rPr>
        <w:footnoteReference w:id="18"/>
      </w:r>
      <w:r w:rsidRPr="00CB683A">
        <w:rPr>
          <w:noProof/>
        </w:rPr>
        <w:t>. Na jedné straně předchozí zkušenosti ukázaly, že k účinnému řešení otázek pokrytí souvisejících se svobodou pohybu občanů EU je zapotřebí přeshraniční spolupráce mezi národními statistickými úřady založené na jednotlivých záznamech. Na druhou stranu nařízení (EU) 2016/679 sdílení údajů v těchto souvislostech přísně omezuje, a to na základě šesti zásad, mezi něž patří účelové omezení, minimalizace údajů, integrita a důvěrnost. Aby bylo možné účinně sdílet údaje pro účely kvality v souladu s nařízením (EU) 2016/679, vyžaduje tento návrh testování a používání technologií zvyšujících ochranu soukromí, které zajišťují záměrnou minimalizaci údajů. Komise (Eurostat) musí rovněž vytvořit bezpečnou infrastrukturu, která takové sdílení údajů usnadní a zároveň zajistí technickou integritu a důvěrnost zpracování údajů.</w:t>
      </w:r>
    </w:p>
    <w:p w14:paraId="6058E207" w14:textId="77777777" w:rsidR="009370AA" w:rsidRPr="00CB683A" w:rsidRDefault="009370AA" w:rsidP="009370AA">
      <w:pPr>
        <w:rPr>
          <w:noProof/>
        </w:rPr>
      </w:pPr>
      <w:r w:rsidRPr="00CB683A">
        <w:rPr>
          <w:noProof/>
        </w:rPr>
        <w:t>Část návrhu, kterou se mění nařízení (ES) č. 862/2007, má tři různé účely:</w:t>
      </w:r>
    </w:p>
    <w:p w14:paraId="4CE4125D" w14:textId="31908B5A" w:rsidR="009370AA" w:rsidRPr="00CB683A" w:rsidRDefault="00C90467" w:rsidP="00C90467">
      <w:pPr>
        <w:pStyle w:val="Point0"/>
        <w:rPr>
          <w:noProof/>
        </w:rPr>
      </w:pPr>
      <w:r>
        <w:rPr>
          <w:noProof/>
        </w:rPr>
        <w:t>1)</w:t>
      </w:r>
      <w:r>
        <w:rPr>
          <w:noProof/>
        </w:rPr>
        <w:tab/>
      </w:r>
      <w:r w:rsidR="009370AA" w:rsidRPr="00CB683A">
        <w:rPr>
          <w:noProof/>
        </w:rPr>
        <w:t>omezit jeho statistický rozsah vypuštěním článku 3, jehož statistická témata jsou přesunuta do nového rámce evropské statistiky o obyvatelstvu;</w:t>
      </w:r>
    </w:p>
    <w:p w14:paraId="64A1623C" w14:textId="21941019" w:rsidR="009370AA" w:rsidRPr="00CB683A" w:rsidRDefault="00C90467" w:rsidP="00C90467">
      <w:pPr>
        <w:pStyle w:val="Point0"/>
        <w:rPr>
          <w:noProof/>
        </w:rPr>
      </w:pPr>
      <w:r>
        <w:rPr>
          <w:noProof/>
        </w:rPr>
        <w:t>2)</w:t>
      </w:r>
      <w:r>
        <w:rPr>
          <w:noProof/>
        </w:rPr>
        <w:tab/>
      </w:r>
      <w:r w:rsidR="009370AA" w:rsidRPr="00CB683A">
        <w:rPr>
          <w:noProof/>
        </w:rPr>
        <w:t>doplnit další právní nástroje pro statistické orgány ohledně včasného přístupu ke zdrojům administrativních údajů a jejich opakovaného využití pro účely uvedeného nařízení, a to v souladu s rozšířenými nástroji doplněnými do samotného návrhu evropské statistiky o obyvatelstvu;</w:t>
      </w:r>
    </w:p>
    <w:p w14:paraId="1E427995" w14:textId="0F1A3A8A" w:rsidR="009370AA" w:rsidRPr="00CB683A" w:rsidRDefault="00C90467" w:rsidP="00C90467">
      <w:pPr>
        <w:pStyle w:val="Point0"/>
        <w:rPr>
          <w:noProof/>
        </w:rPr>
      </w:pPr>
      <w:r>
        <w:rPr>
          <w:noProof/>
        </w:rPr>
        <w:t>3)</w:t>
      </w:r>
      <w:r>
        <w:rPr>
          <w:noProof/>
        </w:rPr>
        <w:tab/>
      </w:r>
      <w:r w:rsidR="009370AA" w:rsidRPr="00CB683A">
        <w:rPr>
          <w:noProof/>
        </w:rPr>
        <w:t>zajistit, aby seznamy zemí a území používané pro účely uvedeného nařízení byly harmonizovány se seznamy používanými v novém rámci pro evropskou statistiku o obyvatelstvu.</w:t>
      </w:r>
    </w:p>
    <w:p w14:paraId="773EFE2D" w14:textId="77777777" w:rsidR="009370AA" w:rsidRPr="00CB683A" w:rsidRDefault="009370AA" w:rsidP="00E468F7">
      <w:pPr>
        <w:rPr>
          <w:noProof/>
        </w:rPr>
      </w:pPr>
      <w:r w:rsidRPr="00CB683A">
        <w:rPr>
          <w:noProof/>
        </w:rPr>
        <w:t>V zájmu zajištění konzistentnosti je třeba prostřednictvím návrhu evropské statistiky o obyvatelstvu změnit nařízení (ES) č. 862/2007, neboť statistická témata se z tohoto nařízení přesouvají do nového rámce pro evropskou statistiku o obyvatelstvu. Pro tento přístup existují důležité statistické a metodické důvody:</w:t>
      </w:r>
    </w:p>
    <w:p w14:paraId="46A9F544" w14:textId="36F5DAA2" w:rsidR="009370AA" w:rsidRPr="00CB683A" w:rsidRDefault="009370AA" w:rsidP="009370AA">
      <w:pPr>
        <w:pStyle w:val="Tiret0"/>
        <w:rPr>
          <w:noProof/>
        </w:rPr>
      </w:pPr>
      <w:r w:rsidRPr="00CB683A">
        <w:rPr>
          <w:noProof/>
        </w:rPr>
        <w:t xml:space="preserve"> „migrace“, na kterou se v současné době vztahuje čl. 3 odst. 1 písm. a)–c) nařízení (ES) č. 862/2007, vymezuje základní demografický pojem stěhování lidí s cílem žít v jiné zemi, tj. část toků, které mění demografickou rovnováhu země. Cílem návrhu evropské statistiky o obyvatelstvu je poprvé zavést jednotný a soudržný právní základ pro všechny prvky demografické rovnováhy. Měl by zahrnovat všechny toky</w:t>
      </w:r>
      <w:r w:rsidR="00D106F5">
        <w:rPr>
          <w:noProof/>
        </w:rPr>
        <w:t>,</w:t>
      </w:r>
      <w:r w:rsidRPr="00CB683A">
        <w:rPr>
          <w:noProof/>
        </w:rPr>
        <w:t xml:space="preserve"> včetně událostí přirozené měny (narození, úmrtí), ale také migrační toky a stavy – ve smyslu změny místa pobytu z jedné země do druhé.</w:t>
      </w:r>
    </w:p>
    <w:p w14:paraId="0133015B" w14:textId="77777777" w:rsidR="009370AA" w:rsidRPr="00CB683A" w:rsidRDefault="009370AA" w:rsidP="009370AA">
      <w:pPr>
        <w:pStyle w:val="Tiret0"/>
        <w:rPr>
          <w:noProof/>
        </w:rPr>
      </w:pPr>
      <w:r w:rsidRPr="00CB683A">
        <w:rPr>
          <w:noProof/>
        </w:rPr>
        <w:t>„Nabytí a pozbytí státního občanství“, na které se v současnosti vztahuje čl. 3 odst. 1 písm. d) nařízení (ES) č. 862/2007, je statistické téma, jež svou povahou úzce souvisí s demografickou rovnováhou, neboť doplňuje události přirozené měny o změny (příliv a odliv) občanské populace s pobytem v dané zemi.</w:t>
      </w:r>
    </w:p>
    <w:p w14:paraId="1CC7B6C2" w14:textId="77777777" w:rsidR="007F065E" w:rsidRPr="00CB683A" w:rsidRDefault="009370AA" w:rsidP="009370AA">
      <w:pPr>
        <w:rPr>
          <w:noProof/>
        </w:rPr>
      </w:pPr>
      <w:r w:rsidRPr="00CB683A">
        <w:rPr>
          <w:noProof/>
        </w:rPr>
        <w:t>Všechny ostatní navrhované změny nařízení (ES) č. 862/2007 (změna názvu, vypuštění předmětných odstavců v článku 1 a definic v článku 2) vyplývají z výsledné omezené oblasti působnosti uvedeného nařízení.</w:t>
      </w:r>
    </w:p>
    <w:p w14:paraId="34BAFAE2" w14:textId="77777777" w:rsidR="00C92915" w:rsidRPr="00CB683A" w:rsidRDefault="00C92915" w:rsidP="00FE41E8">
      <w:pPr>
        <w:rPr>
          <w:noProof/>
        </w:rPr>
        <w:sectPr w:rsidR="00C92915" w:rsidRPr="00CB683A" w:rsidSect="009925B6">
          <w:footerReference w:type="default" r:id="rId13"/>
          <w:footerReference w:type="first" r:id="rId14"/>
          <w:pgSz w:w="11907" w:h="16839"/>
          <w:pgMar w:top="1134" w:right="1417" w:bottom="1134" w:left="1417" w:header="709" w:footer="709" w:gutter="0"/>
          <w:cols w:space="708"/>
          <w:docGrid w:linePitch="360"/>
        </w:sectPr>
      </w:pPr>
    </w:p>
    <w:p w14:paraId="04377D3F" w14:textId="211A3655" w:rsidR="007F065E" w:rsidRPr="00CB683A" w:rsidRDefault="00061A4D" w:rsidP="00061A4D">
      <w:pPr>
        <w:pStyle w:val="Rfrenceinterinstitutionnelle"/>
        <w:rPr>
          <w:noProof/>
        </w:rPr>
      </w:pPr>
      <w:r w:rsidRPr="00061A4D">
        <w:t>2023/0008 (COD)</w:t>
      </w:r>
    </w:p>
    <w:p w14:paraId="5FCC7A24" w14:textId="55D57F75" w:rsidR="007F065E" w:rsidRPr="00CB683A" w:rsidRDefault="00551191" w:rsidP="00551191">
      <w:pPr>
        <w:pStyle w:val="Statut"/>
        <w:rPr>
          <w:noProof/>
        </w:rPr>
      </w:pPr>
      <w:r w:rsidRPr="00551191">
        <w:rPr>
          <w:noProof/>
        </w:rPr>
        <w:t>Návrh</w:t>
      </w:r>
    </w:p>
    <w:p w14:paraId="4276ABA1" w14:textId="4C594797" w:rsidR="007F065E" w:rsidRPr="00CB683A" w:rsidRDefault="00551191" w:rsidP="00551191">
      <w:pPr>
        <w:pStyle w:val="Typedudocument"/>
        <w:rPr>
          <w:noProof/>
        </w:rPr>
      </w:pPr>
      <w:r w:rsidRPr="00551191">
        <w:rPr>
          <w:noProof/>
        </w:rPr>
        <w:t>NAŘÍZENÍ EVROPSKÉHO PARLAMENTU A RADY</w:t>
      </w:r>
    </w:p>
    <w:p w14:paraId="5DA31AE6" w14:textId="1A9170A3" w:rsidR="007F065E" w:rsidRPr="00CB683A" w:rsidRDefault="00551191" w:rsidP="00551191">
      <w:pPr>
        <w:pStyle w:val="Titreobjet"/>
        <w:rPr>
          <w:noProof/>
        </w:rPr>
      </w:pPr>
      <w:r w:rsidRPr="00551191">
        <w:rPr>
          <w:noProof/>
        </w:rPr>
        <w:t>o evropské statistice o obyvatelstvu, domech a bytech, kterým se mění nařízení (ES) č. 862/2007 a zrušují nařízení (ES) č. 763/2008 a (EU) č. 1260/2013</w:t>
      </w:r>
    </w:p>
    <w:p w14:paraId="554BDA78" w14:textId="36D4427C" w:rsidR="007F065E" w:rsidRPr="00CB683A" w:rsidRDefault="00551191" w:rsidP="00551191">
      <w:pPr>
        <w:pStyle w:val="IntrtEEE"/>
        <w:rPr>
          <w:noProof/>
        </w:rPr>
      </w:pPr>
      <w:r w:rsidRPr="00551191">
        <w:rPr>
          <w:noProof/>
        </w:rPr>
        <w:t>(Text s významem pro EHP)</w:t>
      </w:r>
    </w:p>
    <w:p w14:paraId="5A092388" w14:textId="77777777" w:rsidR="007F065E" w:rsidRPr="00CB683A" w:rsidRDefault="007F065E" w:rsidP="00FE41E8">
      <w:pPr>
        <w:pStyle w:val="Institutionquiagit"/>
        <w:rPr>
          <w:noProof/>
        </w:rPr>
      </w:pPr>
      <w:r w:rsidRPr="00CB683A">
        <w:rPr>
          <w:noProof/>
        </w:rPr>
        <w:t>EVROPSKÝ PARLAMENT A RADA EVROPSKÉ UNIE,</w:t>
      </w:r>
    </w:p>
    <w:p w14:paraId="2BA4EE80" w14:textId="77777777" w:rsidR="007F065E" w:rsidRPr="00CB683A" w:rsidRDefault="007F065E" w:rsidP="00FE41E8">
      <w:pPr>
        <w:rPr>
          <w:noProof/>
        </w:rPr>
      </w:pPr>
      <w:r w:rsidRPr="00CB683A">
        <w:rPr>
          <w:noProof/>
        </w:rPr>
        <w:t>s ohledem na Smlouvu o fungování Evropské unie, a zejména na čl. 338 odst. 1 této smlouvy,</w:t>
      </w:r>
    </w:p>
    <w:p w14:paraId="715E7306" w14:textId="77777777" w:rsidR="007F065E" w:rsidRPr="00CB683A" w:rsidRDefault="007F065E" w:rsidP="00FE41E8">
      <w:pPr>
        <w:rPr>
          <w:noProof/>
        </w:rPr>
      </w:pPr>
      <w:r w:rsidRPr="00CB683A">
        <w:rPr>
          <w:noProof/>
        </w:rPr>
        <w:t>s ohledem na návrh Evropské komise,</w:t>
      </w:r>
    </w:p>
    <w:p w14:paraId="4F6F94CE" w14:textId="77777777" w:rsidR="007F065E" w:rsidRPr="00CB683A" w:rsidRDefault="007F065E" w:rsidP="00FE41E8">
      <w:pPr>
        <w:rPr>
          <w:noProof/>
        </w:rPr>
      </w:pPr>
      <w:r w:rsidRPr="00CB683A">
        <w:rPr>
          <w:noProof/>
        </w:rPr>
        <w:t>po předložení návrhu legislativního aktu vnitrostátním parlamentům,</w:t>
      </w:r>
    </w:p>
    <w:p w14:paraId="06AC84C5" w14:textId="77777777" w:rsidR="007F065E" w:rsidRPr="00CB683A" w:rsidRDefault="007F065E" w:rsidP="00FE41E8">
      <w:pPr>
        <w:rPr>
          <w:noProof/>
        </w:rPr>
      </w:pPr>
      <w:r w:rsidRPr="00CB683A">
        <w:rPr>
          <w:noProof/>
        </w:rPr>
        <w:t>s ohledem na stanovisko Evropského hospodářského a sociálního výboru</w:t>
      </w:r>
      <w:r w:rsidRPr="00CB683A">
        <w:rPr>
          <w:rStyle w:val="FootnoteReference"/>
          <w:noProof/>
        </w:rPr>
        <w:footnoteReference w:id="19"/>
      </w:r>
      <w:r w:rsidRPr="00CB683A">
        <w:rPr>
          <w:noProof/>
        </w:rPr>
        <w:t>,</w:t>
      </w:r>
    </w:p>
    <w:p w14:paraId="236E3C8E" w14:textId="77777777" w:rsidR="007F065E" w:rsidRPr="00CB683A" w:rsidRDefault="007F065E" w:rsidP="00FE41E8">
      <w:pPr>
        <w:rPr>
          <w:noProof/>
        </w:rPr>
      </w:pPr>
      <w:r w:rsidRPr="00CB683A">
        <w:rPr>
          <w:noProof/>
        </w:rPr>
        <w:t>s ohledem na stanovisko Výboru regionů</w:t>
      </w:r>
      <w:r w:rsidRPr="00CB683A">
        <w:rPr>
          <w:rStyle w:val="FootnoteReference"/>
          <w:noProof/>
        </w:rPr>
        <w:footnoteReference w:id="20"/>
      </w:r>
      <w:r w:rsidRPr="00CB683A">
        <w:rPr>
          <w:noProof/>
        </w:rPr>
        <w:t>,</w:t>
      </w:r>
    </w:p>
    <w:p w14:paraId="5715D5E5" w14:textId="77777777" w:rsidR="007F065E" w:rsidRPr="00CB683A" w:rsidRDefault="007F065E" w:rsidP="00FE41E8">
      <w:pPr>
        <w:rPr>
          <w:noProof/>
        </w:rPr>
      </w:pPr>
      <w:r w:rsidRPr="00CB683A">
        <w:rPr>
          <w:noProof/>
        </w:rPr>
        <w:t>v souladu s řádným legislativním postupem,</w:t>
      </w:r>
    </w:p>
    <w:p w14:paraId="7BBBA8E0" w14:textId="77777777" w:rsidR="00DB2C46" w:rsidRPr="00CB683A" w:rsidRDefault="00DB2C46" w:rsidP="00DB2C46">
      <w:pPr>
        <w:rPr>
          <w:noProof/>
        </w:rPr>
      </w:pPr>
      <w:r w:rsidRPr="00CB683A">
        <w:rPr>
          <w:noProof/>
        </w:rPr>
        <w:t>vzhledem k těmto důvodům:</w:t>
      </w:r>
    </w:p>
    <w:p w14:paraId="694A8EC9" w14:textId="607E9D6A" w:rsidR="00DB2C46" w:rsidRPr="00CB683A" w:rsidRDefault="00891439" w:rsidP="00891439">
      <w:pPr>
        <w:pStyle w:val="ManualConsidrant"/>
        <w:rPr>
          <w:noProof/>
        </w:rPr>
      </w:pPr>
      <w:r w:rsidRPr="00891439">
        <w:t>(1)</w:t>
      </w:r>
      <w:r w:rsidRPr="00891439">
        <w:tab/>
      </w:r>
      <w:r w:rsidR="00DB2C46" w:rsidRPr="00CB683A">
        <w:rPr>
          <w:noProof/>
        </w:rPr>
        <w:t>Evropské statistiky o obyvatelstvu, domech a bytech jsou nezbytné pro navrhování, naplňování a hodnocení politik Unie, zejména těch, které se zabývají demografickými změnami, zelenou a digitální transformací, podporou energetické účinnosti, hospodářskou, sociální a územní soudržností a plněním cílů Agendy pro udržitelný rozvoj 2030 Organizace spojených národů.</w:t>
      </w:r>
    </w:p>
    <w:p w14:paraId="6C54A722" w14:textId="58E83D25" w:rsidR="00DB2C46" w:rsidRPr="00CB683A" w:rsidRDefault="00891439" w:rsidP="00891439">
      <w:pPr>
        <w:pStyle w:val="ManualConsidrant"/>
        <w:rPr>
          <w:noProof/>
        </w:rPr>
      </w:pPr>
      <w:r w:rsidRPr="00891439">
        <w:t>(2)</w:t>
      </w:r>
      <w:r w:rsidRPr="00891439">
        <w:tab/>
      </w:r>
      <w:r w:rsidR="00DB2C46" w:rsidRPr="00CB683A">
        <w:rPr>
          <w:noProof/>
        </w:rPr>
        <w:t>Statistiky o obyvatelstvu jsou důležitým společným jmenovatelem celé řady ukazatelů týkajících se politik a používají se jako referenční údaje v rámci celé evropské statistiky, zejména pro účely poskytování opor výběru pro provádění reprezentativních zjišťování o osobách a domácnostech podle nařízení Evropského parlamentu a Rady (EU) 2019/1700</w:t>
      </w:r>
      <w:r w:rsidR="00DB2C46" w:rsidRPr="00CB683A">
        <w:rPr>
          <w:rStyle w:val="FootnoteReference"/>
          <w:iCs/>
          <w:noProof/>
          <w:szCs w:val="24"/>
        </w:rPr>
        <w:footnoteReference w:id="21"/>
      </w:r>
      <w:r w:rsidR="00DB2C46" w:rsidRPr="00CB683A">
        <w:rPr>
          <w:noProof/>
        </w:rPr>
        <w:t>.</w:t>
      </w:r>
    </w:p>
    <w:p w14:paraId="069CB5B2" w14:textId="613211F8" w:rsidR="00DB2C46" w:rsidRPr="00CB683A" w:rsidRDefault="00891439" w:rsidP="00891439">
      <w:pPr>
        <w:pStyle w:val="ManualConsidrant"/>
        <w:rPr>
          <w:noProof/>
        </w:rPr>
      </w:pPr>
      <w:r w:rsidRPr="00891439">
        <w:t>(3)</w:t>
      </w:r>
      <w:r w:rsidRPr="00891439">
        <w:tab/>
      </w:r>
      <w:r w:rsidR="00DB2C46" w:rsidRPr="00CB683A">
        <w:rPr>
          <w:noProof/>
        </w:rPr>
        <w:t>Rada pro hospodářské a finanční věci pravidelně pověřuje Výbor pro hospodářskou politiku, aby vyhodnotil dlouhodobou udržitelnost a kvalitu veřejných financí na základě projekcí počtu obyvatel vypracovaných Eurostatem. Projekce počtu obyvatel se rovněž používají pro účely analýzy politik v souvislosti s evropským semestrem. Komise (Eurostat) by měla mít k dispozici veškeré statistické údaje potřebné k vypracování a zveřejnění projekcí počtu obyvatel podle informačních potřeb Unie.</w:t>
      </w:r>
    </w:p>
    <w:p w14:paraId="44F32855" w14:textId="27A43280" w:rsidR="00DB2C46" w:rsidRPr="00CB683A" w:rsidRDefault="00891439" w:rsidP="00891439">
      <w:pPr>
        <w:pStyle w:val="ManualConsidrant"/>
        <w:rPr>
          <w:noProof/>
        </w:rPr>
      </w:pPr>
      <w:r w:rsidRPr="00891439">
        <w:t>(4)</w:t>
      </w:r>
      <w:r w:rsidRPr="00891439">
        <w:tab/>
      </w:r>
      <w:r w:rsidR="00DB2C46" w:rsidRPr="00CB683A">
        <w:rPr>
          <w:noProof/>
        </w:rPr>
        <w:t>V souladu s čl. 175 odst. 2 Smlouvy o fungování EU by Komise měla každé tři roky předkládat Evropskému parlamentu, Radě, Hospodářskému a sociálnímu výboru a Výboru regionů zprávu o pokroku dosaženém při upevňování hospodářské, sociální a územní soudržnosti. Příprava těchto zpráv a pravidelné monitorování demografického vývoje a možných budoucích demografických výzev na územích Unie vyžadují regionální a místní údaje, včetně údajů pro různé typy území, jako jsou pohraniční regiony, města a jejich funkční městské oblasti, metropolitní regiony, venkovské regiony, horské a ostrovní regiony.</w:t>
      </w:r>
    </w:p>
    <w:p w14:paraId="3F5F2756" w14:textId="6AD5D047" w:rsidR="00DB2C46" w:rsidRPr="00CB683A" w:rsidRDefault="00891439" w:rsidP="00891439">
      <w:pPr>
        <w:pStyle w:val="ManualConsidrant"/>
        <w:rPr>
          <w:noProof/>
        </w:rPr>
      </w:pPr>
      <w:r w:rsidRPr="00891439">
        <w:t>(5)</w:t>
      </w:r>
      <w:r w:rsidRPr="00891439">
        <w:tab/>
      </w:r>
      <w:r w:rsidR="00DB2C46" w:rsidRPr="00CB683A">
        <w:rPr>
          <w:noProof/>
        </w:rPr>
        <w:t>Podle čl. 16 odst. 4 Smlouvy o Evropské unii je kvalifikovaná většina členů Rady vymezena mimo jiné na základě počtu obyvatel v členských státech. Za tímto účelem jsou členské státy podle čl. 4 odst. 1 nařízení Evropského parlamentu a Rady (EU) č. 1260/2013</w:t>
      </w:r>
      <w:r w:rsidR="00DB2C46" w:rsidRPr="00CB683A">
        <w:rPr>
          <w:rStyle w:val="FootnoteReference"/>
          <w:noProof/>
          <w:szCs w:val="24"/>
        </w:rPr>
        <w:footnoteReference w:id="22"/>
      </w:r>
      <w:r w:rsidR="00DB2C46" w:rsidRPr="00CB683A">
        <w:rPr>
          <w:noProof/>
        </w:rPr>
        <w:t xml:space="preserve"> v současné době povinny poskytovat Komisi (Eurostatu) údaje o celkovém počtu obyvatel na národní úrovni.</w:t>
      </w:r>
    </w:p>
    <w:p w14:paraId="4074DBA5" w14:textId="4DF92A3A" w:rsidR="00DB2C46" w:rsidRPr="00CB683A" w:rsidRDefault="00891439" w:rsidP="00891439">
      <w:pPr>
        <w:pStyle w:val="ManualConsidrant"/>
        <w:rPr>
          <w:noProof/>
        </w:rPr>
      </w:pPr>
      <w:r w:rsidRPr="00891439">
        <w:t>(6)</w:t>
      </w:r>
      <w:r w:rsidRPr="00891439">
        <w:tab/>
      </w:r>
      <w:r w:rsidR="00DB2C46" w:rsidRPr="00CB683A">
        <w:rPr>
          <w:noProof/>
        </w:rPr>
        <w:t>V roce 2017 Výbor pro evropský statistický systém (ESSC) schválil Budapešťské memorandum, v němž se uvádí potřeba každoroční statistiky o počtu a některých sociálních, hospodářských a demografických charakteristikách obyvatel a zlepšení statistik týkajících se migrace. Za účelem dodržování zásad rovnosti a nediskriminace svých občanů při všech činnostech a práv jednotlivých občanů zakotvených v Listině základních práv Evropské unie</w:t>
      </w:r>
      <w:r w:rsidR="00DB2C46" w:rsidRPr="00CB683A">
        <w:rPr>
          <w:rStyle w:val="FootnoteReference"/>
          <w:noProof/>
          <w:szCs w:val="24"/>
        </w:rPr>
        <w:footnoteReference w:id="23"/>
      </w:r>
      <w:r w:rsidR="00DB2C46" w:rsidRPr="00CB683A">
        <w:rPr>
          <w:noProof/>
        </w:rPr>
        <w:t xml:space="preserve"> a v článcích 10 a 19 Smlouvy o fungování EU potřebuje Unie spolehlivé a srovnatelné statistiky. Nařízení (EU) 2019/1700 stanoví rámec pro sběr údajů na základě výběrových souborů, které umožňují sběr údajů o rovnosti a nediskriminaci, pokud je to u výběrových souborů možné, a analyzovat některé aspekty rovnosti a diskriminace prostřednictvím ekonomických a sociálních ukazatelů a informací o zkušenostech s diskriminací. Kromě toho Agentura Evropské unie pro základní práva (FRA) a Evropský institut pro rovnost žen a mužů (EIGE) provádějí zvláštní studie a specializované průzkumy, které mohou dále rozšířit dostupnost statistik týkajících se rovnosti na úrovni EU. Budoucí spolupráce a koordinace mezi členskými státy, Eurostatem a uvedenými subjekty by měla být posílena, aby se vyhovělo rostoucím požadavkům uživatelů na spolehlivé a komplexní údaje o rovnosti a rozmanitosti v Unii.</w:t>
      </w:r>
    </w:p>
    <w:p w14:paraId="5E1B14C4" w14:textId="24CC5582" w:rsidR="00DB2C46" w:rsidRPr="00CB683A" w:rsidRDefault="00891439" w:rsidP="00891439">
      <w:pPr>
        <w:pStyle w:val="ManualConsidrant"/>
        <w:rPr>
          <w:noProof/>
        </w:rPr>
      </w:pPr>
      <w:r w:rsidRPr="00891439">
        <w:t>(7)</w:t>
      </w:r>
      <w:r w:rsidRPr="00891439">
        <w:tab/>
      </w:r>
      <w:r w:rsidR="00DB2C46" w:rsidRPr="00CB683A">
        <w:rPr>
          <w:noProof/>
        </w:rPr>
        <w:t>Aby bylo možné dosáhnout cílů Zelené dohody pro Evropu, je pro rozvoj a hodnocení účinných politik zapotřebí rozšířit statistiky týkající se spotřeby energie a energetické účinnosti v oblasti bydlení, podrobných geografických údajů o rozložení obyvatelstva a rovněž prohloubit studie o vztahu mezi obyvatelstvem a bydlením. V souvislosti s pandemií COVID-19 vyplynula potřeba spolehlivých, četných a včasných statistik úmrtí v Unii. Ačkoliv potřeby údajů byly uspokojeny dobrovolným sběrem údajů členskými státy pro Komisi (Eurostat), Unie potřebuje odpovídající mechanismus pro povinný sběr takových údajů v rámci Evropského statistického systému (ESS) s potřebnou četností, včasností a mírou podrobnosti.</w:t>
      </w:r>
    </w:p>
    <w:p w14:paraId="4FF89C83" w14:textId="0947DBEA" w:rsidR="00DB2C46" w:rsidRPr="00CB683A" w:rsidRDefault="00891439" w:rsidP="00891439">
      <w:pPr>
        <w:pStyle w:val="ManualConsidrant"/>
        <w:rPr>
          <w:noProof/>
        </w:rPr>
      </w:pPr>
      <w:r w:rsidRPr="00891439">
        <w:t>(8)</w:t>
      </w:r>
      <w:r w:rsidRPr="00891439">
        <w:tab/>
      </w:r>
      <w:r w:rsidR="00DB2C46" w:rsidRPr="00CB683A">
        <w:rPr>
          <w:noProof/>
        </w:rPr>
        <w:t xml:space="preserve"> Každých deset let přijímá Hospodářská a sociální rada OSN na návrh Statistické komise OSN rezoluce týkající se světového sčítání lidu, domů a bytů a vyzývá členské státy OSN, aby prováděly sčítání lidu, domů a bytů v souladu s mezinárodními a regionálními doporučeními a aby dodržovaly integritu, spolehlivost, přesnost a hodnotu výsledků sčítání lidu, domů a bytů. Evropská statistika o obyvatelstvu, domech a bytech by měla uvedená doporučení zohlednit.</w:t>
      </w:r>
    </w:p>
    <w:p w14:paraId="0F992A5B" w14:textId="455C842F" w:rsidR="00DB2C46" w:rsidRPr="00CB683A" w:rsidRDefault="00891439" w:rsidP="00891439">
      <w:pPr>
        <w:pStyle w:val="ManualConsidrant"/>
        <w:rPr>
          <w:noProof/>
        </w:rPr>
      </w:pPr>
      <w:r w:rsidRPr="00891439">
        <w:t>(9)</w:t>
      </w:r>
      <w:r w:rsidRPr="00891439">
        <w:tab/>
      </w:r>
      <w:r w:rsidR="00DB2C46" w:rsidRPr="00CB683A">
        <w:rPr>
          <w:noProof/>
        </w:rPr>
        <w:t>Nařízení Evropského parlamentu a Rady (ES) č. 223/2009</w:t>
      </w:r>
      <w:r w:rsidR="00DB2C46" w:rsidRPr="00CB683A">
        <w:rPr>
          <w:rStyle w:val="FootnoteReference"/>
          <w:noProof/>
          <w:szCs w:val="24"/>
        </w:rPr>
        <w:footnoteReference w:id="24"/>
      </w:r>
      <w:r w:rsidR="00DB2C46" w:rsidRPr="00CB683A">
        <w:rPr>
          <w:noProof/>
        </w:rPr>
        <w:t xml:space="preserve"> stanovilo právní rámec pro rozvoj, vypracovávání a šíření evropské statistiky založený na společných statistických zásadách. Uvedené nařízení zavádí kritéria kvality a poukazuje na potřebu snížit zátěž respondentů při plnění zpravodajské povinnosti a přispívat k obecnějšímu cíli snižování administrativní zátěže. Nový právní rámec pro evropskou statistiku o obyvatelstvu, domech a bytech by měl zavést kritéria kvality stanovená v uvedeném nařízení a usnadnit snižování zátěže tím, že bude účinně a efektivně znovu využívat dostupné zdroje údajů, včetně administrativních údajů.</w:t>
      </w:r>
    </w:p>
    <w:p w14:paraId="01FA9398" w14:textId="7B0D394F" w:rsidR="00DB2C46" w:rsidRPr="00CB683A" w:rsidRDefault="00891439" w:rsidP="00891439">
      <w:pPr>
        <w:pStyle w:val="ManualConsidrant"/>
        <w:rPr>
          <w:noProof/>
        </w:rPr>
      </w:pPr>
      <w:r w:rsidRPr="00891439">
        <w:t>(10)</w:t>
      </w:r>
      <w:r w:rsidRPr="00891439">
        <w:tab/>
      </w:r>
      <w:r w:rsidR="00DB2C46" w:rsidRPr="00CB683A">
        <w:rPr>
          <w:noProof/>
        </w:rPr>
        <w:t>Hodnocení stávajících statistik</w:t>
      </w:r>
      <w:r w:rsidR="00DB2C46" w:rsidRPr="00CB683A">
        <w:rPr>
          <w:rStyle w:val="FootnoteReference"/>
          <w:noProof/>
          <w:szCs w:val="24"/>
        </w:rPr>
        <w:footnoteReference w:id="25"/>
      </w:r>
      <w:r w:rsidR="00DB2C46" w:rsidRPr="00CB683A">
        <w:rPr>
          <w:noProof/>
        </w:rPr>
        <w:t xml:space="preserve"> o sčítání lidu, domů a bytů v Unii, statistik o mezinárodních migračních tocích, stavech migrantů a nabývání státního občanství a demografických statistik ukázalo, že současný právní rámec zahrnující nařízení Evropského parlamentu a Rady (ES) č. 862/2007</w:t>
      </w:r>
      <w:r w:rsidR="00DB2C46" w:rsidRPr="00CB683A">
        <w:rPr>
          <w:rStyle w:val="FootnoteReference"/>
          <w:noProof/>
          <w:szCs w:val="24"/>
        </w:rPr>
        <w:footnoteReference w:id="26"/>
      </w:r>
      <w:r w:rsidR="00DB2C46" w:rsidRPr="00CB683A">
        <w:rPr>
          <w:noProof/>
        </w:rPr>
        <w:t>, (ES) č. 763/2008</w:t>
      </w:r>
      <w:r w:rsidR="00DB2C46" w:rsidRPr="00CB683A">
        <w:rPr>
          <w:rStyle w:val="FootnoteReference"/>
          <w:noProof/>
          <w:szCs w:val="24"/>
        </w:rPr>
        <w:footnoteReference w:id="27"/>
      </w:r>
      <w:r w:rsidR="00DB2C46" w:rsidRPr="00CB683A">
        <w:rPr>
          <w:noProof/>
        </w:rPr>
        <w:t xml:space="preserve"> a (EU) č. 1260/2013 vedl k výraznému celkovému zlepšení statistik ve srovnání se situací v roce 2005, kdy tento právní rámec nebyl v platnosti. Tomuto rámci však může hrozit nedostatek soudržnosti a srovnatelnosti, což je třeba řešit.</w:t>
      </w:r>
    </w:p>
    <w:p w14:paraId="04FCD9FB" w14:textId="2A1B7967" w:rsidR="00DB2C46" w:rsidRPr="00CB683A" w:rsidRDefault="00891439" w:rsidP="00891439">
      <w:pPr>
        <w:pStyle w:val="ManualConsidrant"/>
        <w:rPr>
          <w:noProof/>
        </w:rPr>
      </w:pPr>
      <w:r w:rsidRPr="00891439">
        <w:t>(11)</w:t>
      </w:r>
      <w:r w:rsidRPr="00891439">
        <w:tab/>
      </w:r>
      <w:r w:rsidR="00DB2C46" w:rsidRPr="00CB683A">
        <w:rPr>
          <w:noProof/>
        </w:rPr>
        <w:t>V důsledku vývoje demografické situace a nedávných migračních trendů vznikly požadavky na včasnější, četnější a podrobnější evropskou statistiku o obyvatelstvu, událostech přirozené měny, domech a bytech, včetně podrobných údajů o tématech nebo skupinách, které se v posledním desetiletí staly politicky a společensky důležitými. Stávající právní rámec navíc není dostatečně pružný, aby se přizpůsobil vyvíjejícím se politickým potřebám a umožnil využívání nových zdrojů na vnitrostátní úrovni i na úrovni Unie. Struktura stávajícího právního rámce v podobě tří samostatných nařízení přijatých v různých obdobích navíc vedla k vnitřní nejednotnosti statistik. Vzhledem k tomu, že nařízení (EU) č. 1260/2013 se přestane používat dne 31. srpna 2028, je pro demografické statistiky shromažďované podle tohoto nařízení nutný nový právní základ. Je proto nezbytné nahradit stávající právní rámec novým, soudržnějším a pružnějším rámcem, který by měl změnit příslušné části nařízení (ES) č. 862/2007 a zrušit nařízení (ES) č. 763/2008 a (EU) č. 1260/2013.</w:t>
      </w:r>
    </w:p>
    <w:p w14:paraId="734328A8" w14:textId="5E597CF4" w:rsidR="00DB2C46" w:rsidRPr="00CB683A" w:rsidRDefault="00891439" w:rsidP="00891439">
      <w:pPr>
        <w:pStyle w:val="ManualConsidrant"/>
        <w:rPr>
          <w:noProof/>
        </w:rPr>
      </w:pPr>
      <w:r w:rsidRPr="00891439">
        <w:t>(12)</w:t>
      </w:r>
      <w:r w:rsidRPr="00891439">
        <w:tab/>
      </w:r>
      <w:r w:rsidR="00DB2C46" w:rsidRPr="00CB683A">
        <w:rPr>
          <w:noProof/>
        </w:rPr>
        <w:t>Článek 3 nařízení (ES) č. 862/2007 upravuje statistiky o zemi státního občanství a místě narození obyvatel s místem pobytu (stavy migrantů), o změnách pobytu mezi zeměmi (mezinárodní migrační toky) a o nabývání státního občanství u obyvatel s místem pobytu, zatímco ostatní statistiky podle uvedeného nařízení se týkají správních a soudních postupů souvisejících s právními předpisy v oblasti přistěhovalectví a s mezinárodní ochranou. Statistiky podle článku 3 jsou proto úzce propojeny a měly by být v souladu se statistikami o obyvatelích s místem obvyklého pobytu a demografických změnách u těchto obyvatel, které se poskytují podle nařízení (ES) č. 763/2008 a (EU) č. 1260/2013. V zájmu zajištění vnitřní jednotnosti by proto měly být uvedené statistiky začleněny do jediného právního základu a zároveň by měl být v nařízení (ES) č. 862/2007 zrušen článek 3.</w:t>
      </w:r>
    </w:p>
    <w:p w14:paraId="727BA7E2" w14:textId="28E46DEA" w:rsidR="00DB2C46" w:rsidRPr="00CB683A" w:rsidRDefault="00891439" w:rsidP="00891439">
      <w:pPr>
        <w:pStyle w:val="ManualConsidrant"/>
        <w:rPr>
          <w:noProof/>
        </w:rPr>
      </w:pPr>
      <w:r w:rsidRPr="00891439">
        <w:t>(13)</w:t>
      </w:r>
      <w:r w:rsidRPr="00891439">
        <w:tab/>
      </w:r>
      <w:r w:rsidR="00DB2C46" w:rsidRPr="00CB683A">
        <w:rPr>
          <w:noProof/>
        </w:rPr>
        <w:t>Rychle se měnící povaha některých charakteristik obyvatelstva, domů a bytů, zejména v souvislosti s demografickými a migračními jevy, a odpovídající potřeba rychlého zacílení a přizpůsobení politik znamená, že je třeba, aby statistiky byly k dispozici včas, brzy po referenčním období. Periodicita a včasnost statistik by proto měla být hmatatelně posílena.</w:t>
      </w:r>
    </w:p>
    <w:p w14:paraId="0CE48B8E" w14:textId="7DA11D0D" w:rsidR="00DB2C46" w:rsidRPr="00CB683A" w:rsidRDefault="00891439" w:rsidP="00891439">
      <w:pPr>
        <w:pStyle w:val="ManualConsidrant"/>
        <w:rPr>
          <w:noProof/>
          <w:szCs w:val="24"/>
        </w:rPr>
      </w:pPr>
      <w:r w:rsidRPr="00891439">
        <w:t>(14)</w:t>
      </w:r>
      <w:r w:rsidRPr="00891439">
        <w:tab/>
      </w:r>
      <w:r w:rsidR="00DB2C46" w:rsidRPr="00CB683A">
        <w:rPr>
          <w:noProof/>
        </w:rPr>
        <w:t>Nařízení Evropského parlamentu a Rady (ES) č. 1059/2003</w:t>
      </w:r>
      <w:r w:rsidR="00DB2C46" w:rsidRPr="00CB683A">
        <w:rPr>
          <w:rStyle w:val="FootnoteReference"/>
          <w:noProof/>
          <w:szCs w:val="24"/>
        </w:rPr>
        <w:footnoteReference w:id="28"/>
      </w:r>
      <w:r w:rsidR="00DB2C46" w:rsidRPr="00CB683A">
        <w:rPr>
          <w:noProof/>
        </w:rPr>
        <w:t xml:space="preserve"> zavádí metodiku využívající statistickou síť pro definici územních typologií na základě rozložení obyvatelstva v buňkách sítě o ploše jednoho kilometru čtverečního. Prováděcí nařízení Komise (EU) 2018/1799</w:t>
      </w:r>
      <w:r w:rsidR="00DB2C46" w:rsidRPr="00CB683A">
        <w:rPr>
          <w:rStyle w:val="FootnoteReference"/>
          <w:noProof/>
          <w:szCs w:val="24"/>
        </w:rPr>
        <w:footnoteReference w:id="29"/>
      </w:r>
      <w:r w:rsidR="00DB2C46" w:rsidRPr="00CB683A">
        <w:rPr>
          <w:noProof/>
        </w:rPr>
        <w:t xml:space="preserve"> jakožto přechodná přímá statistická akce upravující sčítání lidu, domů a bytů v roce 2021 stanoví klíčové výstupy sčítání v celoevropské souřadnicové síti s buňkou o ploše jednoho kilometru čtverečního. Právní rámec by měl zajistit další šíření georeferenčních statistik o obyvatelstvu založených na souřadnicových sítích a jejich rozšíření na statistiky o domech a bytech.</w:t>
      </w:r>
    </w:p>
    <w:p w14:paraId="36CA8334" w14:textId="077A65D4" w:rsidR="00DB2C46" w:rsidRPr="00CB683A" w:rsidRDefault="00891439" w:rsidP="00891439">
      <w:pPr>
        <w:pStyle w:val="ManualConsidrant"/>
        <w:rPr>
          <w:noProof/>
        </w:rPr>
      </w:pPr>
      <w:r w:rsidRPr="00891439">
        <w:t>(15)</w:t>
      </w:r>
      <w:r w:rsidRPr="00891439">
        <w:tab/>
      </w:r>
      <w:r w:rsidR="00DB2C46" w:rsidRPr="00CB683A">
        <w:rPr>
          <w:noProof/>
        </w:rPr>
        <w:t>Územní jednotky a statistické sítě by měly být definovány v souladu s nařízením (ES) č. 1059/2003.</w:t>
      </w:r>
    </w:p>
    <w:p w14:paraId="121839B6" w14:textId="3ED4DEF6" w:rsidR="00DB2C46" w:rsidRPr="00CB683A" w:rsidRDefault="00891439" w:rsidP="00891439">
      <w:pPr>
        <w:pStyle w:val="ManualConsidrant"/>
        <w:rPr>
          <w:noProof/>
          <w:szCs w:val="24"/>
        </w:rPr>
      </w:pPr>
      <w:r w:rsidRPr="00891439">
        <w:t>(16)</w:t>
      </w:r>
      <w:r w:rsidRPr="00891439">
        <w:tab/>
      </w:r>
      <w:r w:rsidR="00DB2C46" w:rsidRPr="00CB683A">
        <w:rPr>
          <w:noProof/>
        </w:rPr>
        <w:t>Pro geokódování místa je třeba použít téma Statistické jednotky v souladu s přílohou III směrnice Evropského parlamentu a Rady 2007/2/ES</w:t>
      </w:r>
      <w:r w:rsidR="00DB2C46" w:rsidRPr="00CB683A">
        <w:rPr>
          <w:rStyle w:val="FootnoteReference"/>
          <w:noProof/>
        </w:rPr>
        <w:footnoteReference w:id="30"/>
      </w:r>
      <w:r w:rsidR="00DB2C46" w:rsidRPr="00CB683A">
        <w:rPr>
          <w:noProof/>
        </w:rPr>
        <w:t xml:space="preserve"> .</w:t>
      </w:r>
    </w:p>
    <w:p w14:paraId="466AAA19" w14:textId="3CCA7AC6" w:rsidR="00DB2C46" w:rsidRPr="00CB683A" w:rsidRDefault="00891439" w:rsidP="00891439">
      <w:pPr>
        <w:pStyle w:val="ManualConsidrant"/>
        <w:rPr>
          <w:noProof/>
        </w:rPr>
      </w:pPr>
      <w:r w:rsidRPr="00891439">
        <w:t>(17)</w:t>
      </w:r>
      <w:r w:rsidRPr="00891439">
        <w:tab/>
      </w:r>
      <w:r w:rsidR="00DB2C46" w:rsidRPr="00CB683A">
        <w:rPr>
          <w:noProof/>
        </w:rPr>
        <w:t>Současný právní rámec pro evropskou statistiku o obyvatelstvu, domech a bytech je třeba aktualizovat, aby se zajistilo, že v současnosti oddělené statistické procesy budou vhodně začleněny do společného rámce, jenž Evropskému statistickému systému umožní účinně reagovat na nové informační potřeby Unie a podpoří statistické inovace. Statistické výstupy se musí rozšířit, aby zůstaly relevantní vzhledem k demografickým, migračním, sociálním a ekonomickým změnám ve společnosti.</w:t>
      </w:r>
    </w:p>
    <w:p w14:paraId="050C56A7" w14:textId="72E4562A" w:rsidR="00DB2C46" w:rsidRPr="00CB683A" w:rsidRDefault="00891439" w:rsidP="00891439">
      <w:pPr>
        <w:pStyle w:val="ManualConsidrant"/>
        <w:rPr>
          <w:noProof/>
        </w:rPr>
      </w:pPr>
      <w:r w:rsidRPr="00891439">
        <w:t>(18)</w:t>
      </w:r>
      <w:r w:rsidRPr="00891439">
        <w:tab/>
      </w:r>
      <w:r w:rsidR="00DB2C46" w:rsidRPr="00CB683A">
        <w:rPr>
          <w:noProof/>
        </w:rPr>
        <w:t>Rozšířené pravidelné (roční a krátkodobé do jednoho roku) statistiky o obyvatelstvu</w:t>
      </w:r>
      <w:r w:rsidR="00B357C4">
        <w:rPr>
          <w:noProof/>
        </w:rPr>
        <w:t>, domech a bytech</w:t>
      </w:r>
      <w:r w:rsidR="00DB2C46" w:rsidRPr="00CB683A">
        <w:rPr>
          <w:noProof/>
        </w:rPr>
        <w:t xml:space="preserve"> založené na administrativních zdrojích by měly být doplněny informacemi z koordinovaných sčítání lidu, domů a bytů v Unii prováděných každých deset let v souladu se zásadami a doporučeními OSN. Stejně důležité je, že sčítání lidu, domů a bytů poskytuje jedinečnou příležitost pro zviditelnění oficiálních statistik, a to jak z hlediska operací, tak i výsledků.</w:t>
      </w:r>
    </w:p>
    <w:p w14:paraId="456508C7" w14:textId="26219F2D" w:rsidR="00DB2C46" w:rsidRPr="00CB683A" w:rsidRDefault="00891439" w:rsidP="00891439">
      <w:pPr>
        <w:pStyle w:val="ManualConsidrant"/>
        <w:rPr>
          <w:noProof/>
        </w:rPr>
      </w:pPr>
      <w:r w:rsidRPr="00891439">
        <w:t>(19)</w:t>
      </w:r>
      <w:r w:rsidRPr="00891439">
        <w:tab/>
      </w:r>
      <w:r w:rsidR="00DB2C46" w:rsidRPr="00CB683A">
        <w:rPr>
          <w:noProof/>
        </w:rPr>
        <w:t>Sčítání lidu v Unii by měla být nákladově efektivnější díky plnému využití bohatého souboru administrativních údajů dostupných v členských státech nebo kombinace různých zdrojů, včetně zdrojů souvisejících s internetem věcí a poskytováním digitálních služeb. Měla by být rovněž použita k obnovení demografické základny a zahrnovat průzkumy pokrytí zdrojů administrativních údajů.</w:t>
      </w:r>
    </w:p>
    <w:p w14:paraId="500E9867" w14:textId="20B3A084" w:rsidR="00DB2C46" w:rsidRPr="00CB683A" w:rsidRDefault="00891439" w:rsidP="00891439">
      <w:pPr>
        <w:pStyle w:val="ManualConsidrant"/>
        <w:rPr>
          <w:noProof/>
        </w:rPr>
      </w:pPr>
      <w:r w:rsidRPr="00891439">
        <w:t>(20)</w:t>
      </w:r>
      <w:r w:rsidRPr="00891439">
        <w:tab/>
      </w:r>
      <w:r w:rsidR="00DB2C46" w:rsidRPr="00CB683A">
        <w:rPr>
          <w:noProof/>
        </w:rPr>
        <w:t>Členské státy a Komise (Eurostat) by měly mít udržitelný přístup k co nejširšímu spektru zdrojů údajů, aby mohly vytvořit kvalitní a nákladově efektivní evropskou statistiku o obyvatelstvu, domech a bytech. V tomto ohledu je zásadní, aby národní statistické úřady v souladu s článkem 17a nařízení (ES) č. 223/2009 včas získaly přístup a mohly neprodleně využívat administrativní údaje, které vlastní orgány veřejné správy na národní, regionální a místní úrovni. Například statistiky o energetické účinnosti budov mohou vycházet z administrativních údajů týkajících se vydávání certifikátů energetické náročnosti budov podle směrnice Evropského parlamentu a Rady 2010/31/EU</w:t>
      </w:r>
      <w:r w:rsidR="00DB2C46" w:rsidRPr="00CB683A">
        <w:rPr>
          <w:rStyle w:val="FootnoteReference"/>
          <w:noProof/>
          <w:szCs w:val="24"/>
        </w:rPr>
        <w:footnoteReference w:id="31"/>
      </w:r>
      <w:r w:rsidR="00DB2C46" w:rsidRPr="00CB683A">
        <w:rPr>
          <w:noProof/>
        </w:rPr>
        <w:t>. Národní statistické úřady musí být rovněž zapojeny do rozhodování o podobě a úpravě příslušných zdrojů administrativních údajů, aby bylo zajištěno jejich další využití pro sestavování oficiálních statistik.</w:t>
      </w:r>
    </w:p>
    <w:p w14:paraId="5AF986A7" w14:textId="772D521A" w:rsidR="00DB2C46" w:rsidRPr="00CB683A" w:rsidRDefault="00891439" w:rsidP="00891439">
      <w:pPr>
        <w:pStyle w:val="ManualConsidrant"/>
        <w:rPr>
          <w:noProof/>
        </w:rPr>
      </w:pPr>
      <w:r w:rsidRPr="00891439">
        <w:t>(21)</w:t>
      </w:r>
      <w:r w:rsidRPr="00891439">
        <w:tab/>
      </w:r>
      <w:r w:rsidR="00DB2C46" w:rsidRPr="00CB683A">
        <w:rPr>
          <w:noProof/>
        </w:rPr>
        <w:t>V posledních letech byly vybudovány komplexní databáze a systémy interoperability na úrovni Unie týkající se místa pobytu, událostí přirozené měny, státního občanství a migračního a přeshraničního pohybu obyvatelstva, jako jsou databáze a systémy vytvořené podle nařízení Evropského parlamentu a Rady (EU) č. 910/2014</w:t>
      </w:r>
      <w:r w:rsidR="00DB2C46" w:rsidRPr="00CB683A">
        <w:rPr>
          <w:rStyle w:val="FootnoteReference"/>
          <w:noProof/>
        </w:rPr>
        <w:footnoteReference w:id="32"/>
      </w:r>
      <w:r w:rsidR="00DB2C46" w:rsidRPr="00CB683A">
        <w:rPr>
          <w:noProof/>
        </w:rPr>
        <w:t>, (EU) 2018/1724</w:t>
      </w:r>
      <w:r w:rsidR="00DB2C46" w:rsidRPr="00CB683A">
        <w:rPr>
          <w:rStyle w:val="FootnoteReference"/>
          <w:noProof/>
        </w:rPr>
        <w:footnoteReference w:id="33"/>
      </w:r>
      <w:r w:rsidR="00DB2C46" w:rsidRPr="00CB683A">
        <w:rPr>
          <w:noProof/>
        </w:rPr>
        <w:t>, (EU) 2019/817</w:t>
      </w:r>
      <w:r w:rsidR="00DB2C46" w:rsidRPr="00CB683A">
        <w:rPr>
          <w:rStyle w:val="FootnoteReference"/>
          <w:noProof/>
        </w:rPr>
        <w:footnoteReference w:id="34"/>
      </w:r>
      <w:r w:rsidR="00DB2C46" w:rsidRPr="00CB683A">
        <w:rPr>
          <w:rFonts w:ascii="Segoe UI" w:hAnsi="Segoe UI"/>
          <w:noProof/>
          <w:color w:val="444444"/>
          <w:sz w:val="21"/>
          <w:shd w:val="clear" w:color="auto" w:fill="FFFFFF"/>
        </w:rPr>
        <w:t xml:space="preserve"> </w:t>
      </w:r>
      <w:r w:rsidR="00DB2C46" w:rsidRPr="00CB683A">
        <w:rPr>
          <w:noProof/>
        </w:rPr>
        <w:t>a (EU) 2019/818</w:t>
      </w:r>
      <w:r w:rsidR="00DB2C46" w:rsidRPr="00CB683A">
        <w:rPr>
          <w:rStyle w:val="FootnoteReference"/>
          <w:noProof/>
        </w:rPr>
        <w:footnoteReference w:id="35"/>
      </w:r>
      <w:r w:rsidR="00DB2C46" w:rsidRPr="00CB683A">
        <w:rPr>
          <w:noProof/>
        </w:rPr>
        <w:t>. Poskytují cenné informace, které lze opakovaně využít při sestavování a zajišťování kvality evropské statistiky o obyvatelstvu, domech a bytech.</w:t>
      </w:r>
    </w:p>
    <w:p w14:paraId="31AF8957" w14:textId="2C6D4643" w:rsidR="00DB2C46" w:rsidRPr="00CB683A" w:rsidRDefault="00891439" w:rsidP="00891439">
      <w:pPr>
        <w:pStyle w:val="ManualConsidrant"/>
        <w:rPr>
          <w:noProof/>
        </w:rPr>
      </w:pPr>
      <w:r w:rsidRPr="00891439">
        <w:t>(22)</w:t>
      </w:r>
      <w:r w:rsidRPr="00891439">
        <w:tab/>
      </w:r>
      <w:r w:rsidR="00DB2C46" w:rsidRPr="00CB683A">
        <w:rPr>
          <w:noProof/>
        </w:rPr>
        <w:t>V tomto ohledu je nezbytné umožnit Komisi (Eurostatu) opakované využití těchto údajů výhradně pro statistické účely za přísného uplatňování pravidel, která se týkají ochrany osobních údajů a soukromí, jak je stanoveno v nařízení Evropského parlamentu a Rady (EU) 2018/1725</w:t>
      </w:r>
      <w:r w:rsidR="00DB2C46" w:rsidRPr="00CB683A">
        <w:rPr>
          <w:rStyle w:val="FootnoteReference"/>
          <w:noProof/>
        </w:rPr>
        <w:footnoteReference w:id="36"/>
      </w:r>
      <w:r w:rsidR="00DB2C46" w:rsidRPr="00CB683A">
        <w:rPr>
          <w:noProof/>
        </w:rPr>
        <w:t>. To by se mělo vztahovat zejména na statistické údaje uložené v centrálním úložišti pro podávání zpráv a statistiky (CRRS) v souladu s účelem tohoto úložiště stanoveným v čl. 39 odst. 1 nařízení (EU) 2019/817, jakož i v čl. 39 odst. 1 nařízení (EU) 2019/818 a v souladu s nařízeními, kterými se zřizují systémy, jejichž statistické údaje jsou v CRRS uloženy. Zejména vzhledem k tomu, že CRRS má vytvářet mezisystémové statistické údaje a analytické zprávy pro účely politiky, provozu a kvality údajů, měla by Komise (Eurostat) v co největší míře spolupracovat s Agenturou Evropské unie pro provozní řízení rozsáhlých informačních systémů v prostoru svobody, bezpečnosti a práva (eu-LISA) s cílem poskytovat požadovanou evropskou statistiku.</w:t>
      </w:r>
    </w:p>
    <w:p w14:paraId="36348BD3" w14:textId="037EA42F" w:rsidR="00DB2C46" w:rsidRPr="00CB683A" w:rsidRDefault="00891439" w:rsidP="00891439">
      <w:pPr>
        <w:pStyle w:val="ManualConsidrant"/>
        <w:rPr>
          <w:noProof/>
        </w:rPr>
      </w:pPr>
      <w:r w:rsidRPr="00891439">
        <w:t>(23)</w:t>
      </w:r>
      <w:r w:rsidRPr="00891439">
        <w:tab/>
      </w:r>
      <w:r w:rsidR="00DB2C46" w:rsidRPr="00CB683A">
        <w:rPr>
          <w:noProof/>
        </w:rPr>
        <w:t>Údaje v držení soukromých subjektů mohou u evropské statistiky o obyvatelstvu, domech a bytech zlepšit pokrytí, včasnost a schopnost reagovat na krize nebo umožnit statistické inovace. Takové údaje mají potenciál doplnit stávající demografické a migrační statistiky, přinést statistické inovace a dokonce sloužit k vypracování předběžných odhadů. Národní statistické úřady a další příslušné vnitrostátní orgány a Komise (Eurostat) by měly mít k těmto údajům přístup a měly by je využívat.</w:t>
      </w:r>
    </w:p>
    <w:p w14:paraId="18E4E07E" w14:textId="2E07FCEC" w:rsidR="00DB2C46" w:rsidRPr="00CB683A" w:rsidRDefault="00891439" w:rsidP="00891439">
      <w:pPr>
        <w:pStyle w:val="ManualConsidrant"/>
        <w:rPr>
          <w:noProof/>
        </w:rPr>
      </w:pPr>
      <w:r w:rsidRPr="00891439">
        <w:t>(24)</w:t>
      </w:r>
      <w:r w:rsidRPr="00891439">
        <w:tab/>
      </w:r>
      <w:r w:rsidR="00A11022" w:rsidRPr="00CB683A">
        <w:rPr>
          <w:noProof/>
        </w:rPr>
        <w:t>Aby byla na úrovni Unie zajištěna srovnatelnost evropských statistik o obyvatelstvu</w:t>
      </w:r>
      <w:r w:rsidR="00B357C4">
        <w:rPr>
          <w:noProof/>
        </w:rPr>
        <w:t>, domech a bytech</w:t>
      </w:r>
      <w:r w:rsidR="00A11022" w:rsidRPr="00CB683A">
        <w:rPr>
          <w:noProof/>
        </w:rPr>
        <w:t>, je nezbytn</w:t>
      </w:r>
      <w:r w:rsidR="00B96E34">
        <w:rPr>
          <w:noProof/>
        </w:rPr>
        <w:t>ě nutné používat a harmonizovaným způsobem</w:t>
      </w:r>
      <w:r w:rsidR="00A11022" w:rsidRPr="00CB683A">
        <w:rPr>
          <w:noProof/>
        </w:rPr>
        <w:t xml:space="preserve"> zavádět společné definice obyvatelstva. Aby bylo možné zavést jednotnou harmonizovanou populační základnu důsledným, spolehlivým a nákladově efektivním způsobem a zároveň zajistit včasné výsledky, je třeba použít statistické metody a techniky modelování, jako jsou „známky života“ a „míra pobytu“.</w:t>
      </w:r>
    </w:p>
    <w:p w14:paraId="1F84F627" w14:textId="074CF2B7" w:rsidR="00DB2C46" w:rsidRPr="00CB683A" w:rsidRDefault="00891439" w:rsidP="00891439">
      <w:pPr>
        <w:pStyle w:val="ManualConsidrant"/>
        <w:rPr>
          <w:noProof/>
        </w:rPr>
      </w:pPr>
      <w:r w:rsidRPr="00891439">
        <w:t>(25)</w:t>
      </w:r>
      <w:r w:rsidRPr="00891439">
        <w:tab/>
      </w:r>
      <w:r w:rsidR="00DB2C46" w:rsidRPr="00CB683A">
        <w:rPr>
          <w:noProof/>
        </w:rPr>
        <w:t>Členské státy by měly poskytovat své údaje a metadata v elektronické formě, ve vhodném technickém formátu, který stanoví Komise. Mezinárodní standardy, jako je iniciativa pro výměnu statistických údajů a metadat, a statistické nebo technické normy vypracované v rámci Unie, jako jsou standardy pro metadata a ověřování nebo zásady Evropského rámce interoperability, by se měly používat v příslušném rozsahu pro evropské statistiky o obyvatelstvu, domech a bytech. Výbor pro Evropský statistický systém schválil standardy Evropského statistického systému pro metadata a zprávy o kvalitě v souladu s článkem 12 nařízení (ES) č. 223/2009. Tyto standardy mají přispět k harmonizaci zajišťování kvality a podávání zpráv podle tohoto nařízení, a proto by měly být zavedeny.</w:t>
      </w:r>
    </w:p>
    <w:p w14:paraId="4AE3E85F" w14:textId="7EDD3526" w:rsidR="00DB2C46" w:rsidRPr="00CB683A" w:rsidRDefault="00891439" w:rsidP="00891439">
      <w:pPr>
        <w:pStyle w:val="ManualConsidrant"/>
        <w:rPr>
          <w:noProof/>
        </w:rPr>
      </w:pPr>
      <w:r w:rsidRPr="00891439">
        <w:t>(26)</w:t>
      </w:r>
      <w:r w:rsidRPr="00891439">
        <w:tab/>
      </w:r>
      <w:r w:rsidR="00DB2C46" w:rsidRPr="00CB683A">
        <w:rPr>
          <w:noProof/>
        </w:rPr>
        <w:t>Evropská statistika o obyvatelstvu, domech a bytech by měla splňovat kritéria kvality týkající se relevance, přesnosti, včasnosti a dochvilnosti, dostupnosti a srozumitelnosti, srovnatelnosti a soudržnosti stanovená v nařízení (ES) č. 223/2009. Její kvalita by se měla zvyšovat v závislosti na vývoji potřeb Unie. Příslušné výsledky hodnocení kvality prováděného Komisí (Eurostatem) by měly být veřejně dostupné uživatelům statistik. Přístup k těmto statistikám by měl být volný a snadný prostřednictvím databází Komise (Eurostatu) na jejích internetových stránkách a v jejích publikacích.</w:t>
      </w:r>
    </w:p>
    <w:p w14:paraId="245652D0" w14:textId="02BF4596" w:rsidR="00DB2C46" w:rsidRPr="00CB683A" w:rsidRDefault="00891439" w:rsidP="00891439">
      <w:pPr>
        <w:pStyle w:val="ManualConsidrant"/>
        <w:rPr>
          <w:noProof/>
        </w:rPr>
      </w:pPr>
      <w:r w:rsidRPr="00891439">
        <w:t>(27)</w:t>
      </w:r>
      <w:r w:rsidRPr="00891439">
        <w:tab/>
      </w:r>
      <w:r w:rsidR="00DB2C46" w:rsidRPr="00CB683A">
        <w:rPr>
          <w:noProof/>
        </w:rPr>
        <w:t>V nařízení (ES) č. 223/2009 jsou obsažena pravidla pro poskytování údajů členskými státy Komisi (Eurostatu) a jejich využívání, včetně pravidel pro předávání a ochranu důvěrných údajů. Opatření přijatá podle tohoto nařízení by měla zajistit, aby byly důvěrné údaje předkládány a využívány výhradně pro statistické účely v souladu s články 21 a 22 tohoto nařízení.</w:t>
      </w:r>
    </w:p>
    <w:p w14:paraId="1EB3C849" w14:textId="0B276E4D" w:rsidR="00DB2C46" w:rsidRPr="00CB683A" w:rsidRDefault="00891439" w:rsidP="00891439">
      <w:pPr>
        <w:pStyle w:val="ManualConsidrant"/>
        <w:rPr>
          <w:noProof/>
        </w:rPr>
      </w:pPr>
      <w:r w:rsidRPr="00891439">
        <w:t>(28)</w:t>
      </w:r>
      <w:r w:rsidRPr="00891439">
        <w:tab/>
      </w:r>
      <w:r w:rsidR="00DB2C46" w:rsidRPr="00CB683A">
        <w:rPr>
          <w:noProof/>
        </w:rPr>
        <w:t>Komise (Eurostat) má povinnost dodržovat statistickou důvěrnost údajů poskytnutých členskými státy podle nařízení (ES) č. 223/2009. Pokud jde o statistické údaje o obyvatelstvu sbírané podle tohoto nařízení, měl by být vypracován harmonizovaný přístup k zajištění vysoké kvality evropských souhrnných ukazatelů a k zamezení zveřejnění důvěrných údajů ve statistických výstupech, aby se pokud možno zabránilo supresi údajů.</w:t>
      </w:r>
    </w:p>
    <w:p w14:paraId="7217605F" w14:textId="5BEF6CA2" w:rsidR="00DB2C46" w:rsidRPr="00CB683A" w:rsidRDefault="00891439" w:rsidP="00891439">
      <w:pPr>
        <w:pStyle w:val="ManualConsidrant"/>
        <w:rPr>
          <w:noProof/>
        </w:rPr>
      </w:pPr>
      <w:r w:rsidRPr="00891439">
        <w:t>(29)</w:t>
      </w:r>
      <w:r w:rsidRPr="00891439">
        <w:tab/>
      </w:r>
      <w:r w:rsidR="00DB2C46" w:rsidRPr="00CB683A">
        <w:rPr>
          <w:noProof/>
        </w:rPr>
        <w:t>Zdroje údajů dostupné na národní úrovni nejsou vždy schopny přesně zachytit jevy související s volným pohybem osob v Unii, přístupem osob k přeshraničním službám v oblasti demografických událostí přirozené měny a výkonem práv osob na koupi a vlastnictví nemovitostí, jež jsou využívány k bydlení nebo k rekreačním a sekundárním účelům v celé Unii. Také se vyskytují asymetrie v bilaterálních migračních tocích a potíže s měřením skupin obyvatelstva, například u migrantů, osob bez domova nebo bez státní příslušnosti. Proto by mělo být pro účely sestavování statistiky o obyvatelstvu a migraci a zajištění její kvality posíleno sdílení údajů a považováno za další zdroj údajů. Takto posílené sdílení údajů se může dotýkat široké řady relevantních údajů, od údajů, které zjevně neumožňují přímou či nepřímou identifikaci statistických jednotek, až po údaje, na které se potenciálně vztahují požadavky na statistickou důvěrnost. Členské státy by se měly ve svém vlastním zájmu i v zájmu ostatních členských států podílet na činnostech v oblasti sdílení údajů, včetně pilotních projektů hodnotících inovativní bezpečná řešení. Komise (Eurostat) by rovněž měla vytvořit bezpečnou infrastrukturu, která by usnadnila sdílení takových údajů a zároveň zajistila všechna nezbytná ochranná opatření.</w:t>
      </w:r>
    </w:p>
    <w:p w14:paraId="05D92423" w14:textId="47567C68" w:rsidR="00DB2C46" w:rsidRPr="00CB683A" w:rsidRDefault="00891439" w:rsidP="00891439">
      <w:pPr>
        <w:pStyle w:val="ManualConsidrant"/>
        <w:rPr>
          <w:noProof/>
        </w:rPr>
      </w:pPr>
      <w:r w:rsidRPr="00891439">
        <w:t>(30)</w:t>
      </w:r>
      <w:r w:rsidRPr="00891439">
        <w:tab/>
      </w:r>
      <w:r w:rsidR="00DB2C46" w:rsidRPr="00CB683A">
        <w:rPr>
          <w:noProof/>
        </w:rPr>
        <w:t>Pokud sdílení údajů zahrnuje zpracování osobních údajů podle nařízení Evropského parlamentu a Rady (EU) 2016/679</w:t>
      </w:r>
      <w:r w:rsidR="00DB2C46" w:rsidRPr="00CB683A">
        <w:rPr>
          <w:rStyle w:val="FootnoteReference"/>
          <w:noProof/>
          <w:szCs w:val="24"/>
        </w:rPr>
        <w:footnoteReference w:id="37"/>
      </w:r>
      <w:r w:rsidR="00DB2C46" w:rsidRPr="00CB683A">
        <w:rPr>
          <w:noProof/>
        </w:rPr>
        <w:t xml:space="preserve"> nebo nařízení (EU) 2018/1725, měly by být plně uplatňovány zásady účelového omezení, minimalizace údajů, omezení uložení, integrity a důvěrnosti. Před přímým předáváním údajů by měly být upřednostňovány zejména mechanismy sdílení údajů založené na technologiích zvyšujících ochranu soukromí, které jsou speciálně navrženy tak, aby tyto zásady uplatňovaly.</w:t>
      </w:r>
    </w:p>
    <w:p w14:paraId="764BFD7F" w14:textId="58581CD2" w:rsidR="00DB2C46" w:rsidRPr="00CB683A" w:rsidRDefault="00891439" w:rsidP="00891439">
      <w:pPr>
        <w:pStyle w:val="ManualConsidrant"/>
        <w:rPr>
          <w:noProof/>
        </w:rPr>
      </w:pPr>
      <w:r w:rsidRPr="00891439">
        <w:t>(31)</w:t>
      </w:r>
      <w:r w:rsidRPr="00891439">
        <w:tab/>
      </w:r>
      <w:r w:rsidR="00DB2C46" w:rsidRPr="00CB683A">
        <w:rPr>
          <w:noProof/>
        </w:rPr>
        <w:t>Ke sdílení důvěrných údajů by mělo docházet pouze na základě žádosti odůvodňující nezbytnost sdílení těchto údajů v souladu s kapitolou V nařízení (ES) č. 223/2009.</w:t>
      </w:r>
    </w:p>
    <w:p w14:paraId="5C48E679" w14:textId="318BB97F" w:rsidR="00DB2C46" w:rsidRPr="00CB683A" w:rsidRDefault="00891439" w:rsidP="00891439">
      <w:pPr>
        <w:pStyle w:val="ManualConsidrant"/>
        <w:rPr>
          <w:noProof/>
        </w:rPr>
      </w:pPr>
      <w:r w:rsidRPr="00891439">
        <w:t>(32)</w:t>
      </w:r>
      <w:r w:rsidRPr="00891439">
        <w:tab/>
      </w:r>
      <w:r w:rsidR="00DB2C46" w:rsidRPr="00CB683A">
        <w:rPr>
          <w:noProof/>
        </w:rPr>
        <w:t>Z dlouhodobého hlediska by úsilí o spolupráci v rámci Evropského statistického systému s cílem zmírnit problémy s kvalitou přeshraničních statistik, jako je dvojí započtení rezidentů Unie, kteří využívají svobody pohybu, mělo co nejvíce těžit z jednotných digitálních identifikátorů zavedených na úrovni Unie nařízením (EU) č. 910/2014.</w:t>
      </w:r>
    </w:p>
    <w:p w14:paraId="73BE9B2D" w14:textId="48CB1259" w:rsidR="00DB2C46" w:rsidRPr="00CB683A" w:rsidRDefault="00891439" w:rsidP="00891439">
      <w:pPr>
        <w:pStyle w:val="ManualConsidrant"/>
        <w:rPr>
          <w:noProof/>
        </w:rPr>
      </w:pPr>
      <w:r w:rsidRPr="00891439">
        <w:t>(33)</w:t>
      </w:r>
      <w:r w:rsidRPr="00891439">
        <w:tab/>
      </w:r>
      <w:r w:rsidR="00DB2C46" w:rsidRPr="00CB683A">
        <w:rPr>
          <w:noProof/>
        </w:rPr>
        <w:t>Tímto nařízením nejsou dotčena nařízení (EU) 2016/679 a (EU) 2018/1725 a směrnice Evropského parlamentu a Rady 2002/58/ES</w:t>
      </w:r>
      <w:r w:rsidR="00DB2C46" w:rsidRPr="00CB683A">
        <w:rPr>
          <w:rStyle w:val="FootnoteReference"/>
          <w:noProof/>
          <w:szCs w:val="24"/>
        </w:rPr>
        <w:footnoteReference w:id="38"/>
      </w:r>
      <w:r w:rsidR="00DB2C46" w:rsidRPr="00CB683A">
        <w:rPr>
          <w:noProof/>
        </w:rPr>
        <w:t>. Poslední dvě jmenovaná nařízení se v rámci své oblasti působnosti vztahují na zpracování osobních údajů podle tohoto nařízení.</w:t>
      </w:r>
    </w:p>
    <w:p w14:paraId="72540AC6" w14:textId="0A786BC5" w:rsidR="00DB2C46" w:rsidRPr="00CB683A" w:rsidRDefault="00891439" w:rsidP="00891439">
      <w:pPr>
        <w:pStyle w:val="ManualConsidrant"/>
        <w:rPr>
          <w:noProof/>
        </w:rPr>
      </w:pPr>
      <w:r w:rsidRPr="00891439">
        <w:t>(34)</w:t>
      </w:r>
      <w:r w:rsidRPr="00891439">
        <w:tab/>
      </w:r>
      <w:r w:rsidR="00DB2C46" w:rsidRPr="00CB683A">
        <w:rPr>
          <w:noProof/>
        </w:rPr>
        <w:t>Evropská statistika o obyvatelstvu, domech a bytech by se měla vyvíjet tak, aby zohledňovala nové potřeby údajů vyplývající z měnících se politických priorit, jakož i změny demografické, migrační, sociální nebo hospodářské situace v Unii. Komise (Eurostat) by měla provést pilotní studie, které by podle potřeby posoudily proveditelnost příslušných úprav, a měla by zohlednit aspekty, jako jsou náklady a administrativní zátěž členských států a dostupnost vhodných zdrojů údajů.</w:t>
      </w:r>
    </w:p>
    <w:p w14:paraId="1D2E50D5" w14:textId="1FA14FA0" w:rsidR="00DB2C46" w:rsidRPr="00CB683A" w:rsidRDefault="00891439" w:rsidP="00891439">
      <w:pPr>
        <w:pStyle w:val="ManualConsidrant"/>
        <w:rPr>
          <w:noProof/>
          <w:szCs w:val="24"/>
        </w:rPr>
      </w:pPr>
      <w:r w:rsidRPr="00891439">
        <w:t>(35)</w:t>
      </w:r>
      <w:r w:rsidRPr="00891439">
        <w:tab/>
      </w:r>
      <w:r w:rsidR="00DB2C46" w:rsidRPr="00CB683A">
        <w:rPr>
          <w:noProof/>
        </w:rPr>
        <w:t xml:space="preserve">S cílem zohlednit demografické, hospodářské a sociální trendy a technologický vývoj by měla být na Komisi přenesena pravomoc přijímat akty v souladu s článkem 290 Smlouvy o fungování EU za účelem změny seznamu, popisu, periodicity a referenčních období dílčích témat, na něž se vztahuje evropská statistika o obyvatelstvu, domech a bytech; aktualizovat periodicitu a referenční období v příloze tohoto nařízení a upřesnit informace, které mají členské státy předkládat </w:t>
      </w:r>
      <w:r w:rsidR="00DB2C46" w:rsidRPr="00CB683A">
        <w:rPr>
          <w:i/>
          <w:noProof/>
        </w:rPr>
        <w:t>ad hoc</w:t>
      </w:r>
      <w:r w:rsidR="00DB2C46" w:rsidRPr="00CB683A">
        <w:rPr>
          <w:noProof/>
        </w:rPr>
        <w:t>. Je obzvláště důležité, aby Komise v rámci přípravné činnosti vedla odpovídající konzultace, a to i na odborné úrovni, a aby tyto konzultace probíhaly v souladu se zásadami stanovenými v interinstitucionální dohodě ze dne 13. dubna 2016 o zdokonalení tvorby právních předpisů</w:t>
      </w:r>
      <w:r w:rsidR="00DB2C46" w:rsidRPr="00CB683A">
        <w:rPr>
          <w:rStyle w:val="FootnoteReference"/>
          <w:noProof/>
        </w:rPr>
        <w:footnoteReference w:id="39"/>
      </w:r>
      <w:r w:rsidR="00DB2C46" w:rsidRPr="00CB683A">
        <w:rPr>
          <w:noProof/>
        </w:rPr>
        <w:t>. Pro zajištění rovné účasti na vypracovávání aktů v přenesené pravomoci obdrží Evropský parlament a Rada veškeré dokumenty současně s odborníky z členských států a jejich odborníci mají automaticky přístup na zasedání expertních skupin Komise, jež se věnují přípravě aktů v přenesené pravomoci.</w:t>
      </w:r>
    </w:p>
    <w:p w14:paraId="14DFBB72" w14:textId="58CF3140" w:rsidR="00DB2C46" w:rsidRPr="00CB683A" w:rsidRDefault="00891439" w:rsidP="00891439">
      <w:pPr>
        <w:pStyle w:val="ManualConsidrant"/>
        <w:rPr>
          <w:noProof/>
        </w:rPr>
      </w:pPr>
      <w:r w:rsidRPr="00891439">
        <w:t>(36)</w:t>
      </w:r>
      <w:r w:rsidRPr="00891439">
        <w:tab/>
      </w:r>
      <w:r w:rsidR="00DB2C46" w:rsidRPr="00CB683A">
        <w:rPr>
          <w:noProof/>
        </w:rPr>
        <w:t>V souladu s finančním nařízením, nařízením Evropského parlamentu a Rady (EU, Euratom) č. 883/2013</w:t>
      </w:r>
      <w:r w:rsidR="00DB2C46" w:rsidRPr="00CB683A">
        <w:rPr>
          <w:rStyle w:val="FootnoteReference"/>
          <w:noProof/>
        </w:rPr>
        <w:footnoteReference w:id="40"/>
      </w:r>
      <w:r w:rsidR="00DB2C46" w:rsidRPr="00CB683A">
        <w:rPr>
          <w:noProof/>
        </w:rPr>
        <w:t xml:space="preserve"> a nařízeními Rady (ES, Euratom) č. 2988/95</w:t>
      </w:r>
      <w:r w:rsidR="00DB2C46" w:rsidRPr="00CB683A">
        <w:rPr>
          <w:rStyle w:val="FootnoteReference"/>
          <w:noProof/>
        </w:rPr>
        <w:footnoteReference w:id="41"/>
      </w:r>
      <w:r w:rsidR="00DB2C46" w:rsidRPr="00CB683A">
        <w:rPr>
          <w:noProof/>
        </w:rPr>
        <w:t>, (Euratom, ES) č. 2185/96</w:t>
      </w:r>
      <w:r w:rsidR="00DB2C46" w:rsidRPr="00CB683A">
        <w:rPr>
          <w:rStyle w:val="FootnoteReference"/>
          <w:noProof/>
        </w:rPr>
        <w:footnoteReference w:id="42"/>
      </w:r>
      <w:r w:rsidR="00DB2C46" w:rsidRPr="00CB683A">
        <w:rPr>
          <w:noProof/>
        </w:rPr>
        <w:t xml:space="preserve"> a (EU) 2017/1939</w:t>
      </w:r>
      <w:r w:rsidR="00DB2C46" w:rsidRPr="00CB683A">
        <w:rPr>
          <w:rStyle w:val="FootnoteReference"/>
          <w:noProof/>
        </w:rPr>
        <w:footnoteReference w:id="43"/>
      </w:r>
      <w:r w:rsidR="00DB2C46" w:rsidRPr="00CB683A">
        <w:rPr>
          <w:noProof/>
        </w:rPr>
        <w:t xml:space="preserve"> mají být finanční zájmy Unie chráněny prostřednictvím přiměřených opatření, včetně opatření týkajících se předcházení, odhalování, nápravy a vyšetřování nesrovnalostí, včetně podvodů, zpětného získávání ztracených, neoprávněně vyplacených či nesprávně použitých finančních prostředků a případného uložení správních sankcí. Zejména má Evropský úřad pro boj proti podvodům (OLAF) v souladu s nařízeními (Euratom, ES) č. 2185/96 a (EU, Euratom) č. 883/2013 pravomoc provádět správní vyšetřování, včetně kontrol a inspekcí na místě s cílem zjistit, zda nedošlo k podvodu, korupci nebo jinému protiprávnímu jednání poškozujícímu nebo ohrožujícímu finanční zájmy Unie. V souladu s nařízením (EU) 2017/1939 má Úřad evropského veřejného žalobce (EPPO) pravomoc vyšetřovat a stíhat trestné činy poškozující nebo ohrožující finanční zájmy Unie, jak je stanoveno ve směrnici Evropského parlamentu a Rady (EU) 2017/1371</w:t>
      </w:r>
      <w:r w:rsidR="00DB2C46" w:rsidRPr="00CB683A">
        <w:rPr>
          <w:rStyle w:val="FootnoteReference"/>
          <w:noProof/>
        </w:rPr>
        <w:footnoteReference w:id="44"/>
      </w:r>
      <w:r w:rsidR="00DB2C46" w:rsidRPr="00CB683A">
        <w:rPr>
          <w:noProof/>
        </w:rPr>
        <w:t>. V souladu s finančním nařízením má jakákoli osoba nebo subjekt, kterým jsou poskytovány finanční prostředky Unie, plně spolupracovat na ochraně finančních zájmů Unie, udělit nezbytná práva a přístup Komisi, úřadu OLAF, Účetnímu dvoru a, v případě členských států účastnících se posílené spolupráce podle nařízení (EU) 2017/1939, Úřadu evropského veřejného žalobce a zajistit, aby rovnocenná práva udělily i třetí osoby podílející se na vynakládání finančních prostředků Unie.</w:t>
      </w:r>
    </w:p>
    <w:p w14:paraId="6626C380" w14:textId="5BEE1CAE" w:rsidR="00DB2C46" w:rsidRPr="00CB683A" w:rsidRDefault="00891439" w:rsidP="00891439">
      <w:pPr>
        <w:pStyle w:val="ManualConsidrant"/>
        <w:rPr>
          <w:noProof/>
          <w:szCs w:val="24"/>
        </w:rPr>
      </w:pPr>
      <w:r w:rsidRPr="00891439">
        <w:t>(37)</w:t>
      </w:r>
      <w:r w:rsidRPr="00891439">
        <w:tab/>
      </w:r>
      <w:r w:rsidR="00DB2C46" w:rsidRPr="00CB683A">
        <w:rPr>
          <w:noProof/>
        </w:rPr>
        <w:t>Za účelem zajištění jednotných podmínek pro provádění tohoto nařízení, pokud jde o specifikaci požadavků na údaje a metadata, technické formáty a postupy pro poskytování údajů a metadat, obsah a strukturu zpráv o kvalitě, by měly být Komisi svěřeny prováděcí pravomoci. Tyto pravomoci by měly být vykonávány v souladu s nařízením Evropského parlamentu</w:t>
      </w:r>
      <w:r w:rsidR="00DB2C46" w:rsidRPr="00CB683A">
        <w:rPr>
          <w:noProof/>
          <w:shd w:val="clear" w:color="auto" w:fill="FFFFFF"/>
        </w:rPr>
        <w:t xml:space="preserve"> a Rady (EU) č. 182/2011</w:t>
      </w:r>
      <w:r w:rsidR="00DB2C46" w:rsidRPr="00CB683A">
        <w:rPr>
          <w:rStyle w:val="FootnoteReference"/>
          <w:noProof/>
        </w:rPr>
        <w:footnoteReference w:id="45"/>
      </w:r>
      <w:r w:rsidR="00DB2C46" w:rsidRPr="00CB683A">
        <w:rPr>
          <w:noProof/>
          <w:shd w:val="clear" w:color="auto" w:fill="FFFFFF"/>
        </w:rPr>
        <w:t>.</w:t>
      </w:r>
    </w:p>
    <w:p w14:paraId="78270374" w14:textId="59062609" w:rsidR="00DB2C46" w:rsidRPr="00CB683A" w:rsidRDefault="00891439" w:rsidP="00891439">
      <w:pPr>
        <w:pStyle w:val="ManualConsidrant"/>
        <w:rPr>
          <w:noProof/>
          <w:szCs w:val="24"/>
        </w:rPr>
      </w:pPr>
      <w:r w:rsidRPr="00891439">
        <w:t>(38)</w:t>
      </w:r>
      <w:r w:rsidRPr="00891439">
        <w:tab/>
      </w:r>
      <w:r w:rsidR="00DB2C46" w:rsidRPr="00CB683A">
        <w:rPr>
          <w:noProof/>
        </w:rPr>
        <w:t>Pokud by provádění tohoto nařízení nebo aktů v přenesené pravomoci a prováděcích aktů přijatých na jeho základě vyžadovalo rozsáhlé úpravy národního statistického systému členského státu, pokud jde o poskytování údajů s periodicitou kratší než deset let, mělo by být Komisi umožněno udělit dotčenému členskému státu v řádně odůvodněných případech a na omezenou dobu výjimky.</w:t>
      </w:r>
    </w:p>
    <w:p w14:paraId="0BBC5FF2" w14:textId="73212144" w:rsidR="00DB2C46" w:rsidRPr="00CB683A" w:rsidRDefault="00891439" w:rsidP="00891439">
      <w:pPr>
        <w:pStyle w:val="ManualConsidrant"/>
        <w:rPr>
          <w:noProof/>
          <w:szCs w:val="24"/>
        </w:rPr>
      </w:pPr>
      <w:r w:rsidRPr="00891439">
        <w:t>(39)</w:t>
      </w:r>
      <w:r w:rsidRPr="00891439">
        <w:tab/>
      </w:r>
      <w:r w:rsidR="00DB2C46" w:rsidRPr="00CB683A">
        <w:rPr>
          <w:noProof/>
        </w:rPr>
        <w:t>Jelikož cíle tohoto nařízení, kterým je systematická tvorba evropské statistiky o obyvatelstvu, domech a bytech, nemůže být uspokojivě dosaženo členskými státy, ale lze jej z důvodu konzistentnosti a srovnatelnosti lépe dosáhnout na úrovni Unie, může Unie přijmout opatření za účelem dosažení tohoto cíle v souladu se zásadou subsidiarity stanovenou v článku 5 Smlouvy o Evropské unii. V souladu se zásadou proporcionality stanovenou v uvedeném článku, nepřekračuje toto nařízení rámec toho, co je nezbytné pro dosažení uvedeného cíle.</w:t>
      </w:r>
    </w:p>
    <w:p w14:paraId="54B9827B" w14:textId="4B681602" w:rsidR="00DB2C46" w:rsidRPr="00CB683A" w:rsidRDefault="00891439" w:rsidP="00891439">
      <w:pPr>
        <w:pStyle w:val="ManualConsidrant"/>
        <w:rPr>
          <w:noProof/>
          <w:szCs w:val="24"/>
        </w:rPr>
      </w:pPr>
      <w:r w:rsidRPr="00891439">
        <w:t>(40)</w:t>
      </w:r>
      <w:r w:rsidRPr="00891439">
        <w:tab/>
      </w:r>
      <w:r w:rsidR="00DB2C46" w:rsidRPr="00CB683A">
        <w:rPr>
          <w:noProof/>
        </w:rPr>
        <w:t>Evropský inspektor ochrany údajů byl konzultován v souladu s čl. 42 odst. 1 nařízení (EU) 2018/1725 a dne [xxx] vydal své stanovisko.</w:t>
      </w:r>
    </w:p>
    <w:p w14:paraId="6BCF9208" w14:textId="4AB2E0D5" w:rsidR="007F065E" w:rsidRPr="00CB683A" w:rsidRDefault="00891439" w:rsidP="00891439">
      <w:pPr>
        <w:pStyle w:val="ManualConsidrant"/>
        <w:rPr>
          <w:noProof/>
        </w:rPr>
      </w:pPr>
      <w:r w:rsidRPr="00891439">
        <w:t>(41)</w:t>
      </w:r>
      <w:r w:rsidRPr="00891439">
        <w:tab/>
      </w:r>
      <w:r w:rsidR="00DB2C46" w:rsidRPr="00CB683A">
        <w:rPr>
          <w:noProof/>
        </w:rPr>
        <w:t>Návrh byl konzultován s Výborem pro Evropský statistický systém,</w:t>
      </w:r>
    </w:p>
    <w:p w14:paraId="15222596" w14:textId="77777777" w:rsidR="007F065E" w:rsidRPr="00CB683A" w:rsidRDefault="007F065E" w:rsidP="00FE41E8">
      <w:pPr>
        <w:pStyle w:val="Formuledadoption"/>
        <w:rPr>
          <w:noProof/>
        </w:rPr>
      </w:pPr>
      <w:r w:rsidRPr="00CB683A">
        <w:rPr>
          <w:noProof/>
        </w:rPr>
        <w:t>PŘIJALY TOTO NAŘÍZENÍ:</w:t>
      </w:r>
    </w:p>
    <w:p w14:paraId="5A089587" w14:textId="77777777" w:rsidR="003E2B40" w:rsidRPr="00CB683A" w:rsidRDefault="003E2B40" w:rsidP="003E2B40">
      <w:pPr>
        <w:rPr>
          <w:noProof/>
        </w:rPr>
      </w:pPr>
    </w:p>
    <w:p w14:paraId="165D3210" w14:textId="77777777" w:rsidR="00DB2C46" w:rsidRPr="00CB683A" w:rsidRDefault="00DB2C46" w:rsidP="00DB2C46">
      <w:pPr>
        <w:pStyle w:val="Titrearticle"/>
        <w:rPr>
          <w:noProof/>
        </w:rPr>
      </w:pPr>
      <w:r w:rsidRPr="00CB683A">
        <w:rPr>
          <w:noProof/>
        </w:rPr>
        <w:t xml:space="preserve">Článek 1 </w:t>
      </w:r>
      <w:r w:rsidRPr="00CB683A">
        <w:rPr>
          <w:noProof/>
        </w:rPr>
        <w:br/>
        <w:t>Předmět</w:t>
      </w:r>
    </w:p>
    <w:p w14:paraId="1056575F" w14:textId="77777777" w:rsidR="00DB2C46" w:rsidRPr="00CB683A" w:rsidRDefault="00DB2C46" w:rsidP="00DB2C46">
      <w:pPr>
        <w:rPr>
          <w:noProof/>
        </w:rPr>
      </w:pPr>
      <w:r w:rsidRPr="00CB683A">
        <w:rPr>
          <w:noProof/>
        </w:rPr>
        <w:t>Tímto nařízením se zavádí společný právní rámec pro rozvoj, tvorbu a šíření evropské statistiky o obyvatelstvu, domech a bytech.</w:t>
      </w:r>
    </w:p>
    <w:p w14:paraId="5B629CE5" w14:textId="77777777" w:rsidR="00DB2C46" w:rsidRPr="00CB683A" w:rsidRDefault="00DB2C46" w:rsidP="00DB2C46">
      <w:pPr>
        <w:pStyle w:val="Titrearticle"/>
        <w:rPr>
          <w:noProof/>
        </w:rPr>
      </w:pPr>
      <w:r w:rsidRPr="00CB683A">
        <w:rPr>
          <w:noProof/>
        </w:rPr>
        <w:t xml:space="preserve">Článek 2 </w:t>
      </w:r>
      <w:r w:rsidRPr="00CB683A">
        <w:rPr>
          <w:noProof/>
        </w:rPr>
        <w:br/>
        <w:t>Definice</w:t>
      </w:r>
    </w:p>
    <w:p w14:paraId="7129DEAC" w14:textId="77777777" w:rsidR="00DB2C46" w:rsidRPr="00CB683A" w:rsidRDefault="00DB2C46" w:rsidP="00DB2C46">
      <w:pPr>
        <w:rPr>
          <w:noProof/>
        </w:rPr>
      </w:pPr>
      <w:r w:rsidRPr="00CB683A">
        <w:rPr>
          <w:noProof/>
        </w:rPr>
        <w:t>Pro účely tohoto nařízení se rozumí:</w:t>
      </w:r>
    </w:p>
    <w:p w14:paraId="6E505262" w14:textId="57A4C060" w:rsidR="00DB2C46" w:rsidRPr="00CB683A" w:rsidRDefault="00C90467" w:rsidP="00C90467">
      <w:pPr>
        <w:pStyle w:val="Point0"/>
        <w:rPr>
          <w:noProof/>
        </w:rPr>
      </w:pPr>
      <w:r>
        <w:rPr>
          <w:noProof/>
        </w:rPr>
        <w:t>1)</w:t>
      </w:r>
      <w:r>
        <w:rPr>
          <w:noProof/>
        </w:rPr>
        <w:tab/>
      </w:r>
      <w:r w:rsidR="00DB2C46" w:rsidRPr="00CB683A">
        <w:rPr>
          <w:noProof/>
        </w:rPr>
        <w:t>„státním občanstvím“ zvláštní právní vazba mezi fyzickou osobou a jejím státem, která vzniká narozením nebo naturalizací, ať už na základě prohlášení, volby, sňatku, osvojení nebo jinak, a to v souladu s vnitrostátními právními předpisy;</w:t>
      </w:r>
    </w:p>
    <w:p w14:paraId="1A757B01" w14:textId="7CD0CC9B" w:rsidR="00DB2C46" w:rsidRPr="00CB683A" w:rsidRDefault="00C90467" w:rsidP="00C90467">
      <w:pPr>
        <w:pStyle w:val="Point0"/>
        <w:rPr>
          <w:noProof/>
        </w:rPr>
      </w:pPr>
      <w:r>
        <w:rPr>
          <w:noProof/>
        </w:rPr>
        <w:t>2)</w:t>
      </w:r>
      <w:r>
        <w:rPr>
          <w:noProof/>
        </w:rPr>
        <w:tab/>
      </w:r>
      <w:r w:rsidR="00DB2C46" w:rsidRPr="00CB683A">
        <w:rPr>
          <w:noProof/>
        </w:rPr>
        <w:t xml:space="preserve">„místem obvyklého pobytu“ místo, kde osoba obvykle tráví období každodenního odpočinku bez ohledu na dočasnou nepřítomnost pro účely rekreace, dovolené, návštěv u přátel a příbuzných, služebních cest, léčení nebo náboženských poutí. Za osoby s obvyklým </w:t>
      </w:r>
      <w:r w:rsidR="00AF7168" w:rsidRPr="00CB683A">
        <w:rPr>
          <w:noProof/>
        </w:rPr>
        <w:t>místem pobytu</w:t>
      </w:r>
      <w:r w:rsidR="00DB2C46" w:rsidRPr="00CB683A">
        <w:rPr>
          <w:noProof/>
        </w:rPr>
        <w:t xml:space="preserve"> v </w:t>
      </w:r>
      <w:r w:rsidR="00AF7168" w:rsidRPr="00CB683A">
        <w:rPr>
          <w:noProof/>
        </w:rPr>
        <w:t>konkrétní</w:t>
      </w:r>
      <w:r w:rsidR="00DB2C46" w:rsidRPr="00CB683A">
        <w:rPr>
          <w:noProof/>
        </w:rPr>
        <w:t xml:space="preserve"> zeměpisné oblasti se považují pouze osoby, které: </w:t>
      </w:r>
    </w:p>
    <w:p w14:paraId="27FCA384" w14:textId="77777777" w:rsidR="00DB2C46" w:rsidRPr="00CB683A" w:rsidRDefault="00DB2C46" w:rsidP="00DB2C46">
      <w:pPr>
        <w:pStyle w:val="Point1"/>
        <w:rPr>
          <w:noProof/>
        </w:rPr>
      </w:pPr>
      <w:r w:rsidRPr="00CB683A">
        <w:rPr>
          <w:noProof/>
        </w:rPr>
        <w:t>a)</w:t>
      </w:r>
      <w:r w:rsidRPr="00CB683A">
        <w:rPr>
          <w:noProof/>
        </w:rPr>
        <w:tab/>
        <w:t xml:space="preserve">žily v místě svého obvyklého pobytu po většinu času během dvanácti měsíců před referenčním datem, včetně tohoto data, nebo </w:t>
      </w:r>
    </w:p>
    <w:p w14:paraId="2219C3BD" w14:textId="77777777" w:rsidR="00DB2C46" w:rsidRPr="00CB683A" w:rsidRDefault="00DB2C46" w:rsidP="00DB2C46">
      <w:pPr>
        <w:pStyle w:val="Point1"/>
        <w:rPr>
          <w:noProof/>
        </w:rPr>
      </w:pPr>
      <w:r w:rsidRPr="00CB683A">
        <w:rPr>
          <w:noProof/>
        </w:rPr>
        <w:t>b)</w:t>
      </w:r>
      <w:r w:rsidRPr="00CB683A">
        <w:rPr>
          <w:noProof/>
        </w:rPr>
        <w:tab/>
        <w:t>se přistěhovaly do místa svého obvyklého pobytu během období dvanácti měsíců před referenčním datem, včetně tohoto data, a u kterých existuje záměr nebo předpoklad, že v tomto místě obvyklého pobytu budou pobývat po většinu času během alespoň dvanácti měsíců po přistěhování;</w:t>
      </w:r>
    </w:p>
    <w:p w14:paraId="5176F9C2" w14:textId="4ABE0369" w:rsidR="00DB2C46" w:rsidRPr="00CB683A" w:rsidRDefault="00C90467" w:rsidP="00C90467">
      <w:pPr>
        <w:pStyle w:val="Point0"/>
        <w:rPr>
          <w:noProof/>
        </w:rPr>
      </w:pPr>
      <w:r>
        <w:rPr>
          <w:noProof/>
        </w:rPr>
        <w:t>3)</w:t>
      </w:r>
      <w:r>
        <w:rPr>
          <w:noProof/>
        </w:rPr>
        <w:tab/>
      </w:r>
      <w:r w:rsidR="00DB2C46" w:rsidRPr="00CB683A">
        <w:rPr>
          <w:noProof/>
        </w:rPr>
        <w:t>„známkami života“ jakékoli informace svědčící o skutečné přítomnosti a obvyklém pobytu osoby na daném území. Lze je získat z jakéhokoli vhodného zdroje nebo kombinace zdrojů, včetně digitálních stop, které se vztahují k dané osobě;</w:t>
      </w:r>
    </w:p>
    <w:p w14:paraId="5C5867FC" w14:textId="332B55CE" w:rsidR="00DB2C46" w:rsidRPr="00CB683A" w:rsidRDefault="00C90467" w:rsidP="00C90467">
      <w:pPr>
        <w:pStyle w:val="Point0"/>
        <w:rPr>
          <w:noProof/>
        </w:rPr>
      </w:pPr>
      <w:r>
        <w:rPr>
          <w:noProof/>
        </w:rPr>
        <w:t>4)</w:t>
      </w:r>
      <w:r>
        <w:rPr>
          <w:noProof/>
        </w:rPr>
        <w:tab/>
      </w:r>
      <w:r w:rsidR="00DB2C46" w:rsidRPr="00CB683A">
        <w:rPr>
          <w:noProof/>
        </w:rPr>
        <w:t>„mírou pobytu“ podíl počtu osob, které se během zvoleného období přistěhovaly na dané místo a zůstaly na stejném místě alespoň dvanáct měsíců, na celkovém počtu osob, které se na stejné místo přistěhovaly během stejného časového období;</w:t>
      </w:r>
    </w:p>
    <w:p w14:paraId="469A0696" w14:textId="0B5501CA" w:rsidR="00DB2C46" w:rsidRPr="00CB683A" w:rsidRDefault="00C90467" w:rsidP="00C90467">
      <w:pPr>
        <w:pStyle w:val="Point0"/>
        <w:rPr>
          <w:noProof/>
        </w:rPr>
      </w:pPr>
      <w:r>
        <w:rPr>
          <w:noProof/>
        </w:rPr>
        <w:t>5)</w:t>
      </w:r>
      <w:r>
        <w:rPr>
          <w:noProof/>
        </w:rPr>
        <w:tab/>
      </w:r>
      <w:r w:rsidR="00DB2C46" w:rsidRPr="00CB683A">
        <w:rPr>
          <w:noProof/>
        </w:rPr>
        <w:t>„mezinárodní migrací“ událost, při níž osoba získá místo svého obvyklého pobytu na území členského státu nebo třetí země, přičemž předchozí místo obvyklého pobytu této osoby bylo v jiném členském státě nebo v třetí zemi;</w:t>
      </w:r>
    </w:p>
    <w:p w14:paraId="1DFB92BE" w14:textId="0C7015F2" w:rsidR="00DB2C46" w:rsidRPr="00CB683A" w:rsidRDefault="00C90467" w:rsidP="00C90467">
      <w:pPr>
        <w:pStyle w:val="Point0"/>
        <w:rPr>
          <w:noProof/>
        </w:rPr>
      </w:pPr>
      <w:r>
        <w:rPr>
          <w:noProof/>
        </w:rPr>
        <w:t>6)</w:t>
      </w:r>
      <w:r>
        <w:rPr>
          <w:noProof/>
        </w:rPr>
        <w:tab/>
      </w:r>
      <w:r w:rsidR="00DB2C46" w:rsidRPr="00CB683A">
        <w:rPr>
          <w:noProof/>
        </w:rPr>
        <w:t>„přistěhovalcem“ osoba, která během referenčního období podstoupila mezinárodní migraci za účelem získání nového místa svého obvyklého pobytu ve vykazující zemi;</w:t>
      </w:r>
    </w:p>
    <w:p w14:paraId="57394C3A" w14:textId="34D897CF" w:rsidR="00DB2C46" w:rsidRPr="00CB683A" w:rsidRDefault="00C90467" w:rsidP="00C90467">
      <w:pPr>
        <w:pStyle w:val="Point0"/>
        <w:rPr>
          <w:noProof/>
        </w:rPr>
      </w:pPr>
      <w:r>
        <w:rPr>
          <w:noProof/>
        </w:rPr>
        <w:t>7)</w:t>
      </w:r>
      <w:r>
        <w:rPr>
          <w:noProof/>
        </w:rPr>
        <w:tab/>
      </w:r>
      <w:r w:rsidR="00DB2C46" w:rsidRPr="00CB683A">
        <w:rPr>
          <w:noProof/>
        </w:rPr>
        <w:t>„vystěhovalcem“ osoba, která během referenčního období podstoupila mezinárodní migraci za účelem získání nového místa svého obvyklého pobytu mimo vykazující zemi, přičemž předchozí místo obvyklého pobytu této osoby bylo ve vykazující zemi;</w:t>
      </w:r>
    </w:p>
    <w:p w14:paraId="4C2E38AB" w14:textId="7F501AEB" w:rsidR="00DB2C46" w:rsidRPr="00CB683A" w:rsidRDefault="00C90467" w:rsidP="00C90467">
      <w:pPr>
        <w:pStyle w:val="Point0"/>
        <w:rPr>
          <w:noProof/>
        </w:rPr>
      </w:pPr>
      <w:r>
        <w:rPr>
          <w:noProof/>
        </w:rPr>
        <w:t>8)</w:t>
      </w:r>
      <w:r>
        <w:rPr>
          <w:noProof/>
        </w:rPr>
        <w:tab/>
      </w:r>
      <w:r w:rsidR="00DB2C46" w:rsidRPr="00CB683A">
        <w:rPr>
          <w:noProof/>
        </w:rPr>
        <w:t>„vnitřní migrací“ událost, při níž osoba změní místo svého obvyklého pobytu v rámci území vykazující země;</w:t>
      </w:r>
    </w:p>
    <w:p w14:paraId="2440CBAB" w14:textId="10A732E3" w:rsidR="00DB2C46" w:rsidRPr="00CB683A" w:rsidRDefault="00C90467" w:rsidP="00C90467">
      <w:pPr>
        <w:pStyle w:val="Point0"/>
        <w:rPr>
          <w:noProof/>
        </w:rPr>
      </w:pPr>
      <w:r>
        <w:rPr>
          <w:noProof/>
        </w:rPr>
        <w:t>9)</w:t>
      </w:r>
      <w:r>
        <w:rPr>
          <w:noProof/>
        </w:rPr>
        <w:tab/>
      </w:r>
      <w:r w:rsidR="00DB2C46" w:rsidRPr="00CB683A">
        <w:rPr>
          <w:noProof/>
        </w:rPr>
        <w:t>„obytným prostorem“ dočasná nebo trvalá stavba, přístřeší nebo ubytovací místo, v němž pobývá jedna nebo více osob, bez ohledu na to, zda je navržené nebo určené k obývání lidmi;</w:t>
      </w:r>
    </w:p>
    <w:p w14:paraId="64D226E7" w14:textId="6BAE4DA7" w:rsidR="00DB2C46" w:rsidRPr="00CB683A" w:rsidRDefault="00C90467" w:rsidP="00C90467">
      <w:pPr>
        <w:pStyle w:val="Point0"/>
        <w:rPr>
          <w:noProof/>
        </w:rPr>
      </w:pPr>
      <w:r>
        <w:rPr>
          <w:noProof/>
        </w:rPr>
        <w:t>10)</w:t>
      </w:r>
      <w:r>
        <w:rPr>
          <w:noProof/>
        </w:rPr>
        <w:tab/>
      </w:r>
      <w:r w:rsidR="00DB2C46" w:rsidRPr="00CB683A">
        <w:rPr>
          <w:noProof/>
        </w:rPr>
        <w:t>„bytem“ prostor na stálém místě, který je určen k trvalému obývání lidmi, ale není určen k institucionálnímu nebo kolektivnímu ubytování;</w:t>
      </w:r>
    </w:p>
    <w:p w14:paraId="6D2B4634" w14:textId="623D8A92" w:rsidR="00DB2C46" w:rsidRPr="00CB683A" w:rsidRDefault="00C90467" w:rsidP="00C90467">
      <w:pPr>
        <w:pStyle w:val="Point0"/>
        <w:rPr>
          <w:noProof/>
        </w:rPr>
      </w:pPr>
      <w:r>
        <w:rPr>
          <w:noProof/>
        </w:rPr>
        <w:t>11)</w:t>
      </w:r>
      <w:r>
        <w:rPr>
          <w:noProof/>
        </w:rPr>
        <w:tab/>
      </w:r>
      <w:r w:rsidR="00DB2C46" w:rsidRPr="00CB683A">
        <w:rPr>
          <w:noProof/>
        </w:rPr>
        <w:t>„budovou určenou k obývání“ trvalá stavba, která se skládá z jednoho nebo více bytů nebo která je určena k institucionálnímu nebo kolektivnímu ubytování;</w:t>
      </w:r>
    </w:p>
    <w:p w14:paraId="30313460" w14:textId="080B58D5" w:rsidR="00DB2C46" w:rsidRPr="00CB683A" w:rsidRDefault="00C90467" w:rsidP="00C90467">
      <w:pPr>
        <w:pStyle w:val="Point0"/>
        <w:rPr>
          <w:noProof/>
        </w:rPr>
      </w:pPr>
      <w:r>
        <w:rPr>
          <w:noProof/>
        </w:rPr>
        <w:t>12)</w:t>
      </w:r>
      <w:r>
        <w:rPr>
          <w:noProof/>
        </w:rPr>
        <w:tab/>
      </w:r>
      <w:r w:rsidR="00DB2C46" w:rsidRPr="00CB683A">
        <w:rPr>
          <w:noProof/>
        </w:rPr>
        <w:t>„domácností“ skupina dvou nebo více osob, které sdílejí obytné prostory nebo jiné specifické zdroje, nebo jednotlivec, který není součástí žádné jiné domácnosti;</w:t>
      </w:r>
    </w:p>
    <w:p w14:paraId="6AB30789" w14:textId="7B323EA9" w:rsidR="00DB2C46" w:rsidRPr="00CB683A" w:rsidRDefault="00C90467" w:rsidP="00C90467">
      <w:pPr>
        <w:pStyle w:val="Point0"/>
        <w:rPr>
          <w:noProof/>
        </w:rPr>
      </w:pPr>
      <w:r>
        <w:rPr>
          <w:noProof/>
        </w:rPr>
        <w:t>13)</w:t>
      </w:r>
      <w:r>
        <w:rPr>
          <w:noProof/>
        </w:rPr>
        <w:tab/>
      </w:r>
      <w:r w:rsidR="00DB2C46" w:rsidRPr="00CB683A">
        <w:rPr>
          <w:noProof/>
        </w:rPr>
        <w:t xml:space="preserve">„rodinou“ skupina dvou nebo více osob, které žijí ve stejné domácnosti a které jsou příbuzné na základě rodičovství nebo manželského svazku, registrovaného partnerství nebo </w:t>
      </w:r>
      <w:r w:rsidR="00585D32" w:rsidRPr="00CB683A">
        <w:rPr>
          <w:noProof/>
        </w:rPr>
        <w:t>nesezdaného soužití</w:t>
      </w:r>
      <w:r w:rsidR="00DB2C46" w:rsidRPr="00CB683A">
        <w:rPr>
          <w:noProof/>
        </w:rPr>
        <w:t>;</w:t>
      </w:r>
    </w:p>
    <w:p w14:paraId="7135099A" w14:textId="4A85475B" w:rsidR="00DB2C46" w:rsidRPr="00CB683A" w:rsidRDefault="00C90467" w:rsidP="00C90467">
      <w:pPr>
        <w:pStyle w:val="Point0"/>
        <w:rPr>
          <w:noProof/>
        </w:rPr>
      </w:pPr>
      <w:r>
        <w:rPr>
          <w:noProof/>
        </w:rPr>
        <w:t>14)</w:t>
      </w:r>
      <w:r>
        <w:rPr>
          <w:noProof/>
        </w:rPr>
        <w:tab/>
      </w:r>
      <w:r w:rsidR="00DB2C46" w:rsidRPr="00CB683A">
        <w:rPr>
          <w:noProof/>
        </w:rPr>
        <w:t>„administrativními záznamy“ údaje generované nestatistickým zdrojem, obvykle registrem v držení veřejného subjektu, jehož hlavním cílem není poskytování statistik;</w:t>
      </w:r>
    </w:p>
    <w:p w14:paraId="1ABE5C4C" w14:textId="7C5521A7" w:rsidR="00DB2C46" w:rsidRPr="00CB683A" w:rsidRDefault="00C90467" w:rsidP="00C90467">
      <w:pPr>
        <w:pStyle w:val="Point0"/>
        <w:rPr>
          <w:noProof/>
        </w:rPr>
      </w:pPr>
      <w:r>
        <w:rPr>
          <w:noProof/>
        </w:rPr>
        <w:t>15)</w:t>
      </w:r>
      <w:r>
        <w:rPr>
          <w:noProof/>
        </w:rPr>
        <w:tab/>
      </w:r>
      <w:r w:rsidR="00DB2C46" w:rsidRPr="00CB683A">
        <w:rPr>
          <w:noProof/>
        </w:rPr>
        <w:t>„oblastí“ jeden nebo několik souborů údajů pokrývajících určitá témata;</w:t>
      </w:r>
    </w:p>
    <w:p w14:paraId="13E7931F" w14:textId="4D4B05B4" w:rsidR="00DB2C46" w:rsidRPr="00CB683A" w:rsidRDefault="00C90467" w:rsidP="00C90467">
      <w:pPr>
        <w:pStyle w:val="Point0"/>
        <w:rPr>
          <w:noProof/>
        </w:rPr>
      </w:pPr>
      <w:r>
        <w:rPr>
          <w:noProof/>
        </w:rPr>
        <w:t>16)</w:t>
      </w:r>
      <w:r>
        <w:rPr>
          <w:noProof/>
        </w:rPr>
        <w:tab/>
      </w:r>
      <w:r w:rsidR="00DB2C46" w:rsidRPr="00CB683A">
        <w:rPr>
          <w:noProof/>
        </w:rPr>
        <w:t>„tématem“ obsah informací, které mají být sbírány o statistických jednotkách, přičemž každé téma zahrnuje několik dílčích témat;</w:t>
      </w:r>
    </w:p>
    <w:p w14:paraId="3603D8FD" w14:textId="6DCC843E" w:rsidR="00DB2C46" w:rsidRPr="00CB683A" w:rsidRDefault="00C90467" w:rsidP="00C90467">
      <w:pPr>
        <w:pStyle w:val="Point0"/>
        <w:rPr>
          <w:noProof/>
        </w:rPr>
      </w:pPr>
      <w:r>
        <w:rPr>
          <w:noProof/>
        </w:rPr>
        <w:t>17)</w:t>
      </w:r>
      <w:r>
        <w:rPr>
          <w:noProof/>
        </w:rPr>
        <w:tab/>
      </w:r>
      <w:r w:rsidR="00DB2C46" w:rsidRPr="00CB683A">
        <w:rPr>
          <w:noProof/>
        </w:rPr>
        <w:t>„dílčím tématem“ podrobný obsah informací, které mají být sbírány o statistických jednotkách v souvislosti s některým tématem, přičemž každé dílčí téma zahrnuje jednu nebo několik proměnných;</w:t>
      </w:r>
    </w:p>
    <w:p w14:paraId="4CA83BC0" w14:textId="0F61DE6B" w:rsidR="00DB2C46" w:rsidRPr="00CB683A" w:rsidRDefault="00C90467" w:rsidP="00C90467">
      <w:pPr>
        <w:pStyle w:val="Point0"/>
        <w:rPr>
          <w:noProof/>
        </w:rPr>
      </w:pPr>
      <w:r>
        <w:rPr>
          <w:noProof/>
        </w:rPr>
        <w:t>18)</w:t>
      </w:r>
      <w:r>
        <w:rPr>
          <w:noProof/>
        </w:rPr>
        <w:tab/>
      </w:r>
      <w:r w:rsidR="00DB2C46" w:rsidRPr="00CB683A">
        <w:rPr>
          <w:noProof/>
        </w:rPr>
        <w:t>„souborem údajů“ statistika v podobě jedné nebo více proměnných uspořádaných ve strukturované formě;</w:t>
      </w:r>
    </w:p>
    <w:p w14:paraId="6D09066B" w14:textId="39E112BE" w:rsidR="00DB2C46" w:rsidRPr="00CB683A" w:rsidRDefault="00C90467" w:rsidP="00C90467">
      <w:pPr>
        <w:pStyle w:val="Point0"/>
        <w:rPr>
          <w:noProof/>
        </w:rPr>
      </w:pPr>
      <w:r>
        <w:rPr>
          <w:noProof/>
        </w:rPr>
        <w:t>19)</w:t>
      </w:r>
      <w:r>
        <w:rPr>
          <w:noProof/>
        </w:rPr>
        <w:tab/>
      </w:r>
      <w:r w:rsidR="00DB2C46" w:rsidRPr="00CB683A">
        <w:rPr>
          <w:noProof/>
        </w:rPr>
        <w:t>„sčítáním lidu, domů a bytů“ podrobné desetileté soubory údajů a metadata, které se mají poskytovat podle tohoto nařízení;</w:t>
      </w:r>
    </w:p>
    <w:p w14:paraId="0E4836A1" w14:textId="54FB920D" w:rsidR="00DB2C46" w:rsidRPr="00CB683A" w:rsidRDefault="00C90467" w:rsidP="00C90467">
      <w:pPr>
        <w:pStyle w:val="Point0"/>
        <w:rPr>
          <w:noProof/>
        </w:rPr>
      </w:pPr>
      <w:r>
        <w:rPr>
          <w:noProof/>
        </w:rPr>
        <w:t>20)</w:t>
      </w:r>
      <w:r>
        <w:rPr>
          <w:noProof/>
        </w:rPr>
        <w:tab/>
      </w:r>
      <w:r w:rsidR="00DB2C46" w:rsidRPr="00CB683A">
        <w:rPr>
          <w:noProof/>
        </w:rPr>
        <w:t>„statistickou jednotkou“ jeden člen souboru subjektů, totiž osob, předmětů nebo událostí, o nichž se sbírají údaje a nakonec sestavují statistiky;</w:t>
      </w:r>
    </w:p>
    <w:p w14:paraId="0364666E" w14:textId="0C623C3C" w:rsidR="00DB2C46" w:rsidRPr="00CB683A" w:rsidRDefault="00C90467" w:rsidP="00C90467">
      <w:pPr>
        <w:pStyle w:val="Point0"/>
        <w:rPr>
          <w:noProof/>
        </w:rPr>
      </w:pPr>
      <w:r>
        <w:rPr>
          <w:noProof/>
        </w:rPr>
        <w:t>21)</w:t>
      </w:r>
      <w:r>
        <w:rPr>
          <w:noProof/>
        </w:rPr>
        <w:tab/>
      </w:r>
      <w:r w:rsidR="00DB2C46" w:rsidRPr="00CB683A">
        <w:rPr>
          <w:noProof/>
        </w:rPr>
        <w:t>„proměnnou“ charakteristika statistické jednotky, která může nabýt více než jedné množiny hodnot;</w:t>
      </w:r>
    </w:p>
    <w:p w14:paraId="3DBA3652" w14:textId="27B98A74" w:rsidR="00DB2C46" w:rsidRPr="00CB683A" w:rsidRDefault="00C90467" w:rsidP="00C90467">
      <w:pPr>
        <w:pStyle w:val="Point0"/>
        <w:rPr>
          <w:noProof/>
        </w:rPr>
      </w:pPr>
      <w:r>
        <w:rPr>
          <w:noProof/>
        </w:rPr>
        <w:t>22)</w:t>
      </w:r>
      <w:r>
        <w:rPr>
          <w:noProof/>
        </w:rPr>
        <w:tab/>
      </w:r>
      <w:r w:rsidR="00DB2C46" w:rsidRPr="00CB683A">
        <w:rPr>
          <w:noProof/>
        </w:rPr>
        <w:t>„členěním“ předem stanovený diskrétní, vyčerpávající a vzájemně se vylučující soubor hodnot, které lze přiřadit proměnným charakterizujícím statistické jednotky;</w:t>
      </w:r>
    </w:p>
    <w:p w14:paraId="2BC2AFA6" w14:textId="1C145324" w:rsidR="00DB2C46" w:rsidRPr="00CB683A" w:rsidRDefault="00C90467" w:rsidP="00C90467">
      <w:pPr>
        <w:pStyle w:val="Point0"/>
        <w:rPr>
          <w:noProof/>
        </w:rPr>
      </w:pPr>
      <w:r>
        <w:rPr>
          <w:noProof/>
        </w:rPr>
        <w:t>23)</w:t>
      </w:r>
      <w:r>
        <w:rPr>
          <w:noProof/>
        </w:rPr>
        <w:tab/>
      </w:r>
      <w:r w:rsidR="00DB2C46" w:rsidRPr="00CB683A">
        <w:rPr>
          <w:noProof/>
        </w:rPr>
        <w:t>„národní úrovní“ území členského státu;</w:t>
      </w:r>
    </w:p>
    <w:p w14:paraId="66D92E32" w14:textId="228519A0" w:rsidR="00DB2C46" w:rsidRPr="00CB683A" w:rsidRDefault="00C90467" w:rsidP="00C90467">
      <w:pPr>
        <w:pStyle w:val="Point0"/>
        <w:rPr>
          <w:noProof/>
        </w:rPr>
      </w:pPr>
      <w:r>
        <w:rPr>
          <w:noProof/>
        </w:rPr>
        <w:t>24)</w:t>
      </w:r>
      <w:r>
        <w:rPr>
          <w:noProof/>
        </w:rPr>
        <w:tab/>
      </w:r>
      <w:r w:rsidR="00DB2C46" w:rsidRPr="00CB683A">
        <w:rPr>
          <w:noProof/>
        </w:rPr>
        <w:t>„regionální úrovní“ úroveň NUTS 3 podle nařízení (ES) č. 1059/2003;</w:t>
      </w:r>
    </w:p>
    <w:p w14:paraId="34CE2B87" w14:textId="729B29C9" w:rsidR="00DB2C46" w:rsidRPr="00CB683A" w:rsidRDefault="00C90467" w:rsidP="00C90467">
      <w:pPr>
        <w:pStyle w:val="Point0"/>
        <w:rPr>
          <w:noProof/>
        </w:rPr>
      </w:pPr>
      <w:r>
        <w:rPr>
          <w:noProof/>
        </w:rPr>
        <w:t>25)</w:t>
      </w:r>
      <w:r>
        <w:rPr>
          <w:noProof/>
        </w:rPr>
        <w:tab/>
      </w:r>
      <w:r w:rsidR="00DB2C46" w:rsidRPr="00CB683A">
        <w:rPr>
          <w:noProof/>
        </w:rPr>
        <w:t>„místní úrovní“ úroveň místní správní jednotky (LAU) podle nařízení (ES) č. 1059/2003;</w:t>
      </w:r>
    </w:p>
    <w:p w14:paraId="64689B14" w14:textId="45343EDF" w:rsidR="00DB2C46" w:rsidRPr="00CB683A" w:rsidRDefault="00C90467" w:rsidP="00C90467">
      <w:pPr>
        <w:pStyle w:val="Point0"/>
        <w:rPr>
          <w:noProof/>
        </w:rPr>
      </w:pPr>
      <w:r>
        <w:rPr>
          <w:noProof/>
        </w:rPr>
        <w:t>26)</w:t>
      </w:r>
      <w:r>
        <w:rPr>
          <w:noProof/>
        </w:rPr>
        <w:tab/>
      </w:r>
      <w:r w:rsidR="00DB2C46" w:rsidRPr="00CB683A">
        <w:rPr>
          <w:noProof/>
        </w:rPr>
        <w:t>„úrovní sítě“ statistická síť (grid) podle nařízení (ES) č. 1059/2003;</w:t>
      </w:r>
    </w:p>
    <w:p w14:paraId="1C124195" w14:textId="2244E110" w:rsidR="00DB2C46" w:rsidRPr="00CB683A" w:rsidRDefault="00C90467" w:rsidP="00C90467">
      <w:pPr>
        <w:pStyle w:val="Point0"/>
        <w:rPr>
          <w:noProof/>
        </w:rPr>
      </w:pPr>
      <w:r>
        <w:rPr>
          <w:noProof/>
        </w:rPr>
        <w:t>27)</w:t>
      </w:r>
      <w:r>
        <w:rPr>
          <w:noProof/>
        </w:rPr>
        <w:tab/>
      </w:r>
      <w:r w:rsidR="00DB2C46" w:rsidRPr="00CB683A">
        <w:rPr>
          <w:noProof/>
        </w:rPr>
        <w:t>„oporami výběru“ jakýkoli seznam, materiál nebo zařízení, kterými se vymezují a určují prvky cílové populace. V závislosti na použití může opora výběru umožňovat přístup k prvkům a/nebo poskytovat další charakteristiky prvků;</w:t>
      </w:r>
    </w:p>
    <w:p w14:paraId="036AB983" w14:textId="5E79DA1D" w:rsidR="00DB2C46" w:rsidRPr="00CB683A" w:rsidRDefault="00C90467" w:rsidP="00C90467">
      <w:pPr>
        <w:pStyle w:val="Point0"/>
        <w:rPr>
          <w:noProof/>
        </w:rPr>
      </w:pPr>
      <w:r>
        <w:rPr>
          <w:noProof/>
        </w:rPr>
        <w:t>28)</w:t>
      </w:r>
      <w:r>
        <w:rPr>
          <w:noProof/>
        </w:rPr>
        <w:tab/>
      </w:r>
      <w:r w:rsidR="00DB2C46" w:rsidRPr="00CB683A">
        <w:rPr>
          <w:noProof/>
        </w:rPr>
        <w:t>„referenčním datem“ časový okamžik, ke kterému se statistika vztahuje;</w:t>
      </w:r>
    </w:p>
    <w:p w14:paraId="305B9BE6" w14:textId="2C2EAEFE" w:rsidR="00DB2C46" w:rsidRPr="00CB683A" w:rsidRDefault="00C90467" w:rsidP="00C90467">
      <w:pPr>
        <w:pStyle w:val="Point0"/>
        <w:rPr>
          <w:noProof/>
        </w:rPr>
      </w:pPr>
      <w:r>
        <w:rPr>
          <w:noProof/>
        </w:rPr>
        <w:t>29)</w:t>
      </w:r>
      <w:r>
        <w:rPr>
          <w:noProof/>
        </w:rPr>
        <w:tab/>
      </w:r>
      <w:r w:rsidR="00DB2C46" w:rsidRPr="00CB683A">
        <w:rPr>
          <w:noProof/>
        </w:rPr>
        <w:t>„referenčním obdobím“ časový interval, ke kterému se vztahují statistiky událostí;</w:t>
      </w:r>
    </w:p>
    <w:p w14:paraId="4578A111" w14:textId="4575E3C8" w:rsidR="00DB2C46" w:rsidRPr="00CB683A" w:rsidRDefault="00C90467" w:rsidP="00C90467">
      <w:pPr>
        <w:pStyle w:val="Point0"/>
        <w:rPr>
          <w:noProof/>
        </w:rPr>
      </w:pPr>
      <w:r>
        <w:rPr>
          <w:noProof/>
        </w:rPr>
        <w:t>30)</w:t>
      </w:r>
      <w:r>
        <w:rPr>
          <w:noProof/>
        </w:rPr>
        <w:tab/>
      </w:r>
      <w:r w:rsidR="00DB2C46" w:rsidRPr="00CB683A">
        <w:rPr>
          <w:noProof/>
        </w:rPr>
        <w:t>„referenčním časem“ buď referenční datum, nebo referenční období v závislosti na tom, zda se jedná o statistiku týkající se událostí nebo jiných statistických jednotek;</w:t>
      </w:r>
    </w:p>
    <w:p w14:paraId="3FC7F333" w14:textId="26442740" w:rsidR="00DB2C46" w:rsidRPr="00CB683A" w:rsidRDefault="00C90467" w:rsidP="00C90467">
      <w:pPr>
        <w:pStyle w:val="Point0"/>
        <w:rPr>
          <w:noProof/>
        </w:rPr>
      </w:pPr>
      <w:r>
        <w:rPr>
          <w:noProof/>
        </w:rPr>
        <w:t>31)</w:t>
      </w:r>
      <w:r>
        <w:rPr>
          <w:noProof/>
        </w:rPr>
        <w:tab/>
      </w:r>
      <w:r w:rsidR="00DB2C46" w:rsidRPr="00CB683A">
        <w:rPr>
          <w:noProof/>
        </w:rPr>
        <w:t xml:space="preserve">„metadaty“ informace nezbytné k používání a výkladu statistiky a popisující údaje strukturovaným způsobem; </w:t>
      </w:r>
    </w:p>
    <w:p w14:paraId="74C9C630" w14:textId="54872351" w:rsidR="00DB2C46" w:rsidRPr="00CB683A" w:rsidRDefault="00C90467" w:rsidP="00C90467">
      <w:pPr>
        <w:pStyle w:val="Point0"/>
        <w:rPr>
          <w:noProof/>
        </w:rPr>
      </w:pPr>
      <w:r>
        <w:rPr>
          <w:noProof/>
        </w:rPr>
        <w:t>32)</w:t>
      </w:r>
      <w:r>
        <w:rPr>
          <w:noProof/>
        </w:rPr>
        <w:tab/>
      </w:r>
      <w:r w:rsidR="00DB2C46" w:rsidRPr="00CB683A">
        <w:rPr>
          <w:noProof/>
        </w:rPr>
        <w:t>„předem kontrolovanými soubory údajů“ soubory údajů ověřené členskými státy na základě dohodnutých společných pravidel pro ověřování;</w:t>
      </w:r>
    </w:p>
    <w:p w14:paraId="7BC51765" w14:textId="0201EA3B" w:rsidR="00DB2C46" w:rsidRPr="00CB683A" w:rsidRDefault="00C90467" w:rsidP="00C90467">
      <w:pPr>
        <w:pStyle w:val="Point0"/>
        <w:rPr>
          <w:noProof/>
        </w:rPr>
      </w:pPr>
      <w:r>
        <w:rPr>
          <w:noProof/>
        </w:rPr>
        <w:t>33)</w:t>
      </w:r>
      <w:r>
        <w:rPr>
          <w:noProof/>
        </w:rPr>
        <w:tab/>
      </w:r>
      <w:r w:rsidR="00DB2C46" w:rsidRPr="00CB683A">
        <w:rPr>
          <w:noProof/>
        </w:rPr>
        <w:t>„zprávou o kvalitě“ zpráva obsahující informace o kvalitě statistického produktu nebo procesu.</w:t>
      </w:r>
    </w:p>
    <w:p w14:paraId="531F768D" w14:textId="77777777" w:rsidR="00DB2C46" w:rsidRPr="00CB683A" w:rsidRDefault="00DB2C46" w:rsidP="00DB2C46">
      <w:pPr>
        <w:pStyle w:val="Titrearticle"/>
        <w:rPr>
          <w:noProof/>
        </w:rPr>
      </w:pPr>
      <w:r w:rsidRPr="00CB683A">
        <w:rPr>
          <w:noProof/>
        </w:rPr>
        <w:t xml:space="preserve">Článek 3 </w:t>
      </w:r>
      <w:r w:rsidRPr="00CB683A">
        <w:rPr>
          <w:noProof/>
        </w:rPr>
        <w:br/>
        <w:t xml:space="preserve">Populační základna </w:t>
      </w:r>
    </w:p>
    <w:p w14:paraId="7913D89C" w14:textId="03C57F57" w:rsidR="00DB2C46" w:rsidRPr="00CB683A" w:rsidRDefault="00891439" w:rsidP="00891439">
      <w:pPr>
        <w:pStyle w:val="ManualNumPar1"/>
        <w:rPr>
          <w:noProof/>
        </w:rPr>
      </w:pPr>
      <w:r w:rsidRPr="00891439">
        <w:t>1.</w:t>
      </w:r>
      <w:r w:rsidRPr="00891439">
        <w:tab/>
      </w:r>
      <w:r w:rsidR="00DB2C46" w:rsidRPr="00CB683A">
        <w:rPr>
          <w:noProof/>
        </w:rPr>
        <w:t>Pro účely tohoto nařízení se populační základna skládá ze všech osob, které mají k referenčnímu datu obvyklé místo pobytu v Unii v určité územní jednotce členského státu na národní, regionální či místní úrovni nebo na úrovni sítě.</w:t>
      </w:r>
    </w:p>
    <w:p w14:paraId="0969CD44" w14:textId="768913B2" w:rsidR="00DB2C46" w:rsidRPr="00CB683A" w:rsidRDefault="00891439" w:rsidP="00891439">
      <w:pPr>
        <w:pStyle w:val="ManualNumPar1"/>
        <w:rPr>
          <w:noProof/>
        </w:rPr>
      </w:pPr>
      <w:r w:rsidRPr="00891439">
        <w:t>2.</w:t>
      </w:r>
      <w:r w:rsidRPr="00891439">
        <w:tab/>
      </w:r>
      <w:r w:rsidR="00DB2C46" w:rsidRPr="00CB683A">
        <w:rPr>
          <w:noProof/>
        </w:rPr>
        <w:t xml:space="preserve">Populační základna zahrnuje všechny osoby s místem obvyklého pobytu bez ohledu na jejich státní příslušnost nebo na to, zda určitá osoba je nebo byla v minulosti bez státní příslušnosti, a bez ohledu na to, zda místo pobytu nebo pobyt určité osoby jsou schválené nebo povolené příslušnými orgány. </w:t>
      </w:r>
    </w:p>
    <w:p w14:paraId="3AF44F18" w14:textId="24DE12EF" w:rsidR="00DB2C46" w:rsidRPr="00CB683A" w:rsidRDefault="00891439" w:rsidP="00891439">
      <w:pPr>
        <w:pStyle w:val="ManualNumPar1"/>
        <w:rPr>
          <w:noProof/>
        </w:rPr>
      </w:pPr>
      <w:r w:rsidRPr="00891439">
        <w:t>3.</w:t>
      </w:r>
      <w:r w:rsidRPr="00891439">
        <w:tab/>
      </w:r>
      <w:r w:rsidR="00DB2C46" w:rsidRPr="00CB683A">
        <w:rPr>
          <w:noProof/>
        </w:rPr>
        <w:t>Populační základna nezahrnuje osoby s místem obvyklého pobytu mimo území členského státu, bez ohledu na místo narození nebo státní příslušnost a bez ohledu na veškeré rodinné, sociální, hospodářské nebo majetkové vazby, které může mít určitá osoba k členskému státu.</w:t>
      </w:r>
    </w:p>
    <w:p w14:paraId="498B17B2" w14:textId="0262D6FB" w:rsidR="00DB2C46" w:rsidRPr="00CB683A" w:rsidRDefault="00891439" w:rsidP="00891439">
      <w:pPr>
        <w:pStyle w:val="ManualNumPar1"/>
        <w:rPr>
          <w:noProof/>
        </w:rPr>
      </w:pPr>
      <w:r w:rsidRPr="00891439">
        <w:t>4.</w:t>
      </w:r>
      <w:r w:rsidRPr="00891439">
        <w:tab/>
      </w:r>
      <w:r w:rsidR="00DB2C46" w:rsidRPr="00CB683A">
        <w:rPr>
          <w:noProof/>
        </w:rPr>
        <w:t>Osobám bez místa obvyklého pobytu se jako místo obvyklého pobytu přisoudí místo, kde se nacházejí k referenčnímu datu.</w:t>
      </w:r>
    </w:p>
    <w:p w14:paraId="7818E88B" w14:textId="42C7B475" w:rsidR="00DB2C46" w:rsidRPr="00CB683A" w:rsidRDefault="00891439" w:rsidP="00891439">
      <w:pPr>
        <w:pStyle w:val="ManualNumPar1"/>
        <w:rPr>
          <w:noProof/>
        </w:rPr>
      </w:pPr>
      <w:r w:rsidRPr="00891439">
        <w:t>5.</w:t>
      </w:r>
      <w:r w:rsidRPr="00891439">
        <w:tab/>
      </w:r>
      <w:r w:rsidR="00DB2C46" w:rsidRPr="00CB683A">
        <w:rPr>
          <w:noProof/>
        </w:rPr>
        <w:t>Členské státy použijí definici místa obvyklého pobytu stanovenou v tomto nařízení na všechny soubory údajů poskytované Komisi (Eurostatu) podle tohoto nařízení a pro národní, regionální a místní úroveň a úroveň sítě.</w:t>
      </w:r>
    </w:p>
    <w:p w14:paraId="6E9E1760" w14:textId="2AA62434" w:rsidR="00DB2C46" w:rsidRPr="00CB683A" w:rsidRDefault="00891439" w:rsidP="00891439">
      <w:pPr>
        <w:pStyle w:val="ManualNumPar1"/>
        <w:rPr>
          <w:noProof/>
        </w:rPr>
      </w:pPr>
      <w:r w:rsidRPr="00891439">
        <w:t>6.</w:t>
      </w:r>
      <w:r w:rsidRPr="00891439">
        <w:tab/>
      </w:r>
      <w:r w:rsidR="00AA2F33" w:rsidRPr="00CB683A">
        <w:rPr>
          <w:noProof/>
        </w:rPr>
        <w:t xml:space="preserve">Při uplatňování definice místa obvyklého pobytu členské státy použijí: </w:t>
      </w:r>
    </w:p>
    <w:p w14:paraId="41F3B9E2" w14:textId="77777777" w:rsidR="00DB2C46" w:rsidRPr="00CB683A" w:rsidRDefault="00DB2C46" w:rsidP="00DB2C46">
      <w:pPr>
        <w:pStyle w:val="Point1"/>
        <w:rPr>
          <w:noProof/>
        </w:rPr>
      </w:pPr>
      <w:r w:rsidRPr="00CB683A">
        <w:rPr>
          <w:noProof/>
        </w:rPr>
        <w:t>a)</w:t>
      </w:r>
      <w:r w:rsidRPr="00CB683A">
        <w:rPr>
          <w:noProof/>
        </w:rPr>
        <w:tab/>
        <w:t>jeden zdroj údajů podle čl. 9 odst. 1 nebo jejich kombinaci;</w:t>
      </w:r>
    </w:p>
    <w:p w14:paraId="3E2EDE41" w14:textId="7C3C34A4" w:rsidR="00DB2C46" w:rsidRPr="00CB683A" w:rsidRDefault="00DB2C46" w:rsidP="00DB2C46">
      <w:pPr>
        <w:pStyle w:val="Point1"/>
        <w:rPr>
          <w:noProof/>
        </w:rPr>
      </w:pPr>
      <w:r w:rsidRPr="00CB683A">
        <w:rPr>
          <w:noProof/>
        </w:rPr>
        <w:t>b)</w:t>
      </w:r>
      <w:r w:rsidRPr="00CB683A">
        <w:rPr>
          <w:noProof/>
        </w:rPr>
        <w:tab/>
        <w:t>metody odhadu, jako jsou „známky života“</w:t>
      </w:r>
      <w:r w:rsidR="00785344" w:rsidRPr="00CB683A">
        <w:rPr>
          <w:noProof/>
        </w:rPr>
        <w:t>, za účelem korekce</w:t>
      </w:r>
      <w:r w:rsidRPr="00CB683A">
        <w:rPr>
          <w:noProof/>
        </w:rPr>
        <w:t xml:space="preserve"> skutečné přítomnosti na předpokládaném místě obvyklého pobytu po většinu času během dvanácti měsíců končících referenčním datem, a „míra pobytu“</w:t>
      </w:r>
      <w:r w:rsidR="00785344" w:rsidRPr="00CB683A">
        <w:rPr>
          <w:noProof/>
        </w:rPr>
        <w:t>,</w:t>
      </w:r>
      <w:r w:rsidRPr="00CB683A">
        <w:rPr>
          <w:noProof/>
        </w:rPr>
        <w:t xml:space="preserve"> za účelem</w:t>
      </w:r>
      <w:r w:rsidR="00785344" w:rsidRPr="00CB683A">
        <w:rPr>
          <w:noProof/>
        </w:rPr>
        <w:t xml:space="preserve"> </w:t>
      </w:r>
      <w:r w:rsidRPr="00CB683A">
        <w:rPr>
          <w:noProof/>
        </w:rPr>
        <w:t>odhadu počtu osob, které mají v úmyslu zůstat nebo u nichž se očekává, že zůstanou, po většinu času během dvanácti měsíců po přistěhování.</w:t>
      </w:r>
    </w:p>
    <w:p w14:paraId="27114493" w14:textId="77777777" w:rsidR="00DB2C46" w:rsidRPr="00CB683A" w:rsidRDefault="00DB2C46" w:rsidP="00DB2C46">
      <w:pPr>
        <w:pStyle w:val="Titrearticle"/>
        <w:rPr>
          <w:noProof/>
        </w:rPr>
      </w:pPr>
      <w:r w:rsidRPr="00CB683A">
        <w:rPr>
          <w:noProof/>
        </w:rPr>
        <w:t xml:space="preserve">Článek 4 </w:t>
      </w:r>
      <w:r w:rsidRPr="00CB683A">
        <w:rPr>
          <w:noProof/>
        </w:rPr>
        <w:br/>
        <w:t>Statistické jednotky</w:t>
      </w:r>
    </w:p>
    <w:p w14:paraId="5C807086" w14:textId="77777777" w:rsidR="00DB2C46" w:rsidRPr="00CB683A" w:rsidRDefault="00DB2C46" w:rsidP="00DB2C46">
      <w:pPr>
        <w:spacing w:line="264" w:lineRule="auto"/>
        <w:rPr>
          <w:rFonts w:eastAsia="Times New Roman"/>
          <w:noProof/>
          <w:szCs w:val="24"/>
        </w:rPr>
      </w:pPr>
      <w:r w:rsidRPr="00CB683A">
        <w:rPr>
          <w:noProof/>
        </w:rPr>
        <w:t>Statistika podle tohoto nařízení se sestavuje pro tyto statistické jednotky:</w:t>
      </w:r>
    </w:p>
    <w:p w14:paraId="4669BC91" w14:textId="424D2DC2" w:rsidR="00DB2C46" w:rsidRPr="00CB683A" w:rsidRDefault="00C90467" w:rsidP="00C90467">
      <w:pPr>
        <w:pStyle w:val="Point0"/>
        <w:rPr>
          <w:noProof/>
        </w:rPr>
      </w:pPr>
      <w:r>
        <w:rPr>
          <w:noProof/>
        </w:rPr>
        <w:t>a)</w:t>
      </w:r>
      <w:r>
        <w:rPr>
          <w:noProof/>
        </w:rPr>
        <w:tab/>
      </w:r>
      <w:r w:rsidR="00DB2C46" w:rsidRPr="00CB683A">
        <w:rPr>
          <w:noProof/>
        </w:rPr>
        <w:t>osoby;</w:t>
      </w:r>
    </w:p>
    <w:p w14:paraId="6173D220" w14:textId="17CD57BB" w:rsidR="00DB2C46" w:rsidRPr="00CB683A" w:rsidRDefault="00C90467" w:rsidP="00C90467">
      <w:pPr>
        <w:pStyle w:val="Point0"/>
        <w:rPr>
          <w:noProof/>
        </w:rPr>
      </w:pPr>
      <w:r>
        <w:rPr>
          <w:noProof/>
        </w:rPr>
        <w:t>b)</w:t>
      </w:r>
      <w:r>
        <w:rPr>
          <w:noProof/>
        </w:rPr>
        <w:tab/>
      </w:r>
      <w:r w:rsidR="00DB2C46" w:rsidRPr="00CB683A">
        <w:rPr>
          <w:noProof/>
        </w:rPr>
        <w:t>události přirozené měny;</w:t>
      </w:r>
    </w:p>
    <w:p w14:paraId="33511275" w14:textId="5EAA026F" w:rsidR="00DB2C46" w:rsidRPr="00CB683A" w:rsidRDefault="00C90467" w:rsidP="00C90467">
      <w:pPr>
        <w:pStyle w:val="Point0"/>
        <w:rPr>
          <w:noProof/>
        </w:rPr>
      </w:pPr>
      <w:r>
        <w:rPr>
          <w:noProof/>
        </w:rPr>
        <w:t>c)</w:t>
      </w:r>
      <w:r>
        <w:rPr>
          <w:noProof/>
        </w:rPr>
        <w:tab/>
      </w:r>
      <w:r w:rsidR="00DB2C46" w:rsidRPr="00CB683A">
        <w:rPr>
          <w:noProof/>
        </w:rPr>
        <w:t>rodiny;</w:t>
      </w:r>
    </w:p>
    <w:p w14:paraId="483DDD82" w14:textId="13D27145" w:rsidR="00DB2C46" w:rsidRPr="00CB683A" w:rsidRDefault="00C90467" w:rsidP="00C90467">
      <w:pPr>
        <w:pStyle w:val="Point0"/>
        <w:rPr>
          <w:noProof/>
        </w:rPr>
      </w:pPr>
      <w:r>
        <w:rPr>
          <w:noProof/>
        </w:rPr>
        <w:t>d)</w:t>
      </w:r>
      <w:r>
        <w:rPr>
          <w:noProof/>
        </w:rPr>
        <w:tab/>
      </w:r>
      <w:r w:rsidR="00DB2C46" w:rsidRPr="00CB683A">
        <w:rPr>
          <w:noProof/>
        </w:rPr>
        <w:t>domácnosti;</w:t>
      </w:r>
    </w:p>
    <w:p w14:paraId="08679740" w14:textId="0188AF67" w:rsidR="00DB2C46" w:rsidRPr="00CB683A" w:rsidRDefault="00C90467" w:rsidP="00C90467">
      <w:pPr>
        <w:pStyle w:val="Point0"/>
        <w:rPr>
          <w:noProof/>
        </w:rPr>
      </w:pPr>
      <w:r>
        <w:rPr>
          <w:noProof/>
        </w:rPr>
        <w:t>e)</w:t>
      </w:r>
      <w:r>
        <w:rPr>
          <w:noProof/>
        </w:rPr>
        <w:tab/>
      </w:r>
      <w:r w:rsidR="00DB2C46" w:rsidRPr="00CB683A">
        <w:rPr>
          <w:noProof/>
        </w:rPr>
        <w:t>budovy určené k obývání, obytné prostory a byty.</w:t>
      </w:r>
    </w:p>
    <w:p w14:paraId="09222F9F" w14:textId="77777777" w:rsidR="00DB2C46" w:rsidRPr="00CB683A" w:rsidRDefault="00DB2C46" w:rsidP="00DB2C46">
      <w:pPr>
        <w:pStyle w:val="Titrearticle"/>
        <w:rPr>
          <w:noProof/>
        </w:rPr>
      </w:pPr>
      <w:r w:rsidRPr="00CB683A">
        <w:rPr>
          <w:noProof/>
        </w:rPr>
        <w:t xml:space="preserve">Článek 5 </w:t>
      </w:r>
      <w:r w:rsidRPr="00CB683A">
        <w:rPr>
          <w:noProof/>
        </w:rPr>
        <w:br/>
        <w:t>Požadavky na statistiku</w:t>
      </w:r>
    </w:p>
    <w:p w14:paraId="7F89912B" w14:textId="6A28648B" w:rsidR="00DB2C46" w:rsidRPr="00CB683A" w:rsidRDefault="00891439" w:rsidP="00891439">
      <w:pPr>
        <w:pStyle w:val="ManualNumPar1"/>
        <w:rPr>
          <w:noProof/>
        </w:rPr>
      </w:pPr>
      <w:r w:rsidRPr="00891439">
        <w:t>1.</w:t>
      </w:r>
      <w:r w:rsidRPr="00891439">
        <w:tab/>
      </w:r>
      <w:r w:rsidR="00DB2C46" w:rsidRPr="00CB683A">
        <w:rPr>
          <w:noProof/>
        </w:rPr>
        <w:t>Evropská statistika o obyvatelstvu, domech a bytech zahrnuje tyto oblasti:</w:t>
      </w:r>
    </w:p>
    <w:p w14:paraId="5B93177B" w14:textId="77777777" w:rsidR="00DB2C46" w:rsidRPr="00CB683A" w:rsidRDefault="00DB2C46" w:rsidP="00DB2C46">
      <w:pPr>
        <w:pStyle w:val="Point1"/>
        <w:rPr>
          <w:noProof/>
        </w:rPr>
      </w:pPr>
      <w:r w:rsidRPr="00CB683A">
        <w:rPr>
          <w:noProof/>
        </w:rPr>
        <w:t>a)</w:t>
      </w:r>
      <w:r w:rsidRPr="00CB683A">
        <w:rPr>
          <w:noProof/>
        </w:rPr>
        <w:tab/>
        <w:t>demografii;</w:t>
      </w:r>
    </w:p>
    <w:p w14:paraId="34F8A313" w14:textId="224A6013" w:rsidR="00DB2C46" w:rsidRPr="00CB683A" w:rsidRDefault="00DB2C46" w:rsidP="00DB2C46">
      <w:pPr>
        <w:pStyle w:val="Point1"/>
        <w:rPr>
          <w:noProof/>
        </w:rPr>
      </w:pPr>
      <w:r w:rsidRPr="00CB683A">
        <w:rPr>
          <w:noProof/>
        </w:rPr>
        <w:t>b)</w:t>
      </w:r>
      <w:r w:rsidRPr="00CB683A">
        <w:rPr>
          <w:noProof/>
        </w:rPr>
        <w:tab/>
      </w:r>
      <w:r w:rsidR="00B357C4">
        <w:rPr>
          <w:noProof/>
        </w:rPr>
        <w:t>domy a byty</w:t>
      </w:r>
      <w:r w:rsidRPr="00CB683A">
        <w:rPr>
          <w:noProof/>
        </w:rPr>
        <w:t>;</w:t>
      </w:r>
    </w:p>
    <w:p w14:paraId="4194DE21" w14:textId="77777777" w:rsidR="00DB2C46" w:rsidRPr="00CB683A" w:rsidRDefault="00DB2C46" w:rsidP="00DB2C46">
      <w:pPr>
        <w:pStyle w:val="Point1"/>
        <w:rPr>
          <w:noProof/>
        </w:rPr>
      </w:pPr>
      <w:r w:rsidRPr="00CB683A">
        <w:rPr>
          <w:noProof/>
        </w:rPr>
        <w:t>c)</w:t>
      </w:r>
      <w:r w:rsidRPr="00CB683A">
        <w:rPr>
          <w:noProof/>
        </w:rPr>
        <w:tab/>
        <w:t>rodiny a domácnosti.</w:t>
      </w:r>
    </w:p>
    <w:p w14:paraId="071A63BF" w14:textId="4F361DF7" w:rsidR="00DB2C46" w:rsidRPr="00CB683A" w:rsidRDefault="00891439" w:rsidP="00891439">
      <w:pPr>
        <w:pStyle w:val="ManualNumPar1"/>
        <w:rPr>
          <w:noProof/>
        </w:rPr>
      </w:pPr>
      <w:r w:rsidRPr="00891439">
        <w:t>2.</w:t>
      </w:r>
      <w:r w:rsidRPr="00891439">
        <w:tab/>
      </w:r>
      <w:r w:rsidR="00DB2C46" w:rsidRPr="00CB683A">
        <w:rPr>
          <w:noProof/>
        </w:rPr>
        <w:t>Statistika v oblastech uvedených v odstavci 1 se uspořádá do souborů údajů podle témat a dílčích témat uvedených v příloze.</w:t>
      </w:r>
    </w:p>
    <w:p w14:paraId="1A713C01" w14:textId="0EDCFF2D" w:rsidR="00DB2C46" w:rsidRPr="00CB683A" w:rsidRDefault="00891439" w:rsidP="00891439">
      <w:pPr>
        <w:pStyle w:val="ManualNumPar1"/>
        <w:rPr>
          <w:noProof/>
        </w:rPr>
      </w:pPr>
      <w:r w:rsidRPr="00891439">
        <w:t>3.</w:t>
      </w:r>
      <w:r w:rsidRPr="00891439">
        <w:tab/>
      </w:r>
      <w:r w:rsidR="00DB2C46" w:rsidRPr="00CB683A">
        <w:rPr>
          <w:noProof/>
        </w:rPr>
        <w:t xml:space="preserve">Komisi je v souladu s článkem 17 svěřena pravomoc přijímat akty v přenesené pravomoci za účelem změny seznamu dílčích témat v příloze. Uvedené akty v přenesené pravomoci se přijmou alespoň dvanáct měsíců před začátkem příslušného referenčního času. </w:t>
      </w:r>
    </w:p>
    <w:p w14:paraId="0517ACE3" w14:textId="1FFB82FE" w:rsidR="00DB2C46" w:rsidRPr="00CB683A" w:rsidRDefault="00891439" w:rsidP="00891439">
      <w:pPr>
        <w:pStyle w:val="ManualNumPar1"/>
        <w:rPr>
          <w:noProof/>
        </w:rPr>
      </w:pPr>
      <w:r w:rsidRPr="00891439">
        <w:t>4.</w:t>
      </w:r>
      <w:r w:rsidRPr="00891439">
        <w:tab/>
      </w:r>
      <w:r w:rsidR="00DB2C46" w:rsidRPr="00CB683A">
        <w:rPr>
          <w:noProof/>
        </w:rPr>
        <w:t>Při výkonu pravomoci přijímat akty v přenesené pravomoci podle odstavce 3 tohoto článku Komise zajistí, aby uvedené akty nezpůsobily členským státům a respondentům při plnění zpravodajské povinnosti výraznou a nepřiměřenou zátěž. Každé nové dílčí téma se posoudí z hlediska jeho proveditelnosti prostřednictvím pilotních studií provedených Komisí (Eurostatem) a členskými státy v souladu s článkem 14.</w:t>
      </w:r>
    </w:p>
    <w:p w14:paraId="78502E9E" w14:textId="4DBB2807" w:rsidR="00DB2C46" w:rsidRPr="00CB683A" w:rsidRDefault="00891439" w:rsidP="00891439">
      <w:pPr>
        <w:pStyle w:val="ManualNumPar1"/>
        <w:rPr>
          <w:noProof/>
        </w:rPr>
      </w:pPr>
      <w:r w:rsidRPr="00891439">
        <w:t>5.</w:t>
      </w:r>
      <w:r w:rsidRPr="00891439">
        <w:tab/>
      </w:r>
      <w:r w:rsidR="00DB2C46" w:rsidRPr="00CB683A">
        <w:rPr>
          <w:noProof/>
        </w:rPr>
        <w:t>Komise přijme prováděcí akty za účelem vymezení technických vlastností souborů údajů a metadat, které mají být předloženy Komisi (Eurostatu). Uvedené prováděcí akty stanoví ve vhodných případech tyto technické prvky:</w:t>
      </w:r>
    </w:p>
    <w:p w14:paraId="37195F68" w14:textId="0189DC2C" w:rsidR="00DB2C46" w:rsidRPr="00CB683A" w:rsidRDefault="00C90467" w:rsidP="00C90467">
      <w:pPr>
        <w:pStyle w:val="Point1"/>
        <w:rPr>
          <w:noProof/>
        </w:rPr>
      </w:pPr>
      <w:r>
        <w:rPr>
          <w:noProof/>
        </w:rPr>
        <w:t>a)</w:t>
      </w:r>
      <w:r>
        <w:rPr>
          <w:noProof/>
        </w:rPr>
        <w:tab/>
      </w:r>
      <w:r w:rsidR="00DB2C46" w:rsidRPr="00CB683A">
        <w:rPr>
          <w:noProof/>
        </w:rPr>
        <w:t>názvy proměnných, jejich technické specifikace a členění;</w:t>
      </w:r>
    </w:p>
    <w:p w14:paraId="636DE3EF" w14:textId="0B8E2E4C" w:rsidR="00DB2C46" w:rsidRPr="00CB683A" w:rsidRDefault="00C90467" w:rsidP="00C90467">
      <w:pPr>
        <w:pStyle w:val="Point1"/>
        <w:rPr>
          <w:noProof/>
        </w:rPr>
      </w:pPr>
      <w:r>
        <w:rPr>
          <w:noProof/>
        </w:rPr>
        <w:t>b)</w:t>
      </w:r>
      <w:r>
        <w:rPr>
          <w:noProof/>
        </w:rPr>
        <w:tab/>
      </w:r>
      <w:r w:rsidR="00DB2C46" w:rsidRPr="00CB683A">
        <w:rPr>
          <w:noProof/>
        </w:rPr>
        <w:t>podrobné specifikace statistických jednotek a metadat;</w:t>
      </w:r>
    </w:p>
    <w:p w14:paraId="09CE28C9" w14:textId="5EA1C071" w:rsidR="00DB2C46" w:rsidRPr="00CB683A" w:rsidRDefault="00C90467" w:rsidP="00C90467">
      <w:pPr>
        <w:pStyle w:val="Point1"/>
        <w:rPr>
          <w:noProof/>
        </w:rPr>
      </w:pPr>
      <w:r>
        <w:rPr>
          <w:noProof/>
        </w:rPr>
        <w:t>c)</w:t>
      </w:r>
      <w:r>
        <w:rPr>
          <w:noProof/>
        </w:rPr>
        <w:tab/>
      </w:r>
      <w:r w:rsidR="00DB2C46" w:rsidRPr="00CB683A">
        <w:rPr>
          <w:noProof/>
        </w:rPr>
        <w:t>statistické klasifikace, které se mají použít;</w:t>
      </w:r>
    </w:p>
    <w:p w14:paraId="44FF5C25" w14:textId="6BBB7171" w:rsidR="00DB2C46" w:rsidRPr="00CB683A" w:rsidRDefault="00C90467" w:rsidP="00C90467">
      <w:pPr>
        <w:pStyle w:val="Point1"/>
        <w:rPr>
          <w:noProof/>
        </w:rPr>
      </w:pPr>
      <w:r>
        <w:rPr>
          <w:noProof/>
        </w:rPr>
        <w:t>d)</w:t>
      </w:r>
      <w:r>
        <w:rPr>
          <w:noProof/>
        </w:rPr>
        <w:tab/>
      </w:r>
      <w:r w:rsidR="00DB2C46" w:rsidRPr="00CB683A">
        <w:rPr>
          <w:noProof/>
        </w:rPr>
        <w:t>lhůty pro poskytnutí;</w:t>
      </w:r>
    </w:p>
    <w:p w14:paraId="137EC8F7" w14:textId="38F1BE6D" w:rsidR="00DB2C46" w:rsidRPr="00CB683A" w:rsidRDefault="00C90467" w:rsidP="00C90467">
      <w:pPr>
        <w:pStyle w:val="Point1"/>
        <w:rPr>
          <w:noProof/>
        </w:rPr>
      </w:pPr>
      <w:r>
        <w:rPr>
          <w:noProof/>
        </w:rPr>
        <w:t>e)</w:t>
      </w:r>
      <w:r>
        <w:rPr>
          <w:noProof/>
        </w:rPr>
        <w:tab/>
      </w:r>
      <w:r w:rsidR="00DB2C46" w:rsidRPr="00CB683A">
        <w:rPr>
          <w:noProof/>
        </w:rPr>
        <w:t>technické formáty poskytování souborů údajů a metadat;</w:t>
      </w:r>
    </w:p>
    <w:p w14:paraId="01F07730" w14:textId="4BAF9371" w:rsidR="00DB2C46" w:rsidRPr="00CB683A" w:rsidRDefault="00C90467" w:rsidP="00C90467">
      <w:pPr>
        <w:pStyle w:val="Point1"/>
        <w:rPr>
          <w:noProof/>
        </w:rPr>
      </w:pPr>
      <w:r>
        <w:rPr>
          <w:noProof/>
        </w:rPr>
        <w:t>f)</w:t>
      </w:r>
      <w:r>
        <w:rPr>
          <w:noProof/>
        </w:rPr>
        <w:tab/>
      </w:r>
      <w:r w:rsidR="00DB2C46" w:rsidRPr="00CB683A">
        <w:rPr>
          <w:noProof/>
        </w:rPr>
        <w:t>obsah, strukturu, periodicitu, způsoby a lhůty pro předložení zpráv o kvalitě, jakož i další specifikace, pokud jsou potřebné a odůvodněné.</w:t>
      </w:r>
    </w:p>
    <w:p w14:paraId="01191C8C" w14:textId="77777777" w:rsidR="00DB2C46" w:rsidRPr="00CB683A" w:rsidRDefault="00DB2C46" w:rsidP="00DB2C46">
      <w:pPr>
        <w:pStyle w:val="Text1"/>
        <w:rPr>
          <w:noProof/>
        </w:rPr>
      </w:pPr>
      <w:r w:rsidRPr="00CB683A">
        <w:rPr>
          <w:noProof/>
        </w:rPr>
        <w:t>Uvedené prováděcí akty se přijímají přezkumným postupem podle čl. 18 odst. 2 alespoň dvanáct měsíců před začátkem příslušného referenčního období, s výjimkou sčítání lidu, domů a bytů, pro které se prováděcí akty přijímají alespoň 24 měsíců před začátkem roku, do kterého spadá referenční datum.</w:t>
      </w:r>
    </w:p>
    <w:p w14:paraId="3B68CB81" w14:textId="77777777" w:rsidR="00DB2C46" w:rsidRPr="00CB683A" w:rsidRDefault="00DB2C46" w:rsidP="00DB2C46">
      <w:pPr>
        <w:pStyle w:val="Titrearticle"/>
        <w:rPr>
          <w:noProof/>
        </w:rPr>
      </w:pPr>
      <w:r w:rsidRPr="00CB683A">
        <w:rPr>
          <w:noProof/>
        </w:rPr>
        <w:t xml:space="preserve">Článek 6 </w:t>
      </w:r>
      <w:r w:rsidRPr="00CB683A">
        <w:rPr>
          <w:noProof/>
        </w:rPr>
        <w:br/>
        <w:t>Periodicita a referenční časy</w:t>
      </w:r>
    </w:p>
    <w:p w14:paraId="3E53D785" w14:textId="0169AA69" w:rsidR="00DB2C46" w:rsidRPr="00CB683A" w:rsidRDefault="00891439" w:rsidP="00891439">
      <w:pPr>
        <w:pStyle w:val="ManualNumPar1"/>
        <w:rPr>
          <w:noProof/>
        </w:rPr>
      </w:pPr>
      <w:r w:rsidRPr="00891439">
        <w:t>1.</w:t>
      </w:r>
      <w:r w:rsidRPr="00891439">
        <w:tab/>
      </w:r>
      <w:r w:rsidR="00DB2C46" w:rsidRPr="00CB683A">
        <w:rPr>
          <w:noProof/>
        </w:rPr>
        <w:t>Členské státy vypracovávají evropskou statistiku o obyvatelstvu, domech a bytech jednou za čtvrt roku, šest měsíců, jeden rok a více let a v rámci sčítání lidu, domů a bytů jednou za deset let.</w:t>
      </w:r>
    </w:p>
    <w:p w14:paraId="317FD0E0" w14:textId="7EBF0682" w:rsidR="00DB2C46" w:rsidRPr="00CB683A" w:rsidRDefault="00891439" w:rsidP="00891439">
      <w:pPr>
        <w:pStyle w:val="ManualNumPar1"/>
        <w:rPr>
          <w:noProof/>
        </w:rPr>
      </w:pPr>
      <w:r w:rsidRPr="00891439">
        <w:t>2.</w:t>
      </w:r>
      <w:r w:rsidRPr="00891439">
        <w:tab/>
      </w:r>
      <w:r w:rsidR="00DB2C46" w:rsidRPr="00CB683A">
        <w:rPr>
          <w:noProof/>
        </w:rPr>
        <w:t>Roky končící číslicí „1“ jsou referenčními roky pro sčítání lidu, domů a bytů v desetiletých intervalech.</w:t>
      </w:r>
    </w:p>
    <w:p w14:paraId="0F7CE6C3" w14:textId="033E0E80" w:rsidR="00DB2C46" w:rsidRPr="00CB683A" w:rsidRDefault="00891439" w:rsidP="00891439">
      <w:pPr>
        <w:pStyle w:val="ManualNumPar1"/>
        <w:rPr>
          <w:noProof/>
        </w:rPr>
      </w:pPr>
      <w:r w:rsidRPr="00891439">
        <w:t>3.</w:t>
      </w:r>
      <w:r w:rsidRPr="00891439">
        <w:tab/>
      </w:r>
      <w:r w:rsidR="00DB2C46" w:rsidRPr="00CB683A">
        <w:rPr>
          <w:noProof/>
        </w:rPr>
        <w:t>Roky končící číslicí „1“, „5“ a „8“ jsou referenčními roky pro víceleté statistiky.</w:t>
      </w:r>
    </w:p>
    <w:p w14:paraId="45AD81F5" w14:textId="6CAEA6B3" w:rsidR="00DB2C46" w:rsidRPr="00CB683A" w:rsidRDefault="00891439" w:rsidP="00891439">
      <w:pPr>
        <w:pStyle w:val="ManualNumPar1"/>
        <w:rPr>
          <w:noProof/>
        </w:rPr>
      </w:pPr>
      <w:r w:rsidRPr="00891439">
        <w:t>4.</w:t>
      </w:r>
      <w:r w:rsidRPr="00891439">
        <w:tab/>
      </w:r>
      <w:r w:rsidR="00DB2C46" w:rsidRPr="00CB683A">
        <w:rPr>
          <w:noProof/>
        </w:rPr>
        <w:t xml:space="preserve">Periodicita a referenční čas (referenční období nebo referenční datum) pro každé dílčí téma jsou stanoveny v příloze. </w:t>
      </w:r>
    </w:p>
    <w:p w14:paraId="2C5F79E8" w14:textId="24D724E2" w:rsidR="00DB2C46" w:rsidRPr="00CB683A" w:rsidRDefault="00891439" w:rsidP="00891439">
      <w:pPr>
        <w:pStyle w:val="ManualNumPar1"/>
        <w:rPr>
          <w:noProof/>
        </w:rPr>
      </w:pPr>
      <w:r w:rsidRPr="00891439">
        <w:t>5.</w:t>
      </w:r>
      <w:r w:rsidRPr="00891439">
        <w:tab/>
      </w:r>
      <w:r w:rsidR="00DB2C46" w:rsidRPr="00CB683A">
        <w:rPr>
          <w:noProof/>
        </w:rPr>
        <w:t>Prvním referenčním datem, k němuž se mají předložit roční statistiky týkající se tématu „stav obyvatelstva“, je 31. prosinec 2025. Prvním referenčním obdobím, za které mají být předloženy další statistiky podle tohoto nařízení, je rok 2026.</w:t>
      </w:r>
    </w:p>
    <w:p w14:paraId="65D49451" w14:textId="3B7C2653" w:rsidR="00DB2C46" w:rsidRPr="00CB683A" w:rsidRDefault="00891439" w:rsidP="00891439">
      <w:pPr>
        <w:pStyle w:val="ManualNumPar1"/>
        <w:rPr>
          <w:noProof/>
        </w:rPr>
      </w:pPr>
      <w:r w:rsidRPr="00891439">
        <w:t>6.</w:t>
      </w:r>
      <w:r w:rsidRPr="00891439">
        <w:tab/>
      </w:r>
      <w:r w:rsidR="00DB2C46" w:rsidRPr="00CB683A">
        <w:rPr>
          <w:noProof/>
        </w:rPr>
        <w:t>Komisi je v souladu s článkem 17 svěřena pravomoc přijímat akty v přenesené pravomoci za účelem změny přílohy aktualizováním periodicity a referenčních časů.</w:t>
      </w:r>
    </w:p>
    <w:p w14:paraId="274ADBDE" w14:textId="77777777" w:rsidR="00DB2C46" w:rsidRPr="00CB683A" w:rsidRDefault="00DB2C46" w:rsidP="00DB2C46">
      <w:pPr>
        <w:pStyle w:val="Titrearticle"/>
        <w:rPr>
          <w:noProof/>
        </w:rPr>
      </w:pPr>
      <w:r w:rsidRPr="00CB683A">
        <w:rPr>
          <w:noProof/>
        </w:rPr>
        <w:t xml:space="preserve">Článek 7 </w:t>
      </w:r>
      <w:r w:rsidRPr="00CB683A">
        <w:rPr>
          <w:noProof/>
        </w:rPr>
        <w:br/>
        <w:t>Požadavky na statistiky ad hoc</w:t>
      </w:r>
    </w:p>
    <w:p w14:paraId="7DE19176" w14:textId="2590B4FD" w:rsidR="00DB2C46" w:rsidRPr="00CB683A" w:rsidRDefault="00891439" w:rsidP="00891439">
      <w:pPr>
        <w:pStyle w:val="ManualNumPar1"/>
        <w:rPr>
          <w:noProof/>
        </w:rPr>
      </w:pPr>
      <w:r w:rsidRPr="00891439">
        <w:t>1.</w:t>
      </w:r>
      <w:r w:rsidRPr="00891439">
        <w:tab/>
      </w:r>
      <w:r w:rsidR="00DB2C46" w:rsidRPr="00CB683A">
        <w:rPr>
          <w:noProof/>
        </w:rPr>
        <w:t xml:space="preserve">Členské státy poskytují Komisi (Eurostatu) soubory údajů a metadata </w:t>
      </w:r>
      <w:r w:rsidR="00DB2C46" w:rsidRPr="00CB683A">
        <w:rPr>
          <w:i/>
          <w:noProof/>
        </w:rPr>
        <w:t>ad hoc</w:t>
      </w:r>
      <w:r w:rsidR="00DB2C46" w:rsidRPr="00CB683A">
        <w:rPr>
          <w:noProof/>
        </w:rPr>
        <w:t>.</w:t>
      </w:r>
    </w:p>
    <w:p w14:paraId="51965673" w14:textId="2F853D62" w:rsidR="00DB2C46" w:rsidRPr="00CB683A" w:rsidRDefault="00891439" w:rsidP="00891439">
      <w:pPr>
        <w:pStyle w:val="ManualNumPar1"/>
        <w:rPr>
          <w:noProof/>
        </w:rPr>
      </w:pPr>
      <w:r w:rsidRPr="00891439">
        <w:t>2.</w:t>
      </w:r>
      <w:r w:rsidRPr="00891439">
        <w:tab/>
      </w:r>
      <w:r w:rsidR="00DB2C46" w:rsidRPr="00CB683A">
        <w:rPr>
          <w:noProof/>
        </w:rPr>
        <w:t xml:space="preserve">Komisi je v souladu s článkem 17 svěřena pravomoc přijímat akty v přenesené pravomoci za účelem doplnění tohoto nařízení prostřednictvím specifikací souborů údajů a metadat, které mají členské státy poskytovat </w:t>
      </w:r>
      <w:r w:rsidR="00DB2C46" w:rsidRPr="00CB683A">
        <w:rPr>
          <w:i/>
          <w:noProof/>
        </w:rPr>
        <w:t>ad hoc</w:t>
      </w:r>
      <w:r w:rsidR="00DB2C46" w:rsidRPr="00CB683A">
        <w:rPr>
          <w:noProof/>
        </w:rPr>
        <w:t>, pokud je sběr d</w:t>
      </w:r>
      <w:r w:rsidR="00E4255C" w:rsidRPr="00CB683A">
        <w:rPr>
          <w:noProof/>
        </w:rPr>
        <w:t>alších</w:t>
      </w:r>
      <w:r w:rsidR="00DB2C46" w:rsidRPr="00CB683A">
        <w:rPr>
          <w:noProof/>
        </w:rPr>
        <w:t xml:space="preserve"> statistických údajů považován za nezbytný pro účely řešení dodatečných potřeb statistiky podle tohoto nařízení. </w:t>
      </w:r>
    </w:p>
    <w:p w14:paraId="0F7F59EA" w14:textId="37BED885" w:rsidR="00DB2C46" w:rsidRPr="00CB683A" w:rsidRDefault="00891439" w:rsidP="00891439">
      <w:pPr>
        <w:pStyle w:val="ManualNumPar1"/>
        <w:rPr>
          <w:noProof/>
        </w:rPr>
      </w:pPr>
      <w:r w:rsidRPr="00891439">
        <w:t>3.</w:t>
      </w:r>
      <w:r w:rsidRPr="00891439">
        <w:tab/>
      </w:r>
      <w:r w:rsidR="00DB2C46" w:rsidRPr="00CB683A">
        <w:rPr>
          <w:noProof/>
        </w:rPr>
        <w:t>Tyto akty v přenesené pravomoci upřesní:</w:t>
      </w:r>
    </w:p>
    <w:p w14:paraId="23A91B35" w14:textId="43211FC2" w:rsidR="00DB2C46" w:rsidRPr="00CB683A" w:rsidRDefault="00C90467" w:rsidP="00C90467">
      <w:pPr>
        <w:pStyle w:val="Point1"/>
        <w:rPr>
          <w:noProof/>
        </w:rPr>
      </w:pPr>
      <w:r>
        <w:rPr>
          <w:noProof/>
        </w:rPr>
        <w:t>a)</w:t>
      </w:r>
      <w:r>
        <w:rPr>
          <w:noProof/>
        </w:rPr>
        <w:tab/>
      </w:r>
      <w:r w:rsidR="00DB2C46" w:rsidRPr="00CB683A">
        <w:rPr>
          <w:noProof/>
        </w:rPr>
        <w:t xml:space="preserve">dílčí témata, která se mají poskytnout v rámci souborů údajů </w:t>
      </w:r>
      <w:r w:rsidR="00DB2C46" w:rsidRPr="00CB683A">
        <w:rPr>
          <w:i/>
          <w:noProof/>
        </w:rPr>
        <w:t>ad hoc</w:t>
      </w:r>
      <w:r w:rsidR="00DB2C46" w:rsidRPr="00CB683A">
        <w:rPr>
          <w:noProof/>
        </w:rPr>
        <w:t>, a důvody těchto dodatečných potřeb statistiky;</w:t>
      </w:r>
    </w:p>
    <w:p w14:paraId="298598BF" w14:textId="1027E282" w:rsidR="00DB2C46" w:rsidRPr="00CB683A" w:rsidRDefault="00C90467" w:rsidP="00C90467">
      <w:pPr>
        <w:pStyle w:val="Point1"/>
        <w:rPr>
          <w:noProof/>
        </w:rPr>
      </w:pPr>
      <w:r>
        <w:rPr>
          <w:noProof/>
        </w:rPr>
        <w:t>b)</w:t>
      </w:r>
      <w:r>
        <w:rPr>
          <w:noProof/>
        </w:rPr>
        <w:tab/>
      </w:r>
      <w:r w:rsidR="00DB2C46" w:rsidRPr="00CB683A">
        <w:rPr>
          <w:noProof/>
        </w:rPr>
        <w:t>referenční časy.</w:t>
      </w:r>
    </w:p>
    <w:p w14:paraId="05419EB9" w14:textId="43EEB5BC" w:rsidR="00DB2C46" w:rsidRPr="00CB683A" w:rsidRDefault="00891439" w:rsidP="00891439">
      <w:pPr>
        <w:pStyle w:val="ManualNumPar1"/>
        <w:rPr>
          <w:noProof/>
        </w:rPr>
      </w:pPr>
      <w:r w:rsidRPr="00891439">
        <w:t>4.</w:t>
      </w:r>
      <w:r w:rsidRPr="00891439">
        <w:tab/>
      </w:r>
      <w:r w:rsidR="00DB2C46" w:rsidRPr="00CB683A">
        <w:rPr>
          <w:noProof/>
        </w:rPr>
        <w:t xml:space="preserve">Komisi je svěřena pravomoc přijímat akty v přenesené pravomoci uvedené v odstavci 2 počínaje referenčním rokem 2027 a poté v minimálním intervalu dvou let mezi jednotlivými sběry údajů </w:t>
      </w:r>
      <w:r w:rsidR="00DB2C46" w:rsidRPr="00CB683A">
        <w:rPr>
          <w:i/>
          <w:noProof/>
        </w:rPr>
        <w:t>ad hoc</w:t>
      </w:r>
      <w:r w:rsidR="00DB2C46" w:rsidRPr="00CB683A">
        <w:rPr>
          <w:noProof/>
        </w:rPr>
        <w:t xml:space="preserve">. </w:t>
      </w:r>
    </w:p>
    <w:p w14:paraId="4172CFB0" w14:textId="751F117C" w:rsidR="00DB2C46" w:rsidRPr="00CB683A" w:rsidRDefault="00891439" w:rsidP="00891439">
      <w:pPr>
        <w:pStyle w:val="ManualNumPar1"/>
        <w:rPr>
          <w:noProof/>
        </w:rPr>
      </w:pPr>
      <w:r w:rsidRPr="00891439">
        <w:t>5.</w:t>
      </w:r>
      <w:r w:rsidRPr="00891439">
        <w:tab/>
      </w:r>
      <w:r w:rsidR="00DB2C46" w:rsidRPr="00CB683A">
        <w:rPr>
          <w:noProof/>
        </w:rPr>
        <w:t xml:space="preserve">Komise přijme prováděcí akty za účelem upřesnění technických vlastností souborů údajů a metadat </w:t>
      </w:r>
      <w:r w:rsidR="00DB2C46" w:rsidRPr="00CB683A">
        <w:rPr>
          <w:i/>
          <w:noProof/>
        </w:rPr>
        <w:t>ad hoc</w:t>
      </w:r>
      <w:r w:rsidR="00DB2C46" w:rsidRPr="00CB683A">
        <w:rPr>
          <w:noProof/>
        </w:rPr>
        <w:t xml:space="preserve"> uvedených v odstavci 2. Uvedené prováděcí akty stanoví ve vhodných případech tyto technické prvky:</w:t>
      </w:r>
    </w:p>
    <w:p w14:paraId="6C965A6B" w14:textId="3A4B03D8" w:rsidR="00DB2C46" w:rsidRPr="00CB683A" w:rsidRDefault="00C90467" w:rsidP="00C90467">
      <w:pPr>
        <w:pStyle w:val="Point1"/>
        <w:rPr>
          <w:noProof/>
        </w:rPr>
      </w:pPr>
      <w:r>
        <w:rPr>
          <w:noProof/>
        </w:rPr>
        <w:t>a)</w:t>
      </w:r>
      <w:r>
        <w:rPr>
          <w:noProof/>
        </w:rPr>
        <w:tab/>
      </w:r>
      <w:r w:rsidR="00DB2C46" w:rsidRPr="00CB683A">
        <w:rPr>
          <w:noProof/>
        </w:rPr>
        <w:t>názvy proměnných, jejich technické specifikace a členění;</w:t>
      </w:r>
    </w:p>
    <w:p w14:paraId="5F179FA6" w14:textId="46CAD4B3" w:rsidR="00DB2C46" w:rsidRPr="00CB683A" w:rsidRDefault="00C90467" w:rsidP="00C90467">
      <w:pPr>
        <w:pStyle w:val="Point1"/>
        <w:rPr>
          <w:noProof/>
        </w:rPr>
      </w:pPr>
      <w:r>
        <w:rPr>
          <w:noProof/>
        </w:rPr>
        <w:t>b)</w:t>
      </w:r>
      <w:r>
        <w:rPr>
          <w:noProof/>
        </w:rPr>
        <w:tab/>
      </w:r>
      <w:r w:rsidR="00DB2C46" w:rsidRPr="00CB683A">
        <w:rPr>
          <w:noProof/>
        </w:rPr>
        <w:t>podrobné specifikace statistických jednotek a metadat;</w:t>
      </w:r>
    </w:p>
    <w:p w14:paraId="285488FC" w14:textId="15015E87" w:rsidR="00DB2C46" w:rsidRPr="00CB683A" w:rsidRDefault="00C90467" w:rsidP="00C90467">
      <w:pPr>
        <w:pStyle w:val="Point1"/>
        <w:rPr>
          <w:noProof/>
        </w:rPr>
      </w:pPr>
      <w:r>
        <w:rPr>
          <w:noProof/>
        </w:rPr>
        <w:t>c)</w:t>
      </w:r>
      <w:r>
        <w:rPr>
          <w:noProof/>
        </w:rPr>
        <w:tab/>
      </w:r>
      <w:r w:rsidR="00DB2C46" w:rsidRPr="00CB683A">
        <w:rPr>
          <w:noProof/>
        </w:rPr>
        <w:t>statistické klasifikace, které se mají použít;</w:t>
      </w:r>
    </w:p>
    <w:p w14:paraId="4E17F1AE" w14:textId="2DBC891E" w:rsidR="00DB2C46" w:rsidRPr="00CB683A" w:rsidRDefault="00C90467" w:rsidP="00C90467">
      <w:pPr>
        <w:pStyle w:val="Point1"/>
        <w:rPr>
          <w:noProof/>
        </w:rPr>
      </w:pPr>
      <w:r>
        <w:rPr>
          <w:noProof/>
        </w:rPr>
        <w:t>d)</w:t>
      </w:r>
      <w:r>
        <w:rPr>
          <w:noProof/>
        </w:rPr>
        <w:tab/>
      </w:r>
      <w:r w:rsidR="00DB2C46" w:rsidRPr="00CB683A">
        <w:rPr>
          <w:noProof/>
        </w:rPr>
        <w:t>lhůty pro poskytnutí.</w:t>
      </w:r>
    </w:p>
    <w:p w14:paraId="079F7AA7" w14:textId="77777777" w:rsidR="00DB2C46" w:rsidRPr="00CB683A" w:rsidRDefault="00DB2C46" w:rsidP="00DB2C46">
      <w:pPr>
        <w:pStyle w:val="Text1"/>
        <w:rPr>
          <w:noProof/>
        </w:rPr>
      </w:pPr>
      <w:r w:rsidRPr="00CB683A">
        <w:rPr>
          <w:noProof/>
        </w:rPr>
        <w:t>Tyto prováděcí akty se přijímají přezkumným postupem podle čl. 18 odst. 2 a musí být přijaty nejpozději 12 měsíců před začátkem referenčního času.</w:t>
      </w:r>
    </w:p>
    <w:p w14:paraId="0C31155D" w14:textId="77777777" w:rsidR="00DB2C46" w:rsidRPr="00CB683A" w:rsidRDefault="00DB2C46" w:rsidP="00DB2C46">
      <w:pPr>
        <w:pStyle w:val="Titrearticle"/>
        <w:rPr>
          <w:noProof/>
        </w:rPr>
      </w:pPr>
      <w:r w:rsidRPr="00CB683A">
        <w:rPr>
          <w:noProof/>
        </w:rPr>
        <w:t xml:space="preserve">Článek 8 </w:t>
      </w:r>
      <w:r w:rsidRPr="00CB683A">
        <w:rPr>
          <w:noProof/>
        </w:rPr>
        <w:br/>
        <w:t>Soubory údajů a metadata, které mají být poskytovány Komisi</w:t>
      </w:r>
    </w:p>
    <w:p w14:paraId="520D4935" w14:textId="30DEF9BA" w:rsidR="00DB2C46" w:rsidRPr="00CB683A" w:rsidRDefault="00891439" w:rsidP="00891439">
      <w:pPr>
        <w:pStyle w:val="ManualNumPar1"/>
        <w:rPr>
          <w:noProof/>
        </w:rPr>
      </w:pPr>
      <w:r w:rsidRPr="00891439">
        <w:t>1.</w:t>
      </w:r>
      <w:r w:rsidRPr="00891439">
        <w:tab/>
      </w:r>
      <w:r w:rsidR="00DB2C46" w:rsidRPr="00CB683A">
        <w:rPr>
          <w:noProof/>
        </w:rPr>
        <w:t xml:space="preserve">Členské státy poskytují předem zkontrolované soubory údajů a metadata prostřednictvím technickém formátu stanoveného Komisí (Eurostatem). K poskytnutí souborů údajů a metadat Komisi (Eurostatu) se použijí služby jednotného kontaktního místa. </w:t>
      </w:r>
    </w:p>
    <w:p w14:paraId="62BE4779" w14:textId="5AC0C8AA" w:rsidR="00DB2C46" w:rsidRPr="00CB683A" w:rsidRDefault="00891439" w:rsidP="00891439">
      <w:pPr>
        <w:pStyle w:val="ManualNumPar1"/>
        <w:rPr>
          <w:noProof/>
        </w:rPr>
      </w:pPr>
      <w:r w:rsidRPr="00891439">
        <w:t>2.</w:t>
      </w:r>
      <w:r w:rsidRPr="00891439">
        <w:tab/>
      </w:r>
      <w:r w:rsidR="00DB2C46" w:rsidRPr="00CB683A">
        <w:rPr>
          <w:noProof/>
        </w:rPr>
        <w:t>Pokud členské státy zveřejní statistiky požadované tímto nařízením na národní úrovni před lhůtami pro poskytnutí stanovenými v souladu s čl. 5 odst. 5 a čl. 7 odst. 5, předloží je Komisi (Eurostatu) takto:</w:t>
      </w:r>
    </w:p>
    <w:p w14:paraId="38C8E944" w14:textId="475A8F3B" w:rsidR="00DB2C46" w:rsidRPr="00CB683A" w:rsidRDefault="00C90467" w:rsidP="00C90467">
      <w:pPr>
        <w:pStyle w:val="Point1"/>
        <w:rPr>
          <w:noProof/>
        </w:rPr>
      </w:pPr>
      <w:r>
        <w:rPr>
          <w:noProof/>
        </w:rPr>
        <w:t>a)</w:t>
      </w:r>
      <w:r>
        <w:rPr>
          <w:noProof/>
        </w:rPr>
        <w:tab/>
      </w:r>
      <w:r w:rsidR="00DB2C46" w:rsidRPr="00CB683A">
        <w:rPr>
          <w:noProof/>
        </w:rPr>
        <w:t>statistiky s čtvrtletní a šestiměsíční periodicitou nejpozději do jednoho pracovního dne po zveřejnění v daném státě;</w:t>
      </w:r>
    </w:p>
    <w:p w14:paraId="0EA9964B" w14:textId="3B3F339F" w:rsidR="00DB2C46" w:rsidRPr="00CB683A" w:rsidRDefault="00C90467" w:rsidP="00C90467">
      <w:pPr>
        <w:pStyle w:val="Point1"/>
        <w:rPr>
          <w:noProof/>
        </w:rPr>
      </w:pPr>
      <w:r>
        <w:rPr>
          <w:noProof/>
        </w:rPr>
        <w:t>b)</w:t>
      </w:r>
      <w:r>
        <w:rPr>
          <w:noProof/>
        </w:rPr>
        <w:tab/>
      </w:r>
      <w:r w:rsidR="00DB2C46" w:rsidRPr="00CB683A">
        <w:rPr>
          <w:noProof/>
        </w:rPr>
        <w:t>statistiky s roční periodicitou nejpozději do tří pracovních dnů po zveřejnění v daném státě;</w:t>
      </w:r>
    </w:p>
    <w:p w14:paraId="1AF784C1" w14:textId="79E2EAB3" w:rsidR="00DB2C46" w:rsidRPr="00CB683A" w:rsidRDefault="00C90467" w:rsidP="00C90467">
      <w:pPr>
        <w:pStyle w:val="Point1"/>
        <w:rPr>
          <w:noProof/>
        </w:rPr>
      </w:pPr>
      <w:r>
        <w:rPr>
          <w:noProof/>
        </w:rPr>
        <w:t>c)</w:t>
      </w:r>
      <w:r>
        <w:rPr>
          <w:noProof/>
        </w:rPr>
        <w:tab/>
      </w:r>
      <w:r w:rsidR="00DB2C46" w:rsidRPr="00CB683A">
        <w:rPr>
          <w:noProof/>
        </w:rPr>
        <w:t>statistiky s víceletou a desetiletou periodicitou nejpozději do sedmi pracovních dnů po zveřejnění v daném státě.</w:t>
      </w:r>
    </w:p>
    <w:p w14:paraId="24AC9ADC" w14:textId="2695C55A" w:rsidR="00DB2C46" w:rsidRPr="00CB683A" w:rsidRDefault="00891439" w:rsidP="00891439">
      <w:pPr>
        <w:pStyle w:val="ManualNumPar1"/>
        <w:rPr>
          <w:noProof/>
        </w:rPr>
      </w:pPr>
      <w:r w:rsidRPr="00891439">
        <w:t>3.</w:t>
      </w:r>
      <w:r w:rsidRPr="00891439">
        <w:tab/>
      </w:r>
      <w:r w:rsidR="00DB2C46" w:rsidRPr="00CB683A">
        <w:rPr>
          <w:noProof/>
        </w:rPr>
        <w:t xml:space="preserve">Členské státy Komisi (Eurostatu) poskytnou: </w:t>
      </w:r>
    </w:p>
    <w:p w14:paraId="0CBDACFC" w14:textId="1575A4C2" w:rsidR="00DB2C46" w:rsidRPr="00CB683A" w:rsidRDefault="00C90467" w:rsidP="00C90467">
      <w:pPr>
        <w:pStyle w:val="Point1"/>
        <w:rPr>
          <w:noProof/>
        </w:rPr>
      </w:pPr>
      <w:r>
        <w:rPr>
          <w:noProof/>
        </w:rPr>
        <w:t>a)</w:t>
      </w:r>
      <w:r>
        <w:rPr>
          <w:noProof/>
        </w:rPr>
        <w:tab/>
      </w:r>
      <w:r w:rsidR="00DB2C46" w:rsidRPr="00CB683A">
        <w:rPr>
          <w:noProof/>
        </w:rPr>
        <w:t>revidované soubory údajů a metadata, pokud je revize provedena po původním poskytnutí souborů údajů podle tohoto nařízení;</w:t>
      </w:r>
    </w:p>
    <w:p w14:paraId="63A208D3" w14:textId="2FAFBA99" w:rsidR="00DB2C46" w:rsidRPr="00CB683A" w:rsidRDefault="00C90467" w:rsidP="00C90467">
      <w:pPr>
        <w:pStyle w:val="Point1"/>
        <w:rPr>
          <w:noProof/>
        </w:rPr>
      </w:pPr>
      <w:r>
        <w:rPr>
          <w:noProof/>
        </w:rPr>
        <w:t>b)</w:t>
      </w:r>
      <w:r>
        <w:rPr>
          <w:noProof/>
        </w:rPr>
        <w:tab/>
      </w:r>
      <w:r w:rsidR="00DB2C46" w:rsidRPr="00CB683A">
        <w:rPr>
          <w:noProof/>
        </w:rPr>
        <w:t xml:space="preserve">revidované soubory údajů a metadata pro příslušné časové řady, pokud je revize provedena u souborů údajů, které byly poskytnuty Komisi (Eurostatu) před použitím tohoto nařízení. </w:t>
      </w:r>
    </w:p>
    <w:p w14:paraId="5A397937" w14:textId="77777777" w:rsidR="00DB2C46" w:rsidRPr="00CB683A" w:rsidRDefault="00DB2C46" w:rsidP="00DB2C46">
      <w:pPr>
        <w:pStyle w:val="Text1"/>
        <w:rPr>
          <w:noProof/>
        </w:rPr>
      </w:pPr>
      <w:r w:rsidRPr="00CB683A">
        <w:rPr>
          <w:noProof/>
        </w:rPr>
        <w:t>Revidované soubory údajů a metadata se poskytnou ve lhůtách uvedených v odstavci 2 tohoto článku a doplní se o zprávy o kvalitě v souladu s článkem 12.</w:t>
      </w:r>
    </w:p>
    <w:p w14:paraId="69EC28C4" w14:textId="77777777" w:rsidR="00DB2C46" w:rsidRPr="00CB683A" w:rsidRDefault="00DB2C46" w:rsidP="00DB2C46">
      <w:pPr>
        <w:pStyle w:val="Titrearticle"/>
        <w:rPr>
          <w:noProof/>
        </w:rPr>
      </w:pPr>
      <w:r w:rsidRPr="00CB683A">
        <w:rPr>
          <w:noProof/>
        </w:rPr>
        <w:t xml:space="preserve">Článek 9 </w:t>
      </w:r>
      <w:r w:rsidRPr="00CB683A">
        <w:rPr>
          <w:noProof/>
        </w:rPr>
        <w:br/>
        <w:t>Zdroje údajů a metody</w:t>
      </w:r>
    </w:p>
    <w:p w14:paraId="23E4D5B9" w14:textId="72AE5F95" w:rsidR="00DB2C46" w:rsidRPr="00CB683A" w:rsidRDefault="00891439" w:rsidP="00891439">
      <w:pPr>
        <w:pStyle w:val="ManualNumPar1"/>
        <w:rPr>
          <w:noProof/>
        </w:rPr>
      </w:pPr>
      <w:r w:rsidRPr="00891439">
        <w:t>1.</w:t>
      </w:r>
      <w:r w:rsidRPr="00891439">
        <w:tab/>
      </w:r>
      <w:r w:rsidR="00DB2C46" w:rsidRPr="00CB683A">
        <w:rPr>
          <w:noProof/>
        </w:rPr>
        <w:t xml:space="preserve">Členské státy a Komise (Eurostat) použijí jeden z následujících zdrojů údajů nebo jejich kombinaci za předpokladu, že umožňují tvorbu statistik, které splňují požadavky na kvalitu stanovené v článku 12: </w:t>
      </w:r>
    </w:p>
    <w:p w14:paraId="1CE7F0FA" w14:textId="3721133A" w:rsidR="00DB2C46" w:rsidRPr="00CB683A" w:rsidRDefault="00C90467" w:rsidP="00C90467">
      <w:pPr>
        <w:pStyle w:val="Point1"/>
        <w:rPr>
          <w:noProof/>
        </w:rPr>
      </w:pPr>
      <w:r>
        <w:rPr>
          <w:noProof/>
        </w:rPr>
        <w:t>a)</w:t>
      </w:r>
      <w:r>
        <w:rPr>
          <w:noProof/>
        </w:rPr>
        <w:tab/>
      </w:r>
      <w:r w:rsidR="00DB2C46" w:rsidRPr="00CB683A">
        <w:rPr>
          <w:noProof/>
        </w:rPr>
        <w:t>zdroje administrativních údajů;</w:t>
      </w:r>
    </w:p>
    <w:p w14:paraId="09146756" w14:textId="49376C5C" w:rsidR="00DB2C46" w:rsidRPr="00CB683A" w:rsidRDefault="00C90467" w:rsidP="00C90467">
      <w:pPr>
        <w:pStyle w:val="Point1"/>
        <w:rPr>
          <w:noProof/>
        </w:rPr>
      </w:pPr>
      <w:r>
        <w:rPr>
          <w:noProof/>
        </w:rPr>
        <w:t>b)</w:t>
      </w:r>
      <w:r>
        <w:rPr>
          <w:noProof/>
        </w:rPr>
        <w:tab/>
      </w:r>
      <w:r w:rsidR="00DB2C46" w:rsidRPr="00CB683A">
        <w:rPr>
          <w:noProof/>
        </w:rPr>
        <w:t>statistická zjišťování nebo jiné sběry statistických údajů;</w:t>
      </w:r>
    </w:p>
    <w:p w14:paraId="6ECD10C7" w14:textId="76C0333F" w:rsidR="00DB2C46" w:rsidRPr="00CB683A" w:rsidRDefault="00C90467" w:rsidP="00C90467">
      <w:pPr>
        <w:pStyle w:val="Point1"/>
        <w:rPr>
          <w:noProof/>
        </w:rPr>
      </w:pPr>
      <w:r>
        <w:rPr>
          <w:noProof/>
        </w:rPr>
        <w:t>c)</w:t>
      </w:r>
      <w:r>
        <w:rPr>
          <w:noProof/>
        </w:rPr>
        <w:tab/>
      </w:r>
      <w:r w:rsidR="00DB2C46" w:rsidRPr="00CB683A">
        <w:rPr>
          <w:noProof/>
        </w:rPr>
        <w:t>další zdroje</w:t>
      </w:r>
      <w:r w:rsidR="00D106F5">
        <w:rPr>
          <w:noProof/>
        </w:rPr>
        <w:t>,</w:t>
      </w:r>
      <w:r w:rsidR="00DB2C46" w:rsidRPr="00CB683A">
        <w:rPr>
          <w:noProof/>
        </w:rPr>
        <w:t xml:space="preserve"> včetně údajů v držení soukromých subjektů; </w:t>
      </w:r>
    </w:p>
    <w:p w14:paraId="4C098785" w14:textId="1DE6C901" w:rsidR="00DB2C46" w:rsidRPr="00CB683A" w:rsidRDefault="00C90467" w:rsidP="00C90467">
      <w:pPr>
        <w:pStyle w:val="Point1"/>
        <w:rPr>
          <w:noProof/>
        </w:rPr>
      </w:pPr>
      <w:r>
        <w:rPr>
          <w:noProof/>
        </w:rPr>
        <w:t>d)</w:t>
      </w:r>
      <w:r>
        <w:rPr>
          <w:noProof/>
        </w:rPr>
        <w:tab/>
      </w:r>
      <w:r w:rsidR="00DB2C46" w:rsidRPr="00CB683A">
        <w:rPr>
          <w:noProof/>
        </w:rPr>
        <w:t xml:space="preserve">opakované použití údajů získaných sdílením údajů mezi národními statistickými úřady a Komisí (Eurostatem) v rámci Evropského statistického systému. </w:t>
      </w:r>
    </w:p>
    <w:p w14:paraId="24A0E271" w14:textId="49739881" w:rsidR="00DB2C46" w:rsidRPr="00CB683A" w:rsidRDefault="00891439" w:rsidP="00891439">
      <w:pPr>
        <w:pStyle w:val="ManualNumPar1"/>
        <w:rPr>
          <w:noProof/>
        </w:rPr>
      </w:pPr>
      <w:r w:rsidRPr="00891439">
        <w:t>2.</w:t>
      </w:r>
      <w:r w:rsidRPr="00891439">
        <w:tab/>
      </w:r>
      <w:r w:rsidR="00DB2C46" w:rsidRPr="00CB683A">
        <w:rPr>
          <w:noProof/>
        </w:rPr>
        <w:t xml:space="preserve">Členské státy posuzují a sledují kvalitu svých zdrojů údajů, včetně administrativních záznamů a dalších vhodných používaných zdrojů. </w:t>
      </w:r>
    </w:p>
    <w:p w14:paraId="4B1BDCD2" w14:textId="38A267C4" w:rsidR="00DB2C46" w:rsidRPr="00CB683A" w:rsidRDefault="00891439" w:rsidP="00891439">
      <w:pPr>
        <w:pStyle w:val="ManualNumPar1"/>
        <w:rPr>
          <w:noProof/>
        </w:rPr>
      </w:pPr>
      <w:r w:rsidRPr="00891439">
        <w:t>3.</w:t>
      </w:r>
      <w:r w:rsidRPr="00891439">
        <w:tab/>
      </w:r>
      <w:r w:rsidR="00DB2C46" w:rsidRPr="00CB683A">
        <w:rPr>
          <w:noProof/>
        </w:rPr>
        <w:t>Členské státy musí průběžně vyvíjet inovativní zdroje a metody a využívat je ke zlepšení statistik sestavovaných podle tohoto nařízení za předpokladu, že umožňují tvorbu statistik, které splňují požadavky na kvalitu stanovené v článku 12.</w:t>
      </w:r>
    </w:p>
    <w:p w14:paraId="06F340FB" w14:textId="519412CF" w:rsidR="00DB2C46" w:rsidRPr="00CB683A" w:rsidRDefault="00891439" w:rsidP="00891439">
      <w:pPr>
        <w:pStyle w:val="ManualNumPar1"/>
        <w:rPr>
          <w:noProof/>
        </w:rPr>
      </w:pPr>
      <w:r w:rsidRPr="00891439">
        <w:t>4.</w:t>
      </w:r>
      <w:r w:rsidRPr="00891439">
        <w:tab/>
      </w:r>
      <w:r w:rsidR="00DB2C46" w:rsidRPr="00CB683A">
        <w:rPr>
          <w:noProof/>
        </w:rPr>
        <w:t>Statistiky sestavované podle tohoto nařízení musí být založeny na statisticky spolehlivých a řádně zdokumentovaných metodách a zohledňovat mezinárodní doporučení a osvědčené postupy, jako jsou „známky života“, „míra pobytu“ a další vědecky podložené metody statistického odhadu používané pro sestavení údajů o obyvatelstvu s místem obvyklého pobytu na území členských států.</w:t>
      </w:r>
    </w:p>
    <w:p w14:paraId="3D1084BF" w14:textId="08A2333B" w:rsidR="00DB2C46" w:rsidRPr="00CB683A" w:rsidRDefault="00891439" w:rsidP="00891439">
      <w:pPr>
        <w:pStyle w:val="ManualNumPar1"/>
        <w:rPr>
          <w:noProof/>
        </w:rPr>
      </w:pPr>
      <w:r w:rsidRPr="00891439">
        <w:t>5.</w:t>
      </w:r>
      <w:r w:rsidRPr="00891439">
        <w:tab/>
      </w:r>
      <w:r w:rsidR="00DB2C46" w:rsidRPr="00CB683A">
        <w:rPr>
          <w:noProof/>
        </w:rPr>
        <w:t>Pokud jsou členské státy požádány z důvodu posouzení kvality statistiky, poskytnou Komisi (Eurostatu) výsledky posouzení zdrojů údajů, dokumentaci metod a nezbytná vysvětlení.</w:t>
      </w:r>
    </w:p>
    <w:p w14:paraId="3DC169A1" w14:textId="77777777" w:rsidR="00DB2C46" w:rsidRPr="00CB683A" w:rsidRDefault="00DB2C46" w:rsidP="00DB2C46">
      <w:pPr>
        <w:pStyle w:val="Titrearticle"/>
        <w:rPr>
          <w:noProof/>
        </w:rPr>
      </w:pPr>
      <w:r w:rsidRPr="00CB683A">
        <w:rPr>
          <w:noProof/>
        </w:rPr>
        <w:t xml:space="preserve">Článek 10 </w:t>
      </w:r>
      <w:r w:rsidRPr="00CB683A">
        <w:rPr>
          <w:noProof/>
        </w:rPr>
        <w:br/>
        <w:t>Včasný přístup k administrativním údajům a jejich opakované využití</w:t>
      </w:r>
    </w:p>
    <w:p w14:paraId="136946AA" w14:textId="15EEE3B4" w:rsidR="00DB2C46" w:rsidRPr="00CB683A" w:rsidRDefault="00891439" w:rsidP="00891439">
      <w:pPr>
        <w:pStyle w:val="ManualNumPar1"/>
        <w:rPr>
          <w:noProof/>
        </w:rPr>
      </w:pPr>
      <w:r w:rsidRPr="00891439">
        <w:t>1.</w:t>
      </w:r>
      <w:r w:rsidRPr="00891439">
        <w:tab/>
      </w:r>
      <w:r w:rsidR="00DB2C46" w:rsidRPr="00CB683A">
        <w:rPr>
          <w:noProof/>
        </w:rPr>
        <w:t>Vnitrostátní orgány odpovědné za zdroje administrativních údajů, které jsou relevantní pro účely tohoto nařízení, umožní opako</w:t>
      </w:r>
      <w:r w:rsidR="00424A74" w:rsidRPr="00CB683A">
        <w:rPr>
          <w:noProof/>
        </w:rPr>
        <w:t xml:space="preserve">vané využití těchto údajů včas </w:t>
      </w:r>
      <w:r w:rsidR="00DB2C46" w:rsidRPr="00CB683A">
        <w:rPr>
          <w:noProof/>
        </w:rPr>
        <w:t>a s četností dostatečnou pro vytvoření a poskytnutí statistiky ve stanovených lhůtách a v souladu se zvláštními požadavky na kvalitu podle tohoto nařízení. Včasný přístup k administrativním záznamům i jeho operativní postupy se zahrnou do dohod o spolupráci, které budou uzavřeny mezi uvedenými vnitrostátními orgány a národními statistickými úřady.</w:t>
      </w:r>
    </w:p>
    <w:p w14:paraId="48C8A400" w14:textId="5CA3E0AB" w:rsidR="00DB2C46" w:rsidRPr="00CB683A" w:rsidRDefault="00891439" w:rsidP="00891439">
      <w:pPr>
        <w:pStyle w:val="ManualNumPar1"/>
        <w:rPr>
          <w:noProof/>
        </w:rPr>
      </w:pPr>
      <w:r w:rsidRPr="00891439">
        <w:t>2.</w:t>
      </w:r>
      <w:r w:rsidRPr="00891439">
        <w:tab/>
      </w:r>
      <w:r w:rsidR="00DB2C46" w:rsidRPr="00CB683A">
        <w:rPr>
          <w:noProof/>
        </w:rPr>
        <w:t>Pro účely tohoto nařízení se Komisi (Eurostatu) na vyžádání umožní včasný přístup k relevantním údajům a metadatům z databází a systémů interoperability spravovaných institucemi a jinými subjekty Unie, a t</w:t>
      </w:r>
      <w:r w:rsidR="003C5312" w:rsidRPr="00CB683A">
        <w:rPr>
          <w:noProof/>
        </w:rPr>
        <w:t>o rovněž podle nařízení (EU) č. </w:t>
      </w:r>
      <w:r w:rsidR="00DB2C46" w:rsidRPr="00CB683A">
        <w:rPr>
          <w:noProof/>
        </w:rPr>
        <w:t>910/2014, (EU) 2018/1724, a k statistickým údajům uloženým v centrálním úložišti pro podávání zpráv a statistiky (CRRS) v souladu s nařízením (EU) 2019/817 a (EU) 2019/818 a s nařízeními, kterými se zřizují systémy, jejichž statistické údaje se ukládají v centrálním úložišti pro podávání zpráv a statistiky, a jejich opětovné využití. Komise (Eurostat) za tímto účelem dále spolupracuje s příslušnými institucemi a jinými subjekty Unie s cílem upřesnit přizpůsobené statistické údaje a metadata, které jsou, pokud to umožňuje právo Unie, nezbytné pro evropskou statistiku o obyvatelstvu, domech a bytech, operační postupy pro jejich poskytování a nezbytné doprovodné fyzické a logické záruky.</w:t>
      </w:r>
    </w:p>
    <w:p w14:paraId="54486F56" w14:textId="77777777" w:rsidR="00DB2C46" w:rsidRPr="00CB683A" w:rsidRDefault="00DB2C46" w:rsidP="00DB2C46">
      <w:pPr>
        <w:pStyle w:val="Titrearticle"/>
        <w:rPr>
          <w:noProof/>
        </w:rPr>
      </w:pPr>
      <w:r w:rsidRPr="00CB683A">
        <w:rPr>
          <w:noProof/>
        </w:rPr>
        <w:t xml:space="preserve">Článek 11 </w:t>
      </w:r>
      <w:r w:rsidRPr="00CB683A">
        <w:rPr>
          <w:noProof/>
        </w:rPr>
        <w:br/>
        <w:t>Seznamy zemí a území</w:t>
      </w:r>
    </w:p>
    <w:p w14:paraId="63B0D475" w14:textId="36EA7C00" w:rsidR="005E6CA0" w:rsidRPr="00CB683A" w:rsidRDefault="00891439" w:rsidP="00891439">
      <w:pPr>
        <w:pStyle w:val="ManualNumPar1"/>
        <w:rPr>
          <w:noProof/>
        </w:rPr>
      </w:pPr>
      <w:r w:rsidRPr="00891439">
        <w:t>1.</w:t>
      </w:r>
      <w:r w:rsidRPr="00891439">
        <w:tab/>
      </w:r>
      <w:r w:rsidR="005E6CA0" w:rsidRPr="00CB683A">
        <w:rPr>
          <w:noProof/>
        </w:rPr>
        <w:t>Pokud soubory údajů obsahují informace podle zemí nebo území, použijí členské státy pro účely tohoto nařízení a nařízení (ES) č. 862/2007 specifické členění.</w:t>
      </w:r>
    </w:p>
    <w:p w14:paraId="11D3866A" w14:textId="4FB03B94" w:rsidR="005E6CA0" w:rsidRPr="00CB683A" w:rsidRDefault="00891439" w:rsidP="00891439">
      <w:pPr>
        <w:pStyle w:val="ManualNumPar1"/>
        <w:rPr>
          <w:noProof/>
        </w:rPr>
      </w:pPr>
      <w:r w:rsidRPr="00891439">
        <w:t>2.</w:t>
      </w:r>
      <w:r w:rsidRPr="00891439">
        <w:tab/>
      </w:r>
      <w:r w:rsidR="005E6CA0" w:rsidRPr="00CB683A">
        <w:rPr>
          <w:noProof/>
        </w:rPr>
        <w:t>Komise přijme prováděcí akty, kterými upřesní nebo aktualizuje seznamy zemí a územních jednotek, které se použijí k členění statistik sestavených podle tohoto nařízení. Uvedené prováděcí akty se přijímají přezkumným postupem podle čl. 18 odst. 2 tohoto nařízení. Uvedené seznamy se specifikují v souladu s kritérii stanovenými v nařízení (ES) č. 1059/2003.</w:t>
      </w:r>
    </w:p>
    <w:p w14:paraId="669B2F79" w14:textId="76810BD7" w:rsidR="00DB2C46" w:rsidRPr="00CB683A" w:rsidRDefault="00891439" w:rsidP="00891439">
      <w:pPr>
        <w:pStyle w:val="ManualNumPar1"/>
        <w:rPr>
          <w:noProof/>
        </w:rPr>
      </w:pPr>
      <w:r w:rsidRPr="00891439">
        <w:t>3.</w:t>
      </w:r>
      <w:r w:rsidRPr="00891439">
        <w:tab/>
      </w:r>
      <w:r w:rsidR="00AA2F33" w:rsidRPr="00CB683A">
        <w:rPr>
          <w:noProof/>
        </w:rPr>
        <w:t>Prováděcí akty, kterými se mění více než jedna třetina kategorií členění zemí nebo území, se použijí nejdříve dvanáct měsíců po jejich vstupu v platnost.</w:t>
      </w:r>
    </w:p>
    <w:p w14:paraId="6A792D11" w14:textId="77777777" w:rsidR="00DB2C46" w:rsidRPr="00CB683A" w:rsidRDefault="00DB2C46" w:rsidP="00DB2C46">
      <w:pPr>
        <w:pStyle w:val="Titrearticle"/>
        <w:rPr>
          <w:noProof/>
        </w:rPr>
      </w:pPr>
      <w:r w:rsidRPr="00CB683A">
        <w:rPr>
          <w:noProof/>
        </w:rPr>
        <w:t xml:space="preserve">Článek 12 </w:t>
      </w:r>
      <w:r w:rsidRPr="00CB683A">
        <w:rPr>
          <w:noProof/>
        </w:rPr>
        <w:br/>
        <w:t>Požadavky na kvalitu a podávání zpráv o kvalitě</w:t>
      </w:r>
    </w:p>
    <w:p w14:paraId="45C2C589" w14:textId="6871F2EB" w:rsidR="00DB2C46" w:rsidRPr="00CB683A" w:rsidRDefault="00891439" w:rsidP="00891439">
      <w:pPr>
        <w:pStyle w:val="ManualNumPar1"/>
        <w:rPr>
          <w:noProof/>
        </w:rPr>
      </w:pPr>
      <w:r w:rsidRPr="00891439">
        <w:t>1.</w:t>
      </w:r>
      <w:r w:rsidRPr="00891439">
        <w:tab/>
      </w:r>
      <w:r w:rsidR="00DB2C46" w:rsidRPr="00CB683A">
        <w:rPr>
          <w:noProof/>
        </w:rPr>
        <w:t>Členské státy přijmou nezbytná opatření k zajištění kvality poskytovaných souborů údajů a metadat.</w:t>
      </w:r>
    </w:p>
    <w:p w14:paraId="74AC7780" w14:textId="5635C922" w:rsidR="00DB2C46" w:rsidRPr="00CB683A" w:rsidRDefault="00891439" w:rsidP="00891439">
      <w:pPr>
        <w:pStyle w:val="ManualNumPar1"/>
        <w:rPr>
          <w:noProof/>
        </w:rPr>
      </w:pPr>
      <w:r w:rsidRPr="00891439">
        <w:t>2.</w:t>
      </w:r>
      <w:r w:rsidRPr="00891439">
        <w:tab/>
      </w:r>
      <w:r w:rsidR="00DB2C46" w:rsidRPr="00CB683A">
        <w:rPr>
          <w:noProof/>
        </w:rPr>
        <w:t>Členské státy přijmou vhodná a účinná opatření za účelem:</w:t>
      </w:r>
    </w:p>
    <w:p w14:paraId="17715852" w14:textId="160AA820" w:rsidR="00DB2C46" w:rsidRPr="00CB683A" w:rsidRDefault="00C90467" w:rsidP="00C90467">
      <w:pPr>
        <w:pStyle w:val="Point1"/>
        <w:rPr>
          <w:noProof/>
        </w:rPr>
      </w:pPr>
      <w:r>
        <w:rPr>
          <w:noProof/>
        </w:rPr>
        <w:t>a)</w:t>
      </w:r>
      <w:r>
        <w:rPr>
          <w:noProof/>
        </w:rPr>
        <w:tab/>
      </w:r>
      <w:r w:rsidR="00DB2C46" w:rsidRPr="00CB683A">
        <w:rPr>
          <w:noProof/>
        </w:rPr>
        <w:t>provedení pravidel týkajících se populační základny stanovených v článku 3 tohoto nařízení, a to jednotně a nezávisle na použitých zdrojích údajů;</w:t>
      </w:r>
    </w:p>
    <w:p w14:paraId="72560E23" w14:textId="337460FA" w:rsidR="00DB2C46" w:rsidRPr="00CB683A" w:rsidRDefault="00C90467" w:rsidP="00C90467">
      <w:pPr>
        <w:pStyle w:val="Point1"/>
        <w:rPr>
          <w:noProof/>
        </w:rPr>
      </w:pPr>
      <w:r>
        <w:rPr>
          <w:noProof/>
        </w:rPr>
        <w:t>b)</w:t>
      </w:r>
      <w:r>
        <w:rPr>
          <w:noProof/>
        </w:rPr>
        <w:tab/>
      </w:r>
      <w:r w:rsidR="00201641" w:rsidRPr="00CB683A">
        <w:rPr>
          <w:noProof/>
        </w:rPr>
        <w:t>zachycení nebo odhadu obtížně dosažitelných skupin obyvatelstva;</w:t>
      </w:r>
    </w:p>
    <w:p w14:paraId="6A695870" w14:textId="4A7BF7F3" w:rsidR="00DB2C46" w:rsidRPr="00CB683A" w:rsidRDefault="00C90467" w:rsidP="00C90467">
      <w:pPr>
        <w:pStyle w:val="Point1"/>
        <w:rPr>
          <w:noProof/>
        </w:rPr>
      </w:pPr>
      <w:r>
        <w:rPr>
          <w:noProof/>
        </w:rPr>
        <w:t>c)</w:t>
      </w:r>
      <w:r>
        <w:rPr>
          <w:noProof/>
        </w:rPr>
        <w:tab/>
      </w:r>
      <w:r w:rsidR="00DB2C46" w:rsidRPr="00CB683A">
        <w:rPr>
          <w:noProof/>
        </w:rPr>
        <w:t>kontroly úplnosti a přesnosti počtu obyvatel v souladu s článkem 3 tohoto nařízení;</w:t>
      </w:r>
    </w:p>
    <w:p w14:paraId="6672A71D" w14:textId="6863D23F" w:rsidR="00DB2C46" w:rsidRPr="00CB683A" w:rsidRDefault="00C90467" w:rsidP="00C90467">
      <w:pPr>
        <w:pStyle w:val="Point1"/>
        <w:rPr>
          <w:noProof/>
        </w:rPr>
      </w:pPr>
      <w:r>
        <w:rPr>
          <w:noProof/>
        </w:rPr>
        <w:t>d)</w:t>
      </w:r>
      <w:r>
        <w:rPr>
          <w:noProof/>
        </w:rPr>
        <w:tab/>
      </w:r>
      <w:r w:rsidR="00DB2C46" w:rsidRPr="00CB683A">
        <w:rPr>
          <w:noProof/>
        </w:rPr>
        <w:t>stanovení opory výběru vhodné pro účely tohoto nařízení a článku 12 nařízení (EU) 2019/1700;</w:t>
      </w:r>
    </w:p>
    <w:p w14:paraId="5781E8FD" w14:textId="2B85EBD9" w:rsidR="00DB2C46" w:rsidRPr="00CB683A" w:rsidRDefault="00C90467" w:rsidP="00C90467">
      <w:pPr>
        <w:pStyle w:val="Point1"/>
        <w:rPr>
          <w:noProof/>
        </w:rPr>
      </w:pPr>
      <w:r>
        <w:rPr>
          <w:noProof/>
        </w:rPr>
        <w:t>e)</w:t>
      </w:r>
      <w:r>
        <w:rPr>
          <w:noProof/>
        </w:rPr>
        <w:tab/>
      </w:r>
      <w:r w:rsidR="00DB2C46" w:rsidRPr="00CB683A">
        <w:rPr>
          <w:noProof/>
        </w:rPr>
        <w:t>zabránění možným rizikům nezapočtení nebo dvojího započtení v souvislosti s volným pohybem osob v Unii, přístupem osob k přeshraničním službám spojeným s událostmi přirozené měny a právy osob na přeshraniční nákup, vlastnictví a užívání nemovitostí k bydlení v celé Unii;</w:t>
      </w:r>
    </w:p>
    <w:p w14:paraId="2DD40981" w14:textId="1B0D04F6" w:rsidR="00DB2C46" w:rsidRPr="00CB683A" w:rsidRDefault="00C90467" w:rsidP="00C90467">
      <w:pPr>
        <w:pStyle w:val="Point1"/>
        <w:rPr>
          <w:noProof/>
        </w:rPr>
      </w:pPr>
      <w:r>
        <w:rPr>
          <w:noProof/>
        </w:rPr>
        <w:t>f)</w:t>
      </w:r>
      <w:r>
        <w:rPr>
          <w:noProof/>
        </w:rPr>
        <w:tab/>
      </w:r>
      <w:r w:rsidR="00DB2C46" w:rsidRPr="00CB683A">
        <w:rPr>
          <w:noProof/>
        </w:rPr>
        <w:t>snížení asymetrie migračních toků;</w:t>
      </w:r>
    </w:p>
    <w:p w14:paraId="3A7D5A4D" w14:textId="042DFD45" w:rsidR="00DB2C46" w:rsidRPr="00CB683A" w:rsidRDefault="00C90467" w:rsidP="00C90467">
      <w:pPr>
        <w:pStyle w:val="Point1"/>
        <w:rPr>
          <w:noProof/>
        </w:rPr>
      </w:pPr>
      <w:r>
        <w:rPr>
          <w:noProof/>
        </w:rPr>
        <w:t>g)</w:t>
      </w:r>
      <w:r>
        <w:rPr>
          <w:noProof/>
        </w:rPr>
        <w:tab/>
      </w:r>
      <w:r w:rsidR="00DB2C46" w:rsidRPr="00CB683A">
        <w:rPr>
          <w:noProof/>
        </w:rPr>
        <w:t>poskytnutí Komisi (Eurostatu) všech údajů, které jsou potřebné k zajištění úplnosti zveřejňovaných evropských statistik.</w:t>
      </w:r>
    </w:p>
    <w:p w14:paraId="75FE1DE7" w14:textId="3B30B252" w:rsidR="00DB2C46" w:rsidRPr="00CB683A" w:rsidRDefault="00891439" w:rsidP="00891439">
      <w:pPr>
        <w:pStyle w:val="ManualNumPar1"/>
        <w:rPr>
          <w:noProof/>
        </w:rPr>
      </w:pPr>
      <w:r w:rsidRPr="00891439">
        <w:t>3.</w:t>
      </w:r>
      <w:r w:rsidRPr="00891439">
        <w:tab/>
      </w:r>
      <w:r w:rsidR="00DB2C46" w:rsidRPr="00CB683A">
        <w:rPr>
          <w:noProof/>
        </w:rPr>
        <w:t>Členské státy předají Komisi (Eurostatu) poprvé do 31. března 2027 a poté každý rok končící číslicí „0“, „3“ nebo „7“ zprávu o kvalitě</w:t>
      </w:r>
      <w:r w:rsidR="00554152" w:rsidRPr="00CB683A">
        <w:rPr>
          <w:noProof/>
        </w:rPr>
        <w:t>, která</w:t>
      </w:r>
      <w:r w:rsidR="00DB2C46" w:rsidRPr="00CB683A">
        <w:rPr>
          <w:noProof/>
        </w:rPr>
        <w:t xml:space="preserve"> </w:t>
      </w:r>
      <w:r w:rsidR="00554152" w:rsidRPr="00CB683A">
        <w:rPr>
          <w:noProof/>
        </w:rPr>
        <w:t>popisuje</w:t>
      </w:r>
      <w:r w:rsidR="00DB2C46" w:rsidRPr="00CB683A">
        <w:rPr>
          <w:noProof/>
        </w:rPr>
        <w:t xml:space="preserve"> kvalitu poskytnutých statistik a statistických procesů v případě souborů údajů poskytnutých v daném období, zejména </w:t>
      </w:r>
      <w:r w:rsidR="00AA4B5D" w:rsidRPr="00CB683A">
        <w:rPr>
          <w:noProof/>
        </w:rPr>
        <w:t>pokud jde o použité</w:t>
      </w:r>
      <w:r w:rsidR="00554152" w:rsidRPr="00CB683A">
        <w:rPr>
          <w:noProof/>
        </w:rPr>
        <w:t xml:space="preserve"> zdroje</w:t>
      </w:r>
      <w:r w:rsidR="00AA4B5D" w:rsidRPr="00CB683A">
        <w:rPr>
          <w:noProof/>
        </w:rPr>
        <w:t xml:space="preserve"> úda</w:t>
      </w:r>
      <w:r w:rsidR="00554152" w:rsidRPr="00CB683A">
        <w:rPr>
          <w:noProof/>
        </w:rPr>
        <w:t>jů</w:t>
      </w:r>
      <w:r w:rsidR="00DB2C46" w:rsidRPr="00CB683A">
        <w:rPr>
          <w:noProof/>
        </w:rPr>
        <w:t xml:space="preserve"> a metod</w:t>
      </w:r>
      <w:r w:rsidR="00AA4B5D" w:rsidRPr="00CB683A">
        <w:rPr>
          <w:noProof/>
        </w:rPr>
        <w:t>y</w:t>
      </w:r>
      <w:r w:rsidR="00DB2C46" w:rsidRPr="00CB683A">
        <w:rPr>
          <w:noProof/>
        </w:rPr>
        <w:t>, použití</w:t>
      </w:r>
      <w:r w:rsidR="00AA4B5D" w:rsidRPr="00CB683A">
        <w:rPr>
          <w:noProof/>
        </w:rPr>
        <w:t xml:space="preserve"> pojmů a definic a související možné dopady</w:t>
      </w:r>
      <w:r w:rsidR="00DB2C46" w:rsidRPr="00CB683A">
        <w:rPr>
          <w:noProof/>
        </w:rPr>
        <w:t xml:space="preserve"> na kvalitu vybraných zdrojů údajů, </w:t>
      </w:r>
      <w:r w:rsidR="00AA4B5D" w:rsidRPr="00CB683A">
        <w:rPr>
          <w:noProof/>
        </w:rPr>
        <w:t>revize údajů a jejich důvody a dopady</w:t>
      </w:r>
      <w:r w:rsidR="00DB2C46" w:rsidRPr="00CB683A">
        <w:rPr>
          <w:noProof/>
        </w:rPr>
        <w:t>, metod</w:t>
      </w:r>
      <w:r w:rsidR="00AA4B5D" w:rsidRPr="00CB683A">
        <w:rPr>
          <w:noProof/>
        </w:rPr>
        <w:t>y</w:t>
      </w:r>
      <w:r w:rsidR="00DB2C46" w:rsidRPr="00CB683A">
        <w:rPr>
          <w:noProof/>
        </w:rPr>
        <w:t xml:space="preserve"> kontroly zveřejňování statistických údajů</w:t>
      </w:r>
      <w:r w:rsidR="00554152" w:rsidRPr="00CB683A">
        <w:rPr>
          <w:noProof/>
        </w:rPr>
        <w:t>,</w:t>
      </w:r>
      <w:r w:rsidR="00DB2C46" w:rsidRPr="00CB683A">
        <w:rPr>
          <w:noProof/>
        </w:rPr>
        <w:t xml:space="preserve"> a </w:t>
      </w:r>
      <w:r w:rsidR="00554152" w:rsidRPr="00CB683A">
        <w:rPr>
          <w:noProof/>
        </w:rPr>
        <w:t>podrobně uvádí</w:t>
      </w:r>
      <w:r w:rsidR="00DB2C46" w:rsidRPr="00CB683A">
        <w:rPr>
          <w:noProof/>
        </w:rPr>
        <w:t>, jak</w:t>
      </w:r>
      <w:r w:rsidR="00554152" w:rsidRPr="00CB683A">
        <w:rPr>
          <w:noProof/>
        </w:rPr>
        <w:t>ým způsobem</w:t>
      </w:r>
      <w:r w:rsidR="00DB2C46" w:rsidRPr="00CB683A">
        <w:rPr>
          <w:noProof/>
        </w:rPr>
        <w:t xml:space="preserve"> jsou splněna kritér</w:t>
      </w:r>
      <w:r w:rsidR="00AA4B5D" w:rsidRPr="00CB683A">
        <w:rPr>
          <w:noProof/>
        </w:rPr>
        <w:t>ia kvality uvedená v odstavci 2</w:t>
      </w:r>
      <w:r w:rsidR="00DB2C46" w:rsidRPr="00CB683A">
        <w:rPr>
          <w:noProof/>
        </w:rPr>
        <w:t xml:space="preserve"> a zda byla opatření uvedená v odstavci 3 účinná.</w:t>
      </w:r>
    </w:p>
    <w:p w14:paraId="30CE1045" w14:textId="71288985" w:rsidR="00DB2C46" w:rsidRPr="00CB683A" w:rsidRDefault="00891439" w:rsidP="00891439">
      <w:pPr>
        <w:pStyle w:val="ManualNumPar1"/>
        <w:rPr>
          <w:noProof/>
        </w:rPr>
      </w:pPr>
      <w:r w:rsidRPr="00891439">
        <w:t>4.</w:t>
      </w:r>
      <w:r w:rsidRPr="00891439">
        <w:tab/>
      </w:r>
      <w:r w:rsidR="00DB2C46" w:rsidRPr="00CB683A">
        <w:rPr>
          <w:noProof/>
        </w:rPr>
        <w:t xml:space="preserve">Komise přijme prováděcí akty, v nichž stanoví praktická opatření </w:t>
      </w:r>
      <w:r w:rsidR="00AA4B5D" w:rsidRPr="00CB683A">
        <w:rPr>
          <w:noProof/>
        </w:rPr>
        <w:t>ohledně zpráv</w:t>
      </w:r>
      <w:r w:rsidR="00DB2C46" w:rsidRPr="00CB683A">
        <w:rPr>
          <w:noProof/>
        </w:rPr>
        <w:t xml:space="preserve"> o kvalitě a jejich obsah. Uvedené prováděcí akty se přijímají přezkumným postupem podle čl. 18 odst. 2.</w:t>
      </w:r>
    </w:p>
    <w:p w14:paraId="6C52E987" w14:textId="74E0DA6D" w:rsidR="00DB2C46" w:rsidRPr="00CB683A" w:rsidRDefault="00891439" w:rsidP="00891439">
      <w:pPr>
        <w:pStyle w:val="ManualNumPar1"/>
        <w:rPr>
          <w:noProof/>
        </w:rPr>
      </w:pPr>
      <w:r w:rsidRPr="00891439">
        <w:t>5.</w:t>
      </w:r>
      <w:r w:rsidRPr="00891439">
        <w:tab/>
      </w:r>
      <w:r w:rsidR="00DB2C46" w:rsidRPr="00CB683A">
        <w:rPr>
          <w:noProof/>
        </w:rPr>
        <w:t>Členské státy co nejdříve sdělí Komisi (Eurostatu) všechny relevantní informace nebo změny, pokud jde o provádění tohoto nařízení, které by ovlivnily kvalitu poskytovaných statistik.</w:t>
      </w:r>
    </w:p>
    <w:p w14:paraId="43D5BE4E" w14:textId="17BE26BD" w:rsidR="00DB2C46" w:rsidRPr="00CB683A" w:rsidRDefault="00891439" w:rsidP="00891439">
      <w:pPr>
        <w:pStyle w:val="ManualNumPar1"/>
        <w:rPr>
          <w:noProof/>
        </w:rPr>
      </w:pPr>
      <w:r w:rsidRPr="00891439">
        <w:t>6.</w:t>
      </w:r>
      <w:r w:rsidRPr="00891439">
        <w:tab/>
      </w:r>
      <w:r w:rsidR="00DB2C46" w:rsidRPr="00CB683A">
        <w:rPr>
          <w:noProof/>
        </w:rPr>
        <w:t>Členské státy na základě žádosti Komise (Eurostatu) poskytnou d</w:t>
      </w:r>
      <w:r w:rsidR="000853ED" w:rsidRPr="00CB683A">
        <w:rPr>
          <w:noProof/>
        </w:rPr>
        <w:t>alší</w:t>
      </w:r>
      <w:r w:rsidR="00DB2C46" w:rsidRPr="00CB683A">
        <w:rPr>
          <w:noProof/>
        </w:rPr>
        <w:t xml:space="preserve"> upřesňující informace nezbytné pro hodnocení kvality statistik.</w:t>
      </w:r>
    </w:p>
    <w:p w14:paraId="79F27D4A" w14:textId="77777777" w:rsidR="00DB2C46" w:rsidRPr="00CB683A" w:rsidRDefault="00DB2C46" w:rsidP="00DB2C46">
      <w:pPr>
        <w:pStyle w:val="Titrearticle"/>
        <w:rPr>
          <w:noProof/>
        </w:rPr>
      </w:pPr>
      <w:r w:rsidRPr="00CB683A">
        <w:rPr>
          <w:noProof/>
        </w:rPr>
        <w:t xml:space="preserve">Článek 13 </w:t>
      </w:r>
      <w:r w:rsidRPr="00CB683A">
        <w:rPr>
          <w:noProof/>
        </w:rPr>
        <w:br/>
        <w:t>Sdílení údajů</w:t>
      </w:r>
    </w:p>
    <w:p w14:paraId="66BD809C" w14:textId="75A00A75" w:rsidR="00DB2C46" w:rsidRPr="00CB683A" w:rsidRDefault="00891439" w:rsidP="00891439">
      <w:pPr>
        <w:pStyle w:val="ManualNumPar1"/>
        <w:rPr>
          <w:noProof/>
        </w:rPr>
      </w:pPr>
      <w:r w:rsidRPr="00891439">
        <w:t>1.</w:t>
      </w:r>
      <w:r w:rsidRPr="00891439">
        <w:tab/>
      </w:r>
      <w:r w:rsidR="00DB2C46" w:rsidRPr="00CB683A">
        <w:rPr>
          <w:noProof/>
        </w:rPr>
        <w:t xml:space="preserve">Údaje jsou sdíleny mezi příslušnými vnitrostátními orgány různých členských států a mezi uvedenými příslušnými vnitrostátními orgány a Komisí (Eurostatem), a to výhradně za účelem rozvoje a tvorby evropských statistik </w:t>
      </w:r>
      <w:r w:rsidR="00830263" w:rsidRPr="00CB683A">
        <w:rPr>
          <w:noProof/>
        </w:rPr>
        <w:t>regulovaných</w:t>
      </w:r>
      <w:r w:rsidR="00DB2C46" w:rsidRPr="00CB683A">
        <w:rPr>
          <w:noProof/>
        </w:rPr>
        <w:t xml:space="preserve"> tímto nařízením a zlepšování jejich kvality</w:t>
      </w:r>
      <w:r w:rsidR="00DB2C46" w:rsidRPr="00CB683A">
        <w:rPr>
          <w:i/>
          <w:noProof/>
        </w:rPr>
        <w:t>.</w:t>
      </w:r>
    </w:p>
    <w:p w14:paraId="0EFBBCE9" w14:textId="39C27F72" w:rsidR="00DB2C46" w:rsidRPr="00CB683A" w:rsidRDefault="00891439" w:rsidP="00891439">
      <w:pPr>
        <w:pStyle w:val="ManualNumPar1"/>
        <w:rPr>
          <w:noProof/>
        </w:rPr>
      </w:pPr>
      <w:r w:rsidRPr="00891439">
        <w:t>2.</w:t>
      </w:r>
      <w:r w:rsidRPr="00891439">
        <w:tab/>
      </w:r>
      <w:r w:rsidR="00DB2C46" w:rsidRPr="00CB683A">
        <w:rPr>
          <w:noProof/>
        </w:rPr>
        <w:t xml:space="preserve">V zájmu bezpečného sdílení údajů v rámci Evropského statistického systému se přijmou veškerá potřebná ochranná opatření s ohledem na fyzickou a logickou ochranu údajů. Komise (Eurostat) zřídí bezpečnou infrastrukturu pro usnadnění sdílení údajů podle odstavce 1. Tuto infrastrukturu pro bezpečné sdílení údajů mohou pro účely uvedené v odstavci 1 používat vnitrostátní orgány příslušné pro statistiku podle tohoto nařízení. </w:t>
      </w:r>
    </w:p>
    <w:p w14:paraId="6A8B011F" w14:textId="6B871F23" w:rsidR="00DB2C46" w:rsidRPr="00CB683A" w:rsidRDefault="00891439" w:rsidP="00891439">
      <w:pPr>
        <w:pStyle w:val="ManualNumPar1"/>
        <w:rPr>
          <w:noProof/>
        </w:rPr>
      </w:pPr>
      <w:r w:rsidRPr="00891439">
        <w:t>3.</w:t>
      </w:r>
      <w:r w:rsidRPr="00891439">
        <w:tab/>
      </w:r>
      <w:r w:rsidR="00DB2C46" w:rsidRPr="00CB683A">
        <w:rPr>
          <w:noProof/>
        </w:rPr>
        <w:t xml:space="preserve">Pokud se jedná o důvěrné údaje ve smyslu čl. 3 bodu 7 nařízení (ES) č. 223/2009 nebo osobní údaje podle nařízení (EU) 2016/679 a (EU) 2018/1725, sdílení těchto údajů </w:t>
      </w:r>
      <w:r w:rsidR="00041188" w:rsidRPr="00CB683A">
        <w:rPr>
          <w:noProof/>
        </w:rPr>
        <w:t>se povoluje</w:t>
      </w:r>
      <w:r w:rsidR="00DB2C46" w:rsidRPr="00CB683A">
        <w:rPr>
          <w:noProof/>
        </w:rPr>
        <w:t xml:space="preserve"> a může probíhat na dobrovolném základě za předpokladu, že </w:t>
      </w:r>
      <w:r w:rsidR="00041188" w:rsidRPr="00CB683A">
        <w:rPr>
          <w:noProof/>
        </w:rPr>
        <w:t>se tak děje</w:t>
      </w:r>
      <w:r w:rsidR="00DB2C46" w:rsidRPr="00CB683A">
        <w:rPr>
          <w:noProof/>
        </w:rPr>
        <w:t>:</w:t>
      </w:r>
    </w:p>
    <w:p w14:paraId="71B6F13A" w14:textId="5E043B28" w:rsidR="00DB2C46" w:rsidRPr="00CB683A" w:rsidRDefault="00C90467" w:rsidP="00C90467">
      <w:pPr>
        <w:pStyle w:val="Point1"/>
        <w:rPr>
          <w:noProof/>
        </w:rPr>
      </w:pPr>
      <w:r>
        <w:rPr>
          <w:noProof/>
        </w:rPr>
        <w:t>a)</w:t>
      </w:r>
      <w:r>
        <w:rPr>
          <w:noProof/>
        </w:rPr>
        <w:tab/>
      </w:r>
      <w:r w:rsidR="00107FE1" w:rsidRPr="00CB683A">
        <w:rPr>
          <w:noProof/>
        </w:rPr>
        <w:t>na základě žádosti odůvodňující nutnost sdílení údajů v každém jednotlivém případě, zejména s ohledem na otázky kvality, které je třeba konkrétně řešit;</w:t>
      </w:r>
    </w:p>
    <w:p w14:paraId="12513EA6" w14:textId="16A84345" w:rsidR="00DB2C46" w:rsidRPr="00CB683A" w:rsidRDefault="00C90467" w:rsidP="00C90467">
      <w:pPr>
        <w:pStyle w:val="Point1"/>
        <w:rPr>
          <w:noProof/>
        </w:rPr>
      </w:pPr>
      <w:r>
        <w:rPr>
          <w:noProof/>
        </w:rPr>
        <w:t>b)</w:t>
      </w:r>
      <w:r>
        <w:rPr>
          <w:noProof/>
        </w:rPr>
        <w:tab/>
      </w:r>
      <w:r w:rsidR="00107FE1" w:rsidRPr="00CB683A">
        <w:rPr>
          <w:noProof/>
        </w:rPr>
        <w:t xml:space="preserve">přednostně </w:t>
      </w:r>
      <w:r w:rsidR="00041188" w:rsidRPr="00CB683A">
        <w:rPr>
          <w:noProof/>
        </w:rPr>
        <w:t>na základě technologií</w:t>
      </w:r>
      <w:r w:rsidR="00107FE1" w:rsidRPr="00CB683A">
        <w:rPr>
          <w:noProof/>
        </w:rPr>
        <w:t xml:space="preserve"> zvyšujících ochranu soukromí, které jsou speciálně navrženy tak, aby </w:t>
      </w:r>
      <w:r w:rsidR="00041188" w:rsidRPr="00CB683A">
        <w:rPr>
          <w:noProof/>
        </w:rPr>
        <w:t>naplňovaly</w:t>
      </w:r>
      <w:r w:rsidR="00107FE1" w:rsidRPr="00CB683A">
        <w:rPr>
          <w:noProof/>
        </w:rPr>
        <w:t xml:space="preserve"> zásady nařízení (EU) 2016/679 a (EU) 2018/1725, zejména s ohledem na účelové omezení, minimalizaci údajů, omezení uložení, integritu a důvěrnost;</w:t>
      </w:r>
    </w:p>
    <w:p w14:paraId="51DD3474" w14:textId="28101D81" w:rsidR="00DB2C46" w:rsidRPr="00CB683A" w:rsidRDefault="00C90467" w:rsidP="00C90467">
      <w:pPr>
        <w:pStyle w:val="Point1"/>
        <w:rPr>
          <w:noProof/>
        </w:rPr>
      </w:pPr>
      <w:r>
        <w:rPr>
          <w:noProof/>
        </w:rPr>
        <w:t>c)</w:t>
      </w:r>
      <w:r>
        <w:rPr>
          <w:noProof/>
        </w:rPr>
        <w:tab/>
      </w:r>
      <w:r w:rsidR="00107FE1" w:rsidRPr="00CB683A">
        <w:rPr>
          <w:noProof/>
        </w:rPr>
        <w:t>bez omezení kapitoly V nařízení (ES) č. 223/2009.</w:t>
      </w:r>
    </w:p>
    <w:p w14:paraId="2E32314A" w14:textId="62F852A3" w:rsidR="00DB2C46" w:rsidRPr="00CB683A" w:rsidRDefault="00891439" w:rsidP="00891439">
      <w:pPr>
        <w:pStyle w:val="ManualNumPar1"/>
        <w:rPr>
          <w:noProof/>
        </w:rPr>
      </w:pPr>
      <w:r w:rsidRPr="00891439">
        <w:t>4.</w:t>
      </w:r>
      <w:r w:rsidRPr="00891439">
        <w:tab/>
      </w:r>
      <w:r w:rsidR="00DB2C46" w:rsidRPr="00CB683A">
        <w:rPr>
          <w:noProof/>
        </w:rPr>
        <w:t xml:space="preserve">Komise (Eurostat) a členské státy prostřednictvím pilotních studií otestují a posoudí vhodnost příslušných technologií zvyšujících ochranu soukromí pro sdílení údajů. </w:t>
      </w:r>
    </w:p>
    <w:p w14:paraId="5699B3FB" w14:textId="70435A9E" w:rsidR="00DB2C46" w:rsidRPr="00CB683A" w:rsidRDefault="00891439" w:rsidP="00891439">
      <w:pPr>
        <w:pStyle w:val="ManualNumPar1"/>
        <w:rPr>
          <w:noProof/>
        </w:rPr>
      </w:pPr>
      <w:r w:rsidRPr="00891439">
        <w:t>5.</w:t>
      </w:r>
      <w:r w:rsidRPr="00891439">
        <w:tab/>
      </w:r>
      <w:r w:rsidR="00DB2C46" w:rsidRPr="00CB683A">
        <w:rPr>
          <w:noProof/>
        </w:rPr>
        <w:t>Pokud pilotní studie podle odstavce 4 tohoto článku určí účinná a bezpečná řešení sdílení údajů pro účely uvedené v odstavci 1, může Komise přijmout prováděcí akty, kterými stanoví technické specifikace pro sdílení údajů a opatření pro důvěrnost a </w:t>
      </w:r>
      <w:r w:rsidR="0080044B" w:rsidRPr="00CB683A">
        <w:rPr>
          <w:noProof/>
        </w:rPr>
        <w:t>zabezpečení</w:t>
      </w:r>
      <w:r w:rsidR="00DB2C46" w:rsidRPr="00CB683A">
        <w:rPr>
          <w:noProof/>
        </w:rPr>
        <w:t xml:space="preserve"> informací. Tyto prováděcí akty se přijmou přezkumným postupem podle čl. 18 odst. 2.</w:t>
      </w:r>
    </w:p>
    <w:p w14:paraId="619A84B1" w14:textId="77777777" w:rsidR="00DB2C46" w:rsidRPr="00CB683A" w:rsidRDefault="00DB2C46" w:rsidP="00DB2C46">
      <w:pPr>
        <w:pStyle w:val="Titrearticle"/>
        <w:rPr>
          <w:noProof/>
        </w:rPr>
      </w:pPr>
      <w:r w:rsidRPr="00CB683A">
        <w:rPr>
          <w:noProof/>
        </w:rPr>
        <w:t xml:space="preserve">Článek 14 </w:t>
      </w:r>
      <w:r w:rsidRPr="00CB683A">
        <w:rPr>
          <w:noProof/>
        </w:rPr>
        <w:br/>
        <w:t>Pilotní studie a studie proveditelnosti</w:t>
      </w:r>
    </w:p>
    <w:p w14:paraId="7FE15257" w14:textId="57A1ABA9" w:rsidR="00DB2C46" w:rsidRPr="00CB683A" w:rsidRDefault="00891439" w:rsidP="00891439">
      <w:pPr>
        <w:pStyle w:val="ManualNumPar1"/>
        <w:rPr>
          <w:noProof/>
        </w:rPr>
      </w:pPr>
      <w:r w:rsidRPr="00891439">
        <w:t>1.</w:t>
      </w:r>
      <w:r w:rsidRPr="00891439">
        <w:tab/>
      </w:r>
      <w:r w:rsidR="00DB2C46" w:rsidRPr="00CB683A">
        <w:rPr>
          <w:noProof/>
        </w:rPr>
        <w:t xml:space="preserve">Pokud je to potřebné a vhodné pro účely tohoto nařízení, zahájí Komise (Eurostat) pilotní studie a studie proveditelnosti, jejichž cílem je: </w:t>
      </w:r>
    </w:p>
    <w:p w14:paraId="0220BDDC" w14:textId="129D80B0" w:rsidR="00DB2C46" w:rsidRPr="00CB683A" w:rsidRDefault="00C90467" w:rsidP="00C90467">
      <w:pPr>
        <w:pStyle w:val="Point1"/>
        <w:rPr>
          <w:noProof/>
        </w:rPr>
      </w:pPr>
      <w:r>
        <w:rPr>
          <w:noProof/>
        </w:rPr>
        <w:t>a)</w:t>
      </w:r>
      <w:r>
        <w:rPr>
          <w:noProof/>
        </w:rPr>
        <w:tab/>
      </w:r>
      <w:r w:rsidR="00DB2C46" w:rsidRPr="00CB683A">
        <w:rPr>
          <w:noProof/>
        </w:rPr>
        <w:t xml:space="preserve">posoudit dostupnost zdrojů údajů a jejich kvalitu, včetně údajů v držení veřejných či soukromých subjektů v členských státech a na úrovni Unie; </w:t>
      </w:r>
    </w:p>
    <w:p w14:paraId="3D2043EA" w14:textId="0E695D08" w:rsidR="00DB2C46" w:rsidRPr="00CB683A" w:rsidRDefault="00C90467" w:rsidP="00C90467">
      <w:pPr>
        <w:pStyle w:val="Point1"/>
        <w:rPr>
          <w:noProof/>
        </w:rPr>
      </w:pPr>
      <w:r>
        <w:rPr>
          <w:noProof/>
        </w:rPr>
        <w:t>b)</w:t>
      </w:r>
      <w:r>
        <w:rPr>
          <w:noProof/>
        </w:rPr>
        <w:tab/>
      </w:r>
      <w:r w:rsidR="00DB2C46" w:rsidRPr="00CB683A">
        <w:rPr>
          <w:noProof/>
        </w:rPr>
        <w:t>vypracovat nová témata, dílčí témata, statistické jednotky, proměnné a jejich členění a posoudit proveditelnost jejich zavedení;</w:t>
      </w:r>
    </w:p>
    <w:p w14:paraId="19DA3B2F" w14:textId="360B6830" w:rsidR="00DB2C46" w:rsidRPr="00CB683A" w:rsidRDefault="00C90467" w:rsidP="00C90467">
      <w:pPr>
        <w:pStyle w:val="Point1"/>
        <w:rPr>
          <w:noProof/>
        </w:rPr>
      </w:pPr>
      <w:r>
        <w:rPr>
          <w:noProof/>
        </w:rPr>
        <w:t>c)</w:t>
      </w:r>
      <w:r>
        <w:rPr>
          <w:noProof/>
        </w:rPr>
        <w:tab/>
      </w:r>
      <w:r w:rsidR="00DB2C46" w:rsidRPr="00CB683A">
        <w:rPr>
          <w:noProof/>
        </w:rPr>
        <w:t>vyvinout nové metodiky a statistické techniky pro posílení kvality;</w:t>
      </w:r>
    </w:p>
    <w:p w14:paraId="641D3604" w14:textId="05347A86" w:rsidR="00DB2C46" w:rsidRPr="00CB683A" w:rsidRDefault="00C90467" w:rsidP="00C90467">
      <w:pPr>
        <w:pStyle w:val="Point1"/>
        <w:rPr>
          <w:noProof/>
        </w:rPr>
      </w:pPr>
      <w:r>
        <w:rPr>
          <w:noProof/>
        </w:rPr>
        <w:t>d)</w:t>
      </w:r>
      <w:r>
        <w:rPr>
          <w:noProof/>
        </w:rPr>
        <w:tab/>
      </w:r>
      <w:r w:rsidR="00DB2C46" w:rsidRPr="00CB683A">
        <w:rPr>
          <w:noProof/>
        </w:rPr>
        <w:t>snížit asymetrii migračních toků;</w:t>
      </w:r>
    </w:p>
    <w:p w14:paraId="4FAE1D48" w14:textId="140599D5" w:rsidR="00DB2C46" w:rsidRPr="00CB683A" w:rsidRDefault="00C90467" w:rsidP="00C90467">
      <w:pPr>
        <w:pStyle w:val="Point1"/>
        <w:rPr>
          <w:noProof/>
        </w:rPr>
      </w:pPr>
      <w:r>
        <w:rPr>
          <w:noProof/>
        </w:rPr>
        <w:t>e)</w:t>
      </w:r>
      <w:r>
        <w:rPr>
          <w:noProof/>
        </w:rPr>
        <w:tab/>
      </w:r>
      <w:r w:rsidR="00DB2C46" w:rsidRPr="00CB683A">
        <w:rPr>
          <w:noProof/>
        </w:rPr>
        <w:t>testovat a posoudit vhodnost příslušných technologií zvyšujících ochranu soukromí pro bezpečné sdílení údajů v rámci Evropského statistického systému v souladu s čl. 13 odst. 4.</w:t>
      </w:r>
    </w:p>
    <w:p w14:paraId="65A62739" w14:textId="4B7160F6" w:rsidR="00DB2C46" w:rsidRPr="00CB683A" w:rsidRDefault="00891439" w:rsidP="00891439">
      <w:pPr>
        <w:pStyle w:val="ManualNumPar1"/>
        <w:rPr>
          <w:iCs/>
          <w:noProof/>
        </w:rPr>
      </w:pPr>
      <w:r w:rsidRPr="00891439">
        <w:t>2.</w:t>
      </w:r>
      <w:r w:rsidRPr="00891439">
        <w:tab/>
      </w:r>
      <w:r w:rsidR="00DB2C46" w:rsidRPr="00CB683A">
        <w:rPr>
          <w:noProof/>
        </w:rPr>
        <w:t>Členské státy se mohou uvedených studií účastnit, ale společně s Komisí (Eurostatem) zajistí reprezentativnost těchto studií na úrovni Unie.</w:t>
      </w:r>
    </w:p>
    <w:p w14:paraId="323BAE45" w14:textId="60AF9844" w:rsidR="00DB2C46" w:rsidRPr="00CB683A" w:rsidRDefault="00891439" w:rsidP="00891439">
      <w:pPr>
        <w:pStyle w:val="ManualNumPar1"/>
        <w:rPr>
          <w:noProof/>
        </w:rPr>
      </w:pPr>
      <w:r w:rsidRPr="00891439">
        <w:t>3.</w:t>
      </w:r>
      <w:r w:rsidRPr="00891439">
        <w:tab/>
      </w:r>
      <w:r w:rsidR="00DB2C46" w:rsidRPr="00CB683A">
        <w:rPr>
          <w:noProof/>
        </w:rPr>
        <w:t>Výsledky těchto studií vyhodnocuje Komise (Eurostat) ve spolupráci s členskými státy. Komise (Eurostat) vypracuje ve spolupráci s členskými státy zprávy o výsledcích těchto studií.</w:t>
      </w:r>
    </w:p>
    <w:p w14:paraId="36994A82" w14:textId="77777777" w:rsidR="00DB2C46" w:rsidRPr="00CB683A" w:rsidRDefault="00DB2C46" w:rsidP="00DB2C46">
      <w:pPr>
        <w:pStyle w:val="Titrearticle"/>
        <w:rPr>
          <w:noProof/>
        </w:rPr>
      </w:pPr>
      <w:r w:rsidRPr="00CB683A">
        <w:rPr>
          <w:noProof/>
        </w:rPr>
        <w:t xml:space="preserve">Článek 15 </w:t>
      </w:r>
      <w:r w:rsidRPr="00CB683A">
        <w:rPr>
          <w:noProof/>
        </w:rPr>
        <w:br/>
        <w:t>Financování</w:t>
      </w:r>
    </w:p>
    <w:p w14:paraId="31CC34F8" w14:textId="15510814" w:rsidR="00DB2C46" w:rsidRPr="00CB683A" w:rsidRDefault="00891439" w:rsidP="00891439">
      <w:pPr>
        <w:pStyle w:val="ManualNumPar1"/>
        <w:rPr>
          <w:noProof/>
        </w:rPr>
      </w:pPr>
      <w:r w:rsidRPr="00891439">
        <w:t>1.</w:t>
      </w:r>
      <w:r w:rsidRPr="00891439">
        <w:tab/>
      </w:r>
      <w:r w:rsidR="00DB2C46" w:rsidRPr="00CB683A">
        <w:rPr>
          <w:noProof/>
        </w:rPr>
        <w:t xml:space="preserve">Národním statistickým úřadům a jiným vnitrostátním orgánům uvedeným v čl. 5 odst. 2 nařízení (ES) č. 223/2009 lze ze souhrnného rozpočtu Unie poskytnout finanční příspěvek na: </w:t>
      </w:r>
    </w:p>
    <w:p w14:paraId="0218DC79" w14:textId="0D31E874" w:rsidR="00DB2C46" w:rsidRPr="00CB683A" w:rsidRDefault="00C90467" w:rsidP="00C90467">
      <w:pPr>
        <w:pStyle w:val="Point1"/>
        <w:rPr>
          <w:noProof/>
        </w:rPr>
      </w:pPr>
      <w:r>
        <w:rPr>
          <w:noProof/>
        </w:rPr>
        <w:t>a)</w:t>
      </w:r>
      <w:r>
        <w:rPr>
          <w:noProof/>
        </w:rPr>
        <w:tab/>
      </w:r>
      <w:r w:rsidR="00DB2C46" w:rsidRPr="00CB683A">
        <w:rPr>
          <w:noProof/>
        </w:rPr>
        <w:t>rozvoj a zavádění nových nebo vylepšených zdrojů údajů, metodik, sdílení údajů, statistických jednotek, témat, dílčích témat, proměnných a jejich členění;</w:t>
      </w:r>
    </w:p>
    <w:p w14:paraId="0ECEC149" w14:textId="445154AB" w:rsidR="00DB2C46" w:rsidRPr="00CB683A" w:rsidRDefault="00C90467" w:rsidP="00C90467">
      <w:pPr>
        <w:pStyle w:val="Point1"/>
        <w:rPr>
          <w:noProof/>
        </w:rPr>
      </w:pPr>
      <w:r>
        <w:rPr>
          <w:noProof/>
        </w:rPr>
        <w:t>b)</w:t>
      </w:r>
      <w:r>
        <w:rPr>
          <w:noProof/>
        </w:rPr>
        <w:tab/>
      </w:r>
      <w:r w:rsidR="00DB2C46" w:rsidRPr="00CB683A">
        <w:rPr>
          <w:noProof/>
        </w:rPr>
        <w:t xml:space="preserve">účast členských států na reprezentativních pilotních studiích a studiích proveditelnosti podle článku 14 tohoto nařízení. </w:t>
      </w:r>
    </w:p>
    <w:p w14:paraId="2CD9D142" w14:textId="6659925E" w:rsidR="00DB2C46" w:rsidRPr="00CB683A" w:rsidRDefault="00891439" w:rsidP="00891439">
      <w:pPr>
        <w:pStyle w:val="ManualNumPar1"/>
        <w:rPr>
          <w:noProof/>
        </w:rPr>
      </w:pPr>
      <w:r w:rsidRPr="00891439">
        <w:t>2.</w:t>
      </w:r>
      <w:r w:rsidRPr="00891439">
        <w:tab/>
      </w:r>
      <w:r w:rsidR="00DB2C46" w:rsidRPr="00CB683A">
        <w:rPr>
          <w:noProof/>
        </w:rPr>
        <w:t>Finanční příspěvek Unie nepřesáhne 90 % způsobilých nákladů.</w:t>
      </w:r>
    </w:p>
    <w:p w14:paraId="3B3DA340" w14:textId="77777777" w:rsidR="00DB2C46" w:rsidRPr="00CB683A" w:rsidRDefault="00DB2C46" w:rsidP="00DB2C46">
      <w:pPr>
        <w:pStyle w:val="Titrearticle"/>
        <w:rPr>
          <w:noProof/>
        </w:rPr>
      </w:pPr>
      <w:r w:rsidRPr="00CB683A">
        <w:rPr>
          <w:noProof/>
        </w:rPr>
        <w:t xml:space="preserve">Článek 16 </w:t>
      </w:r>
      <w:r w:rsidRPr="00CB683A">
        <w:rPr>
          <w:noProof/>
        </w:rPr>
        <w:br/>
        <w:t>Ochrana finančních zájmů Unie</w:t>
      </w:r>
    </w:p>
    <w:p w14:paraId="0A91E210" w14:textId="0028F6D9" w:rsidR="00DB2C46" w:rsidRPr="00CB683A" w:rsidRDefault="00972429" w:rsidP="00F52FA7">
      <w:pPr>
        <w:rPr>
          <w:noProof/>
        </w:rPr>
      </w:pPr>
      <w:r w:rsidRPr="00CB683A">
        <w:rPr>
          <w:noProof/>
        </w:rPr>
        <w:t>Účastní-li se opatření financovaných podle tohoto nařízení na základě rozhodnutí přijatého podle mezinárodní dohody nebo na základě jakéhokoli jiného právního nástroje třetí země, udělí nezbytná práva a potřebný přístup příslu</w:t>
      </w:r>
      <w:r w:rsidR="009E4C52" w:rsidRPr="00CB683A">
        <w:rPr>
          <w:noProof/>
        </w:rPr>
        <w:t>šné schvalující osobě, Evropském</w:t>
      </w:r>
      <w:r w:rsidRPr="00CB683A">
        <w:rPr>
          <w:noProof/>
        </w:rPr>
        <w:t>u úřadu pro boj proti podvodům (OLAF), Účetnímu dvoru a Úřadu evropského veřejného žalobce (EPPO), aby mohly komplexně vykonávat své pravomoci. V případě úřadu OLAF tato práva zahrnují právo provádět vyšetřování, včetně kontrol a inspekcí na místě, jak je stanoveno v nařízení (EU, Euratom) č. 883/2013.</w:t>
      </w:r>
    </w:p>
    <w:p w14:paraId="199A2F18" w14:textId="77777777" w:rsidR="00DB2C46" w:rsidRPr="00CB683A" w:rsidRDefault="00DB2C46" w:rsidP="00DB2C46">
      <w:pPr>
        <w:pStyle w:val="Text1"/>
        <w:rPr>
          <w:noProof/>
        </w:rPr>
      </w:pPr>
    </w:p>
    <w:p w14:paraId="4B0D76CC" w14:textId="77777777" w:rsidR="00DB2C46" w:rsidRPr="00CB683A" w:rsidRDefault="00DB2C46" w:rsidP="00DB2C46">
      <w:pPr>
        <w:pStyle w:val="Titrearticle"/>
        <w:rPr>
          <w:noProof/>
        </w:rPr>
      </w:pPr>
      <w:r w:rsidRPr="00CB683A">
        <w:rPr>
          <w:noProof/>
        </w:rPr>
        <w:t xml:space="preserve">Článek 17 </w:t>
      </w:r>
      <w:r w:rsidRPr="00CB683A">
        <w:rPr>
          <w:noProof/>
        </w:rPr>
        <w:br/>
        <w:t>Výkon přenesené pravomoci</w:t>
      </w:r>
    </w:p>
    <w:p w14:paraId="5E934A19" w14:textId="0B08A975" w:rsidR="00DB2C46" w:rsidRPr="00CB683A" w:rsidRDefault="00891439" w:rsidP="00891439">
      <w:pPr>
        <w:pStyle w:val="ManualNumPar1"/>
        <w:rPr>
          <w:noProof/>
        </w:rPr>
      </w:pPr>
      <w:r w:rsidRPr="00891439">
        <w:t>1.</w:t>
      </w:r>
      <w:r w:rsidRPr="00891439">
        <w:tab/>
      </w:r>
      <w:r w:rsidR="00DB2C46" w:rsidRPr="00CB683A">
        <w:rPr>
          <w:noProof/>
        </w:rPr>
        <w:t>Pravomoc přijímat akty v přenesené pravomoci je svěřena Komisi za podmínek stanovených v tomto článku.</w:t>
      </w:r>
    </w:p>
    <w:p w14:paraId="538E80B1" w14:textId="1E1E49F9" w:rsidR="00DB2C46" w:rsidRPr="00CB683A" w:rsidRDefault="00891439" w:rsidP="00891439">
      <w:pPr>
        <w:pStyle w:val="ManualNumPar1"/>
        <w:rPr>
          <w:noProof/>
        </w:rPr>
      </w:pPr>
      <w:r w:rsidRPr="00891439">
        <w:t>2.</w:t>
      </w:r>
      <w:r w:rsidRPr="00891439">
        <w:tab/>
      </w:r>
      <w:r w:rsidR="00DB2C46" w:rsidRPr="00CB683A">
        <w:rPr>
          <w:noProof/>
        </w:rPr>
        <w:t xml:space="preserve">Pravomoc přijímat akty v přenesené pravomoci uvedená v čl. 5 odst. 3, čl. 6 odst. 6 a čl. 7 odst. 2 se svěřuje Komisi na dobu neurčitou od [Úřad pro publikace: vložte přesné datum vstupu tohoto nařízení v platnost]. </w:t>
      </w:r>
    </w:p>
    <w:p w14:paraId="1CEBD773" w14:textId="5373D77A" w:rsidR="00DB2C46" w:rsidRPr="00CB683A" w:rsidRDefault="00891439" w:rsidP="00891439">
      <w:pPr>
        <w:pStyle w:val="ManualNumPar1"/>
        <w:rPr>
          <w:noProof/>
        </w:rPr>
      </w:pPr>
      <w:r w:rsidRPr="00891439">
        <w:t>3.</w:t>
      </w:r>
      <w:r w:rsidRPr="00891439">
        <w:tab/>
      </w:r>
      <w:r w:rsidR="00DB2C46" w:rsidRPr="00CB683A">
        <w:rPr>
          <w:noProof/>
        </w:rPr>
        <w:t>Evropský parlament nebo Rada mohou přenesení pravomoci uvedené v čl. 5 odst. 3, čl. 6 odst. 6 a čl. 7 odst. 2 kdykoli zrušit. Rozhodnutím o zrušení</w:t>
      </w:r>
      <w:r w:rsidR="00AC6C91" w:rsidRPr="00CB683A">
        <w:rPr>
          <w:noProof/>
        </w:rPr>
        <w:t xml:space="preserve"> se ukončuje přenesení pravomoci</w:t>
      </w:r>
      <w:r w:rsidR="00DB2C46" w:rsidRPr="00CB683A">
        <w:rPr>
          <w:noProof/>
        </w:rPr>
        <w:t xml:space="preserve"> v něm blíže určené. Rozhodnutí nabývá účinku prvním dnem po zveřejnění v </w:t>
      </w:r>
      <w:r w:rsidR="00DB2C46" w:rsidRPr="00CB683A">
        <w:rPr>
          <w:i/>
          <w:noProof/>
        </w:rPr>
        <w:t>Úředním věstníku Evropské unie</w:t>
      </w:r>
      <w:r w:rsidR="00DB2C46" w:rsidRPr="00CB683A">
        <w:rPr>
          <w:noProof/>
        </w:rPr>
        <w:t>, nebo k pozdějšímu dni, který je v něm upřesněn. Nedotýká se platnosti žádných již platných aktů v přenesené pravomoci.</w:t>
      </w:r>
    </w:p>
    <w:p w14:paraId="1EB525C1" w14:textId="1EA8F962" w:rsidR="00DB2C46" w:rsidRPr="00CB683A" w:rsidRDefault="00891439" w:rsidP="00891439">
      <w:pPr>
        <w:pStyle w:val="ManualNumPar1"/>
        <w:rPr>
          <w:noProof/>
        </w:rPr>
      </w:pPr>
      <w:r w:rsidRPr="00891439">
        <w:t>4.</w:t>
      </w:r>
      <w:r w:rsidRPr="00891439">
        <w:tab/>
      </w:r>
      <w:r w:rsidR="00DB2C46" w:rsidRPr="00CB683A">
        <w:rPr>
          <w:noProof/>
        </w:rPr>
        <w:t>Před přijetím aktu v přenesené pravomoci Komise vede konzultace s odborníky jmenovanými jednotlivými členskými státy v souladu se zásadami stanovenými v interinstitucionální dohodě ze dne 13. dubna 2016 o zdokonalení tvorby právních předpisů.</w:t>
      </w:r>
    </w:p>
    <w:p w14:paraId="267621D3" w14:textId="117A5F5C" w:rsidR="00DB2C46" w:rsidRPr="00CB683A" w:rsidRDefault="00891439" w:rsidP="00891439">
      <w:pPr>
        <w:pStyle w:val="ManualNumPar1"/>
        <w:rPr>
          <w:noProof/>
        </w:rPr>
      </w:pPr>
      <w:r w:rsidRPr="00891439">
        <w:t>5.</w:t>
      </w:r>
      <w:r w:rsidRPr="00891439">
        <w:tab/>
      </w:r>
      <w:r w:rsidR="00DB2C46" w:rsidRPr="00CB683A">
        <w:rPr>
          <w:noProof/>
        </w:rPr>
        <w:t xml:space="preserve">Přijetí aktu v přenesené pravomoci Komise neprodleně oznámí současně Evropskému parlamentu a Radě. </w:t>
      </w:r>
    </w:p>
    <w:p w14:paraId="1CFC64C9" w14:textId="0DB26FDE" w:rsidR="00DB2C46" w:rsidRPr="00CB683A" w:rsidRDefault="00891439" w:rsidP="00891439">
      <w:pPr>
        <w:pStyle w:val="ManualNumPar1"/>
        <w:rPr>
          <w:noProof/>
        </w:rPr>
      </w:pPr>
      <w:r w:rsidRPr="00891439">
        <w:t>6.</w:t>
      </w:r>
      <w:r w:rsidRPr="00891439">
        <w:tab/>
      </w:r>
      <w:r w:rsidR="00DB2C46" w:rsidRPr="00CB683A">
        <w:rPr>
          <w:noProof/>
        </w:rPr>
        <w:t>Akt v přenesené pravomoci přijatý podle čl. 5 odst. 3, čl. 6 odst. 6 a čl. 7 odst. 2 vstoupí v platnost, pouze pokud proti němu Evropský parlament nebo Rada nevysloví námitky ve lhůtě dvou měsíců ode dne, kdy jim byl tento akt oznámen, nebo pokud Evropský parlament i Rada před uplynutím této lhůty informují Komisi o tom, že námitky nevysloví. Z podnětu Evropského parlamentu nebo Rady se tato lhůta prodlouží o dva měsíce.</w:t>
      </w:r>
    </w:p>
    <w:p w14:paraId="19B3314A" w14:textId="77777777" w:rsidR="00DB2C46" w:rsidRPr="00CB683A" w:rsidRDefault="00DB2C46" w:rsidP="00DB2C46">
      <w:pPr>
        <w:pStyle w:val="Titrearticle"/>
        <w:rPr>
          <w:noProof/>
        </w:rPr>
      </w:pPr>
      <w:r w:rsidRPr="00CB683A">
        <w:rPr>
          <w:noProof/>
        </w:rPr>
        <w:t xml:space="preserve">Článek 18 </w:t>
      </w:r>
      <w:r w:rsidRPr="00CB683A">
        <w:rPr>
          <w:noProof/>
        </w:rPr>
        <w:br/>
        <w:t>Postup projednávání ve výboru</w:t>
      </w:r>
    </w:p>
    <w:p w14:paraId="0A769530" w14:textId="0759738C" w:rsidR="00DB2C46" w:rsidRPr="00CB683A" w:rsidRDefault="00891439" w:rsidP="00891439">
      <w:pPr>
        <w:pStyle w:val="ManualNumPar1"/>
        <w:rPr>
          <w:noProof/>
        </w:rPr>
      </w:pPr>
      <w:r w:rsidRPr="00891439">
        <w:t>1.</w:t>
      </w:r>
      <w:r w:rsidRPr="00891439">
        <w:tab/>
      </w:r>
      <w:r w:rsidR="00DB2C46" w:rsidRPr="00CB683A">
        <w:rPr>
          <w:noProof/>
        </w:rPr>
        <w:t>Komisi je nápomocen Výbor pro evropský statistický systém zřízený článkem 7 nařízení (ES) č. 223/2009. Uvedený výbor je výb</w:t>
      </w:r>
      <w:r w:rsidR="00AC6C91" w:rsidRPr="00CB683A">
        <w:rPr>
          <w:noProof/>
        </w:rPr>
        <w:t>orem ve smyslu nařízení (EU) č. </w:t>
      </w:r>
      <w:r w:rsidR="00DB2C46" w:rsidRPr="00CB683A">
        <w:rPr>
          <w:noProof/>
        </w:rPr>
        <w:t>182/2011.</w:t>
      </w:r>
    </w:p>
    <w:p w14:paraId="024619D9" w14:textId="2B195EE0" w:rsidR="00DB2C46" w:rsidRPr="00CB683A" w:rsidRDefault="00891439" w:rsidP="00891439">
      <w:pPr>
        <w:pStyle w:val="ManualNumPar1"/>
        <w:rPr>
          <w:noProof/>
        </w:rPr>
      </w:pPr>
      <w:r w:rsidRPr="00891439">
        <w:t>2.</w:t>
      </w:r>
      <w:r w:rsidRPr="00891439">
        <w:tab/>
      </w:r>
      <w:r w:rsidR="00DB2C46" w:rsidRPr="00CB683A">
        <w:rPr>
          <w:noProof/>
        </w:rPr>
        <w:t>Odkazuje-li se na tento odstavec, použije se článek 5 nařízení (EU) č. 182/2011.</w:t>
      </w:r>
    </w:p>
    <w:p w14:paraId="565A5147" w14:textId="77777777" w:rsidR="00DB2C46" w:rsidRPr="00CB683A" w:rsidRDefault="00DB2C46" w:rsidP="00DB2C46">
      <w:pPr>
        <w:pStyle w:val="Titrearticle"/>
        <w:rPr>
          <w:noProof/>
        </w:rPr>
      </w:pPr>
      <w:r w:rsidRPr="00CB683A">
        <w:rPr>
          <w:noProof/>
        </w:rPr>
        <w:t xml:space="preserve">Článek 19 </w:t>
      </w:r>
      <w:r w:rsidRPr="00CB683A">
        <w:rPr>
          <w:noProof/>
        </w:rPr>
        <w:br/>
        <w:t>Výjimky</w:t>
      </w:r>
    </w:p>
    <w:p w14:paraId="61ECFA84" w14:textId="16B7FAB3" w:rsidR="00DB2C46" w:rsidRPr="00CB683A" w:rsidRDefault="00891439" w:rsidP="00891439">
      <w:pPr>
        <w:pStyle w:val="ManualNumPar1"/>
        <w:rPr>
          <w:noProof/>
        </w:rPr>
      </w:pPr>
      <w:r w:rsidRPr="00891439">
        <w:t>1.</w:t>
      </w:r>
      <w:r w:rsidRPr="00891439">
        <w:tab/>
      </w:r>
      <w:r w:rsidR="00DB2C46" w:rsidRPr="00CB683A">
        <w:rPr>
          <w:noProof/>
        </w:rPr>
        <w:t xml:space="preserve">Pokud použití tohoto nařízení nebo prováděcích aktů či aktů v přenesené pravomoci přijatých na jeho základě vyžaduje rozsáhlé úpravy národního statistického systému členského státu, může Komise přijmout prováděcí akty, kterými se členským státům udělí výjimky na dobu nejvýše dvou let. </w:t>
      </w:r>
    </w:p>
    <w:p w14:paraId="5B53961C" w14:textId="1D6715B1" w:rsidR="00DB2C46" w:rsidRPr="00CB683A" w:rsidRDefault="00891439" w:rsidP="00891439">
      <w:pPr>
        <w:pStyle w:val="ManualNumPar1"/>
        <w:rPr>
          <w:noProof/>
        </w:rPr>
      </w:pPr>
      <w:r w:rsidRPr="00891439">
        <w:t>2.</w:t>
      </w:r>
      <w:r w:rsidRPr="00891439">
        <w:tab/>
      </w:r>
      <w:r w:rsidR="00DB2C46" w:rsidRPr="00CB683A">
        <w:rPr>
          <w:noProof/>
        </w:rPr>
        <w:t>Při udělování výjimek Komise zohlední srovnatelnost statistik členských států a včasný výpočet požadovaných reprezentativních a spolehlivých evropských souhrnných ukazatelů. Při udělování výjimek Komise rovněž zajistí, aby požadavky týkající se statistik, metadat a kvality, na které se vztahuje toto nařízení a na které se dříve vztahovalo nařízení (EU) č. 1260/2013 nebo článek 3 nařízení (ES) č. 862/2007, zůstaly zachovány bez přerušení.</w:t>
      </w:r>
    </w:p>
    <w:p w14:paraId="30B28930" w14:textId="743B2E2B" w:rsidR="00DB2C46" w:rsidRPr="00CB683A" w:rsidRDefault="00891439" w:rsidP="00891439">
      <w:pPr>
        <w:pStyle w:val="ManualNumPar1"/>
        <w:rPr>
          <w:noProof/>
        </w:rPr>
      </w:pPr>
      <w:r w:rsidRPr="00891439">
        <w:t>3.</w:t>
      </w:r>
      <w:r w:rsidRPr="00891439">
        <w:tab/>
      </w:r>
      <w:r w:rsidR="00DB2C46" w:rsidRPr="00CB683A">
        <w:rPr>
          <w:noProof/>
        </w:rPr>
        <w:t>Členský stát podá Komisi řádně odůvodněnou žádost o výjimku do dvou měsíců ode dne vstupu dotčeného aktu v platnost.</w:t>
      </w:r>
    </w:p>
    <w:p w14:paraId="4C45C82F" w14:textId="410EEA31" w:rsidR="00DB2C46" w:rsidRPr="00CB683A" w:rsidRDefault="00891439" w:rsidP="00891439">
      <w:pPr>
        <w:pStyle w:val="ManualNumPar1"/>
        <w:rPr>
          <w:noProof/>
        </w:rPr>
      </w:pPr>
      <w:r w:rsidRPr="00891439">
        <w:t>4.</w:t>
      </w:r>
      <w:r w:rsidRPr="00891439">
        <w:tab/>
      </w:r>
      <w:r w:rsidR="00DB2C46" w:rsidRPr="00CB683A">
        <w:rPr>
          <w:noProof/>
        </w:rPr>
        <w:t>Komise přijme prováděcí akty uvedené v odstavci 1 tohoto článku přezkumným postupem podle čl. 18 odst. 2.</w:t>
      </w:r>
    </w:p>
    <w:p w14:paraId="2C1D936F" w14:textId="77777777" w:rsidR="00DB2C46" w:rsidRPr="00CB683A" w:rsidRDefault="00DB2C46" w:rsidP="00DB2C46">
      <w:pPr>
        <w:pStyle w:val="Titrearticle"/>
        <w:rPr>
          <w:noProof/>
        </w:rPr>
      </w:pPr>
      <w:r w:rsidRPr="00CB683A">
        <w:rPr>
          <w:noProof/>
        </w:rPr>
        <w:t xml:space="preserve">Článek 20 </w:t>
      </w:r>
      <w:r w:rsidRPr="00CB683A">
        <w:rPr>
          <w:noProof/>
        </w:rPr>
        <w:br/>
        <w:t>Změna nařízení (ES) č. 862/2007</w:t>
      </w:r>
    </w:p>
    <w:p w14:paraId="05ADD36F" w14:textId="77777777" w:rsidR="00DB2C46" w:rsidRPr="00CB683A" w:rsidRDefault="00DB2C46" w:rsidP="00DB2C46">
      <w:pPr>
        <w:spacing w:line="264" w:lineRule="auto"/>
        <w:rPr>
          <w:noProof/>
          <w:szCs w:val="24"/>
        </w:rPr>
      </w:pPr>
      <w:r w:rsidRPr="00CB683A">
        <w:rPr>
          <w:noProof/>
        </w:rPr>
        <w:t>Nařízení (ES) č. 862/2007 se mění takto:</w:t>
      </w:r>
    </w:p>
    <w:p w14:paraId="7894EF16" w14:textId="3E220076" w:rsidR="00DB2C46" w:rsidRPr="00CB683A" w:rsidRDefault="00C90467" w:rsidP="00C90467">
      <w:pPr>
        <w:pStyle w:val="Point0"/>
        <w:rPr>
          <w:noProof/>
        </w:rPr>
      </w:pPr>
      <w:r>
        <w:rPr>
          <w:noProof/>
        </w:rPr>
        <w:t>1)</w:t>
      </w:r>
      <w:r>
        <w:rPr>
          <w:noProof/>
        </w:rPr>
        <w:tab/>
      </w:r>
      <w:r w:rsidR="00DB2C46" w:rsidRPr="00CB683A">
        <w:rPr>
          <w:noProof/>
        </w:rPr>
        <w:t>název se nahrazuje tímto: „Nařízení (ES) č. 862/2007 ze dne 11. července 2007 o evropské statistice v oblasti azylu a správních a soudních postupech souvisejících s právními předpisy v oblasti přistěhovalectví a o</w:t>
      </w:r>
      <w:r w:rsidR="00E20A85" w:rsidRPr="00CB683A">
        <w:rPr>
          <w:noProof/>
        </w:rPr>
        <w:t xml:space="preserve"> zrušení nařízení Rady (EHS) č. </w:t>
      </w:r>
      <w:r w:rsidR="00DB2C46" w:rsidRPr="00CB683A">
        <w:rPr>
          <w:noProof/>
        </w:rPr>
        <w:t>311/76 o sestavování statistik o zahraničních pracovnících“;</w:t>
      </w:r>
    </w:p>
    <w:p w14:paraId="04A50DD1" w14:textId="62A629E4" w:rsidR="00DB2C46" w:rsidRPr="00CB683A" w:rsidRDefault="00C90467" w:rsidP="00C90467">
      <w:pPr>
        <w:pStyle w:val="Point0"/>
        <w:rPr>
          <w:noProof/>
        </w:rPr>
      </w:pPr>
      <w:r>
        <w:rPr>
          <w:noProof/>
        </w:rPr>
        <w:t>2)</w:t>
      </w:r>
      <w:r>
        <w:rPr>
          <w:noProof/>
        </w:rPr>
        <w:tab/>
      </w:r>
      <w:r w:rsidR="00DB2C46" w:rsidRPr="00CB683A">
        <w:rPr>
          <w:noProof/>
        </w:rPr>
        <w:t>v článku 1 se zrušují písmena a) a b);</w:t>
      </w:r>
    </w:p>
    <w:p w14:paraId="4B0FB0EA" w14:textId="6EB1156C" w:rsidR="00DB2C46" w:rsidRPr="00CB683A" w:rsidRDefault="00C90467" w:rsidP="00C90467">
      <w:pPr>
        <w:pStyle w:val="Point0"/>
        <w:rPr>
          <w:noProof/>
        </w:rPr>
      </w:pPr>
      <w:r>
        <w:rPr>
          <w:noProof/>
        </w:rPr>
        <w:t>3)</w:t>
      </w:r>
      <w:r>
        <w:rPr>
          <w:noProof/>
        </w:rPr>
        <w:tab/>
      </w:r>
      <w:r w:rsidR="00B65555" w:rsidRPr="00CB683A">
        <w:rPr>
          <w:noProof/>
        </w:rPr>
        <w:t>v čl. 2 odst. 1 se zrušují písmena a), b), c), f) a g);</w:t>
      </w:r>
    </w:p>
    <w:p w14:paraId="3402DE5F" w14:textId="2FC07255" w:rsidR="00DB2C46" w:rsidRPr="00CB683A" w:rsidRDefault="00C90467" w:rsidP="00C90467">
      <w:pPr>
        <w:pStyle w:val="Point0"/>
        <w:rPr>
          <w:noProof/>
        </w:rPr>
      </w:pPr>
      <w:r>
        <w:rPr>
          <w:noProof/>
        </w:rPr>
        <w:t>4)</w:t>
      </w:r>
      <w:r>
        <w:rPr>
          <w:noProof/>
        </w:rPr>
        <w:tab/>
      </w:r>
      <w:r w:rsidR="00DB2C46" w:rsidRPr="00CB683A">
        <w:rPr>
          <w:noProof/>
        </w:rPr>
        <w:t>článek 3 se zrušuje;</w:t>
      </w:r>
    </w:p>
    <w:p w14:paraId="6D19A26C" w14:textId="64FF9231" w:rsidR="00DB2C46" w:rsidRPr="00CB683A" w:rsidRDefault="00C90467" w:rsidP="00C90467">
      <w:pPr>
        <w:pStyle w:val="Point0"/>
        <w:rPr>
          <w:noProof/>
        </w:rPr>
      </w:pPr>
      <w:r>
        <w:rPr>
          <w:noProof/>
        </w:rPr>
        <w:t>5)</w:t>
      </w:r>
      <w:r>
        <w:rPr>
          <w:noProof/>
        </w:rPr>
        <w:tab/>
      </w:r>
      <w:r w:rsidR="00DB2C46" w:rsidRPr="00CB683A">
        <w:rPr>
          <w:noProof/>
        </w:rPr>
        <w:t>vkládá se nový článek 9c, který zní:</w:t>
      </w:r>
    </w:p>
    <w:p w14:paraId="0B79071E" w14:textId="77777777" w:rsidR="00DB2C46" w:rsidRPr="00CB683A" w:rsidRDefault="00DB2C46" w:rsidP="00DB2C46">
      <w:pPr>
        <w:pStyle w:val="Titrearticle"/>
        <w:rPr>
          <w:noProof/>
        </w:rPr>
      </w:pPr>
      <w:r w:rsidRPr="00CB683A">
        <w:rPr>
          <w:noProof/>
        </w:rPr>
        <w:t xml:space="preserve"> „Článek 9c </w:t>
      </w:r>
      <w:r w:rsidRPr="00CB683A">
        <w:rPr>
          <w:noProof/>
        </w:rPr>
        <w:br/>
        <w:t>Včasný přístup k administrativním údajům a jejich opakované využití</w:t>
      </w:r>
    </w:p>
    <w:p w14:paraId="13DDD334" w14:textId="4BA1CD33" w:rsidR="00DB2C46" w:rsidRPr="00CB683A" w:rsidRDefault="0067679B" w:rsidP="00972429">
      <w:pPr>
        <w:pStyle w:val="Point1"/>
        <w:rPr>
          <w:noProof/>
        </w:rPr>
      </w:pPr>
      <w:r w:rsidRPr="00CB683A">
        <w:rPr>
          <w:noProof/>
        </w:rPr>
        <w:t>1.</w:t>
      </w:r>
      <w:r w:rsidRPr="00CB683A">
        <w:rPr>
          <w:noProof/>
        </w:rPr>
        <w:tab/>
        <w:t>Vnitrostátní orgány odpovědné za zdroje administrativních údajů, které jsou relevantní pro účely tohoto nařízení, umožní opako</w:t>
      </w:r>
      <w:r w:rsidR="00424A74" w:rsidRPr="00CB683A">
        <w:rPr>
          <w:noProof/>
        </w:rPr>
        <w:t xml:space="preserve">vané využití těchto údajů včas </w:t>
      </w:r>
      <w:r w:rsidRPr="00CB683A">
        <w:rPr>
          <w:noProof/>
        </w:rPr>
        <w:t>a s četností dostatečnou pro vytvoření a poskytnutí statistiky ve stanovených lhůtách a v souladu se zvláštními požadavky na kvalitu podle tohoto nařízení. Včasný přístup k administrativním záznamům i jeho operativní postupy se zahrnou do dohod o spolupráci, které budou uzavřeny mezi uvedenými vnitrostátními orgány a národními statistickými úřady.</w:t>
      </w:r>
    </w:p>
    <w:p w14:paraId="3FFC3481" w14:textId="71C6E10E" w:rsidR="00DB2C46" w:rsidRPr="00CB683A" w:rsidRDefault="0067679B" w:rsidP="00DB2C46">
      <w:pPr>
        <w:pStyle w:val="Point1"/>
        <w:rPr>
          <w:noProof/>
        </w:rPr>
      </w:pPr>
      <w:r w:rsidRPr="00CB683A">
        <w:rPr>
          <w:noProof/>
        </w:rPr>
        <w:t>2.</w:t>
      </w:r>
      <w:r w:rsidRPr="00CB683A">
        <w:rPr>
          <w:noProof/>
        </w:rPr>
        <w:tab/>
        <w:t>Pro účely tohoto nařízení se Komisi (Eurostatu) na vyžádání umožní včasný přístup k relevantním údajům a metadatům z databází a systémů interoperability spravovaných institucemi a jinými subjekty Unie, a to rovněž podle nařízení (EU) č. 910/2014, (EU) 2018/1724, a k statistickým údajům uloženým v centrálním úložišti pro podávání zpráv a statistiky (CRRS) v souladu s nařízením (EU) 2019/817 a (EU) 2019/818 a s nařízeními, kterými se zřizují systémy, jejichž statistické údaje se ukládají v centrálním úložišti pro podávání zpráv a statistiky, a jejich opětovné využití. Komise (Eurostat) za tímto účelem dále spolupracuje s příslušnými institucemi a jinými subjekty Unie s cílem upřesnit přizpůsobené statistické údaje a metadata, které jsou, pokud to umožňuje právo Unie, nezbytné pro evropskou statistiku o obyvatelstvu, domech a bytech, operační postupy pro jejich poskytování a nezbytné doprovodné fyzické a logické záruky.“</w:t>
      </w:r>
    </w:p>
    <w:p w14:paraId="4976FEB2" w14:textId="6C526309" w:rsidR="00DB2C46" w:rsidRPr="00CB683A" w:rsidRDefault="00C90467" w:rsidP="00C90467">
      <w:pPr>
        <w:pStyle w:val="Point0"/>
        <w:rPr>
          <w:noProof/>
        </w:rPr>
      </w:pPr>
      <w:r>
        <w:rPr>
          <w:noProof/>
        </w:rPr>
        <w:t>6)</w:t>
      </w:r>
      <w:r>
        <w:rPr>
          <w:noProof/>
        </w:rPr>
        <w:tab/>
      </w:r>
      <w:r w:rsidR="00E20A85" w:rsidRPr="00CB683A">
        <w:rPr>
          <w:noProof/>
        </w:rPr>
        <w:t>v</w:t>
      </w:r>
      <w:r w:rsidR="00DB2C46" w:rsidRPr="00CB683A">
        <w:rPr>
          <w:noProof/>
        </w:rPr>
        <w:t>kládá se nový článek 10a, který zní:</w:t>
      </w:r>
    </w:p>
    <w:p w14:paraId="7515D797" w14:textId="77777777" w:rsidR="00DB2C46" w:rsidRPr="00CB683A" w:rsidRDefault="00DB2C46" w:rsidP="00DB2C46">
      <w:pPr>
        <w:pStyle w:val="Titrearticle"/>
        <w:rPr>
          <w:noProof/>
        </w:rPr>
      </w:pPr>
      <w:r w:rsidRPr="00CB683A">
        <w:rPr>
          <w:noProof/>
        </w:rPr>
        <w:t xml:space="preserve"> „Článek 10a </w:t>
      </w:r>
      <w:r w:rsidRPr="00CB683A">
        <w:rPr>
          <w:noProof/>
        </w:rPr>
        <w:br/>
        <w:t>Seznamy zemí a území</w:t>
      </w:r>
    </w:p>
    <w:p w14:paraId="61FCAF65" w14:textId="7A773ED0" w:rsidR="00DB2C46" w:rsidRPr="00CB683A" w:rsidRDefault="00842C65" w:rsidP="00DB2C46">
      <w:pPr>
        <w:pStyle w:val="Text1"/>
        <w:rPr>
          <w:noProof/>
        </w:rPr>
      </w:pPr>
      <w:r w:rsidRPr="00CB683A">
        <w:rPr>
          <w:noProof/>
        </w:rPr>
        <w:t>Pro sestavení statistik podle tohoto nařízení se použijí s</w:t>
      </w:r>
      <w:r w:rsidR="00DB2C46" w:rsidRPr="00CB683A">
        <w:rPr>
          <w:noProof/>
        </w:rPr>
        <w:t>eznamy zemí a území uvedené v článku 11 [Úřad pro publikace: vložte správný od</w:t>
      </w:r>
      <w:r w:rsidR="00F438EF" w:rsidRPr="00CB683A">
        <w:rPr>
          <w:noProof/>
        </w:rPr>
        <w:t>kaz na toto nařízení]</w:t>
      </w:r>
      <w:r w:rsidR="00DB2C46" w:rsidRPr="00CB683A">
        <w:rPr>
          <w:noProof/>
        </w:rPr>
        <w:t xml:space="preserve">, aby </w:t>
      </w:r>
      <w:r w:rsidRPr="00CB683A">
        <w:rPr>
          <w:noProof/>
        </w:rPr>
        <w:t>se zajistila srovnatelnost specifických informací jednotlivých zemí a území v rámci evropských statistik</w:t>
      </w:r>
      <w:r w:rsidR="00DB2C46" w:rsidRPr="00CB683A">
        <w:rPr>
          <w:noProof/>
        </w:rPr>
        <w:t>. Členské státy použijí tyto seznamy poprvé při sestavování statistik podle tohoto nařízení počínaje předáním údajů za referenční rok 2026.“</w:t>
      </w:r>
    </w:p>
    <w:p w14:paraId="35E19321" w14:textId="77777777" w:rsidR="00DB2C46" w:rsidRPr="00CB683A" w:rsidRDefault="00DB2C46" w:rsidP="00DB2C46">
      <w:pPr>
        <w:pStyle w:val="Titrearticle"/>
        <w:rPr>
          <w:noProof/>
        </w:rPr>
      </w:pPr>
      <w:r w:rsidRPr="00CB683A">
        <w:rPr>
          <w:noProof/>
        </w:rPr>
        <w:t xml:space="preserve">Článek 21 </w:t>
      </w:r>
      <w:r w:rsidRPr="00CB683A">
        <w:rPr>
          <w:noProof/>
        </w:rPr>
        <w:br/>
        <w:t>Zrušení</w:t>
      </w:r>
    </w:p>
    <w:p w14:paraId="29D61FDF" w14:textId="7F6BC472" w:rsidR="00DB2C46" w:rsidRPr="00CB683A" w:rsidRDefault="00DB2C46" w:rsidP="00DB2C46">
      <w:pPr>
        <w:rPr>
          <w:i/>
          <w:noProof/>
        </w:rPr>
      </w:pPr>
      <w:r w:rsidRPr="00CB683A">
        <w:rPr>
          <w:noProof/>
        </w:rPr>
        <w:t>Nařízení (ES) č. 763/2008 a (EU) č. 1260/2013 se zrušují s účinkem od 1. ledna 2026, aniž jsou dotčeny povinnosti stanovené v </w:t>
      </w:r>
      <w:r w:rsidR="00BC51E9" w:rsidRPr="00CB683A">
        <w:rPr>
          <w:noProof/>
        </w:rPr>
        <w:t>uvedených</w:t>
      </w:r>
      <w:r w:rsidRPr="00CB683A">
        <w:rPr>
          <w:noProof/>
        </w:rPr>
        <w:t xml:space="preserve"> právních aktech, pokud jde o referenční období, která zcela nebo zčásti spadají do doby před uvedeným dnem.</w:t>
      </w:r>
    </w:p>
    <w:p w14:paraId="16918169" w14:textId="77777777" w:rsidR="00DB2C46" w:rsidRPr="00CB683A" w:rsidRDefault="00DB2C46" w:rsidP="00DB2C46">
      <w:pPr>
        <w:rPr>
          <w:noProof/>
        </w:rPr>
      </w:pPr>
      <w:r w:rsidRPr="00CB683A">
        <w:rPr>
          <w:noProof/>
        </w:rPr>
        <w:t>Odkazy na zrušená nařízení se považují za odkazy na toto nařízení.</w:t>
      </w:r>
    </w:p>
    <w:p w14:paraId="671E52FD" w14:textId="77777777" w:rsidR="00DB2C46" w:rsidRPr="00CB683A" w:rsidRDefault="00DB2C46" w:rsidP="00DB2C46">
      <w:pPr>
        <w:pStyle w:val="Titrearticle"/>
        <w:rPr>
          <w:noProof/>
        </w:rPr>
      </w:pPr>
      <w:r w:rsidRPr="00CB683A">
        <w:rPr>
          <w:noProof/>
        </w:rPr>
        <w:t xml:space="preserve">Článek 22 </w:t>
      </w:r>
      <w:r w:rsidRPr="00CB683A">
        <w:rPr>
          <w:noProof/>
        </w:rPr>
        <w:br/>
        <w:t>Vstup v platnost a použitelnost</w:t>
      </w:r>
    </w:p>
    <w:p w14:paraId="11629672" w14:textId="77777777" w:rsidR="00DB2C46" w:rsidRPr="00CB683A" w:rsidRDefault="00DB2C46" w:rsidP="00DB2C46">
      <w:pPr>
        <w:rPr>
          <w:noProof/>
        </w:rPr>
      </w:pPr>
      <w:r w:rsidRPr="00CB683A">
        <w:rPr>
          <w:noProof/>
        </w:rPr>
        <w:t xml:space="preserve">Toto nařízení vstupuje v platnost dvacátým dnem po vyhlášení v </w:t>
      </w:r>
      <w:r w:rsidRPr="00CB683A">
        <w:rPr>
          <w:i/>
          <w:noProof/>
        </w:rPr>
        <w:t>Úředním věstníku Evropské unie</w:t>
      </w:r>
      <w:r w:rsidRPr="00CB683A">
        <w:rPr>
          <w:noProof/>
        </w:rPr>
        <w:t>.</w:t>
      </w:r>
    </w:p>
    <w:p w14:paraId="0E32416C" w14:textId="77777777" w:rsidR="00E8518A" w:rsidRPr="00CB683A" w:rsidRDefault="00DB2C46" w:rsidP="00DB2C46">
      <w:pPr>
        <w:rPr>
          <w:noProof/>
        </w:rPr>
      </w:pPr>
      <w:r w:rsidRPr="00CB683A">
        <w:rPr>
          <w:noProof/>
        </w:rPr>
        <w:t>Toto nařízení se použije ode dne 1. ledna 2026.</w:t>
      </w:r>
    </w:p>
    <w:p w14:paraId="390493F1" w14:textId="77777777" w:rsidR="007F065E" w:rsidRPr="00CB683A" w:rsidRDefault="007F065E" w:rsidP="00FE41E8">
      <w:pPr>
        <w:pStyle w:val="Applicationdirecte"/>
        <w:rPr>
          <w:noProof/>
        </w:rPr>
      </w:pPr>
      <w:r w:rsidRPr="00CB683A">
        <w:rPr>
          <w:noProof/>
        </w:rPr>
        <w:t>Toto nařízení je závazné v celém rozsahu a přímo použitelné ve všech členských státech.</w:t>
      </w:r>
    </w:p>
    <w:p w14:paraId="7FAC57DE" w14:textId="6F571185" w:rsidR="007F065E" w:rsidRPr="00CB683A" w:rsidRDefault="00F610FB" w:rsidP="009E5557">
      <w:pPr>
        <w:pStyle w:val="Fait"/>
        <w:rPr>
          <w:noProof/>
        </w:rPr>
      </w:pPr>
      <w:r w:rsidRPr="00F610FB">
        <w:t>V Bruselu dne</w:t>
      </w:r>
    </w:p>
    <w:p w14:paraId="11B3DF41" w14:textId="77777777" w:rsidR="007F065E" w:rsidRPr="00CB683A" w:rsidRDefault="007F065E" w:rsidP="009E5557">
      <w:pPr>
        <w:pStyle w:val="Institutionquisigne"/>
        <w:rPr>
          <w:noProof/>
        </w:rPr>
      </w:pPr>
      <w:r w:rsidRPr="00CB683A">
        <w:rPr>
          <w:noProof/>
        </w:rPr>
        <w:t>Za Evropský parlament</w:t>
      </w:r>
      <w:r w:rsidRPr="00CB683A">
        <w:rPr>
          <w:noProof/>
        </w:rPr>
        <w:tab/>
        <w:t>Za Radu</w:t>
      </w:r>
    </w:p>
    <w:p w14:paraId="3C8880FA" w14:textId="77777777" w:rsidR="007F065E" w:rsidRPr="00CB683A" w:rsidRDefault="007F065E" w:rsidP="007F065E">
      <w:pPr>
        <w:pStyle w:val="Personnequisigne"/>
        <w:rPr>
          <w:noProof/>
        </w:rPr>
      </w:pPr>
      <w:r w:rsidRPr="00CB683A">
        <w:rPr>
          <w:noProof/>
        </w:rPr>
        <w:t>předseda/předsedkyně</w:t>
      </w:r>
      <w:r w:rsidRPr="00CB683A">
        <w:rPr>
          <w:noProof/>
        </w:rPr>
        <w:tab/>
        <w:t>předseda/předsedkyně</w:t>
      </w:r>
    </w:p>
    <w:p w14:paraId="5BC8D1C8" w14:textId="77777777" w:rsidR="007F065E" w:rsidRPr="00CB683A" w:rsidRDefault="007F065E" w:rsidP="007F065E">
      <w:pPr>
        <w:rPr>
          <w:noProof/>
        </w:rPr>
        <w:sectPr w:rsidR="007F065E" w:rsidRPr="00CB683A" w:rsidSect="009925B6">
          <w:pgSz w:w="11907" w:h="16839"/>
          <w:pgMar w:top="1134" w:right="1417" w:bottom="1134" w:left="1417" w:header="709" w:footer="709" w:gutter="0"/>
          <w:cols w:space="708"/>
          <w:docGrid w:linePitch="360"/>
        </w:sectPr>
      </w:pPr>
    </w:p>
    <w:p w14:paraId="4224D320" w14:textId="77777777" w:rsidR="007F065E" w:rsidRPr="00CB683A" w:rsidRDefault="007F065E" w:rsidP="00FE41E8">
      <w:pPr>
        <w:pStyle w:val="Fichefinanciretitre"/>
        <w:keepNext/>
        <w:rPr>
          <w:noProof/>
        </w:rPr>
      </w:pPr>
      <w:r w:rsidRPr="00CB683A">
        <w:rPr>
          <w:noProof/>
        </w:rPr>
        <w:t>LEGISLATIVNÍ FINANČNÍ VÝKAZ</w:t>
      </w:r>
    </w:p>
    <w:p w14:paraId="19C45AEE" w14:textId="77777777" w:rsidR="007F065E" w:rsidRPr="00CB683A" w:rsidRDefault="007F065E" w:rsidP="00FE41E8">
      <w:pPr>
        <w:pStyle w:val="ManualHeading1"/>
        <w:rPr>
          <w:noProof/>
        </w:rPr>
      </w:pPr>
      <w:r w:rsidRPr="00CB683A">
        <w:rPr>
          <w:noProof/>
        </w:rPr>
        <w:t>1.</w:t>
      </w:r>
      <w:r w:rsidRPr="00CB683A">
        <w:rPr>
          <w:noProof/>
        </w:rPr>
        <w:tab/>
        <w:t>RÁMEC NÁVRHU/PODNĚTU</w:t>
      </w:r>
    </w:p>
    <w:p w14:paraId="1CE109F2" w14:textId="77777777" w:rsidR="007F065E" w:rsidRPr="00CB683A" w:rsidRDefault="007F065E" w:rsidP="00FE41E8">
      <w:pPr>
        <w:pStyle w:val="ManualHeading2"/>
        <w:rPr>
          <w:noProof/>
        </w:rPr>
      </w:pPr>
      <w:r w:rsidRPr="00CB683A">
        <w:rPr>
          <w:noProof/>
        </w:rPr>
        <w:tab/>
        <w:t>1.1.</w:t>
      </w:r>
      <w:r w:rsidRPr="00CB683A">
        <w:rPr>
          <w:noProof/>
        </w:rPr>
        <w:tab/>
        <w:t>Název návrhu/podnětu</w:t>
      </w:r>
    </w:p>
    <w:p w14:paraId="00474636" w14:textId="77777777" w:rsidR="007F065E" w:rsidRPr="00CB683A" w:rsidRDefault="007F065E" w:rsidP="00FE41E8">
      <w:pPr>
        <w:pStyle w:val="ManualHeading2"/>
        <w:rPr>
          <w:noProof/>
        </w:rPr>
      </w:pPr>
      <w:r w:rsidRPr="00CB683A">
        <w:rPr>
          <w:noProof/>
        </w:rPr>
        <w:tab/>
        <w:t>1.2.</w:t>
      </w:r>
      <w:r w:rsidRPr="00CB683A">
        <w:rPr>
          <w:noProof/>
        </w:rPr>
        <w:tab/>
        <w:t>Příslušné oblasti politik</w:t>
      </w:r>
    </w:p>
    <w:p w14:paraId="495D290F" w14:textId="77777777" w:rsidR="007F065E" w:rsidRPr="00CB683A" w:rsidRDefault="007F065E" w:rsidP="00FE41E8">
      <w:pPr>
        <w:pStyle w:val="ManualHeading2"/>
        <w:rPr>
          <w:noProof/>
        </w:rPr>
      </w:pPr>
      <w:r w:rsidRPr="00CB683A">
        <w:rPr>
          <w:noProof/>
        </w:rPr>
        <w:tab/>
        <w:t>1.3.</w:t>
      </w:r>
      <w:r w:rsidRPr="00CB683A">
        <w:rPr>
          <w:noProof/>
        </w:rPr>
        <w:tab/>
        <w:t>Povaha návrhu/podnětu</w:t>
      </w:r>
    </w:p>
    <w:p w14:paraId="15FCFB12" w14:textId="77777777" w:rsidR="007F065E" w:rsidRPr="00CB683A" w:rsidRDefault="007F065E" w:rsidP="00FE41E8">
      <w:pPr>
        <w:pStyle w:val="ManualHeading2"/>
        <w:rPr>
          <w:noProof/>
        </w:rPr>
      </w:pPr>
      <w:r w:rsidRPr="00CB683A">
        <w:rPr>
          <w:noProof/>
        </w:rPr>
        <w:tab/>
        <w:t>1.4.</w:t>
      </w:r>
      <w:r w:rsidRPr="00CB683A">
        <w:rPr>
          <w:noProof/>
        </w:rPr>
        <w:tab/>
        <w:t>Cíle</w:t>
      </w:r>
    </w:p>
    <w:p w14:paraId="2538A281" w14:textId="77777777" w:rsidR="007F065E" w:rsidRPr="00CB683A" w:rsidRDefault="007F065E" w:rsidP="00FE41E8">
      <w:pPr>
        <w:pStyle w:val="ManualHeading3"/>
        <w:rPr>
          <w:noProof/>
        </w:rPr>
      </w:pPr>
      <w:r w:rsidRPr="00CB683A">
        <w:rPr>
          <w:noProof/>
        </w:rPr>
        <w:tab/>
        <w:t>1.4.1.</w:t>
      </w:r>
      <w:r w:rsidRPr="00CB683A">
        <w:rPr>
          <w:noProof/>
        </w:rPr>
        <w:tab/>
        <w:t>Obecné cíle</w:t>
      </w:r>
    </w:p>
    <w:p w14:paraId="08BEF4DA" w14:textId="77777777" w:rsidR="007F065E" w:rsidRPr="00CB683A" w:rsidRDefault="007F065E" w:rsidP="00FE41E8">
      <w:pPr>
        <w:pStyle w:val="ManualHeading3"/>
        <w:rPr>
          <w:noProof/>
        </w:rPr>
      </w:pPr>
      <w:r w:rsidRPr="00CB683A">
        <w:rPr>
          <w:noProof/>
        </w:rPr>
        <w:tab/>
        <w:t>1.4.2.</w:t>
      </w:r>
      <w:r w:rsidRPr="00CB683A">
        <w:rPr>
          <w:noProof/>
        </w:rPr>
        <w:tab/>
        <w:t>Specifické cíle</w:t>
      </w:r>
    </w:p>
    <w:p w14:paraId="20C3F556" w14:textId="77777777" w:rsidR="007F065E" w:rsidRPr="00CB683A" w:rsidRDefault="007F065E" w:rsidP="00FE41E8">
      <w:pPr>
        <w:pStyle w:val="ManualHeading3"/>
        <w:rPr>
          <w:noProof/>
        </w:rPr>
      </w:pPr>
      <w:r w:rsidRPr="00CB683A">
        <w:rPr>
          <w:noProof/>
        </w:rPr>
        <w:tab/>
        <w:t>1.4.3.</w:t>
      </w:r>
      <w:r w:rsidRPr="00CB683A">
        <w:rPr>
          <w:noProof/>
        </w:rPr>
        <w:tab/>
        <w:t>Očekávané výsledky a dopady</w:t>
      </w:r>
    </w:p>
    <w:p w14:paraId="18A7A92E" w14:textId="77777777" w:rsidR="007F065E" w:rsidRPr="00CB683A" w:rsidRDefault="007F065E" w:rsidP="00FE41E8">
      <w:pPr>
        <w:pStyle w:val="ManualHeading3"/>
        <w:rPr>
          <w:noProof/>
        </w:rPr>
      </w:pPr>
      <w:r w:rsidRPr="00CB683A">
        <w:rPr>
          <w:noProof/>
        </w:rPr>
        <w:tab/>
        <w:t>1.4.4.</w:t>
      </w:r>
      <w:r w:rsidRPr="00CB683A">
        <w:rPr>
          <w:noProof/>
        </w:rPr>
        <w:tab/>
        <w:t>Ukazatele výkonnosti</w:t>
      </w:r>
    </w:p>
    <w:p w14:paraId="73120161" w14:textId="77777777" w:rsidR="007F065E" w:rsidRPr="00CB683A" w:rsidRDefault="007F065E" w:rsidP="00FE41E8">
      <w:pPr>
        <w:pStyle w:val="ManualHeading2"/>
        <w:rPr>
          <w:noProof/>
        </w:rPr>
      </w:pPr>
      <w:r w:rsidRPr="00CB683A">
        <w:rPr>
          <w:noProof/>
        </w:rPr>
        <w:tab/>
        <w:t>1.5.</w:t>
      </w:r>
      <w:r w:rsidRPr="00CB683A">
        <w:rPr>
          <w:noProof/>
        </w:rPr>
        <w:tab/>
        <w:t>Odůvodnění návrhu/podnětu</w:t>
      </w:r>
    </w:p>
    <w:p w14:paraId="14CBE4DF" w14:textId="77777777" w:rsidR="007F065E" w:rsidRPr="00CB683A" w:rsidRDefault="007F065E" w:rsidP="00FE41E8">
      <w:pPr>
        <w:pStyle w:val="ManualHeading3"/>
        <w:rPr>
          <w:noProof/>
        </w:rPr>
      </w:pPr>
      <w:r w:rsidRPr="00CB683A">
        <w:rPr>
          <w:noProof/>
        </w:rPr>
        <w:tab/>
        <w:t>1.5.1.</w:t>
      </w:r>
      <w:r w:rsidRPr="00CB683A">
        <w:rPr>
          <w:noProof/>
        </w:rPr>
        <w:tab/>
        <w:t>Potřeby, které mají být uspokojeny v krátkodobém nebo dlouhodobém horizontu, včetně podrobného harmonogramu pro zahajovací fázi provádění podnětu</w:t>
      </w:r>
    </w:p>
    <w:p w14:paraId="6D17F196" w14:textId="77777777" w:rsidR="007F065E" w:rsidRPr="00CB683A" w:rsidRDefault="007F065E" w:rsidP="00FE41E8">
      <w:pPr>
        <w:pStyle w:val="ManualHeading3"/>
        <w:rPr>
          <w:noProof/>
        </w:rPr>
      </w:pPr>
      <w:r w:rsidRPr="00CB683A">
        <w:rPr>
          <w:noProof/>
        </w:rPr>
        <w:tab/>
        <w:t>1.5.2.</w:t>
      </w:r>
      <w:r w:rsidRPr="00CB683A">
        <w:rPr>
          <w:noProof/>
        </w:rPr>
        <w:tab/>
        <w:t>Přidaná hodnota ze zapojení Unie (může být důsledkem různých faktorů, např. přínosů z koordinace, právní jistoty, vyšší účinnosti nebo doplňkovosti). Pro účely tohoto bodu se „přidanou hodnotou ze zapojení Unie“ rozumí hodnota plynoucí ze zásahu Unie, jež doplňuje hodnotu, která by jinak vznikla činností samotných členských států.</w:t>
      </w:r>
    </w:p>
    <w:p w14:paraId="4A9BF8A2" w14:textId="77777777" w:rsidR="007F065E" w:rsidRPr="00CB683A" w:rsidRDefault="007F065E" w:rsidP="00FE41E8">
      <w:pPr>
        <w:pStyle w:val="ManualHeading3"/>
        <w:rPr>
          <w:noProof/>
        </w:rPr>
      </w:pPr>
      <w:r w:rsidRPr="00CB683A">
        <w:rPr>
          <w:noProof/>
        </w:rPr>
        <w:tab/>
        <w:t>1.5.3.</w:t>
      </w:r>
      <w:r w:rsidRPr="00CB683A">
        <w:rPr>
          <w:noProof/>
        </w:rPr>
        <w:tab/>
        <w:t>Závěry vyvozené z podobných zkušeností v minulosti</w:t>
      </w:r>
    </w:p>
    <w:p w14:paraId="5C9E437B" w14:textId="77777777" w:rsidR="007F065E" w:rsidRPr="00CB683A" w:rsidRDefault="007F065E" w:rsidP="00FE41E8">
      <w:pPr>
        <w:pStyle w:val="ManualHeading3"/>
        <w:rPr>
          <w:noProof/>
        </w:rPr>
      </w:pPr>
      <w:r w:rsidRPr="00CB683A">
        <w:rPr>
          <w:noProof/>
        </w:rPr>
        <w:tab/>
        <w:t>1.5.4.</w:t>
      </w:r>
      <w:r w:rsidRPr="00CB683A">
        <w:rPr>
          <w:noProof/>
        </w:rPr>
        <w:tab/>
        <w:t>Slučitelnost s víceletým finančním rámcem a možné synergie s dalšími vhodnými nástroji</w:t>
      </w:r>
    </w:p>
    <w:p w14:paraId="3E8F9D5A" w14:textId="77777777" w:rsidR="007F065E" w:rsidRPr="00CB683A" w:rsidRDefault="007F065E" w:rsidP="00FE41E8">
      <w:pPr>
        <w:pStyle w:val="ManualHeading3"/>
        <w:rPr>
          <w:noProof/>
        </w:rPr>
      </w:pPr>
      <w:r w:rsidRPr="00CB683A">
        <w:rPr>
          <w:noProof/>
        </w:rPr>
        <w:tab/>
        <w:t>1.5.5.</w:t>
      </w:r>
      <w:r w:rsidRPr="00CB683A">
        <w:rPr>
          <w:noProof/>
        </w:rPr>
        <w:tab/>
        <w:t>Posouzení různých dostupných možností financování, včetně prostoru pro přerozdělení prostředků</w:t>
      </w:r>
    </w:p>
    <w:p w14:paraId="26944D1B" w14:textId="77777777" w:rsidR="007F065E" w:rsidRPr="00CB683A" w:rsidRDefault="007F065E" w:rsidP="00FE41E8">
      <w:pPr>
        <w:pStyle w:val="ManualHeading2"/>
        <w:rPr>
          <w:noProof/>
        </w:rPr>
      </w:pPr>
      <w:r w:rsidRPr="00CB683A">
        <w:rPr>
          <w:noProof/>
        </w:rPr>
        <w:tab/>
        <w:t>1.6.</w:t>
      </w:r>
      <w:r w:rsidRPr="00CB683A">
        <w:rPr>
          <w:noProof/>
        </w:rPr>
        <w:tab/>
        <w:t>Doba trvání a finanční dopad návrhu/podnětu</w:t>
      </w:r>
    </w:p>
    <w:p w14:paraId="225EBC42" w14:textId="77777777" w:rsidR="007F065E" w:rsidRPr="00CB683A" w:rsidRDefault="007F065E" w:rsidP="00FE41E8">
      <w:pPr>
        <w:pStyle w:val="ManualHeading2"/>
        <w:rPr>
          <w:noProof/>
        </w:rPr>
      </w:pPr>
      <w:r w:rsidRPr="00CB683A">
        <w:rPr>
          <w:noProof/>
        </w:rPr>
        <w:tab/>
        <w:t>1.7.</w:t>
      </w:r>
      <w:r w:rsidRPr="00CB683A">
        <w:rPr>
          <w:noProof/>
        </w:rPr>
        <w:tab/>
        <w:t>Předpokládaný způsob řízení</w:t>
      </w:r>
    </w:p>
    <w:p w14:paraId="2768F357" w14:textId="77777777" w:rsidR="007F065E" w:rsidRPr="00CB683A" w:rsidRDefault="007F065E" w:rsidP="00FE41E8">
      <w:pPr>
        <w:pStyle w:val="ManualHeading1"/>
        <w:rPr>
          <w:noProof/>
        </w:rPr>
      </w:pPr>
      <w:r w:rsidRPr="00CB683A">
        <w:rPr>
          <w:noProof/>
        </w:rPr>
        <w:tab/>
        <w:t>2.</w:t>
      </w:r>
      <w:r w:rsidRPr="00CB683A">
        <w:rPr>
          <w:noProof/>
        </w:rPr>
        <w:tab/>
        <w:t>SPRÁVNÍ OPATŘENÍ</w:t>
      </w:r>
    </w:p>
    <w:p w14:paraId="004C0F66" w14:textId="77777777" w:rsidR="007F065E" w:rsidRPr="00CB683A" w:rsidRDefault="007F065E" w:rsidP="00FE41E8">
      <w:pPr>
        <w:pStyle w:val="ManualHeading2"/>
        <w:rPr>
          <w:noProof/>
        </w:rPr>
      </w:pPr>
      <w:r w:rsidRPr="00CB683A">
        <w:rPr>
          <w:noProof/>
        </w:rPr>
        <w:tab/>
        <w:t>2.1.</w:t>
      </w:r>
      <w:r w:rsidRPr="00CB683A">
        <w:rPr>
          <w:noProof/>
        </w:rPr>
        <w:tab/>
        <w:t>Pravidla pro sledování a podávání zpráv</w:t>
      </w:r>
    </w:p>
    <w:p w14:paraId="00F777C7" w14:textId="77777777" w:rsidR="007F065E" w:rsidRPr="00CB683A" w:rsidRDefault="007F065E" w:rsidP="00FE41E8">
      <w:pPr>
        <w:pStyle w:val="ManualHeading2"/>
        <w:rPr>
          <w:noProof/>
        </w:rPr>
      </w:pPr>
      <w:r w:rsidRPr="00CB683A">
        <w:rPr>
          <w:noProof/>
        </w:rPr>
        <w:tab/>
        <w:t>2.2.</w:t>
      </w:r>
      <w:r w:rsidRPr="00CB683A">
        <w:rPr>
          <w:noProof/>
        </w:rPr>
        <w:tab/>
        <w:t>Systémy řízení a kontroly</w:t>
      </w:r>
    </w:p>
    <w:p w14:paraId="30BAB7DB" w14:textId="77777777" w:rsidR="007F065E" w:rsidRPr="00CB683A" w:rsidRDefault="007F065E" w:rsidP="00FE41E8">
      <w:pPr>
        <w:pStyle w:val="ManualHeading3"/>
        <w:rPr>
          <w:noProof/>
        </w:rPr>
      </w:pPr>
      <w:r w:rsidRPr="00CB683A">
        <w:rPr>
          <w:noProof/>
        </w:rPr>
        <w:tab/>
        <w:t>2.2.1.</w:t>
      </w:r>
      <w:r w:rsidRPr="00CB683A">
        <w:rPr>
          <w:noProof/>
        </w:rPr>
        <w:tab/>
        <w:t>Odůvodnění navrhovaných způsobů řízení, mechanismů provádění financování, způsobů plateb a kontrolní strategie</w:t>
      </w:r>
    </w:p>
    <w:p w14:paraId="062C1501" w14:textId="77777777" w:rsidR="007F065E" w:rsidRPr="00CB683A" w:rsidRDefault="007F065E" w:rsidP="00FE41E8">
      <w:pPr>
        <w:pStyle w:val="ManualHeading3"/>
        <w:rPr>
          <w:noProof/>
        </w:rPr>
      </w:pPr>
      <w:r w:rsidRPr="00CB683A">
        <w:rPr>
          <w:noProof/>
        </w:rPr>
        <w:tab/>
        <w:t>2.2.2.</w:t>
      </w:r>
      <w:r w:rsidRPr="00CB683A">
        <w:rPr>
          <w:noProof/>
        </w:rPr>
        <w:tab/>
        <w:t>Informace o zjištěných rizicích a systémech vnitřní kontroly zřízených k jejich zmírnění</w:t>
      </w:r>
    </w:p>
    <w:p w14:paraId="642E8840" w14:textId="77777777" w:rsidR="007F065E" w:rsidRPr="00CB683A" w:rsidRDefault="007F065E" w:rsidP="00FE41E8">
      <w:pPr>
        <w:pStyle w:val="ManualHeading3"/>
        <w:rPr>
          <w:noProof/>
        </w:rPr>
      </w:pPr>
      <w:r w:rsidRPr="00CB683A">
        <w:rPr>
          <w:noProof/>
        </w:rPr>
        <w:tab/>
        <w:t>2.2.3.</w:t>
      </w:r>
      <w:r w:rsidRPr="00CB683A">
        <w:rPr>
          <w:noProof/>
        </w:rPr>
        <w:tab/>
        <w:t>Odhad a odůvodnění nákladové efektivnosti kontrol (poměr „náklady na kontroly ÷ hodnota souvisejících spravovaných finančních prostředků“) a posouzení očekávané míry rizika výskytu chyb (při platbě a při uzávěrce)</w:t>
      </w:r>
    </w:p>
    <w:p w14:paraId="682DE4A0" w14:textId="77777777" w:rsidR="007F065E" w:rsidRPr="00CB683A" w:rsidRDefault="007F065E" w:rsidP="00FE41E8">
      <w:pPr>
        <w:pStyle w:val="ManualHeading2"/>
        <w:rPr>
          <w:noProof/>
        </w:rPr>
      </w:pPr>
      <w:r w:rsidRPr="00CB683A">
        <w:rPr>
          <w:noProof/>
        </w:rPr>
        <w:tab/>
        <w:t>2.3.</w:t>
      </w:r>
      <w:r w:rsidRPr="00CB683A">
        <w:rPr>
          <w:noProof/>
        </w:rPr>
        <w:tab/>
        <w:t>Opatření k zamezení podvodů a nesrovnalostí</w:t>
      </w:r>
    </w:p>
    <w:p w14:paraId="43A8C51C" w14:textId="77777777" w:rsidR="007F065E" w:rsidRPr="00CB683A" w:rsidRDefault="007F065E" w:rsidP="00FE41E8">
      <w:pPr>
        <w:pStyle w:val="ManualHeading1"/>
        <w:rPr>
          <w:noProof/>
        </w:rPr>
      </w:pPr>
      <w:r w:rsidRPr="00CB683A">
        <w:rPr>
          <w:noProof/>
        </w:rPr>
        <w:t>3.</w:t>
      </w:r>
      <w:r w:rsidRPr="00CB683A">
        <w:rPr>
          <w:noProof/>
        </w:rPr>
        <w:tab/>
        <w:t>ODHADOVANÝ FINANČNÍ DOPAD NÁVRHU/PODNĚTU</w:t>
      </w:r>
      <w:r w:rsidRPr="00CB683A">
        <w:rPr>
          <w:noProof/>
        </w:rPr>
        <w:tab/>
      </w:r>
    </w:p>
    <w:p w14:paraId="3C9EAE18" w14:textId="77777777" w:rsidR="007F065E" w:rsidRPr="00CB683A" w:rsidRDefault="007F065E" w:rsidP="00FE41E8">
      <w:pPr>
        <w:pStyle w:val="ManualHeading2"/>
        <w:rPr>
          <w:noProof/>
        </w:rPr>
      </w:pPr>
      <w:r w:rsidRPr="00CB683A">
        <w:rPr>
          <w:noProof/>
        </w:rPr>
        <w:tab/>
        <w:t>3.1.</w:t>
      </w:r>
      <w:r w:rsidRPr="00CB683A">
        <w:rPr>
          <w:noProof/>
        </w:rPr>
        <w:tab/>
        <w:t>Okruhy víceletého finančního rámce a dotčené výdajové rozpočtové položky</w:t>
      </w:r>
    </w:p>
    <w:p w14:paraId="2E89B047" w14:textId="77777777" w:rsidR="007F065E" w:rsidRPr="00CB683A" w:rsidRDefault="007F065E" w:rsidP="00FE41E8">
      <w:pPr>
        <w:pStyle w:val="ManualHeading2"/>
        <w:rPr>
          <w:noProof/>
        </w:rPr>
      </w:pPr>
      <w:r w:rsidRPr="00CB683A">
        <w:rPr>
          <w:noProof/>
        </w:rPr>
        <w:tab/>
        <w:t>3.2.</w:t>
      </w:r>
      <w:r w:rsidRPr="00CB683A">
        <w:rPr>
          <w:noProof/>
        </w:rPr>
        <w:tab/>
        <w:t>Odhadovaný finanční dopad návrhu na prostředky</w:t>
      </w:r>
    </w:p>
    <w:p w14:paraId="733C5A4C" w14:textId="77777777" w:rsidR="007F065E" w:rsidRPr="00CB683A" w:rsidRDefault="007F065E" w:rsidP="00FE41E8">
      <w:pPr>
        <w:pStyle w:val="ManualHeading3"/>
        <w:rPr>
          <w:noProof/>
        </w:rPr>
      </w:pPr>
      <w:r w:rsidRPr="00CB683A">
        <w:rPr>
          <w:noProof/>
        </w:rPr>
        <w:tab/>
        <w:t>3.2.1.</w:t>
      </w:r>
      <w:r w:rsidRPr="00CB683A">
        <w:rPr>
          <w:noProof/>
        </w:rPr>
        <w:tab/>
        <w:t>Odhadovaný souhrnný dopad na operační prostředky</w:t>
      </w:r>
    </w:p>
    <w:p w14:paraId="6D6112E3" w14:textId="77777777" w:rsidR="007F065E" w:rsidRPr="00CB683A" w:rsidRDefault="007F065E" w:rsidP="00FE41E8">
      <w:pPr>
        <w:pStyle w:val="ManualHeading3"/>
        <w:rPr>
          <w:noProof/>
        </w:rPr>
      </w:pPr>
      <w:r w:rsidRPr="00CB683A">
        <w:rPr>
          <w:noProof/>
        </w:rPr>
        <w:tab/>
        <w:t>3.2.2.</w:t>
      </w:r>
      <w:r w:rsidRPr="00CB683A">
        <w:rPr>
          <w:noProof/>
        </w:rPr>
        <w:tab/>
        <w:t>Odhadovaný výstup financovaný z operačních prostředků</w:t>
      </w:r>
    </w:p>
    <w:p w14:paraId="401E8347" w14:textId="77777777" w:rsidR="007F065E" w:rsidRPr="00CB683A" w:rsidRDefault="007F065E" w:rsidP="00FE41E8">
      <w:pPr>
        <w:pStyle w:val="ManualHeading3"/>
        <w:rPr>
          <w:noProof/>
        </w:rPr>
      </w:pPr>
      <w:r w:rsidRPr="00CB683A">
        <w:rPr>
          <w:noProof/>
        </w:rPr>
        <w:tab/>
        <w:t>3.2.3.</w:t>
      </w:r>
      <w:r w:rsidRPr="00CB683A">
        <w:rPr>
          <w:noProof/>
        </w:rPr>
        <w:tab/>
        <w:t>Odhadovaný souhrnný dopad na správní prostředky</w:t>
      </w:r>
    </w:p>
    <w:p w14:paraId="6D9F1B86" w14:textId="77777777" w:rsidR="007F065E" w:rsidRPr="00CB683A" w:rsidRDefault="007F065E" w:rsidP="00FE41E8">
      <w:pPr>
        <w:pStyle w:val="ManualHeading3"/>
        <w:rPr>
          <w:noProof/>
        </w:rPr>
      </w:pPr>
      <w:r w:rsidRPr="00CB683A">
        <w:rPr>
          <w:noProof/>
        </w:rPr>
        <w:tab/>
        <w:t>3.2.4.</w:t>
      </w:r>
      <w:r w:rsidRPr="00CB683A">
        <w:rPr>
          <w:noProof/>
        </w:rPr>
        <w:tab/>
        <w:t>Slučitelnost se stávajícím víceletým finančním rámcem</w:t>
      </w:r>
    </w:p>
    <w:p w14:paraId="0BEFD0A1" w14:textId="77777777" w:rsidR="007F065E" w:rsidRPr="00CB683A" w:rsidRDefault="007F065E" w:rsidP="00FE41E8">
      <w:pPr>
        <w:pStyle w:val="ManualHeading3"/>
        <w:rPr>
          <w:noProof/>
        </w:rPr>
      </w:pPr>
      <w:r w:rsidRPr="00CB683A">
        <w:rPr>
          <w:noProof/>
        </w:rPr>
        <w:tab/>
        <w:t>3.2.5.</w:t>
      </w:r>
      <w:r w:rsidRPr="00CB683A">
        <w:rPr>
          <w:noProof/>
        </w:rPr>
        <w:tab/>
        <w:t>Příspěvky třetích stran</w:t>
      </w:r>
    </w:p>
    <w:p w14:paraId="0A23682A" w14:textId="77777777" w:rsidR="007F065E" w:rsidRPr="00CB683A" w:rsidRDefault="007F065E" w:rsidP="00FE41E8">
      <w:pPr>
        <w:pStyle w:val="ManualHeading2"/>
        <w:rPr>
          <w:noProof/>
        </w:rPr>
      </w:pPr>
      <w:r w:rsidRPr="00CB683A">
        <w:rPr>
          <w:noProof/>
        </w:rPr>
        <w:tab/>
        <w:t>3.3.</w:t>
      </w:r>
      <w:r w:rsidRPr="00CB683A">
        <w:rPr>
          <w:noProof/>
        </w:rPr>
        <w:tab/>
        <w:t>Odhadovaný dopad na příjmy</w:t>
      </w:r>
    </w:p>
    <w:p w14:paraId="0B5FC52A" w14:textId="77777777" w:rsidR="007F065E" w:rsidRPr="00CB683A" w:rsidRDefault="007F065E" w:rsidP="00FE41E8">
      <w:pPr>
        <w:rPr>
          <w:noProof/>
        </w:rPr>
        <w:sectPr w:rsidR="007F065E" w:rsidRPr="00CB683A" w:rsidSect="009925B6">
          <w:pgSz w:w="11907" w:h="16840" w:code="9"/>
          <w:pgMar w:top="1134" w:right="1418" w:bottom="1134" w:left="1418" w:header="709" w:footer="709" w:gutter="0"/>
          <w:cols w:space="708"/>
          <w:docGrid w:linePitch="360"/>
        </w:sectPr>
      </w:pPr>
    </w:p>
    <w:p w14:paraId="741B8EAF" w14:textId="77777777" w:rsidR="007F065E" w:rsidRPr="00CB683A" w:rsidRDefault="007F065E" w:rsidP="00FE41E8">
      <w:pPr>
        <w:jc w:val="center"/>
        <w:rPr>
          <w:noProof/>
        </w:rPr>
      </w:pPr>
      <w:r w:rsidRPr="00CB683A">
        <w:rPr>
          <w:b/>
          <w:noProof/>
          <w:u w:val="single"/>
        </w:rPr>
        <w:t>LEGISLATIVNÍ FINANČNÍ VÝKAZ</w:t>
      </w:r>
    </w:p>
    <w:p w14:paraId="603DB2C7" w14:textId="271739BE" w:rsidR="007F065E" w:rsidRPr="00CB683A" w:rsidRDefault="00891439" w:rsidP="00891439">
      <w:pPr>
        <w:pStyle w:val="ManualHeading1"/>
        <w:rPr>
          <w:noProof/>
        </w:rPr>
      </w:pPr>
      <w:bookmarkStart w:id="1" w:name="_Toc514938007"/>
      <w:bookmarkStart w:id="2" w:name="_Toc520485025"/>
      <w:r w:rsidRPr="00891439">
        <w:t>1.</w:t>
      </w:r>
      <w:r w:rsidRPr="00891439">
        <w:tab/>
      </w:r>
      <w:r w:rsidR="007F065E" w:rsidRPr="00CB683A">
        <w:rPr>
          <w:noProof/>
        </w:rPr>
        <w:t>RÁMEC NÁVRHU/PODNĚTU</w:t>
      </w:r>
      <w:bookmarkEnd w:id="1"/>
      <w:bookmarkEnd w:id="2"/>
      <w:r w:rsidR="007F065E" w:rsidRPr="00CB683A">
        <w:rPr>
          <w:noProof/>
        </w:rPr>
        <w:t xml:space="preserve"> </w:t>
      </w:r>
    </w:p>
    <w:p w14:paraId="3A006904" w14:textId="3DBA1728" w:rsidR="007F065E" w:rsidRPr="00CB683A" w:rsidRDefault="00891439" w:rsidP="00891439">
      <w:pPr>
        <w:pStyle w:val="ManualHeading2"/>
        <w:rPr>
          <w:noProof/>
        </w:rPr>
      </w:pPr>
      <w:bookmarkStart w:id="3" w:name="_Toc514938008"/>
      <w:bookmarkStart w:id="4" w:name="_Toc520485026"/>
      <w:r w:rsidRPr="00891439">
        <w:t>1.1.</w:t>
      </w:r>
      <w:r w:rsidRPr="00891439">
        <w:tab/>
      </w:r>
      <w:r w:rsidR="007F065E" w:rsidRPr="00CB683A">
        <w:rPr>
          <w:noProof/>
        </w:rPr>
        <w:t>Název návrhu/podnětu</w:t>
      </w:r>
      <w:bookmarkEnd w:id="3"/>
      <w:bookmarkEnd w:id="4"/>
    </w:p>
    <w:p w14:paraId="3CC9876F" w14:textId="1067A488" w:rsidR="007F065E" w:rsidRPr="00CB683A" w:rsidRDefault="00727061" w:rsidP="00FE41E8">
      <w:pPr>
        <w:pStyle w:val="Text1"/>
        <w:pBdr>
          <w:top w:val="single" w:sz="4" w:space="1" w:color="auto"/>
          <w:left w:val="single" w:sz="4" w:space="4" w:color="auto"/>
          <w:bottom w:val="single" w:sz="4" w:space="1" w:color="auto"/>
          <w:right w:val="single" w:sz="4" w:space="4" w:color="auto"/>
        </w:pBdr>
        <w:rPr>
          <w:noProof/>
        </w:rPr>
      </w:pPr>
      <w:r w:rsidRPr="00CB683A">
        <w:rPr>
          <w:noProof/>
        </w:rPr>
        <w:t>Nařízení Evropského parlamentu a Rady o evropské statistice o obyvatelstvu</w:t>
      </w:r>
      <w:r w:rsidR="002D1C16">
        <w:rPr>
          <w:noProof/>
        </w:rPr>
        <w:t>, domech a bytech</w:t>
      </w:r>
      <w:r w:rsidRPr="00CB683A">
        <w:rPr>
          <w:noProof/>
        </w:rPr>
        <w:t>, kterým se mění nařízení (ES) č. 862/2007 a zrušují nařízení (ES) č. 763/2008 a (EU) č. 1260/2013</w:t>
      </w:r>
    </w:p>
    <w:p w14:paraId="1A5D8405" w14:textId="0AB430A0" w:rsidR="007F065E" w:rsidRPr="00CB683A" w:rsidRDefault="00891439" w:rsidP="00891439">
      <w:pPr>
        <w:pStyle w:val="ManualHeading2"/>
        <w:rPr>
          <w:i/>
          <w:noProof/>
        </w:rPr>
      </w:pPr>
      <w:bookmarkStart w:id="5" w:name="_Toc514938011"/>
      <w:bookmarkStart w:id="6" w:name="_Toc520485027"/>
      <w:r w:rsidRPr="00891439">
        <w:t>1.2.</w:t>
      </w:r>
      <w:r w:rsidRPr="00891439">
        <w:tab/>
      </w:r>
      <w:r w:rsidR="007F065E" w:rsidRPr="00CB683A">
        <w:rPr>
          <w:noProof/>
        </w:rPr>
        <w:t>Příslušné oblasti politik</w:t>
      </w:r>
      <w:bookmarkEnd w:id="5"/>
      <w:bookmarkEnd w:id="6"/>
      <w:r w:rsidR="007F065E" w:rsidRPr="00CB683A">
        <w:rPr>
          <w:i/>
          <w:noProof/>
        </w:rPr>
        <w:t xml:space="preserve"> </w:t>
      </w:r>
    </w:p>
    <w:p w14:paraId="109E6D5D" w14:textId="77777777" w:rsidR="007F065E" w:rsidRPr="00CB683A" w:rsidRDefault="00727061" w:rsidP="00FE41E8">
      <w:pPr>
        <w:pStyle w:val="Text1"/>
        <w:pBdr>
          <w:top w:val="single" w:sz="4" w:space="1" w:color="auto"/>
          <w:left w:val="single" w:sz="4" w:space="4" w:color="auto"/>
          <w:bottom w:val="single" w:sz="4" w:space="1" w:color="auto"/>
          <w:right w:val="single" w:sz="4" w:space="4" w:color="auto"/>
        </w:pBdr>
        <w:rPr>
          <w:noProof/>
        </w:rPr>
      </w:pPr>
      <w:r w:rsidRPr="00CB683A">
        <w:rPr>
          <w:noProof/>
        </w:rPr>
        <w:t>3403 – Tvorba statistických údajů</w:t>
      </w:r>
    </w:p>
    <w:p w14:paraId="28D64F72" w14:textId="179D5AE1" w:rsidR="007F065E" w:rsidRPr="00CB683A" w:rsidRDefault="00891439" w:rsidP="00891439">
      <w:pPr>
        <w:pStyle w:val="ManualHeading2"/>
        <w:rPr>
          <w:bCs/>
          <w:noProof/>
          <w:szCs w:val="24"/>
        </w:rPr>
      </w:pPr>
      <w:bookmarkStart w:id="7" w:name="_Toc514938014"/>
      <w:bookmarkStart w:id="8" w:name="_Toc520485028"/>
      <w:r w:rsidRPr="00891439">
        <w:t>1.3.</w:t>
      </w:r>
      <w:r w:rsidRPr="00891439">
        <w:tab/>
      </w:r>
      <w:r w:rsidR="007F065E" w:rsidRPr="00CB683A">
        <w:rPr>
          <w:noProof/>
        </w:rPr>
        <w:t>Návrh/podnět se týká:</w:t>
      </w:r>
      <w:bookmarkEnd w:id="7"/>
      <w:bookmarkEnd w:id="8"/>
      <w:r w:rsidR="007F065E" w:rsidRPr="00CB683A">
        <w:rPr>
          <w:noProof/>
        </w:rPr>
        <w:t xml:space="preserve"> </w:t>
      </w:r>
    </w:p>
    <w:p w14:paraId="40B286E8" w14:textId="77777777" w:rsidR="007F065E" w:rsidRPr="00CB683A" w:rsidRDefault="007F065E" w:rsidP="00FE41E8">
      <w:pPr>
        <w:pStyle w:val="Text1"/>
        <w:rPr>
          <w:b/>
          <w:noProof/>
          <w:sz w:val="22"/>
        </w:rPr>
      </w:pPr>
      <w:r w:rsidRPr="00CB683A">
        <w:rPr>
          <w:noProof/>
          <w:sz w:val="22"/>
        </w:rPr>
        <w:sym w:font="Wingdings" w:char="F0A8"/>
      </w:r>
      <w:r w:rsidRPr="00CB683A">
        <w:rPr>
          <w:b/>
          <w:i/>
          <w:noProof/>
          <w:sz w:val="22"/>
        </w:rPr>
        <w:t xml:space="preserve"> </w:t>
      </w:r>
      <w:r w:rsidRPr="00CB683A">
        <w:rPr>
          <w:b/>
          <w:noProof/>
        </w:rPr>
        <w:t>nové akce</w:t>
      </w:r>
      <w:r w:rsidRPr="00CB683A">
        <w:rPr>
          <w:b/>
          <w:noProof/>
          <w:sz w:val="22"/>
        </w:rPr>
        <w:t xml:space="preserve"> </w:t>
      </w:r>
    </w:p>
    <w:p w14:paraId="1BEE387E" w14:textId="77777777" w:rsidR="007F065E" w:rsidRPr="00CB683A" w:rsidRDefault="007F065E" w:rsidP="00FE41E8">
      <w:pPr>
        <w:pStyle w:val="Text1"/>
        <w:rPr>
          <w:noProof/>
          <w:sz w:val="22"/>
        </w:rPr>
      </w:pPr>
      <w:r w:rsidRPr="00CB683A">
        <w:rPr>
          <w:noProof/>
          <w:sz w:val="22"/>
        </w:rPr>
        <w:sym w:font="Wingdings" w:char="F0A8"/>
      </w:r>
      <w:r w:rsidRPr="00CB683A">
        <w:rPr>
          <w:i/>
          <w:noProof/>
          <w:sz w:val="22"/>
        </w:rPr>
        <w:t xml:space="preserve"> </w:t>
      </w:r>
      <w:r w:rsidRPr="00CB683A">
        <w:rPr>
          <w:b/>
          <w:noProof/>
        </w:rPr>
        <w:t>nové akce následující po pilotním projektu / přípravné akci</w:t>
      </w:r>
      <w:r w:rsidRPr="00CB683A">
        <w:rPr>
          <w:rStyle w:val="FootnoteReference"/>
          <w:b/>
          <w:noProof/>
        </w:rPr>
        <w:footnoteReference w:id="46"/>
      </w:r>
      <w:r w:rsidRPr="00CB683A">
        <w:rPr>
          <w:noProof/>
          <w:sz w:val="22"/>
        </w:rPr>
        <w:t xml:space="preserve"> </w:t>
      </w:r>
    </w:p>
    <w:p w14:paraId="1CF9F4D2" w14:textId="77777777" w:rsidR="007F065E" w:rsidRPr="00CB683A" w:rsidRDefault="007F065E" w:rsidP="00FE41E8">
      <w:pPr>
        <w:pStyle w:val="Text1"/>
        <w:rPr>
          <w:noProof/>
          <w:sz w:val="22"/>
        </w:rPr>
      </w:pPr>
      <w:r w:rsidRPr="00CB683A">
        <w:rPr>
          <w:noProof/>
          <w:sz w:val="22"/>
        </w:rPr>
        <w:sym w:font="Wingdings" w:char="F0A8"/>
      </w:r>
      <w:r w:rsidRPr="00CB683A">
        <w:rPr>
          <w:i/>
          <w:noProof/>
          <w:sz w:val="22"/>
        </w:rPr>
        <w:t xml:space="preserve"> </w:t>
      </w:r>
      <w:r w:rsidRPr="00CB683A">
        <w:rPr>
          <w:b/>
          <w:noProof/>
        </w:rPr>
        <w:t>prodloužení stávající akce</w:t>
      </w:r>
      <w:r w:rsidRPr="00CB683A">
        <w:rPr>
          <w:noProof/>
          <w:sz w:val="22"/>
        </w:rPr>
        <w:t xml:space="preserve"> </w:t>
      </w:r>
    </w:p>
    <w:p w14:paraId="3C31D4DC" w14:textId="77777777" w:rsidR="007F065E" w:rsidRPr="00CB683A" w:rsidRDefault="00727061" w:rsidP="00FE41E8">
      <w:pPr>
        <w:pStyle w:val="Text1"/>
        <w:rPr>
          <w:noProof/>
        </w:rPr>
      </w:pPr>
      <w:r w:rsidRPr="00CB683A">
        <w:rPr>
          <w:noProof/>
          <w:sz w:val="22"/>
        </w:rPr>
        <w:sym w:font="Wingdings" w:char="F0FD"/>
      </w:r>
      <w:r w:rsidRPr="00CB683A">
        <w:rPr>
          <w:i/>
          <w:noProof/>
          <w:sz w:val="22"/>
        </w:rPr>
        <w:t xml:space="preserve"> </w:t>
      </w:r>
      <w:r w:rsidRPr="00CB683A">
        <w:rPr>
          <w:b/>
          <w:noProof/>
        </w:rPr>
        <w:t>sloučení jedné či více akcí v jinou/novou akci nebo přesměrování jedné či více akcí na jinou/novou akci</w:t>
      </w:r>
      <w:r w:rsidRPr="00CB683A">
        <w:rPr>
          <w:noProof/>
        </w:rPr>
        <w:t xml:space="preserve"> </w:t>
      </w:r>
    </w:p>
    <w:p w14:paraId="5EBFDB14" w14:textId="55E39A25" w:rsidR="007F065E" w:rsidRPr="00CB683A" w:rsidRDefault="00891439" w:rsidP="00891439">
      <w:pPr>
        <w:pStyle w:val="ManualHeading2"/>
        <w:rPr>
          <w:bCs/>
          <w:noProof/>
          <w:szCs w:val="24"/>
        </w:rPr>
      </w:pPr>
      <w:bookmarkStart w:id="9" w:name="_Toc514938015"/>
      <w:bookmarkStart w:id="10" w:name="_Toc520485029"/>
      <w:r w:rsidRPr="00891439">
        <w:t>1.4.</w:t>
      </w:r>
      <w:r w:rsidRPr="00891439">
        <w:tab/>
      </w:r>
      <w:r w:rsidR="007F065E" w:rsidRPr="00CB683A">
        <w:rPr>
          <w:noProof/>
        </w:rPr>
        <w:t>Cíle</w:t>
      </w:r>
      <w:bookmarkEnd w:id="9"/>
      <w:bookmarkEnd w:id="10"/>
    </w:p>
    <w:p w14:paraId="01448255" w14:textId="6FA63246" w:rsidR="007F065E" w:rsidRPr="00CB683A" w:rsidRDefault="00891439" w:rsidP="00891439">
      <w:pPr>
        <w:pStyle w:val="ManualHeading3"/>
        <w:rPr>
          <w:noProof/>
        </w:rPr>
      </w:pPr>
      <w:bookmarkStart w:id="11" w:name="_Toc514938016"/>
      <w:bookmarkStart w:id="12" w:name="_Toc520485030"/>
      <w:r w:rsidRPr="00891439">
        <w:t>1.4.1.</w:t>
      </w:r>
      <w:r w:rsidRPr="00891439">
        <w:tab/>
      </w:r>
      <w:r w:rsidR="007F065E" w:rsidRPr="00CB683A">
        <w:rPr>
          <w:noProof/>
        </w:rPr>
        <w:t>Obecné cíle</w:t>
      </w:r>
      <w:bookmarkEnd w:id="11"/>
      <w:bookmarkEnd w:id="12"/>
    </w:p>
    <w:p w14:paraId="3C48B838" w14:textId="77777777" w:rsidR="007F065E" w:rsidRPr="00CB683A" w:rsidRDefault="00727061" w:rsidP="00727061">
      <w:pPr>
        <w:pStyle w:val="Text1"/>
        <w:pBdr>
          <w:top w:val="single" w:sz="4" w:space="1" w:color="auto"/>
          <w:left w:val="single" w:sz="4" w:space="4" w:color="auto"/>
          <w:bottom w:val="single" w:sz="4" w:space="1" w:color="auto"/>
          <w:right w:val="single" w:sz="4" w:space="4" w:color="auto"/>
        </w:pBdr>
        <w:rPr>
          <w:noProof/>
        </w:rPr>
      </w:pPr>
      <w:r w:rsidRPr="00CB683A">
        <w:rPr>
          <w:noProof/>
        </w:rPr>
        <w:t>Obecným cílem tohoto návrhu je lépe reagovat na potřeby uživatelů a modernizovat a zlepšit relevanci, harmonizaci a soudržnost evropských statistik o obyvatelstvu.</w:t>
      </w:r>
    </w:p>
    <w:p w14:paraId="4CCFFECE" w14:textId="7EBE8FF9" w:rsidR="007F065E" w:rsidRPr="00CB683A" w:rsidRDefault="00891439" w:rsidP="00891439">
      <w:pPr>
        <w:pStyle w:val="ManualHeading3"/>
        <w:rPr>
          <w:bCs/>
          <w:noProof/>
          <w:szCs w:val="24"/>
        </w:rPr>
      </w:pPr>
      <w:bookmarkStart w:id="13" w:name="_Toc514938018"/>
      <w:bookmarkStart w:id="14" w:name="_Toc520485031"/>
      <w:r w:rsidRPr="00891439">
        <w:t>1.4.2.</w:t>
      </w:r>
      <w:r w:rsidRPr="00891439">
        <w:tab/>
      </w:r>
      <w:r w:rsidR="007F065E" w:rsidRPr="00CB683A">
        <w:rPr>
          <w:noProof/>
        </w:rPr>
        <w:t>Specifické cíle</w:t>
      </w:r>
      <w:bookmarkEnd w:id="13"/>
      <w:bookmarkEnd w:id="14"/>
    </w:p>
    <w:p w14:paraId="626F0E8F" w14:textId="77777777" w:rsidR="00CE3B6A" w:rsidRPr="00CB683A" w:rsidRDefault="00CE3B6A" w:rsidP="00CE3B6A">
      <w:pPr>
        <w:pStyle w:val="Text1"/>
        <w:pBdr>
          <w:top w:val="single" w:sz="4" w:space="1" w:color="auto"/>
          <w:left w:val="single" w:sz="4" w:space="4" w:color="auto"/>
          <w:bottom w:val="single" w:sz="4" w:space="1" w:color="auto"/>
          <w:right w:val="single" w:sz="4" w:space="4" w:color="auto"/>
        </w:pBdr>
        <w:rPr>
          <w:noProof/>
        </w:rPr>
      </w:pPr>
      <w:r w:rsidRPr="00CB683A">
        <w:rPr>
          <w:noProof/>
        </w:rPr>
        <w:t>Obecný cíl je rozdělen do čtyř specifických cílů:</w:t>
      </w:r>
    </w:p>
    <w:p w14:paraId="598E691A" w14:textId="77777777" w:rsidR="00727061" w:rsidRPr="00CB683A" w:rsidRDefault="00A61F3A" w:rsidP="00573B5A">
      <w:pPr>
        <w:pStyle w:val="Text1"/>
        <w:pBdr>
          <w:top w:val="single" w:sz="4" w:space="1" w:color="auto"/>
          <w:left w:val="single" w:sz="4" w:space="4" w:color="auto"/>
          <w:bottom w:val="single" w:sz="4" w:space="1" w:color="auto"/>
          <w:right w:val="single" w:sz="4" w:space="4" w:color="auto"/>
        </w:pBdr>
        <w:rPr>
          <w:noProof/>
        </w:rPr>
      </w:pPr>
      <w:r w:rsidRPr="00CB683A">
        <w:rPr>
          <w:noProof/>
        </w:rPr>
        <w:t>1) zajistit úplnou, soudržnou a srovnatelnou evropskou statistiku o obyvatelstvu, domech a bytech;</w:t>
      </w:r>
    </w:p>
    <w:p w14:paraId="4762EC87" w14:textId="77777777" w:rsidR="00727061" w:rsidRPr="00CB683A" w:rsidRDefault="00A61F3A" w:rsidP="00573B5A">
      <w:pPr>
        <w:pStyle w:val="Text1"/>
        <w:pBdr>
          <w:top w:val="single" w:sz="4" w:space="1" w:color="auto"/>
          <w:left w:val="single" w:sz="4" w:space="4" w:color="auto"/>
          <w:bottom w:val="single" w:sz="4" w:space="1" w:color="auto"/>
          <w:right w:val="single" w:sz="4" w:space="4" w:color="auto"/>
        </w:pBdr>
        <w:rPr>
          <w:noProof/>
        </w:rPr>
      </w:pPr>
      <w:r w:rsidRPr="00CB683A">
        <w:rPr>
          <w:noProof/>
        </w:rPr>
        <w:t>2) zajistit včasné a četné statistiky v souladu s potřebami uživatelů;</w:t>
      </w:r>
    </w:p>
    <w:p w14:paraId="3918C7F7" w14:textId="77777777" w:rsidR="00727061" w:rsidRPr="00CB683A" w:rsidRDefault="00A61F3A" w:rsidP="00573B5A">
      <w:pPr>
        <w:pStyle w:val="Text1"/>
        <w:pBdr>
          <w:top w:val="single" w:sz="4" w:space="1" w:color="auto"/>
          <w:left w:val="single" w:sz="4" w:space="4" w:color="auto"/>
          <w:bottom w:val="single" w:sz="4" w:space="1" w:color="auto"/>
          <w:right w:val="single" w:sz="4" w:space="4" w:color="auto"/>
        </w:pBdr>
        <w:rPr>
          <w:noProof/>
        </w:rPr>
      </w:pPr>
      <w:r w:rsidRPr="00CB683A">
        <w:rPr>
          <w:noProof/>
        </w:rPr>
        <w:t>3) poskytnout statistiky, které jsou dostatečně komplexní z hlediska příslušných témat a dostatečně podrobné z hlediska ukazatelů a členění;</w:t>
      </w:r>
    </w:p>
    <w:p w14:paraId="06BC2F2B" w14:textId="77777777" w:rsidR="007F065E" w:rsidRPr="00CB683A" w:rsidRDefault="00A61F3A" w:rsidP="00573B5A">
      <w:pPr>
        <w:pStyle w:val="Text1"/>
        <w:pBdr>
          <w:top w:val="single" w:sz="4" w:space="1" w:color="auto"/>
          <w:left w:val="single" w:sz="4" w:space="4" w:color="auto"/>
          <w:bottom w:val="single" w:sz="4" w:space="1" w:color="auto"/>
          <w:right w:val="single" w:sz="4" w:space="4" w:color="auto"/>
        </w:pBdr>
        <w:rPr>
          <w:noProof/>
        </w:rPr>
      </w:pPr>
      <w:r w:rsidRPr="00CB683A">
        <w:rPr>
          <w:noProof/>
        </w:rPr>
        <w:t>4) podporovat právní rámce a rámce pro sběr údajů, které jsou dostatečně pružné, aby bylo možné přizpůsobovat soubory údajů vyvíjejícím se potřebám politik a příležitostem, které se objevují v souvislosti s novými zdroji.</w:t>
      </w:r>
    </w:p>
    <w:p w14:paraId="7C6A2F54" w14:textId="309FD517" w:rsidR="007F065E" w:rsidRPr="00CB683A" w:rsidRDefault="00891439" w:rsidP="00891439">
      <w:pPr>
        <w:pStyle w:val="ManualHeading3"/>
        <w:rPr>
          <w:noProof/>
        </w:rPr>
      </w:pPr>
      <w:bookmarkStart w:id="15" w:name="_Toc514938019"/>
      <w:bookmarkStart w:id="16" w:name="_Toc520485032"/>
      <w:r w:rsidRPr="00891439">
        <w:t>1.4.3.</w:t>
      </w:r>
      <w:r w:rsidRPr="00891439">
        <w:tab/>
      </w:r>
      <w:r w:rsidR="007F065E" w:rsidRPr="00CB683A">
        <w:rPr>
          <w:noProof/>
        </w:rPr>
        <w:t>Očekávané výsledky a dopady</w:t>
      </w:r>
      <w:bookmarkEnd w:id="15"/>
      <w:bookmarkEnd w:id="16"/>
    </w:p>
    <w:p w14:paraId="10A697E3" w14:textId="77777777" w:rsidR="007F065E" w:rsidRPr="00CB683A" w:rsidRDefault="007F065E" w:rsidP="00FE41E8">
      <w:pPr>
        <w:pStyle w:val="Text1"/>
        <w:rPr>
          <w:i/>
          <w:noProof/>
          <w:sz w:val="20"/>
        </w:rPr>
      </w:pPr>
      <w:r w:rsidRPr="00CB683A">
        <w:rPr>
          <w:i/>
          <w:noProof/>
          <w:sz w:val="20"/>
        </w:rPr>
        <w:t>Upřesněte účinky, které by návrh/podnět měl mít na příjemce / cílové skupiny.</w:t>
      </w:r>
    </w:p>
    <w:p w14:paraId="621DA85E" w14:textId="77777777" w:rsidR="000C74DC" w:rsidRPr="00CB683A" w:rsidRDefault="000C74DC" w:rsidP="000C74DC">
      <w:pPr>
        <w:pStyle w:val="Text1"/>
        <w:pBdr>
          <w:top w:val="single" w:sz="4" w:space="1" w:color="auto"/>
          <w:left w:val="single" w:sz="4" w:space="4" w:color="auto"/>
          <w:bottom w:val="single" w:sz="4" w:space="1" w:color="auto"/>
          <w:right w:val="single" w:sz="4" w:space="4" w:color="auto"/>
        </w:pBdr>
        <w:rPr>
          <w:noProof/>
        </w:rPr>
      </w:pPr>
      <w:r w:rsidRPr="00CB683A">
        <w:rPr>
          <w:noProof/>
        </w:rPr>
        <w:t>Očekávané výsledky:</w:t>
      </w:r>
    </w:p>
    <w:p w14:paraId="26D1143D" w14:textId="77777777" w:rsidR="00C15EF9" w:rsidRPr="00CB683A" w:rsidRDefault="00573B5A" w:rsidP="00573B5A">
      <w:pPr>
        <w:pStyle w:val="Text1"/>
        <w:pBdr>
          <w:top w:val="single" w:sz="4" w:space="1" w:color="auto"/>
          <w:left w:val="single" w:sz="4" w:space="4" w:color="auto"/>
          <w:bottom w:val="single" w:sz="4" w:space="1" w:color="auto"/>
          <w:right w:val="single" w:sz="4" w:space="4" w:color="auto"/>
        </w:pBdr>
        <w:rPr>
          <w:noProof/>
        </w:rPr>
      </w:pPr>
      <w:r w:rsidRPr="00CB683A">
        <w:rPr>
          <w:noProof/>
        </w:rPr>
        <w:t>— zlepšení harmonizace a srovnatelnosti evropských statistik o obyvatelstvu, domech a bytech díky používání jednotného populačního základu a rozvoji statistických infrastruktur,</w:t>
      </w:r>
    </w:p>
    <w:p w14:paraId="3E0225D4" w14:textId="77777777" w:rsidR="00C15EF9" w:rsidRPr="00CB683A" w:rsidRDefault="00573B5A" w:rsidP="00573B5A">
      <w:pPr>
        <w:pStyle w:val="Text1"/>
        <w:pBdr>
          <w:top w:val="single" w:sz="4" w:space="1" w:color="auto"/>
          <w:left w:val="single" w:sz="4" w:space="4" w:color="auto"/>
          <w:bottom w:val="single" w:sz="4" w:space="1" w:color="auto"/>
          <w:right w:val="single" w:sz="4" w:space="4" w:color="auto"/>
        </w:pBdr>
        <w:rPr>
          <w:noProof/>
        </w:rPr>
      </w:pPr>
      <w:r w:rsidRPr="00CB683A">
        <w:rPr>
          <w:noProof/>
        </w:rPr>
        <w:t>— integrované statistické procesy a zamezení duplicitám a redundancím,</w:t>
      </w:r>
    </w:p>
    <w:p w14:paraId="7371FC4C" w14:textId="77777777" w:rsidR="00BB61EB" w:rsidRPr="00CB683A" w:rsidRDefault="00573B5A" w:rsidP="00573B5A">
      <w:pPr>
        <w:pStyle w:val="Text1"/>
        <w:pBdr>
          <w:top w:val="single" w:sz="4" w:space="1" w:color="auto"/>
          <w:left w:val="single" w:sz="4" w:space="4" w:color="auto"/>
          <w:bottom w:val="single" w:sz="4" w:space="1" w:color="auto"/>
          <w:right w:val="single" w:sz="4" w:space="4" w:color="auto"/>
        </w:pBdr>
        <w:rPr>
          <w:noProof/>
        </w:rPr>
      </w:pPr>
      <w:r w:rsidRPr="00CB683A">
        <w:rPr>
          <w:noProof/>
        </w:rPr>
        <w:t xml:space="preserve">— posílené statistické výstupy z hlediska statistických proměnných, členění a územní podrobnosti v souladu se současnými a novými potřebami politik a sociálními potřebami, </w:t>
      </w:r>
    </w:p>
    <w:p w14:paraId="76E8D7FB" w14:textId="77777777" w:rsidR="00C15EF9" w:rsidRPr="00CB683A" w:rsidRDefault="00BB61EB" w:rsidP="00573B5A">
      <w:pPr>
        <w:pStyle w:val="Text1"/>
        <w:pBdr>
          <w:top w:val="single" w:sz="4" w:space="1" w:color="auto"/>
          <w:left w:val="single" w:sz="4" w:space="4" w:color="auto"/>
          <w:bottom w:val="single" w:sz="4" w:space="1" w:color="auto"/>
          <w:right w:val="single" w:sz="4" w:space="4" w:color="auto"/>
        </w:pBdr>
        <w:rPr>
          <w:noProof/>
        </w:rPr>
      </w:pPr>
      <w:r w:rsidRPr="00CB683A">
        <w:rPr>
          <w:noProof/>
        </w:rPr>
        <w:t>— včasnější a četnější statistiky,</w:t>
      </w:r>
    </w:p>
    <w:p w14:paraId="5DB2B96F" w14:textId="77777777" w:rsidR="000C74DC" w:rsidRPr="00CB683A" w:rsidRDefault="00573B5A" w:rsidP="00573B5A">
      <w:pPr>
        <w:pStyle w:val="Text1"/>
        <w:pBdr>
          <w:top w:val="single" w:sz="4" w:space="1" w:color="auto"/>
          <w:left w:val="single" w:sz="4" w:space="4" w:color="auto"/>
          <w:bottom w:val="single" w:sz="4" w:space="1" w:color="auto"/>
          <w:right w:val="single" w:sz="4" w:space="4" w:color="auto"/>
        </w:pBdr>
        <w:rPr>
          <w:noProof/>
        </w:rPr>
      </w:pPr>
      <w:r w:rsidRPr="00CB683A">
        <w:rPr>
          <w:noProof/>
        </w:rPr>
        <w:t>— pružnost právního rámce vůči novým potřebám v oblasti údajů.</w:t>
      </w:r>
    </w:p>
    <w:p w14:paraId="2C80BDE7" w14:textId="77777777" w:rsidR="006A75BF" w:rsidRPr="00CB683A" w:rsidRDefault="000C74DC" w:rsidP="000C74DC">
      <w:pPr>
        <w:pStyle w:val="Text1"/>
        <w:pBdr>
          <w:top w:val="single" w:sz="4" w:space="1" w:color="auto"/>
          <w:left w:val="single" w:sz="4" w:space="4" w:color="auto"/>
          <w:bottom w:val="single" w:sz="4" w:space="1" w:color="auto"/>
          <w:right w:val="single" w:sz="4" w:space="4" w:color="auto"/>
        </w:pBdr>
        <w:rPr>
          <w:noProof/>
        </w:rPr>
      </w:pPr>
      <w:r w:rsidRPr="00CB683A">
        <w:rPr>
          <w:noProof/>
        </w:rPr>
        <w:t>Návrh splňuje cíle programu REFIT na zjednodušení zejména proto, že shrnuje tři nařízení do jediného právního rámce. Umožněním sdílení údajů mezi podniky a veřejnou správou pro účely evropské statistiky obyvatelstva nevznikají podnikům „nové povinnosti“, které by byly relevantní podle zásady „jeden přijmout – jeden zrušit“</w:t>
      </w:r>
    </w:p>
    <w:p w14:paraId="620213F1" w14:textId="02C73DF0" w:rsidR="007F065E" w:rsidRPr="00CB683A" w:rsidRDefault="00891439" w:rsidP="00891439">
      <w:pPr>
        <w:pStyle w:val="ManualHeading3"/>
        <w:rPr>
          <w:noProof/>
          <w:szCs w:val="24"/>
        </w:rPr>
      </w:pPr>
      <w:bookmarkStart w:id="17" w:name="_Toc514938023"/>
      <w:bookmarkStart w:id="18" w:name="_Toc520485033"/>
      <w:r w:rsidRPr="00891439">
        <w:t>1.4.4.</w:t>
      </w:r>
      <w:r w:rsidRPr="00891439">
        <w:tab/>
      </w:r>
      <w:r w:rsidR="007F065E" w:rsidRPr="00CB683A">
        <w:rPr>
          <w:noProof/>
        </w:rPr>
        <w:t>Ukazatele výkonnosti</w:t>
      </w:r>
      <w:bookmarkEnd w:id="17"/>
      <w:bookmarkEnd w:id="18"/>
    </w:p>
    <w:p w14:paraId="04C3FA44" w14:textId="77777777" w:rsidR="007F065E" w:rsidRPr="00CB683A" w:rsidRDefault="007F065E" w:rsidP="00FE41E8">
      <w:pPr>
        <w:pStyle w:val="Text1"/>
        <w:rPr>
          <w:i/>
          <w:noProof/>
          <w:sz w:val="20"/>
        </w:rPr>
      </w:pPr>
      <w:r w:rsidRPr="00CB683A">
        <w:rPr>
          <w:i/>
          <w:noProof/>
          <w:sz w:val="20"/>
        </w:rPr>
        <w:t>Upřesněte ukazatele pro sledování pokroku a dosažených výsledků.</w:t>
      </w:r>
    </w:p>
    <w:p w14:paraId="6D64C3E3" w14:textId="77777777" w:rsidR="00D62FED" w:rsidRPr="00CB683A" w:rsidRDefault="00D62FED" w:rsidP="00D62FED">
      <w:pPr>
        <w:pStyle w:val="Text1"/>
        <w:pBdr>
          <w:top w:val="single" w:sz="4" w:space="1" w:color="auto"/>
          <w:left w:val="single" w:sz="4" w:space="4" w:color="auto"/>
          <w:bottom w:val="single" w:sz="4" w:space="1" w:color="auto"/>
          <w:right w:val="single" w:sz="4" w:space="4" w:color="auto"/>
        </w:pBdr>
        <w:rPr>
          <w:noProof/>
        </w:rPr>
      </w:pPr>
      <w:r w:rsidRPr="00CB683A">
        <w:rPr>
          <w:noProof/>
        </w:rPr>
        <w:t>Výkonnost nového právního rámce pro evropskou statistiku o obyvatelstvu, domech a bytech bude sledována a hodnocena na základě specifických cílů.</w:t>
      </w:r>
    </w:p>
    <w:p w14:paraId="4DBBDCB7" w14:textId="77777777" w:rsidR="00D62FED" w:rsidRPr="00CB683A" w:rsidRDefault="00D62FED" w:rsidP="00D62FED">
      <w:pPr>
        <w:pStyle w:val="Text1"/>
        <w:pBdr>
          <w:top w:val="single" w:sz="4" w:space="1" w:color="auto"/>
          <w:left w:val="single" w:sz="4" w:space="4" w:color="auto"/>
          <w:bottom w:val="single" w:sz="4" w:space="1" w:color="auto"/>
          <w:right w:val="single" w:sz="4" w:space="4" w:color="auto"/>
        </w:pBdr>
        <w:rPr>
          <w:noProof/>
        </w:rPr>
      </w:pPr>
      <w:r w:rsidRPr="00CB683A">
        <w:rPr>
          <w:noProof/>
        </w:rPr>
        <w:t>Během fáze provádění nového právního rámce bude Komise (Eurostat) nadále v rámci Evropského statistického systému organizovat pravidelná setkání expertních skupin s partnerskými národními statistickými úřady, při nichž se budou projednávat a vyjasňovat případné problémy, které se mohou vyskytnout, čímž se naváže na dlouhodobou dobrou a úzkou spolupráci mezi Eurostatem a jeho partnery v Evropském statistickém systému v oblasti technických a statistických záležitostí. To zahrnuje pečlivou společnou přípravu klíčových prováděcích aktů upravujících nové podrobné požadavky na statistické údaje a metadata, které budou mít zásadní význam jak pro uživatele, tak pro tvůrce statistik. Na závěr fáze provádění se plánuje první hodnocení zaměřené na provádění, fungování a prvotní dopady nového právního rámce. Aby bylo možné získat dostatečné informace o výkonnosti, je toto hodnocení plánováno na tři až pět let po vstupu nového právního rámce v platnost.</w:t>
      </w:r>
    </w:p>
    <w:p w14:paraId="3B0F3F0F" w14:textId="77777777" w:rsidR="00D62FED" w:rsidRPr="00CB683A" w:rsidRDefault="00D62FED" w:rsidP="00D62FED">
      <w:pPr>
        <w:pStyle w:val="Text1"/>
        <w:pBdr>
          <w:top w:val="single" w:sz="4" w:space="1" w:color="auto"/>
          <w:left w:val="single" w:sz="4" w:space="4" w:color="auto"/>
          <w:bottom w:val="single" w:sz="4" w:space="1" w:color="auto"/>
          <w:right w:val="single" w:sz="4" w:space="4" w:color="auto"/>
        </w:pBdr>
        <w:rPr>
          <w:noProof/>
        </w:rPr>
      </w:pPr>
      <w:r w:rsidRPr="00CB683A">
        <w:rPr>
          <w:noProof/>
        </w:rPr>
        <w:t>Po přechodu do fáze používání plánuje Komise (Eurostat) vyhodnocovat fungování a dopad dotčeného právního rámce každých pět až sedm let.</w:t>
      </w:r>
    </w:p>
    <w:p w14:paraId="52F2EF7A" w14:textId="044986D7" w:rsidR="006A75BF" w:rsidRPr="00CB683A" w:rsidRDefault="006A75BF" w:rsidP="00D62FED">
      <w:pPr>
        <w:pStyle w:val="Text1"/>
        <w:pBdr>
          <w:top w:val="single" w:sz="4" w:space="1" w:color="auto"/>
          <w:left w:val="single" w:sz="4" w:space="4" w:color="auto"/>
          <w:bottom w:val="single" w:sz="4" w:space="1" w:color="auto"/>
          <w:right w:val="single" w:sz="4" w:space="4" w:color="auto"/>
        </w:pBdr>
        <w:rPr>
          <w:noProof/>
        </w:rPr>
      </w:pPr>
      <w:r w:rsidRPr="00CB683A">
        <w:rPr>
          <w:noProof/>
        </w:rPr>
        <w:t>Seznam možných klíčových ukazatelů výkonnosti je uveden v tabulce 11 zprávy o posouzení dopadů (SWD(2023) 11).</w:t>
      </w:r>
    </w:p>
    <w:p w14:paraId="4CD9EAAB" w14:textId="77777777" w:rsidR="007F065E" w:rsidRPr="00CB683A" w:rsidRDefault="00D62FED" w:rsidP="00D62FED">
      <w:pPr>
        <w:pStyle w:val="Text1"/>
        <w:pBdr>
          <w:top w:val="single" w:sz="4" w:space="1" w:color="auto"/>
          <w:left w:val="single" w:sz="4" w:space="4" w:color="auto"/>
          <w:bottom w:val="single" w:sz="4" w:space="1" w:color="auto"/>
          <w:right w:val="single" w:sz="4" w:space="4" w:color="auto"/>
        </w:pBdr>
        <w:rPr>
          <w:noProof/>
        </w:rPr>
      </w:pPr>
      <w:r w:rsidRPr="00CB683A">
        <w:rPr>
          <w:noProof/>
        </w:rPr>
        <w:t>Komise (Eurostat) stanoví společné pokyny k evropské statistice a požadavky na předkládání zpráv o kvalitě týkající se rozvoje, tvorby a šíření statistik. Zprávy o kvalitě, které jsou členské státy povinny vypracovávat, musí zahrnovat konkrétní kontroly vztahující se k danému sběru dat. Tím se zajistí kvalita statistických údajů a metadat.</w:t>
      </w:r>
    </w:p>
    <w:p w14:paraId="5F0C89AC" w14:textId="03DAFA76" w:rsidR="007F065E" w:rsidRPr="00CB683A" w:rsidRDefault="00891439" w:rsidP="00891439">
      <w:pPr>
        <w:pStyle w:val="ManualHeading2"/>
        <w:rPr>
          <w:bCs/>
          <w:noProof/>
          <w:szCs w:val="24"/>
        </w:rPr>
      </w:pPr>
      <w:bookmarkStart w:id="19" w:name="_Toc514938025"/>
      <w:bookmarkStart w:id="20" w:name="_Toc520485034"/>
      <w:r w:rsidRPr="00891439">
        <w:t>1.5.</w:t>
      </w:r>
      <w:r w:rsidRPr="00891439">
        <w:tab/>
      </w:r>
      <w:r w:rsidR="007F065E" w:rsidRPr="00CB683A">
        <w:rPr>
          <w:noProof/>
        </w:rPr>
        <w:t>Odůvodnění návrhu/podnětu</w:t>
      </w:r>
      <w:bookmarkEnd w:id="19"/>
      <w:bookmarkEnd w:id="20"/>
      <w:r w:rsidR="007F065E" w:rsidRPr="00CB683A">
        <w:rPr>
          <w:noProof/>
        </w:rPr>
        <w:t xml:space="preserve"> </w:t>
      </w:r>
    </w:p>
    <w:p w14:paraId="7F0A665E" w14:textId="321FAA74" w:rsidR="007F065E" w:rsidRPr="00CB683A" w:rsidRDefault="00891439" w:rsidP="00891439">
      <w:pPr>
        <w:pStyle w:val="ManualHeading3"/>
        <w:rPr>
          <w:noProof/>
        </w:rPr>
      </w:pPr>
      <w:bookmarkStart w:id="21" w:name="_Toc514938026"/>
      <w:bookmarkStart w:id="22" w:name="_Toc520485035"/>
      <w:r w:rsidRPr="00891439">
        <w:t>1.5.1.</w:t>
      </w:r>
      <w:r w:rsidRPr="00891439">
        <w:tab/>
      </w:r>
      <w:r w:rsidR="007F065E" w:rsidRPr="00CB683A">
        <w:rPr>
          <w:noProof/>
        </w:rPr>
        <w:t>Potřeby, které mají být uspokojeny v krátkodobém nebo dlouhodobém horizontu, včetně podrobného harmonogramu pro zahajovací fázi provádění podnětu</w:t>
      </w:r>
      <w:bookmarkEnd w:id="21"/>
      <w:bookmarkEnd w:id="22"/>
    </w:p>
    <w:p w14:paraId="4D063103" w14:textId="42F11FDE" w:rsidR="007F065E" w:rsidRPr="00CB683A" w:rsidRDefault="00A61F3A" w:rsidP="00FE41E8">
      <w:pPr>
        <w:pStyle w:val="Text1"/>
        <w:pBdr>
          <w:top w:val="single" w:sz="4" w:space="1" w:color="auto"/>
          <w:left w:val="single" w:sz="4" w:space="4" w:color="auto"/>
          <w:bottom w:val="single" w:sz="4" w:space="1" w:color="auto"/>
          <w:right w:val="single" w:sz="4" w:space="4" w:color="auto"/>
        </w:pBdr>
        <w:rPr>
          <w:noProof/>
        </w:rPr>
      </w:pPr>
      <w:r w:rsidRPr="00CB683A">
        <w:rPr>
          <w:noProof/>
        </w:rPr>
        <w:t>Navrhované nařízení má vytvořit nový rámec pro tvorbu statistik o obyvatelstvu, demografii</w:t>
      </w:r>
      <w:r w:rsidR="00D106F5">
        <w:rPr>
          <w:noProof/>
        </w:rPr>
        <w:t>,</w:t>
      </w:r>
      <w:r w:rsidRPr="00CB683A">
        <w:rPr>
          <w:noProof/>
        </w:rPr>
        <w:t xml:space="preserve"> včetně migrace, rodinách, domácnostech, domech a bytech integrovaným způsobem. Současné sběry příslušných údajů v členských státech budou harmonizovány, zefektivněny, zrychleny a rozšířeny, aby lépe odpovídaly potřebám politik. Plánované první referenční časy </w:t>
      </w:r>
      <w:r w:rsidRPr="002D1C16">
        <w:rPr>
          <w:noProof/>
        </w:rPr>
        <w:t>pro sběr</w:t>
      </w:r>
      <w:r w:rsidRPr="00CB683A">
        <w:rPr>
          <w:noProof/>
        </w:rPr>
        <w:t xml:space="preserve"> údajů podle nového rámce jsou v roce 2026.</w:t>
      </w:r>
    </w:p>
    <w:p w14:paraId="01932C84" w14:textId="316707EC" w:rsidR="00353AD2" w:rsidRPr="00CB683A" w:rsidRDefault="007C5F10" w:rsidP="00FE41E8">
      <w:pPr>
        <w:pStyle w:val="Text1"/>
        <w:pBdr>
          <w:top w:val="single" w:sz="4" w:space="1" w:color="auto"/>
          <w:left w:val="single" w:sz="4" w:space="4" w:color="auto"/>
          <w:bottom w:val="single" w:sz="4" w:space="1" w:color="auto"/>
          <w:right w:val="single" w:sz="4" w:space="4" w:color="auto"/>
        </w:pBdr>
        <w:rPr>
          <w:noProof/>
        </w:rPr>
      </w:pPr>
      <w:r w:rsidRPr="00CB683A">
        <w:rPr>
          <w:noProof/>
        </w:rPr>
        <w:t xml:space="preserve">Aby bylo možné tento nový rámec vytvořit a zavést podle plánu, měly by Evropský parlament a Rada toto nové nařízení přijmout v roce 2023, což by umožnilo přijmout prováděcí akty týkající se </w:t>
      </w:r>
      <w:r w:rsidR="00B96E34" w:rsidRPr="00CB683A">
        <w:rPr>
          <w:noProof/>
        </w:rPr>
        <w:t>prvního</w:t>
      </w:r>
      <w:r w:rsidRPr="00CB683A">
        <w:rPr>
          <w:noProof/>
        </w:rPr>
        <w:t xml:space="preserve"> sběru údajů rovněž do konce roku 2023, tj. alespoň dvanáct měsíců před začátkem prvních referenčních časů.</w:t>
      </w:r>
    </w:p>
    <w:p w14:paraId="061F7110" w14:textId="77777777" w:rsidR="00353AD2" w:rsidRPr="00CB683A" w:rsidRDefault="00353AD2" w:rsidP="00FE41E8">
      <w:pPr>
        <w:pStyle w:val="Text1"/>
        <w:pBdr>
          <w:top w:val="single" w:sz="4" w:space="1" w:color="auto"/>
          <w:left w:val="single" w:sz="4" w:space="4" w:color="auto"/>
          <w:bottom w:val="single" w:sz="4" w:space="1" w:color="auto"/>
          <w:right w:val="single" w:sz="4" w:space="4" w:color="auto"/>
        </w:pBdr>
        <w:rPr>
          <w:noProof/>
        </w:rPr>
      </w:pPr>
      <w:r w:rsidRPr="00CB683A">
        <w:rPr>
          <w:noProof/>
        </w:rPr>
        <w:t>Sběry údajů a metadat pro roční statistiky a krátkodobé statistiky do jednoho roku budou zahájeny v roce 2026, zatímco první referenční čas pro sběr údajů v desetiletém intervalu podobající se sčítání lidu podle nového rámce nastane v roce 2031.</w:t>
      </w:r>
    </w:p>
    <w:p w14:paraId="7F4133A0" w14:textId="77777777" w:rsidR="007C5F10" w:rsidRPr="00CB683A" w:rsidRDefault="00CC6F4E" w:rsidP="00FE41E8">
      <w:pPr>
        <w:pStyle w:val="Text1"/>
        <w:pBdr>
          <w:top w:val="single" w:sz="4" w:space="1" w:color="auto"/>
          <w:left w:val="single" w:sz="4" w:space="4" w:color="auto"/>
          <w:bottom w:val="single" w:sz="4" w:space="1" w:color="auto"/>
          <w:right w:val="single" w:sz="4" w:space="4" w:color="auto"/>
        </w:pBdr>
        <w:rPr>
          <w:noProof/>
        </w:rPr>
      </w:pPr>
      <w:r w:rsidRPr="00CB683A">
        <w:rPr>
          <w:noProof/>
        </w:rPr>
        <w:t>Návrh také ukládá Komisi (Eurostatu) a členským státům povinnost provést pilotní studie, pokud je to nutné a přiměřené, za účelem další modernizace statistik podle tohoto nařízení (posouzení nových zdrojů údajů, včetně zdrojů v držení soukromých subjektů, a statistických témat, vývoj nových metodik a technik, včetně technologií zvyšujících ochranu soukromí pro bezpečné sdílení údajů).</w:t>
      </w:r>
    </w:p>
    <w:p w14:paraId="03666B09" w14:textId="183E8922" w:rsidR="007F065E" w:rsidRPr="00CB683A" w:rsidRDefault="00891439" w:rsidP="00891439">
      <w:pPr>
        <w:pStyle w:val="ManualHeading3"/>
        <w:rPr>
          <w:bCs/>
          <w:noProof/>
          <w:szCs w:val="24"/>
        </w:rPr>
      </w:pPr>
      <w:bookmarkStart w:id="23" w:name="_Toc514938029"/>
      <w:bookmarkStart w:id="24" w:name="_Toc520485036"/>
      <w:r w:rsidRPr="00891439">
        <w:t>1.5.2.</w:t>
      </w:r>
      <w:r w:rsidRPr="00891439">
        <w:tab/>
      </w:r>
      <w:r w:rsidR="007F065E" w:rsidRPr="00CB683A">
        <w:rPr>
          <w:noProof/>
        </w:rPr>
        <w:t>Přidaná hodnota ze zapojení Unie (může být důsledkem různých faktorů, např. přínosů z koordinace, právní jistoty, vyšší účinnosti nebo doplňkovosti). Pro účely tohoto bodu se „přidanou hodnotou ze zapojení Unie“ rozumí hodnota plynoucí ze zásahu Unie, jež doplňuje hodnotu, která by jinak vznikla činností samotných členských států.</w:t>
      </w:r>
      <w:bookmarkEnd w:id="23"/>
      <w:bookmarkEnd w:id="24"/>
    </w:p>
    <w:p w14:paraId="0B24EDB2" w14:textId="77777777" w:rsidR="00A61F3A" w:rsidRPr="00CB683A" w:rsidRDefault="00A61F3A" w:rsidP="00A61F3A">
      <w:pPr>
        <w:pStyle w:val="Text1"/>
        <w:pBdr>
          <w:top w:val="single" w:sz="4" w:space="1" w:color="auto"/>
          <w:left w:val="single" w:sz="4" w:space="4" w:color="auto"/>
          <w:bottom w:val="single" w:sz="4" w:space="1" w:color="auto"/>
          <w:right w:val="single" w:sz="4" w:space="4" w:color="auto"/>
        </w:pBdr>
        <w:rPr>
          <w:noProof/>
        </w:rPr>
      </w:pPr>
      <w:r w:rsidRPr="00CB683A">
        <w:rPr>
          <w:noProof/>
        </w:rPr>
        <w:t>Problémy zjištěné v hodnocení mají skutečný celounijní dosah, který jasně souvisí s nedostatky ve stávajících právních předpisech EU. Bez dalších legislativních opatření EU budou tyto problémy přetrvávat nebo se zhorší. Současné právní předpisy EU budou pro dosahování jejich cílů pravděpodobně stále méně účinné a efektivní, jelikož mnoho členských států pokračuje na vnitrostátní úrovni v modernizaci zřizováním statistických registrů obyvatelstva a využíváním nových zdrojů údajů. Relevance se pravděpodobně rovněž dále sníží, neboť se očekává, že statistiky na úrovni EU se budou dále rozcházet s potřebami uživatelů, pokud jde o obsah, požadovanou četnost či včasnost. Bez legislativních opatření EU se přístupy jednotlivých států budou dále rozcházet, což povede k menší srovnatelnosti statistik, a to může následně ohrozit tvorbu politik na úrovni EU.</w:t>
      </w:r>
    </w:p>
    <w:p w14:paraId="22BF8CB3" w14:textId="77777777" w:rsidR="00A61F3A" w:rsidRPr="00CB683A" w:rsidRDefault="00A61F3A" w:rsidP="00A61F3A">
      <w:pPr>
        <w:pStyle w:val="Text1"/>
        <w:pBdr>
          <w:top w:val="single" w:sz="4" w:space="1" w:color="auto"/>
          <w:left w:val="single" w:sz="4" w:space="4" w:color="auto"/>
          <w:bottom w:val="single" w:sz="4" w:space="1" w:color="auto"/>
          <w:right w:val="single" w:sz="4" w:space="4" w:color="auto"/>
        </w:pBdr>
        <w:rPr>
          <w:noProof/>
        </w:rPr>
      </w:pPr>
      <w:r w:rsidRPr="00CB683A">
        <w:rPr>
          <w:noProof/>
        </w:rPr>
        <w:t>Přidaná hodnota úplných a srovnatelných statistik o obyvatelstvu a demografických statistik na úrovni EU spočívá především v jejich významném přínosu pro různé institucionální potřeby a oblasti politiky EU, které jsou velmi důležité pro mnoho politických priorit Komise (např. hospodářství ve prospěch lidí, podpora evropského způsobu života, nový impuls pro evropskou demokracii). Statistiky o obyvatelstvu a demografické statistiky je rovněž třeba promítnout do různých institucionálních úkolů a postupů EU stanovených Smlouvami, jako jsou například údaje o počtu obyvatel jednotlivých států pro účely stanovení kvóty ve výši 65 % obyvatelstva EU pro hlasování kvalifikovanou většinou v Radě (článek 16 Smlouvy o EU), dlouhodobé hospodářské a rozpočtové projekce EU v rámci evropského semestru (čl. 121 odst. 6 Smlouvy o fungování EU, podrobně rozvedený v nařízení (EU) č. 1175/2011</w:t>
      </w:r>
      <w:r w:rsidRPr="00CB683A">
        <w:rPr>
          <w:rStyle w:val="FootnoteReference"/>
          <w:noProof/>
          <w:color w:val="0000FF"/>
        </w:rPr>
        <w:footnoteReference w:id="47"/>
      </w:r>
      <w:r w:rsidRPr="00CB683A">
        <w:rPr>
          <w:noProof/>
        </w:rPr>
        <w:t>) a monitorování roční demografické situace v EU (článek 159 Smlouvy o fungování EU).</w:t>
      </w:r>
    </w:p>
    <w:p w14:paraId="298569FF" w14:textId="77777777" w:rsidR="007F065E" w:rsidRPr="00CB683A" w:rsidRDefault="00A61F3A" w:rsidP="00A61F3A">
      <w:pPr>
        <w:pStyle w:val="Text1"/>
        <w:pBdr>
          <w:top w:val="single" w:sz="4" w:space="1" w:color="auto"/>
          <w:left w:val="single" w:sz="4" w:space="4" w:color="auto"/>
          <w:bottom w:val="single" w:sz="4" w:space="1" w:color="auto"/>
          <w:right w:val="single" w:sz="4" w:space="4" w:color="auto"/>
        </w:pBdr>
        <w:rPr>
          <w:noProof/>
        </w:rPr>
      </w:pPr>
      <w:r w:rsidRPr="00CB683A">
        <w:rPr>
          <w:noProof/>
        </w:rPr>
        <w:t>Tyto údaje se promítají do politik EU, které spadají do sdílených pravomocí (např. sociální politika; hospodářská, sociální a územní soudržnost a prostor svobody, bezpečnosti a práva) a podpůrných pravomocí (např. v oblasti zdravotnictví, mládeže, civilní ochrany a správní spolupráce). Statistiky o obyvatelstvu jsou základem ostatních evropských statistik (výběrová zjišťování, národní účty) a používají se k výpočtu ukazatelů na obyvatele. Statistiky o obyvatelstvu a demografické statistiky jsou rovněž koncipovány tak, aby naplňovaly potřeby nejrůznějších uživatelů pro účely rozhodování na všech úrovních v EU, jakož i pro výzkum a informování široké veřejnosti.</w:t>
      </w:r>
    </w:p>
    <w:p w14:paraId="7E403399" w14:textId="35CD18D6" w:rsidR="007F065E" w:rsidRPr="00CB683A" w:rsidRDefault="00891439" w:rsidP="00891439">
      <w:pPr>
        <w:pStyle w:val="ManualHeading3"/>
        <w:rPr>
          <w:noProof/>
        </w:rPr>
      </w:pPr>
      <w:bookmarkStart w:id="25" w:name="_Toc514938030"/>
      <w:bookmarkStart w:id="26" w:name="_Toc520485037"/>
      <w:r w:rsidRPr="00891439">
        <w:t>1.5.3.</w:t>
      </w:r>
      <w:r w:rsidRPr="00891439">
        <w:tab/>
      </w:r>
      <w:r w:rsidR="007F065E" w:rsidRPr="00CB683A">
        <w:rPr>
          <w:noProof/>
        </w:rPr>
        <w:t>Závěry vyvozené z podobných zkušeností v minulosti</w:t>
      </w:r>
      <w:bookmarkEnd w:id="25"/>
      <w:bookmarkEnd w:id="26"/>
    </w:p>
    <w:p w14:paraId="00087E3B" w14:textId="77777777" w:rsidR="00573B5A" w:rsidRPr="00CB683A" w:rsidRDefault="001A310E" w:rsidP="00573B5A">
      <w:pPr>
        <w:pStyle w:val="Text1"/>
        <w:pBdr>
          <w:top w:val="single" w:sz="4" w:space="1" w:color="auto"/>
          <w:left w:val="single" w:sz="4" w:space="4" w:color="auto"/>
          <w:bottom w:val="single" w:sz="4" w:space="1" w:color="auto"/>
          <w:right w:val="single" w:sz="4" w:space="4" w:color="auto"/>
        </w:pBdr>
        <w:rPr>
          <w:noProof/>
        </w:rPr>
      </w:pPr>
      <w:r w:rsidRPr="00CB683A">
        <w:rPr>
          <w:noProof/>
        </w:rPr>
        <w:t>Povinné sběry údajů s definovanými společnými pravidly jsou klíčem k zajištění úplnosti a včasnosti statistik o obyvatelstvu na úrovni EU; regulace dobrovolných sběrů údajů s již vysokou mírou úplnosti může vést k významnému zvýšení účinnosti a efektivity, neboť je možné vytvořit značnou přidanou hodnotu EU s nízkými dodatečnými náklady.</w:t>
      </w:r>
    </w:p>
    <w:p w14:paraId="60DF4478" w14:textId="77777777" w:rsidR="00573B5A" w:rsidRPr="00CB683A" w:rsidRDefault="00573B5A" w:rsidP="00573B5A">
      <w:pPr>
        <w:pStyle w:val="Text1"/>
        <w:pBdr>
          <w:top w:val="single" w:sz="4" w:space="1" w:color="auto"/>
          <w:left w:val="single" w:sz="4" w:space="4" w:color="auto"/>
          <w:bottom w:val="single" w:sz="4" w:space="1" w:color="auto"/>
          <w:right w:val="single" w:sz="4" w:space="4" w:color="auto"/>
        </w:pBdr>
        <w:rPr>
          <w:noProof/>
        </w:rPr>
      </w:pPr>
      <w:r w:rsidRPr="00CB683A">
        <w:rPr>
          <w:noProof/>
        </w:rPr>
        <w:t>Dobrovolné sběry údajů jsou vhodnými nástroji pro prověření tvorby nových témat nebo charakteristik a pro posílení postupně se zvyšující schopnosti národních statistických systémů poskytovat tyto nové údaje. Časem se však stávají neefektivními, jelikož opakované náklady na vypracování případně nevytvářejí významnou přidanou hodnotu EU, pokud jde o úplnost v členských státech.</w:t>
      </w:r>
    </w:p>
    <w:p w14:paraId="7052A1C9" w14:textId="77777777" w:rsidR="00573B5A" w:rsidRPr="00CB683A" w:rsidRDefault="00573B5A" w:rsidP="00573B5A">
      <w:pPr>
        <w:pStyle w:val="Text1"/>
        <w:pBdr>
          <w:top w:val="single" w:sz="4" w:space="1" w:color="auto"/>
          <w:left w:val="single" w:sz="4" w:space="4" w:color="auto"/>
          <w:bottom w:val="single" w:sz="4" w:space="1" w:color="auto"/>
          <w:right w:val="single" w:sz="4" w:space="4" w:color="auto"/>
        </w:pBdr>
        <w:rPr>
          <w:noProof/>
        </w:rPr>
      </w:pPr>
      <w:r w:rsidRPr="00CB683A">
        <w:rPr>
          <w:noProof/>
        </w:rPr>
        <w:t>Volné právní definice statistických témat vedou ke ztrátě kontroly nad harmonizací pojmů a tím i nad soudržností a srovnatelností v průběhu času. Příklad populační základny ukázal, jak se doložka o neplnění povinností, původně zavedená jako výjimka s omezenou působností, změnila v nový skutkový standard.</w:t>
      </w:r>
    </w:p>
    <w:p w14:paraId="2D157C9B" w14:textId="77777777" w:rsidR="007F065E" w:rsidRPr="00CB683A" w:rsidRDefault="00573B5A" w:rsidP="00573B5A">
      <w:pPr>
        <w:pStyle w:val="Text1"/>
        <w:pBdr>
          <w:top w:val="single" w:sz="4" w:space="1" w:color="auto"/>
          <w:left w:val="single" w:sz="4" w:space="4" w:color="auto"/>
          <w:bottom w:val="single" w:sz="4" w:space="1" w:color="auto"/>
          <w:right w:val="single" w:sz="4" w:space="4" w:color="auto"/>
        </w:pBdr>
        <w:rPr>
          <w:noProof/>
        </w:rPr>
      </w:pPr>
      <w:r w:rsidRPr="00CB683A">
        <w:rPr>
          <w:noProof/>
        </w:rPr>
        <w:t>Příliš rigidní právní rámec brání zachování relevance v průběhu času. Tento zásah do dnešního dne poměrně rychle ztrácí na významu, a to již od období provádění, protože chyběly pružné mechanismy, které by umožnily přizpůsobit sběry údajů vyvíjejícím se potřebám nebo využít příležitostí plynoucích z nově dostupných zdrojů údajů.</w:t>
      </w:r>
    </w:p>
    <w:p w14:paraId="2C59FF08" w14:textId="1783C945" w:rsidR="007F065E" w:rsidRPr="00CB683A" w:rsidRDefault="00891439" w:rsidP="00891439">
      <w:pPr>
        <w:pStyle w:val="ManualHeading3"/>
        <w:rPr>
          <w:noProof/>
        </w:rPr>
      </w:pPr>
      <w:bookmarkStart w:id="27" w:name="_Toc514938033"/>
      <w:bookmarkStart w:id="28" w:name="_Toc520485038"/>
      <w:r w:rsidRPr="00891439">
        <w:t>1.5.4.</w:t>
      </w:r>
      <w:r w:rsidRPr="00891439">
        <w:tab/>
      </w:r>
      <w:r w:rsidR="007F065E" w:rsidRPr="00CB683A">
        <w:rPr>
          <w:noProof/>
        </w:rPr>
        <w:t>Slučitelnost s víceletým finančním rámcem a možné synergie s dalšími vhodnými nástroji</w:t>
      </w:r>
      <w:bookmarkEnd w:id="27"/>
      <w:bookmarkEnd w:id="28"/>
    </w:p>
    <w:p w14:paraId="13999CA4" w14:textId="77777777" w:rsidR="007F065E" w:rsidRPr="00CB683A" w:rsidRDefault="00110B86" w:rsidP="00FE41E8">
      <w:pPr>
        <w:pStyle w:val="Text1"/>
        <w:pBdr>
          <w:top w:val="single" w:sz="4" w:space="1" w:color="auto"/>
          <w:left w:val="single" w:sz="4" w:space="4" w:color="auto"/>
          <w:bottom w:val="single" w:sz="4" w:space="1" w:color="auto"/>
          <w:right w:val="single" w:sz="4" w:space="4" w:color="auto"/>
        </w:pBdr>
        <w:rPr>
          <w:noProof/>
        </w:rPr>
      </w:pPr>
      <w:r w:rsidRPr="00CB683A">
        <w:rPr>
          <w:noProof/>
        </w:rPr>
        <w:t>Z hlediska stávajícího víceletého finančního rámce je návrh v souladu s Programem pro jednotný trh zavedeným nařízením (EU) 2021/690</w:t>
      </w:r>
      <w:r w:rsidRPr="00CB683A">
        <w:rPr>
          <w:rStyle w:val="FootnoteReference"/>
          <w:noProof/>
          <w:color w:val="0000FF"/>
        </w:rPr>
        <w:footnoteReference w:id="48"/>
      </w:r>
      <w:r w:rsidRPr="00CB683A">
        <w:rPr>
          <w:noProof/>
        </w:rPr>
        <w:t>.</w:t>
      </w:r>
    </w:p>
    <w:p w14:paraId="071B050A" w14:textId="77777777" w:rsidR="007F065E" w:rsidRPr="00CB683A" w:rsidRDefault="00110B86" w:rsidP="00110B86">
      <w:pPr>
        <w:pStyle w:val="Text1"/>
        <w:pBdr>
          <w:top w:val="single" w:sz="4" w:space="1" w:color="auto"/>
          <w:left w:val="single" w:sz="4" w:space="4" w:color="auto"/>
          <w:bottom w:val="single" w:sz="4" w:space="1" w:color="auto"/>
          <w:right w:val="single" w:sz="4" w:space="4" w:color="auto"/>
        </w:pBdr>
        <w:rPr>
          <w:noProof/>
          <w:color w:val="0000FF"/>
        </w:rPr>
      </w:pPr>
      <w:r w:rsidRPr="00CB683A">
        <w:rPr>
          <w:noProof/>
        </w:rPr>
        <w:t>Z hlediska právních předpisů EU v oblasti statistiky je návrh v souladu s nařízením (ES) č. 223/2009 o evropské statistice. Kromě toho má být návrh integrován do nařízení (EU) 2019/1700, kterým se zavádí společný rámec pro evropské statistiky týkající se osob a domácností založené na individuálních údajích sbíraných na základě výběrových souborů, čímž se dokončí modernizace evropské sociální statistiky.</w:t>
      </w:r>
    </w:p>
    <w:p w14:paraId="329D12B9" w14:textId="117D85D4" w:rsidR="007F065E" w:rsidRPr="00CB683A" w:rsidRDefault="00891439" w:rsidP="00891439">
      <w:pPr>
        <w:pStyle w:val="ManualHeading3"/>
        <w:rPr>
          <w:noProof/>
        </w:rPr>
      </w:pPr>
      <w:bookmarkStart w:id="29" w:name="_Toc514938036"/>
      <w:bookmarkStart w:id="30" w:name="_Toc520485039"/>
      <w:r w:rsidRPr="00891439">
        <w:t>1.5.5.</w:t>
      </w:r>
      <w:r w:rsidRPr="00891439">
        <w:tab/>
      </w:r>
      <w:r w:rsidR="007F065E" w:rsidRPr="00CB683A">
        <w:rPr>
          <w:noProof/>
        </w:rPr>
        <w:t>Posouzení různých dostupných možností financování, včetně prostoru pro přerozdělení prostředků</w:t>
      </w:r>
      <w:bookmarkEnd w:id="29"/>
      <w:bookmarkEnd w:id="30"/>
    </w:p>
    <w:p w14:paraId="4EE3FEA0" w14:textId="77777777" w:rsidR="007F065E" w:rsidRPr="00CB683A" w:rsidRDefault="00CC6F4E" w:rsidP="00CC6F4E">
      <w:pPr>
        <w:pStyle w:val="Text1"/>
        <w:pBdr>
          <w:top w:val="single" w:sz="4" w:space="1" w:color="auto"/>
          <w:left w:val="single" w:sz="4" w:space="4" w:color="auto"/>
          <w:bottom w:val="single" w:sz="4" w:space="1" w:color="auto"/>
          <w:right w:val="single" w:sz="4" w:space="4" w:color="auto"/>
        </w:pBdr>
        <w:rPr>
          <w:noProof/>
        </w:rPr>
      </w:pPr>
      <w:r w:rsidRPr="00CB683A">
        <w:rPr>
          <w:noProof/>
        </w:rPr>
        <w:t>Finanční potřeby návrhu budou pokryty příslušnými rozhodnutími o financování / ročními pracovními programy Programu pro jednotný trh a následným programem zahrnujícím evropské statistiky.</w:t>
      </w:r>
    </w:p>
    <w:p w14:paraId="1BAC1B8A" w14:textId="77777777" w:rsidR="007F065E" w:rsidRPr="00CB683A" w:rsidRDefault="007F065E" w:rsidP="00FE41E8">
      <w:pPr>
        <w:pStyle w:val="Text1"/>
        <w:rPr>
          <w:noProof/>
        </w:rPr>
      </w:pPr>
    </w:p>
    <w:p w14:paraId="34A947B0" w14:textId="0A26E721" w:rsidR="007F065E" w:rsidRPr="00CB683A" w:rsidRDefault="007F065E" w:rsidP="00891439">
      <w:pPr>
        <w:pStyle w:val="ManualHeading2"/>
        <w:rPr>
          <w:bCs/>
          <w:noProof/>
          <w:szCs w:val="24"/>
        </w:rPr>
      </w:pPr>
      <w:r w:rsidRPr="00CB683A">
        <w:rPr>
          <w:noProof/>
        </w:rPr>
        <w:br w:type="page"/>
      </w:r>
      <w:bookmarkStart w:id="31" w:name="_Toc514938039"/>
      <w:bookmarkStart w:id="32" w:name="_Toc520485040"/>
      <w:r w:rsidR="00891439" w:rsidRPr="00891439">
        <w:t>1.6.</w:t>
      </w:r>
      <w:r w:rsidR="00891439" w:rsidRPr="00891439">
        <w:tab/>
      </w:r>
      <w:r w:rsidRPr="00CB683A">
        <w:rPr>
          <w:noProof/>
        </w:rPr>
        <w:t>Doba trvání a finanční dopad návrhu/podnětu</w:t>
      </w:r>
      <w:bookmarkEnd w:id="31"/>
      <w:bookmarkEnd w:id="32"/>
    </w:p>
    <w:p w14:paraId="5D2FFA83" w14:textId="77777777" w:rsidR="007F065E" w:rsidRPr="00CB683A" w:rsidRDefault="007F065E" w:rsidP="00FE41E8">
      <w:pPr>
        <w:pStyle w:val="Text1"/>
        <w:rPr>
          <w:noProof/>
        </w:rPr>
      </w:pPr>
      <w:r w:rsidRPr="00CB683A">
        <w:rPr>
          <w:noProof/>
        </w:rPr>
        <w:sym w:font="Wingdings" w:char="F0A8"/>
      </w:r>
      <w:r w:rsidRPr="00CB683A">
        <w:rPr>
          <w:b/>
          <w:i/>
          <w:noProof/>
        </w:rPr>
        <w:t xml:space="preserve"> </w:t>
      </w:r>
      <w:r w:rsidRPr="00CB683A">
        <w:rPr>
          <w:b/>
          <w:noProof/>
        </w:rPr>
        <w:t xml:space="preserve">Časově omezená doba trvání </w:t>
      </w:r>
    </w:p>
    <w:p w14:paraId="14AA49AF" w14:textId="77777777" w:rsidR="007F065E" w:rsidRPr="00CB683A" w:rsidRDefault="007F065E" w:rsidP="00FE41E8">
      <w:pPr>
        <w:pStyle w:val="ListDash2"/>
        <w:rPr>
          <w:noProof/>
        </w:rPr>
      </w:pPr>
      <w:r w:rsidRPr="00CB683A">
        <w:rPr>
          <w:noProof/>
        </w:rPr>
        <w:sym w:font="Wingdings" w:char="F0A8"/>
      </w:r>
      <w:r w:rsidRPr="00CB683A">
        <w:rPr>
          <w:noProof/>
        </w:rPr>
        <w:tab/>
        <w:t xml:space="preserve">s platností od [DD.MM.]RRRR do [DD.MM.]RRRR, </w:t>
      </w:r>
    </w:p>
    <w:p w14:paraId="63D98D19" w14:textId="77777777" w:rsidR="007F065E" w:rsidRPr="00CB683A" w:rsidRDefault="007F065E" w:rsidP="00FE41E8">
      <w:pPr>
        <w:pStyle w:val="ListDash2"/>
        <w:rPr>
          <w:noProof/>
        </w:rPr>
      </w:pPr>
      <w:r w:rsidRPr="00CB683A">
        <w:rPr>
          <w:noProof/>
        </w:rPr>
        <w:sym w:font="Wingdings" w:char="F0A8"/>
      </w:r>
      <w:r w:rsidRPr="00CB683A">
        <w:rPr>
          <w:noProof/>
        </w:rPr>
        <w:tab/>
        <w:t xml:space="preserve">finanční dopad od RRRR do RRRR u prostředků na závazky a od RRRR do RRRR u prostředků na platby. </w:t>
      </w:r>
    </w:p>
    <w:p w14:paraId="2C06DFB6" w14:textId="77777777" w:rsidR="007F065E" w:rsidRPr="00CB683A" w:rsidRDefault="00E23670" w:rsidP="00FE41E8">
      <w:pPr>
        <w:pStyle w:val="Text1"/>
        <w:rPr>
          <w:noProof/>
        </w:rPr>
      </w:pPr>
      <w:r w:rsidRPr="00CB683A">
        <w:rPr>
          <w:noProof/>
        </w:rPr>
        <w:sym w:font="Wingdings" w:char="F0FD"/>
      </w:r>
      <w:r w:rsidRPr="00CB683A">
        <w:rPr>
          <w:b/>
          <w:i/>
          <w:noProof/>
        </w:rPr>
        <w:t xml:space="preserve"> </w:t>
      </w:r>
      <w:r w:rsidRPr="00CB683A">
        <w:rPr>
          <w:b/>
          <w:noProof/>
        </w:rPr>
        <w:t>Časově neomezená doba trvání</w:t>
      </w:r>
    </w:p>
    <w:p w14:paraId="1EC1049D" w14:textId="77777777" w:rsidR="007F065E" w:rsidRPr="00CB683A" w:rsidRDefault="007F065E" w:rsidP="00FE41E8">
      <w:pPr>
        <w:pStyle w:val="ListDash1"/>
        <w:rPr>
          <w:noProof/>
        </w:rPr>
      </w:pPr>
      <w:r w:rsidRPr="00CB683A">
        <w:rPr>
          <w:noProof/>
        </w:rPr>
        <w:t>Provádění s obdobím rozběhu od roku 2022 do roku 2024,</w:t>
      </w:r>
    </w:p>
    <w:p w14:paraId="6DDAB70D" w14:textId="77777777" w:rsidR="007F065E" w:rsidRPr="00CB683A" w:rsidRDefault="007F065E" w:rsidP="00FE41E8">
      <w:pPr>
        <w:pStyle w:val="ListDash1"/>
        <w:rPr>
          <w:noProof/>
        </w:rPr>
      </w:pPr>
      <w:r w:rsidRPr="00CB683A">
        <w:rPr>
          <w:noProof/>
        </w:rPr>
        <w:t>poté plné fungování.</w:t>
      </w:r>
    </w:p>
    <w:p w14:paraId="7AAD5A84" w14:textId="2127AD0F" w:rsidR="007F065E" w:rsidRPr="00CB683A" w:rsidRDefault="00891439" w:rsidP="00891439">
      <w:pPr>
        <w:pStyle w:val="ManualHeading2"/>
        <w:rPr>
          <w:bCs/>
          <w:noProof/>
          <w:szCs w:val="24"/>
        </w:rPr>
      </w:pPr>
      <w:bookmarkStart w:id="33" w:name="_Toc514938040"/>
      <w:bookmarkStart w:id="34" w:name="_Toc520485041"/>
      <w:r w:rsidRPr="00891439">
        <w:t>1.7.</w:t>
      </w:r>
      <w:r w:rsidRPr="00891439">
        <w:tab/>
      </w:r>
      <w:r w:rsidR="007F065E" w:rsidRPr="00CB683A">
        <w:rPr>
          <w:noProof/>
        </w:rPr>
        <w:t>Předpokládaný způsob řízení</w:t>
      </w:r>
      <w:bookmarkEnd w:id="33"/>
      <w:bookmarkEnd w:id="34"/>
      <w:r w:rsidR="007F065E" w:rsidRPr="00CB683A">
        <w:rPr>
          <w:rStyle w:val="FootnoteReference"/>
          <w:noProof/>
        </w:rPr>
        <w:footnoteReference w:id="49"/>
      </w:r>
      <w:r w:rsidR="007F065E" w:rsidRPr="00CB683A">
        <w:rPr>
          <w:noProof/>
        </w:rPr>
        <w:t xml:space="preserve"> </w:t>
      </w:r>
    </w:p>
    <w:p w14:paraId="67767043" w14:textId="77777777" w:rsidR="007F065E" w:rsidRPr="00CB683A" w:rsidRDefault="00E23670" w:rsidP="00FE41E8">
      <w:pPr>
        <w:pStyle w:val="Text1"/>
        <w:rPr>
          <w:noProof/>
        </w:rPr>
      </w:pPr>
      <w:r w:rsidRPr="00CB683A">
        <w:rPr>
          <w:noProof/>
        </w:rPr>
        <w:sym w:font="Wingdings" w:char="F0FD"/>
      </w:r>
      <w:r w:rsidRPr="00CB683A">
        <w:rPr>
          <w:i/>
          <w:noProof/>
        </w:rPr>
        <w:t xml:space="preserve"> </w:t>
      </w:r>
      <w:r w:rsidRPr="00CB683A">
        <w:rPr>
          <w:b/>
          <w:noProof/>
        </w:rPr>
        <w:t>Přímé řízení</w:t>
      </w:r>
      <w:r w:rsidRPr="00CB683A">
        <w:rPr>
          <w:noProof/>
        </w:rPr>
        <w:t xml:space="preserve"> Komisí</w:t>
      </w:r>
    </w:p>
    <w:p w14:paraId="45BDB359" w14:textId="77777777" w:rsidR="007F065E" w:rsidRPr="00CB683A" w:rsidRDefault="00E23670" w:rsidP="00FE41E8">
      <w:pPr>
        <w:pStyle w:val="ListDash2"/>
        <w:rPr>
          <w:rFonts w:cs="EUAlbertina"/>
          <w:noProof/>
        </w:rPr>
      </w:pPr>
      <w:r w:rsidRPr="00CB683A">
        <w:rPr>
          <w:noProof/>
        </w:rPr>
        <w:sym w:font="Wingdings" w:char="F0FD"/>
      </w:r>
      <w:r w:rsidRPr="00CB683A">
        <w:rPr>
          <w:noProof/>
        </w:rPr>
        <w:t xml:space="preserve"> prostřednictvím jejích útvarů, včetně jejích zaměstnanců v delegacích Unie, </w:t>
      </w:r>
    </w:p>
    <w:p w14:paraId="19964496" w14:textId="77777777" w:rsidR="007F065E" w:rsidRPr="00CB683A" w:rsidRDefault="007F065E" w:rsidP="00FE41E8">
      <w:pPr>
        <w:pStyle w:val="ListDash2"/>
        <w:rPr>
          <w:noProof/>
        </w:rPr>
      </w:pPr>
      <w:r w:rsidRPr="00CB683A">
        <w:rPr>
          <w:noProof/>
        </w:rPr>
        <w:sym w:font="Wingdings" w:char="F0A8"/>
      </w:r>
      <w:r w:rsidRPr="00CB683A">
        <w:rPr>
          <w:noProof/>
        </w:rPr>
        <w:tab/>
        <w:t xml:space="preserve">prostřednictvím výkonných agentur. </w:t>
      </w:r>
    </w:p>
    <w:p w14:paraId="34D1ED82" w14:textId="77777777" w:rsidR="007F065E" w:rsidRPr="00CB683A" w:rsidRDefault="007F065E" w:rsidP="00FE41E8">
      <w:pPr>
        <w:pStyle w:val="Text1"/>
        <w:rPr>
          <w:noProof/>
        </w:rPr>
      </w:pPr>
      <w:r w:rsidRPr="00CB683A">
        <w:rPr>
          <w:noProof/>
        </w:rPr>
        <w:sym w:font="Wingdings" w:char="F0A8"/>
      </w:r>
      <w:r w:rsidRPr="00CB683A">
        <w:rPr>
          <w:b/>
          <w:i/>
          <w:noProof/>
        </w:rPr>
        <w:t xml:space="preserve"> </w:t>
      </w:r>
      <w:r w:rsidRPr="00CB683A">
        <w:rPr>
          <w:b/>
          <w:noProof/>
        </w:rPr>
        <w:t>Sdílené řízení</w:t>
      </w:r>
      <w:r w:rsidRPr="00CB683A">
        <w:rPr>
          <w:noProof/>
        </w:rPr>
        <w:t xml:space="preserve"> s členskými státy </w:t>
      </w:r>
    </w:p>
    <w:p w14:paraId="749164D9" w14:textId="77777777" w:rsidR="007F065E" w:rsidRPr="00CB683A" w:rsidRDefault="007F065E" w:rsidP="00FE41E8">
      <w:pPr>
        <w:pStyle w:val="Text1"/>
        <w:rPr>
          <w:noProof/>
        </w:rPr>
      </w:pPr>
      <w:r w:rsidRPr="00CB683A">
        <w:rPr>
          <w:noProof/>
        </w:rPr>
        <w:sym w:font="Wingdings" w:char="F0A8"/>
      </w:r>
      <w:r w:rsidRPr="00CB683A">
        <w:rPr>
          <w:i/>
          <w:noProof/>
        </w:rPr>
        <w:t xml:space="preserve"> </w:t>
      </w:r>
      <w:r w:rsidRPr="00CB683A">
        <w:rPr>
          <w:b/>
          <w:noProof/>
        </w:rPr>
        <w:t>Nepřímé řízení</w:t>
      </w:r>
      <w:r w:rsidRPr="00CB683A">
        <w:rPr>
          <w:noProof/>
        </w:rPr>
        <w:t>, při kterém jsou úkoly souvisejícími s plněním rozpočtu pověřeny:</w:t>
      </w:r>
    </w:p>
    <w:p w14:paraId="08D6C3C2" w14:textId="77777777" w:rsidR="007F065E" w:rsidRPr="00CB683A" w:rsidRDefault="007F065E" w:rsidP="00FE41E8">
      <w:pPr>
        <w:pStyle w:val="ListDash2"/>
        <w:rPr>
          <w:noProof/>
        </w:rPr>
      </w:pPr>
      <w:r w:rsidRPr="00CB683A">
        <w:rPr>
          <w:noProof/>
        </w:rPr>
        <w:sym w:font="Wingdings" w:char="F0A8"/>
      </w:r>
      <w:r w:rsidRPr="00CB683A">
        <w:rPr>
          <w:noProof/>
        </w:rPr>
        <w:t xml:space="preserve"> třetí země nebo subjekty určené těmito zeměmi,</w:t>
      </w:r>
    </w:p>
    <w:p w14:paraId="3220A4BF" w14:textId="77777777" w:rsidR="007F065E" w:rsidRPr="00CB683A" w:rsidRDefault="007F065E" w:rsidP="00FE41E8">
      <w:pPr>
        <w:pStyle w:val="ListDash2"/>
        <w:rPr>
          <w:noProof/>
        </w:rPr>
      </w:pPr>
      <w:r w:rsidRPr="00CB683A">
        <w:rPr>
          <w:noProof/>
        </w:rPr>
        <w:sym w:font="Wingdings" w:char="F0A8"/>
      </w:r>
      <w:r w:rsidRPr="00CB683A">
        <w:rPr>
          <w:noProof/>
        </w:rPr>
        <w:t xml:space="preserve"> mezinárodní organizace a jejich agentury (upřesněte),</w:t>
      </w:r>
    </w:p>
    <w:p w14:paraId="295D00DD" w14:textId="77777777" w:rsidR="007F065E" w:rsidRPr="00CB683A" w:rsidRDefault="007F065E" w:rsidP="00FE41E8">
      <w:pPr>
        <w:pStyle w:val="ListDash2"/>
        <w:rPr>
          <w:noProof/>
        </w:rPr>
      </w:pPr>
      <w:r w:rsidRPr="00CB683A">
        <w:rPr>
          <w:noProof/>
        </w:rPr>
        <w:sym w:font="Wingdings" w:char="F0A8"/>
      </w:r>
      <w:r w:rsidRPr="00CB683A">
        <w:rPr>
          <w:noProof/>
        </w:rPr>
        <w:t xml:space="preserve"> EIB a Evropský investiční fond,</w:t>
      </w:r>
    </w:p>
    <w:p w14:paraId="6FF6F114" w14:textId="77777777" w:rsidR="007F065E" w:rsidRPr="00CB683A" w:rsidRDefault="007F065E" w:rsidP="00FE41E8">
      <w:pPr>
        <w:pStyle w:val="ListDash2"/>
        <w:rPr>
          <w:noProof/>
        </w:rPr>
      </w:pPr>
      <w:r w:rsidRPr="00CB683A">
        <w:rPr>
          <w:noProof/>
        </w:rPr>
        <w:sym w:font="Wingdings" w:char="F0A8"/>
      </w:r>
      <w:r w:rsidRPr="00CB683A">
        <w:rPr>
          <w:noProof/>
        </w:rPr>
        <w:t xml:space="preserve"> subjekty uvedené v článcích 70 a 71 finančního nařízení,</w:t>
      </w:r>
    </w:p>
    <w:p w14:paraId="6F8B8173" w14:textId="77777777" w:rsidR="007F065E" w:rsidRPr="00CB683A" w:rsidRDefault="007F065E" w:rsidP="00FE41E8">
      <w:pPr>
        <w:pStyle w:val="ListDash2"/>
        <w:rPr>
          <w:noProof/>
        </w:rPr>
      </w:pPr>
      <w:r w:rsidRPr="00CB683A">
        <w:rPr>
          <w:noProof/>
        </w:rPr>
        <w:sym w:font="Wingdings" w:char="F0A8"/>
      </w:r>
      <w:r w:rsidRPr="00CB683A">
        <w:rPr>
          <w:noProof/>
        </w:rPr>
        <w:t xml:space="preserve"> veřejnoprávní subjekty,</w:t>
      </w:r>
    </w:p>
    <w:p w14:paraId="55F21C47" w14:textId="77777777" w:rsidR="007F065E" w:rsidRPr="00CB683A" w:rsidRDefault="007F065E" w:rsidP="00FE41E8">
      <w:pPr>
        <w:pStyle w:val="ListDash2"/>
        <w:rPr>
          <w:noProof/>
        </w:rPr>
      </w:pPr>
      <w:r w:rsidRPr="00CB683A">
        <w:rPr>
          <w:noProof/>
        </w:rPr>
        <w:sym w:font="Wingdings" w:char="F0A8"/>
      </w:r>
      <w:r w:rsidRPr="00CB683A">
        <w:rPr>
          <w:noProof/>
        </w:rPr>
        <w:t xml:space="preserve"> soukromoprávní subjekty pověřené výkonem veřejné služby v rozsahu, v jakém jim byly poskytnuty dostatečné finanční záruky,</w:t>
      </w:r>
    </w:p>
    <w:p w14:paraId="4433A13D" w14:textId="77777777" w:rsidR="007F065E" w:rsidRPr="00CB683A" w:rsidRDefault="007F065E" w:rsidP="00FE41E8">
      <w:pPr>
        <w:pStyle w:val="ListDash2"/>
        <w:rPr>
          <w:noProof/>
        </w:rPr>
      </w:pPr>
      <w:r w:rsidRPr="00CB683A">
        <w:rPr>
          <w:noProof/>
        </w:rPr>
        <w:sym w:font="Wingdings" w:char="F0A8"/>
      </w:r>
      <w:r w:rsidRPr="00CB683A">
        <w:rPr>
          <w:noProof/>
        </w:rPr>
        <w:t xml:space="preserve"> soukromoprávní subjekty členského státu pověřené uskutečňováním partnerství veřejného a soukromého sektoru a poskytující dostatečné finanční záruky,</w:t>
      </w:r>
    </w:p>
    <w:p w14:paraId="0BBD8C03" w14:textId="77777777" w:rsidR="007F065E" w:rsidRPr="00CB683A" w:rsidRDefault="007F065E" w:rsidP="00FE41E8">
      <w:pPr>
        <w:pStyle w:val="ListDash2"/>
        <w:rPr>
          <w:noProof/>
        </w:rPr>
      </w:pPr>
      <w:r w:rsidRPr="00CB683A">
        <w:rPr>
          <w:noProof/>
        </w:rPr>
        <w:sym w:font="Wingdings" w:char="F0A8"/>
      </w:r>
      <w:r w:rsidRPr="00CB683A">
        <w:rPr>
          <w:noProof/>
        </w:rPr>
        <w:t xml:space="preserve"> osoby pověřené prováděním specifických akcí v rámci společné zahraniční a bezpečnostní politiky podle hlavy V Smlouvy o EU a určené v příslušném základním právním aktu.</w:t>
      </w:r>
    </w:p>
    <w:p w14:paraId="01B10352" w14:textId="77777777" w:rsidR="007F065E" w:rsidRPr="00CB683A" w:rsidRDefault="007F065E" w:rsidP="00FE41E8">
      <w:pPr>
        <w:pStyle w:val="ListDash2"/>
        <w:rPr>
          <w:i/>
          <w:noProof/>
          <w:sz w:val="18"/>
          <w:u w:val="single"/>
        </w:rPr>
      </w:pPr>
      <w:r w:rsidRPr="00CB683A">
        <w:rPr>
          <w:i/>
          <w:noProof/>
          <w:sz w:val="18"/>
        </w:rPr>
        <w:t>Pokud vyberete více způsobů řízení, upřesněte je v části „Poznámky“.</w:t>
      </w:r>
    </w:p>
    <w:p w14:paraId="7ED9050D" w14:textId="77777777" w:rsidR="007F065E" w:rsidRPr="00CB683A" w:rsidRDefault="007F065E" w:rsidP="00FE41E8">
      <w:pPr>
        <w:rPr>
          <w:noProof/>
        </w:rPr>
      </w:pPr>
      <w:r w:rsidRPr="00CB683A">
        <w:rPr>
          <w:noProof/>
        </w:rPr>
        <w:t xml:space="preserve">Poznámky </w:t>
      </w:r>
    </w:p>
    <w:p w14:paraId="66A3C0A1" w14:textId="77777777" w:rsidR="007F065E" w:rsidRPr="00CB683A" w:rsidRDefault="007F065E" w:rsidP="00FE41E8">
      <w:pPr>
        <w:rPr>
          <w:noProof/>
        </w:rPr>
        <w:sectPr w:rsidR="007F065E" w:rsidRPr="00CB683A" w:rsidSect="009925B6">
          <w:pgSz w:w="11907" w:h="16840" w:code="9"/>
          <w:pgMar w:top="1134" w:right="1418" w:bottom="1134" w:left="1418" w:header="709" w:footer="709" w:gutter="0"/>
          <w:cols w:space="708"/>
          <w:docGrid w:linePitch="360"/>
        </w:sectPr>
      </w:pPr>
    </w:p>
    <w:p w14:paraId="3321C977" w14:textId="4DADD741" w:rsidR="007F065E" w:rsidRPr="00CB683A" w:rsidRDefault="00891439" w:rsidP="00891439">
      <w:pPr>
        <w:pStyle w:val="ManualHeading1"/>
        <w:rPr>
          <w:bCs/>
          <w:noProof/>
          <w:szCs w:val="24"/>
        </w:rPr>
      </w:pPr>
      <w:bookmarkStart w:id="35" w:name="_Toc514938041"/>
      <w:bookmarkStart w:id="36" w:name="_Toc520485042"/>
      <w:r w:rsidRPr="00891439">
        <w:t>2.</w:t>
      </w:r>
      <w:r w:rsidRPr="00891439">
        <w:tab/>
      </w:r>
      <w:r w:rsidR="007F065E" w:rsidRPr="00CB683A">
        <w:rPr>
          <w:noProof/>
        </w:rPr>
        <w:t>SPRÁVNÍ OPATŘENÍ</w:t>
      </w:r>
      <w:bookmarkEnd w:id="35"/>
      <w:bookmarkEnd w:id="36"/>
      <w:r w:rsidR="007F065E" w:rsidRPr="00CB683A">
        <w:rPr>
          <w:noProof/>
        </w:rPr>
        <w:t xml:space="preserve"> </w:t>
      </w:r>
    </w:p>
    <w:p w14:paraId="323AA011" w14:textId="78E6EA0C" w:rsidR="007F065E" w:rsidRPr="00CB683A" w:rsidRDefault="00891439" w:rsidP="00891439">
      <w:pPr>
        <w:pStyle w:val="ManualHeading2"/>
        <w:rPr>
          <w:noProof/>
        </w:rPr>
      </w:pPr>
      <w:bookmarkStart w:id="37" w:name="_Toc514938042"/>
      <w:bookmarkStart w:id="38" w:name="_Toc520485043"/>
      <w:r w:rsidRPr="00891439">
        <w:t>2.1.</w:t>
      </w:r>
      <w:r w:rsidRPr="00891439">
        <w:tab/>
      </w:r>
      <w:r w:rsidR="007F065E" w:rsidRPr="00CB683A">
        <w:rPr>
          <w:noProof/>
        </w:rPr>
        <w:t>Pravidla pro sledování a podávání zpráv</w:t>
      </w:r>
      <w:bookmarkEnd w:id="37"/>
      <w:bookmarkEnd w:id="38"/>
      <w:r w:rsidR="007F065E" w:rsidRPr="00CB683A">
        <w:rPr>
          <w:noProof/>
        </w:rPr>
        <w:t xml:space="preserve"> </w:t>
      </w:r>
    </w:p>
    <w:p w14:paraId="0E1B6ABF" w14:textId="77777777" w:rsidR="007F065E" w:rsidRPr="00CB683A" w:rsidRDefault="007F065E" w:rsidP="00FE41E8">
      <w:pPr>
        <w:pStyle w:val="Text1"/>
        <w:rPr>
          <w:i/>
          <w:noProof/>
          <w:sz w:val="20"/>
        </w:rPr>
      </w:pPr>
      <w:r w:rsidRPr="00CB683A">
        <w:rPr>
          <w:i/>
          <w:noProof/>
          <w:sz w:val="20"/>
        </w:rPr>
        <w:t>Upřesněte četnost a podmínky.</w:t>
      </w:r>
    </w:p>
    <w:p w14:paraId="4CDAC833" w14:textId="77777777" w:rsidR="007F065E" w:rsidRPr="00CB683A" w:rsidRDefault="0060001B" w:rsidP="00FE41E8">
      <w:pPr>
        <w:pStyle w:val="Text1"/>
        <w:pBdr>
          <w:top w:val="single" w:sz="4" w:space="1" w:color="auto"/>
          <w:left w:val="single" w:sz="4" w:space="4" w:color="auto"/>
          <w:bottom w:val="single" w:sz="4" w:space="1" w:color="auto"/>
          <w:right w:val="single" w:sz="4" w:space="4" w:color="auto"/>
        </w:pBdr>
        <w:rPr>
          <w:noProof/>
        </w:rPr>
      </w:pPr>
      <w:r w:rsidRPr="00CB683A">
        <w:rPr>
          <w:noProof/>
        </w:rPr>
        <w:t>Podle tohoto návrhu by členské státy měly od března 2027 předkládat každé tři roky zprávy o kvalitě všech údajů a metadat shromážděných podle tohoto nařízení.</w:t>
      </w:r>
    </w:p>
    <w:p w14:paraId="003F29D1" w14:textId="77777777" w:rsidR="0060001B" w:rsidRPr="00CB683A" w:rsidRDefault="0060001B" w:rsidP="00FE41E8">
      <w:pPr>
        <w:pStyle w:val="Text1"/>
        <w:pBdr>
          <w:top w:val="single" w:sz="4" w:space="1" w:color="auto"/>
          <w:left w:val="single" w:sz="4" w:space="4" w:color="auto"/>
          <w:bottom w:val="single" w:sz="4" w:space="1" w:color="auto"/>
          <w:right w:val="single" w:sz="4" w:space="4" w:color="auto"/>
        </w:pBdr>
        <w:rPr>
          <w:noProof/>
        </w:rPr>
      </w:pPr>
      <w:r w:rsidRPr="00CB683A">
        <w:rPr>
          <w:noProof/>
        </w:rPr>
        <w:t>Kromě toho musí Komise (Eurostat) ve spolupráci s členskými státy vypracovat zprávy o výsledcích všech pilotních studií provedených podle tohoto nařízení.</w:t>
      </w:r>
    </w:p>
    <w:p w14:paraId="1233EFE0" w14:textId="74AF01D9" w:rsidR="007F065E" w:rsidRPr="00CB683A" w:rsidRDefault="00891439" w:rsidP="00891439">
      <w:pPr>
        <w:pStyle w:val="ManualHeading2"/>
        <w:rPr>
          <w:bCs/>
          <w:noProof/>
          <w:szCs w:val="24"/>
        </w:rPr>
      </w:pPr>
      <w:bookmarkStart w:id="39" w:name="_Toc514938045"/>
      <w:bookmarkStart w:id="40" w:name="_Toc520485044"/>
      <w:r w:rsidRPr="00891439">
        <w:t>2.2.</w:t>
      </w:r>
      <w:r w:rsidRPr="00891439">
        <w:tab/>
      </w:r>
      <w:r w:rsidR="007F065E" w:rsidRPr="00CB683A">
        <w:rPr>
          <w:noProof/>
        </w:rPr>
        <w:t>Systémy řízení a kontroly</w:t>
      </w:r>
      <w:bookmarkEnd w:id="39"/>
      <w:bookmarkEnd w:id="40"/>
      <w:r w:rsidR="007F065E" w:rsidRPr="00CB683A">
        <w:rPr>
          <w:noProof/>
        </w:rPr>
        <w:t xml:space="preserve"> </w:t>
      </w:r>
    </w:p>
    <w:p w14:paraId="6D8619A6" w14:textId="13C12B83" w:rsidR="007F065E" w:rsidRPr="00CB683A" w:rsidRDefault="00891439" w:rsidP="00891439">
      <w:pPr>
        <w:pStyle w:val="ManualHeading3"/>
        <w:rPr>
          <w:noProof/>
        </w:rPr>
      </w:pPr>
      <w:bookmarkStart w:id="41" w:name="_Toc514938046"/>
      <w:bookmarkStart w:id="42" w:name="_Toc520485045"/>
      <w:r w:rsidRPr="00891439">
        <w:t>2.2.1.</w:t>
      </w:r>
      <w:r w:rsidRPr="00891439">
        <w:tab/>
      </w:r>
      <w:r w:rsidR="007F065E" w:rsidRPr="00CB683A">
        <w:rPr>
          <w:noProof/>
        </w:rPr>
        <w:t>Odůvodnění navrhovaných způsobů řízení, mechanismů provádění financování, způsobů plateb a kontrolní strategie</w:t>
      </w:r>
      <w:bookmarkEnd w:id="41"/>
      <w:bookmarkEnd w:id="42"/>
    </w:p>
    <w:p w14:paraId="4C92E321" w14:textId="77777777" w:rsidR="006D47A5" w:rsidRPr="00CB683A" w:rsidRDefault="006D47A5" w:rsidP="006D47A5">
      <w:pPr>
        <w:pStyle w:val="Text1"/>
        <w:pBdr>
          <w:top w:val="single" w:sz="4" w:space="1" w:color="auto"/>
          <w:left w:val="single" w:sz="4" w:space="4" w:color="auto"/>
          <w:bottom w:val="single" w:sz="4" w:space="1" w:color="auto"/>
          <w:right w:val="single" w:sz="4" w:space="4" w:color="auto"/>
        </w:pBdr>
        <w:rPr>
          <w:noProof/>
        </w:rPr>
      </w:pPr>
      <w:r w:rsidRPr="00CB683A">
        <w:rPr>
          <w:noProof/>
        </w:rPr>
        <w:t>Jelikož bylo pro návrh jako způsob řízení vybráno přímé řízení Komisí, týkají se hlavní přirozená rizika řízení zadávání veřejných zakázek a grantů.</w:t>
      </w:r>
    </w:p>
    <w:p w14:paraId="3A2055B6" w14:textId="77777777" w:rsidR="00354D58" w:rsidRPr="00CB683A" w:rsidRDefault="00354D58" w:rsidP="00354D58">
      <w:pPr>
        <w:pStyle w:val="Text1"/>
        <w:pBdr>
          <w:top w:val="single" w:sz="4" w:space="1" w:color="auto"/>
          <w:left w:val="single" w:sz="4" w:space="4" w:color="auto"/>
          <w:bottom w:val="single" w:sz="4" w:space="1" w:color="auto"/>
          <w:right w:val="single" w:sz="4" w:space="4" w:color="auto"/>
        </w:pBdr>
        <w:rPr>
          <w:noProof/>
        </w:rPr>
      </w:pPr>
      <w:r w:rsidRPr="00CB683A">
        <w:rPr>
          <w:noProof/>
        </w:rPr>
        <w:t>Kontrolní strategie Eurostatu se zaměřuje na transakce v oblasti grantových dohod a veřejných zakázek. Vychází z posouzení rizik a řídí se zásadami hospodárnosti, efektivnosti a účinnosti. Podporuje i) zjišťování a řízení rizik; ii) stanoví rámec pro všechny druhy kontrolních činností u finančních transakcí v rámci Eurostatu; iii) podporuje snížení zjištěné chybovosti následných kontrol grantových dohod na přijatelnou úroveň a její udržení na této úrovni; iv) zvyšuje efektivnost a účinnost kontrol a v) snižuje administrativní zátěž příjemců a Eurostatu.</w:t>
      </w:r>
    </w:p>
    <w:p w14:paraId="0584F01A" w14:textId="77777777" w:rsidR="00354D58" w:rsidRPr="00CB683A" w:rsidRDefault="00354D58" w:rsidP="00354D58">
      <w:pPr>
        <w:pStyle w:val="Text1"/>
        <w:pBdr>
          <w:top w:val="single" w:sz="4" w:space="1" w:color="auto"/>
          <w:left w:val="single" w:sz="4" w:space="4" w:color="auto"/>
          <w:bottom w:val="single" w:sz="4" w:space="1" w:color="auto"/>
          <w:right w:val="single" w:sz="4" w:space="4" w:color="auto"/>
        </w:pBdr>
        <w:rPr>
          <w:noProof/>
        </w:rPr>
      </w:pPr>
      <w:r w:rsidRPr="00CB683A">
        <w:rPr>
          <w:noProof/>
        </w:rPr>
        <w:t xml:space="preserve">Pokud jde o zadávání veřejných zakázek, preventivní kontroly (kontroly </w:t>
      </w:r>
      <w:r w:rsidRPr="00CB683A">
        <w:rPr>
          <w:i/>
          <w:noProof/>
        </w:rPr>
        <w:t>ex ante</w:t>
      </w:r>
      <w:r w:rsidRPr="00CB683A">
        <w:rPr>
          <w:noProof/>
        </w:rPr>
        <w:t xml:space="preserve">) zahrnují hodnocení rizika koncentrace u transakcí spojených se zadáváním veřejných zakázek a přezkumy kvality </w:t>
      </w:r>
      <w:r w:rsidRPr="00CB683A">
        <w:rPr>
          <w:i/>
          <w:noProof/>
        </w:rPr>
        <w:t>ex post</w:t>
      </w:r>
      <w:r w:rsidRPr="00CB683A">
        <w:rPr>
          <w:noProof/>
        </w:rPr>
        <w:t>.</w:t>
      </w:r>
    </w:p>
    <w:p w14:paraId="57FBC5C6" w14:textId="77777777" w:rsidR="007F065E" w:rsidRPr="00CB683A" w:rsidRDefault="00D25247" w:rsidP="00E932E3">
      <w:pPr>
        <w:pStyle w:val="Text1"/>
        <w:pBdr>
          <w:top w:val="single" w:sz="4" w:space="1" w:color="auto"/>
          <w:left w:val="single" w:sz="4" w:space="4" w:color="auto"/>
          <w:bottom w:val="single" w:sz="4" w:space="1" w:color="auto"/>
          <w:right w:val="single" w:sz="4" w:space="4" w:color="auto"/>
        </w:pBdr>
        <w:rPr>
          <w:noProof/>
          <w:color w:val="0000FF"/>
        </w:rPr>
      </w:pPr>
      <w:r w:rsidRPr="00CB683A">
        <w:rPr>
          <w:noProof/>
        </w:rPr>
        <w:t xml:space="preserve">Pokud jde o granty, preventivní kontroly (kontroly </w:t>
      </w:r>
      <w:r w:rsidRPr="00CB683A">
        <w:rPr>
          <w:i/>
          <w:noProof/>
        </w:rPr>
        <w:t>ex ante</w:t>
      </w:r>
      <w:r w:rsidRPr="00CB683A">
        <w:rPr>
          <w:noProof/>
        </w:rPr>
        <w:t xml:space="preserve">) obsahují detektivní kontroly (kontroly </w:t>
      </w:r>
      <w:r w:rsidRPr="00CB683A">
        <w:rPr>
          <w:i/>
          <w:noProof/>
        </w:rPr>
        <w:t>ex post</w:t>
      </w:r>
      <w:r w:rsidRPr="00CB683A">
        <w:rPr>
          <w:noProof/>
        </w:rPr>
        <w:t xml:space="preserve">), pravidelné hodnocení jednorázových částek, jednotkových nákladů nebo paušálních sazeb a kontroly </w:t>
      </w:r>
      <w:r w:rsidRPr="00CB683A">
        <w:rPr>
          <w:i/>
          <w:noProof/>
        </w:rPr>
        <w:t>ad hoc</w:t>
      </w:r>
      <w:r w:rsidRPr="00CB683A">
        <w:rPr>
          <w:noProof/>
        </w:rPr>
        <w:t>.</w:t>
      </w:r>
    </w:p>
    <w:p w14:paraId="70DF1CD6" w14:textId="265E892C" w:rsidR="007F065E" w:rsidRPr="00CB683A" w:rsidRDefault="00891439" w:rsidP="00891439">
      <w:pPr>
        <w:pStyle w:val="ManualHeading3"/>
        <w:rPr>
          <w:bCs/>
          <w:noProof/>
          <w:szCs w:val="24"/>
        </w:rPr>
      </w:pPr>
      <w:bookmarkStart w:id="43" w:name="_Toc514938047"/>
      <w:bookmarkStart w:id="44" w:name="_Toc520485046"/>
      <w:r w:rsidRPr="00891439">
        <w:t>2.2.2.</w:t>
      </w:r>
      <w:r w:rsidRPr="00891439">
        <w:tab/>
      </w:r>
      <w:r w:rsidR="007F065E" w:rsidRPr="00CB683A">
        <w:rPr>
          <w:noProof/>
        </w:rPr>
        <w:t>Informace o zjištěných rizicích a systémech vnitřní kontroly zřízených k jejich zmírnění</w:t>
      </w:r>
      <w:bookmarkEnd w:id="43"/>
      <w:bookmarkEnd w:id="44"/>
    </w:p>
    <w:p w14:paraId="3A622AC3" w14:textId="77777777" w:rsidR="007F065E" w:rsidRPr="00CB683A" w:rsidRDefault="006D47A5" w:rsidP="00FE41E8">
      <w:pPr>
        <w:pStyle w:val="Text1"/>
        <w:pBdr>
          <w:top w:val="single" w:sz="4" w:space="1" w:color="auto"/>
          <w:left w:val="single" w:sz="4" w:space="4" w:color="auto"/>
          <w:bottom w:val="single" w:sz="4" w:space="1" w:color="auto"/>
          <w:right w:val="single" w:sz="4" w:space="4" w:color="auto"/>
        </w:pBdr>
        <w:rPr>
          <w:noProof/>
        </w:rPr>
      </w:pPr>
      <w:r w:rsidRPr="00CB683A">
        <w:rPr>
          <w:noProof/>
        </w:rPr>
        <w:t xml:space="preserve">Komise (Eurostat) vypracovala kontrolní strategii. Opatření a nástroje uvedené v této strategii se v plném rozsahu vztahují na poskytování statistik v rámci navrhovaného nařízení. Změny zavedené strategií mohou snížit pravděpodobnost podvodů a přispět k jejich prevenci. Patří mezi ně: omezování složitosti, uplatňování hospodárných postupů monitorování a provádění kontrol </w:t>
      </w:r>
      <w:r w:rsidRPr="00CB683A">
        <w:rPr>
          <w:i/>
          <w:noProof/>
        </w:rPr>
        <w:t>ex ante</w:t>
      </w:r>
      <w:r w:rsidRPr="00CB683A">
        <w:rPr>
          <w:noProof/>
        </w:rPr>
        <w:t xml:space="preserve"> a </w:t>
      </w:r>
      <w:r w:rsidRPr="00CB683A">
        <w:rPr>
          <w:i/>
          <w:noProof/>
        </w:rPr>
        <w:t>ex post</w:t>
      </w:r>
      <w:r w:rsidRPr="00CB683A">
        <w:rPr>
          <w:noProof/>
        </w:rPr>
        <w:t xml:space="preserve"> založených na posouzení rizik. Součástí strategie jsou rovněž opatření na zvyšování povědomí a odborná příprava zaměřená na prevenci podvodů</w:t>
      </w:r>
      <w:r w:rsidRPr="00CB683A">
        <w:rPr>
          <w:noProof/>
          <w:color w:val="0000FF"/>
        </w:rPr>
        <w:t>.</w:t>
      </w:r>
    </w:p>
    <w:p w14:paraId="630F5FC4" w14:textId="3D5CA624" w:rsidR="007F065E" w:rsidRPr="00CB683A" w:rsidRDefault="00891439" w:rsidP="00891439">
      <w:pPr>
        <w:pStyle w:val="ManualHeading3"/>
        <w:rPr>
          <w:noProof/>
        </w:rPr>
      </w:pPr>
      <w:bookmarkStart w:id="45" w:name="_Toc514938048"/>
      <w:bookmarkStart w:id="46" w:name="_Toc520485047"/>
      <w:r w:rsidRPr="00891439">
        <w:t>2.2.3.</w:t>
      </w:r>
      <w:r w:rsidRPr="00891439">
        <w:tab/>
      </w:r>
      <w:r w:rsidR="007F065E" w:rsidRPr="00CB683A">
        <w:rPr>
          <w:noProof/>
        </w:rPr>
        <w:t>Odhad a odůvodnění nákladové efektivnosti kontrol (poměr „náklady na kontroly ÷ hodnota souvisejících spravovaných finančních prostředků“) a posouzení očekávané míry rizika výskytu chyb (při platbě a při uzávěrce)</w:t>
      </w:r>
      <w:bookmarkEnd w:id="45"/>
      <w:bookmarkEnd w:id="46"/>
      <w:r w:rsidR="007F065E" w:rsidRPr="00CB683A">
        <w:rPr>
          <w:noProof/>
        </w:rPr>
        <w:t xml:space="preserve"> </w:t>
      </w:r>
    </w:p>
    <w:p w14:paraId="5FD9D5BE" w14:textId="77777777" w:rsidR="002F453E" w:rsidRPr="00CB683A" w:rsidRDefault="002F453E" w:rsidP="002F453E">
      <w:pPr>
        <w:pStyle w:val="Text1"/>
        <w:pBdr>
          <w:top w:val="single" w:sz="4" w:space="1" w:color="auto"/>
          <w:left w:val="single" w:sz="4" w:space="4" w:color="auto"/>
          <w:bottom w:val="single" w:sz="4" w:space="1" w:color="auto"/>
          <w:right w:val="single" w:sz="4" w:space="4" w:color="auto"/>
        </w:pBdr>
        <w:rPr>
          <w:noProof/>
        </w:rPr>
      </w:pPr>
      <w:r w:rsidRPr="00CB683A">
        <w:rPr>
          <w:noProof/>
        </w:rPr>
        <w:t xml:space="preserve">Komise (Eurostat) má zavedenou kontrolní strategii, jejímž cílem je obecně snížit riziko nesouladu pod kritérium významnosti ve výši 2 % v souladu s cíli vnitřní kontroly a řízení rizik stanovenými v jejím statistickém programu (Program pro jednotný trh v současném víceletém finančním rámci). Na 100 % finančních transakcí (a tudíž 100 % rozpočtu) se budou v souladu s finančním nařízením vztahovat povinné kontroly </w:t>
      </w:r>
      <w:r w:rsidRPr="00CB683A">
        <w:rPr>
          <w:i/>
          <w:noProof/>
        </w:rPr>
        <w:t>ex ante</w:t>
      </w:r>
      <w:r w:rsidRPr="00CB683A">
        <w:rPr>
          <w:noProof/>
        </w:rPr>
        <w:t>.</w:t>
      </w:r>
    </w:p>
    <w:p w14:paraId="42E9B74F" w14:textId="77777777" w:rsidR="002F453E" w:rsidRPr="00CB683A" w:rsidRDefault="002F453E" w:rsidP="002F453E">
      <w:pPr>
        <w:pStyle w:val="Text1"/>
        <w:pBdr>
          <w:top w:val="single" w:sz="4" w:space="1" w:color="auto"/>
          <w:left w:val="single" w:sz="4" w:space="4" w:color="auto"/>
          <w:bottom w:val="single" w:sz="4" w:space="1" w:color="auto"/>
          <w:right w:val="single" w:sz="4" w:space="4" w:color="auto"/>
        </w:pBdr>
        <w:rPr>
          <w:noProof/>
        </w:rPr>
      </w:pPr>
      <w:r w:rsidRPr="00CB683A">
        <w:rPr>
          <w:noProof/>
        </w:rPr>
        <w:t xml:space="preserve">Navíc budou v rámci roční analýzy rizika prováděny kontroly na základě podrobné analýzy podkladové dokumentace. Ty by mohly pokrývat 4–6 % celkového rozpočtu spravovaného Eurostatem. </w:t>
      </w:r>
    </w:p>
    <w:p w14:paraId="1B2A3103" w14:textId="5B1485C4" w:rsidR="007F065E" w:rsidRPr="00CB683A" w:rsidRDefault="00891439" w:rsidP="00891439">
      <w:pPr>
        <w:pStyle w:val="ManualHeading2"/>
        <w:rPr>
          <w:bCs/>
          <w:noProof/>
          <w:szCs w:val="24"/>
        </w:rPr>
      </w:pPr>
      <w:bookmarkStart w:id="47" w:name="_Toc514938049"/>
      <w:bookmarkStart w:id="48" w:name="_Toc520485048"/>
      <w:r w:rsidRPr="00891439">
        <w:t>2.3.</w:t>
      </w:r>
      <w:r w:rsidRPr="00891439">
        <w:tab/>
      </w:r>
      <w:r w:rsidR="007F065E" w:rsidRPr="00CB683A">
        <w:rPr>
          <w:noProof/>
        </w:rPr>
        <w:t>Opatření k zamezení podvodů a nesrovnalostí</w:t>
      </w:r>
      <w:bookmarkEnd w:id="47"/>
      <w:bookmarkEnd w:id="48"/>
      <w:r w:rsidR="007F065E" w:rsidRPr="00CB683A">
        <w:rPr>
          <w:noProof/>
        </w:rPr>
        <w:t xml:space="preserve"> </w:t>
      </w:r>
    </w:p>
    <w:p w14:paraId="3CA6F55D" w14:textId="77777777" w:rsidR="007F065E" w:rsidRPr="00CB683A" w:rsidRDefault="007F065E" w:rsidP="00FE41E8">
      <w:pPr>
        <w:pStyle w:val="Text1"/>
        <w:rPr>
          <w:i/>
          <w:noProof/>
          <w:sz w:val="20"/>
        </w:rPr>
      </w:pPr>
      <w:r w:rsidRPr="00CB683A">
        <w:rPr>
          <w:i/>
          <w:noProof/>
          <w:sz w:val="20"/>
        </w:rPr>
        <w:t>Upřesněte stávající či předpokládaná preventivní a ochranná opatření, např. opatření uvedená ve strategii pro boj proti podvodům.</w:t>
      </w:r>
    </w:p>
    <w:p w14:paraId="6C1FD03E" w14:textId="77777777" w:rsidR="001A6814" w:rsidRPr="00CB683A" w:rsidRDefault="001A6814" w:rsidP="001A6814">
      <w:pPr>
        <w:pStyle w:val="Text1"/>
        <w:pBdr>
          <w:top w:val="single" w:sz="4" w:space="1" w:color="auto"/>
          <w:left w:val="single" w:sz="4" w:space="4" w:color="auto"/>
          <w:bottom w:val="single" w:sz="4" w:space="1" w:color="auto"/>
          <w:right w:val="single" w:sz="4" w:space="4" w:color="auto"/>
        </w:pBdr>
        <w:rPr>
          <w:noProof/>
        </w:rPr>
      </w:pPr>
      <w:r w:rsidRPr="00CB683A">
        <w:rPr>
          <w:noProof/>
        </w:rPr>
        <w:t>Dne 30. října 2013 přijal Eurostat svou první strategii proti podvodům na období 2014–2017, která je v souladu se strategií Komise proti podvodům ze dne 24. června 2011. Stávající strategie proti podvodům se vztahuje na období 2021–2024.</w:t>
      </w:r>
    </w:p>
    <w:p w14:paraId="1B84C41A" w14:textId="77777777" w:rsidR="001A6814" w:rsidRPr="00CB683A" w:rsidRDefault="001A6814" w:rsidP="001A6814">
      <w:pPr>
        <w:pStyle w:val="Text1"/>
        <w:pBdr>
          <w:top w:val="single" w:sz="4" w:space="1" w:color="auto"/>
          <w:left w:val="single" w:sz="4" w:space="4" w:color="auto"/>
          <w:bottom w:val="single" w:sz="4" w:space="1" w:color="auto"/>
          <w:right w:val="single" w:sz="4" w:space="4" w:color="auto"/>
        </w:pBdr>
        <w:rPr>
          <w:noProof/>
        </w:rPr>
      </w:pPr>
      <w:r w:rsidRPr="00CB683A">
        <w:rPr>
          <w:noProof/>
        </w:rPr>
        <w:t xml:space="preserve">Tato strategie stanoví tři operační cíle: i) posílení stávajících opatření proti podvodům; ii) lepší začlenění postupů proti podvodům do posuzování rizika a řízení rizik ze strany Eurostatu, jakož i do auditů, plánování, podávání zpráv a monitorování a iii) posílení kapacit Eurostatu pro boj proti podvodům a zvyšování informovanosti jako součásti kultury netolerování podvodů, kterou zastává Komise. </w:t>
      </w:r>
    </w:p>
    <w:p w14:paraId="4F63CA5F" w14:textId="77777777" w:rsidR="001A6814" w:rsidRPr="00CB683A" w:rsidRDefault="001A6814" w:rsidP="001A6814">
      <w:pPr>
        <w:pStyle w:val="Text1"/>
        <w:pBdr>
          <w:top w:val="single" w:sz="4" w:space="1" w:color="auto"/>
          <w:left w:val="single" w:sz="4" w:space="4" w:color="auto"/>
          <w:bottom w:val="single" w:sz="4" w:space="1" w:color="auto"/>
          <w:right w:val="single" w:sz="4" w:space="4" w:color="auto"/>
        </w:pBdr>
        <w:rPr>
          <w:noProof/>
        </w:rPr>
      </w:pPr>
      <w:r w:rsidRPr="00CB683A">
        <w:rPr>
          <w:noProof/>
        </w:rPr>
        <w:t>Strategii proti podvodům doplňuje akční plán proti podvodům. Během jejího uplatňování bude provádění strategie proti podvodům dvakrát ročně monitorováno a managementu předkládána zpráva.</w:t>
      </w:r>
    </w:p>
    <w:p w14:paraId="42578FCE" w14:textId="77777777" w:rsidR="001A6814" w:rsidRPr="00CB683A" w:rsidRDefault="001A6814" w:rsidP="001A6814">
      <w:pPr>
        <w:pStyle w:val="Text1"/>
        <w:pBdr>
          <w:top w:val="single" w:sz="4" w:space="1" w:color="auto"/>
          <w:left w:val="single" w:sz="4" w:space="4" w:color="auto"/>
          <w:bottom w:val="single" w:sz="4" w:space="1" w:color="auto"/>
          <w:right w:val="single" w:sz="4" w:space="4" w:color="auto"/>
        </w:pBdr>
        <w:rPr>
          <w:noProof/>
        </w:rPr>
      </w:pPr>
      <w:r w:rsidRPr="00CB683A">
        <w:rPr>
          <w:noProof/>
        </w:rPr>
        <w:t xml:space="preserve">U všech potenciálních příjemců grantů se jedná o veřejné subjekty (národní statistické úřady a další vnitrostátní orgány ve smyslu nařízení (ES) č. 223/2009). Kromě toho jsou granty udělovány bez výzvy k podávání návrhů. Byla zavedena opatření k monitorování řízení grantů. Tato opatření zohledňují zvláštní postupy poskytování grantů a zahrnují analýzu </w:t>
      </w:r>
      <w:r w:rsidRPr="00CB683A">
        <w:rPr>
          <w:i/>
          <w:noProof/>
        </w:rPr>
        <w:t>ex ante</w:t>
      </w:r>
      <w:r w:rsidRPr="00CB683A">
        <w:rPr>
          <w:noProof/>
        </w:rPr>
        <w:t xml:space="preserve"> i </w:t>
      </w:r>
      <w:r w:rsidRPr="00CB683A">
        <w:rPr>
          <w:i/>
          <w:noProof/>
        </w:rPr>
        <w:t>ex post</w:t>
      </w:r>
      <w:r w:rsidRPr="00CB683A">
        <w:rPr>
          <w:noProof/>
        </w:rPr>
        <w:t xml:space="preserve"> řízení grantů.</w:t>
      </w:r>
    </w:p>
    <w:p w14:paraId="34349DE4" w14:textId="77777777" w:rsidR="001A6814" w:rsidRPr="00CB683A" w:rsidRDefault="001A6814" w:rsidP="001A6814">
      <w:pPr>
        <w:pStyle w:val="Text1"/>
        <w:pBdr>
          <w:top w:val="single" w:sz="4" w:space="1" w:color="auto"/>
          <w:left w:val="single" w:sz="4" w:space="4" w:color="auto"/>
          <w:bottom w:val="single" w:sz="4" w:space="1" w:color="auto"/>
          <w:right w:val="single" w:sz="4" w:space="4" w:color="auto"/>
        </w:pBdr>
        <w:rPr>
          <w:noProof/>
        </w:rPr>
      </w:pPr>
      <w:r w:rsidRPr="00CB683A">
        <w:rPr>
          <w:noProof/>
        </w:rPr>
        <w:t xml:space="preserve">Využití jednotkových nákladů a paušálních částek, v souladu s čl. 124 odst. 1 finančního nařízení, podstatně snižuje riziko chyb týkajících se řízení grantů a tím zjednodušuje jejich administrativu. </w:t>
      </w:r>
    </w:p>
    <w:p w14:paraId="6199F550" w14:textId="77777777" w:rsidR="007F065E" w:rsidRPr="00CB683A" w:rsidRDefault="007F065E" w:rsidP="00FE41E8">
      <w:pPr>
        <w:rPr>
          <w:noProof/>
        </w:rPr>
        <w:sectPr w:rsidR="007F065E" w:rsidRPr="00CB683A" w:rsidSect="009925B6">
          <w:pgSz w:w="11907" w:h="16840" w:code="9"/>
          <w:pgMar w:top="1134" w:right="1418" w:bottom="1134" w:left="1418" w:header="709" w:footer="709" w:gutter="0"/>
          <w:cols w:space="708"/>
          <w:docGrid w:linePitch="360"/>
        </w:sectPr>
      </w:pPr>
    </w:p>
    <w:p w14:paraId="6A64F4D2" w14:textId="545BA6A2" w:rsidR="007F065E" w:rsidRPr="00CB683A" w:rsidRDefault="00891439" w:rsidP="00891439">
      <w:pPr>
        <w:pStyle w:val="ManualHeading1"/>
        <w:rPr>
          <w:bCs/>
          <w:noProof/>
          <w:szCs w:val="24"/>
        </w:rPr>
      </w:pPr>
      <w:bookmarkStart w:id="49" w:name="_Toc514938050"/>
      <w:bookmarkStart w:id="50" w:name="_Toc520485049"/>
      <w:r w:rsidRPr="00891439">
        <w:t>3.</w:t>
      </w:r>
      <w:r w:rsidRPr="00891439">
        <w:tab/>
      </w:r>
      <w:r w:rsidR="007F065E" w:rsidRPr="00CB683A">
        <w:rPr>
          <w:noProof/>
        </w:rPr>
        <w:t>ODHADOVANÝ FINANČNÍ DOPAD NÁVRHU/PODNĚTU</w:t>
      </w:r>
      <w:bookmarkEnd w:id="49"/>
      <w:bookmarkEnd w:id="50"/>
      <w:r w:rsidR="007F065E" w:rsidRPr="00CB683A">
        <w:rPr>
          <w:noProof/>
        </w:rPr>
        <w:t xml:space="preserve"> </w:t>
      </w:r>
    </w:p>
    <w:p w14:paraId="3E1118AC" w14:textId="75F1B28C" w:rsidR="007F065E" w:rsidRPr="00CB683A" w:rsidRDefault="00891439" w:rsidP="00891439">
      <w:pPr>
        <w:pStyle w:val="ManualHeading2"/>
        <w:rPr>
          <w:noProof/>
        </w:rPr>
      </w:pPr>
      <w:bookmarkStart w:id="51" w:name="_Toc514938051"/>
      <w:bookmarkStart w:id="52" w:name="_Toc520485050"/>
      <w:r w:rsidRPr="00891439">
        <w:t>3.1.</w:t>
      </w:r>
      <w:r w:rsidRPr="00891439">
        <w:tab/>
      </w:r>
      <w:r w:rsidR="007F065E" w:rsidRPr="00CB683A">
        <w:rPr>
          <w:noProof/>
        </w:rPr>
        <w:t>Okruhy víceletého finančního rámce a dotčené výdajové rozpočtové položky</w:t>
      </w:r>
      <w:bookmarkEnd w:id="51"/>
      <w:bookmarkEnd w:id="52"/>
      <w:r w:rsidR="007F065E" w:rsidRPr="00CB683A">
        <w:rPr>
          <w:noProof/>
        </w:rPr>
        <w:t xml:space="preserve"> </w:t>
      </w:r>
    </w:p>
    <w:p w14:paraId="30EC460B" w14:textId="77777777" w:rsidR="007F065E" w:rsidRPr="00CB683A" w:rsidRDefault="007F065E" w:rsidP="00FE41E8">
      <w:pPr>
        <w:pStyle w:val="ListBullet1"/>
        <w:rPr>
          <w:noProof/>
        </w:rPr>
      </w:pPr>
      <w:r w:rsidRPr="00CB683A">
        <w:rPr>
          <w:noProof/>
        </w:rPr>
        <w:t xml:space="preserve">Stávající rozpočtové položky </w:t>
      </w:r>
    </w:p>
    <w:p w14:paraId="7347D960" w14:textId="77777777" w:rsidR="007F065E" w:rsidRPr="00CB683A" w:rsidRDefault="007F065E" w:rsidP="00FE41E8">
      <w:pPr>
        <w:pStyle w:val="Text1"/>
        <w:rPr>
          <w:i/>
          <w:noProof/>
        </w:rPr>
      </w:pPr>
      <w:r w:rsidRPr="00CB683A">
        <w:rPr>
          <w:i/>
          <w:noProof/>
          <w:u w:val="single"/>
        </w:rPr>
        <w:t>V pořadí</w:t>
      </w:r>
      <w:r w:rsidRPr="00CB683A">
        <w:rPr>
          <w:i/>
          <w:noProof/>
        </w:rPr>
        <w:t xml:space="preserve"> okruhů víceletého finančního rámce a rozpočtových položek.</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1044"/>
        <w:gridCol w:w="1134"/>
        <w:gridCol w:w="993"/>
        <w:gridCol w:w="1269"/>
      </w:tblGrid>
      <w:tr w:rsidR="007F065E" w:rsidRPr="00CB683A" w14:paraId="354F42DE" w14:textId="77777777" w:rsidTr="00FE41E8">
        <w:tc>
          <w:tcPr>
            <w:tcW w:w="1080" w:type="dxa"/>
            <w:vMerge w:val="restart"/>
            <w:vAlign w:val="center"/>
          </w:tcPr>
          <w:p w14:paraId="266B3FB9" w14:textId="77777777" w:rsidR="007F065E" w:rsidRPr="00CB683A" w:rsidRDefault="007F065E" w:rsidP="00FE41E8">
            <w:pPr>
              <w:spacing w:before="60" w:after="60"/>
              <w:jc w:val="center"/>
              <w:rPr>
                <w:noProof/>
              </w:rPr>
            </w:pPr>
            <w:r w:rsidRPr="00CB683A">
              <w:rPr>
                <w:noProof/>
                <w:sz w:val="18"/>
              </w:rPr>
              <w:t>Okruh víceletého finančního rámce</w:t>
            </w:r>
          </w:p>
        </w:tc>
        <w:tc>
          <w:tcPr>
            <w:tcW w:w="3960" w:type="dxa"/>
            <w:vAlign w:val="center"/>
          </w:tcPr>
          <w:p w14:paraId="7B785BD1" w14:textId="77777777" w:rsidR="007F065E" w:rsidRPr="00CB683A" w:rsidRDefault="007F065E" w:rsidP="00FE41E8">
            <w:pPr>
              <w:spacing w:before="60" w:after="60"/>
              <w:jc w:val="center"/>
              <w:rPr>
                <w:noProof/>
              </w:rPr>
            </w:pPr>
            <w:r w:rsidRPr="00CB683A">
              <w:rPr>
                <w:noProof/>
                <w:sz w:val="20"/>
              </w:rPr>
              <w:t>Rozpočtová položka</w:t>
            </w:r>
          </w:p>
        </w:tc>
        <w:tc>
          <w:tcPr>
            <w:tcW w:w="1080" w:type="dxa"/>
            <w:vAlign w:val="center"/>
          </w:tcPr>
          <w:p w14:paraId="5367694B" w14:textId="77777777" w:rsidR="007F065E" w:rsidRPr="00CB683A" w:rsidRDefault="007F065E" w:rsidP="00FE41E8">
            <w:pPr>
              <w:spacing w:before="60" w:after="60"/>
              <w:jc w:val="center"/>
              <w:rPr>
                <w:noProof/>
              </w:rPr>
            </w:pPr>
            <w:r w:rsidRPr="00CB683A">
              <w:rPr>
                <w:noProof/>
                <w:sz w:val="18"/>
              </w:rPr>
              <w:t xml:space="preserve">Druh </w:t>
            </w:r>
            <w:r w:rsidRPr="00CB683A">
              <w:rPr>
                <w:noProof/>
              </w:rPr>
              <w:t xml:space="preserve"> </w:t>
            </w:r>
            <w:r w:rsidRPr="00CB683A">
              <w:rPr>
                <w:noProof/>
              </w:rPr>
              <w:br/>
            </w:r>
            <w:r w:rsidRPr="00CB683A">
              <w:rPr>
                <w:noProof/>
                <w:sz w:val="18"/>
              </w:rPr>
              <w:t>výdaje</w:t>
            </w:r>
          </w:p>
        </w:tc>
        <w:tc>
          <w:tcPr>
            <w:tcW w:w="4440" w:type="dxa"/>
            <w:gridSpan w:val="4"/>
            <w:vAlign w:val="center"/>
          </w:tcPr>
          <w:p w14:paraId="413F5290" w14:textId="77777777" w:rsidR="007F065E" w:rsidRPr="00CB683A" w:rsidRDefault="007F065E" w:rsidP="00FE41E8">
            <w:pPr>
              <w:spacing w:before="60" w:after="60"/>
              <w:jc w:val="center"/>
              <w:rPr>
                <w:noProof/>
              </w:rPr>
            </w:pPr>
            <w:r w:rsidRPr="00CB683A">
              <w:rPr>
                <w:noProof/>
                <w:sz w:val="20"/>
              </w:rPr>
              <w:t xml:space="preserve">Příspěvek </w:t>
            </w:r>
          </w:p>
        </w:tc>
      </w:tr>
      <w:tr w:rsidR="007F065E" w:rsidRPr="00CB683A" w14:paraId="129E5E7A" w14:textId="77777777" w:rsidTr="00F32986">
        <w:tc>
          <w:tcPr>
            <w:tcW w:w="1080" w:type="dxa"/>
            <w:vMerge/>
            <w:vAlign w:val="center"/>
          </w:tcPr>
          <w:p w14:paraId="3CC50F59" w14:textId="77777777" w:rsidR="007F065E" w:rsidRPr="00CB683A" w:rsidRDefault="007F065E" w:rsidP="00FE41E8">
            <w:pPr>
              <w:jc w:val="center"/>
              <w:rPr>
                <w:noProof/>
              </w:rPr>
            </w:pPr>
          </w:p>
        </w:tc>
        <w:tc>
          <w:tcPr>
            <w:tcW w:w="3960" w:type="dxa"/>
            <w:vAlign w:val="center"/>
          </w:tcPr>
          <w:p w14:paraId="6EEA94DB" w14:textId="77777777" w:rsidR="007F065E" w:rsidRPr="00CB683A" w:rsidRDefault="007F065E" w:rsidP="00FE41E8">
            <w:pPr>
              <w:rPr>
                <w:noProof/>
              </w:rPr>
            </w:pPr>
            <w:r w:rsidRPr="00CB683A">
              <w:rPr>
                <w:noProof/>
                <w:sz w:val="20"/>
              </w:rPr>
              <w:t xml:space="preserve">Číslo </w:t>
            </w:r>
            <w:r w:rsidRPr="00CB683A">
              <w:rPr>
                <w:noProof/>
              </w:rPr>
              <w:t xml:space="preserve"> </w:t>
            </w:r>
            <w:r w:rsidRPr="00CB683A">
              <w:rPr>
                <w:noProof/>
              </w:rPr>
              <w:br/>
            </w:r>
          </w:p>
        </w:tc>
        <w:tc>
          <w:tcPr>
            <w:tcW w:w="1080" w:type="dxa"/>
            <w:vAlign w:val="center"/>
          </w:tcPr>
          <w:p w14:paraId="385D995C" w14:textId="77777777" w:rsidR="007F065E" w:rsidRPr="00CB683A" w:rsidRDefault="007F065E" w:rsidP="00F32986">
            <w:pPr>
              <w:jc w:val="center"/>
              <w:rPr>
                <w:noProof/>
              </w:rPr>
            </w:pPr>
            <w:r w:rsidRPr="00CB683A">
              <w:rPr>
                <w:noProof/>
                <w:sz w:val="18"/>
              </w:rPr>
              <w:t>RP/NRP</w:t>
            </w:r>
            <w:r w:rsidRPr="00CB683A">
              <w:rPr>
                <w:rStyle w:val="FootnoteReference"/>
                <w:noProof/>
                <w:sz w:val="18"/>
              </w:rPr>
              <w:footnoteReference w:id="50"/>
            </w:r>
          </w:p>
        </w:tc>
        <w:tc>
          <w:tcPr>
            <w:tcW w:w="1044" w:type="dxa"/>
            <w:vAlign w:val="center"/>
          </w:tcPr>
          <w:p w14:paraId="79D12560" w14:textId="77777777" w:rsidR="007F065E" w:rsidRPr="00CB683A" w:rsidRDefault="007F065E" w:rsidP="00FE41E8">
            <w:pPr>
              <w:jc w:val="center"/>
              <w:rPr>
                <w:noProof/>
              </w:rPr>
            </w:pPr>
            <w:r w:rsidRPr="00CB683A">
              <w:rPr>
                <w:noProof/>
                <w:sz w:val="18"/>
              </w:rPr>
              <w:t>zemí ESVO</w:t>
            </w:r>
            <w:r w:rsidRPr="00CB683A">
              <w:rPr>
                <w:rStyle w:val="FootnoteReference"/>
                <w:noProof/>
                <w:sz w:val="18"/>
              </w:rPr>
              <w:footnoteReference w:id="51"/>
            </w:r>
          </w:p>
          <w:p w14:paraId="6793D49A" w14:textId="77777777" w:rsidR="007F065E" w:rsidRPr="00CB683A" w:rsidRDefault="007F065E" w:rsidP="00FE41E8">
            <w:pPr>
              <w:spacing w:before="0" w:after="0"/>
              <w:jc w:val="center"/>
              <w:rPr>
                <w:b/>
                <w:noProof/>
                <w:sz w:val="18"/>
              </w:rPr>
            </w:pPr>
          </w:p>
        </w:tc>
        <w:tc>
          <w:tcPr>
            <w:tcW w:w="1134" w:type="dxa"/>
            <w:vAlign w:val="center"/>
          </w:tcPr>
          <w:p w14:paraId="2D4FF42F" w14:textId="77777777" w:rsidR="007F065E" w:rsidRPr="00CB683A" w:rsidRDefault="007F065E" w:rsidP="00FE41E8">
            <w:pPr>
              <w:jc w:val="center"/>
              <w:rPr>
                <w:noProof/>
              </w:rPr>
            </w:pPr>
            <w:r w:rsidRPr="00CB683A">
              <w:rPr>
                <w:noProof/>
                <w:sz w:val="18"/>
              </w:rPr>
              <w:t>kandidátských zemí</w:t>
            </w:r>
            <w:r w:rsidRPr="00CB683A">
              <w:rPr>
                <w:rStyle w:val="FootnoteReference"/>
                <w:noProof/>
                <w:sz w:val="18"/>
              </w:rPr>
              <w:footnoteReference w:id="52"/>
            </w:r>
          </w:p>
          <w:p w14:paraId="6F57798D" w14:textId="77777777" w:rsidR="007F065E" w:rsidRPr="00CB683A" w:rsidRDefault="007F065E" w:rsidP="00FE41E8">
            <w:pPr>
              <w:spacing w:before="0" w:after="0"/>
              <w:jc w:val="center"/>
              <w:rPr>
                <w:noProof/>
                <w:sz w:val="18"/>
              </w:rPr>
            </w:pPr>
          </w:p>
        </w:tc>
        <w:tc>
          <w:tcPr>
            <w:tcW w:w="993" w:type="dxa"/>
            <w:vAlign w:val="center"/>
          </w:tcPr>
          <w:p w14:paraId="09DF0532" w14:textId="77777777" w:rsidR="007F065E" w:rsidRPr="00CB683A" w:rsidRDefault="007F065E" w:rsidP="00FE41E8">
            <w:pPr>
              <w:jc w:val="center"/>
              <w:rPr>
                <w:noProof/>
                <w:sz w:val="18"/>
              </w:rPr>
            </w:pPr>
            <w:r w:rsidRPr="00CB683A">
              <w:rPr>
                <w:noProof/>
                <w:sz w:val="18"/>
              </w:rPr>
              <w:t>třetích zemí</w:t>
            </w:r>
          </w:p>
        </w:tc>
        <w:tc>
          <w:tcPr>
            <w:tcW w:w="1269" w:type="dxa"/>
            <w:vAlign w:val="center"/>
          </w:tcPr>
          <w:p w14:paraId="4BD70317" w14:textId="77777777" w:rsidR="007F065E" w:rsidRPr="00CB683A" w:rsidRDefault="007F065E" w:rsidP="00FE41E8">
            <w:pPr>
              <w:jc w:val="center"/>
              <w:rPr>
                <w:noProof/>
              </w:rPr>
            </w:pPr>
            <w:r w:rsidRPr="00CB683A">
              <w:rPr>
                <w:noProof/>
                <w:sz w:val="16"/>
              </w:rPr>
              <w:t xml:space="preserve">ve smyslu čl. 21 odst. 2 písm. b) finančního nařízení </w:t>
            </w:r>
          </w:p>
        </w:tc>
      </w:tr>
      <w:tr w:rsidR="007F065E" w:rsidRPr="00CB683A" w14:paraId="47E92224" w14:textId="77777777" w:rsidTr="00F74630">
        <w:tc>
          <w:tcPr>
            <w:tcW w:w="1080" w:type="dxa"/>
            <w:vAlign w:val="center"/>
          </w:tcPr>
          <w:p w14:paraId="609B2EFB" w14:textId="77777777" w:rsidR="007F065E" w:rsidRPr="00CB683A" w:rsidRDefault="007F065E" w:rsidP="00FE41E8">
            <w:pPr>
              <w:jc w:val="center"/>
              <w:rPr>
                <w:noProof/>
                <w:color w:val="0000FF"/>
              </w:rPr>
            </w:pPr>
          </w:p>
        </w:tc>
        <w:tc>
          <w:tcPr>
            <w:tcW w:w="3960" w:type="dxa"/>
            <w:vAlign w:val="bottom"/>
          </w:tcPr>
          <w:p w14:paraId="3C664A05" w14:textId="77777777" w:rsidR="007F065E" w:rsidRPr="00CB683A" w:rsidRDefault="00AA6FEF" w:rsidP="00F74630">
            <w:pPr>
              <w:spacing w:before="60"/>
              <w:jc w:val="left"/>
              <w:rPr>
                <w:noProof/>
              </w:rPr>
            </w:pPr>
            <w:r w:rsidRPr="00CB683A">
              <w:rPr>
                <w:noProof/>
                <w:sz w:val="22"/>
              </w:rPr>
              <w:t>BGUE-BXXXX-03-020500-C1-ESTAT</w:t>
            </w:r>
          </w:p>
          <w:p w14:paraId="3B327ECE" w14:textId="77777777" w:rsidR="007F065E" w:rsidRPr="00CB683A" w:rsidRDefault="007F065E" w:rsidP="00F74630">
            <w:pPr>
              <w:spacing w:after="60"/>
              <w:jc w:val="left"/>
              <w:rPr>
                <w:noProof/>
              </w:rPr>
            </w:pPr>
          </w:p>
        </w:tc>
        <w:tc>
          <w:tcPr>
            <w:tcW w:w="1080" w:type="dxa"/>
            <w:vAlign w:val="center"/>
          </w:tcPr>
          <w:p w14:paraId="1B376846" w14:textId="77777777" w:rsidR="007F065E" w:rsidRPr="00CB683A" w:rsidRDefault="007F065E" w:rsidP="00F32986">
            <w:pPr>
              <w:jc w:val="center"/>
              <w:rPr>
                <w:noProof/>
                <w:color w:val="0000FF"/>
              </w:rPr>
            </w:pPr>
            <w:r w:rsidRPr="00CB683A">
              <w:rPr>
                <w:noProof/>
                <w:sz w:val="22"/>
              </w:rPr>
              <w:t>RP</w:t>
            </w:r>
          </w:p>
        </w:tc>
        <w:tc>
          <w:tcPr>
            <w:tcW w:w="1044" w:type="dxa"/>
            <w:vAlign w:val="center"/>
          </w:tcPr>
          <w:p w14:paraId="37A80B30" w14:textId="77777777" w:rsidR="007F065E" w:rsidRPr="00CB683A" w:rsidRDefault="007F065E" w:rsidP="00AA6FEF">
            <w:pPr>
              <w:jc w:val="center"/>
              <w:rPr>
                <w:noProof/>
                <w:sz w:val="20"/>
                <w:szCs w:val="20"/>
              </w:rPr>
            </w:pPr>
            <w:r w:rsidRPr="00CB683A">
              <w:rPr>
                <w:noProof/>
                <w:sz w:val="20"/>
              </w:rPr>
              <w:t>ANO</w:t>
            </w:r>
          </w:p>
        </w:tc>
        <w:tc>
          <w:tcPr>
            <w:tcW w:w="1134" w:type="dxa"/>
            <w:vAlign w:val="center"/>
          </w:tcPr>
          <w:p w14:paraId="44C20E66" w14:textId="77777777" w:rsidR="007F065E" w:rsidRPr="00CB683A" w:rsidRDefault="007F065E" w:rsidP="00FE41E8">
            <w:pPr>
              <w:jc w:val="center"/>
              <w:rPr>
                <w:noProof/>
                <w:sz w:val="20"/>
                <w:szCs w:val="20"/>
              </w:rPr>
            </w:pPr>
            <w:r w:rsidRPr="00CB683A">
              <w:rPr>
                <w:noProof/>
                <w:sz w:val="20"/>
              </w:rPr>
              <w:t>NE</w:t>
            </w:r>
          </w:p>
        </w:tc>
        <w:tc>
          <w:tcPr>
            <w:tcW w:w="993" w:type="dxa"/>
            <w:vAlign w:val="center"/>
          </w:tcPr>
          <w:p w14:paraId="63AF305A" w14:textId="77777777" w:rsidR="007F065E" w:rsidRPr="00CB683A" w:rsidRDefault="00F32986" w:rsidP="00FE41E8">
            <w:pPr>
              <w:jc w:val="center"/>
              <w:rPr>
                <w:noProof/>
                <w:sz w:val="20"/>
                <w:szCs w:val="20"/>
              </w:rPr>
            </w:pPr>
            <w:r w:rsidRPr="00CB683A">
              <w:rPr>
                <w:noProof/>
                <w:sz w:val="20"/>
              </w:rPr>
              <w:t>ANO</w:t>
            </w:r>
          </w:p>
        </w:tc>
        <w:tc>
          <w:tcPr>
            <w:tcW w:w="1269" w:type="dxa"/>
            <w:vAlign w:val="center"/>
          </w:tcPr>
          <w:p w14:paraId="52DEC99B" w14:textId="77777777" w:rsidR="007F065E" w:rsidRPr="00CB683A" w:rsidRDefault="007F065E" w:rsidP="00FE41E8">
            <w:pPr>
              <w:jc w:val="center"/>
              <w:rPr>
                <w:noProof/>
                <w:sz w:val="20"/>
                <w:szCs w:val="20"/>
              </w:rPr>
            </w:pPr>
            <w:r w:rsidRPr="00CB683A">
              <w:rPr>
                <w:noProof/>
                <w:sz w:val="20"/>
              </w:rPr>
              <w:t>NE</w:t>
            </w:r>
          </w:p>
        </w:tc>
      </w:tr>
    </w:tbl>
    <w:p w14:paraId="55CF88F5" w14:textId="77777777" w:rsidR="007F065E" w:rsidRPr="00CB683A" w:rsidRDefault="007F065E" w:rsidP="00FE41E8">
      <w:pPr>
        <w:pStyle w:val="ListBullet1"/>
        <w:rPr>
          <w:noProof/>
        </w:rPr>
      </w:pPr>
      <w:r w:rsidRPr="00CB683A">
        <w:rPr>
          <w:noProof/>
        </w:rPr>
        <w:t xml:space="preserve">Nové rozpočtové položky, jejichž vytvoření se požaduje </w:t>
      </w:r>
    </w:p>
    <w:p w14:paraId="15C5FC98" w14:textId="77777777" w:rsidR="007F065E" w:rsidRPr="00CB683A" w:rsidRDefault="007F065E" w:rsidP="00FE41E8">
      <w:pPr>
        <w:pStyle w:val="Text1"/>
        <w:rPr>
          <w:i/>
          <w:noProof/>
          <w:sz w:val="20"/>
        </w:rPr>
      </w:pPr>
      <w:r w:rsidRPr="00CB683A">
        <w:rPr>
          <w:i/>
          <w:noProof/>
          <w:u w:val="single"/>
        </w:rPr>
        <w:t>V pořadí</w:t>
      </w:r>
      <w:r w:rsidRPr="00CB683A">
        <w:rPr>
          <w:i/>
          <w:noProof/>
        </w:rPr>
        <w:t xml:space="preserve"> okruhů víceletého finančního rámce a rozpočtových položek.</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7F065E" w:rsidRPr="00CB683A" w14:paraId="072B1D4D" w14:textId="77777777" w:rsidTr="00FE41E8">
        <w:tc>
          <w:tcPr>
            <w:tcW w:w="1080" w:type="dxa"/>
            <w:vMerge w:val="restart"/>
            <w:vAlign w:val="center"/>
          </w:tcPr>
          <w:p w14:paraId="677801AC" w14:textId="77777777" w:rsidR="007F065E" w:rsidRPr="00CB683A" w:rsidRDefault="007F065E" w:rsidP="00FE41E8">
            <w:pPr>
              <w:spacing w:before="60" w:after="60"/>
              <w:jc w:val="center"/>
              <w:rPr>
                <w:noProof/>
                <w:sz w:val="18"/>
                <w:szCs w:val="18"/>
              </w:rPr>
            </w:pPr>
            <w:r w:rsidRPr="00CB683A">
              <w:rPr>
                <w:noProof/>
                <w:sz w:val="18"/>
              </w:rPr>
              <w:t>Okruh víceletého finančního rámce</w:t>
            </w:r>
          </w:p>
        </w:tc>
        <w:tc>
          <w:tcPr>
            <w:tcW w:w="3960" w:type="dxa"/>
            <w:vAlign w:val="center"/>
          </w:tcPr>
          <w:p w14:paraId="01E51501" w14:textId="77777777" w:rsidR="007F065E" w:rsidRPr="00CB683A" w:rsidRDefault="007F065E" w:rsidP="00FE41E8">
            <w:pPr>
              <w:spacing w:before="60" w:after="60"/>
              <w:jc w:val="center"/>
              <w:rPr>
                <w:noProof/>
              </w:rPr>
            </w:pPr>
            <w:r w:rsidRPr="00CB683A">
              <w:rPr>
                <w:noProof/>
                <w:sz w:val="20"/>
              </w:rPr>
              <w:t>Rozpočtová položka</w:t>
            </w:r>
          </w:p>
        </w:tc>
        <w:tc>
          <w:tcPr>
            <w:tcW w:w="1080" w:type="dxa"/>
            <w:vAlign w:val="center"/>
          </w:tcPr>
          <w:p w14:paraId="4C6381F5" w14:textId="77777777" w:rsidR="007F065E" w:rsidRPr="00CB683A" w:rsidRDefault="007F065E" w:rsidP="00FE41E8">
            <w:pPr>
              <w:spacing w:before="60" w:after="60"/>
              <w:jc w:val="center"/>
              <w:rPr>
                <w:noProof/>
              </w:rPr>
            </w:pPr>
            <w:r w:rsidRPr="00CB683A">
              <w:rPr>
                <w:noProof/>
                <w:sz w:val="18"/>
              </w:rPr>
              <w:t>Druh</w:t>
            </w:r>
            <w:r w:rsidRPr="00CB683A">
              <w:rPr>
                <w:noProof/>
              </w:rPr>
              <w:t xml:space="preserve"> </w:t>
            </w:r>
            <w:r w:rsidRPr="00CB683A">
              <w:rPr>
                <w:noProof/>
              </w:rPr>
              <w:br/>
            </w:r>
            <w:r w:rsidRPr="00CB683A">
              <w:rPr>
                <w:noProof/>
                <w:sz w:val="18"/>
              </w:rPr>
              <w:t>výdaje</w:t>
            </w:r>
          </w:p>
        </w:tc>
        <w:tc>
          <w:tcPr>
            <w:tcW w:w="4440" w:type="dxa"/>
            <w:gridSpan w:val="4"/>
            <w:vAlign w:val="center"/>
          </w:tcPr>
          <w:p w14:paraId="207D6F7F" w14:textId="77777777" w:rsidR="007F065E" w:rsidRPr="00CB683A" w:rsidRDefault="007F065E" w:rsidP="00FE41E8">
            <w:pPr>
              <w:spacing w:before="60" w:after="60"/>
              <w:jc w:val="center"/>
              <w:rPr>
                <w:noProof/>
              </w:rPr>
            </w:pPr>
            <w:r w:rsidRPr="00CB683A">
              <w:rPr>
                <w:noProof/>
                <w:sz w:val="20"/>
              </w:rPr>
              <w:t xml:space="preserve">Příspěvek </w:t>
            </w:r>
          </w:p>
        </w:tc>
      </w:tr>
      <w:tr w:rsidR="007F065E" w:rsidRPr="00CB683A" w14:paraId="03285D8B" w14:textId="77777777" w:rsidTr="00FE41E8">
        <w:tc>
          <w:tcPr>
            <w:tcW w:w="1080" w:type="dxa"/>
            <w:vMerge/>
            <w:vAlign w:val="center"/>
          </w:tcPr>
          <w:p w14:paraId="1C0FD55D" w14:textId="77777777" w:rsidR="007F065E" w:rsidRPr="00CB683A" w:rsidRDefault="007F065E" w:rsidP="00FE41E8">
            <w:pPr>
              <w:jc w:val="center"/>
              <w:rPr>
                <w:noProof/>
              </w:rPr>
            </w:pPr>
          </w:p>
        </w:tc>
        <w:tc>
          <w:tcPr>
            <w:tcW w:w="3960" w:type="dxa"/>
            <w:vAlign w:val="center"/>
          </w:tcPr>
          <w:p w14:paraId="267901B7" w14:textId="77777777" w:rsidR="007F065E" w:rsidRPr="00CB683A" w:rsidRDefault="007F065E" w:rsidP="00FE41E8">
            <w:pPr>
              <w:rPr>
                <w:noProof/>
              </w:rPr>
            </w:pPr>
            <w:r w:rsidRPr="00CB683A">
              <w:rPr>
                <w:noProof/>
                <w:sz w:val="20"/>
              </w:rPr>
              <w:t xml:space="preserve">Číslo </w:t>
            </w:r>
            <w:r w:rsidRPr="00CB683A">
              <w:rPr>
                <w:noProof/>
              </w:rPr>
              <w:t xml:space="preserve"> </w:t>
            </w:r>
            <w:r w:rsidRPr="00CB683A">
              <w:rPr>
                <w:noProof/>
              </w:rPr>
              <w:br/>
            </w:r>
          </w:p>
        </w:tc>
        <w:tc>
          <w:tcPr>
            <w:tcW w:w="1080" w:type="dxa"/>
            <w:vAlign w:val="center"/>
          </w:tcPr>
          <w:p w14:paraId="0B43946A" w14:textId="77777777" w:rsidR="007F065E" w:rsidRPr="00CB683A" w:rsidRDefault="007F065E" w:rsidP="00FE41E8">
            <w:pPr>
              <w:jc w:val="center"/>
              <w:rPr>
                <w:noProof/>
              </w:rPr>
            </w:pPr>
            <w:r w:rsidRPr="00CB683A">
              <w:rPr>
                <w:noProof/>
                <w:sz w:val="18"/>
              </w:rPr>
              <w:t>RP/NRP</w:t>
            </w:r>
          </w:p>
        </w:tc>
        <w:tc>
          <w:tcPr>
            <w:tcW w:w="956" w:type="dxa"/>
            <w:vAlign w:val="center"/>
          </w:tcPr>
          <w:p w14:paraId="3AA14C33" w14:textId="77777777" w:rsidR="007F065E" w:rsidRPr="00CB683A" w:rsidRDefault="007F065E" w:rsidP="00FE41E8">
            <w:pPr>
              <w:jc w:val="center"/>
              <w:rPr>
                <w:noProof/>
                <w:sz w:val="18"/>
              </w:rPr>
            </w:pPr>
            <w:r w:rsidRPr="00CB683A">
              <w:rPr>
                <w:noProof/>
                <w:sz w:val="18"/>
              </w:rPr>
              <w:t>zemí ESVO</w:t>
            </w:r>
          </w:p>
        </w:tc>
        <w:tc>
          <w:tcPr>
            <w:tcW w:w="1080" w:type="dxa"/>
            <w:vAlign w:val="center"/>
          </w:tcPr>
          <w:p w14:paraId="58F50203" w14:textId="77777777" w:rsidR="007F065E" w:rsidRPr="00CB683A" w:rsidRDefault="007F065E" w:rsidP="00FE41E8">
            <w:pPr>
              <w:jc w:val="center"/>
              <w:rPr>
                <w:noProof/>
                <w:sz w:val="18"/>
              </w:rPr>
            </w:pPr>
            <w:r w:rsidRPr="00CB683A">
              <w:rPr>
                <w:noProof/>
                <w:sz w:val="18"/>
              </w:rPr>
              <w:t>kandidátských zemí</w:t>
            </w:r>
          </w:p>
        </w:tc>
        <w:tc>
          <w:tcPr>
            <w:tcW w:w="956" w:type="dxa"/>
            <w:vAlign w:val="center"/>
          </w:tcPr>
          <w:p w14:paraId="4A5B23DA" w14:textId="77777777" w:rsidR="007F065E" w:rsidRPr="00CB683A" w:rsidRDefault="007F065E" w:rsidP="00FE41E8">
            <w:pPr>
              <w:jc w:val="center"/>
              <w:rPr>
                <w:noProof/>
                <w:sz w:val="18"/>
              </w:rPr>
            </w:pPr>
            <w:r w:rsidRPr="00CB683A">
              <w:rPr>
                <w:noProof/>
                <w:sz w:val="18"/>
              </w:rPr>
              <w:t>třetích zemí</w:t>
            </w:r>
          </w:p>
        </w:tc>
        <w:tc>
          <w:tcPr>
            <w:tcW w:w="1448" w:type="dxa"/>
            <w:vAlign w:val="center"/>
          </w:tcPr>
          <w:p w14:paraId="257B3837" w14:textId="77777777" w:rsidR="007F065E" w:rsidRPr="00CB683A" w:rsidRDefault="007F065E" w:rsidP="00FE41E8">
            <w:pPr>
              <w:jc w:val="center"/>
              <w:rPr>
                <w:noProof/>
              </w:rPr>
            </w:pPr>
            <w:r w:rsidRPr="00CB683A">
              <w:rPr>
                <w:noProof/>
                <w:sz w:val="16"/>
              </w:rPr>
              <w:t xml:space="preserve">ve smyslu čl. 21 odst. 2 písm. b) finančního nařízení </w:t>
            </w:r>
          </w:p>
        </w:tc>
      </w:tr>
      <w:tr w:rsidR="007F065E" w:rsidRPr="00CB683A" w14:paraId="152B29A3" w14:textId="77777777" w:rsidTr="00FE41E8">
        <w:tc>
          <w:tcPr>
            <w:tcW w:w="1080" w:type="dxa"/>
            <w:vAlign w:val="center"/>
          </w:tcPr>
          <w:p w14:paraId="3E993C84" w14:textId="77777777" w:rsidR="007F065E" w:rsidRPr="00CB683A" w:rsidRDefault="007F065E" w:rsidP="00FE41E8">
            <w:pPr>
              <w:jc w:val="center"/>
              <w:rPr>
                <w:noProof/>
                <w:color w:val="0000FF"/>
              </w:rPr>
            </w:pPr>
          </w:p>
        </w:tc>
        <w:tc>
          <w:tcPr>
            <w:tcW w:w="3960" w:type="dxa"/>
            <w:vAlign w:val="center"/>
          </w:tcPr>
          <w:p w14:paraId="17B37571" w14:textId="77777777" w:rsidR="007F065E" w:rsidRPr="00CB683A" w:rsidRDefault="00AA6FEF" w:rsidP="00FE41E8">
            <w:pPr>
              <w:spacing w:before="60"/>
              <w:rPr>
                <w:noProof/>
              </w:rPr>
            </w:pPr>
            <w:r w:rsidRPr="00CB683A">
              <w:rPr>
                <w:noProof/>
                <w:sz w:val="22"/>
              </w:rPr>
              <w:t>Žádná</w:t>
            </w:r>
          </w:p>
          <w:p w14:paraId="5AAD203A" w14:textId="77777777" w:rsidR="007F065E" w:rsidRPr="00CB683A" w:rsidRDefault="007F065E" w:rsidP="00FE41E8">
            <w:pPr>
              <w:spacing w:after="60"/>
              <w:rPr>
                <w:noProof/>
                <w:color w:val="0000FF"/>
              </w:rPr>
            </w:pPr>
          </w:p>
        </w:tc>
        <w:tc>
          <w:tcPr>
            <w:tcW w:w="1080" w:type="dxa"/>
            <w:vAlign w:val="center"/>
          </w:tcPr>
          <w:p w14:paraId="3EBA4968" w14:textId="77777777" w:rsidR="007F065E" w:rsidRPr="00CB683A" w:rsidRDefault="007F065E" w:rsidP="00FE41E8">
            <w:pPr>
              <w:jc w:val="center"/>
              <w:rPr>
                <w:noProof/>
                <w:color w:val="0000FF"/>
              </w:rPr>
            </w:pPr>
          </w:p>
        </w:tc>
        <w:tc>
          <w:tcPr>
            <w:tcW w:w="956" w:type="dxa"/>
            <w:vAlign w:val="center"/>
          </w:tcPr>
          <w:p w14:paraId="0B9EE9AF" w14:textId="77777777" w:rsidR="007F065E" w:rsidRPr="00CB683A" w:rsidRDefault="007F065E" w:rsidP="00FE41E8">
            <w:pPr>
              <w:jc w:val="center"/>
              <w:rPr>
                <w:noProof/>
                <w:sz w:val="20"/>
                <w:szCs w:val="20"/>
              </w:rPr>
            </w:pPr>
            <w:r w:rsidRPr="00CB683A">
              <w:rPr>
                <w:noProof/>
                <w:sz w:val="20"/>
              </w:rPr>
              <w:t>ANO/NE</w:t>
            </w:r>
          </w:p>
        </w:tc>
        <w:tc>
          <w:tcPr>
            <w:tcW w:w="1080" w:type="dxa"/>
            <w:vAlign w:val="center"/>
          </w:tcPr>
          <w:p w14:paraId="6A779C50" w14:textId="77777777" w:rsidR="007F065E" w:rsidRPr="00CB683A" w:rsidRDefault="007F065E" w:rsidP="00FE41E8">
            <w:pPr>
              <w:jc w:val="center"/>
              <w:rPr>
                <w:noProof/>
                <w:color w:val="0000FF"/>
                <w:sz w:val="20"/>
                <w:szCs w:val="20"/>
              </w:rPr>
            </w:pPr>
            <w:r w:rsidRPr="00CB683A">
              <w:rPr>
                <w:noProof/>
                <w:sz w:val="20"/>
              </w:rPr>
              <w:t>ANO/NE</w:t>
            </w:r>
          </w:p>
        </w:tc>
        <w:tc>
          <w:tcPr>
            <w:tcW w:w="956" w:type="dxa"/>
            <w:vAlign w:val="center"/>
          </w:tcPr>
          <w:p w14:paraId="09B49CAE" w14:textId="77777777" w:rsidR="007F065E" w:rsidRPr="00CB683A" w:rsidRDefault="007F065E" w:rsidP="00FE41E8">
            <w:pPr>
              <w:jc w:val="center"/>
              <w:rPr>
                <w:noProof/>
                <w:color w:val="0000FF"/>
                <w:sz w:val="20"/>
                <w:szCs w:val="20"/>
              </w:rPr>
            </w:pPr>
            <w:r w:rsidRPr="00CB683A">
              <w:rPr>
                <w:noProof/>
                <w:sz w:val="20"/>
              </w:rPr>
              <w:t>ANO/NE</w:t>
            </w:r>
          </w:p>
        </w:tc>
        <w:tc>
          <w:tcPr>
            <w:tcW w:w="1448" w:type="dxa"/>
            <w:vAlign w:val="center"/>
          </w:tcPr>
          <w:p w14:paraId="70EB7D19" w14:textId="77777777" w:rsidR="007F065E" w:rsidRPr="00CB683A" w:rsidRDefault="007F065E" w:rsidP="00FE41E8">
            <w:pPr>
              <w:jc w:val="center"/>
              <w:rPr>
                <w:noProof/>
                <w:sz w:val="20"/>
                <w:szCs w:val="20"/>
              </w:rPr>
            </w:pPr>
            <w:r w:rsidRPr="00CB683A">
              <w:rPr>
                <w:noProof/>
                <w:sz w:val="20"/>
              </w:rPr>
              <w:t>ANO/NE</w:t>
            </w:r>
          </w:p>
        </w:tc>
      </w:tr>
    </w:tbl>
    <w:p w14:paraId="33E907F1" w14:textId="77777777" w:rsidR="007F065E" w:rsidRPr="00CB683A" w:rsidRDefault="007F065E" w:rsidP="00FE41E8">
      <w:pPr>
        <w:rPr>
          <w:noProof/>
        </w:rPr>
        <w:sectPr w:rsidR="007F065E" w:rsidRPr="00CB683A" w:rsidSect="009925B6">
          <w:pgSz w:w="11907" w:h="16840" w:code="1"/>
          <w:pgMar w:top="1134" w:right="1418" w:bottom="1134" w:left="1418" w:header="709" w:footer="709" w:gutter="0"/>
          <w:cols w:space="708"/>
          <w:docGrid w:linePitch="360"/>
        </w:sectPr>
      </w:pPr>
    </w:p>
    <w:p w14:paraId="0DE26519" w14:textId="615ADD89" w:rsidR="007F065E" w:rsidRPr="00CB683A" w:rsidRDefault="00891439" w:rsidP="00891439">
      <w:pPr>
        <w:pStyle w:val="ManualHeading2"/>
        <w:rPr>
          <w:bCs/>
          <w:noProof/>
          <w:szCs w:val="24"/>
        </w:rPr>
      </w:pPr>
      <w:bookmarkStart w:id="53" w:name="_Toc514938052"/>
      <w:bookmarkStart w:id="54" w:name="_Toc520485051"/>
      <w:r w:rsidRPr="00891439">
        <w:t>3.2.</w:t>
      </w:r>
      <w:r w:rsidRPr="00891439">
        <w:tab/>
      </w:r>
      <w:r w:rsidR="007F065E" w:rsidRPr="00CB683A">
        <w:rPr>
          <w:noProof/>
        </w:rPr>
        <w:t>Odhadovaný finanční dopad návrhu na prostředky</w:t>
      </w:r>
      <w:bookmarkEnd w:id="53"/>
      <w:bookmarkEnd w:id="54"/>
    </w:p>
    <w:p w14:paraId="414D1A91" w14:textId="1F858C0F" w:rsidR="007F065E" w:rsidRPr="00CB683A" w:rsidRDefault="00891439" w:rsidP="00891439">
      <w:pPr>
        <w:pStyle w:val="ManualHeading3"/>
        <w:rPr>
          <w:noProof/>
        </w:rPr>
      </w:pPr>
      <w:bookmarkStart w:id="55" w:name="_Toc514938053"/>
      <w:bookmarkStart w:id="56" w:name="_Toc520485052"/>
      <w:r w:rsidRPr="00891439">
        <w:t>3.2.1.</w:t>
      </w:r>
      <w:r w:rsidRPr="00891439">
        <w:tab/>
      </w:r>
      <w:r w:rsidR="007F065E" w:rsidRPr="00CB683A">
        <w:rPr>
          <w:noProof/>
        </w:rPr>
        <w:t>Odhadovaný souhrnný dopad na operační prostředky</w:t>
      </w:r>
      <w:bookmarkEnd w:id="55"/>
      <w:bookmarkEnd w:id="56"/>
    </w:p>
    <w:p w14:paraId="46010624" w14:textId="77777777" w:rsidR="007F065E" w:rsidRPr="00CB683A" w:rsidRDefault="007F065E" w:rsidP="00FE41E8">
      <w:pPr>
        <w:pStyle w:val="ListDash1"/>
        <w:rPr>
          <w:noProof/>
        </w:rPr>
      </w:pPr>
      <w:r w:rsidRPr="00CB683A">
        <w:rPr>
          <w:noProof/>
        </w:rPr>
        <w:sym w:font="Wingdings" w:char="F0A8"/>
      </w:r>
      <w:r w:rsidRPr="00CB683A">
        <w:rPr>
          <w:noProof/>
        </w:rPr>
        <w:tab/>
        <w:t>Návrh/podnět nevyžaduje využití operačních prostředků.</w:t>
      </w:r>
    </w:p>
    <w:p w14:paraId="30556846" w14:textId="77777777" w:rsidR="007F065E" w:rsidRPr="00CB683A" w:rsidRDefault="00AA6FEF" w:rsidP="00FE41E8">
      <w:pPr>
        <w:pStyle w:val="ListDash1"/>
        <w:rPr>
          <w:noProof/>
        </w:rPr>
      </w:pPr>
      <w:r w:rsidRPr="00CB683A">
        <w:rPr>
          <w:noProof/>
        </w:rPr>
        <w:sym w:font="Wingdings" w:char="F0FD"/>
      </w:r>
      <w:r w:rsidRPr="00CB683A">
        <w:rPr>
          <w:noProof/>
        </w:rPr>
        <w:tab/>
        <w:t>Návrh/podnět vyžaduje využití operačních prostředků, jak je vysvětleno dále:</w:t>
      </w:r>
    </w:p>
    <w:p w14:paraId="578E0D0F" w14:textId="77777777" w:rsidR="007F065E" w:rsidRPr="00CB683A" w:rsidRDefault="007F065E" w:rsidP="00FE41E8">
      <w:pPr>
        <w:jc w:val="right"/>
        <w:rPr>
          <w:noProof/>
          <w:sz w:val="18"/>
          <w:szCs w:val="18"/>
        </w:rPr>
      </w:pPr>
      <w:r w:rsidRPr="00CB683A">
        <w:rPr>
          <w:noProof/>
          <w:sz w:val="18"/>
        </w:rPr>
        <w:t>v milionech EUR (zaokrouhleno na tři desetinná místa)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4825AE" w:rsidRPr="00CB683A" w14:paraId="0269EA1D" w14:textId="77777777" w:rsidTr="0088064F">
        <w:trPr>
          <w:jc w:val="center"/>
        </w:trPr>
        <w:tc>
          <w:tcPr>
            <w:tcW w:w="4744" w:type="dxa"/>
            <w:shd w:val="thinDiagStripe" w:color="C0C0C0" w:fill="auto"/>
            <w:vAlign w:val="center"/>
          </w:tcPr>
          <w:p w14:paraId="7F97EB29" w14:textId="77777777" w:rsidR="004825AE" w:rsidRPr="00CB683A" w:rsidRDefault="004825AE" w:rsidP="0088064F">
            <w:pPr>
              <w:spacing w:before="60" w:after="60"/>
              <w:jc w:val="center"/>
              <w:rPr>
                <w:b/>
                <w:noProof/>
              </w:rPr>
            </w:pPr>
            <w:r w:rsidRPr="00CB683A">
              <w:rPr>
                <w:b/>
                <w:noProof/>
                <w:sz w:val="22"/>
              </w:rPr>
              <w:t xml:space="preserve">Okruh víceletého finančního </w:t>
            </w:r>
            <w:r w:rsidRPr="00CB683A">
              <w:rPr>
                <w:noProof/>
              </w:rPr>
              <w:t xml:space="preserve"> </w:t>
            </w:r>
            <w:r w:rsidRPr="00CB683A">
              <w:rPr>
                <w:noProof/>
              </w:rPr>
              <w:cr/>
            </w:r>
            <w:r w:rsidRPr="00CB683A">
              <w:rPr>
                <w:noProof/>
              </w:rPr>
              <w:br/>
            </w:r>
            <w:r w:rsidRPr="00CB683A">
              <w:rPr>
                <w:b/>
                <w:noProof/>
                <w:sz w:val="22"/>
              </w:rPr>
              <w:t xml:space="preserve">rámce </w:t>
            </w:r>
          </w:p>
        </w:tc>
        <w:tc>
          <w:tcPr>
            <w:tcW w:w="1080" w:type="dxa"/>
            <w:vAlign w:val="center"/>
          </w:tcPr>
          <w:p w14:paraId="0225879F" w14:textId="77777777" w:rsidR="004825AE" w:rsidRPr="00CB683A" w:rsidRDefault="004825AE" w:rsidP="0088064F">
            <w:pPr>
              <w:spacing w:before="60" w:after="60"/>
              <w:jc w:val="center"/>
              <w:rPr>
                <w:noProof/>
              </w:rPr>
            </w:pPr>
            <w:r w:rsidRPr="00CB683A">
              <w:rPr>
                <w:noProof/>
                <w:sz w:val="22"/>
              </w:rPr>
              <w:t>1</w:t>
            </w:r>
          </w:p>
        </w:tc>
        <w:tc>
          <w:tcPr>
            <w:tcW w:w="7817" w:type="dxa"/>
            <w:vAlign w:val="center"/>
          </w:tcPr>
          <w:p w14:paraId="74D09ED3" w14:textId="77777777" w:rsidR="004825AE" w:rsidRPr="00CB683A" w:rsidRDefault="004825AE" w:rsidP="0088064F">
            <w:pPr>
              <w:spacing w:before="60" w:after="60"/>
              <w:rPr>
                <w:noProof/>
              </w:rPr>
            </w:pPr>
            <w:r w:rsidRPr="00CB683A">
              <w:rPr>
                <w:noProof/>
              </w:rPr>
              <w:t>Jednotný trh, výzkum a inovace</w:t>
            </w:r>
          </w:p>
        </w:tc>
      </w:tr>
    </w:tbl>
    <w:p w14:paraId="3446FC7B" w14:textId="77777777" w:rsidR="004825AE" w:rsidRPr="00CB683A" w:rsidRDefault="004825AE" w:rsidP="004825AE">
      <w:pPr>
        <w:rPr>
          <w:noProof/>
          <w:sz w:val="16"/>
        </w:r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2111"/>
        <w:gridCol w:w="15"/>
        <w:gridCol w:w="855"/>
        <w:gridCol w:w="1154"/>
        <w:gridCol w:w="1154"/>
        <w:gridCol w:w="1154"/>
        <w:gridCol w:w="1168"/>
        <w:gridCol w:w="1319"/>
      </w:tblGrid>
      <w:tr w:rsidR="00060D89" w:rsidRPr="00CB683A" w14:paraId="6B1FA865" w14:textId="77777777" w:rsidTr="0088064F">
        <w:tc>
          <w:tcPr>
            <w:tcW w:w="4820" w:type="dxa"/>
            <w:vAlign w:val="center"/>
          </w:tcPr>
          <w:p w14:paraId="2250B907" w14:textId="77777777" w:rsidR="00060D89" w:rsidRPr="00CB683A" w:rsidRDefault="00060D89" w:rsidP="00060D89">
            <w:pPr>
              <w:jc w:val="center"/>
              <w:rPr>
                <w:noProof/>
              </w:rPr>
            </w:pPr>
            <w:r w:rsidRPr="00CB683A">
              <w:rPr>
                <w:noProof/>
                <w:sz w:val="22"/>
              </w:rPr>
              <w:t>GŘ: ESTAT</w:t>
            </w:r>
          </w:p>
        </w:tc>
        <w:tc>
          <w:tcPr>
            <w:tcW w:w="2126" w:type="dxa"/>
            <w:gridSpan w:val="2"/>
          </w:tcPr>
          <w:p w14:paraId="0DD710D2" w14:textId="77777777" w:rsidR="00060D89" w:rsidRPr="00CB683A" w:rsidRDefault="00060D89" w:rsidP="00060D89">
            <w:pPr>
              <w:rPr>
                <w:noProof/>
                <w:sz w:val="20"/>
              </w:rPr>
            </w:pPr>
          </w:p>
        </w:tc>
        <w:tc>
          <w:tcPr>
            <w:tcW w:w="855" w:type="dxa"/>
          </w:tcPr>
          <w:p w14:paraId="0EAD0283" w14:textId="77777777" w:rsidR="00060D89" w:rsidRPr="00CB683A" w:rsidRDefault="00060D89" w:rsidP="00060D89">
            <w:pPr>
              <w:jc w:val="center"/>
              <w:rPr>
                <w:noProof/>
                <w:sz w:val="20"/>
              </w:rPr>
            </w:pPr>
          </w:p>
        </w:tc>
        <w:tc>
          <w:tcPr>
            <w:tcW w:w="1154" w:type="dxa"/>
            <w:vAlign w:val="center"/>
          </w:tcPr>
          <w:p w14:paraId="1E46143D" w14:textId="77777777" w:rsidR="00060D89" w:rsidRPr="00CB683A" w:rsidRDefault="00060D89" w:rsidP="00060D89">
            <w:pPr>
              <w:jc w:val="center"/>
              <w:rPr>
                <w:noProof/>
                <w:sz w:val="20"/>
              </w:rPr>
            </w:pPr>
            <w:r w:rsidRPr="00CB683A">
              <w:rPr>
                <w:noProof/>
                <w:sz w:val="20"/>
              </w:rPr>
              <w:t>Rok</w:t>
            </w:r>
            <w:r w:rsidRPr="00CB683A">
              <w:rPr>
                <w:noProof/>
              </w:rPr>
              <w:t xml:space="preserve"> </w:t>
            </w:r>
            <w:r w:rsidRPr="00CB683A">
              <w:rPr>
                <w:noProof/>
              </w:rPr>
              <w:br/>
            </w:r>
            <w:r w:rsidRPr="00CB683A">
              <w:rPr>
                <w:b/>
                <w:noProof/>
                <w:sz w:val="20"/>
              </w:rPr>
              <w:t>2025</w:t>
            </w:r>
          </w:p>
        </w:tc>
        <w:tc>
          <w:tcPr>
            <w:tcW w:w="1154" w:type="dxa"/>
            <w:vAlign w:val="center"/>
          </w:tcPr>
          <w:p w14:paraId="018327EE" w14:textId="77777777" w:rsidR="00060D89" w:rsidRPr="00CB683A" w:rsidRDefault="00060D89" w:rsidP="00060D89">
            <w:pPr>
              <w:jc w:val="center"/>
              <w:rPr>
                <w:noProof/>
                <w:sz w:val="20"/>
              </w:rPr>
            </w:pPr>
            <w:r w:rsidRPr="00CB683A">
              <w:rPr>
                <w:noProof/>
                <w:sz w:val="20"/>
              </w:rPr>
              <w:t>Rok</w:t>
            </w:r>
            <w:r w:rsidRPr="00CB683A">
              <w:rPr>
                <w:noProof/>
              </w:rPr>
              <w:t xml:space="preserve"> </w:t>
            </w:r>
            <w:r w:rsidRPr="00CB683A">
              <w:rPr>
                <w:noProof/>
              </w:rPr>
              <w:br/>
            </w:r>
            <w:r w:rsidRPr="00CB683A">
              <w:rPr>
                <w:b/>
                <w:noProof/>
                <w:sz w:val="20"/>
              </w:rPr>
              <w:t>2026</w:t>
            </w:r>
          </w:p>
        </w:tc>
        <w:tc>
          <w:tcPr>
            <w:tcW w:w="1154" w:type="dxa"/>
            <w:vAlign w:val="center"/>
          </w:tcPr>
          <w:p w14:paraId="1F9F78AE" w14:textId="77777777" w:rsidR="00060D89" w:rsidRPr="00CB683A" w:rsidRDefault="00060D89" w:rsidP="00060D89">
            <w:pPr>
              <w:jc w:val="center"/>
              <w:rPr>
                <w:noProof/>
                <w:sz w:val="20"/>
              </w:rPr>
            </w:pPr>
            <w:r w:rsidRPr="00CB683A">
              <w:rPr>
                <w:noProof/>
                <w:sz w:val="20"/>
              </w:rPr>
              <w:t>Rok</w:t>
            </w:r>
            <w:r w:rsidRPr="00CB683A">
              <w:rPr>
                <w:noProof/>
              </w:rPr>
              <w:t xml:space="preserve"> </w:t>
            </w:r>
            <w:r w:rsidRPr="00CB683A">
              <w:rPr>
                <w:noProof/>
              </w:rPr>
              <w:br/>
            </w:r>
            <w:r w:rsidRPr="00CB683A">
              <w:rPr>
                <w:b/>
                <w:noProof/>
                <w:sz w:val="20"/>
              </w:rPr>
              <w:t>2027</w:t>
            </w:r>
          </w:p>
        </w:tc>
        <w:tc>
          <w:tcPr>
            <w:tcW w:w="1168" w:type="dxa"/>
          </w:tcPr>
          <w:p w14:paraId="43E56CED" w14:textId="77777777" w:rsidR="00060D89" w:rsidRPr="00CB683A" w:rsidRDefault="00060D89" w:rsidP="00060D89">
            <w:pPr>
              <w:jc w:val="center"/>
              <w:rPr>
                <w:noProof/>
                <w:sz w:val="20"/>
              </w:rPr>
            </w:pPr>
            <w:r w:rsidRPr="00CB683A">
              <w:rPr>
                <w:noProof/>
                <w:sz w:val="20"/>
              </w:rPr>
              <w:t>Následující roky</w:t>
            </w:r>
          </w:p>
        </w:tc>
        <w:tc>
          <w:tcPr>
            <w:tcW w:w="1319" w:type="dxa"/>
            <w:vAlign w:val="center"/>
          </w:tcPr>
          <w:p w14:paraId="53908A8A" w14:textId="77777777" w:rsidR="00060D89" w:rsidRPr="00CB683A" w:rsidRDefault="00060D89" w:rsidP="00060D89">
            <w:pPr>
              <w:jc w:val="center"/>
              <w:rPr>
                <w:b/>
                <w:noProof/>
                <w:sz w:val="20"/>
              </w:rPr>
            </w:pPr>
            <w:r w:rsidRPr="00CB683A">
              <w:rPr>
                <w:b/>
                <w:noProof/>
                <w:sz w:val="20"/>
              </w:rPr>
              <w:t>CELKEM</w:t>
            </w:r>
          </w:p>
        </w:tc>
      </w:tr>
      <w:tr w:rsidR="004825AE" w:rsidRPr="00CB683A" w14:paraId="669A095A" w14:textId="77777777" w:rsidTr="0088064F">
        <w:trPr>
          <w:trHeight w:val="213"/>
        </w:trPr>
        <w:tc>
          <w:tcPr>
            <w:tcW w:w="7801" w:type="dxa"/>
            <w:gridSpan w:val="4"/>
            <w:vAlign w:val="center"/>
          </w:tcPr>
          <w:p w14:paraId="388C29D8" w14:textId="77777777" w:rsidR="004825AE" w:rsidRPr="00CB683A" w:rsidRDefault="004825AE" w:rsidP="0088064F">
            <w:pPr>
              <w:spacing w:before="20" w:after="20"/>
              <w:rPr>
                <w:noProof/>
                <w:sz w:val="21"/>
              </w:rPr>
            </w:pPr>
            <w:r w:rsidRPr="00CB683A">
              <w:rPr>
                <w:noProof/>
                <w:sz w:val="21"/>
              </w:rPr>
              <w:sym w:font="Wingdings" w:char="F09F"/>
            </w:r>
            <w:r w:rsidRPr="00CB683A">
              <w:rPr>
                <w:noProof/>
                <w:sz w:val="21"/>
              </w:rPr>
              <w:t xml:space="preserve"> Operační prostředky </w:t>
            </w:r>
          </w:p>
        </w:tc>
        <w:tc>
          <w:tcPr>
            <w:tcW w:w="1154" w:type="dxa"/>
            <w:vAlign w:val="center"/>
          </w:tcPr>
          <w:p w14:paraId="742E26BF" w14:textId="77777777" w:rsidR="004825AE" w:rsidRPr="00CB683A" w:rsidRDefault="004825AE" w:rsidP="0088064F">
            <w:pPr>
              <w:rPr>
                <w:noProof/>
                <w:sz w:val="20"/>
              </w:rPr>
            </w:pPr>
          </w:p>
        </w:tc>
        <w:tc>
          <w:tcPr>
            <w:tcW w:w="1154" w:type="dxa"/>
            <w:vAlign w:val="center"/>
          </w:tcPr>
          <w:p w14:paraId="29916114" w14:textId="77777777" w:rsidR="004825AE" w:rsidRPr="00CB683A" w:rsidRDefault="004825AE" w:rsidP="0088064F">
            <w:pPr>
              <w:rPr>
                <w:noProof/>
                <w:sz w:val="20"/>
              </w:rPr>
            </w:pPr>
          </w:p>
        </w:tc>
        <w:tc>
          <w:tcPr>
            <w:tcW w:w="1154" w:type="dxa"/>
            <w:vAlign w:val="center"/>
          </w:tcPr>
          <w:p w14:paraId="49460120" w14:textId="77777777" w:rsidR="004825AE" w:rsidRPr="00CB683A" w:rsidRDefault="004825AE" w:rsidP="0088064F">
            <w:pPr>
              <w:rPr>
                <w:noProof/>
                <w:sz w:val="20"/>
              </w:rPr>
            </w:pPr>
          </w:p>
        </w:tc>
        <w:tc>
          <w:tcPr>
            <w:tcW w:w="1168" w:type="dxa"/>
            <w:vAlign w:val="center"/>
          </w:tcPr>
          <w:p w14:paraId="1DA5FFB2" w14:textId="77777777" w:rsidR="004825AE" w:rsidRPr="00CB683A" w:rsidRDefault="004825AE" w:rsidP="0088064F">
            <w:pPr>
              <w:jc w:val="center"/>
              <w:rPr>
                <w:noProof/>
                <w:sz w:val="20"/>
              </w:rPr>
            </w:pPr>
          </w:p>
        </w:tc>
        <w:tc>
          <w:tcPr>
            <w:tcW w:w="1319" w:type="dxa"/>
            <w:vAlign w:val="center"/>
          </w:tcPr>
          <w:p w14:paraId="044F05B1" w14:textId="77777777" w:rsidR="004825AE" w:rsidRPr="00CB683A" w:rsidRDefault="004825AE" w:rsidP="0088064F">
            <w:pPr>
              <w:rPr>
                <w:b/>
                <w:noProof/>
                <w:sz w:val="20"/>
              </w:rPr>
            </w:pPr>
          </w:p>
        </w:tc>
      </w:tr>
      <w:tr w:rsidR="004825AE" w:rsidRPr="00CB683A" w14:paraId="4BC566BE" w14:textId="77777777" w:rsidTr="0088064F">
        <w:trPr>
          <w:trHeight w:val="277"/>
        </w:trPr>
        <w:tc>
          <w:tcPr>
            <w:tcW w:w="4820" w:type="dxa"/>
            <w:vMerge w:val="restart"/>
            <w:vAlign w:val="center"/>
          </w:tcPr>
          <w:p w14:paraId="3E65A86C" w14:textId="77777777" w:rsidR="004825AE" w:rsidRPr="00CB683A" w:rsidRDefault="004825AE" w:rsidP="0088064F">
            <w:pPr>
              <w:rPr>
                <w:noProof/>
              </w:rPr>
            </w:pPr>
            <w:r w:rsidRPr="00CB683A">
              <w:rPr>
                <w:noProof/>
                <w:sz w:val="20"/>
              </w:rPr>
              <w:t>Rozpočtová položka</w:t>
            </w:r>
            <w:r w:rsidRPr="00CB683A">
              <w:rPr>
                <w:rStyle w:val="FootnoteReference"/>
                <w:noProof/>
                <w:sz w:val="20"/>
              </w:rPr>
              <w:footnoteReference w:id="53"/>
            </w:r>
            <w:r w:rsidRPr="00CB683A">
              <w:rPr>
                <w:noProof/>
                <w:sz w:val="20"/>
              </w:rPr>
              <w:t xml:space="preserve"> 03 02 05</w:t>
            </w:r>
          </w:p>
        </w:tc>
        <w:tc>
          <w:tcPr>
            <w:tcW w:w="2111" w:type="dxa"/>
            <w:vAlign w:val="center"/>
          </w:tcPr>
          <w:p w14:paraId="5CFB1232" w14:textId="77777777" w:rsidR="004825AE" w:rsidRPr="00CB683A" w:rsidRDefault="004825AE" w:rsidP="0088064F">
            <w:pPr>
              <w:spacing w:before="20" w:after="20"/>
              <w:rPr>
                <w:noProof/>
                <w:sz w:val="18"/>
              </w:rPr>
            </w:pPr>
            <w:r w:rsidRPr="00CB683A">
              <w:rPr>
                <w:noProof/>
                <w:sz w:val="18"/>
              </w:rPr>
              <w:t>Závazky</w:t>
            </w:r>
          </w:p>
        </w:tc>
        <w:tc>
          <w:tcPr>
            <w:tcW w:w="870" w:type="dxa"/>
            <w:gridSpan w:val="2"/>
            <w:vAlign w:val="center"/>
          </w:tcPr>
          <w:p w14:paraId="26F5F5A3" w14:textId="77777777" w:rsidR="004825AE" w:rsidRPr="00CB683A" w:rsidRDefault="004825AE" w:rsidP="0088064F">
            <w:pPr>
              <w:spacing w:before="20" w:after="20"/>
              <w:jc w:val="center"/>
              <w:rPr>
                <w:noProof/>
                <w:sz w:val="14"/>
              </w:rPr>
            </w:pPr>
            <w:r w:rsidRPr="00CB683A">
              <w:rPr>
                <w:noProof/>
                <w:sz w:val="14"/>
              </w:rPr>
              <w:t>(1a)</w:t>
            </w:r>
          </w:p>
        </w:tc>
        <w:tc>
          <w:tcPr>
            <w:tcW w:w="1154" w:type="dxa"/>
            <w:vAlign w:val="center"/>
          </w:tcPr>
          <w:p w14:paraId="44DD3027" w14:textId="77777777" w:rsidR="004825AE" w:rsidRPr="00CB683A" w:rsidRDefault="004825AE" w:rsidP="0088064F">
            <w:pPr>
              <w:spacing w:before="20" w:after="20"/>
              <w:jc w:val="right"/>
              <w:rPr>
                <w:noProof/>
                <w:sz w:val="20"/>
              </w:rPr>
            </w:pPr>
            <w:r w:rsidRPr="00CB683A">
              <w:rPr>
                <w:noProof/>
                <w:color w:val="000000"/>
                <w:sz w:val="20"/>
              </w:rPr>
              <w:t>3,889</w:t>
            </w:r>
          </w:p>
        </w:tc>
        <w:tc>
          <w:tcPr>
            <w:tcW w:w="1154" w:type="dxa"/>
            <w:vAlign w:val="center"/>
          </w:tcPr>
          <w:p w14:paraId="748D1C03" w14:textId="77777777" w:rsidR="004825AE" w:rsidRPr="00CB683A" w:rsidRDefault="004825AE" w:rsidP="0088064F">
            <w:pPr>
              <w:spacing w:before="20" w:after="20"/>
              <w:jc w:val="right"/>
              <w:rPr>
                <w:noProof/>
                <w:sz w:val="20"/>
              </w:rPr>
            </w:pPr>
            <w:r w:rsidRPr="00CB683A">
              <w:rPr>
                <w:noProof/>
                <w:color w:val="000000"/>
                <w:sz w:val="20"/>
              </w:rPr>
              <w:t>3,191</w:t>
            </w:r>
          </w:p>
        </w:tc>
        <w:tc>
          <w:tcPr>
            <w:tcW w:w="1154" w:type="dxa"/>
            <w:vAlign w:val="center"/>
          </w:tcPr>
          <w:p w14:paraId="647882BE" w14:textId="77777777" w:rsidR="004825AE" w:rsidRPr="00CB683A" w:rsidRDefault="004825AE" w:rsidP="0088064F">
            <w:pPr>
              <w:spacing w:before="20" w:after="20"/>
              <w:jc w:val="right"/>
              <w:rPr>
                <w:noProof/>
                <w:sz w:val="20"/>
              </w:rPr>
            </w:pPr>
            <w:r w:rsidRPr="00CB683A">
              <w:rPr>
                <w:noProof/>
                <w:color w:val="000000"/>
                <w:sz w:val="20"/>
              </w:rPr>
              <w:t>1,183</w:t>
            </w:r>
          </w:p>
        </w:tc>
        <w:tc>
          <w:tcPr>
            <w:tcW w:w="1168" w:type="dxa"/>
            <w:vAlign w:val="center"/>
          </w:tcPr>
          <w:p w14:paraId="7E3CA356" w14:textId="77777777" w:rsidR="004825AE" w:rsidRPr="00CB683A" w:rsidRDefault="004825AE" w:rsidP="0088064F">
            <w:pPr>
              <w:spacing w:before="20" w:after="20"/>
              <w:jc w:val="right"/>
              <w:rPr>
                <w:noProof/>
                <w:sz w:val="20"/>
              </w:rPr>
            </w:pPr>
            <w:r w:rsidRPr="00CB683A">
              <w:rPr>
                <w:noProof/>
                <w:color w:val="000000"/>
                <w:sz w:val="20"/>
              </w:rPr>
              <w:t>0,000</w:t>
            </w:r>
          </w:p>
        </w:tc>
        <w:tc>
          <w:tcPr>
            <w:tcW w:w="1319" w:type="dxa"/>
            <w:vAlign w:val="center"/>
          </w:tcPr>
          <w:p w14:paraId="77532528" w14:textId="77777777" w:rsidR="004825AE" w:rsidRPr="00CB683A" w:rsidRDefault="004825AE" w:rsidP="0088064F">
            <w:pPr>
              <w:spacing w:before="20" w:after="20"/>
              <w:jc w:val="right"/>
              <w:rPr>
                <w:b/>
                <w:noProof/>
                <w:sz w:val="20"/>
              </w:rPr>
            </w:pPr>
            <w:r w:rsidRPr="00CB683A">
              <w:rPr>
                <w:b/>
                <w:noProof/>
                <w:color w:val="000000"/>
                <w:sz w:val="20"/>
              </w:rPr>
              <w:t>8,263</w:t>
            </w:r>
          </w:p>
        </w:tc>
      </w:tr>
      <w:tr w:rsidR="004825AE" w:rsidRPr="00CB683A" w14:paraId="65D6536F" w14:textId="77777777" w:rsidTr="0088064F">
        <w:tc>
          <w:tcPr>
            <w:tcW w:w="4820" w:type="dxa"/>
            <w:vMerge/>
          </w:tcPr>
          <w:p w14:paraId="6F03608F" w14:textId="77777777" w:rsidR="004825AE" w:rsidRPr="00CB683A" w:rsidRDefault="004825AE" w:rsidP="0088064F">
            <w:pPr>
              <w:jc w:val="center"/>
              <w:rPr>
                <w:noProof/>
                <w:sz w:val="20"/>
              </w:rPr>
            </w:pPr>
          </w:p>
        </w:tc>
        <w:tc>
          <w:tcPr>
            <w:tcW w:w="2111" w:type="dxa"/>
            <w:vAlign w:val="center"/>
          </w:tcPr>
          <w:p w14:paraId="6F9C5079" w14:textId="77777777" w:rsidR="004825AE" w:rsidRPr="00CB683A" w:rsidRDefault="004825AE" w:rsidP="0088064F">
            <w:pPr>
              <w:spacing w:before="20" w:after="20"/>
              <w:rPr>
                <w:noProof/>
                <w:sz w:val="18"/>
              </w:rPr>
            </w:pPr>
            <w:r w:rsidRPr="00CB683A">
              <w:rPr>
                <w:noProof/>
                <w:sz w:val="18"/>
              </w:rPr>
              <w:t>Platby</w:t>
            </w:r>
          </w:p>
        </w:tc>
        <w:tc>
          <w:tcPr>
            <w:tcW w:w="870" w:type="dxa"/>
            <w:gridSpan w:val="2"/>
            <w:vAlign w:val="center"/>
          </w:tcPr>
          <w:p w14:paraId="5AC81BFB" w14:textId="77777777" w:rsidR="004825AE" w:rsidRPr="00CB683A" w:rsidRDefault="004825AE" w:rsidP="0088064F">
            <w:pPr>
              <w:spacing w:before="20" w:after="20"/>
              <w:jc w:val="center"/>
              <w:rPr>
                <w:noProof/>
                <w:sz w:val="14"/>
              </w:rPr>
            </w:pPr>
            <w:r w:rsidRPr="00CB683A">
              <w:rPr>
                <w:noProof/>
                <w:sz w:val="14"/>
              </w:rPr>
              <w:t>(2a)</w:t>
            </w:r>
          </w:p>
        </w:tc>
        <w:tc>
          <w:tcPr>
            <w:tcW w:w="1154" w:type="dxa"/>
            <w:shd w:val="clear" w:color="auto" w:fill="auto"/>
            <w:vAlign w:val="center"/>
          </w:tcPr>
          <w:p w14:paraId="49E646EC" w14:textId="77777777" w:rsidR="004825AE" w:rsidRPr="00CB683A" w:rsidRDefault="004825AE" w:rsidP="0088064F">
            <w:pPr>
              <w:spacing w:before="20" w:after="20"/>
              <w:jc w:val="right"/>
              <w:rPr>
                <w:noProof/>
                <w:sz w:val="20"/>
              </w:rPr>
            </w:pPr>
            <w:r w:rsidRPr="00CB683A">
              <w:rPr>
                <w:noProof/>
                <w:color w:val="000000"/>
                <w:sz w:val="20"/>
              </w:rPr>
              <w:t>1,296</w:t>
            </w:r>
          </w:p>
        </w:tc>
        <w:tc>
          <w:tcPr>
            <w:tcW w:w="1154" w:type="dxa"/>
            <w:shd w:val="clear" w:color="auto" w:fill="auto"/>
            <w:vAlign w:val="center"/>
          </w:tcPr>
          <w:p w14:paraId="223BA44D" w14:textId="77777777" w:rsidR="004825AE" w:rsidRPr="00CB683A" w:rsidRDefault="004825AE" w:rsidP="0088064F">
            <w:pPr>
              <w:spacing w:before="20" w:after="20"/>
              <w:jc w:val="right"/>
              <w:rPr>
                <w:noProof/>
                <w:sz w:val="20"/>
              </w:rPr>
            </w:pPr>
            <w:r w:rsidRPr="00CB683A">
              <w:rPr>
                <w:noProof/>
                <w:color w:val="000000"/>
                <w:sz w:val="20"/>
              </w:rPr>
              <w:t>2,360</w:t>
            </w:r>
          </w:p>
        </w:tc>
        <w:tc>
          <w:tcPr>
            <w:tcW w:w="1154" w:type="dxa"/>
            <w:shd w:val="clear" w:color="auto" w:fill="auto"/>
            <w:vAlign w:val="center"/>
          </w:tcPr>
          <w:p w14:paraId="651AEC45" w14:textId="77777777" w:rsidR="004825AE" w:rsidRPr="00CB683A" w:rsidRDefault="004825AE" w:rsidP="0088064F">
            <w:pPr>
              <w:spacing w:before="20" w:after="20"/>
              <w:jc w:val="right"/>
              <w:rPr>
                <w:noProof/>
                <w:sz w:val="20"/>
              </w:rPr>
            </w:pPr>
            <w:r w:rsidRPr="00CB683A">
              <w:rPr>
                <w:noProof/>
                <w:color w:val="000000"/>
                <w:sz w:val="20"/>
              </w:rPr>
              <w:t>2,754</w:t>
            </w:r>
          </w:p>
        </w:tc>
        <w:tc>
          <w:tcPr>
            <w:tcW w:w="1168" w:type="dxa"/>
            <w:vAlign w:val="center"/>
          </w:tcPr>
          <w:p w14:paraId="54E70C26" w14:textId="77777777" w:rsidR="004825AE" w:rsidRPr="00CB683A" w:rsidRDefault="004825AE" w:rsidP="0088064F">
            <w:pPr>
              <w:spacing w:before="20" w:after="20"/>
              <w:jc w:val="right"/>
              <w:rPr>
                <w:noProof/>
                <w:sz w:val="20"/>
              </w:rPr>
            </w:pPr>
            <w:r w:rsidRPr="00CB683A">
              <w:rPr>
                <w:noProof/>
                <w:color w:val="000000"/>
                <w:sz w:val="20"/>
              </w:rPr>
              <w:t>1,853</w:t>
            </w:r>
          </w:p>
        </w:tc>
        <w:tc>
          <w:tcPr>
            <w:tcW w:w="1319" w:type="dxa"/>
            <w:vAlign w:val="center"/>
          </w:tcPr>
          <w:p w14:paraId="3EC9FC06" w14:textId="77777777" w:rsidR="004825AE" w:rsidRPr="00CB683A" w:rsidRDefault="004825AE" w:rsidP="0088064F">
            <w:pPr>
              <w:spacing w:before="20" w:after="20"/>
              <w:jc w:val="right"/>
              <w:rPr>
                <w:b/>
                <w:noProof/>
                <w:sz w:val="20"/>
              </w:rPr>
            </w:pPr>
            <w:r w:rsidRPr="00CB683A">
              <w:rPr>
                <w:b/>
                <w:noProof/>
                <w:color w:val="000000"/>
                <w:sz w:val="20"/>
              </w:rPr>
              <w:t>8,263</w:t>
            </w:r>
          </w:p>
        </w:tc>
      </w:tr>
      <w:tr w:rsidR="004825AE" w:rsidRPr="00CB683A" w14:paraId="1E882AFB" w14:textId="77777777" w:rsidTr="0088064F">
        <w:tc>
          <w:tcPr>
            <w:tcW w:w="4820" w:type="dxa"/>
            <w:vMerge w:val="restart"/>
            <w:vAlign w:val="center"/>
          </w:tcPr>
          <w:p w14:paraId="6A4BC0AF" w14:textId="77777777" w:rsidR="004825AE" w:rsidRPr="00CB683A" w:rsidRDefault="004825AE" w:rsidP="0088064F">
            <w:pPr>
              <w:rPr>
                <w:noProof/>
              </w:rPr>
            </w:pPr>
            <w:r w:rsidRPr="00CB683A">
              <w:rPr>
                <w:noProof/>
                <w:sz w:val="20"/>
              </w:rPr>
              <w:t>Rozpočtová položka</w:t>
            </w:r>
          </w:p>
        </w:tc>
        <w:tc>
          <w:tcPr>
            <w:tcW w:w="2111" w:type="dxa"/>
            <w:vAlign w:val="center"/>
          </w:tcPr>
          <w:p w14:paraId="772BE0F9" w14:textId="77777777" w:rsidR="004825AE" w:rsidRPr="00CB683A" w:rsidRDefault="004825AE" w:rsidP="0088064F">
            <w:pPr>
              <w:spacing w:before="20" w:after="20"/>
              <w:rPr>
                <w:noProof/>
                <w:sz w:val="18"/>
              </w:rPr>
            </w:pPr>
            <w:r w:rsidRPr="00CB683A">
              <w:rPr>
                <w:noProof/>
                <w:sz w:val="18"/>
              </w:rPr>
              <w:t>Závazky</w:t>
            </w:r>
          </w:p>
        </w:tc>
        <w:tc>
          <w:tcPr>
            <w:tcW w:w="870" w:type="dxa"/>
            <w:gridSpan w:val="2"/>
            <w:vAlign w:val="center"/>
          </w:tcPr>
          <w:p w14:paraId="6962A3C5" w14:textId="77777777" w:rsidR="004825AE" w:rsidRPr="00CB683A" w:rsidRDefault="004825AE" w:rsidP="0088064F">
            <w:pPr>
              <w:spacing w:before="20" w:after="20"/>
              <w:jc w:val="center"/>
              <w:rPr>
                <w:noProof/>
                <w:sz w:val="14"/>
              </w:rPr>
            </w:pPr>
            <w:r w:rsidRPr="00CB683A">
              <w:rPr>
                <w:noProof/>
                <w:sz w:val="14"/>
              </w:rPr>
              <w:t>(1b)</w:t>
            </w:r>
          </w:p>
        </w:tc>
        <w:tc>
          <w:tcPr>
            <w:tcW w:w="1154" w:type="dxa"/>
            <w:vAlign w:val="center"/>
          </w:tcPr>
          <w:p w14:paraId="0831AB64" w14:textId="77777777" w:rsidR="004825AE" w:rsidRPr="00CB683A" w:rsidRDefault="004825AE" w:rsidP="0088064F">
            <w:pPr>
              <w:spacing w:before="20" w:after="20"/>
              <w:jc w:val="right"/>
              <w:rPr>
                <w:noProof/>
                <w:sz w:val="20"/>
              </w:rPr>
            </w:pPr>
          </w:p>
        </w:tc>
        <w:tc>
          <w:tcPr>
            <w:tcW w:w="1154" w:type="dxa"/>
            <w:vAlign w:val="center"/>
          </w:tcPr>
          <w:p w14:paraId="7488C13D" w14:textId="77777777" w:rsidR="004825AE" w:rsidRPr="00CB683A" w:rsidRDefault="004825AE" w:rsidP="0088064F">
            <w:pPr>
              <w:spacing w:before="20" w:after="20"/>
              <w:jc w:val="right"/>
              <w:rPr>
                <w:noProof/>
                <w:sz w:val="20"/>
              </w:rPr>
            </w:pPr>
          </w:p>
        </w:tc>
        <w:tc>
          <w:tcPr>
            <w:tcW w:w="1154" w:type="dxa"/>
            <w:vAlign w:val="center"/>
          </w:tcPr>
          <w:p w14:paraId="3D6A3DEB" w14:textId="77777777" w:rsidR="004825AE" w:rsidRPr="00CB683A" w:rsidRDefault="004825AE" w:rsidP="0088064F">
            <w:pPr>
              <w:spacing w:before="20" w:after="20"/>
              <w:jc w:val="right"/>
              <w:rPr>
                <w:noProof/>
                <w:sz w:val="20"/>
              </w:rPr>
            </w:pPr>
          </w:p>
        </w:tc>
        <w:tc>
          <w:tcPr>
            <w:tcW w:w="1168" w:type="dxa"/>
            <w:vAlign w:val="center"/>
          </w:tcPr>
          <w:p w14:paraId="2FD6247B" w14:textId="77777777" w:rsidR="004825AE" w:rsidRPr="00CB683A" w:rsidRDefault="004825AE" w:rsidP="0088064F">
            <w:pPr>
              <w:spacing w:before="20" w:after="20"/>
              <w:jc w:val="center"/>
              <w:rPr>
                <w:noProof/>
                <w:sz w:val="20"/>
              </w:rPr>
            </w:pPr>
          </w:p>
        </w:tc>
        <w:tc>
          <w:tcPr>
            <w:tcW w:w="1319" w:type="dxa"/>
            <w:vAlign w:val="center"/>
          </w:tcPr>
          <w:p w14:paraId="454260CB" w14:textId="77777777" w:rsidR="004825AE" w:rsidRPr="00CB683A" w:rsidRDefault="004825AE" w:rsidP="0088064F">
            <w:pPr>
              <w:spacing w:before="20" w:after="20"/>
              <w:jc w:val="right"/>
              <w:rPr>
                <w:b/>
                <w:noProof/>
                <w:sz w:val="20"/>
              </w:rPr>
            </w:pPr>
          </w:p>
        </w:tc>
      </w:tr>
      <w:tr w:rsidR="004825AE" w:rsidRPr="00CB683A" w14:paraId="36AD4126" w14:textId="77777777" w:rsidTr="0088064F">
        <w:tc>
          <w:tcPr>
            <w:tcW w:w="4820" w:type="dxa"/>
            <w:vMerge/>
          </w:tcPr>
          <w:p w14:paraId="68E5B3DA" w14:textId="77777777" w:rsidR="004825AE" w:rsidRPr="00CB683A" w:rsidRDefault="004825AE" w:rsidP="0088064F">
            <w:pPr>
              <w:jc w:val="center"/>
              <w:rPr>
                <w:noProof/>
                <w:sz w:val="20"/>
              </w:rPr>
            </w:pPr>
          </w:p>
        </w:tc>
        <w:tc>
          <w:tcPr>
            <w:tcW w:w="2111" w:type="dxa"/>
            <w:vAlign w:val="center"/>
          </w:tcPr>
          <w:p w14:paraId="4F3195C6" w14:textId="77777777" w:rsidR="004825AE" w:rsidRPr="00CB683A" w:rsidRDefault="004825AE" w:rsidP="0088064F">
            <w:pPr>
              <w:spacing w:before="20" w:after="20"/>
              <w:rPr>
                <w:noProof/>
                <w:sz w:val="18"/>
              </w:rPr>
            </w:pPr>
            <w:r w:rsidRPr="00CB683A">
              <w:rPr>
                <w:noProof/>
                <w:sz w:val="18"/>
              </w:rPr>
              <w:t>Platby</w:t>
            </w:r>
          </w:p>
        </w:tc>
        <w:tc>
          <w:tcPr>
            <w:tcW w:w="870" w:type="dxa"/>
            <w:gridSpan w:val="2"/>
            <w:vAlign w:val="center"/>
          </w:tcPr>
          <w:p w14:paraId="3C4BB621" w14:textId="77777777" w:rsidR="004825AE" w:rsidRPr="00CB683A" w:rsidRDefault="004825AE" w:rsidP="0088064F">
            <w:pPr>
              <w:spacing w:before="20" w:after="20"/>
              <w:jc w:val="center"/>
              <w:rPr>
                <w:noProof/>
                <w:sz w:val="14"/>
              </w:rPr>
            </w:pPr>
            <w:r w:rsidRPr="00CB683A">
              <w:rPr>
                <w:noProof/>
                <w:sz w:val="14"/>
              </w:rPr>
              <w:t>(2b)</w:t>
            </w:r>
          </w:p>
        </w:tc>
        <w:tc>
          <w:tcPr>
            <w:tcW w:w="1154" w:type="dxa"/>
            <w:vAlign w:val="center"/>
          </w:tcPr>
          <w:p w14:paraId="3F96EABA" w14:textId="77777777" w:rsidR="004825AE" w:rsidRPr="00CB683A" w:rsidRDefault="004825AE" w:rsidP="0088064F">
            <w:pPr>
              <w:spacing w:before="20" w:after="20"/>
              <w:jc w:val="right"/>
              <w:rPr>
                <w:noProof/>
                <w:sz w:val="20"/>
              </w:rPr>
            </w:pPr>
          </w:p>
        </w:tc>
        <w:tc>
          <w:tcPr>
            <w:tcW w:w="1154" w:type="dxa"/>
            <w:vAlign w:val="center"/>
          </w:tcPr>
          <w:p w14:paraId="1BB7BA23" w14:textId="77777777" w:rsidR="004825AE" w:rsidRPr="00CB683A" w:rsidRDefault="004825AE" w:rsidP="0088064F">
            <w:pPr>
              <w:spacing w:before="20" w:after="20"/>
              <w:jc w:val="right"/>
              <w:rPr>
                <w:noProof/>
                <w:sz w:val="20"/>
              </w:rPr>
            </w:pPr>
          </w:p>
        </w:tc>
        <w:tc>
          <w:tcPr>
            <w:tcW w:w="1154" w:type="dxa"/>
            <w:vAlign w:val="center"/>
          </w:tcPr>
          <w:p w14:paraId="726C9F03" w14:textId="77777777" w:rsidR="004825AE" w:rsidRPr="00CB683A" w:rsidRDefault="004825AE" w:rsidP="0088064F">
            <w:pPr>
              <w:spacing w:before="20" w:after="20"/>
              <w:jc w:val="right"/>
              <w:rPr>
                <w:noProof/>
                <w:sz w:val="20"/>
              </w:rPr>
            </w:pPr>
          </w:p>
        </w:tc>
        <w:tc>
          <w:tcPr>
            <w:tcW w:w="1168" w:type="dxa"/>
            <w:vAlign w:val="center"/>
          </w:tcPr>
          <w:p w14:paraId="4C1D2F2C" w14:textId="77777777" w:rsidR="004825AE" w:rsidRPr="00CB683A" w:rsidRDefault="004825AE" w:rsidP="0088064F">
            <w:pPr>
              <w:spacing w:before="20" w:after="20"/>
              <w:jc w:val="center"/>
              <w:rPr>
                <w:noProof/>
                <w:sz w:val="20"/>
              </w:rPr>
            </w:pPr>
          </w:p>
        </w:tc>
        <w:tc>
          <w:tcPr>
            <w:tcW w:w="1319" w:type="dxa"/>
            <w:vAlign w:val="center"/>
          </w:tcPr>
          <w:p w14:paraId="16A79935" w14:textId="77777777" w:rsidR="004825AE" w:rsidRPr="00CB683A" w:rsidRDefault="004825AE" w:rsidP="0088064F">
            <w:pPr>
              <w:spacing w:before="20" w:after="20"/>
              <w:jc w:val="right"/>
              <w:rPr>
                <w:b/>
                <w:noProof/>
                <w:sz w:val="20"/>
              </w:rPr>
            </w:pPr>
          </w:p>
        </w:tc>
      </w:tr>
      <w:tr w:rsidR="004825AE" w:rsidRPr="00CB683A" w14:paraId="1CA1B904" w14:textId="77777777" w:rsidTr="0088064F">
        <w:trPr>
          <w:trHeight w:val="231"/>
        </w:trPr>
        <w:tc>
          <w:tcPr>
            <w:tcW w:w="7801" w:type="dxa"/>
            <w:gridSpan w:val="4"/>
            <w:vAlign w:val="center"/>
          </w:tcPr>
          <w:p w14:paraId="2FA91FCE" w14:textId="77777777" w:rsidR="004825AE" w:rsidRPr="00CB683A" w:rsidRDefault="004825AE" w:rsidP="0088064F">
            <w:pPr>
              <w:spacing w:before="20" w:after="20"/>
              <w:rPr>
                <w:noProof/>
              </w:rPr>
            </w:pPr>
            <w:r w:rsidRPr="00CB683A">
              <w:rPr>
                <w:noProof/>
                <w:sz w:val="21"/>
              </w:rPr>
              <w:t>Prostředky správní povahy financované z rámce na zvláštní programy</w:t>
            </w:r>
            <w:r w:rsidRPr="00CB683A">
              <w:rPr>
                <w:rStyle w:val="FootnoteReference"/>
                <w:noProof/>
                <w:sz w:val="21"/>
              </w:rPr>
              <w:footnoteReference w:id="54"/>
            </w:r>
          </w:p>
          <w:p w14:paraId="0635E2E1" w14:textId="77777777" w:rsidR="004825AE" w:rsidRPr="00CB683A" w:rsidRDefault="004825AE" w:rsidP="0088064F">
            <w:pPr>
              <w:spacing w:before="0" w:after="0"/>
              <w:rPr>
                <w:noProof/>
              </w:rPr>
            </w:pPr>
          </w:p>
        </w:tc>
        <w:tc>
          <w:tcPr>
            <w:tcW w:w="1154" w:type="dxa"/>
            <w:vAlign w:val="center"/>
          </w:tcPr>
          <w:p w14:paraId="5C4D7853" w14:textId="77777777" w:rsidR="004825AE" w:rsidRPr="00CB683A" w:rsidRDefault="004825AE" w:rsidP="0088064F">
            <w:pPr>
              <w:rPr>
                <w:b/>
                <w:noProof/>
                <w:sz w:val="20"/>
              </w:rPr>
            </w:pPr>
          </w:p>
        </w:tc>
        <w:tc>
          <w:tcPr>
            <w:tcW w:w="1154" w:type="dxa"/>
            <w:vAlign w:val="center"/>
          </w:tcPr>
          <w:p w14:paraId="230DF6E6" w14:textId="77777777" w:rsidR="004825AE" w:rsidRPr="00CB683A" w:rsidRDefault="004825AE" w:rsidP="0088064F">
            <w:pPr>
              <w:rPr>
                <w:b/>
                <w:noProof/>
                <w:sz w:val="20"/>
              </w:rPr>
            </w:pPr>
          </w:p>
        </w:tc>
        <w:tc>
          <w:tcPr>
            <w:tcW w:w="1154" w:type="dxa"/>
            <w:vAlign w:val="center"/>
          </w:tcPr>
          <w:p w14:paraId="69C59ADC" w14:textId="77777777" w:rsidR="004825AE" w:rsidRPr="00CB683A" w:rsidRDefault="004825AE" w:rsidP="0088064F">
            <w:pPr>
              <w:rPr>
                <w:b/>
                <w:noProof/>
                <w:sz w:val="20"/>
              </w:rPr>
            </w:pPr>
          </w:p>
        </w:tc>
        <w:tc>
          <w:tcPr>
            <w:tcW w:w="1168" w:type="dxa"/>
            <w:vAlign w:val="center"/>
          </w:tcPr>
          <w:p w14:paraId="5CD2EACC" w14:textId="77777777" w:rsidR="004825AE" w:rsidRPr="00CB683A" w:rsidRDefault="004825AE" w:rsidP="0088064F">
            <w:pPr>
              <w:jc w:val="center"/>
              <w:rPr>
                <w:noProof/>
                <w:sz w:val="20"/>
              </w:rPr>
            </w:pPr>
          </w:p>
        </w:tc>
        <w:tc>
          <w:tcPr>
            <w:tcW w:w="1319" w:type="dxa"/>
            <w:vAlign w:val="center"/>
          </w:tcPr>
          <w:p w14:paraId="22867E23" w14:textId="77777777" w:rsidR="004825AE" w:rsidRPr="00CB683A" w:rsidRDefault="004825AE" w:rsidP="0088064F">
            <w:pPr>
              <w:rPr>
                <w:b/>
                <w:noProof/>
                <w:sz w:val="20"/>
              </w:rPr>
            </w:pPr>
          </w:p>
        </w:tc>
      </w:tr>
      <w:tr w:rsidR="004825AE" w:rsidRPr="00CB683A" w14:paraId="0A02397B" w14:textId="77777777" w:rsidTr="0088064F">
        <w:trPr>
          <w:trHeight w:val="319"/>
        </w:trPr>
        <w:tc>
          <w:tcPr>
            <w:tcW w:w="4820" w:type="dxa"/>
            <w:vAlign w:val="center"/>
          </w:tcPr>
          <w:p w14:paraId="0343A00E" w14:textId="77777777" w:rsidR="004825AE" w:rsidRPr="00CB683A" w:rsidRDefault="004825AE" w:rsidP="0088064F">
            <w:pPr>
              <w:spacing w:before="60" w:after="60"/>
              <w:rPr>
                <w:noProof/>
              </w:rPr>
            </w:pPr>
            <w:r w:rsidRPr="00CB683A">
              <w:rPr>
                <w:noProof/>
                <w:sz w:val="20"/>
              </w:rPr>
              <w:t>Rozpočtová položka</w:t>
            </w:r>
          </w:p>
        </w:tc>
        <w:tc>
          <w:tcPr>
            <w:tcW w:w="2111" w:type="dxa"/>
            <w:vAlign w:val="center"/>
          </w:tcPr>
          <w:p w14:paraId="545FE525" w14:textId="77777777" w:rsidR="004825AE" w:rsidRPr="00CB683A" w:rsidRDefault="004825AE" w:rsidP="0088064F">
            <w:pPr>
              <w:spacing w:before="40" w:after="40"/>
              <w:jc w:val="right"/>
              <w:rPr>
                <w:noProof/>
                <w:sz w:val="18"/>
              </w:rPr>
            </w:pPr>
          </w:p>
        </w:tc>
        <w:tc>
          <w:tcPr>
            <w:tcW w:w="870" w:type="dxa"/>
            <w:gridSpan w:val="2"/>
            <w:vAlign w:val="center"/>
          </w:tcPr>
          <w:p w14:paraId="7DE68EC9" w14:textId="77777777" w:rsidR="004825AE" w:rsidRPr="00CB683A" w:rsidRDefault="004825AE" w:rsidP="0088064F">
            <w:pPr>
              <w:spacing w:before="40" w:after="40"/>
              <w:jc w:val="center"/>
              <w:rPr>
                <w:noProof/>
                <w:sz w:val="14"/>
              </w:rPr>
            </w:pPr>
            <w:r w:rsidRPr="00CB683A">
              <w:rPr>
                <w:noProof/>
                <w:sz w:val="14"/>
              </w:rPr>
              <w:t>(3)</w:t>
            </w:r>
          </w:p>
        </w:tc>
        <w:tc>
          <w:tcPr>
            <w:tcW w:w="1154" w:type="dxa"/>
            <w:vAlign w:val="center"/>
          </w:tcPr>
          <w:p w14:paraId="1100BDC4" w14:textId="77777777" w:rsidR="004825AE" w:rsidRPr="00CB683A" w:rsidRDefault="004825AE" w:rsidP="0088064F">
            <w:pPr>
              <w:spacing w:before="40" w:after="40"/>
              <w:jc w:val="right"/>
              <w:rPr>
                <w:b/>
                <w:noProof/>
                <w:sz w:val="20"/>
              </w:rPr>
            </w:pPr>
          </w:p>
        </w:tc>
        <w:tc>
          <w:tcPr>
            <w:tcW w:w="1154" w:type="dxa"/>
            <w:vAlign w:val="center"/>
          </w:tcPr>
          <w:p w14:paraId="647CCEB5" w14:textId="77777777" w:rsidR="004825AE" w:rsidRPr="00CB683A" w:rsidRDefault="004825AE" w:rsidP="0088064F">
            <w:pPr>
              <w:spacing w:before="40" w:after="40"/>
              <w:jc w:val="right"/>
              <w:rPr>
                <w:b/>
                <w:noProof/>
                <w:sz w:val="20"/>
              </w:rPr>
            </w:pPr>
          </w:p>
        </w:tc>
        <w:tc>
          <w:tcPr>
            <w:tcW w:w="1154" w:type="dxa"/>
            <w:vAlign w:val="center"/>
          </w:tcPr>
          <w:p w14:paraId="2312F309" w14:textId="77777777" w:rsidR="004825AE" w:rsidRPr="00CB683A" w:rsidRDefault="004825AE" w:rsidP="0088064F">
            <w:pPr>
              <w:spacing w:before="40" w:after="40"/>
              <w:jc w:val="right"/>
              <w:rPr>
                <w:b/>
                <w:noProof/>
                <w:sz w:val="20"/>
              </w:rPr>
            </w:pPr>
          </w:p>
        </w:tc>
        <w:tc>
          <w:tcPr>
            <w:tcW w:w="1168" w:type="dxa"/>
            <w:vAlign w:val="center"/>
          </w:tcPr>
          <w:p w14:paraId="29026EB9" w14:textId="77777777" w:rsidR="004825AE" w:rsidRPr="00CB683A" w:rsidRDefault="004825AE" w:rsidP="0088064F">
            <w:pPr>
              <w:spacing w:before="40" w:after="40"/>
              <w:jc w:val="center"/>
              <w:rPr>
                <w:noProof/>
                <w:sz w:val="20"/>
              </w:rPr>
            </w:pPr>
          </w:p>
        </w:tc>
        <w:tc>
          <w:tcPr>
            <w:tcW w:w="1319" w:type="dxa"/>
            <w:vAlign w:val="center"/>
          </w:tcPr>
          <w:p w14:paraId="5D5E6980" w14:textId="77777777" w:rsidR="004825AE" w:rsidRPr="00CB683A" w:rsidRDefault="004825AE" w:rsidP="0088064F">
            <w:pPr>
              <w:spacing w:before="40" w:after="40"/>
              <w:jc w:val="right"/>
              <w:rPr>
                <w:b/>
                <w:noProof/>
                <w:sz w:val="20"/>
              </w:rPr>
            </w:pPr>
          </w:p>
        </w:tc>
      </w:tr>
      <w:tr w:rsidR="004825AE" w:rsidRPr="00CB683A" w14:paraId="4E74EF36" w14:textId="77777777" w:rsidTr="0088064F">
        <w:tc>
          <w:tcPr>
            <w:tcW w:w="4820" w:type="dxa"/>
            <w:vMerge w:val="restart"/>
            <w:vAlign w:val="center"/>
          </w:tcPr>
          <w:p w14:paraId="1263DF54" w14:textId="77777777" w:rsidR="004825AE" w:rsidRPr="00CB683A" w:rsidRDefault="004825AE" w:rsidP="0088064F">
            <w:pPr>
              <w:jc w:val="center"/>
              <w:rPr>
                <w:b/>
                <w:noProof/>
              </w:rPr>
            </w:pPr>
            <w:r w:rsidRPr="00CB683A">
              <w:rPr>
                <w:b/>
                <w:noProof/>
                <w:sz w:val="22"/>
              </w:rPr>
              <w:t>Prostředky na GŘ ESTAT</w:t>
            </w:r>
            <w:r w:rsidRPr="00CB683A">
              <w:rPr>
                <w:noProof/>
              </w:rPr>
              <w:t xml:space="preserve"> </w:t>
            </w:r>
            <w:r w:rsidRPr="00CB683A">
              <w:rPr>
                <w:noProof/>
              </w:rPr>
              <w:br/>
            </w:r>
            <w:r w:rsidRPr="00CB683A">
              <w:rPr>
                <w:b/>
                <w:noProof/>
                <w:sz w:val="22"/>
              </w:rPr>
              <w:t>CELKEM</w:t>
            </w:r>
          </w:p>
        </w:tc>
        <w:tc>
          <w:tcPr>
            <w:tcW w:w="2111" w:type="dxa"/>
            <w:vAlign w:val="center"/>
          </w:tcPr>
          <w:p w14:paraId="1C7B6379" w14:textId="77777777" w:rsidR="004825AE" w:rsidRPr="00CB683A" w:rsidRDefault="004825AE" w:rsidP="0088064F">
            <w:pPr>
              <w:rPr>
                <w:noProof/>
                <w:sz w:val="18"/>
              </w:rPr>
            </w:pPr>
            <w:r w:rsidRPr="00CB683A">
              <w:rPr>
                <w:noProof/>
                <w:sz w:val="18"/>
              </w:rPr>
              <w:t>Závazky</w:t>
            </w:r>
          </w:p>
        </w:tc>
        <w:tc>
          <w:tcPr>
            <w:tcW w:w="870" w:type="dxa"/>
            <w:gridSpan w:val="2"/>
            <w:vAlign w:val="center"/>
          </w:tcPr>
          <w:p w14:paraId="44A3D726" w14:textId="77777777" w:rsidR="004825AE" w:rsidRPr="00CB683A" w:rsidRDefault="004825AE" w:rsidP="0088064F">
            <w:pPr>
              <w:jc w:val="center"/>
              <w:rPr>
                <w:noProof/>
                <w:sz w:val="14"/>
              </w:rPr>
            </w:pPr>
            <w:r w:rsidRPr="00CB683A">
              <w:rPr>
                <w:noProof/>
                <w:sz w:val="14"/>
              </w:rPr>
              <w:t>= 1a+1b+3</w:t>
            </w:r>
          </w:p>
        </w:tc>
        <w:tc>
          <w:tcPr>
            <w:tcW w:w="1154" w:type="dxa"/>
            <w:vAlign w:val="center"/>
          </w:tcPr>
          <w:p w14:paraId="5C819D80" w14:textId="77777777" w:rsidR="004825AE" w:rsidRPr="00CB683A" w:rsidRDefault="004825AE" w:rsidP="0088064F">
            <w:pPr>
              <w:spacing w:before="20" w:after="20"/>
              <w:jc w:val="right"/>
              <w:rPr>
                <w:noProof/>
                <w:sz w:val="20"/>
              </w:rPr>
            </w:pPr>
            <w:r w:rsidRPr="00CB683A">
              <w:rPr>
                <w:noProof/>
                <w:color w:val="000000"/>
                <w:sz w:val="20"/>
              </w:rPr>
              <w:t>3,889</w:t>
            </w:r>
          </w:p>
        </w:tc>
        <w:tc>
          <w:tcPr>
            <w:tcW w:w="1154" w:type="dxa"/>
            <w:vAlign w:val="center"/>
          </w:tcPr>
          <w:p w14:paraId="73842963" w14:textId="77777777" w:rsidR="004825AE" w:rsidRPr="00CB683A" w:rsidRDefault="004825AE" w:rsidP="0088064F">
            <w:pPr>
              <w:spacing w:before="20" w:after="20"/>
              <w:jc w:val="right"/>
              <w:rPr>
                <w:noProof/>
                <w:sz w:val="20"/>
              </w:rPr>
            </w:pPr>
            <w:r w:rsidRPr="00CB683A">
              <w:rPr>
                <w:noProof/>
                <w:color w:val="000000"/>
                <w:sz w:val="20"/>
              </w:rPr>
              <w:t>3,191</w:t>
            </w:r>
          </w:p>
        </w:tc>
        <w:tc>
          <w:tcPr>
            <w:tcW w:w="1154" w:type="dxa"/>
            <w:vAlign w:val="center"/>
          </w:tcPr>
          <w:p w14:paraId="3034BEC4" w14:textId="77777777" w:rsidR="004825AE" w:rsidRPr="00CB683A" w:rsidRDefault="004825AE" w:rsidP="0088064F">
            <w:pPr>
              <w:spacing w:before="20" w:after="20"/>
              <w:jc w:val="right"/>
              <w:rPr>
                <w:noProof/>
                <w:sz w:val="20"/>
              </w:rPr>
            </w:pPr>
            <w:r w:rsidRPr="00CB683A">
              <w:rPr>
                <w:noProof/>
                <w:color w:val="000000"/>
                <w:sz w:val="20"/>
              </w:rPr>
              <w:t>1,183</w:t>
            </w:r>
          </w:p>
        </w:tc>
        <w:tc>
          <w:tcPr>
            <w:tcW w:w="1168" w:type="dxa"/>
            <w:vAlign w:val="center"/>
          </w:tcPr>
          <w:p w14:paraId="72872C28" w14:textId="77777777" w:rsidR="004825AE" w:rsidRPr="00CB683A" w:rsidRDefault="004825AE" w:rsidP="0088064F">
            <w:pPr>
              <w:spacing w:before="20" w:after="20"/>
              <w:jc w:val="right"/>
              <w:rPr>
                <w:noProof/>
                <w:sz w:val="20"/>
              </w:rPr>
            </w:pPr>
            <w:r w:rsidRPr="00CB683A">
              <w:rPr>
                <w:noProof/>
                <w:color w:val="000000"/>
                <w:sz w:val="20"/>
              </w:rPr>
              <w:t>0,000</w:t>
            </w:r>
          </w:p>
        </w:tc>
        <w:tc>
          <w:tcPr>
            <w:tcW w:w="1319" w:type="dxa"/>
            <w:vAlign w:val="center"/>
          </w:tcPr>
          <w:p w14:paraId="46B5FB42" w14:textId="77777777" w:rsidR="004825AE" w:rsidRPr="00CB683A" w:rsidRDefault="004825AE" w:rsidP="0088064F">
            <w:pPr>
              <w:spacing w:before="20" w:after="20"/>
              <w:jc w:val="right"/>
              <w:rPr>
                <w:b/>
                <w:noProof/>
                <w:sz w:val="20"/>
              </w:rPr>
            </w:pPr>
            <w:r w:rsidRPr="00CB683A">
              <w:rPr>
                <w:b/>
                <w:noProof/>
                <w:color w:val="000000"/>
                <w:sz w:val="20"/>
              </w:rPr>
              <w:t>8,263</w:t>
            </w:r>
          </w:p>
        </w:tc>
      </w:tr>
      <w:tr w:rsidR="004825AE" w:rsidRPr="00CB683A" w14:paraId="3BF59CAE" w14:textId="77777777" w:rsidTr="0088064F">
        <w:tc>
          <w:tcPr>
            <w:tcW w:w="4820" w:type="dxa"/>
            <w:vMerge/>
          </w:tcPr>
          <w:p w14:paraId="7709DB75" w14:textId="77777777" w:rsidR="004825AE" w:rsidRPr="00CB683A" w:rsidRDefault="004825AE" w:rsidP="0088064F">
            <w:pPr>
              <w:rPr>
                <w:noProof/>
                <w:sz w:val="20"/>
              </w:rPr>
            </w:pPr>
          </w:p>
        </w:tc>
        <w:tc>
          <w:tcPr>
            <w:tcW w:w="2111" w:type="dxa"/>
            <w:vAlign w:val="center"/>
          </w:tcPr>
          <w:p w14:paraId="50350679" w14:textId="77777777" w:rsidR="004825AE" w:rsidRPr="00CB683A" w:rsidRDefault="004825AE" w:rsidP="0088064F">
            <w:pPr>
              <w:rPr>
                <w:noProof/>
                <w:sz w:val="18"/>
              </w:rPr>
            </w:pPr>
            <w:r w:rsidRPr="00CB683A">
              <w:rPr>
                <w:noProof/>
                <w:sz w:val="18"/>
              </w:rPr>
              <w:t>Platby</w:t>
            </w:r>
          </w:p>
        </w:tc>
        <w:tc>
          <w:tcPr>
            <w:tcW w:w="870" w:type="dxa"/>
            <w:gridSpan w:val="2"/>
            <w:vAlign w:val="center"/>
          </w:tcPr>
          <w:p w14:paraId="1D462A40" w14:textId="77777777" w:rsidR="004825AE" w:rsidRPr="00CB683A" w:rsidRDefault="004825AE" w:rsidP="0088064F">
            <w:pPr>
              <w:jc w:val="center"/>
              <w:rPr>
                <w:noProof/>
                <w:sz w:val="14"/>
              </w:rPr>
            </w:pPr>
            <w:r w:rsidRPr="00CB683A">
              <w:rPr>
                <w:noProof/>
                <w:sz w:val="14"/>
              </w:rPr>
              <w:t>= 2a+2b</w:t>
            </w:r>
          </w:p>
          <w:p w14:paraId="27CF8802" w14:textId="77777777" w:rsidR="004825AE" w:rsidRPr="00CB683A" w:rsidRDefault="004825AE" w:rsidP="0088064F">
            <w:pPr>
              <w:jc w:val="center"/>
              <w:rPr>
                <w:noProof/>
                <w:sz w:val="14"/>
              </w:rPr>
            </w:pPr>
            <w:r w:rsidRPr="00CB683A">
              <w:rPr>
                <w:noProof/>
                <w:sz w:val="14"/>
              </w:rPr>
              <w:t>+3</w:t>
            </w:r>
          </w:p>
        </w:tc>
        <w:tc>
          <w:tcPr>
            <w:tcW w:w="1154" w:type="dxa"/>
            <w:vAlign w:val="center"/>
          </w:tcPr>
          <w:p w14:paraId="5FA17563" w14:textId="77777777" w:rsidR="004825AE" w:rsidRPr="00CB683A" w:rsidRDefault="004825AE" w:rsidP="0088064F">
            <w:pPr>
              <w:spacing w:before="20" w:after="20"/>
              <w:jc w:val="right"/>
              <w:rPr>
                <w:noProof/>
                <w:sz w:val="20"/>
              </w:rPr>
            </w:pPr>
            <w:r w:rsidRPr="00CB683A">
              <w:rPr>
                <w:noProof/>
                <w:color w:val="000000"/>
                <w:sz w:val="20"/>
              </w:rPr>
              <w:t>1,296</w:t>
            </w:r>
          </w:p>
        </w:tc>
        <w:tc>
          <w:tcPr>
            <w:tcW w:w="1154" w:type="dxa"/>
            <w:vAlign w:val="center"/>
          </w:tcPr>
          <w:p w14:paraId="50214DCD" w14:textId="77777777" w:rsidR="004825AE" w:rsidRPr="00CB683A" w:rsidRDefault="004825AE" w:rsidP="0088064F">
            <w:pPr>
              <w:spacing w:before="20" w:after="20"/>
              <w:jc w:val="right"/>
              <w:rPr>
                <w:noProof/>
                <w:sz w:val="20"/>
              </w:rPr>
            </w:pPr>
            <w:r w:rsidRPr="00CB683A">
              <w:rPr>
                <w:noProof/>
                <w:color w:val="000000"/>
                <w:sz w:val="20"/>
              </w:rPr>
              <w:t>2,360</w:t>
            </w:r>
          </w:p>
        </w:tc>
        <w:tc>
          <w:tcPr>
            <w:tcW w:w="1154" w:type="dxa"/>
            <w:vAlign w:val="center"/>
          </w:tcPr>
          <w:p w14:paraId="28B28E76" w14:textId="77777777" w:rsidR="004825AE" w:rsidRPr="00CB683A" w:rsidRDefault="004825AE" w:rsidP="0088064F">
            <w:pPr>
              <w:spacing w:before="20" w:after="20"/>
              <w:jc w:val="right"/>
              <w:rPr>
                <w:noProof/>
                <w:sz w:val="20"/>
              </w:rPr>
            </w:pPr>
            <w:r w:rsidRPr="00CB683A">
              <w:rPr>
                <w:noProof/>
                <w:color w:val="000000"/>
                <w:sz w:val="20"/>
              </w:rPr>
              <w:t>2,754</w:t>
            </w:r>
          </w:p>
        </w:tc>
        <w:tc>
          <w:tcPr>
            <w:tcW w:w="1168" w:type="dxa"/>
            <w:vAlign w:val="center"/>
          </w:tcPr>
          <w:p w14:paraId="6510084D" w14:textId="77777777" w:rsidR="004825AE" w:rsidRPr="00CB683A" w:rsidRDefault="004825AE" w:rsidP="0088064F">
            <w:pPr>
              <w:spacing w:before="20" w:after="20"/>
              <w:jc w:val="right"/>
              <w:rPr>
                <w:noProof/>
                <w:sz w:val="20"/>
              </w:rPr>
            </w:pPr>
            <w:r w:rsidRPr="00CB683A">
              <w:rPr>
                <w:noProof/>
                <w:color w:val="000000"/>
                <w:sz w:val="20"/>
              </w:rPr>
              <w:t>1,853</w:t>
            </w:r>
          </w:p>
        </w:tc>
        <w:tc>
          <w:tcPr>
            <w:tcW w:w="1319" w:type="dxa"/>
            <w:vAlign w:val="center"/>
          </w:tcPr>
          <w:p w14:paraId="331B5E18" w14:textId="77777777" w:rsidR="004825AE" w:rsidRPr="00CB683A" w:rsidRDefault="004825AE" w:rsidP="0088064F">
            <w:pPr>
              <w:spacing w:before="20" w:after="20"/>
              <w:jc w:val="right"/>
              <w:rPr>
                <w:b/>
                <w:noProof/>
                <w:sz w:val="20"/>
              </w:rPr>
            </w:pPr>
            <w:r w:rsidRPr="00CB683A">
              <w:rPr>
                <w:b/>
                <w:noProof/>
                <w:color w:val="000000"/>
                <w:sz w:val="20"/>
              </w:rPr>
              <w:t>8,263</w:t>
            </w:r>
          </w:p>
        </w:tc>
      </w:tr>
    </w:tbl>
    <w:p w14:paraId="58889082" w14:textId="77777777" w:rsidR="004825AE" w:rsidRPr="00CB683A" w:rsidRDefault="004825AE" w:rsidP="004825AE">
      <w:pPr>
        <w:rPr>
          <w:noProof/>
        </w:rPr>
      </w:pPr>
      <w:r w:rsidRPr="00CB683A">
        <w:rPr>
          <w:noProof/>
        </w:rPr>
        <w:t xml:space="preserve"> </w:t>
      </w:r>
      <w:r w:rsidRPr="00CB683A">
        <w:rPr>
          <w:noProof/>
        </w:rPr>
        <w:br/>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6"/>
        <w:gridCol w:w="1915"/>
        <w:gridCol w:w="870"/>
        <w:gridCol w:w="1154"/>
        <w:gridCol w:w="1154"/>
        <w:gridCol w:w="1154"/>
        <w:gridCol w:w="1168"/>
        <w:gridCol w:w="1319"/>
      </w:tblGrid>
      <w:tr w:rsidR="004825AE" w:rsidRPr="00CB683A" w14:paraId="4E1EB9E7" w14:textId="77777777" w:rsidTr="0088064F">
        <w:trPr>
          <w:trHeight w:val="277"/>
        </w:trPr>
        <w:tc>
          <w:tcPr>
            <w:tcW w:w="3960" w:type="dxa"/>
            <w:vMerge w:val="restart"/>
            <w:vAlign w:val="center"/>
          </w:tcPr>
          <w:p w14:paraId="0A1CA824" w14:textId="77777777" w:rsidR="004825AE" w:rsidRPr="00CB683A" w:rsidRDefault="004825AE" w:rsidP="0088064F">
            <w:pPr>
              <w:spacing w:before="20" w:after="20"/>
              <w:rPr>
                <w:noProof/>
              </w:rPr>
            </w:pPr>
            <w:r w:rsidRPr="00CB683A">
              <w:rPr>
                <w:noProof/>
              </w:rPr>
              <w:br w:type="page"/>
            </w:r>
            <w:r w:rsidRPr="00CB683A">
              <w:rPr>
                <w:noProof/>
                <w:sz w:val="21"/>
              </w:rPr>
              <w:sym w:font="Wingdings" w:char="F09F"/>
            </w:r>
            <w:r w:rsidRPr="00CB683A">
              <w:rPr>
                <w:noProof/>
                <w:sz w:val="21"/>
              </w:rPr>
              <w:t xml:space="preserve"> Operační prostředky CELKEM </w:t>
            </w:r>
          </w:p>
        </w:tc>
        <w:tc>
          <w:tcPr>
            <w:tcW w:w="1440" w:type="dxa"/>
            <w:vAlign w:val="center"/>
          </w:tcPr>
          <w:p w14:paraId="086B298D" w14:textId="77777777" w:rsidR="004825AE" w:rsidRPr="00CB683A" w:rsidRDefault="004825AE" w:rsidP="0088064F">
            <w:pPr>
              <w:spacing w:beforeLines="20" w:before="48" w:afterLines="20" w:after="48"/>
              <w:rPr>
                <w:noProof/>
                <w:sz w:val="18"/>
              </w:rPr>
            </w:pPr>
            <w:r w:rsidRPr="00CB683A">
              <w:rPr>
                <w:noProof/>
                <w:sz w:val="18"/>
              </w:rPr>
              <w:t>Závazky</w:t>
            </w:r>
          </w:p>
        </w:tc>
        <w:tc>
          <w:tcPr>
            <w:tcW w:w="654" w:type="dxa"/>
            <w:vAlign w:val="center"/>
          </w:tcPr>
          <w:p w14:paraId="1225A9BE" w14:textId="77777777" w:rsidR="004825AE" w:rsidRPr="00CB683A" w:rsidRDefault="004825AE" w:rsidP="0088064F">
            <w:pPr>
              <w:spacing w:beforeLines="20" w:before="48" w:afterLines="20" w:after="48"/>
              <w:jc w:val="center"/>
              <w:rPr>
                <w:noProof/>
                <w:sz w:val="14"/>
              </w:rPr>
            </w:pPr>
            <w:r w:rsidRPr="00CB683A">
              <w:rPr>
                <w:noProof/>
                <w:sz w:val="14"/>
              </w:rPr>
              <w:t>(4)</w:t>
            </w:r>
          </w:p>
        </w:tc>
        <w:tc>
          <w:tcPr>
            <w:tcW w:w="868" w:type="dxa"/>
            <w:vAlign w:val="center"/>
          </w:tcPr>
          <w:p w14:paraId="49ED953F" w14:textId="77777777" w:rsidR="004825AE" w:rsidRPr="00CB683A" w:rsidRDefault="004825AE" w:rsidP="0088064F">
            <w:pPr>
              <w:spacing w:before="20" w:after="20"/>
              <w:jc w:val="right"/>
              <w:rPr>
                <w:noProof/>
                <w:sz w:val="20"/>
              </w:rPr>
            </w:pPr>
            <w:r w:rsidRPr="00CB683A">
              <w:rPr>
                <w:noProof/>
                <w:color w:val="000000"/>
                <w:sz w:val="20"/>
              </w:rPr>
              <w:t>3,889</w:t>
            </w:r>
          </w:p>
        </w:tc>
        <w:tc>
          <w:tcPr>
            <w:tcW w:w="868" w:type="dxa"/>
            <w:vAlign w:val="center"/>
          </w:tcPr>
          <w:p w14:paraId="3A8366B5" w14:textId="77777777" w:rsidR="004825AE" w:rsidRPr="00CB683A" w:rsidRDefault="004825AE" w:rsidP="0088064F">
            <w:pPr>
              <w:spacing w:before="20" w:after="20"/>
              <w:jc w:val="right"/>
              <w:rPr>
                <w:noProof/>
                <w:sz w:val="20"/>
              </w:rPr>
            </w:pPr>
            <w:r w:rsidRPr="00CB683A">
              <w:rPr>
                <w:noProof/>
                <w:color w:val="000000"/>
                <w:sz w:val="20"/>
              </w:rPr>
              <w:t>3,191</w:t>
            </w:r>
          </w:p>
        </w:tc>
        <w:tc>
          <w:tcPr>
            <w:tcW w:w="868" w:type="dxa"/>
            <w:vAlign w:val="center"/>
          </w:tcPr>
          <w:p w14:paraId="5E07F8E8" w14:textId="77777777" w:rsidR="004825AE" w:rsidRPr="00CB683A" w:rsidRDefault="004825AE" w:rsidP="0088064F">
            <w:pPr>
              <w:spacing w:before="20" w:after="20"/>
              <w:jc w:val="right"/>
              <w:rPr>
                <w:noProof/>
                <w:sz w:val="20"/>
              </w:rPr>
            </w:pPr>
            <w:r w:rsidRPr="00CB683A">
              <w:rPr>
                <w:noProof/>
                <w:color w:val="000000"/>
                <w:sz w:val="20"/>
              </w:rPr>
              <w:t>1,183</w:t>
            </w:r>
          </w:p>
        </w:tc>
        <w:tc>
          <w:tcPr>
            <w:tcW w:w="878" w:type="dxa"/>
            <w:vAlign w:val="center"/>
          </w:tcPr>
          <w:p w14:paraId="72E4BD3C" w14:textId="77777777" w:rsidR="004825AE" w:rsidRPr="00CB683A" w:rsidRDefault="004825AE" w:rsidP="0088064F">
            <w:pPr>
              <w:spacing w:before="20" w:after="20"/>
              <w:jc w:val="right"/>
              <w:rPr>
                <w:b/>
                <w:noProof/>
                <w:sz w:val="20"/>
              </w:rPr>
            </w:pPr>
            <w:r w:rsidRPr="00CB683A">
              <w:rPr>
                <w:noProof/>
                <w:color w:val="000000"/>
                <w:sz w:val="20"/>
              </w:rPr>
              <w:t>0,000</w:t>
            </w:r>
          </w:p>
        </w:tc>
        <w:tc>
          <w:tcPr>
            <w:tcW w:w="992" w:type="dxa"/>
            <w:vAlign w:val="center"/>
          </w:tcPr>
          <w:p w14:paraId="4C3CA8A6" w14:textId="77777777" w:rsidR="004825AE" w:rsidRPr="00CB683A" w:rsidRDefault="004825AE" w:rsidP="0088064F">
            <w:pPr>
              <w:spacing w:before="20" w:after="20"/>
              <w:jc w:val="right"/>
              <w:rPr>
                <w:b/>
                <w:noProof/>
                <w:sz w:val="20"/>
              </w:rPr>
            </w:pPr>
            <w:r w:rsidRPr="00CB683A">
              <w:rPr>
                <w:b/>
                <w:noProof/>
                <w:color w:val="000000"/>
                <w:sz w:val="20"/>
              </w:rPr>
              <w:t>8,263</w:t>
            </w:r>
          </w:p>
        </w:tc>
      </w:tr>
      <w:tr w:rsidR="004825AE" w:rsidRPr="00CB683A" w14:paraId="5E4E3C85" w14:textId="77777777" w:rsidTr="0088064F">
        <w:tc>
          <w:tcPr>
            <w:tcW w:w="3960" w:type="dxa"/>
            <w:vMerge/>
          </w:tcPr>
          <w:p w14:paraId="0BCEA558" w14:textId="77777777" w:rsidR="004825AE" w:rsidRPr="00CB683A" w:rsidRDefault="004825AE" w:rsidP="0088064F">
            <w:pPr>
              <w:jc w:val="center"/>
              <w:rPr>
                <w:noProof/>
                <w:sz w:val="20"/>
              </w:rPr>
            </w:pPr>
          </w:p>
        </w:tc>
        <w:tc>
          <w:tcPr>
            <w:tcW w:w="1440" w:type="dxa"/>
            <w:vAlign w:val="center"/>
          </w:tcPr>
          <w:p w14:paraId="11A9CCF4" w14:textId="77777777" w:rsidR="004825AE" w:rsidRPr="00CB683A" w:rsidRDefault="004825AE" w:rsidP="0088064F">
            <w:pPr>
              <w:spacing w:beforeLines="20" w:before="48" w:afterLines="20" w:after="48"/>
              <w:rPr>
                <w:noProof/>
                <w:sz w:val="18"/>
              </w:rPr>
            </w:pPr>
            <w:r w:rsidRPr="00CB683A">
              <w:rPr>
                <w:noProof/>
                <w:sz w:val="18"/>
              </w:rPr>
              <w:t>Platby</w:t>
            </w:r>
          </w:p>
        </w:tc>
        <w:tc>
          <w:tcPr>
            <w:tcW w:w="654" w:type="dxa"/>
            <w:vAlign w:val="center"/>
          </w:tcPr>
          <w:p w14:paraId="3A287805" w14:textId="77777777" w:rsidR="004825AE" w:rsidRPr="00CB683A" w:rsidRDefault="004825AE" w:rsidP="0088064F">
            <w:pPr>
              <w:spacing w:beforeLines="20" w:before="48" w:afterLines="20" w:after="48"/>
              <w:jc w:val="center"/>
              <w:rPr>
                <w:noProof/>
                <w:sz w:val="14"/>
              </w:rPr>
            </w:pPr>
            <w:r w:rsidRPr="00CB683A">
              <w:rPr>
                <w:noProof/>
                <w:sz w:val="14"/>
              </w:rPr>
              <w:t>(5)</w:t>
            </w:r>
          </w:p>
        </w:tc>
        <w:tc>
          <w:tcPr>
            <w:tcW w:w="868" w:type="dxa"/>
            <w:vAlign w:val="center"/>
          </w:tcPr>
          <w:p w14:paraId="3D912751" w14:textId="77777777" w:rsidR="004825AE" w:rsidRPr="00CB683A" w:rsidRDefault="004825AE" w:rsidP="0088064F">
            <w:pPr>
              <w:spacing w:before="20" w:after="20"/>
              <w:jc w:val="right"/>
              <w:rPr>
                <w:noProof/>
                <w:sz w:val="20"/>
              </w:rPr>
            </w:pPr>
            <w:r w:rsidRPr="00CB683A">
              <w:rPr>
                <w:noProof/>
                <w:color w:val="000000"/>
                <w:sz w:val="20"/>
              </w:rPr>
              <w:t>1,296</w:t>
            </w:r>
          </w:p>
        </w:tc>
        <w:tc>
          <w:tcPr>
            <w:tcW w:w="868" w:type="dxa"/>
            <w:vAlign w:val="center"/>
          </w:tcPr>
          <w:p w14:paraId="049E1D8E" w14:textId="77777777" w:rsidR="004825AE" w:rsidRPr="00CB683A" w:rsidRDefault="004825AE" w:rsidP="0088064F">
            <w:pPr>
              <w:spacing w:before="20" w:after="20"/>
              <w:jc w:val="right"/>
              <w:rPr>
                <w:noProof/>
                <w:sz w:val="20"/>
              </w:rPr>
            </w:pPr>
            <w:r w:rsidRPr="00CB683A">
              <w:rPr>
                <w:noProof/>
                <w:color w:val="000000"/>
                <w:sz w:val="20"/>
              </w:rPr>
              <w:t>2,360</w:t>
            </w:r>
          </w:p>
        </w:tc>
        <w:tc>
          <w:tcPr>
            <w:tcW w:w="868" w:type="dxa"/>
            <w:vAlign w:val="center"/>
          </w:tcPr>
          <w:p w14:paraId="40E07CDE" w14:textId="77777777" w:rsidR="004825AE" w:rsidRPr="00CB683A" w:rsidRDefault="004825AE" w:rsidP="0088064F">
            <w:pPr>
              <w:spacing w:before="20" w:after="20"/>
              <w:jc w:val="right"/>
              <w:rPr>
                <w:noProof/>
                <w:sz w:val="20"/>
              </w:rPr>
            </w:pPr>
            <w:r w:rsidRPr="00CB683A">
              <w:rPr>
                <w:noProof/>
                <w:color w:val="000000"/>
                <w:sz w:val="20"/>
              </w:rPr>
              <w:t>2,754</w:t>
            </w:r>
          </w:p>
        </w:tc>
        <w:tc>
          <w:tcPr>
            <w:tcW w:w="878" w:type="dxa"/>
            <w:vAlign w:val="center"/>
          </w:tcPr>
          <w:p w14:paraId="7F2337E5" w14:textId="77777777" w:rsidR="004825AE" w:rsidRPr="00CB683A" w:rsidRDefault="004825AE" w:rsidP="0088064F">
            <w:pPr>
              <w:spacing w:before="20" w:after="20"/>
              <w:jc w:val="right"/>
              <w:rPr>
                <w:b/>
                <w:noProof/>
                <w:sz w:val="20"/>
              </w:rPr>
            </w:pPr>
            <w:r w:rsidRPr="00CB683A">
              <w:rPr>
                <w:noProof/>
                <w:color w:val="000000"/>
                <w:sz w:val="20"/>
              </w:rPr>
              <w:t>1,853</w:t>
            </w:r>
          </w:p>
        </w:tc>
        <w:tc>
          <w:tcPr>
            <w:tcW w:w="992" w:type="dxa"/>
            <w:vAlign w:val="center"/>
          </w:tcPr>
          <w:p w14:paraId="052457F0" w14:textId="77777777" w:rsidR="004825AE" w:rsidRPr="00CB683A" w:rsidRDefault="004825AE" w:rsidP="0088064F">
            <w:pPr>
              <w:spacing w:before="20" w:after="20"/>
              <w:jc w:val="right"/>
              <w:rPr>
                <w:b/>
                <w:noProof/>
                <w:sz w:val="20"/>
              </w:rPr>
            </w:pPr>
            <w:r w:rsidRPr="00CB683A">
              <w:rPr>
                <w:b/>
                <w:noProof/>
                <w:color w:val="000000"/>
                <w:sz w:val="20"/>
              </w:rPr>
              <w:t>8,263</w:t>
            </w:r>
          </w:p>
        </w:tc>
      </w:tr>
      <w:tr w:rsidR="004825AE" w:rsidRPr="00CB683A" w14:paraId="308D2DCD" w14:textId="77777777" w:rsidTr="0088064F">
        <w:trPr>
          <w:trHeight w:val="533"/>
        </w:trPr>
        <w:tc>
          <w:tcPr>
            <w:tcW w:w="5400" w:type="dxa"/>
            <w:gridSpan w:val="2"/>
            <w:vAlign w:val="center"/>
          </w:tcPr>
          <w:p w14:paraId="7A74AC34" w14:textId="77777777" w:rsidR="004825AE" w:rsidRPr="00CB683A" w:rsidRDefault="004825AE" w:rsidP="0088064F">
            <w:pPr>
              <w:spacing w:beforeLines="20" w:before="48" w:afterLines="20" w:after="48"/>
              <w:rPr>
                <w:noProof/>
              </w:rPr>
            </w:pPr>
            <w:r w:rsidRPr="00CB683A">
              <w:rPr>
                <w:noProof/>
                <w:sz w:val="21"/>
              </w:rPr>
              <w:sym w:font="Wingdings" w:char="F09F"/>
            </w:r>
            <w:r w:rsidRPr="00CB683A">
              <w:rPr>
                <w:noProof/>
                <w:sz w:val="21"/>
              </w:rPr>
              <w:t xml:space="preserve"> Prostředky správní povahy financované z rámce na zvláštní programy CELKEM </w:t>
            </w:r>
          </w:p>
        </w:tc>
        <w:tc>
          <w:tcPr>
            <w:tcW w:w="654" w:type="dxa"/>
            <w:vAlign w:val="center"/>
          </w:tcPr>
          <w:p w14:paraId="68FF4AB0" w14:textId="77777777" w:rsidR="004825AE" w:rsidRPr="00CB683A" w:rsidRDefault="004825AE" w:rsidP="0088064F">
            <w:pPr>
              <w:spacing w:beforeLines="20" w:before="48" w:afterLines="20" w:after="48"/>
              <w:jc w:val="center"/>
              <w:rPr>
                <w:noProof/>
                <w:sz w:val="14"/>
              </w:rPr>
            </w:pPr>
            <w:r w:rsidRPr="00CB683A">
              <w:rPr>
                <w:noProof/>
                <w:sz w:val="14"/>
              </w:rPr>
              <w:t>(6)</w:t>
            </w:r>
          </w:p>
        </w:tc>
        <w:tc>
          <w:tcPr>
            <w:tcW w:w="868" w:type="dxa"/>
            <w:vAlign w:val="center"/>
          </w:tcPr>
          <w:p w14:paraId="24E12F43" w14:textId="77777777" w:rsidR="004825AE" w:rsidRPr="00CB683A" w:rsidRDefault="004825AE" w:rsidP="0088064F">
            <w:pPr>
              <w:spacing w:before="20" w:after="20"/>
              <w:jc w:val="right"/>
              <w:rPr>
                <w:b/>
                <w:noProof/>
                <w:sz w:val="20"/>
              </w:rPr>
            </w:pPr>
          </w:p>
        </w:tc>
        <w:tc>
          <w:tcPr>
            <w:tcW w:w="868" w:type="dxa"/>
            <w:vAlign w:val="center"/>
          </w:tcPr>
          <w:p w14:paraId="6DDED156" w14:textId="77777777" w:rsidR="004825AE" w:rsidRPr="00CB683A" w:rsidRDefault="004825AE" w:rsidP="0088064F">
            <w:pPr>
              <w:spacing w:before="20" w:after="20"/>
              <w:jc w:val="right"/>
              <w:rPr>
                <w:b/>
                <w:noProof/>
                <w:sz w:val="20"/>
              </w:rPr>
            </w:pPr>
          </w:p>
        </w:tc>
        <w:tc>
          <w:tcPr>
            <w:tcW w:w="868" w:type="dxa"/>
            <w:vAlign w:val="center"/>
          </w:tcPr>
          <w:p w14:paraId="1811D2B2" w14:textId="77777777" w:rsidR="004825AE" w:rsidRPr="00CB683A" w:rsidRDefault="004825AE" w:rsidP="0088064F">
            <w:pPr>
              <w:spacing w:before="20" w:after="20"/>
              <w:jc w:val="right"/>
              <w:rPr>
                <w:b/>
                <w:noProof/>
                <w:sz w:val="20"/>
              </w:rPr>
            </w:pPr>
          </w:p>
        </w:tc>
        <w:tc>
          <w:tcPr>
            <w:tcW w:w="878" w:type="dxa"/>
            <w:vAlign w:val="center"/>
          </w:tcPr>
          <w:p w14:paraId="7ECCB347" w14:textId="77777777" w:rsidR="004825AE" w:rsidRPr="00CB683A" w:rsidRDefault="004825AE" w:rsidP="0088064F">
            <w:pPr>
              <w:spacing w:before="20" w:after="20"/>
              <w:jc w:val="center"/>
              <w:rPr>
                <w:b/>
                <w:noProof/>
                <w:sz w:val="20"/>
              </w:rPr>
            </w:pPr>
          </w:p>
        </w:tc>
        <w:tc>
          <w:tcPr>
            <w:tcW w:w="992" w:type="dxa"/>
            <w:vAlign w:val="center"/>
          </w:tcPr>
          <w:p w14:paraId="0E06A8FA" w14:textId="77777777" w:rsidR="004825AE" w:rsidRPr="00CB683A" w:rsidRDefault="004825AE" w:rsidP="0088064F">
            <w:pPr>
              <w:spacing w:before="20" w:after="20"/>
              <w:jc w:val="right"/>
              <w:rPr>
                <w:b/>
                <w:noProof/>
                <w:sz w:val="20"/>
              </w:rPr>
            </w:pPr>
          </w:p>
        </w:tc>
      </w:tr>
      <w:tr w:rsidR="004825AE" w:rsidRPr="00CB683A" w14:paraId="1FAD1743" w14:textId="77777777" w:rsidTr="0088064F">
        <w:tc>
          <w:tcPr>
            <w:tcW w:w="3960" w:type="dxa"/>
            <w:vMerge w:val="restart"/>
            <w:shd w:val="thinDiagStripe" w:color="C0C0C0" w:fill="auto"/>
            <w:vAlign w:val="center"/>
          </w:tcPr>
          <w:p w14:paraId="3322E70B" w14:textId="77777777" w:rsidR="004825AE" w:rsidRPr="00CB683A" w:rsidRDefault="004825AE" w:rsidP="0088064F">
            <w:pPr>
              <w:jc w:val="center"/>
              <w:rPr>
                <w:b/>
                <w:noProof/>
              </w:rPr>
            </w:pPr>
            <w:r w:rsidRPr="00CB683A">
              <w:rPr>
                <w:b/>
                <w:noProof/>
                <w:sz w:val="22"/>
              </w:rPr>
              <w:t xml:space="preserve">Prostředky z OKRUHU </w:t>
            </w:r>
            <w:r w:rsidRPr="00CB683A">
              <w:rPr>
                <w:noProof/>
              </w:rPr>
              <w:t xml:space="preserve"> </w:t>
            </w:r>
            <w:r w:rsidRPr="00CB683A">
              <w:rPr>
                <w:noProof/>
              </w:rPr>
              <w:cr/>
            </w:r>
            <w:r w:rsidRPr="00CB683A">
              <w:rPr>
                <w:noProof/>
              </w:rPr>
              <w:br/>
            </w:r>
            <w:r w:rsidRPr="00CB683A">
              <w:rPr>
                <w:noProof/>
              </w:rPr>
              <w:cr/>
            </w:r>
            <w:r w:rsidRPr="00CB683A">
              <w:rPr>
                <w:noProof/>
              </w:rPr>
              <w:br/>
            </w:r>
            <w:r w:rsidRPr="00CB683A">
              <w:rPr>
                <w:noProof/>
                <w:sz w:val="22"/>
              </w:rPr>
              <w:t>víceletého finančního rámce</w:t>
            </w:r>
            <w:r w:rsidRPr="00CB683A">
              <w:rPr>
                <w:noProof/>
              </w:rPr>
              <w:t xml:space="preserve"> </w:t>
            </w:r>
            <w:r w:rsidRPr="00CB683A">
              <w:rPr>
                <w:b/>
                <w:noProof/>
                <w:sz w:val="22"/>
              </w:rPr>
              <w:t xml:space="preserve"> CELKEM</w:t>
            </w:r>
          </w:p>
        </w:tc>
        <w:tc>
          <w:tcPr>
            <w:tcW w:w="1440" w:type="dxa"/>
            <w:vAlign w:val="center"/>
          </w:tcPr>
          <w:p w14:paraId="5D06551B" w14:textId="77777777" w:rsidR="004825AE" w:rsidRPr="00CB683A" w:rsidRDefault="004825AE" w:rsidP="0088064F">
            <w:pPr>
              <w:rPr>
                <w:noProof/>
                <w:sz w:val="18"/>
              </w:rPr>
            </w:pPr>
            <w:r w:rsidRPr="00CB683A">
              <w:rPr>
                <w:noProof/>
                <w:sz w:val="18"/>
              </w:rPr>
              <w:t>Závazky</w:t>
            </w:r>
          </w:p>
        </w:tc>
        <w:tc>
          <w:tcPr>
            <w:tcW w:w="654" w:type="dxa"/>
            <w:vAlign w:val="center"/>
          </w:tcPr>
          <w:p w14:paraId="56FBCAEB" w14:textId="77777777" w:rsidR="004825AE" w:rsidRPr="00CB683A" w:rsidRDefault="004825AE" w:rsidP="0088064F">
            <w:pPr>
              <w:jc w:val="center"/>
              <w:rPr>
                <w:noProof/>
                <w:sz w:val="14"/>
              </w:rPr>
            </w:pPr>
            <w:r w:rsidRPr="00CB683A">
              <w:rPr>
                <w:noProof/>
                <w:sz w:val="14"/>
              </w:rPr>
              <w:t>=4+6</w:t>
            </w:r>
          </w:p>
        </w:tc>
        <w:tc>
          <w:tcPr>
            <w:tcW w:w="868" w:type="dxa"/>
            <w:vAlign w:val="center"/>
          </w:tcPr>
          <w:p w14:paraId="14A4789C" w14:textId="77777777" w:rsidR="004825AE" w:rsidRPr="00CB683A" w:rsidRDefault="004825AE" w:rsidP="0088064F">
            <w:pPr>
              <w:spacing w:before="20" w:after="20"/>
              <w:jc w:val="right"/>
              <w:rPr>
                <w:noProof/>
                <w:sz w:val="20"/>
              </w:rPr>
            </w:pPr>
            <w:r w:rsidRPr="00CB683A">
              <w:rPr>
                <w:noProof/>
                <w:color w:val="000000"/>
                <w:sz w:val="20"/>
              </w:rPr>
              <w:t>3,889</w:t>
            </w:r>
          </w:p>
        </w:tc>
        <w:tc>
          <w:tcPr>
            <w:tcW w:w="868" w:type="dxa"/>
            <w:vAlign w:val="center"/>
          </w:tcPr>
          <w:p w14:paraId="04B3A6FB" w14:textId="77777777" w:rsidR="004825AE" w:rsidRPr="00CB683A" w:rsidRDefault="004825AE" w:rsidP="0088064F">
            <w:pPr>
              <w:spacing w:before="20" w:after="20"/>
              <w:jc w:val="right"/>
              <w:rPr>
                <w:noProof/>
                <w:sz w:val="20"/>
              </w:rPr>
            </w:pPr>
            <w:r w:rsidRPr="00CB683A">
              <w:rPr>
                <w:noProof/>
                <w:color w:val="000000"/>
                <w:sz w:val="20"/>
              </w:rPr>
              <w:t>3,191</w:t>
            </w:r>
          </w:p>
        </w:tc>
        <w:tc>
          <w:tcPr>
            <w:tcW w:w="868" w:type="dxa"/>
            <w:vAlign w:val="center"/>
          </w:tcPr>
          <w:p w14:paraId="7B19A866" w14:textId="77777777" w:rsidR="004825AE" w:rsidRPr="00CB683A" w:rsidRDefault="004825AE" w:rsidP="0088064F">
            <w:pPr>
              <w:spacing w:before="20" w:after="20"/>
              <w:jc w:val="right"/>
              <w:rPr>
                <w:noProof/>
                <w:sz w:val="20"/>
              </w:rPr>
            </w:pPr>
            <w:r w:rsidRPr="00CB683A">
              <w:rPr>
                <w:noProof/>
                <w:color w:val="000000"/>
                <w:sz w:val="20"/>
              </w:rPr>
              <w:t>1,183</w:t>
            </w:r>
          </w:p>
        </w:tc>
        <w:tc>
          <w:tcPr>
            <w:tcW w:w="878" w:type="dxa"/>
            <w:vAlign w:val="center"/>
          </w:tcPr>
          <w:p w14:paraId="225E3A42" w14:textId="77777777" w:rsidR="004825AE" w:rsidRPr="00CB683A" w:rsidRDefault="004825AE" w:rsidP="0088064F">
            <w:pPr>
              <w:spacing w:before="20" w:after="20"/>
              <w:jc w:val="right"/>
              <w:rPr>
                <w:b/>
                <w:noProof/>
                <w:sz w:val="20"/>
              </w:rPr>
            </w:pPr>
            <w:r w:rsidRPr="00CB683A">
              <w:rPr>
                <w:noProof/>
                <w:color w:val="000000"/>
                <w:sz w:val="20"/>
              </w:rPr>
              <w:t>0,000</w:t>
            </w:r>
          </w:p>
        </w:tc>
        <w:tc>
          <w:tcPr>
            <w:tcW w:w="992" w:type="dxa"/>
            <w:vAlign w:val="center"/>
          </w:tcPr>
          <w:p w14:paraId="13EDAA5B" w14:textId="77777777" w:rsidR="004825AE" w:rsidRPr="00CB683A" w:rsidRDefault="004825AE" w:rsidP="0088064F">
            <w:pPr>
              <w:spacing w:before="20" w:after="20"/>
              <w:jc w:val="right"/>
              <w:rPr>
                <w:b/>
                <w:noProof/>
                <w:sz w:val="20"/>
              </w:rPr>
            </w:pPr>
            <w:r w:rsidRPr="00CB683A">
              <w:rPr>
                <w:b/>
                <w:noProof/>
                <w:color w:val="000000"/>
                <w:sz w:val="20"/>
              </w:rPr>
              <w:t>8,263</w:t>
            </w:r>
          </w:p>
        </w:tc>
      </w:tr>
      <w:tr w:rsidR="004825AE" w:rsidRPr="00CB683A" w14:paraId="003F137E" w14:textId="77777777" w:rsidTr="0088064F">
        <w:tc>
          <w:tcPr>
            <w:tcW w:w="3960" w:type="dxa"/>
            <w:vMerge/>
            <w:shd w:val="thinDiagStripe" w:color="C0C0C0" w:fill="auto"/>
          </w:tcPr>
          <w:p w14:paraId="4E6233A4" w14:textId="77777777" w:rsidR="004825AE" w:rsidRPr="00CB683A" w:rsidRDefault="004825AE" w:rsidP="0088064F">
            <w:pPr>
              <w:rPr>
                <w:noProof/>
                <w:sz w:val="20"/>
              </w:rPr>
            </w:pPr>
          </w:p>
        </w:tc>
        <w:tc>
          <w:tcPr>
            <w:tcW w:w="1440" w:type="dxa"/>
            <w:vAlign w:val="center"/>
          </w:tcPr>
          <w:p w14:paraId="2863ED4D" w14:textId="77777777" w:rsidR="004825AE" w:rsidRPr="00CB683A" w:rsidRDefault="004825AE" w:rsidP="0088064F">
            <w:pPr>
              <w:rPr>
                <w:noProof/>
                <w:sz w:val="18"/>
              </w:rPr>
            </w:pPr>
            <w:r w:rsidRPr="00CB683A">
              <w:rPr>
                <w:noProof/>
                <w:sz w:val="18"/>
              </w:rPr>
              <w:t>Platby</w:t>
            </w:r>
          </w:p>
        </w:tc>
        <w:tc>
          <w:tcPr>
            <w:tcW w:w="654" w:type="dxa"/>
            <w:vAlign w:val="center"/>
          </w:tcPr>
          <w:p w14:paraId="1C936AD5" w14:textId="77777777" w:rsidR="004825AE" w:rsidRPr="00CB683A" w:rsidRDefault="004825AE" w:rsidP="0088064F">
            <w:pPr>
              <w:jc w:val="center"/>
              <w:rPr>
                <w:noProof/>
                <w:sz w:val="14"/>
              </w:rPr>
            </w:pPr>
            <w:r w:rsidRPr="00CB683A">
              <w:rPr>
                <w:noProof/>
                <w:sz w:val="14"/>
              </w:rPr>
              <w:t>=5+6</w:t>
            </w:r>
          </w:p>
        </w:tc>
        <w:tc>
          <w:tcPr>
            <w:tcW w:w="868" w:type="dxa"/>
            <w:vAlign w:val="center"/>
          </w:tcPr>
          <w:p w14:paraId="5E762845" w14:textId="77777777" w:rsidR="004825AE" w:rsidRPr="00CB683A" w:rsidRDefault="004825AE" w:rsidP="0088064F">
            <w:pPr>
              <w:spacing w:before="20" w:after="20"/>
              <w:jc w:val="right"/>
              <w:rPr>
                <w:noProof/>
                <w:sz w:val="20"/>
              </w:rPr>
            </w:pPr>
            <w:r w:rsidRPr="00CB683A">
              <w:rPr>
                <w:noProof/>
                <w:color w:val="000000"/>
                <w:sz w:val="20"/>
              </w:rPr>
              <w:t>1,296</w:t>
            </w:r>
          </w:p>
        </w:tc>
        <w:tc>
          <w:tcPr>
            <w:tcW w:w="868" w:type="dxa"/>
            <w:vAlign w:val="center"/>
          </w:tcPr>
          <w:p w14:paraId="75F3D66D" w14:textId="77777777" w:rsidR="004825AE" w:rsidRPr="00CB683A" w:rsidRDefault="004825AE" w:rsidP="0088064F">
            <w:pPr>
              <w:spacing w:before="20" w:after="20"/>
              <w:jc w:val="right"/>
              <w:rPr>
                <w:noProof/>
                <w:sz w:val="20"/>
              </w:rPr>
            </w:pPr>
            <w:r w:rsidRPr="00CB683A">
              <w:rPr>
                <w:noProof/>
                <w:color w:val="000000"/>
                <w:sz w:val="20"/>
              </w:rPr>
              <w:t>2,360</w:t>
            </w:r>
          </w:p>
        </w:tc>
        <w:tc>
          <w:tcPr>
            <w:tcW w:w="868" w:type="dxa"/>
            <w:vAlign w:val="center"/>
          </w:tcPr>
          <w:p w14:paraId="2675FB00" w14:textId="77777777" w:rsidR="004825AE" w:rsidRPr="00CB683A" w:rsidRDefault="004825AE" w:rsidP="0088064F">
            <w:pPr>
              <w:spacing w:before="20" w:after="20"/>
              <w:jc w:val="right"/>
              <w:rPr>
                <w:noProof/>
                <w:sz w:val="20"/>
              </w:rPr>
            </w:pPr>
            <w:r w:rsidRPr="00CB683A">
              <w:rPr>
                <w:noProof/>
                <w:color w:val="000000"/>
                <w:sz w:val="20"/>
              </w:rPr>
              <w:t>2,754</w:t>
            </w:r>
          </w:p>
        </w:tc>
        <w:tc>
          <w:tcPr>
            <w:tcW w:w="878" w:type="dxa"/>
            <w:vAlign w:val="center"/>
          </w:tcPr>
          <w:p w14:paraId="172AFBF4" w14:textId="77777777" w:rsidR="004825AE" w:rsidRPr="00CB683A" w:rsidRDefault="004825AE" w:rsidP="0088064F">
            <w:pPr>
              <w:spacing w:before="20" w:after="20"/>
              <w:jc w:val="right"/>
              <w:rPr>
                <w:b/>
                <w:noProof/>
                <w:sz w:val="20"/>
              </w:rPr>
            </w:pPr>
            <w:r w:rsidRPr="00CB683A">
              <w:rPr>
                <w:noProof/>
                <w:color w:val="000000"/>
                <w:sz w:val="20"/>
              </w:rPr>
              <w:t>1,853</w:t>
            </w:r>
          </w:p>
        </w:tc>
        <w:tc>
          <w:tcPr>
            <w:tcW w:w="992" w:type="dxa"/>
            <w:vAlign w:val="center"/>
          </w:tcPr>
          <w:p w14:paraId="67108805" w14:textId="77777777" w:rsidR="004825AE" w:rsidRPr="00CB683A" w:rsidRDefault="004825AE" w:rsidP="0088064F">
            <w:pPr>
              <w:spacing w:before="20" w:after="20"/>
              <w:jc w:val="right"/>
              <w:rPr>
                <w:b/>
                <w:noProof/>
                <w:sz w:val="20"/>
              </w:rPr>
            </w:pPr>
            <w:r w:rsidRPr="00CB683A">
              <w:rPr>
                <w:b/>
                <w:noProof/>
                <w:color w:val="000000"/>
                <w:sz w:val="20"/>
              </w:rPr>
              <w:t>8,263</w:t>
            </w:r>
          </w:p>
        </w:tc>
      </w:tr>
    </w:tbl>
    <w:p w14:paraId="0EDB7CED" w14:textId="77777777" w:rsidR="004825AE" w:rsidRPr="00CB683A" w:rsidRDefault="004825AE" w:rsidP="004825AE">
      <w:pPr>
        <w:spacing w:after="40"/>
        <w:rPr>
          <w:b/>
          <w:noProof/>
          <w:sz w:val="22"/>
          <w:u w:val="single"/>
        </w:rPr>
      </w:pPr>
      <w:r w:rsidRPr="00CB683A">
        <w:rPr>
          <w:b/>
          <w:noProof/>
          <w:sz w:val="22"/>
          <w:u w:val="single"/>
        </w:rPr>
        <w:t>Pokud je návrhem/podnětem dotčen více než jeden operační okruh, zopakuje se výše uvedený oddíl:</w:t>
      </w:r>
    </w:p>
    <w:tbl>
      <w:tblPr>
        <w:tblW w:w="14000"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5266"/>
        <w:gridCol w:w="1915"/>
        <w:gridCol w:w="870"/>
        <w:gridCol w:w="1154"/>
        <w:gridCol w:w="1154"/>
        <w:gridCol w:w="1154"/>
        <w:gridCol w:w="1168"/>
        <w:gridCol w:w="1319"/>
      </w:tblGrid>
      <w:tr w:rsidR="004825AE" w:rsidRPr="00CB683A" w14:paraId="75A18715" w14:textId="77777777" w:rsidTr="0088064F">
        <w:trPr>
          <w:trHeight w:val="277"/>
        </w:trPr>
        <w:tc>
          <w:tcPr>
            <w:tcW w:w="3960" w:type="dxa"/>
            <w:vMerge w:val="restart"/>
            <w:tcBorders>
              <w:top w:val="single" w:sz="4" w:space="0" w:color="auto"/>
              <w:left w:val="single" w:sz="4" w:space="0" w:color="auto"/>
              <w:bottom w:val="single" w:sz="4" w:space="0" w:color="FF0000"/>
            </w:tcBorders>
            <w:vAlign w:val="center"/>
          </w:tcPr>
          <w:p w14:paraId="155453C3" w14:textId="77777777" w:rsidR="004825AE" w:rsidRPr="00CB683A" w:rsidRDefault="004825AE" w:rsidP="0088064F">
            <w:pPr>
              <w:spacing w:before="20" w:after="20"/>
              <w:rPr>
                <w:noProof/>
              </w:rPr>
            </w:pPr>
            <w:r w:rsidRPr="00CB683A">
              <w:rPr>
                <w:noProof/>
                <w:sz w:val="21"/>
              </w:rPr>
              <w:sym w:font="Wingdings" w:char="F09F"/>
            </w:r>
            <w:r w:rsidRPr="00CB683A">
              <w:rPr>
                <w:noProof/>
                <w:sz w:val="21"/>
              </w:rPr>
              <w:t xml:space="preserve"> Operační prostředky CELKEM (všechny operační okruhy)</w:t>
            </w:r>
          </w:p>
        </w:tc>
        <w:tc>
          <w:tcPr>
            <w:tcW w:w="1440" w:type="dxa"/>
            <w:tcBorders>
              <w:top w:val="single" w:sz="4" w:space="0" w:color="auto"/>
            </w:tcBorders>
            <w:vAlign w:val="center"/>
          </w:tcPr>
          <w:p w14:paraId="5F1E2281" w14:textId="77777777" w:rsidR="004825AE" w:rsidRPr="00CB683A" w:rsidRDefault="004825AE" w:rsidP="0088064F">
            <w:pPr>
              <w:spacing w:beforeLines="20" w:before="48" w:afterLines="20" w:after="48"/>
              <w:rPr>
                <w:noProof/>
                <w:sz w:val="18"/>
              </w:rPr>
            </w:pPr>
            <w:r w:rsidRPr="00CB683A">
              <w:rPr>
                <w:noProof/>
                <w:sz w:val="18"/>
              </w:rPr>
              <w:t>Závazky</w:t>
            </w:r>
          </w:p>
        </w:tc>
        <w:tc>
          <w:tcPr>
            <w:tcW w:w="654" w:type="dxa"/>
            <w:tcBorders>
              <w:top w:val="single" w:sz="4" w:space="0" w:color="auto"/>
            </w:tcBorders>
            <w:vAlign w:val="center"/>
          </w:tcPr>
          <w:p w14:paraId="221EA9E1" w14:textId="77777777" w:rsidR="004825AE" w:rsidRPr="00CB683A" w:rsidRDefault="004825AE" w:rsidP="0088064F">
            <w:pPr>
              <w:spacing w:beforeLines="20" w:before="48" w:afterLines="20" w:after="48"/>
              <w:jc w:val="center"/>
              <w:rPr>
                <w:noProof/>
                <w:sz w:val="14"/>
              </w:rPr>
            </w:pPr>
            <w:r w:rsidRPr="00CB683A">
              <w:rPr>
                <w:noProof/>
                <w:sz w:val="14"/>
              </w:rPr>
              <w:t>(4)</w:t>
            </w:r>
          </w:p>
        </w:tc>
        <w:tc>
          <w:tcPr>
            <w:tcW w:w="868" w:type="dxa"/>
            <w:tcBorders>
              <w:top w:val="single" w:sz="4" w:space="0" w:color="auto"/>
            </w:tcBorders>
            <w:vAlign w:val="center"/>
          </w:tcPr>
          <w:p w14:paraId="0D67E1D3" w14:textId="77777777" w:rsidR="004825AE" w:rsidRPr="00CB683A" w:rsidRDefault="004825AE" w:rsidP="0088064F">
            <w:pPr>
              <w:spacing w:before="20" w:after="20"/>
              <w:jc w:val="right"/>
              <w:rPr>
                <w:noProof/>
                <w:sz w:val="20"/>
              </w:rPr>
            </w:pPr>
          </w:p>
        </w:tc>
        <w:tc>
          <w:tcPr>
            <w:tcW w:w="868" w:type="dxa"/>
            <w:tcBorders>
              <w:top w:val="single" w:sz="4" w:space="0" w:color="auto"/>
            </w:tcBorders>
            <w:vAlign w:val="center"/>
          </w:tcPr>
          <w:p w14:paraId="654F2142" w14:textId="77777777" w:rsidR="004825AE" w:rsidRPr="00CB683A" w:rsidRDefault="004825AE" w:rsidP="0088064F">
            <w:pPr>
              <w:spacing w:before="20" w:after="20"/>
              <w:jc w:val="right"/>
              <w:rPr>
                <w:noProof/>
                <w:sz w:val="20"/>
              </w:rPr>
            </w:pPr>
          </w:p>
        </w:tc>
        <w:tc>
          <w:tcPr>
            <w:tcW w:w="868" w:type="dxa"/>
            <w:tcBorders>
              <w:top w:val="single" w:sz="4" w:space="0" w:color="auto"/>
            </w:tcBorders>
            <w:vAlign w:val="center"/>
          </w:tcPr>
          <w:p w14:paraId="27BBD75D" w14:textId="77777777" w:rsidR="004825AE" w:rsidRPr="00CB683A" w:rsidRDefault="004825AE" w:rsidP="0088064F">
            <w:pPr>
              <w:spacing w:before="20" w:after="20"/>
              <w:jc w:val="right"/>
              <w:rPr>
                <w:noProof/>
                <w:sz w:val="20"/>
              </w:rPr>
            </w:pPr>
          </w:p>
        </w:tc>
        <w:tc>
          <w:tcPr>
            <w:tcW w:w="878" w:type="dxa"/>
            <w:tcBorders>
              <w:top w:val="single" w:sz="4" w:space="0" w:color="auto"/>
            </w:tcBorders>
            <w:vAlign w:val="center"/>
          </w:tcPr>
          <w:p w14:paraId="6C41E452" w14:textId="77777777" w:rsidR="004825AE" w:rsidRPr="00CB683A" w:rsidRDefault="004825AE" w:rsidP="0088064F">
            <w:pPr>
              <w:spacing w:before="20" w:after="20"/>
              <w:jc w:val="center"/>
              <w:rPr>
                <w:b/>
                <w:noProof/>
                <w:sz w:val="20"/>
              </w:rPr>
            </w:pPr>
          </w:p>
        </w:tc>
        <w:tc>
          <w:tcPr>
            <w:tcW w:w="992" w:type="dxa"/>
            <w:tcBorders>
              <w:top w:val="single" w:sz="4" w:space="0" w:color="auto"/>
              <w:right w:val="single" w:sz="4" w:space="0" w:color="auto"/>
            </w:tcBorders>
            <w:vAlign w:val="center"/>
          </w:tcPr>
          <w:p w14:paraId="36E12051" w14:textId="77777777" w:rsidR="004825AE" w:rsidRPr="00CB683A" w:rsidRDefault="004825AE" w:rsidP="0088064F">
            <w:pPr>
              <w:spacing w:before="20" w:after="20"/>
              <w:jc w:val="right"/>
              <w:rPr>
                <w:b/>
                <w:noProof/>
                <w:sz w:val="20"/>
              </w:rPr>
            </w:pPr>
          </w:p>
        </w:tc>
      </w:tr>
      <w:tr w:rsidR="004825AE" w:rsidRPr="00CB683A" w14:paraId="7A95D5E4" w14:textId="77777777" w:rsidTr="0088064F">
        <w:tc>
          <w:tcPr>
            <w:tcW w:w="3960" w:type="dxa"/>
            <w:vMerge/>
            <w:tcBorders>
              <w:top w:val="single" w:sz="4" w:space="0" w:color="FF0000"/>
              <w:left w:val="single" w:sz="4" w:space="0" w:color="auto"/>
              <w:bottom w:val="single" w:sz="4" w:space="0" w:color="FF0000"/>
            </w:tcBorders>
          </w:tcPr>
          <w:p w14:paraId="50C831A8" w14:textId="77777777" w:rsidR="004825AE" w:rsidRPr="00CB683A" w:rsidRDefault="004825AE" w:rsidP="0088064F">
            <w:pPr>
              <w:jc w:val="center"/>
              <w:rPr>
                <w:noProof/>
                <w:sz w:val="20"/>
              </w:rPr>
            </w:pPr>
          </w:p>
        </w:tc>
        <w:tc>
          <w:tcPr>
            <w:tcW w:w="1440" w:type="dxa"/>
            <w:vAlign w:val="center"/>
          </w:tcPr>
          <w:p w14:paraId="2B25CBC8" w14:textId="77777777" w:rsidR="004825AE" w:rsidRPr="00CB683A" w:rsidRDefault="004825AE" w:rsidP="0088064F">
            <w:pPr>
              <w:spacing w:beforeLines="20" w:before="48" w:afterLines="20" w:after="48"/>
              <w:rPr>
                <w:noProof/>
                <w:sz w:val="18"/>
              </w:rPr>
            </w:pPr>
            <w:r w:rsidRPr="00CB683A">
              <w:rPr>
                <w:noProof/>
                <w:sz w:val="18"/>
              </w:rPr>
              <w:t>Platby</w:t>
            </w:r>
          </w:p>
        </w:tc>
        <w:tc>
          <w:tcPr>
            <w:tcW w:w="654" w:type="dxa"/>
            <w:vAlign w:val="center"/>
          </w:tcPr>
          <w:p w14:paraId="640771A6" w14:textId="77777777" w:rsidR="004825AE" w:rsidRPr="00CB683A" w:rsidRDefault="004825AE" w:rsidP="0088064F">
            <w:pPr>
              <w:spacing w:beforeLines="20" w:before="48" w:afterLines="20" w:after="48"/>
              <w:jc w:val="center"/>
              <w:rPr>
                <w:noProof/>
                <w:sz w:val="14"/>
              </w:rPr>
            </w:pPr>
            <w:r w:rsidRPr="00CB683A">
              <w:rPr>
                <w:noProof/>
                <w:sz w:val="14"/>
              </w:rPr>
              <w:t>(5)</w:t>
            </w:r>
          </w:p>
        </w:tc>
        <w:tc>
          <w:tcPr>
            <w:tcW w:w="868" w:type="dxa"/>
            <w:vAlign w:val="center"/>
          </w:tcPr>
          <w:p w14:paraId="0C9FDDC7" w14:textId="77777777" w:rsidR="004825AE" w:rsidRPr="00CB683A" w:rsidRDefault="004825AE" w:rsidP="0088064F">
            <w:pPr>
              <w:spacing w:before="20" w:after="20"/>
              <w:jc w:val="right"/>
              <w:rPr>
                <w:noProof/>
                <w:sz w:val="20"/>
              </w:rPr>
            </w:pPr>
          </w:p>
        </w:tc>
        <w:tc>
          <w:tcPr>
            <w:tcW w:w="868" w:type="dxa"/>
            <w:vAlign w:val="center"/>
          </w:tcPr>
          <w:p w14:paraId="6C0BC10E" w14:textId="77777777" w:rsidR="004825AE" w:rsidRPr="00CB683A" w:rsidRDefault="004825AE" w:rsidP="0088064F">
            <w:pPr>
              <w:spacing w:before="20" w:after="20"/>
              <w:jc w:val="right"/>
              <w:rPr>
                <w:noProof/>
                <w:sz w:val="20"/>
              </w:rPr>
            </w:pPr>
          </w:p>
        </w:tc>
        <w:tc>
          <w:tcPr>
            <w:tcW w:w="868" w:type="dxa"/>
            <w:vAlign w:val="center"/>
          </w:tcPr>
          <w:p w14:paraId="19FA24E8" w14:textId="77777777" w:rsidR="004825AE" w:rsidRPr="00CB683A" w:rsidRDefault="004825AE" w:rsidP="0088064F">
            <w:pPr>
              <w:spacing w:before="20" w:after="20"/>
              <w:jc w:val="right"/>
              <w:rPr>
                <w:noProof/>
                <w:sz w:val="20"/>
              </w:rPr>
            </w:pPr>
          </w:p>
        </w:tc>
        <w:tc>
          <w:tcPr>
            <w:tcW w:w="878" w:type="dxa"/>
            <w:vAlign w:val="center"/>
          </w:tcPr>
          <w:p w14:paraId="2C66A4A2" w14:textId="77777777" w:rsidR="004825AE" w:rsidRPr="00CB683A" w:rsidRDefault="004825AE" w:rsidP="0088064F">
            <w:pPr>
              <w:spacing w:before="20" w:after="20"/>
              <w:jc w:val="center"/>
              <w:rPr>
                <w:b/>
                <w:noProof/>
                <w:sz w:val="20"/>
              </w:rPr>
            </w:pPr>
          </w:p>
        </w:tc>
        <w:tc>
          <w:tcPr>
            <w:tcW w:w="992" w:type="dxa"/>
            <w:tcBorders>
              <w:right w:val="single" w:sz="4" w:space="0" w:color="auto"/>
            </w:tcBorders>
            <w:vAlign w:val="center"/>
          </w:tcPr>
          <w:p w14:paraId="78C6B836" w14:textId="77777777" w:rsidR="004825AE" w:rsidRPr="00CB683A" w:rsidRDefault="004825AE" w:rsidP="0088064F">
            <w:pPr>
              <w:spacing w:before="20" w:after="20"/>
              <w:jc w:val="right"/>
              <w:rPr>
                <w:b/>
                <w:noProof/>
                <w:sz w:val="20"/>
              </w:rPr>
            </w:pPr>
          </w:p>
        </w:tc>
      </w:tr>
      <w:tr w:rsidR="004825AE" w:rsidRPr="00CB683A" w14:paraId="57DFBE55" w14:textId="77777777" w:rsidTr="0088064F">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14:paraId="613B89C8" w14:textId="77777777" w:rsidR="004825AE" w:rsidRPr="00CB683A" w:rsidRDefault="004825AE" w:rsidP="0088064F">
            <w:pPr>
              <w:spacing w:beforeLines="20" w:before="48" w:afterLines="20" w:after="48"/>
              <w:rPr>
                <w:noProof/>
              </w:rPr>
            </w:pPr>
            <w:r w:rsidRPr="00CB683A">
              <w:rPr>
                <w:noProof/>
                <w:sz w:val="21"/>
              </w:rPr>
              <w:t xml:space="preserve"> Prostředky správní povahy financované z rámce na zvláštní programy (všechny operační okruhy) CELKEM</w:t>
            </w:r>
          </w:p>
        </w:tc>
        <w:tc>
          <w:tcPr>
            <w:tcW w:w="654" w:type="dxa"/>
            <w:vAlign w:val="center"/>
          </w:tcPr>
          <w:p w14:paraId="4421A488" w14:textId="77777777" w:rsidR="004825AE" w:rsidRPr="00CB683A" w:rsidRDefault="004825AE" w:rsidP="0088064F">
            <w:pPr>
              <w:rPr>
                <w:noProof/>
              </w:rPr>
            </w:pPr>
          </w:p>
          <w:p w14:paraId="59B1DE4E" w14:textId="77777777" w:rsidR="004825AE" w:rsidRPr="00CB683A" w:rsidRDefault="004825AE" w:rsidP="0088064F">
            <w:pPr>
              <w:spacing w:beforeLines="20" w:before="48" w:afterLines="20" w:after="48"/>
              <w:jc w:val="center"/>
              <w:rPr>
                <w:noProof/>
                <w:sz w:val="14"/>
              </w:rPr>
            </w:pPr>
            <w:r w:rsidRPr="00CB683A">
              <w:rPr>
                <w:noProof/>
                <w:sz w:val="14"/>
              </w:rPr>
              <w:t>(6)</w:t>
            </w:r>
          </w:p>
        </w:tc>
        <w:tc>
          <w:tcPr>
            <w:tcW w:w="868" w:type="dxa"/>
            <w:vAlign w:val="center"/>
          </w:tcPr>
          <w:p w14:paraId="17AA3B91" w14:textId="77777777" w:rsidR="004825AE" w:rsidRPr="00CB683A" w:rsidRDefault="004825AE" w:rsidP="0088064F">
            <w:pPr>
              <w:spacing w:before="20" w:after="20"/>
              <w:jc w:val="right"/>
              <w:rPr>
                <w:b/>
                <w:noProof/>
                <w:sz w:val="20"/>
              </w:rPr>
            </w:pPr>
          </w:p>
        </w:tc>
        <w:tc>
          <w:tcPr>
            <w:tcW w:w="868" w:type="dxa"/>
            <w:vAlign w:val="center"/>
          </w:tcPr>
          <w:p w14:paraId="78BBEC5C" w14:textId="77777777" w:rsidR="004825AE" w:rsidRPr="00CB683A" w:rsidRDefault="004825AE" w:rsidP="0088064F">
            <w:pPr>
              <w:spacing w:before="20" w:after="20"/>
              <w:jc w:val="right"/>
              <w:rPr>
                <w:b/>
                <w:noProof/>
                <w:sz w:val="20"/>
              </w:rPr>
            </w:pPr>
          </w:p>
        </w:tc>
        <w:tc>
          <w:tcPr>
            <w:tcW w:w="868" w:type="dxa"/>
            <w:vAlign w:val="center"/>
          </w:tcPr>
          <w:p w14:paraId="5C677896" w14:textId="77777777" w:rsidR="004825AE" w:rsidRPr="00CB683A" w:rsidRDefault="004825AE" w:rsidP="0088064F">
            <w:pPr>
              <w:spacing w:before="20" w:after="20"/>
              <w:jc w:val="right"/>
              <w:rPr>
                <w:b/>
                <w:noProof/>
                <w:sz w:val="20"/>
              </w:rPr>
            </w:pPr>
          </w:p>
        </w:tc>
        <w:tc>
          <w:tcPr>
            <w:tcW w:w="878" w:type="dxa"/>
            <w:vAlign w:val="center"/>
          </w:tcPr>
          <w:p w14:paraId="0889F361" w14:textId="77777777" w:rsidR="004825AE" w:rsidRPr="00CB683A" w:rsidRDefault="004825AE" w:rsidP="0088064F">
            <w:pPr>
              <w:spacing w:before="20" w:after="20"/>
              <w:jc w:val="center"/>
              <w:rPr>
                <w:b/>
                <w:noProof/>
                <w:sz w:val="20"/>
              </w:rPr>
            </w:pPr>
          </w:p>
        </w:tc>
        <w:tc>
          <w:tcPr>
            <w:tcW w:w="992" w:type="dxa"/>
            <w:vAlign w:val="center"/>
          </w:tcPr>
          <w:p w14:paraId="2F4A7E65" w14:textId="77777777" w:rsidR="004825AE" w:rsidRPr="00CB683A" w:rsidRDefault="004825AE" w:rsidP="0088064F">
            <w:pPr>
              <w:spacing w:before="20" w:after="20"/>
              <w:jc w:val="right"/>
              <w:rPr>
                <w:b/>
                <w:noProof/>
                <w:sz w:val="20"/>
              </w:rPr>
            </w:pPr>
          </w:p>
        </w:tc>
      </w:tr>
      <w:tr w:rsidR="004825AE" w:rsidRPr="00CB683A" w14:paraId="11EAC05A" w14:textId="77777777" w:rsidTr="0088064F">
        <w:tc>
          <w:tcPr>
            <w:tcW w:w="3960" w:type="dxa"/>
            <w:vMerge w:val="restart"/>
            <w:tcBorders>
              <w:top w:val="single" w:sz="4" w:space="0" w:color="FF0000"/>
              <w:left w:val="single" w:sz="4" w:space="0" w:color="auto"/>
              <w:bottom w:val="single" w:sz="4" w:space="0" w:color="FF0000"/>
            </w:tcBorders>
            <w:shd w:val="thinDiagStripe" w:color="C0C0C0" w:fill="auto"/>
            <w:vAlign w:val="center"/>
          </w:tcPr>
          <w:p w14:paraId="3D95B452" w14:textId="77777777" w:rsidR="004825AE" w:rsidRPr="00CB683A" w:rsidRDefault="004825AE" w:rsidP="0088064F">
            <w:pPr>
              <w:jc w:val="center"/>
              <w:rPr>
                <w:b/>
                <w:noProof/>
              </w:rPr>
            </w:pPr>
            <w:r w:rsidRPr="00CB683A">
              <w:rPr>
                <w:b/>
                <w:noProof/>
                <w:sz w:val="22"/>
              </w:rPr>
              <w:t>Prostředky z OKRUHŮ 1 až 6</w:t>
            </w:r>
            <w:r w:rsidRPr="00CB683A">
              <w:rPr>
                <w:noProof/>
              </w:rPr>
              <w:t xml:space="preserve"> </w:t>
            </w:r>
            <w:r w:rsidRPr="00CB683A">
              <w:rPr>
                <w:noProof/>
              </w:rPr>
              <w:cr/>
            </w:r>
            <w:r w:rsidRPr="00CB683A">
              <w:rPr>
                <w:noProof/>
              </w:rPr>
              <w:br/>
              <w:t xml:space="preserve">víceletého finančního rámce </w:t>
            </w:r>
            <w:r w:rsidRPr="00CB683A">
              <w:rPr>
                <w:noProof/>
              </w:rPr>
              <w:br/>
            </w:r>
            <w:r w:rsidRPr="00CB683A">
              <w:rPr>
                <w:b/>
                <w:noProof/>
                <w:sz w:val="22"/>
              </w:rPr>
              <w:t>CELKEM</w:t>
            </w:r>
            <w:r w:rsidRPr="00CB683A">
              <w:rPr>
                <w:noProof/>
              </w:rPr>
              <w:t xml:space="preserve"> </w:t>
            </w:r>
            <w:r w:rsidRPr="00CB683A">
              <w:rPr>
                <w:noProof/>
              </w:rPr>
              <w:br/>
            </w:r>
            <w:r w:rsidRPr="00CB683A">
              <w:rPr>
                <w:noProof/>
                <w:sz w:val="20"/>
              </w:rPr>
              <w:t>(referenční částka)</w:t>
            </w:r>
          </w:p>
        </w:tc>
        <w:tc>
          <w:tcPr>
            <w:tcW w:w="1440" w:type="dxa"/>
            <w:vAlign w:val="center"/>
          </w:tcPr>
          <w:p w14:paraId="333387C7" w14:textId="77777777" w:rsidR="004825AE" w:rsidRPr="00CB683A" w:rsidRDefault="004825AE" w:rsidP="0088064F">
            <w:pPr>
              <w:rPr>
                <w:noProof/>
                <w:sz w:val="18"/>
              </w:rPr>
            </w:pPr>
            <w:r w:rsidRPr="00CB683A">
              <w:rPr>
                <w:noProof/>
                <w:sz w:val="18"/>
              </w:rPr>
              <w:t>Závazky</w:t>
            </w:r>
          </w:p>
        </w:tc>
        <w:tc>
          <w:tcPr>
            <w:tcW w:w="654" w:type="dxa"/>
            <w:vAlign w:val="center"/>
          </w:tcPr>
          <w:p w14:paraId="5AECBCE6" w14:textId="77777777" w:rsidR="004825AE" w:rsidRPr="00CB683A" w:rsidRDefault="004825AE" w:rsidP="0088064F">
            <w:pPr>
              <w:jc w:val="center"/>
              <w:rPr>
                <w:noProof/>
                <w:sz w:val="14"/>
              </w:rPr>
            </w:pPr>
            <w:r w:rsidRPr="00CB683A">
              <w:rPr>
                <w:noProof/>
                <w:sz w:val="14"/>
              </w:rPr>
              <w:t>=4+6</w:t>
            </w:r>
          </w:p>
        </w:tc>
        <w:tc>
          <w:tcPr>
            <w:tcW w:w="868" w:type="dxa"/>
            <w:vAlign w:val="center"/>
          </w:tcPr>
          <w:p w14:paraId="4717BB11" w14:textId="77777777" w:rsidR="004825AE" w:rsidRPr="00CB683A" w:rsidRDefault="004825AE" w:rsidP="0088064F">
            <w:pPr>
              <w:spacing w:before="20" w:after="20"/>
              <w:jc w:val="right"/>
              <w:rPr>
                <w:noProof/>
                <w:sz w:val="20"/>
              </w:rPr>
            </w:pPr>
            <w:r w:rsidRPr="00CB683A">
              <w:rPr>
                <w:noProof/>
                <w:color w:val="000000"/>
                <w:sz w:val="20"/>
              </w:rPr>
              <w:t>3,889</w:t>
            </w:r>
          </w:p>
        </w:tc>
        <w:tc>
          <w:tcPr>
            <w:tcW w:w="868" w:type="dxa"/>
            <w:vAlign w:val="center"/>
          </w:tcPr>
          <w:p w14:paraId="74704A26" w14:textId="77777777" w:rsidR="004825AE" w:rsidRPr="00CB683A" w:rsidRDefault="004825AE" w:rsidP="0088064F">
            <w:pPr>
              <w:spacing w:before="20" w:after="20"/>
              <w:jc w:val="right"/>
              <w:rPr>
                <w:noProof/>
                <w:sz w:val="20"/>
              </w:rPr>
            </w:pPr>
            <w:r w:rsidRPr="00CB683A">
              <w:rPr>
                <w:noProof/>
                <w:color w:val="000000"/>
                <w:sz w:val="20"/>
              </w:rPr>
              <w:t>3,191</w:t>
            </w:r>
          </w:p>
        </w:tc>
        <w:tc>
          <w:tcPr>
            <w:tcW w:w="868" w:type="dxa"/>
            <w:vAlign w:val="center"/>
          </w:tcPr>
          <w:p w14:paraId="12D97EE1" w14:textId="77777777" w:rsidR="004825AE" w:rsidRPr="00CB683A" w:rsidRDefault="004825AE" w:rsidP="0088064F">
            <w:pPr>
              <w:spacing w:before="20" w:after="20"/>
              <w:jc w:val="right"/>
              <w:rPr>
                <w:noProof/>
                <w:sz w:val="20"/>
              </w:rPr>
            </w:pPr>
            <w:r w:rsidRPr="00CB683A">
              <w:rPr>
                <w:noProof/>
                <w:color w:val="000000"/>
                <w:sz w:val="20"/>
              </w:rPr>
              <w:t>1,183</w:t>
            </w:r>
          </w:p>
        </w:tc>
        <w:tc>
          <w:tcPr>
            <w:tcW w:w="878" w:type="dxa"/>
            <w:vAlign w:val="center"/>
          </w:tcPr>
          <w:p w14:paraId="3CE546F2" w14:textId="77777777" w:rsidR="004825AE" w:rsidRPr="00CB683A" w:rsidRDefault="004825AE" w:rsidP="0088064F">
            <w:pPr>
              <w:spacing w:before="20" w:after="20"/>
              <w:jc w:val="right"/>
              <w:rPr>
                <w:b/>
                <w:noProof/>
                <w:sz w:val="20"/>
              </w:rPr>
            </w:pPr>
            <w:r w:rsidRPr="00CB683A">
              <w:rPr>
                <w:noProof/>
                <w:color w:val="000000"/>
                <w:sz w:val="20"/>
              </w:rPr>
              <w:t>0,000</w:t>
            </w:r>
          </w:p>
        </w:tc>
        <w:tc>
          <w:tcPr>
            <w:tcW w:w="992" w:type="dxa"/>
            <w:tcBorders>
              <w:right w:val="single" w:sz="4" w:space="0" w:color="auto"/>
            </w:tcBorders>
            <w:vAlign w:val="center"/>
          </w:tcPr>
          <w:p w14:paraId="42DF7726" w14:textId="77777777" w:rsidR="004825AE" w:rsidRPr="00CB683A" w:rsidRDefault="004825AE" w:rsidP="0088064F">
            <w:pPr>
              <w:spacing w:before="20" w:after="20"/>
              <w:jc w:val="right"/>
              <w:rPr>
                <w:b/>
                <w:noProof/>
                <w:sz w:val="20"/>
              </w:rPr>
            </w:pPr>
            <w:r w:rsidRPr="00CB683A">
              <w:rPr>
                <w:b/>
                <w:noProof/>
                <w:color w:val="000000"/>
                <w:sz w:val="20"/>
              </w:rPr>
              <w:t>8,263</w:t>
            </w:r>
          </w:p>
        </w:tc>
      </w:tr>
      <w:tr w:rsidR="004825AE" w:rsidRPr="00CB683A" w14:paraId="1B89ED9C" w14:textId="77777777" w:rsidTr="0088064F">
        <w:tc>
          <w:tcPr>
            <w:tcW w:w="3960" w:type="dxa"/>
            <w:vMerge/>
            <w:tcBorders>
              <w:top w:val="single" w:sz="4" w:space="0" w:color="FF0000"/>
              <w:left w:val="single" w:sz="4" w:space="0" w:color="auto"/>
              <w:bottom w:val="single" w:sz="4" w:space="0" w:color="auto"/>
            </w:tcBorders>
            <w:shd w:val="thinDiagStripe" w:color="C0C0C0" w:fill="auto"/>
          </w:tcPr>
          <w:p w14:paraId="75E20479" w14:textId="77777777" w:rsidR="004825AE" w:rsidRPr="00CB683A" w:rsidRDefault="004825AE" w:rsidP="0088064F">
            <w:pPr>
              <w:rPr>
                <w:noProof/>
                <w:sz w:val="20"/>
              </w:rPr>
            </w:pPr>
          </w:p>
        </w:tc>
        <w:tc>
          <w:tcPr>
            <w:tcW w:w="1440" w:type="dxa"/>
            <w:tcBorders>
              <w:bottom w:val="single" w:sz="4" w:space="0" w:color="auto"/>
            </w:tcBorders>
            <w:vAlign w:val="center"/>
          </w:tcPr>
          <w:p w14:paraId="7AD2969B" w14:textId="77777777" w:rsidR="004825AE" w:rsidRPr="00CB683A" w:rsidRDefault="004825AE" w:rsidP="0088064F">
            <w:pPr>
              <w:rPr>
                <w:noProof/>
                <w:sz w:val="18"/>
              </w:rPr>
            </w:pPr>
            <w:r w:rsidRPr="00CB683A">
              <w:rPr>
                <w:noProof/>
                <w:sz w:val="18"/>
              </w:rPr>
              <w:t>Platby</w:t>
            </w:r>
          </w:p>
        </w:tc>
        <w:tc>
          <w:tcPr>
            <w:tcW w:w="654" w:type="dxa"/>
            <w:tcBorders>
              <w:bottom w:val="single" w:sz="4" w:space="0" w:color="auto"/>
            </w:tcBorders>
            <w:vAlign w:val="center"/>
          </w:tcPr>
          <w:p w14:paraId="7BE8B3DD" w14:textId="77777777" w:rsidR="004825AE" w:rsidRPr="00CB683A" w:rsidRDefault="004825AE" w:rsidP="0088064F">
            <w:pPr>
              <w:jc w:val="center"/>
              <w:rPr>
                <w:noProof/>
                <w:sz w:val="14"/>
              </w:rPr>
            </w:pPr>
            <w:r w:rsidRPr="00CB683A">
              <w:rPr>
                <w:noProof/>
                <w:sz w:val="14"/>
              </w:rPr>
              <w:t>=5+6</w:t>
            </w:r>
          </w:p>
        </w:tc>
        <w:tc>
          <w:tcPr>
            <w:tcW w:w="868" w:type="dxa"/>
            <w:tcBorders>
              <w:bottom w:val="single" w:sz="4" w:space="0" w:color="auto"/>
            </w:tcBorders>
            <w:vAlign w:val="center"/>
          </w:tcPr>
          <w:p w14:paraId="2949135B" w14:textId="77777777" w:rsidR="004825AE" w:rsidRPr="00CB683A" w:rsidRDefault="004825AE" w:rsidP="0088064F">
            <w:pPr>
              <w:spacing w:before="20" w:after="20"/>
              <w:jc w:val="right"/>
              <w:rPr>
                <w:noProof/>
                <w:sz w:val="20"/>
              </w:rPr>
            </w:pPr>
            <w:r w:rsidRPr="00CB683A">
              <w:rPr>
                <w:noProof/>
                <w:color w:val="000000"/>
                <w:sz w:val="20"/>
              </w:rPr>
              <w:t>1,296</w:t>
            </w:r>
          </w:p>
        </w:tc>
        <w:tc>
          <w:tcPr>
            <w:tcW w:w="868" w:type="dxa"/>
            <w:tcBorders>
              <w:bottom w:val="single" w:sz="4" w:space="0" w:color="auto"/>
            </w:tcBorders>
            <w:vAlign w:val="center"/>
          </w:tcPr>
          <w:p w14:paraId="73785D73" w14:textId="77777777" w:rsidR="004825AE" w:rsidRPr="00CB683A" w:rsidRDefault="004825AE" w:rsidP="0088064F">
            <w:pPr>
              <w:spacing w:before="20" w:after="20"/>
              <w:jc w:val="right"/>
              <w:rPr>
                <w:noProof/>
                <w:sz w:val="20"/>
              </w:rPr>
            </w:pPr>
            <w:r w:rsidRPr="00CB683A">
              <w:rPr>
                <w:noProof/>
                <w:color w:val="000000"/>
                <w:sz w:val="20"/>
              </w:rPr>
              <w:t>2,360</w:t>
            </w:r>
          </w:p>
        </w:tc>
        <w:tc>
          <w:tcPr>
            <w:tcW w:w="868" w:type="dxa"/>
            <w:tcBorders>
              <w:bottom w:val="single" w:sz="4" w:space="0" w:color="auto"/>
            </w:tcBorders>
            <w:vAlign w:val="center"/>
          </w:tcPr>
          <w:p w14:paraId="6BA60B59" w14:textId="77777777" w:rsidR="004825AE" w:rsidRPr="00CB683A" w:rsidRDefault="004825AE" w:rsidP="0088064F">
            <w:pPr>
              <w:spacing w:before="20" w:after="20"/>
              <w:jc w:val="right"/>
              <w:rPr>
                <w:noProof/>
                <w:sz w:val="20"/>
              </w:rPr>
            </w:pPr>
            <w:r w:rsidRPr="00CB683A">
              <w:rPr>
                <w:noProof/>
                <w:color w:val="000000"/>
                <w:sz w:val="20"/>
              </w:rPr>
              <w:t>2,754</w:t>
            </w:r>
          </w:p>
        </w:tc>
        <w:tc>
          <w:tcPr>
            <w:tcW w:w="878" w:type="dxa"/>
            <w:tcBorders>
              <w:bottom w:val="single" w:sz="4" w:space="0" w:color="auto"/>
            </w:tcBorders>
            <w:vAlign w:val="center"/>
          </w:tcPr>
          <w:p w14:paraId="5C0E37DD" w14:textId="77777777" w:rsidR="004825AE" w:rsidRPr="00CB683A" w:rsidRDefault="004825AE" w:rsidP="0088064F">
            <w:pPr>
              <w:spacing w:before="20" w:after="20"/>
              <w:jc w:val="right"/>
              <w:rPr>
                <w:b/>
                <w:noProof/>
                <w:sz w:val="20"/>
              </w:rPr>
            </w:pPr>
            <w:r w:rsidRPr="00CB683A">
              <w:rPr>
                <w:noProof/>
                <w:color w:val="000000"/>
                <w:sz w:val="20"/>
              </w:rPr>
              <w:t>1,853</w:t>
            </w:r>
          </w:p>
        </w:tc>
        <w:tc>
          <w:tcPr>
            <w:tcW w:w="992" w:type="dxa"/>
            <w:tcBorders>
              <w:bottom w:val="single" w:sz="4" w:space="0" w:color="auto"/>
              <w:right w:val="single" w:sz="4" w:space="0" w:color="auto"/>
            </w:tcBorders>
            <w:vAlign w:val="center"/>
          </w:tcPr>
          <w:p w14:paraId="2881EDBB" w14:textId="77777777" w:rsidR="004825AE" w:rsidRPr="00CB683A" w:rsidRDefault="004825AE" w:rsidP="0088064F">
            <w:pPr>
              <w:spacing w:before="20" w:after="20"/>
              <w:jc w:val="right"/>
              <w:rPr>
                <w:b/>
                <w:noProof/>
                <w:sz w:val="20"/>
              </w:rPr>
            </w:pPr>
            <w:r w:rsidRPr="00CB683A">
              <w:rPr>
                <w:b/>
                <w:noProof/>
                <w:color w:val="000000"/>
                <w:sz w:val="20"/>
              </w:rPr>
              <w:t>8,263</w:t>
            </w:r>
          </w:p>
        </w:tc>
      </w:tr>
    </w:tbl>
    <w:p w14:paraId="156D48E0" w14:textId="77777777" w:rsidR="004825AE" w:rsidRPr="00CB683A" w:rsidRDefault="004825AE" w:rsidP="004825AE">
      <w:pPr>
        <w:rPr>
          <w:noProof/>
        </w:rPr>
      </w:pPr>
    </w:p>
    <w:p w14:paraId="1C916CA1" w14:textId="77777777" w:rsidR="004825AE" w:rsidRPr="00CB683A" w:rsidRDefault="004825AE" w:rsidP="004825AE">
      <w:pPr>
        <w:spacing w:before="0" w:after="0"/>
        <w:jc w:val="left"/>
        <w:rPr>
          <w:noProof/>
        </w:rPr>
      </w:pPr>
      <w:r w:rsidRPr="00CB683A">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4825AE" w:rsidRPr="00CB683A" w14:paraId="5A375C91" w14:textId="77777777" w:rsidTr="0088064F">
        <w:trPr>
          <w:jc w:val="center"/>
        </w:trPr>
        <w:tc>
          <w:tcPr>
            <w:tcW w:w="4744" w:type="dxa"/>
            <w:shd w:val="thinDiagStripe" w:color="C0C0C0" w:fill="auto"/>
            <w:vAlign w:val="center"/>
          </w:tcPr>
          <w:p w14:paraId="12011942" w14:textId="77777777" w:rsidR="004825AE" w:rsidRPr="00CB683A" w:rsidRDefault="004825AE" w:rsidP="0088064F">
            <w:pPr>
              <w:spacing w:before="60" w:after="60"/>
              <w:jc w:val="center"/>
              <w:rPr>
                <w:b/>
                <w:noProof/>
              </w:rPr>
            </w:pPr>
            <w:r w:rsidRPr="00CB683A">
              <w:rPr>
                <w:noProof/>
              </w:rPr>
              <w:br w:type="page"/>
            </w:r>
            <w:r w:rsidRPr="00CB683A">
              <w:rPr>
                <w:b/>
                <w:noProof/>
                <w:sz w:val="22"/>
              </w:rPr>
              <w:t xml:space="preserve">Okruh víceletého finančního </w:t>
            </w:r>
            <w:r w:rsidRPr="00CB683A">
              <w:rPr>
                <w:noProof/>
              </w:rPr>
              <w:t xml:space="preserve"> </w:t>
            </w:r>
            <w:r w:rsidRPr="00CB683A">
              <w:rPr>
                <w:noProof/>
              </w:rPr>
              <w:cr/>
            </w:r>
            <w:r w:rsidRPr="00CB683A">
              <w:rPr>
                <w:noProof/>
              </w:rPr>
              <w:br/>
            </w:r>
            <w:r w:rsidRPr="00CB683A">
              <w:rPr>
                <w:b/>
                <w:noProof/>
                <w:sz w:val="22"/>
              </w:rPr>
              <w:t xml:space="preserve">rámce </w:t>
            </w:r>
          </w:p>
        </w:tc>
        <w:tc>
          <w:tcPr>
            <w:tcW w:w="1080" w:type="dxa"/>
            <w:shd w:val="thinDiagStripe" w:color="C0C0C0" w:fill="auto"/>
            <w:vAlign w:val="center"/>
          </w:tcPr>
          <w:p w14:paraId="4F32B85E" w14:textId="77777777" w:rsidR="004825AE" w:rsidRPr="00CB683A" w:rsidRDefault="004825AE" w:rsidP="0088064F">
            <w:pPr>
              <w:spacing w:before="60" w:after="60"/>
              <w:jc w:val="center"/>
              <w:rPr>
                <w:noProof/>
              </w:rPr>
            </w:pPr>
            <w:r w:rsidRPr="00CB683A">
              <w:rPr>
                <w:b/>
                <w:noProof/>
                <w:sz w:val="22"/>
              </w:rPr>
              <w:t>7</w:t>
            </w:r>
          </w:p>
        </w:tc>
        <w:tc>
          <w:tcPr>
            <w:tcW w:w="7817" w:type="dxa"/>
            <w:vAlign w:val="center"/>
          </w:tcPr>
          <w:p w14:paraId="67D7BB3F" w14:textId="77777777" w:rsidR="004825AE" w:rsidRPr="00CB683A" w:rsidRDefault="004825AE" w:rsidP="0088064F">
            <w:pPr>
              <w:spacing w:before="60" w:after="60"/>
              <w:rPr>
                <w:noProof/>
              </w:rPr>
            </w:pPr>
            <w:r w:rsidRPr="00CB683A">
              <w:rPr>
                <w:noProof/>
                <w:sz w:val="22"/>
              </w:rPr>
              <w:t>Správní výdaje</w:t>
            </w:r>
          </w:p>
        </w:tc>
      </w:tr>
    </w:tbl>
    <w:p w14:paraId="18E70A1C" w14:textId="77777777" w:rsidR="004825AE" w:rsidRPr="00CB683A" w:rsidRDefault="004825AE" w:rsidP="004825AE">
      <w:pPr>
        <w:jc w:val="left"/>
        <w:rPr>
          <w:noProof/>
          <w:sz w:val="20"/>
        </w:rPr>
      </w:pPr>
      <w:r w:rsidRPr="00CB683A">
        <w:rPr>
          <w:noProof/>
        </w:rPr>
        <w:t xml:space="preserve">Tento oddíl se vyplní pomocí „rozpočtových údajů správní povahy“, jež se nejprve uvedou v </w:t>
      </w:r>
      <w:hyperlink r:id="rId15" w:history="1">
        <w:r w:rsidRPr="00CB683A">
          <w:rPr>
            <w:rStyle w:val="Hyperlink"/>
            <w:noProof/>
          </w:rPr>
          <w:t>příloze legislativního finančního výkazu</w:t>
        </w:r>
      </w:hyperlink>
      <w:r w:rsidRPr="00CB683A">
        <w:rPr>
          <w:noProof/>
        </w:rPr>
        <w:t xml:space="preserve"> (příloha V interních pravidel), která se pro účely konzultace mezi útvary vloží do aplikace DECIDE.</w:t>
      </w:r>
    </w:p>
    <w:p w14:paraId="727B8912" w14:textId="77777777" w:rsidR="004825AE" w:rsidRPr="00CB683A" w:rsidRDefault="004825AE" w:rsidP="004825AE">
      <w:pPr>
        <w:jc w:val="right"/>
        <w:rPr>
          <w:noProof/>
          <w:sz w:val="20"/>
        </w:rPr>
      </w:pPr>
      <w:r w:rsidRPr="00CB683A">
        <w:rPr>
          <w:noProof/>
          <w:sz w:val="20"/>
        </w:rPr>
        <w:t>v milionech EUR (zaokrouhleno na tři desetinná místa)</w:t>
      </w: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0"/>
        <w:gridCol w:w="1560"/>
        <w:gridCol w:w="258"/>
        <w:gridCol w:w="1672"/>
        <w:gridCol w:w="1673"/>
        <w:gridCol w:w="1673"/>
        <w:gridCol w:w="1673"/>
        <w:gridCol w:w="1673"/>
      </w:tblGrid>
      <w:tr w:rsidR="004825AE" w:rsidRPr="00CB683A" w14:paraId="67FBFAAF" w14:textId="77777777" w:rsidTr="0088064F">
        <w:tc>
          <w:tcPr>
            <w:tcW w:w="3710" w:type="dxa"/>
            <w:tcBorders>
              <w:top w:val="nil"/>
              <w:left w:val="nil"/>
              <w:right w:val="nil"/>
            </w:tcBorders>
            <w:vAlign w:val="center"/>
          </w:tcPr>
          <w:p w14:paraId="08465A86" w14:textId="77777777" w:rsidR="004825AE" w:rsidRPr="00CB683A" w:rsidRDefault="004825AE" w:rsidP="0088064F">
            <w:pPr>
              <w:jc w:val="center"/>
              <w:rPr>
                <w:noProof/>
              </w:rPr>
            </w:pPr>
          </w:p>
        </w:tc>
        <w:tc>
          <w:tcPr>
            <w:tcW w:w="1560" w:type="dxa"/>
            <w:tcBorders>
              <w:top w:val="nil"/>
              <w:left w:val="nil"/>
              <w:right w:val="nil"/>
            </w:tcBorders>
          </w:tcPr>
          <w:p w14:paraId="0E0B7836" w14:textId="77777777" w:rsidR="004825AE" w:rsidRPr="00CB683A" w:rsidRDefault="004825AE" w:rsidP="0088064F">
            <w:pPr>
              <w:rPr>
                <w:noProof/>
                <w:sz w:val="20"/>
              </w:rPr>
            </w:pPr>
          </w:p>
        </w:tc>
        <w:tc>
          <w:tcPr>
            <w:tcW w:w="258" w:type="dxa"/>
            <w:tcBorders>
              <w:top w:val="nil"/>
              <w:left w:val="nil"/>
            </w:tcBorders>
          </w:tcPr>
          <w:p w14:paraId="690F6590" w14:textId="77777777" w:rsidR="004825AE" w:rsidRPr="00CB683A" w:rsidRDefault="004825AE" w:rsidP="0088064F">
            <w:pPr>
              <w:jc w:val="center"/>
              <w:rPr>
                <w:noProof/>
                <w:sz w:val="20"/>
              </w:rPr>
            </w:pPr>
          </w:p>
        </w:tc>
        <w:tc>
          <w:tcPr>
            <w:tcW w:w="1672" w:type="dxa"/>
            <w:vAlign w:val="center"/>
          </w:tcPr>
          <w:p w14:paraId="0EB83D20" w14:textId="77777777" w:rsidR="004825AE" w:rsidRPr="00CB683A" w:rsidRDefault="004825AE" w:rsidP="0088064F">
            <w:pPr>
              <w:jc w:val="center"/>
              <w:rPr>
                <w:noProof/>
                <w:sz w:val="20"/>
              </w:rPr>
            </w:pPr>
            <w:r w:rsidRPr="00CB683A">
              <w:rPr>
                <w:noProof/>
                <w:sz w:val="20"/>
              </w:rPr>
              <w:t>Rok</w:t>
            </w:r>
            <w:r w:rsidRPr="00CB683A">
              <w:rPr>
                <w:noProof/>
              </w:rPr>
              <w:t xml:space="preserve"> </w:t>
            </w:r>
            <w:r w:rsidRPr="00CB683A">
              <w:rPr>
                <w:noProof/>
              </w:rPr>
              <w:br/>
            </w:r>
            <w:r w:rsidRPr="00CB683A">
              <w:rPr>
                <w:b/>
                <w:noProof/>
                <w:sz w:val="20"/>
              </w:rPr>
              <w:t>2025</w:t>
            </w:r>
          </w:p>
        </w:tc>
        <w:tc>
          <w:tcPr>
            <w:tcW w:w="1673" w:type="dxa"/>
            <w:vAlign w:val="center"/>
          </w:tcPr>
          <w:p w14:paraId="4D0DB91C" w14:textId="77777777" w:rsidR="004825AE" w:rsidRPr="00CB683A" w:rsidRDefault="004825AE" w:rsidP="0088064F">
            <w:pPr>
              <w:jc w:val="center"/>
              <w:rPr>
                <w:noProof/>
                <w:sz w:val="20"/>
              </w:rPr>
            </w:pPr>
            <w:r w:rsidRPr="00CB683A">
              <w:rPr>
                <w:noProof/>
                <w:sz w:val="20"/>
              </w:rPr>
              <w:t>Rok</w:t>
            </w:r>
            <w:r w:rsidRPr="00CB683A">
              <w:rPr>
                <w:noProof/>
              </w:rPr>
              <w:t xml:space="preserve"> </w:t>
            </w:r>
            <w:r w:rsidRPr="00CB683A">
              <w:rPr>
                <w:noProof/>
              </w:rPr>
              <w:br/>
            </w:r>
            <w:r w:rsidRPr="00CB683A">
              <w:rPr>
                <w:b/>
                <w:noProof/>
                <w:sz w:val="20"/>
              </w:rPr>
              <w:t>2026</w:t>
            </w:r>
          </w:p>
        </w:tc>
        <w:tc>
          <w:tcPr>
            <w:tcW w:w="1673" w:type="dxa"/>
            <w:vAlign w:val="center"/>
          </w:tcPr>
          <w:p w14:paraId="228341C3" w14:textId="77777777" w:rsidR="004825AE" w:rsidRPr="00CB683A" w:rsidRDefault="004825AE" w:rsidP="0088064F">
            <w:pPr>
              <w:jc w:val="center"/>
              <w:rPr>
                <w:noProof/>
                <w:sz w:val="20"/>
              </w:rPr>
            </w:pPr>
            <w:r w:rsidRPr="00CB683A">
              <w:rPr>
                <w:noProof/>
                <w:sz w:val="20"/>
              </w:rPr>
              <w:t>Rok</w:t>
            </w:r>
            <w:r w:rsidRPr="00CB683A">
              <w:rPr>
                <w:noProof/>
              </w:rPr>
              <w:t xml:space="preserve"> </w:t>
            </w:r>
            <w:r w:rsidRPr="00CB683A">
              <w:rPr>
                <w:noProof/>
              </w:rPr>
              <w:br/>
            </w:r>
            <w:r w:rsidRPr="00CB683A">
              <w:rPr>
                <w:b/>
                <w:noProof/>
                <w:sz w:val="20"/>
              </w:rPr>
              <w:t>2027</w:t>
            </w:r>
          </w:p>
        </w:tc>
        <w:tc>
          <w:tcPr>
            <w:tcW w:w="1673" w:type="dxa"/>
          </w:tcPr>
          <w:p w14:paraId="207EA078" w14:textId="77777777" w:rsidR="004825AE" w:rsidRPr="00CB683A" w:rsidRDefault="004825AE" w:rsidP="0088064F">
            <w:pPr>
              <w:jc w:val="center"/>
              <w:rPr>
                <w:noProof/>
                <w:sz w:val="20"/>
              </w:rPr>
            </w:pPr>
            <w:r w:rsidRPr="00CB683A">
              <w:rPr>
                <w:noProof/>
                <w:sz w:val="20"/>
              </w:rPr>
              <w:t>Následující roky</w:t>
            </w:r>
          </w:p>
        </w:tc>
        <w:tc>
          <w:tcPr>
            <w:tcW w:w="1673" w:type="dxa"/>
            <w:vAlign w:val="center"/>
          </w:tcPr>
          <w:p w14:paraId="34DEF223" w14:textId="77777777" w:rsidR="004825AE" w:rsidRPr="00CB683A" w:rsidRDefault="004825AE" w:rsidP="0088064F">
            <w:pPr>
              <w:jc w:val="center"/>
              <w:rPr>
                <w:b/>
                <w:noProof/>
                <w:sz w:val="20"/>
              </w:rPr>
            </w:pPr>
            <w:r w:rsidRPr="00CB683A">
              <w:rPr>
                <w:b/>
                <w:noProof/>
                <w:sz w:val="20"/>
              </w:rPr>
              <w:t>CELKEM</w:t>
            </w:r>
          </w:p>
        </w:tc>
      </w:tr>
      <w:tr w:rsidR="004825AE" w:rsidRPr="00CB683A" w14:paraId="28D55316" w14:textId="77777777" w:rsidTr="0088064F">
        <w:trPr>
          <w:gridAfter w:val="5"/>
          <w:wAfter w:w="8364" w:type="dxa"/>
        </w:trPr>
        <w:tc>
          <w:tcPr>
            <w:tcW w:w="3710" w:type="dxa"/>
            <w:vAlign w:val="center"/>
          </w:tcPr>
          <w:p w14:paraId="48CD00D6" w14:textId="77777777" w:rsidR="004825AE" w:rsidRPr="00CB683A" w:rsidRDefault="004825AE" w:rsidP="0088064F">
            <w:pPr>
              <w:spacing w:before="60" w:after="60"/>
              <w:jc w:val="center"/>
              <w:rPr>
                <w:noProof/>
              </w:rPr>
            </w:pPr>
            <w:r w:rsidRPr="00CB683A">
              <w:rPr>
                <w:noProof/>
                <w:sz w:val="22"/>
              </w:rPr>
              <w:t>GŘ: ESTAT</w:t>
            </w:r>
          </w:p>
        </w:tc>
        <w:tc>
          <w:tcPr>
            <w:tcW w:w="1818" w:type="dxa"/>
            <w:gridSpan w:val="2"/>
          </w:tcPr>
          <w:p w14:paraId="7BA5F5D8" w14:textId="77777777" w:rsidR="004825AE" w:rsidRPr="00CB683A" w:rsidRDefault="004825AE" w:rsidP="0088064F">
            <w:pPr>
              <w:spacing w:before="60" w:after="60"/>
              <w:jc w:val="center"/>
              <w:rPr>
                <w:noProof/>
                <w:sz w:val="22"/>
              </w:rPr>
            </w:pPr>
          </w:p>
        </w:tc>
      </w:tr>
      <w:tr w:rsidR="004825AE" w:rsidRPr="00CB683A" w14:paraId="26C25F97" w14:textId="77777777" w:rsidTr="0088064F">
        <w:trPr>
          <w:trHeight w:val="313"/>
        </w:trPr>
        <w:tc>
          <w:tcPr>
            <w:tcW w:w="5528" w:type="dxa"/>
            <w:gridSpan w:val="3"/>
            <w:vAlign w:val="center"/>
          </w:tcPr>
          <w:p w14:paraId="1AE130F6" w14:textId="77777777" w:rsidR="004825AE" w:rsidRPr="00CB683A" w:rsidRDefault="004825AE" w:rsidP="0088064F">
            <w:pPr>
              <w:spacing w:before="20" w:after="20"/>
              <w:rPr>
                <w:noProof/>
              </w:rPr>
            </w:pPr>
            <w:r w:rsidRPr="00CB683A">
              <w:rPr>
                <w:noProof/>
                <w:sz w:val="22"/>
              </w:rPr>
              <w:sym w:font="Wingdings" w:char="F09F"/>
            </w:r>
            <w:r w:rsidRPr="00CB683A">
              <w:rPr>
                <w:noProof/>
                <w:sz w:val="22"/>
              </w:rPr>
              <w:t xml:space="preserve"> Lidské zdroje </w:t>
            </w:r>
          </w:p>
        </w:tc>
        <w:tc>
          <w:tcPr>
            <w:tcW w:w="1672" w:type="dxa"/>
            <w:vAlign w:val="center"/>
          </w:tcPr>
          <w:p w14:paraId="4C200929" w14:textId="77777777" w:rsidR="004825AE" w:rsidRPr="00CB683A" w:rsidRDefault="004825AE" w:rsidP="0088064F">
            <w:pPr>
              <w:spacing w:before="20" w:after="20"/>
              <w:jc w:val="right"/>
              <w:rPr>
                <w:noProof/>
                <w:sz w:val="20"/>
              </w:rPr>
            </w:pPr>
            <w:r w:rsidRPr="00CB683A">
              <w:rPr>
                <w:noProof/>
                <w:color w:val="000000"/>
                <w:sz w:val="20"/>
              </w:rPr>
              <w:t>3,656</w:t>
            </w:r>
          </w:p>
        </w:tc>
        <w:tc>
          <w:tcPr>
            <w:tcW w:w="1673" w:type="dxa"/>
            <w:vAlign w:val="center"/>
          </w:tcPr>
          <w:p w14:paraId="040C41CA" w14:textId="77777777" w:rsidR="004825AE" w:rsidRPr="00CB683A" w:rsidRDefault="004825AE" w:rsidP="0088064F">
            <w:pPr>
              <w:spacing w:before="20" w:after="20"/>
              <w:jc w:val="right"/>
              <w:rPr>
                <w:noProof/>
                <w:sz w:val="20"/>
              </w:rPr>
            </w:pPr>
            <w:r w:rsidRPr="00CB683A">
              <w:rPr>
                <w:noProof/>
                <w:color w:val="000000"/>
                <w:sz w:val="20"/>
              </w:rPr>
              <w:t>3,656</w:t>
            </w:r>
          </w:p>
        </w:tc>
        <w:tc>
          <w:tcPr>
            <w:tcW w:w="1673" w:type="dxa"/>
            <w:vAlign w:val="center"/>
          </w:tcPr>
          <w:p w14:paraId="65449854" w14:textId="77777777" w:rsidR="004825AE" w:rsidRPr="00CB683A" w:rsidRDefault="004825AE" w:rsidP="0088064F">
            <w:pPr>
              <w:spacing w:before="20" w:after="20"/>
              <w:jc w:val="right"/>
              <w:rPr>
                <w:noProof/>
                <w:sz w:val="20"/>
              </w:rPr>
            </w:pPr>
            <w:r w:rsidRPr="00CB683A">
              <w:rPr>
                <w:noProof/>
                <w:color w:val="000000"/>
                <w:sz w:val="20"/>
              </w:rPr>
              <w:t>3,656</w:t>
            </w:r>
          </w:p>
        </w:tc>
        <w:tc>
          <w:tcPr>
            <w:tcW w:w="1673" w:type="dxa"/>
            <w:vAlign w:val="center"/>
          </w:tcPr>
          <w:p w14:paraId="1394C654" w14:textId="77777777" w:rsidR="004825AE" w:rsidRPr="00CB683A" w:rsidRDefault="004825AE" w:rsidP="0088064F">
            <w:pPr>
              <w:spacing w:before="20" w:after="20"/>
              <w:jc w:val="right"/>
              <w:rPr>
                <w:noProof/>
                <w:sz w:val="20"/>
              </w:rPr>
            </w:pPr>
            <w:r w:rsidRPr="00CB683A">
              <w:rPr>
                <w:noProof/>
                <w:sz w:val="20"/>
              </w:rPr>
              <w:t>0,000</w:t>
            </w:r>
          </w:p>
        </w:tc>
        <w:tc>
          <w:tcPr>
            <w:tcW w:w="1673" w:type="dxa"/>
            <w:vAlign w:val="center"/>
          </w:tcPr>
          <w:p w14:paraId="4D894900" w14:textId="77777777" w:rsidR="004825AE" w:rsidRPr="00CB683A" w:rsidRDefault="004825AE" w:rsidP="0088064F">
            <w:pPr>
              <w:spacing w:before="0" w:after="0"/>
              <w:jc w:val="right"/>
              <w:rPr>
                <w:b/>
                <w:bCs/>
                <w:noProof/>
                <w:color w:val="000000"/>
                <w:sz w:val="20"/>
                <w:szCs w:val="20"/>
              </w:rPr>
            </w:pPr>
            <w:r w:rsidRPr="00CB683A">
              <w:rPr>
                <w:b/>
                <w:noProof/>
                <w:color w:val="000000"/>
                <w:sz w:val="20"/>
              </w:rPr>
              <w:t>10,968</w:t>
            </w:r>
          </w:p>
        </w:tc>
      </w:tr>
      <w:tr w:rsidR="004825AE" w:rsidRPr="00CB683A" w14:paraId="4C430F46" w14:textId="77777777" w:rsidTr="0088064F">
        <w:trPr>
          <w:trHeight w:val="351"/>
        </w:trPr>
        <w:tc>
          <w:tcPr>
            <w:tcW w:w="5528" w:type="dxa"/>
            <w:gridSpan w:val="3"/>
            <w:vAlign w:val="center"/>
          </w:tcPr>
          <w:p w14:paraId="09D9EE7D" w14:textId="77777777" w:rsidR="004825AE" w:rsidRPr="00CB683A" w:rsidRDefault="004825AE" w:rsidP="0088064F">
            <w:pPr>
              <w:spacing w:before="20" w:after="20"/>
              <w:rPr>
                <w:noProof/>
              </w:rPr>
            </w:pPr>
            <w:r w:rsidRPr="00CB683A">
              <w:rPr>
                <w:noProof/>
                <w:sz w:val="22"/>
              </w:rPr>
              <w:sym w:font="Wingdings" w:char="F09F"/>
            </w:r>
            <w:r w:rsidRPr="00CB683A">
              <w:rPr>
                <w:noProof/>
                <w:sz w:val="22"/>
              </w:rPr>
              <w:t xml:space="preserve"> Ostatní správní výdaje </w:t>
            </w:r>
          </w:p>
        </w:tc>
        <w:tc>
          <w:tcPr>
            <w:tcW w:w="1672" w:type="dxa"/>
            <w:vAlign w:val="center"/>
          </w:tcPr>
          <w:p w14:paraId="089EE198" w14:textId="77777777" w:rsidR="004825AE" w:rsidRPr="00CB683A" w:rsidRDefault="004825AE" w:rsidP="0088064F">
            <w:pPr>
              <w:spacing w:before="20" w:after="20"/>
              <w:jc w:val="right"/>
              <w:rPr>
                <w:noProof/>
                <w:sz w:val="20"/>
              </w:rPr>
            </w:pPr>
            <w:r w:rsidRPr="00CB683A">
              <w:rPr>
                <w:noProof/>
                <w:color w:val="000000"/>
                <w:sz w:val="20"/>
              </w:rPr>
              <w:t>0,100</w:t>
            </w:r>
          </w:p>
        </w:tc>
        <w:tc>
          <w:tcPr>
            <w:tcW w:w="1673" w:type="dxa"/>
            <w:vAlign w:val="center"/>
          </w:tcPr>
          <w:p w14:paraId="52412FD4" w14:textId="77777777" w:rsidR="004825AE" w:rsidRPr="00CB683A" w:rsidRDefault="004825AE" w:rsidP="0088064F">
            <w:pPr>
              <w:spacing w:before="20" w:after="20"/>
              <w:jc w:val="right"/>
              <w:rPr>
                <w:noProof/>
                <w:sz w:val="20"/>
              </w:rPr>
            </w:pPr>
            <w:r w:rsidRPr="00CB683A">
              <w:rPr>
                <w:noProof/>
                <w:color w:val="000000"/>
                <w:sz w:val="20"/>
              </w:rPr>
              <w:t>0,100</w:t>
            </w:r>
          </w:p>
        </w:tc>
        <w:tc>
          <w:tcPr>
            <w:tcW w:w="1673" w:type="dxa"/>
            <w:vAlign w:val="center"/>
          </w:tcPr>
          <w:p w14:paraId="29D4A6EB" w14:textId="77777777" w:rsidR="004825AE" w:rsidRPr="00CB683A" w:rsidRDefault="004825AE" w:rsidP="0088064F">
            <w:pPr>
              <w:spacing w:before="20" w:after="20"/>
              <w:jc w:val="right"/>
              <w:rPr>
                <w:noProof/>
                <w:sz w:val="20"/>
              </w:rPr>
            </w:pPr>
            <w:r w:rsidRPr="00CB683A">
              <w:rPr>
                <w:noProof/>
                <w:color w:val="000000"/>
                <w:sz w:val="20"/>
              </w:rPr>
              <w:t>0,100</w:t>
            </w:r>
          </w:p>
        </w:tc>
        <w:tc>
          <w:tcPr>
            <w:tcW w:w="1673" w:type="dxa"/>
            <w:vAlign w:val="center"/>
          </w:tcPr>
          <w:p w14:paraId="5E14431C" w14:textId="77777777" w:rsidR="004825AE" w:rsidRPr="00CB683A" w:rsidRDefault="004825AE" w:rsidP="0088064F">
            <w:pPr>
              <w:spacing w:before="20" w:after="20"/>
              <w:jc w:val="right"/>
              <w:rPr>
                <w:noProof/>
                <w:sz w:val="20"/>
              </w:rPr>
            </w:pPr>
            <w:r w:rsidRPr="00CB683A">
              <w:rPr>
                <w:noProof/>
                <w:sz w:val="20"/>
              </w:rPr>
              <w:t>0,000</w:t>
            </w:r>
          </w:p>
        </w:tc>
        <w:tc>
          <w:tcPr>
            <w:tcW w:w="1673" w:type="dxa"/>
            <w:vAlign w:val="center"/>
          </w:tcPr>
          <w:p w14:paraId="4A5F7CC9" w14:textId="77777777" w:rsidR="004825AE" w:rsidRPr="00CB683A" w:rsidRDefault="004825AE" w:rsidP="0088064F">
            <w:pPr>
              <w:spacing w:before="20" w:after="20"/>
              <w:jc w:val="right"/>
              <w:rPr>
                <w:b/>
                <w:noProof/>
                <w:sz w:val="20"/>
              </w:rPr>
            </w:pPr>
            <w:r w:rsidRPr="00CB683A">
              <w:rPr>
                <w:b/>
                <w:noProof/>
                <w:color w:val="000000"/>
                <w:sz w:val="20"/>
              </w:rPr>
              <w:t>0,300</w:t>
            </w:r>
          </w:p>
        </w:tc>
      </w:tr>
      <w:tr w:rsidR="004825AE" w:rsidRPr="00CB683A" w14:paraId="05D8100E" w14:textId="77777777" w:rsidTr="0088064F">
        <w:tc>
          <w:tcPr>
            <w:tcW w:w="3710" w:type="dxa"/>
            <w:vAlign w:val="center"/>
          </w:tcPr>
          <w:p w14:paraId="43ADCB9E" w14:textId="77777777" w:rsidR="004825AE" w:rsidRPr="00CB683A" w:rsidRDefault="004825AE" w:rsidP="0088064F">
            <w:pPr>
              <w:jc w:val="center"/>
              <w:rPr>
                <w:b/>
                <w:noProof/>
              </w:rPr>
            </w:pPr>
            <w:r w:rsidRPr="00CB683A">
              <w:rPr>
                <w:b/>
                <w:noProof/>
                <w:sz w:val="22"/>
              </w:rPr>
              <w:t>GŘ ESTAT CELKEM</w:t>
            </w:r>
          </w:p>
        </w:tc>
        <w:tc>
          <w:tcPr>
            <w:tcW w:w="1818" w:type="dxa"/>
            <w:gridSpan w:val="2"/>
            <w:vAlign w:val="center"/>
          </w:tcPr>
          <w:p w14:paraId="7D694868" w14:textId="77777777" w:rsidR="004825AE" w:rsidRPr="00CB683A" w:rsidRDefault="004825AE" w:rsidP="0088064F">
            <w:pPr>
              <w:rPr>
                <w:noProof/>
                <w:sz w:val="14"/>
              </w:rPr>
            </w:pPr>
          </w:p>
        </w:tc>
        <w:tc>
          <w:tcPr>
            <w:tcW w:w="1672" w:type="dxa"/>
            <w:vAlign w:val="center"/>
          </w:tcPr>
          <w:p w14:paraId="4B0BC015" w14:textId="77777777" w:rsidR="004825AE" w:rsidRPr="00CB683A" w:rsidRDefault="004825AE" w:rsidP="0088064F">
            <w:pPr>
              <w:spacing w:before="60" w:after="60"/>
              <w:jc w:val="right"/>
              <w:rPr>
                <w:noProof/>
                <w:sz w:val="20"/>
              </w:rPr>
            </w:pPr>
            <w:r w:rsidRPr="00CB683A">
              <w:rPr>
                <w:noProof/>
                <w:color w:val="000000"/>
                <w:sz w:val="20"/>
              </w:rPr>
              <w:t>3,756</w:t>
            </w:r>
          </w:p>
        </w:tc>
        <w:tc>
          <w:tcPr>
            <w:tcW w:w="1673" w:type="dxa"/>
            <w:vAlign w:val="center"/>
          </w:tcPr>
          <w:p w14:paraId="1CD4BAAD" w14:textId="77777777" w:rsidR="004825AE" w:rsidRPr="00CB683A" w:rsidRDefault="004825AE" w:rsidP="0088064F">
            <w:pPr>
              <w:spacing w:before="20" w:after="20"/>
              <w:jc w:val="right"/>
              <w:rPr>
                <w:noProof/>
                <w:sz w:val="20"/>
              </w:rPr>
            </w:pPr>
            <w:r w:rsidRPr="00CB683A">
              <w:rPr>
                <w:noProof/>
                <w:color w:val="000000"/>
                <w:sz w:val="20"/>
              </w:rPr>
              <w:t>3,756</w:t>
            </w:r>
          </w:p>
        </w:tc>
        <w:tc>
          <w:tcPr>
            <w:tcW w:w="1673" w:type="dxa"/>
            <w:vAlign w:val="center"/>
          </w:tcPr>
          <w:p w14:paraId="280A388B" w14:textId="77777777" w:rsidR="004825AE" w:rsidRPr="00CB683A" w:rsidRDefault="004825AE" w:rsidP="0088064F">
            <w:pPr>
              <w:spacing w:before="20" w:after="20"/>
              <w:jc w:val="right"/>
              <w:rPr>
                <w:noProof/>
                <w:sz w:val="20"/>
              </w:rPr>
            </w:pPr>
            <w:r w:rsidRPr="00CB683A">
              <w:rPr>
                <w:noProof/>
                <w:color w:val="000000"/>
                <w:sz w:val="20"/>
              </w:rPr>
              <w:t>3,756</w:t>
            </w:r>
          </w:p>
        </w:tc>
        <w:tc>
          <w:tcPr>
            <w:tcW w:w="1673" w:type="dxa"/>
            <w:vAlign w:val="center"/>
          </w:tcPr>
          <w:p w14:paraId="2B280117" w14:textId="77777777" w:rsidR="004825AE" w:rsidRPr="00CB683A" w:rsidRDefault="004825AE" w:rsidP="0088064F">
            <w:pPr>
              <w:spacing w:before="20" w:after="20"/>
              <w:jc w:val="right"/>
              <w:rPr>
                <w:noProof/>
                <w:sz w:val="20"/>
              </w:rPr>
            </w:pPr>
            <w:r w:rsidRPr="00CB683A">
              <w:rPr>
                <w:noProof/>
                <w:sz w:val="20"/>
              </w:rPr>
              <w:t>0,000</w:t>
            </w:r>
          </w:p>
        </w:tc>
        <w:tc>
          <w:tcPr>
            <w:tcW w:w="1673" w:type="dxa"/>
            <w:vAlign w:val="center"/>
          </w:tcPr>
          <w:p w14:paraId="38BEABF8" w14:textId="77777777" w:rsidR="004825AE" w:rsidRPr="00CB683A" w:rsidRDefault="004825AE" w:rsidP="0088064F">
            <w:pPr>
              <w:spacing w:before="0" w:after="0"/>
              <w:jc w:val="right"/>
              <w:rPr>
                <w:b/>
                <w:bCs/>
                <w:noProof/>
                <w:color w:val="000000"/>
                <w:sz w:val="20"/>
                <w:szCs w:val="20"/>
              </w:rPr>
            </w:pPr>
            <w:r w:rsidRPr="00CB683A">
              <w:rPr>
                <w:b/>
                <w:noProof/>
                <w:color w:val="000000"/>
                <w:sz w:val="20"/>
              </w:rPr>
              <w:t>11,268</w:t>
            </w:r>
          </w:p>
        </w:tc>
      </w:tr>
    </w:tbl>
    <w:p w14:paraId="4CEC9D16" w14:textId="77777777" w:rsidR="004825AE" w:rsidRPr="00CB683A" w:rsidRDefault="004825AE" w:rsidP="004825AE">
      <w:pPr>
        <w:rPr>
          <w:noProof/>
        </w:rPr>
      </w:pP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842"/>
        <w:gridCol w:w="1672"/>
        <w:gridCol w:w="1673"/>
        <w:gridCol w:w="1673"/>
        <w:gridCol w:w="1673"/>
        <w:gridCol w:w="1673"/>
      </w:tblGrid>
      <w:tr w:rsidR="004825AE" w:rsidRPr="00CB683A" w14:paraId="7B8D0391" w14:textId="77777777" w:rsidTr="0088064F">
        <w:tc>
          <w:tcPr>
            <w:tcW w:w="3686" w:type="dxa"/>
            <w:shd w:val="thinDiagStripe" w:color="C0C0C0" w:fill="auto"/>
            <w:vAlign w:val="center"/>
          </w:tcPr>
          <w:p w14:paraId="2C533115" w14:textId="77777777" w:rsidR="004825AE" w:rsidRPr="00CB683A" w:rsidRDefault="004825AE" w:rsidP="0088064F">
            <w:pPr>
              <w:jc w:val="center"/>
              <w:rPr>
                <w:b/>
                <w:noProof/>
              </w:rPr>
            </w:pPr>
            <w:r w:rsidRPr="00CB683A">
              <w:rPr>
                <w:b/>
                <w:noProof/>
                <w:sz w:val="22"/>
              </w:rPr>
              <w:t>Prostředky z OKRUHU 7</w:t>
            </w:r>
            <w:r w:rsidRPr="00CB683A">
              <w:rPr>
                <w:noProof/>
              </w:rPr>
              <w:t xml:space="preserve"> </w:t>
            </w:r>
            <w:r w:rsidRPr="00CB683A">
              <w:rPr>
                <w:noProof/>
              </w:rPr>
              <w:br/>
            </w:r>
            <w:r w:rsidRPr="00CB683A">
              <w:rPr>
                <w:b/>
                <w:noProof/>
                <w:sz w:val="22"/>
              </w:rPr>
              <w:t>víceletého finančního rámce</w:t>
            </w:r>
            <w:r w:rsidRPr="00CB683A">
              <w:rPr>
                <w:noProof/>
              </w:rPr>
              <w:t xml:space="preserve"> </w:t>
            </w:r>
            <w:r w:rsidRPr="00CB683A">
              <w:rPr>
                <w:noProof/>
              </w:rPr>
              <w:br/>
            </w:r>
            <w:r w:rsidRPr="00CB683A">
              <w:rPr>
                <w:b/>
                <w:noProof/>
                <w:sz w:val="22"/>
              </w:rPr>
              <w:t xml:space="preserve">CELKEM </w:t>
            </w:r>
          </w:p>
        </w:tc>
        <w:tc>
          <w:tcPr>
            <w:tcW w:w="1842" w:type="dxa"/>
            <w:vAlign w:val="center"/>
          </w:tcPr>
          <w:p w14:paraId="0E8EAF2D" w14:textId="77777777" w:rsidR="004825AE" w:rsidRPr="00CB683A" w:rsidRDefault="004825AE" w:rsidP="0088064F">
            <w:pPr>
              <w:spacing w:before="40" w:after="40"/>
              <w:rPr>
                <w:noProof/>
              </w:rPr>
            </w:pPr>
            <w:r w:rsidRPr="00CB683A">
              <w:rPr>
                <w:noProof/>
                <w:sz w:val="18"/>
              </w:rPr>
              <w:t>(Závazky celkem = platby celkem)</w:t>
            </w:r>
          </w:p>
        </w:tc>
        <w:tc>
          <w:tcPr>
            <w:tcW w:w="1672" w:type="dxa"/>
            <w:vAlign w:val="center"/>
          </w:tcPr>
          <w:p w14:paraId="12E2FBD6" w14:textId="77777777" w:rsidR="004825AE" w:rsidRPr="00CB683A" w:rsidRDefault="004825AE" w:rsidP="0088064F">
            <w:pPr>
              <w:spacing w:before="20" w:after="20"/>
              <w:jc w:val="right"/>
              <w:rPr>
                <w:noProof/>
                <w:sz w:val="20"/>
              </w:rPr>
            </w:pPr>
            <w:r w:rsidRPr="00CB683A">
              <w:rPr>
                <w:noProof/>
                <w:color w:val="000000"/>
                <w:sz w:val="20"/>
              </w:rPr>
              <w:t>3,756</w:t>
            </w:r>
          </w:p>
        </w:tc>
        <w:tc>
          <w:tcPr>
            <w:tcW w:w="1673" w:type="dxa"/>
            <w:vAlign w:val="center"/>
          </w:tcPr>
          <w:p w14:paraId="28E3F3D8" w14:textId="77777777" w:rsidR="004825AE" w:rsidRPr="00CB683A" w:rsidRDefault="004825AE" w:rsidP="0088064F">
            <w:pPr>
              <w:spacing w:before="20" w:after="20"/>
              <w:jc w:val="right"/>
              <w:rPr>
                <w:noProof/>
                <w:sz w:val="20"/>
              </w:rPr>
            </w:pPr>
            <w:r w:rsidRPr="00CB683A">
              <w:rPr>
                <w:noProof/>
                <w:color w:val="000000"/>
                <w:sz w:val="20"/>
              </w:rPr>
              <w:t>3,756</w:t>
            </w:r>
          </w:p>
        </w:tc>
        <w:tc>
          <w:tcPr>
            <w:tcW w:w="1673" w:type="dxa"/>
            <w:vAlign w:val="center"/>
          </w:tcPr>
          <w:p w14:paraId="4C0E7AA9" w14:textId="77777777" w:rsidR="004825AE" w:rsidRPr="00CB683A" w:rsidRDefault="004825AE" w:rsidP="0088064F">
            <w:pPr>
              <w:spacing w:before="20" w:after="20"/>
              <w:jc w:val="right"/>
              <w:rPr>
                <w:noProof/>
                <w:sz w:val="20"/>
              </w:rPr>
            </w:pPr>
            <w:r w:rsidRPr="00CB683A">
              <w:rPr>
                <w:noProof/>
                <w:color w:val="000000"/>
                <w:sz w:val="20"/>
              </w:rPr>
              <w:t>3,756</w:t>
            </w:r>
          </w:p>
        </w:tc>
        <w:tc>
          <w:tcPr>
            <w:tcW w:w="1673" w:type="dxa"/>
            <w:vAlign w:val="center"/>
          </w:tcPr>
          <w:p w14:paraId="62849363" w14:textId="77777777" w:rsidR="004825AE" w:rsidRPr="00CB683A" w:rsidRDefault="004825AE" w:rsidP="0088064F">
            <w:pPr>
              <w:spacing w:before="20" w:after="20"/>
              <w:jc w:val="right"/>
              <w:rPr>
                <w:b/>
                <w:noProof/>
                <w:sz w:val="20"/>
              </w:rPr>
            </w:pPr>
            <w:r w:rsidRPr="00CB683A">
              <w:rPr>
                <w:noProof/>
                <w:sz w:val="20"/>
              </w:rPr>
              <w:t>0,000</w:t>
            </w:r>
          </w:p>
        </w:tc>
        <w:tc>
          <w:tcPr>
            <w:tcW w:w="1673" w:type="dxa"/>
            <w:vAlign w:val="center"/>
          </w:tcPr>
          <w:p w14:paraId="13172FAF" w14:textId="77777777" w:rsidR="004825AE" w:rsidRPr="00CB683A" w:rsidRDefault="004825AE" w:rsidP="0088064F">
            <w:pPr>
              <w:spacing w:before="20" w:after="20"/>
              <w:jc w:val="right"/>
              <w:rPr>
                <w:b/>
                <w:noProof/>
                <w:sz w:val="20"/>
              </w:rPr>
            </w:pPr>
            <w:r w:rsidRPr="00CB683A">
              <w:rPr>
                <w:b/>
                <w:noProof/>
                <w:color w:val="000000"/>
                <w:sz w:val="20"/>
              </w:rPr>
              <w:t>11,268</w:t>
            </w:r>
          </w:p>
        </w:tc>
      </w:tr>
    </w:tbl>
    <w:p w14:paraId="6BCEDE50" w14:textId="77777777" w:rsidR="004825AE" w:rsidRPr="00CB683A" w:rsidRDefault="004825AE" w:rsidP="004825AE">
      <w:pPr>
        <w:jc w:val="right"/>
        <w:rPr>
          <w:noProof/>
          <w:sz w:val="20"/>
        </w:rPr>
      </w:pPr>
      <w:r w:rsidRPr="00CB683A">
        <w:rPr>
          <w:noProof/>
          <w:sz w:val="20"/>
        </w:rPr>
        <w:t>v milionech EUR (zaokrouhleno na tři desetinná místa)</w:t>
      </w: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842"/>
        <w:gridCol w:w="1672"/>
        <w:gridCol w:w="1673"/>
        <w:gridCol w:w="1673"/>
        <w:gridCol w:w="1673"/>
        <w:gridCol w:w="1673"/>
      </w:tblGrid>
      <w:tr w:rsidR="004825AE" w:rsidRPr="00CB683A" w14:paraId="4D334D5A" w14:textId="77777777" w:rsidTr="0088064F">
        <w:tc>
          <w:tcPr>
            <w:tcW w:w="3686" w:type="dxa"/>
            <w:tcBorders>
              <w:top w:val="nil"/>
              <w:left w:val="nil"/>
              <w:right w:val="nil"/>
            </w:tcBorders>
            <w:shd w:val="clear" w:color="auto" w:fill="auto"/>
            <w:vAlign w:val="center"/>
          </w:tcPr>
          <w:p w14:paraId="7A33A104" w14:textId="77777777" w:rsidR="004825AE" w:rsidRPr="00CB683A" w:rsidRDefault="004825AE" w:rsidP="0088064F">
            <w:pPr>
              <w:jc w:val="center"/>
              <w:rPr>
                <w:b/>
                <w:noProof/>
                <w:sz w:val="22"/>
              </w:rPr>
            </w:pPr>
          </w:p>
        </w:tc>
        <w:tc>
          <w:tcPr>
            <w:tcW w:w="1842" w:type="dxa"/>
            <w:tcBorders>
              <w:top w:val="nil"/>
              <w:left w:val="nil"/>
            </w:tcBorders>
            <w:shd w:val="clear" w:color="auto" w:fill="auto"/>
            <w:vAlign w:val="center"/>
          </w:tcPr>
          <w:p w14:paraId="29B4FD55" w14:textId="77777777" w:rsidR="004825AE" w:rsidRPr="00CB683A" w:rsidRDefault="004825AE" w:rsidP="0088064F">
            <w:pPr>
              <w:rPr>
                <w:noProof/>
                <w:sz w:val="18"/>
              </w:rPr>
            </w:pPr>
          </w:p>
        </w:tc>
        <w:tc>
          <w:tcPr>
            <w:tcW w:w="1672" w:type="dxa"/>
            <w:vAlign w:val="center"/>
          </w:tcPr>
          <w:p w14:paraId="1F67687E" w14:textId="77777777" w:rsidR="004825AE" w:rsidRPr="00CB683A" w:rsidRDefault="004825AE" w:rsidP="0088064F">
            <w:pPr>
              <w:spacing w:before="60" w:after="60"/>
              <w:jc w:val="center"/>
              <w:rPr>
                <w:noProof/>
                <w:sz w:val="20"/>
                <w:szCs w:val="20"/>
              </w:rPr>
            </w:pPr>
            <w:r w:rsidRPr="00CB683A">
              <w:rPr>
                <w:noProof/>
                <w:sz w:val="20"/>
              </w:rPr>
              <w:t>Rok</w:t>
            </w:r>
            <w:r w:rsidRPr="00CB683A">
              <w:rPr>
                <w:noProof/>
              </w:rPr>
              <w:t xml:space="preserve"> </w:t>
            </w:r>
            <w:r w:rsidRPr="00CB683A">
              <w:rPr>
                <w:noProof/>
              </w:rPr>
              <w:br/>
            </w:r>
            <w:r w:rsidRPr="00CB683A">
              <w:rPr>
                <w:b/>
                <w:noProof/>
                <w:sz w:val="20"/>
              </w:rPr>
              <w:t>2025</w:t>
            </w:r>
          </w:p>
        </w:tc>
        <w:tc>
          <w:tcPr>
            <w:tcW w:w="1673" w:type="dxa"/>
            <w:vAlign w:val="center"/>
          </w:tcPr>
          <w:p w14:paraId="5D206F9B" w14:textId="77777777" w:rsidR="004825AE" w:rsidRPr="00CB683A" w:rsidRDefault="004825AE" w:rsidP="0088064F">
            <w:pPr>
              <w:spacing w:before="60" w:after="60"/>
              <w:jc w:val="center"/>
              <w:rPr>
                <w:noProof/>
                <w:sz w:val="20"/>
                <w:szCs w:val="20"/>
              </w:rPr>
            </w:pPr>
            <w:r w:rsidRPr="00CB683A">
              <w:rPr>
                <w:noProof/>
                <w:sz w:val="20"/>
              </w:rPr>
              <w:t>Rok</w:t>
            </w:r>
            <w:r w:rsidRPr="00CB683A">
              <w:rPr>
                <w:noProof/>
              </w:rPr>
              <w:t xml:space="preserve"> </w:t>
            </w:r>
            <w:r w:rsidRPr="00CB683A">
              <w:rPr>
                <w:noProof/>
              </w:rPr>
              <w:br/>
            </w:r>
            <w:r w:rsidRPr="00CB683A">
              <w:rPr>
                <w:b/>
                <w:noProof/>
                <w:sz w:val="20"/>
              </w:rPr>
              <w:t>2026</w:t>
            </w:r>
          </w:p>
        </w:tc>
        <w:tc>
          <w:tcPr>
            <w:tcW w:w="1673" w:type="dxa"/>
            <w:vAlign w:val="center"/>
          </w:tcPr>
          <w:p w14:paraId="4066723D" w14:textId="77777777" w:rsidR="004825AE" w:rsidRPr="00CB683A" w:rsidRDefault="004825AE" w:rsidP="0088064F">
            <w:pPr>
              <w:spacing w:before="60" w:after="60"/>
              <w:jc w:val="center"/>
              <w:rPr>
                <w:noProof/>
                <w:sz w:val="20"/>
                <w:szCs w:val="20"/>
              </w:rPr>
            </w:pPr>
            <w:r w:rsidRPr="00CB683A">
              <w:rPr>
                <w:noProof/>
                <w:sz w:val="20"/>
              </w:rPr>
              <w:t>Rok</w:t>
            </w:r>
            <w:r w:rsidRPr="00CB683A">
              <w:rPr>
                <w:noProof/>
              </w:rPr>
              <w:t xml:space="preserve"> </w:t>
            </w:r>
            <w:r w:rsidRPr="00CB683A">
              <w:rPr>
                <w:noProof/>
              </w:rPr>
              <w:br/>
            </w:r>
            <w:r w:rsidRPr="00CB683A">
              <w:rPr>
                <w:b/>
                <w:noProof/>
                <w:sz w:val="20"/>
              </w:rPr>
              <w:t>2027</w:t>
            </w:r>
          </w:p>
        </w:tc>
        <w:tc>
          <w:tcPr>
            <w:tcW w:w="1673" w:type="dxa"/>
            <w:vAlign w:val="center"/>
          </w:tcPr>
          <w:p w14:paraId="35395B56" w14:textId="77777777" w:rsidR="004825AE" w:rsidRPr="00CB683A" w:rsidRDefault="004825AE" w:rsidP="0088064F">
            <w:pPr>
              <w:spacing w:before="60" w:after="60"/>
              <w:jc w:val="center"/>
              <w:rPr>
                <w:noProof/>
                <w:color w:val="000000"/>
                <w:sz w:val="20"/>
                <w:szCs w:val="20"/>
              </w:rPr>
            </w:pPr>
            <w:r w:rsidRPr="00CB683A">
              <w:rPr>
                <w:noProof/>
                <w:sz w:val="20"/>
              </w:rPr>
              <w:t>Následující roky</w:t>
            </w:r>
          </w:p>
        </w:tc>
        <w:tc>
          <w:tcPr>
            <w:tcW w:w="1673" w:type="dxa"/>
            <w:vAlign w:val="center"/>
          </w:tcPr>
          <w:p w14:paraId="7471CF86" w14:textId="77777777" w:rsidR="004825AE" w:rsidRPr="00CB683A" w:rsidRDefault="004825AE" w:rsidP="0088064F">
            <w:pPr>
              <w:spacing w:before="60" w:after="60"/>
              <w:jc w:val="center"/>
              <w:rPr>
                <w:b/>
                <w:noProof/>
                <w:color w:val="000000"/>
                <w:sz w:val="20"/>
                <w:szCs w:val="20"/>
              </w:rPr>
            </w:pPr>
            <w:r w:rsidRPr="00CB683A">
              <w:rPr>
                <w:b/>
                <w:noProof/>
                <w:sz w:val="20"/>
              </w:rPr>
              <w:t>CELKEM</w:t>
            </w:r>
          </w:p>
        </w:tc>
      </w:tr>
      <w:tr w:rsidR="004825AE" w:rsidRPr="00CB683A" w14:paraId="0E0130CD" w14:textId="77777777" w:rsidTr="0088064F">
        <w:tc>
          <w:tcPr>
            <w:tcW w:w="3686" w:type="dxa"/>
            <w:vMerge w:val="restart"/>
            <w:shd w:val="clear" w:color="auto" w:fill="C0C0C0"/>
            <w:vAlign w:val="center"/>
          </w:tcPr>
          <w:p w14:paraId="442B5155" w14:textId="77777777" w:rsidR="004825AE" w:rsidRPr="00CB683A" w:rsidRDefault="004825AE" w:rsidP="0088064F">
            <w:pPr>
              <w:jc w:val="center"/>
              <w:rPr>
                <w:b/>
                <w:noProof/>
              </w:rPr>
            </w:pPr>
            <w:r w:rsidRPr="00CB683A">
              <w:rPr>
                <w:b/>
                <w:noProof/>
                <w:sz w:val="22"/>
              </w:rPr>
              <w:t>Prostředky z OKRUHŮ 1 až 7</w:t>
            </w:r>
            <w:r w:rsidRPr="00CB683A">
              <w:rPr>
                <w:noProof/>
              </w:rPr>
              <w:t xml:space="preserve"> </w:t>
            </w:r>
            <w:r w:rsidRPr="00CB683A">
              <w:rPr>
                <w:noProof/>
              </w:rPr>
              <w:cr/>
            </w:r>
            <w:r w:rsidRPr="00CB683A">
              <w:rPr>
                <w:noProof/>
              </w:rPr>
              <w:br/>
              <w:t xml:space="preserve">víceletého finančního rámce </w:t>
            </w:r>
            <w:r w:rsidRPr="00CB683A">
              <w:rPr>
                <w:noProof/>
              </w:rPr>
              <w:br/>
            </w:r>
            <w:r w:rsidRPr="00CB683A">
              <w:rPr>
                <w:b/>
                <w:noProof/>
                <w:sz w:val="22"/>
              </w:rPr>
              <w:t xml:space="preserve">CELKEM </w:t>
            </w:r>
          </w:p>
        </w:tc>
        <w:tc>
          <w:tcPr>
            <w:tcW w:w="1842" w:type="dxa"/>
            <w:vAlign w:val="center"/>
          </w:tcPr>
          <w:p w14:paraId="4CDC0956" w14:textId="77777777" w:rsidR="004825AE" w:rsidRPr="00CB683A" w:rsidRDefault="004825AE" w:rsidP="0088064F">
            <w:pPr>
              <w:rPr>
                <w:noProof/>
                <w:sz w:val="14"/>
              </w:rPr>
            </w:pPr>
            <w:r w:rsidRPr="00CB683A">
              <w:rPr>
                <w:noProof/>
                <w:sz w:val="18"/>
              </w:rPr>
              <w:t>Závazky</w:t>
            </w:r>
          </w:p>
        </w:tc>
        <w:tc>
          <w:tcPr>
            <w:tcW w:w="1672" w:type="dxa"/>
            <w:vAlign w:val="bottom"/>
          </w:tcPr>
          <w:p w14:paraId="305F11D1" w14:textId="77777777" w:rsidR="004825AE" w:rsidRPr="00CB683A" w:rsidRDefault="004825AE" w:rsidP="0088064F">
            <w:pPr>
              <w:spacing w:before="60" w:after="60"/>
              <w:jc w:val="right"/>
              <w:rPr>
                <w:noProof/>
                <w:sz w:val="20"/>
                <w:szCs w:val="20"/>
              </w:rPr>
            </w:pPr>
            <w:r w:rsidRPr="00CB683A">
              <w:rPr>
                <w:noProof/>
                <w:sz w:val="20"/>
              </w:rPr>
              <w:t>7,645</w:t>
            </w:r>
          </w:p>
        </w:tc>
        <w:tc>
          <w:tcPr>
            <w:tcW w:w="1673" w:type="dxa"/>
            <w:vAlign w:val="bottom"/>
          </w:tcPr>
          <w:p w14:paraId="4A3B5624" w14:textId="77777777" w:rsidR="004825AE" w:rsidRPr="00CB683A" w:rsidRDefault="004825AE" w:rsidP="0088064F">
            <w:pPr>
              <w:spacing w:before="60" w:after="60"/>
              <w:jc w:val="right"/>
              <w:rPr>
                <w:noProof/>
                <w:sz w:val="20"/>
                <w:szCs w:val="20"/>
              </w:rPr>
            </w:pPr>
            <w:r w:rsidRPr="00CB683A">
              <w:rPr>
                <w:noProof/>
                <w:sz w:val="20"/>
              </w:rPr>
              <w:t>6,947</w:t>
            </w:r>
          </w:p>
        </w:tc>
        <w:tc>
          <w:tcPr>
            <w:tcW w:w="1673" w:type="dxa"/>
            <w:vAlign w:val="bottom"/>
          </w:tcPr>
          <w:p w14:paraId="61648D66" w14:textId="77777777" w:rsidR="004825AE" w:rsidRPr="00CB683A" w:rsidRDefault="004825AE" w:rsidP="0088064F">
            <w:pPr>
              <w:spacing w:before="60" w:after="60"/>
              <w:jc w:val="right"/>
              <w:rPr>
                <w:noProof/>
                <w:sz w:val="20"/>
                <w:szCs w:val="20"/>
              </w:rPr>
            </w:pPr>
            <w:r w:rsidRPr="00CB683A">
              <w:rPr>
                <w:noProof/>
                <w:sz w:val="20"/>
              </w:rPr>
              <w:t>4,939</w:t>
            </w:r>
          </w:p>
        </w:tc>
        <w:tc>
          <w:tcPr>
            <w:tcW w:w="1673" w:type="dxa"/>
            <w:vAlign w:val="bottom"/>
          </w:tcPr>
          <w:p w14:paraId="69917897" w14:textId="77777777" w:rsidR="004825AE" w:rsidRPr="00CB683A" w:rsidRDefault="004825AE" w:rsidP="0088064F">
            <w:pPr>
              <w:spacing w:before="60" w:after="60"/>
              <w:jc w:val="right"/>
              <w:rPr>
                <w:b/>
                <w:noProof/>
                <w:sz w:val="20"/>
                <w:szCs w:val="20"/>
              </w:rPr>
            </w:pPr>
            <w:r w:rsidRPr="00CB683A">
              <w:rPr>
                <w:noProof/>
                <w:color w:val="000000"/>
                <w:sz w:val="20"/>
              </w:rPr>
              <w:t>0,000</w:t>
            </w:r>
          </w:p>
        </w:tc>
        <w:tc>
          <w:tcPr>
            <w:tcW w:w="1673" w:type="dxa"/>
            <w:vAlign w:val="bottom"/>
          </w:tcPr>
          <w:p w14:paraId="0CCC2056" w14:textId="77777777" w:rsidR="004825AE" w:rsidRPr="00CB683A" w:rsidRDefault="004825AE" w:rsidP="0088064F">
            <w:pPr>
              <w:spacing w:before="60" w:after="60"/>
              <w:jc w:val="right"/>
              <w:rPr>
                <w:b/>
                <w:noProof/>
                <w:sz w:val="20"/>
                <w:szCs w:val="20"/>
              </w:rPr>
            </w:pPr>
            <w:r w:rsidRPr="00CB683A">
              <w:rPr>
                <w:b/>
                <w:noProof/>
                <w:color w:val="000000"/>
                <w:sz w:val="20"/>
              </w:rPr>
              <w:t>19,531</w:t>
            </w:r>
          </w:p>
        </w:tc>
      </w:tr>
      <w:tr w:rsidR="004825AE" w:rsidRPr="00CB683A" w14:paraId="7A8CEE01" w14:textId="77777777" w:rsidTr="0088064F">
        <w:tc>
          <w:tcPr>
            <w:tcW w:w="3686" w:type="dxa"/>
            <w:vMerge/>
            <w:shd w:val="clear" w:color="auto" w:fill="C0C0C0"/>
          </w:tcPr>
          <w:p w14:paraId="5EB9ECBB" w14:textId="77777777" w:rsidR="004825AE" w:rsidRPr="00CB683A" w:rsidRDefault="004825AE" w:rsidP="0088064F">
            <w:pPr>
              <w:rPr>
                <w:noProof/>
                <w:sz w:val="20"/>
              </w:rPr>
            </w:pPr>
          </w:p>
        </w:tc>
        <w:tc>
          <w:tcPr>
            <w:tcW w:w="1842" w:type="dxa"/>
            <w:vAlign w:val="center"/>
          </w:tcPr>
          <w:p w14:paraId="1DBBADFC" w14:textId="77777777" w:rsidR="004825AE" w:rsidRPr="00CB683A" w:rsidRDefault="004825AE" w:rsidP="0088064F">
            <w:pPr>
              <w:rPr>
                <w:noProof/>
                <w:sz w:val="14"/>
              </w:rPr>
            </w:pPr>
            <w:r w:rsidRPr="00CB683A">
              <w:rPr>
                <w:noProof/>
                <w:sz w:val="18"/>
              </w:rPr>
              <w:t>Platby</w:t>
            </w:r>
          </w:p>
        </w:tc>
        <w:tc>
          <w:tcPr>
            <w:tcW w:w="1672" w:type="dxa"/>
            <w:vAlign w:val="bottom"/>
          </w:tcPr>
          <w:p w14:paraId="440E4D2D" w14:textId="77777777" w:rsidR="004825AE" w:rsidRPr="00CB683A" w:rsidRDefault="004825AE" w:rsidP="0088064F">
            <w:pPr>
              <w:spacing w:before="60" w:after="60"/>
              <w:jc w:val="right"/>
              <w:rPr>
                <w:noProof/>
                <w:sz w:val="20"/>
                <w:szCs w:val="20"/>
              </w:rPr>
            </w:pPr>
            <w:r w:rsidRPr="00CB683A">
              <w:rPr>
                <w:noProof/>
                <w:sz w:val="20"/>
              </w:rPr>
              <w:t>5,052</w:t>
            </w:r>
          </w:p>
        </w:tc>
        <w:tc>
          <w:tcPr>
            <w:tcW w:w="1673" w:type="dxa"/>
            <w:vAlign w:val="bottom"/>
          </w:tcPr>
          <w:p w14:paraId="73B38CC3" w14:textId="77777777" w:rsidR="004825AE" w:rsidRPr="00CB683A" w:rsidRDefault="004825AE" w:rsidP="0088064F">
            <w:pPr>
              <w:spacing w:before="60" w:after="60"/>
              <w:jc w:val="right"/>
              <w:rPr>
                <w:noProof/>
                <w:sz w:val="20"/>
                <w:szCs w:val="20"/>
              </w:rPr>
            </w:pPr>
            <w:r w:rsidRPr="00CB683A">
              <w:rPr>
                <w:noProof/>
                <w:sz w:val="20"/>
              </w:rPr>
              <w:t>6,116</w:t>
            </w:r>
          </w:p>
        </w:tc>
        <w:tc>
          <w:tcPr>
            <w:tcW w:w="1673" w:type="dxa"/>
            <w:vAlign w:val="bottom"/>
          </w:tcPr>
          <w:p w14:paraId="4A2C17BD" w14:textId="77777777" w:rsidR="004825AE" w:rsidRPr="00CB683A" w:rsidRDefault="004825AE" w:rsidP="0088064F">
            <w:pPr>
              <w:spacing w:before="60" w:after="60"/>
              <w:jc w:val="right"/>
              <w:rPr>
                <w:noProof/>
                <w:sz w:val="20"/>
                <w:szCs w:val="20"/>
              </w:rPr>
            </w:pPr>
            <w:r w:rsidRPr="00CB683A">
              <w:rPr>
                <w:noProof/>
                <w:sz w:val="20"/>
              </w:rPr>
              <w:t>6,510</w:t>
            </w:r>
          </w:p>
        </w:tc>
        <w:tc>
          <w:tcPr>
            <w:tcW w:w="1673" w:type="dxa"/>
            <w:vAlign w:val="bottom"/>
          </w:tcPr>
          <w:p w14:paraId="18979417" w14:textId="77777777" w:rsidR="004825AE" w:rsidRPr="00CB683A" w:rsidRDefault="004825AE" w:rsidP="0088064F">
            <w:pPr>
              <w:spacing w:before="60" w:after="60"/>
              <w:jc w:val="right"/>
              <w:rPr>
                <w:b/>
                <w:noProof/>
                <w:sz w:val="20"/>
                <w:szCs w:val="20"/>
              </w:rPr>
            </w:pPr>
            <w:r w:rsidRPr="00CB683A">
              <w:rPr>
                <w:noProof/>
                <w:color w:val="000000"/>
                <w:sz w:val="20"/>
              </w:rPr>
              <w:t>1,853</w:t>
            </w:r>
          </w:p>
        </w:tc>
        <w:tc>
          <w:tcPr>
            <w:tcW w:w="1673" w:type="dxa"/>
            <w:vAlign w:val="bottom"/>
          </w:tcPr>
          <w:p w14:paraId="0A18F573" w14:textId="77777777" w:rsidR="004825AE" w:rsidRPr="00CB683A" w:rsidRDefault="004825AE" w:rsidP="0088064F">
            <w:pPr>
              <w:spacing w:before="60" w:after="60"/>
              <w:jc w:val="right"/>
              <w:rPr>
                <w:b/>
                <w:noProof/>
                <w:sz w:val="20"/>
                <w:szCs w:val="20"/>
              </w:rPr>
            </w:pPr>
            <w:r w:rsidRPr="00CB683A">
              <w:rPr>
                <w:b/>
                <w:noProof/>
                <w:color w:val="000000"/>
                <w:sz w:val="20"/>
              </w:rPr>
              <w:t>19,531</w:t>
            </w:r>
          </w:p>
        </w:tc>
      </w:tr>
    </w:tbl>
    <w:p w14:paraId="0B93832B" w14:textId="77777777" w:rsidR="004825AE" w:rsidRPr="00CB683A" w:rsidRDefault="004825AE" w:rsidP="004825AE">
      <w:pPr>
        <w:rPr>
          <w:noProof/>
        </w:rPr>
      </w:pPr>
    </w:p>
    <w:p w14:paraId="351BC431" w14:textId="3281256D" w:rsidR="004825AE" w:rsidRPr="00CB683A" w:rsidRDefault="00891439" w:rsidP="00891439">
      <w:pPr>
        <w:pStyle w:val="ManualHeading3"/>
        <w:rPr>
          <w:bCs/>
          <w:noProof/>
          <w:szCs w:val="24"/>
        </w:rPr>
      </w:pPr>
      <w:bookmarkStart w:id="57" w:name="_Toc514938054"/>
      <w:bookmarkStart w:id="58" w:name="_Toc520485053"/>
      <w:r w:rsidRPr="00891439">
        <w:t>3.2.2.</w:t>
      </w:r>
      <w:r w:rsidRPr="00891439">
        <w:tab/>
      </w:r>
      <w:r w:rsidR="004825AE" w:rsidRPr="00CB683A">
        <w:rPr>
          <w:noProof/>
        </w:rPr>
        <w:t>Odhadovaný výstup financovaný z operačních prostředků</w:t>
      </w:r>
      <w:bookmarkEnd w:id="57"/>
      <w:bookmarkEnd w:id="58"/>
      <w:r w:rsidR="004825AE" w:rsidRPr="00CB683A">
        <w:rPr>
          <w:noProof/>
        </w:rPr>
        <w:t xml:space="preserve"> </w:t>
      </w:r>
    </w:p>
    <w:p w14:paraId="05424ECA" w14:textId="77777777" w:rsidR="004825AE" w:rsidRPr="00CB683A" w:rsidRDefault="004825AE" w:rsidP="004825AE">
      <w:pPr>
        <w:jc w:val="right"/>
        <w:rPr>
          <w:noProof/>
          <w:sz w:val="20"/>
        </w:rPr>
      </w:pPr>
      <w:r w:rsidRPr="00CB683A">
        <w:rPr>
          <w:noProof/>
          <w:sz w:val="20"/>
        </w:rPr>
        <w:t>Prostředky na závazky v milionech EUR (zaokrouhleno na tři desetinná místa)</w:t>
      </w:r>
    </w:p>
    <w:tbl>
      <w:tblPr>
        <w:tblW w:w="13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8"/>
        <w:gridCol w:w="706"/>
        <w:gridCol w:w="861"/>
        <w:gridCol w:w="336"/>
        <w:gridCol w:w="2014"/>
        <w:gridCol w:w="396"/>
        <w:gridCol w:w="1954"/>
        <w:gridCol w:w="455"/>
        <w:gridCol w:w="1895"/>
        <w:gridCol w:w="657"/>
        <w:gridCol w:w="1694"/>
      </w:tblGrid>
      <w:tr w:rsidR="004825AE" w:rsidRPr="00CB683A" w14:paraId="5AD5E610" w14:textId="77777777" w:rsidTr="0088064F">
        <w:trPr>
          <w:jc w:val="center"/>
        </w:trPr>
        <w:tc>
          <w:tcPr>
            <w:tcW w:w="2798" w:type="dxa"/>
            <w:vAlign w:val="center"/>
          </w:tcPr>
          <w:p w14:paraId="5BD55DB1" w14:textId="77777777" w:rsidR="004825AE" w:rsidRPr="00CB683A" w:rsidRDefault="004825AE" w:rsidP="0088064F">
            <w:pPr>
              <w:ind w:right="-29"/>
              <w:jc w:val="center"/>
              <w:rPr>
                <w:b/>
                <w:noProof/>
                <w:sz w:val="18"/>
                <w:szCs w:val="18"/>
              </w:rPr>
            </w:pPr>
            <w:r w:rsidRPr="00CB683A">
              <w:rPr>
                <w:b/>
                <w:noProof/>
                <w:sz w:val="18"/>
              </w:rPr>
              <w:t xml:space="preserve">Uveďte cíle a výstupy </w:t>
            </w:r>
          </w:p>
          <w:p w14:paraId="237845FD" w14:textId="77777777" w:rsidR="004825AE" w:rsidRPr="00CB683A" w:rsidRDefault="004825AE" w:rsidP="0088064F">
            <w:pPr>
              <w:ind w:right="-29"/>
              <w:jc w:val="center"/>
              <w:rPr>
                <w:b/>
                <w:noProof/>
                <w:sz w:val="18"/>
                <w:szCs w:val="18"/>
              </w:rPr>
            </w:pPr>
          </w:p>
          <w:p w14:paraId="5821C9F5" w14:textId="77777777" w:rsidR="004825AE" w:rsidRPr="00CB683A" w:rsidRDefault="004825AE" w:rsidP="0088064F">
            <w:pPr>
              <w:ind w:right="-29"/>
              <w:jc w:val="center"/>
              <w:rPr>
                <w:noProof/>
                <w:sz w:val="18"/>
                <w:szCs w:val="18"/>
              </w:rPr>
            </w:pPr>
            <w:r w:rsidRPr="00CB683A">
              <w:rPr>
                <w:noProof/>
                <w:sz w:val="18"/>
              </w:rPr>
              <w:sym w:font="Wingdings" w:char="F0F2"/>
            </w:r>
          </w:p>
        </w:tc>
        <w:tc>
          <w:tcPr>
            <w:tcW w:w="706" w:type="dxa"/>
            <w:vAlign w:val="center"/>
          </w:tcPr>
          <w:p w14:paraId="234DAE0C" w14:textId="77777777" w:rsidR="004825AE" w:rsidRPr="00CB683A" w:rsidRDefault="004825AE" w:rsidP="0088064F">
            <w:pPr>
              <w:ind w:right="-29"/>
              <w:jc w:val="center"/>
              <w:rPr>
                <w:noProof/>
                <w:sz w:val="18"/>
                <w:szCs w:val="18"/>
              </w:rPr>
            </w:pPr>
          </w:p>
        </w:tc>
        <w:tc>
          <w:tcPr>
            <w:tcW w:w="861" w:type="dxa"/>
            <w:vAlign w:val="center"/>
          </w:tcPr>
          <w:p w14:paraId="761AC75E" w14:textId="77777777" w:rsidR="004825AE" w:rsidRPr="00CB683A" w:rsidRDefault="004825AE" w:rsidP="0088064F">
            <w:pPr>
              <w:ind w:right="-29"/>
              <w:jc w:val="center"/>
              <w:rPr>
                <w:noProof/>
                <w:sz w:val="18"/>
                <w:szCs w:val="18"/>
              </w:rPr>
            </w:pPr>
          </w:p>
        </w:tc>
        <w:tc>
          <w:tcPr>
            <w:tcW w:w="2350" w:type="dxa"/>
            <w:gridSpan w:val="2"/>
            <w:tcBorders>
              <w:left w:val="nil"/>
            </w:tcBorders>
            <w:vAlign w:val="center"/>
          </w:tcPr>
          <w:p w14:paraId="7C5F4626" w14:textId="77777777" w:rsidR="004825AE" w:rsidRPr="00CB683A" w:rsidRDefault="004825AE" w:rsidP="0088064F">
            <w:pPr>
              <w:ind w:right="-29"/>
              <w:jc w:val="center"/>
              <w:rPr>
                <w:noProof/>
                <w:sz w:val="18"/>
                <w:szCs w:val="18"/>
              </w:rPr>
            </w:pPr>
            <w:r w:rsidRPr="00CB683A">
              <w:rPr>
                <w:noProof/>
                <w:sz w:val="18"/>
              </w:rPr>
              <w:t>Rok</w:t>
            </w:r>
            <w:r w:rsidRPr="00CB683A">
              <w:rPr>
                <w:noProof/>
              </w:rPr>
              <w:t xml:space="preserve"> </w:t>
            </w:r>
            <w:r w:rsidRPr="00CB683A">
              <w:rPr>
                <w:noProof/>
              </w:rPr>
              <w:br/>
            </w:r>
            <w:r w:rsidRPr="00CB683A">
              <w:rPr>
                <w:b/>
                <w:noProof/>
                <w:sz w:val="18"/>
              </w:rPr>
              <w:t>2025</w:t>
            </w:r>
          </w:p>
        </w:tc>
        <w:tc>
          <w:tcPr>
            <w:tcW w:w="2350" w:type="dxa"/>
            <w:gridSpan w:val="2"/>
            <w:vAlign w:val="center"/>
          </w:tcPr>
          <w:p w14:paraId="6E131A4F" w14:textId="77777777" w:rsidR="004825AE" w:rsidRPr="00CB683A" w:rsidRDefault="004825AE" w:rsidP="0088064F">
            <w:pPr>
              <w:ind w:right="-29"/>
              <w:jc w:val="center"/>
              <w:rPr>
                <w:noProof/>
                <w:sz w:val="18"/>
                <w:szCs w:val="18"/>
              </w:rPr>
            </w:pPr>
            <w:r w:rsidRPr="00CB683A">
              <w:rPr>
                <w:noProof/>
                <w:sz w:val="18"/>
              </w:rPr>
              <w:t>Rok</w:t>
            </w:r>
            <w:r w:rsidRPr="00CB683A">
              <w:rPr>
                <w:noProof/>
              </w:rPr>
              <w:t xml:space="preserve"> </w:t>
            </w:r>
            <w:r w:rsidRPr="00CB683A">
              <w:rPr>
                <w:noProof/>
              </w:rPr>
              <w:br/>
            </w:r>
            <w:r w:rsidRPr="00CB683A">
              <w:rPr>
                <w:b/>
                <w:noProof/>
                <w:sz w:val="18"/>
              </w:rPr>
              <w:t>2026</w:t>
            </w:r>
          </w:p>
        </w:tc>
        <w:tc>
          <w:tcPr>
            <w:tcW w:w="2350" w:type="dxa"/>
            <w:gridSpan w:val="2"/>
            <w:vAlign w:val="center"/>
          </w:tcPr>
          <w:p w14:paraId="6DE5484D" w14:textId="77777777" w:rsidR="004825AE" w:rsidRPr="00CB683A" w:rsidRDefault="004825AE" w:rsidP="0088064F">
            <w:pPr>
              <w:ind w:right="-29"/>
              <w:jc w:val="center"/>
              <w:rPr>
                <w:noProof/>
                <w:sz w:val="18"/>
                <w:szCs w:val="18"/>
              </w:rPr>
            </w:pPr>
            <w:r w:rsidRPr="00CB683A">
              <w:rPr>
                <w:noProof/>
                <w:sz w:val="18"/>
              </w:rPr>
              <w:t>Rok</w:t>
            </w:r>
            <w:r w:rsidRPr="00CB683A">
              <w:rPr>
                <w:noProof/>
              </w:rPr>
              <w:t xml:space="preserve"> </w:t>
            </w:r>
            <w:r w:rsidRPr="00CB683A">
              <w:rPr>
                <w:noProof/>
              </w:rPr>
              <w:br/>
            </w:r>
            <w:r w:rsidRPr="00CB683A">
              <w:rPr>
                <w:b/>
                <w:noProof/>
                <w:sz w:val="18"/>
              </w:rPr>
              <w:t>2027</w:t>
            </w:r>
          </w:p>
        </w:tc>
        <w:tc>
          <w:tcPr>
            <w:tcW w:w="2351" w:type="dxa"/>
            <w:gridSpan w:val="2"/>
            <w:tcBorders>
              <w:left w:val="single" w:sz="8" w:space="0" w:color="auto"/>
              <w:bottom w:val="nil"/>
            </w:tcBorders>
            <w:vAlign w:val="center"/>
          </w:tcPr>
          <w:p w14:paraId="101398B4" w14:textId="77777777" w:rsidR="004825AE" w:rsidRPr="00CB683A" w:rsidRDefault="004825AE" w:rsidP="0088064F">
            <w:pPr>
              <w:ind w:right="-29"/>
              <w:jc w:val="center"/>
              <w:rPr>
                <w:noProof/>
                <w:sz w:val="18"/>
                <w:szCs w:val="18"/>
              </w:rPr>
            </w:pPr>
            <w:r w:rsidRPr="00CB683A">
              <w:rPr>
                <w:b/>
                <w:noProof/>
                <w:sz w:val="18"/>
              </w:rPr>
              <w:t>CELKEM</w:t>
            </w:r>
          </w:p>
        </w:tc>
      </w:tr>
      <w:tr w:rsidR="004825AE" w:rsidRPr="00CB683A" w14:paraId="76E7272D" w14:textId="77777777" w:rsidTr="0088064F">
        <w:trPr>
          <w:jc w:val="center"/>
        </w:trPr>
        <w:tc>
          <w:tcPr>
            <w:tcW w:w="2798" w:type="dxa"/>
            <w:vMerge w:val="restart"/>
            <w:vAlign w:val="center"/>
          </w:tcPr>
          <w:p w14:paraId="5AE7E840" w14:textId="77777777" w:rsidR="004825AE" w:rsidRPr="00CB683A" w:rsidRDefault="004825AE" w:rsidP="0088064F">
            <w:pPr>
              <w:ind w:right="-29"/>
              <w:jc w:val="center"/>
              <w:rPr>
                <w:noProof/>
                <w:sz w:val="18"/>
                <w:szCs w:val="18"/>
              </w:rPr>
            </w:pPr>
          </w:p>
        </w:tc>
        <w:tc>
          <w:tcPr>
            <w:tcW w:w="10968" w:type="dxa"/>
            <w:gridSpan w:val="10"/>
          </w:tcPr>
          <w:p w14:paraId="0DC5C36F" w14:textId="77777777" w:rsidR="004825AE" w:rsidRPr="00CB683A" w:rsidRDefault="004825AE" w:rsidP="0088064F">
            <w:pPr>
              <w:spacing w:before="60" w:after="60"/>
              <w:ind w:right="-29"/>
              <w:jc w:val="center"/>
              <w:rPr>
                <w:noProof/>
                <w:sz w:val="18"/>
                <w:szCs w:val="18"/>
              </w:rPr>
            </w:pPr>
            <w:r w:rsidRPr="00CB683A">
              <w:rPr>
                <w:b/>
                <w:noProof/>
                <w:sz w:val="18"/>
              </w:rPr>
              <w:t>VÝSTUPY</w:t>
            </w:r>
          </w:p>
        </w:tc>
      </w:tr>
      <w:tr w:rsidR="004825AE" w:rsidRPr="00CB683A" w14:paraId="2E421CC1" w14:textId="77777777" w:rsidTr="0088064F">
        <w:trPr>
          <w:cantSplit/>
          <w:trHeight w:val="1134"/>
          <w:jc w:val="center"/>
        </w:trPr>
        <w:tc>
          <w:tcPr>
            <w:tcW w:w="2798" w:type="dxa"/>
            <w:vMerge/>
            <w:vAlign w:val="center"/>
          </w:tcPr>
          <w:p w14:paraId="1CD6EFD9" w14:textId="77777777" w:rsidR="004825AE" w:rsidRPr="00CB683A" w:rsidRDefault="004825AE" w:rsidP="0088064F">
            <w:pPr>
              <w:rPr>
                <w:noProof/>
                <w:sz w:val="18"/>
                <w:szCs w:val="18"/>
              </w:rPr>
            </w:pPr>
          </w:p>
        </w:tc>
        <w:tc>
          <w:tcPr>
            <w:tcW w:w="706" w:type="dxa"/>
            <w:vAlign w:val="center"/>
          </w:tcPr>
          <w:p w14:paraId="7CBC0D1A" w14:textId="77777777" w:rsidR="004825AE" w:rsidRPr="00CB683A" w:rsidRDefault="004825AE" w:rsidP="0088064F">
            <w:pPr>
              <w:jc w:val="center"/>
              <w:rPr>
                <w:noProof/>
                <w:sz w:val="18"/>
                <w:szCs w:val="18"/>
              </w:rPr>
            </w:pPr>
            <w:r w:rsidRPr="00CB683A">
              <w:rPr>
                <w:noProof/>
                <w:sz w:val="18"/>
              </w:rPr>
              <w:t>Druh</w:t>
            </w:r>
            <w:r w:rsidRPr="00CB683A">
              <w:rPr>
                <w:rStyle w:val="FootnoteReference"/>
                <w:noProof/>
                <w:sz w:val="18"/>
              </w:rPr>
              <w:footnoteReference w:id="55"/>
            </w:r>
          </w:p>
          <w:p w14:paraId="554FA444" w14:textId="77777777" w:rsidR="004825AE" w:rsidRPr="00CB683A" w:rsidRDefault="004825AE" w:rsidP="0088064F">
            <w:pPr>
              <w:spacing w:before="0" w:after="0"/>
              <w:jc w:val="center"/>
              <w:rPr>
                <w:noProof/>
                <w:sz w:val="18"/>
                <w:szCs w:val="18"/>
              </w:rPr>
            </w:pPr>
          </w:p>
        </w:tc>
        <w:tc>
          <w:tcPr>
            <w:tcW w:w="861" w:type="dxa"/>
            <w:vAlign w:val="center"/>
          </w:tcPr>
          <w:p w14:paraId="6B5DAE6D" w14:textId="77777777" w:rsidR="004825AE" w:rsidRPr="00CB683A" w:rsidRDefault="004825AE" w:rsidP="0088064F">
            <w:pPr>
              <w:jc w:val="center"/>
              <w:rPr>
                <w:noProof/>
                <w:sz w:val="18"/>
                <w:szCs w:val="18"/>
              </w:rPr>
            </w:pPr>
            <w:r w:rsidRPr="00CB683A">
              <w:rPr>
                <w:noProof/>
                <w:sz w:val="18"/>
              </w:rPr>
              <w:t>Průměrné náklady</w:t>
            </w:r>
          </w:p>
        </w:tc>
        <w:tc>
          <w:tcPr>
            <w:tcW w:w="336" w:type="dxa"/>
            <w:tcBorders>
              <w:left w:val="nil"/>
              <w:bottom w:val="single" w:sz="4" w:space="0" w:color="auto"/>
              <w:right w:val="dashSmallGap" w:sz="4" w:space="0" w:color="auto"/>
            </w:tcBorders>
            <w:shd w:val="pct10" w:color="auto" w:fill="auto"/>
            <w:textDirection w:val="btLr"/>
            <w:vAlign w:val="center"/>
          </w:tcPr>
          <w:p w14:paraId="03F970C1" w14:textId="77777777" w:rsidR="004825AE" w:rsidRPr="00CB683A" w:rsidRDefault="004825AE" w:rsidP="0088064F">
            <w:pPr>
              <w:ind w:left="113" w:right="113"/>
              <w:jc w:val="center"/>
              <w:rPr>
                <w:noProof/>
                <w:sz w:val="18"/>
                <w:szCs w:val="18"/>
              </w:rPr>
            </w:pPr>
            <w:r w:rsidRPr="00CB683A">
              <w:rPr>
                <w:noProof/>
                <w:sz w:val="18"/>
              </w:rPr>
              <w:t>Počet</w:t>
            </w:r>
          </w:p>
        </w:tc>
        <w:tc>
          <w:tcPr>
            <w:tcW w:w="2014" w:type="dxa"/>
            <w:tcBorders>
              <w:left w:val="dashSmallGap" w:sz="4" w:space="0" w:color="auto"/>
              <w:bottom w:val="single" w:sz="4" w:space="0" w:color="auto"/>
            </w:tcBorders>
            <w:shd w:val="pct10" w:color="auto" w:fill="auto"/>
            <w:vAlign w:val="center"/>
          </w:tcPr>
          <w:p w14:paraId="136757FC" w14:textId="77777777" w:rsidR="004825AE" w:rsidRPr="00CB683A" w:rsidRDefault="004825AE" w:rsidP="0088064F">
            <w:pPr>
              <w:jc w:val="center"/>
              <w:rPr>
                <w:noProof/>
                <w:sz w:val="18"/>
                <w:szCs w:val="18"/>
              </w:rPr>
            </w:pPr>
            <w:r w:rsidRPr="00CB683A">
              <w:rPr>
                <w:noProof/>
                <w:sz w:val="18"/>
              </w:rPr>
              <w:t>Náklady</w:t>
            </w:r>
          </w:p>
        </w:tc>
        <w:tc>
          <w:tcPr>
            <w:tcW w:w="396" w:type="dxa"/>
            <w:tcBorders>
              <w:bottom w:val="single" w:sz="4" w:space="0" w:color="auto"/>
              <w:right w:val="dashSmallGap" w:sz="4" w:space="0" w:color="auto"/>
            </w:tcBorders>
            <w:shd w:val="pct10" w:color="auto" w:fill="auto"/>
            <w:textDirection w:val="btLr"/>
            <w:vAlign w:val="center"/>
          </w:tcPr>
          <w:p w14:paraId="7EA7170A" w14:textId="77777777" w:rsidR="004825AE" w:rsidRPr="00CB683A" w:rsidRDefault="004825AE" w:rsidP="0088064F">
            <w:pPr>
              <w:ind w:left="113" w:right="113"/>
              <w:jc w:val="center"/>
              <w:rPr>
                <w:noProof/>
                <w:sz w:val="18"/>
                <w:szCs w:val="18"/>
              </w:rPr>
            </w:pPr>
            <w:r w:rsidRPr="00CB683A">
              <w:rPr>
                <w:noProof/>
                <w:sz w:val="18"/>
              </w:rPr>
              <w:t>Počet</w:t>
            </w:r>
          </w:p>
        </w:tc>
        <w:tc>
          <w:tcPr>
            <w:tcW w:w="1954" w:type="dxa"/>
            <w:tcBorders>
              <w:left w:val="dashSmallGap" w:sz="4" w:space="0" w:color="auto"/>
              <w:bottom w:val="single" w:sz="4" w:space="0" w:color="auto"/>
            </w:tcBorders>
            <w:shd w:val="pct10" w:color="auto" w:fill="auto"/>
            <w:vAlign w:val="center"/>
          </w:tcPr>
          <w:p w14:paraId="6B2BD92F" w14:textId="77777777" w:rsidR="004825AE" w:rsidRPr="00CB683A" w:rsidRDefault="004825AE" w:rsidP="0088064F">
            <w:pPr>
              <w:jc w:val="center"/>
              <w:rPr>
                <w:noProof/>
                <w:sz w:val="18"/>
                <w:szCs w:val="18"/>
              </w:rPr>
            </w:pPr>
            <w:r w:rsidRPr="00CB683A">
              <w:rPr>
                <w:noProof/>
                <w:sz w:val="18"/>
              </w:rPr>
              <w:t>Náklady</w:t>
            </w:r>
          </w:p>
        </w:tc>
        <w:tc>
          <w:tcPr>
            <w:tcW w:w="455" w:type="dxa"/>
            <w:tcBorders>
              <w:bottom w:val="single" w:sz="4" w:space="0" w:color="auto"/>
              <w:right w:val="dashSmallGap" w:sz="4" w:space="0" w:color="auto"/>
            </w:tcBorders>
            <w:shd w:val="pct10" w:color="auto" w:fill="auto"/>
            <w:textDirection w:val="btLr"/>
            <w:vAlign w:val="center"/>
          </w:tcPr>
          <w:p w14:paraId="0C37D856" w14:textId="77777777" w:rsidR="004825AE" w:rsidRPr="00CB683A" w:rsidRDefault="004825AE" w:rsidP="0088064F">
            <w:pPr>
              <w:ind w:left="113" w:right="113"/>
              <w:jc w:val="center"/>
              <w:rPr>
                <w:noProof/>
                <w:sz w:val="18"/>
                <w:szCs w:val="18"/>
              </w:rPr>
            </w:pPr>
            <w:r w:rsidRPr="00CB683A">
              <w:rPr>
                <w:noProof/>
                <w:sz w:val="18"/>
              </w:rPr>
              <w:t>Počet</w:t>
            </w:r>
          </w:p>
        </w:tc>
        <w:tc>
          <w:tcPr>
            <w:tcW w:w="1895" w:type="dxa"/>
            <w:tcBorders>
              <w:left w:val="dashSmallGap" w:sz="4" w:space="0" w:color="auto"/>
              <w:bottom w:val="single" w:sz="4" w:space="0" w:color="auto"/>
            </w:tcBorders>
            <w:shd w:val="pct10" w:color="auto" w:fill="auto"/>
            <w:vAlign w:val="center"/>
          </w:tcPr>
          <w:p w14:paraId="5573233F" w14:textId="77777777" w:rsidR="004825AE" w:rsidRPr="00CB683A" w:rsidRDefault="004825AE" w:rsidP="0088064F">
            <w:pPr>
              <w:jc w:val="center"/>
              <w:rPr>
                <w:noProof/>
                <w:sz w:val="18"/>
                <w:szCs w:val="18"/>
              </w:rPr>
            </w:pPr>
            <w:r w:rsidRPr="00CB683A">
              <w:rPr>
                <w:noProof/>
                <w:sz w:val="18"/>
              </w:rPr>
              <w:t>Náklady</w:t>
            </w:r>
          </w:p>
        </w:tc>
        <w:tc>
          <w:tcPr>
            <w:tcW w:w="657" w:type="dxa"/>
            <w:tcBorders>
              <w:bottom w:val="single" w:sz="4" w:space="0" w:color="auto"/>
              <w:right w:val="dashSmallGap" w:sz="4" w:space="0" w:color="auto"/>
            </w:tcBorders>
            <w:shd w:val="pct10" w:color="auto" w:fill="auto"/>
            <w:vAlign w:val="center"/>
          </w:tcPr>
          <w:p w14:paraId="3D1C1715" w14:textId="77777777" w:rsidR="004825AE" w:rsidRPr="00CB683A" w:rsidRDefault="004825AE" w:rsidP="0088064F">
            <w:pPr>
              <w:jc w:val="center"/>
              <w:rPr>
                <w:noProof/>
                <w:sz w:val="18"/>
                <w:szCs w:val="18"/>
              </w:rPr>
            </w:pPr>
            <w:r w:rsidRPr="00CB683A">
              <w:rPr>
                <w:noProof/>
                <w:sz w:val="18"/>
              </w:rPr>
              <w:t>Celkový počet</w:t>
            </w:r>
          </w:p>
        </w:tc>
        <w:tc>
          <w:tcPr>
            <w:tcW w:w="1694" w:type="dxa"/>
            <w:tcBorders>
              <w:left w:val="dashSmallGap" w:sz="4" w:space="0" w:color="auto"/>
              <w:bottom w:val="single" w:sz="4" w:space="0" w:color="auto"/>
            </w:tcBorders>
            <w:shd w:val="pct10" w:color="auto" w:fill="auto"/>
            <w:vAlign w:val="center"/>
          </w:tcPr>
          <w:p w14:paraId="79AE4962" w14:textId="77777777" w:rsidR="004825AE" w:rsidRPr="00CB683A" w:rsidRDefault="004825AE" w:rsidP="0088064F">
            <w:pPr>
              <w:jc w:val="center"/>
              <w:rPr>
                <w:noProof/>
                <w:sz w:val="18"/>
                <w:szCs w:val="18"/>
              </w:rPr>
            </w:pPr>
            <w:r w:rsidRPr="00CB683A">
              <w:rPr>
                <w:noProof/>
                <w:sz w:val="18"/>
              </w:rPr>
              <w:t>Náklady celkem</w:t>
            </w:r>
          </w:p>
        </w:tc>
      </w:tr>
      <w:tr w:rsidR="004825AE" w:rsidRPr="00CB683A" w14:paraId="5E5F7651" w14:textId="77777777" w:rsidTr="0088064F">
        <w:trPr>
          <w:trHeight w:val="521"/>
          <w:jc w:val="center"/>
        </w:trPr>
        <w:tc>
          <w:tcPr>
            <w:tcW w:w="4365" w:type="dxa"/>
            <w:gridSpan w:val="3"/>
            <w:vAlign w:val="center"/>
          </w:tcPr>
          <w:p w14:paraId="3955DE2C" w14:textId="77777777" w:rsidR="004825AE" w:rsidRPr="00CB683A" w:rsidRDefault="004825AE" w:rsidP="0088064F">
            <w:pPr>
              <w:spacing w:before="60" w:after="60"/>
              <w:ind w:right="-29"/>
              <w:jc w:val="center"/>
              <w:rPr>
                <w:noProof/>
                <w:sz w:val="18"/>
                <w:szCs w:val="18"/>
              </w:rPr>
            </w:pPr>
            <w:r w:rsidRPr="00CB683A">
              <w:rPr>
                <w:noProof/>
                <w:sz w:val="18"/>
              </w:rPr>
              <w:t>SPECIFICKÝ CÍL č. 1</w:t>
            </w:r>
            <w:r w:rsidRPr="00CB683A">
              <w:rPr>
                <w:rStyle w:val="FootnoteReference"/>
                <w:noProof/>
                <w:sz w:val="18"/>
              </w:rPr>
              <w:footnoteReference w:id="56"/>
            </w:r>
          </w:p>
        </w:tc>
        <w:tc>
          <w:tcPr>
            <w:tcW w:w="9401" w:type="dxa"/>
            <w:gridSpan w:val="8"/>
            <w:tcBorders>
              <w:right w:val="single" w:sz="4" w:space="0" w:color="auto"/>
            </w:tcBorders>
            <w:vAlign w:val="center"/>
          </w:tcPr>
          <w:p w14:paraId="2E391175" w14:textId="097B4ED8" w:rsidR="004825AE" w:rsidRPr="00CB683A" w:rsidRDefault="004825AE" w:rsidP="0088064F">
            <w:pPr>
              <w:spacing w:before="60" w:after="60"/>
              <w:ind w:right="-29"/>
              <w:jc w:val="center"/>
              <w:rPr>
                <w:noProof/>
                <w:sz w:val="18"/>
                <w:szCs w:val="18"/>
              </w:rPr>
            </w:pPr>
            <w:r w:rsidRPr="00CB683A">
              <w:rPr>
                <w:noProof/>
                <w:sz w:val="18"/>
              </w:rPr>
              <w:t>Zajištění úplné, soudržné a srovnatelné evropské sta</w:t>
            </w:r>
            <w:r w:rsidR="003745E4">
              <w:rPr>
                <w:noProof/>
                <w:sz w:val="18"/>
              </w:rPr>
              <w:t>tistiky o obyvatelstvu, domech a bytech</w:t>
            </w:r>
          </w:p>
        </w:tc>
      </w:tr>
      <w:tr w:rsidR="004825AE" w:rsidRPr="00CB683A" w14:paraId="43F4D067" w14:textId="77777777" w:rsidTr="0088064F">
        <w:trPr>
          <w:trHeight w:val="369"/>
          <w:jc w:val="center"/>
        </w:trPr>
        <w:tc>
          <w:tcPr>
            <w:tcW w:w="2798" w:type="dxa"/>
          </w:tcPr>
          <w:p w14:paraId="0F4ADFD7" w14:textId="77777777" w:rsidR="004825AE" w:rsidRPr="00CB683A" w:rsidRDefault="004825AE" w:rsidP="0088064F">
            <w:pPr>
              <w:ind w:right="-29"/>
              <w:jc w:val="center"/>
              <w:rPr>
                <w:noProof/>
                <w:sz w:val="18"/>
                <w:szCs w:val="18"/>
              </w:rPr>
            </w:pPr>
            <w:r w:rsidRPr="00CB683A">
              <w:rPr>
                <w:noProof/>
                <w:sz w:val="18"/>
              </w:rPr>
              <w:t>— Statistika</w:t>
            </w:r>
          </w:p>
        </w:tc>
        <w:tc>
          <w:tcPr>
            <w:tcW w:w="706" w:type="dxa"/>
          </w:tcPr>
          <w:p w14:paraId="4679E97C" w14:textId="77777777" w:rsidR="004825AE" w:rsidRPr="00CB683A" w:rsidRDefault="004825AE" w:rsidP="0088064F">
            <w:pPr>
              <w:ind w:right="-29"/>
              <w:jc w:val="center"/>
              <w:rPr>
                <w:noProof/>
                <w:sz w:val="18"/>
                <w:szCs w:val="18"/>
              </w:rPr>
            </w:pPr>
          </w:p>
        </w:tc>
        <w:tc>
          <w:tcPr>
            <w:tcW w:w="861" w:type="dxa"/>
            <w:vAlign w:val="center"/>
          </w:tcPr>
          <w:p w14:paraId="4DFF2498" w14:textId="77777777" w:rsidR="004825AE" w:rsidRPr="00CB683A" w:rsidRDefault="004825AE" w:rsidP="0088064F">
            <w:pPr>
              <w:ind w:right="-29"/>
              <w:jc w:val="center"/>
              <w:rPr>
                <w:noProof/>
                <w:sz w:val="18"/>
                <w:szCs w:val="18"/>
              </w:rPr>
            </w:pPr>
            <w:r w:rsidRPr="00CB683A">
              <w:rPr>
                <w:noProof/>
                <w:color w:val="000000"/>
                <w:sz w:val="18"/>
              </w:rPr>
              <w:t>0,542</w:t>
            </w:r>
          </w:p>
        </w:tc>
        <w:tc>
          <w:tcPr>
            <w:tcW w:w="336" w:type="dxa"/>
            <w:tcBorders>
              <w:right w:val="dashSmallGap" w:sz="4" w:space="0" w:color="auto"/>
            </w:tcBorders>
            <w:vAlign w:val="center"/>
          </w:tcPr>
          <w:p w14:paraId="502BC04C" w14:textId="77777777" w:rsidR="004825AE" w:rsidRPr="00CB683A" w:rsidRDefault="004825AE" w:rsidP="0088064F">
            <w:pPr>
              <w:ind w:right="-29"/>
              <w:jc w:val="center"/>
              <w:rPr>
                <w:noProof/>
                <w:sz w:val="18"/>
                <w:szCs w:val="18"/>
              </w:rPr>
            </w:pPr>
            <w:r w:rsidRPr="00CB683A">
              <w:rPr>
                <w:noProof/>
                <w:color w:val="000000"/>
                <w:sz w:val="18"/>
              </w:rPr>
              <w:t xml:space="preserve"> </w:t>
            </w:r>
          </w:p>
        </w:tc>
        <w:tc>
          <w:tcPr>
            <w:tcW w:w="2014" w:type="dxa"/>
            <w:tcBorders>
              <w:left w:val="dashSmallGap" w:sz="4" w:space="0" w:color="auto"/>
            </w:tcBorders>
            <w:vAlign w:val="center"/>
          </w:tcPr>
          <w:p w14:paraId="397CFEB9" w14:textId="77777777" w:rsidR="004825AE" w:rsidRPr="00CB683A" w:rsidRDefault="004825AE" w:rsidP="0088064F">
            <w:pPr>
              <w:ind w:right="-29"/>
              <w:jc w:val="center"/>
              <w:rPr>
                <w:noProof/>
                <w:sz w:val="18"/>
                <w:szCs w:val="18"/>
              </w:rPr>
            </w:pPr>
            <w:r w:rsidRPr="00CB683A">
              <w:rPr>
                <w:noProof/>
                <w:sz w:val="18"/>
              </w:rPr>
              <w:t>0,713</w:t>
            </w:r>
          </w:p>
        </w:tc>
        <w:tc>
          <w:tcPr>
            <w:tcW w:w="396" w:type="dxa"/>
            <w:tcBorders>
              <w:right w:val="dashSmallGap" w:sz="4" w:space="0" w:color="auto"/>
            </w:tcBorders>
            <w:vAlign w:val="center"/>
          </w:tcPr>
          <w:p w14:paraId="0B44D441" w14:textId="77777777" w:rsidR="004825AE" w:rsidRPr="00CB683A" w:rsidRDefault="004825AE" w:rsidP="0088064F">
            <w:pPr>
              <w:ind w:right="-29"/>
              <w:jc w:val="center"/>
              <w:rPr>
                <w:noProof/>
                <w:sz w:val="18"/>
                <w:szCs w:val="18"/>
              </w:rPr>
            </w:pPr>
          </w:p>
        </w:tc>
        <w:tc>
          <w:tcPr>
            <w:tcW w:w="1954" w:type="dxa"/>
            <w:tcBorders>
              <w:left w:val="dashSmallGap" w:sz="4" w:space="0" w:color="auto"/>
            </w:tcBorders>
            <w:vAlign w:val="center"/>
          </w:tcPr>
          <w:p w14:paraId="6A8F7B4E" w14:textId="77777777" w:rsidR="004825AE" w:rsidRPr="00CB683A" w:rsidRDefault="004825AE" w:rsidP="0088064F">
            <w:pPr>
              <w:ind w:right="-29"/>
              <w:jc w:val="center"/>
              <w:rPr>
                <w:noProof/>
                <w:sz w:val="18"/>
                <w:szCs w:val="18"/>
              </w:rPr>
            </w:pPr>
            <w:r w:rsidRPr="00CB683A">
              <w:rPr>
                <w:noProof/>
                <w:sz w:val="18"/>
              </w:rPr>
              <w:t>0,713</w:t>
            </w:r>
          </w:p>
        </w:tc>
        <w:tc>
          <w:tcPr>
            <w:tcW w:w="455" w:type="dxa"/>
            <w:tcBorders>
              <w:right w:val="dashSmallGap" w:sz="4" w:space="0" w:color="auto"/>
            </w:tcBorders>
            <w:vAlign w:val="center"/>
          </w:tcPr>
          <w:p w14:paraId="1D7A5A4C" w14:textId="77777777" w:rsidR="004825AE" w:rsidRPr="00CB683A" w:rsidRDefault="004825AE" w:rsidP="0088064F">
            <w:pPr>
              <w:ind w:right="-29"/>
              <w:jc w:val="center"/>
              <w:rPr>
                <w:noProof/>
                <w:sz w:val="18"/>
                <w:szCs w:val="18"/>
              </w:rPr>
            </w:pPr>
          </w:p>
        </w:tc>
        <w:tc>
          <w:tcPr>
            <w:tcW w:w="1895" w:type="dxa"/>
            <w:tcBorders>
              <w:left w:val="dashSmallGap" w:sz="4" w:space="0" w:color="auto"/>
            </w:tcBorders>
            <w:vAlign w:val="center"/>
          </w:tcPr>
          <w:p w14:paraId="79E6CBDB" w14:textId="77777777" w:rsidR="004825AE" w:rsidRPr="00CB683A" w:rsidRDefault="004825AE" w:rsidP="0088064F">
            <w:pPr>
              <w:ind w:right="-29"/>
              <w:jc w:val="center"/>
              <w:rPr>
                <w:noProof/>
                <w:sz w:val="18"/>
                <w:szCs w:val="18"/>
              </w:rPr>
            </w:pPr>
            <w:r w:rsidRPr="00CB683A">
              <w:rPr>
                <w:noProof/>
                <w:sz w:val="18"/>
              </w:rPr>
              <w:t>0,201</w:t>
            </w:r>
          </w:p>
        </w:tc>
        <w:tc>
          <w:tcPr>
            <w:tcW w:w="657" w:type="dxa"/>
            <w:vAlign w:val="center"/>
          </w:tcPr>
          <w:p w14:paraId="26277DE2" w14:textId="77777777" w:rsidR="004825AE" w:rsidRPr="00CB683A" w:rsidRDefault="004825AE" w:rsidP="0088064F">
            <w:pPr>
              <w:ind w:right="-29"/>
              <w:jc w:val="center"/>
              <w:rPr>
                <w:noProof/>
                <w:sz w:val="18"/>
                <w:szCs w:val="18"/>
              </w:rPr>
            </w:pPr>
            <w:r w:rsidRPr="00CB683A">
              <w:rPr>
                <w:noProof/>
                <w:color w:val="000000"/>
                <w:sz w:val="18"/>
              </w:rPr>
              <w:t xml:space="preserve"> </w:t>
            </w:r>
          </w:p>
        </w:tc>
        <w:tc>
          <w:tcPr>
            <w:tcW w:w="1694" w:type="dxa"/>
            <w:vAlign w:val="center"/>
          </w:tcPr>
          <w:p w14:paraId="5414FB2D" w14:textId="77777777" w:rsidR="004825AE" w:rsidRPr="00CB683A" w:rsidRDefault="004825AE" w:rsidP="0088064F">
            <w:pPr>
              <w:ind w:right="-29"/>
              <w:jc w:val="center"/>
              <w:rPr>
                <w:noProof/>
                <w:sz w:val="18"/>
                <w:szCs w:val="18"/>
              </w:rPr>
            </w:pPr>
            <w:r w:rsidRPr="00CB683A">
              <w:rPr>
                <w:noProof/>
                <w:color w:val="000000"/>
                <w:sz w:val="18"/>
              </w:rPr>
              <w:t>1,627</w:t>
            </w:r>
          </w:p>
        </w:tc>
      </w:tr>
      <w:tr w:rsidR="004825AE" w:rsidRPr="00CB683A" w14:paraId="6C0A308E" w14:textId="77777777" w:rsidTr="0088064F">
        <w:trPr>
          <w:trHeight w:hRule="exact" w:val="369"/>
          <w:jc w:val="center"/>
        </w:trPr>
        <w:tc>
          <w:tcPr>
            <w:tcW w:w="2798" w:type="dxa"/>
          </w:tcPr>
          <w:p w14:paraId="21EBDE34" w14:textId="77777777" w:rsidR="004825AE" w:rsidRPr="00CB683A" w:rsidRDefault="004825AE" w:rsidP="0088064F">
            <w:pPr>
              <w:ind w:right="-29"/>
              <w:jc w:val="center"/>
              <w:rPr>
                <w:noProof/>
                <w:sz w:val="18"/>
                <w:szCs w:val="18"/>
              </w:rPr>
            </w:pPr>
            <w:r w:rsidRPr="00CB683A">
              <w:rPr>
                <w:noProof/>
                <w:sz w:val="18"/>
              </w:rPr>
              <w:t>— Infrastruktura pro sdílení údajů</w:t>
            </w:r>
          </w:p>
        </w:tc>
        <w:tc>
          <w:tcPr>
            <w:tcW w:w="706" w:type="dxa"/>
          </w:tcPr>
          <w:p w14:paraId="70B8421C" w14:textId="77777777" w:rsidR="004825AE" w:rsidRPr="00CB683A" w:rsidRDefault="004825AE" w:rsidP="0088064F">
            <w:pPr>
              <w:ind w:right="-29"/>
              <w:jc w:val="center"/>
              <w:rPr>
                <w:noProof/>
                <w:sz w:val="18"/>
                <w:szCs w:val="18"/>
              </w:rPr>
            </w:pPr>
          </w:p>
        </w:tc>
        <w:tc>
          <w:tcPr>
            <w:tcW w:w="861" w:type="dxa"/>
            <w:vAlign w:val="center"/>
          </w:tcPr>
          <w:p w14:paraId="67CD287A" w14:textId="77777777" w:rsidR="004825AE" w:rsidRPr="00CB683A" w:rsidRDefault="004825AE" w:rsidP="0088064F">
            <w:pPr>
              <w:ind w:right="-29"/>
              <w:jc w:val="center"/>
              <w:rPr>
                <w:noProof/>
                <w:sz w:val="18"/>
                <w:szCs w:val="18"/>
              </w:rPr>
            </w:pPr>
            <w:r w:rsidRPr="00CB683A">
              <w:rPr>
                <w:noProof/>
                <w:color w:val="000000"/>
                <w:sz w:val="18"/>
              </w:rPr>
              <w:t>0,235</w:t>
            </w:r>
          </w:p>
        </w:tc>
        <w:tc>
          <w:tcPr>
            <w:tcW w:w="336" w:type="dxa"/>
            <w:tcBorders>
              <w:right w:val="dashSmallGap" w:sz="4" w:space="0" w:color="auto"/>
            </w:tcBorders>
            <w:vAlign w:val="center"/>
          </w:tcPr>
          <w:p w14:paraId="4496B759" w14:textId="77777777" w:rsidR="004825AE" w:rsidRPr="00CB683A" w:rsidRDefault="004825AE" w:rsidP="0088064F">
            <w:pPr>
              <w:ind w:right="-29"/>
              <w:jc w:val="center"/>
              <w:rPr>
                <w:noProof/>
                <w:sz w:val="18"/>
                <w:szCs w:val="18"/>
              </w:rPr>
            </w:pPr>
            <w:r w:rsidRPr="00CB683A">
              <w:rPr>
                <w:noProof/>
                <w:color w:val="000000"/>
                <w:sz w:val="18"/>
              </w:rPr>
              <w:t xml:space="preserve"> </w:t>
            </w:r>
          </w:p>
        </w:tc>
        <w:tc>
          <w:tcPr>
            <w:tcW w:w="2014" w:type="dxa"/>
            <w:tcBorders>
              <w:left w:val="dashSmallGap" w:sz="4" w:space="0" w:color="auto"/>
            </w:tcBorders>
            <w:vAlign w:val="center"/>
          </w:tcPr>
          <w:p w14:paraId="6504A1CE" w14:textId="77777777" w:rsidR="004825AE" w:rsidRPr="00CB683A" w:rsidRDefault="004825AE" w:rsidP="0088064F">
            <w:pPr>
              <w:ind w:right="-29"/>
              <w:jc w:val="center"/>
              <w:rPr>
                <w:noProof/>
                <w:sz w:val="18"/>
                <w:szCs w:val="18"/>
              </w:rPr>
            </w:pPr>
            <w:r w:rsidRPr="00CB683A">
              <w:rPr>
                <w:noProof/>
                <w:color w:val="000000"/>
                <w:sz w:val="18"/>
              </w:rPr>
              <w:t>0,700</w:t>
            </w:r>
          </w:p>
        </w:tc>
        <w:tc>
          <w:tcPr>
            <w:tcW w:w="396" w:type="dxa"/>
            <w:tcBorders>
              <w:right w:val="dashSmallGap" w:sz="4" w:space="0" w:color="auto"/>
            </w:tcBorders>
            <w:vAlign w:val="center"/>
          </w:tcPr>
          <w:p w14:paraId="7DC038D2" w14:textId="77777777" w:rsidR="004825AE" w:rsidRPr="00CB683A" w:rsidRDefault="004825AE" w:rsidP="0088064F">
            <w:pPr>
              <w:ind w:right="-29"/>
              <w:jc w:val="center"/>
              <w:rPr>
                <w:noProof/>
                <w:sz w:val="18"/>
                <w:szCs w:val="18"/>
              </w:rPr>
            </w:pPr>
            <w:r w:rsidRPr="00CB683A">
              <w:rPr>
                <w:noProof/>
                <w:color w:val="000000"/>
                <w:sz w:val="18"/>
              </w:rPr>
              <w:t xml:space="preserve"> </w:t>
            </w:r>
          </w:p>
        </w:tc>
        <w:tc>
          <w:tcPr>
            <w:tcW w:w="1954" w:type="dxa"/>
            <w:tcBorders>
              <w:left w:val="dashSmallGap" w:sz="4" w:space="0" w:color="auto"/>
            </w:tcBorders>
            <w:vAlign w:val="center"/>
          </w:tcPr>
          <w:p w14:paraId="5250BA16" w14:textId="77777777" w:rsidR="004825AE" w:rsidRPr="00CB683A" w:rsidRDefault="004825AE" w:rsidP="0088064F">
            <w:pPr>
              <w:ind w:right="-29"/>
              <w:jc w:val="center"/>
              <w:rPr>
                <w:noProof/>
                <w:sz w:val="18"/>
                <w:szCs w:val="18"/>
              </w:rPr>
            </w:pPr>
            <w:r w:rsidRPr="00CB683A">
              <w:rPr>
                <w:noProof/>
                <w:color w:val="000000"/>
                <w:sz w:val="18"/>
              </w:rPr>
              <w:t>0,002</w:t>
            </w:r>
          </w:p>
        </w:tc>
        <w:tc>
          <w:tcPr>
            <w:tcW w:w="455" w:type="dxa"/>
            <w:tcBorders>
              <w:right w:val="dashSmallGap" w:sz="4" w:space="0" w:color="auto"/>
            </w:tcBorders>
            <w:vAlign w:val="center"/>
          </w:tcPr>
          <w:p w14:paraId="7DFFCA1C" w14:textId="77777777" w:rsidR="004825AE" w:rsidRPr="00CB683A" w:rsidRDefault="004825AE" w:rsidP="0088064F">
            <w:pPr>
              <w:ind w:right="-29"/>
              <w:jc w:val="center"/>
              <w:rPr>
                <w:noProof/>
                <w:sz w:val="18"/>
                <w:szCs w:val="18"/>
              </w:rPr>
            </w:pPr>
            <w:r w:rsidRPr="00CB683A">
              <w:rPr>
                <w:noProof/>
                <w:color w:val="000000"/>
                <w:sz w:val="18"/>
              </w:rPr>
              <w:t xml:space="preserve"> </w:t>
            </w:r>
          </w:p>
        </w:tc>
        <w:tc>
          <w:tcPr>
            <w:tcW w:w="1895" w:type="dxa"/>
            <w:tcBorders>
              <w:left w:val="dashSmallGap" w:sz="4" w:space="0" w:color="auto"/>
            </w:tcBorders>
            <w:vAlign w:val="center"/>
          </w:tcPr>
          <w:p w14:paraId="58F9987E" w14:textId="77777777" w:rsidR="004825AE" w:rsidRPr="00CB683A" w:rsidRDefault="004825AE" w:rsidP="0088064F">
            <w:pPr>
              <w:ind w:right="-29"/>
              <w:jc w:val="center"/>
              <w:rPr>
                <w:noProof/>
                <w:sz w:val="18"/>
                <w:szCs w:val="18"/>
              </w:rPr>
            </w:pPr>
            <w:r w:rsidRPr="00CB683A">
              <w:rPr>
                <w:noProof/>
                <w:color w:val="000000"/>
                <w:sz w:val="18"/>
              </w:rPr>
              <w:t>0,002</w:t>
            </w:r>
          </w:p>
        </w:tc>
        <w:tc>
          <w:tcPr>
            <w:tcW w:w="657" w:type="dxa"/>
            <w:vAlign w:val="center"/>
          </w:tcPr>
          <w:p w14:paraId="7A5C1195" w14:textId="77777777" w:rsidR="004825AE" w:rsidRPr="00CB683A" w:rsidRDefault="004825AE" w:rsidP="0088064F">
            <w:pPr>
              <w:ind w:right="-29"/>
              <w:jc w:val="center"/>
              <w:rPr>
                <w:noProof/>
                <w:sz w:val="18"/>
                <w:szCs w:val="18"/>
              </w:rPr>
            </w:pPr>
            <w:r w:rsidRPr="00CB683A">
              <w:rPr>
                <w:noProof/>
                <w:color w:val="000000"/>
                <w:sz w:val="18"/>
              </w:rPr>
              <w:t xml:space="preserve"> </w:t>
            </w:r>
          </w:p>
        </w:tc>
        <w:tc>
          <w:tcPr>
            <w:tcW w:w="1694" w:type="dxa"/>
            <w:vAlign w:val="center"/>
          </w:tcPr>
          <w:p w14:paraId="391B6BFA" w14:textId="77777777" w:rsidR="004825AE" w:rsidRPr="00CB683A" w:rsidRDefault="004825AE" w:rsidP="0088064F">
            <w:pPr>
              <w:ind w:right="-29"/>
              <w:jc w:val="center"/>
              <w:rPr>
                <w:noProof/>
                <w:sz w:val="18"/>
                <w:szCs w:val="18"/>
              </w:rPr>
            </w:pPr>
            <w:r w:rsidRPr="00CB683A">
              <w:rPr>
                <w:noProof/>
                <w:color w:val="000000"/>
                <w:sz w:val="18"/>
              </w:rPr>
              <w:t>0,704</w:t>
            </w:r>
          </w:p>
        </w:tc>
      </w:tr>
      <w:tr w:rsidR="004825AE" w:rsidRPr="00CB683A" w14:paraId="7A8839D2" w14:textId="77777777" w:rsidTr="0088064F">
        <w:trPr>
          <w:trHeight w:val="77"/>
          <w:jc w:val="center"/>
        </w:trPr>
        <w:tc>
          <w:tcPr>
            <w:tcW w:w="4365" w:type="dxa"/>
            <w:gridSpan w:val="3"/>
            <w:tcBorders>
              <w:bottom w:val="single" w:sz="4" w:space="0" w:color="auto"/>
            </w:tcBorders>
            <w:vAlign w:val="center"/>
          </w:tcPr>
          <w:p w14:paraId="5DF5B683" w14:textId="77777777" w:rsidR="004825AE" w:rsidRPr="00CB683A" w:rsidRDefault="004825AE" w:rsidP="0088064F">
            <w:pPr>
              <w:ind w:right="-29"/>
              <w:jc w:val="center"/>
              <w:rPr>
                <w:noProof/>
                <w:sz w:val="18"/>
                <w:szCs w:val="18"/>
              </w:rPr>
            </w:pPr>
            <w:r w:rsidRPr="00CB683A">
              <w:rPr>
                <w:noProof/>
                <w:sz w:val="18"/>
              </w:rPr>
              <w:t>Mezisoučet za specifický cíl č. 1</w:t>
            </w:r>
          </w:p>
        </w:tc>
        <w:tc>
          <w:tcPr>
            <w:tcW w:w="336" w:type="dxa"/>
            <w:tcBorders>
              <w:bottom w:val="single" w:sz="4" w:space="0" w:color="auto"/>
            </w:tcBorders>
          </w:tcPr>
          <w:p w14:paraId="3667B467" w14:textId="77777777" w:rsidR="004825AE" w:rsidRPr="00CB683A" w:rsidRDefault="004825AE" w:rsidP="0088064F">
            <w:pPr>
              <w:ind w:right="-29"/>
              <w:jc w:val="center"/>
              <w:rPr>
                <w:noProof/>
                <w:sz w:val="18"/>
                <w:szCs w:val="18"/>
              </w:rPr>
            </w:pPr>
          </w:p>
        </w:tc>
        <w:tc>
          <w:tcPr>
            <w:tcW w:w="2014" w:type="dxa"/>
            <w:tcBorders>
              <w:bottom w:val="single" w:sz="4" w:space="0" w:color="auto"/>
            </w:tcBorders>
            <w:vAlign w:val="center"/>
          </w:tcPr>
          <w:p w14:paraId="4380B413" w14:textId="77777777" w:rsidR="004825AE" w:rsidRPr="00CB683A" w:rsidRDefault="004825AE" w:rsidP="0088064F">
            <w:pPr>
              <w:ind w:right="-29"/>
              <w:jc w:val="center"/>
              <w:rPr>
                <w:noProof/>
                <w:sz w:val="18"/>
                <w:szCs w:val="18"/>
              </w:rPr>
            </w:pPr>
            <w:r w:rsidRPr="00CB683A">
              <w:rPr>
                <w:noProof/>
                <w:sz w:val="18"/>
              </w:rPr>
              <w:t>1,413</w:t>
            </w:r>
          </w:p>
        </w:tc>
        <w:tc>
          <w:tcPr>
            <w:tcW w:w="396" w:type="dxa"/>
            <w:tcBorders>
              <w:bottom w:val="single" w:sz="4" w:space="0" w:color="auto"/>
            </w:tcBorders>
            <w:vAlign w:val="center"/>
          </w:tcPr>
          <w:p w14:paraId="3B8922E1" w14:textId="77777777" w:rsidR="004825AE" w:rsidRPr="00CB683A" w:rsidRDefault="004825AE" w:rsidP="0088064F">
            <w:pPr>
              <w:ind w:right="-29"/>
              <w:jc w:val="center"/>
              <w:rPr>
                <w:noProof/>
                <w:sz w:val="18"/>
                <w:szCs w:val="18"/>
              </w:rPr>
            </w:pPr>
          </w:p>
        </w:tc>
        <w:tc>
          <w:tcPr>
            <w:tcW w:w="1954" w:type="dxa"/>
            <w:tcBorders>
              <w:bottom w:val="single" w:sz="4" w:space="0" w:color="auto"/>
            </w:tcBorders>
            <w:vAlign w:val="center"/>
          </w:tcPr>
          <w:p w14:paraId="170BF3BF" w14:textId="77777777" w:rsidR="004825AE" w:rsidRPr="00CB683A" w:rsidRDefault="004825AE" w:rsidP="0088064F">
            <w:pPr>
              <w:ind w:right="-29"/>
              <w:jc w:val="center"/>
              <w:rPr>
                <w:noProof/>
                <w:sz w:val="18"/>
                <w:szCs w:val="18"/>
              </w:rPr>
            </w:pPr>
            <w:r w:rsidRPr="00CB683A">
              <w:rPr>
                <w:noProof/>
                <w:sz w:val="18"/>
              </w:rPr>
              <w:t>0,715</w:t>
            </w:r>
          </w:p>
        </w:tc>
        <w:tc>
          <w:tcPr>
            <w:tcW w:w="455" w:type="dxa"/>
            <w:tcBorders>
              <w:bottom w:val="single" w:sz="4" w:space="0" w:color="auto"/>
            </w:tcBorders>
            <w:vAlign w:val="center"/>
          </w:tcPr>
          <w:p w14:paraId="4092B057" w14:textId="77777777" w:rsidR="004825AE" w:rsidRPr="00CB683A" w:rsidRDefault="004825AE" w:rsidP="0088064F">
            <w:pPr>
              <w:ind w:right="-29"/>
              <w:jc w:val="center"/>
              <w:rPr>
                <w:noProof/>
                <w:sz w:val="18"/>
                <w:szCs w:val="18"/>
              </w:rPr>
            </w:pPr>
          </w:p>
        </w:tc>
        <w:tc>
          <w:tcPr>
            <w:tcW w:w="1895" w:type="dxa"/>
            <w:tcBorders>
              <w:bottom w:val="single" w:sz="4" w:space="0" w:color="auto"/>
            </w:tcBorders>
            <w:vAlign w:val="center"/>
          </w:tcPr>
          <w:p w14:paraId="5683DE28" w14:textId="77777777" w:rsidR="004825AE" w:rsidRPr="00CB683A" w:rsidRDefault="004825AE" w:rsidP="0088064F">
            <w:pPr>
              <w:ind w:right="-29"/>
              <w:jc w:val="center"/>
              <w:rPr>
                <w:noProof/>
                <w:sz w:val="18"/>
                <w:szCs w:val="18"/>
              </w:rPr>
            </w:pPr>
            <w:r w:rsidRPr="00CB683A">
              <w:rPr>
                <w:noProof/>
                <w:sz w:val="18"/>
              </w:rPr>
              <w:t>0,203</w:t>
            </w:r>
          </w:p>
        </w:tc>
        <w:tc>
          <w:tcPr>
            <w:tcW w:w="657" w:type="dxa"/>
            <w:tcBorders>
              <w:bottom w:val="single" w:sz="4" w:space="0" w:color="auto"/>
            </w:tcBorders>
            <w:vAlign w:val="center"/>
          </w:tcPr>
          <w:p w14:paraId="1BEE9B98" w14:textId="77777777" w:rsidR="004825AE" w:rsidRPr="00CB683A" w:rsidRDefault="004825AE" w:rsidP="0088064F">
            <w:pPr>
              <w:ind w:right="-29"/>
              <w:jc w:val="center"/>
              <w:rPr>
                <w:noProof/>
                <w:sz w:val="18"/>
                <w:szCs w:val="18"/>
              </w:rPr>
            </w:pPr>
            <w:r w:rsidRPr="00CB683A">
              <w:rPr>
                <w:noProof/>
                <w:color w:val="000000"/>
                <w:sz w:val="18"/>
              </w:rPr>
              <w:t xml:space="preserve"> </w:t>
            </w:r>
          </w:p>
        </w:tc>
        <w:tc>
          <w:tcPr>
            <w:tcW w:w="1694" w:type="dxa"/>
            <w:tcBorders>
              <w:bottom w:val="single" w:sz="4" w:space="0" w:color="auto"/>
            </w:tcBorders>
            <w:vAlign w:val="center"/>
          </w:tcPr>
          <w:p w14:paraId="2BD3E1BF" w14:textId="77777777" w:rsidR="004825AE" w:rsidRPr="00CB683A" w:rsidRDefault="004825AE" w:rsidP="0088064F">
            <w:pPr>
              <w:ind w:right="-29"/>
              <w:jc w:val="center"/>
              <w:rPr>
                <w:noProof/>
                <w:sz w:val="18"/>
                <w:szCs w:val="18"/>
              </w:rPr>
            </w:pPr>
            <w:r w:rsidRPr="00CB683A">
              <w:rPr>
                <w:noProof/>
                <w:color w:val="000000"/>
                <w:sz w:val="18"/>
              </w:rPr>
              <w:t>2,331</w:t>
            </w:r>
          </w:p>
        </w:tc>
      </w:tr>
      <w:tr w:rsidR="004825AE" w:rsidRPr="00CB683A" w14:paraId="664F1F8A" w14:textId="77777777" w:rsidTr="0088064F">
        <w:trPr>
          <w:jc w:val="center"/>
        </w:trPr>
        <w:tc>
          <w:tcPr>
            <w:tcW w:w="4365" w:type="dxa"/>
            <w:gridSpan w:val="3"/>
            <w:vAlign w:val="center"/>
          </w:tcPr>
          <w:p w14:paraId="571F1A89" w14:textId="77777777" w:rsidR="004825AE" w:rsidRPr="00CB683A" w:rsidRDefault="004825AE" w:rsidP="0088064F">
            <w:pPr>
              <w:spacing w:before="60" w:after="60"/>
              <w:ind w:right="-29"/>
              <w:jc w:val="center"/>
              <w:rPr>
                <w:noProof/>
                <w:sz w:val="18"/>
                <w:szCs w:val="18"/>
              </w:rPr>
            </w:pPr>
            <w:r w:rsidRPr="00CB683A">
              <w:rPr>
                <w:noProof/>
                <w:sz w:val="18"/>
              </w:rPr>
              <w:t>SPECIFICKÝ CÍL č. 2</w:t>
            </w:r>
          </w:p>
          <w:p w14:paraId="5F49CD50" w14:textId="77777777" w:rsidR="004825AE" w:rsidRPr="00CB683A" w:rsidRDefault="004825AE" w:rsidP="0088064F">
            <w:pPr>
              <w:spacing w:before="60" w:after="60"/>
              <w:ind w:right="-29"/>
              <w:jc w:val="center"/>
              <w:rPr>
                <w:noProof/>
                <w:sz w:val="18"/>
                <w:szCs w:val="18"/>
              </w:rPr>
            </w:pPr>
          </w:p>
        </w:tc>
        <w:tc>
          <w:tcPr>
            <w:tcW w:w="9401" w:type="dxa"/>
            <w:gridSpan w:val="8"/>
            <w:tcBorders>
              <w:right w:val="single" w:sz="4" w:space="0" w:color="auto"/>
            </w:tcBorders>
            <w:vAlign w:val="center"/>
          </w:tcPr>
          <w:p w14:paraId="2D566435" w14:textId="77777777" w:rsidR="004825AE" w:rsidRPr="00CB683A" w:rsidRDefault="004825AE" w:rsidP="0088064F">
            <w:pPr>
              <w:spacing w:before="60" w:after="60"/>
              <w:ind w:right="-29"/>
              <w:jc w:val="center"/>
              <w:rPr>
                <w:noProof/>
                <w:sz w:val="18"/>
                <w:szCs w:val="18"/>
              </w:rPr>
            </w:pPr>
            <w:r w:rsidRPr="00CB683A">
              <w:rPr>
                <w:noProof/>
                <w:sz w:val="18"/>
              </w:rPr>
              <w:t>Zajištění včasných a četných statistik v souladu s potřebami uživatelů</w:t>
            </w:r>
          </w:p>
        </w:tc>
      </w:tr>
      <w:tr w:rsidR="004825AE" w:rsidRPr="00CB683A" w14:paraId="1543A0B8" w14:textId="77777777" w:rsidTr="0088064F">
        <w:trPr>
          <w:trHeight w:val="369"/>
          <w:jc w:val="center"/>
        </w:trPr>
        <w:tc>
          <w:tcPr>
            <w:tcW w:w="2798" w:type="dxa"/>
          </w:tcPr>
          <w:p w14:paraId="0479EC9E" w14:textId="77777777" w:rsidR="004825AE" w:rsidRPr="00CB683A" w:rsidRDefault="004825AE" w:rsidP="0088064F">
            <w:pPr>
              <w:ind w:right="-29"/>
              <w:jc w:val="center"/>
              <w:rPr>
                <w:noProof/>
                <w:sz w:val="18"/>
                <w:szCs w:val="18"/>
              </w:rPr>
            </w:pPr>
            <w:r w:rsidRPr="00CB683A">
              <w:rPr>
                <w:noProof/>
                <w:sz w:val="18"/>
              </w:rPr>
              <w:t>— Statistika</w:t>
            </w:r>
          </w:p>
        </w:tc>
        <w:tc>
          <w:tcPr>
            <w:tcW w:w="706" w:type="dxa"/>
          </w:tcPr>
          <w:p w14:paraId="54772A10" w14:textId="77777777" w:rsidR="004825AE" w:rsidRPr="00CB683A" w:rsidRDefault="004825AE" w:rsidP="0088064F">
            <w:pPr>
              <w:ind w:right="-29"/>
              <w:jc w:val="center"/>
              <w:rPr>
                <w:noProof/>
                <w:sz w:val="18"/>
                <w:szCs w:val="18"/>
              </w:rPr>
            </w:pPr>
          </w:p>
        </w:tc>
        <w:tc>
          <w:tcPr>
            <w:tcW w:w="861" w:type="dxa"/>
            <w:vAlign w:val="center"/>
          </w:tcPr>
          <w:p w14:paraId="7A957848" w14:textId="77777777" w:rsidR="004825AE" w:rsidRPr="00CB683A" w:rsidRDefault="004825AE" w:rsidP="0088064F">
            <w:pPr>
              <w:ind w:right="-29"/>
              <w:jc w:val="center"/>
              <w:rPr>
                <w:noProof/>
                <w:sz w:val="18"/>
                <w:szCs w:val="18"/>
              </w:rPr>
            </w:pPr>
            <w:r w:rsidRPr="00CB683A">
              <w:rPr>
                <w:noProof/>
                <w:color w:val="000000"/>
                <w:sz w:val="18"/>
              </w:rPr>
              <w:t>0,542</w:t>
            </w:r>
          </w:p>
        </w:tc>
        <w:tc>
          <w:tcPr>
            <w:tcW w:w="336" w:type="dxa"/>
            <w:tcBorders>
              <w:top w:val="single" w:sz="4" w:space="0" w:color="auto"/>
            </w:tcBorders>
            <w:vAlign w:val="center"/>
          </w:tcPr>
          <w:p w14:paraId="53346581" w14:textId="77777777" w:rsidR="004825AE" w:rsidRPr="00CB683A" w:rsidRDefault="004825AE" w:rsidP="0088064F">
            <w:pPr>
              <w:ind w:right="-29"/>
              <w:jc w:val="center"/>
              <w:rPr>
                <w:noProof/>
                <w:sz w:val="18"/>
                <w:szCs w:val="18"/>
              </w:rPr>
            </w:pPr>
            <w:r w:rsidRPr="00CB683A">
              <w:rPr>
                <w:noProof/>
                <w:color w:val="000000"/>
                <w:sz w:val="18"/>
              </w:rPr>
              <w:t xml:space="preserve"> </w:t>
            </w:r>
          </w:p>
        </w:tc>
        <w:tc>
          <w:tcPr>
            <w:tcW w:w="2014" w:type="dxa"/>
            <w:tcBorders>
              <w:top w:val="single" w:sz="4" w:space="0" w:color="auto"/>
            </w:tcBorders>
            <w:vAlign w:val="center"/>
          </w:tcPr>
          <w:p w14:paraId="1C26EFBD" w14:textId="77777777" w:rsidR="004825AE" w:rsidRPr="00CB683A" w:rsidRDefault="004825AE" w:rsidP="0088064F">
            <w:pPr>
              <w:ind w:right="-29"/>
              <w:jc w:val="center"/>
              <w:rPr>
                <w:noProof/>
                <w:sz w:val="18"/>
                <w:szCs w:val="18"/>
              </w:rPr>
            </w:pPr>
            <w:r w:rsidRPr="00CB683A">
              <w:rPr>
                <w:noProof/>
                <w:sz w:val="18"/>
              </w:rPr>
              <w:t>0,713</w:t>
            </w:r>
          </w:p>
        </w:tc>
        <w:tc>
          <w:tcPr>
            <w:tcW w:w="396" w:type="dxa"/>
            <w:tcBorders>
              <w:top w:val="single" w:sz="4" w:space="0" w:color="auto"/>
            </w:tcBorders>
            <w:vAlign w:val="center"/>
          </w:tcPr>
          <w:p w14:paraId="1CC7F264" w14:textId="77777777" w:rsidR="004825AE" w:rsidRPr="00CB683A" w:rsidRDefault="004825AE" w:rsidP="0088064F">
            <w:pPr>
              <w:ind w:right="-29"/>
              <w:jc w:val="center"/>
              <w:rPr>
                <w:noProof/>
                <w:sz w:val="18"/>
                <w:szCs w:val="18"/>
              </w:rPr>
            </w:pPr>
          </w:p>
        </w:tc>
        <w:tc>
          <w:tcPr>
            <w:tcW w:w="1954" w:type="dxa"/>
            <w:tcBorders>
              <w:top w:val="single" w:sz="4" w:space="0" w:color="auto"/>
            </w:tcBorders>
            <w:vAlign w:val="center"/>
          </w:tcPr>
          <w:p w14:paraId="3DAA99CE" w14:textId="77777777" w:rsidR="004825AE" w:rsidRPr="00CB683A" w:rsidRDefault="004825AE" w:rsidP="0088064F">
            <w:pPr>
              <w:ind w:right="-29"/>
              <w:jc w:val="center"/>
              <w:rPr>
                <w:noProof/>
                <w:sz w:val="18"/>
                <w:szCs w:val="18"/>
              </w:rPr>
            </w:pPr>
            <w:r w:rsidRPr="00CB683A">
              <w:rPr>
                <w:noProof/>
                <w:sz w:val="18"/>
              </w:rPr>
              <w:t>0,713</w:t>
            </w:r>
          </w:p>
        </w:tc>
        <w:tc>
          <w:tcPr>
            <w:tcW w:w="455" w:type="dxa"/>
            <w:tcBorders>
              <w:top w:val="single" w:sz="4" w:space="0" w:color="auto"/>
            </w:tcBorders>
            <w:vAlign w:val="center"/>
          </w:tcPr>
          <w:p w14:paraId="54DB4582" w14:textId="77777777" w:rsidR="004825AE" w:rsidRPr="00CB683A" w:rsidRDefault="004825AE" w:rsidP="0088064F">
            <w:pPr>
              <w:ind w:right="-29"/>
              <w:jc w:val="center"/>
              <w:rPr>
                <w:noProof/>
                <w:sz w:val="18"/>
                <w:szCs w:val="18"/>
              </w:rPr>
            </w:pPr>
          </w:p>
        </w:tc>
        <w:tc>
          <w:tcPr>
            <w:tcW w:w="1895" w:type="dxa"/>
            <w:tcBorders>
              <w:top w:val="single" w:sz="4" w:space="0" w:color="auto"/>
            </w:tcBorders>
            <w:vAlign w:val="center"/>
          </w:tcPr>
          <w:p w14:paraId="7B06659D" w14:textId="77777777" w:rsidR="004825AE" w:rsidRPr="00CB683A" w:rsidRDefault="004825AE" w:rsidP="0088064F">
            <w:pPr>
              <w:ind w:right="-29"/>
              <w:jc w:val="center"/>
              <w:rPr>
                <w:noProof/>
                <w:sz w:val="18"/>
                <w:szCs w:val="18"/>
              </w:rPr>
            </w:pPr>
            <w:r w:rsidRPr="00CB683A">
              <w:rPr>
                <w:noProof/>
                <w:sz w:val="18"/>
              </w:rPr>
              <w:t>0,201</w:t>
            </w:r>
          </w:p>
        </w:tc>
        <w:tc>
          <w:tcPr>
            <w:tcW w:w="657" w:type="dxa"/>
            <w:tcBorders>
              <w:top w:val="single" w:sz="4" w:space="0" w:color="auto"/>
            </w:tcBorders>
            <w:vAlign w:val="center"/>
          </w:tcPr>
          <w:p w14:paraId="3F752CA0" w14:textId="77777777" w:rsidR="004825AE" w:rsidRPr="00CB683A" w:rsidRDefault="004825AE" w:rsidP="0088064F">
            <w:pPr>
              <w:ind w:right="-29"/>
              <w:jc w:val="center"/>
              <w:rPr>
                <w:noProof/>
                <w:sz w:val="18"/>
                <w:szCs w:val="18"/>
              </w:rPr>
            </w:pPr>
            <w:r w:rsidRPr="00CB683A">
              <w:rPr>
                <w:noProof/>
                <w:color w:val="000000"/>
                <w:sz w:val="18"/>
              </w:rPr>
              <w:t xml:space="preserve"> </w:t>
            </w:r>
          </w:p>
        </w:tc>
        <w:tc>
          <w:tcPr>
            <w:tcW w:w="1694" w:type="dxa"/>
            <w:tcBorders>
              <w:top w:val="single" w:sz="4" w:space="0" w:color="auto"/>
            </w:tcBorders>
            <w:vAlign w:val="center"/>
          </w:tcPr>
          <w:p w14:paraId="0D3DC1E2" w14:textId="77777777" w:rsidR="004825AE" w:rsidRPr="00CB683A" w:rsidRDefault="004825AE" w:rsidP="0088064F">
            <w:pPr>
              <w:ind w:right="-29"/>
              <w:jc w:val="center"/>
              <w:rPr>
                <w:noProof/>
                <w:sz w:val="18"/>
                <w:szCs w:val="18"/>
              </w:rPr>
            </w:pPr>
            <w:r w:rsidRPr="00CB683A">
              <w:rPr>
                <w:noProof/>
                <w:color w:val="000000"/>
                <w:sz w:val="18"/>
              </w:rPr>
              <w:t>1,627</w:t>
            </w:r>
          </w:p>
        </w:tc>
      </w:tr>
      <w:tr w:rsidR="004825AE" w:rsidRPr="00CB683A" w14:paraId="6EF5CFB5" w14:textId="77777777" w:rsidTr="0088064F">
        <w:trPr>
          <w:jc w:val="center"/>
        </w:trPr>
        <w:tc>
          <w:tcPr>
            <w:tcW w:w="4365" w:type="dxa"/>
            <w:gridSpan w:val="3"/>
            <w:tcBorders>
              <w:bottom w:val="single" w:sz="4" w:space="0" w:color="auto"/>
            </w:tcBorders>
            <w:vAlign w:val="center"/>
          </w:tcPr>
          <w:p w14:paraId="5E796D5C" w14:textId="77777777" w:rsidR="004825AE" w:rsidRPr="00CB683A" w:rsidRDefault="004825AE" w:rsidP="0088064F">
            <w:pPr>
              <w:jc w:val="center"/>
              <w:rPr>
                <w:noProof/>
                <w:sz w:val="18"/>
                <w:szCs w:val="18"/>
              </w:rPr>
            </w:pPr>
            <w:r w:rsidRPr="00CB683A">
              <w:rPr>
                <w:noProof/>
                <w:sz w:val="18"/>
              </w:rPr>
              <w:t>Mezisoučet za specifický cíl č. 2</w:t>
            </w:r>
          </w:p>
        </w:tc>
        <w:tc>
          <w:tcPr>
            <w:tcW w:w="336" w:type="dxa"/>
            <w:tcBorders>
              <w:bottom w:val="single" w:sz="8" w:space="0" w:color="auto"/>
            </w:tcBorders>
          </w:tcPr>
          <w:p w14:paraId="73655D4D" w14:textId="77777777" w:rsidR="004825AE" w:rsidRPr="00CB683A" w:rsidRDefault="004825AE" w:rsidP="0088064F">
            <w:pPr>
              <w:ind w:right="-29"/>
              <w:jc w:val="center"/>
              <w:rPr>
                <w:noProof/>
                <w:sz w:val="18"/>
                <w:szCs w:val="18"/>
              </w:rPr>
            </w:pPr>
          </w:p>
        </w:tc>
        <w:tc>
          <w:tcPr>
            <w:tcW w:w="2014" w:type="dxa"/>
            <w:tcBorders>
              <w:bottom w:val="single" w:sz="8" w:space="0" w:color="auto"/>
            </w:tcBorders>
            <w:vAlign w:val="center"/>
          </w:tcPr>
          <w:p w14:paraId="12B94EFB" w14:textId="77777777" w:rsidR="004825AE" w:rsidRPr="00CB683A" w:rsidRDefault="004825AE" w:rsidP="0088064F">
            <w:pPr>
              <w:ind w:right="-29"/>
              <w:jc w:val="center"/>
              <w:rPr>
                <w:noProof/>
                <w:sz w:val="18"/>
                <w:szCs w:val="18"/>
              </w:rPr>
            </w:pPr>
            <w:r w:rsidRPr="00CB683A">
              <w:rPr>
                <w:noProof/>
                <w:sz w:val="18"/>
              </w:rPr>
              <w:t>0,713</w:t>
            </w:r>
          </w:p>
        </w:tc>
        <w:tc>
          <w:tcPr>
            <w:tcW w:w="396" w:type="dxa"/>
            <w:tcBorders>
              <w:bottom w:val="single" w:sz="8" w:space="0" w:color="auto"/>
            </w:tcBorders>
            <w:vAlign w:val="center"/>
          </w:tcPr>
          <w:p w14:paraId="6A17BE56" w14:textId="77777777" w:rsidR="004825AE" w:rsidRPr="00CB683A" w:rsidRDefault="004825AE" w:rsidP="0088064F">
            <w:pPr>
              <w:ind w:right="-29"/>
              <w:jc w:val="center"/>
              <w:rPr>
                <w:noProof/>
                <w:sz w:val="18"/>
                <w:szCs w:val="18"/>
              </w:rPr>
            </w:pPr>
          </w:p>
        </w:tc>
        <w:tc>
          <w:tcPr>
            <w:tcW w:w="1954" w:type="dxa"/>
            <w:tcBorders>
              <w:bottom w:val="single" w:sz="8" w:space="0" w:color="auto"/>
            </w:tcBorders>
            <w:vAlign w:val="center"/>
          </w:tcPr>
          <w:p w14:paraId="2BEDCA33" w14:textId="77777777" w:rsidR="004825AE" w:rsidRPr="00CB683A" w:rsidRDefault="004825AE" w:rsidP="0088064F">
            <w:pPr>
              <w:ind w:right="-29"/>
              <w:jc w:val="center"/>
              <w:rPr>
                <w:noProof/>
                <w:sz w:val="18"/>
                <w:szCs w:val="18"/>
              </w:rPr>
            </w:pPr>
            <w:r w:rsidRPr="00CB683A">
              <w:rPr>
                <w:noProof/>
                <w:sz w:val="18"/>
              </w:rPr>
              <w:t>0,713</w:t>
            </w:r>
          </w:p>
        </w:tc>
        <w:tc>
          <w:tcPr>
            <w:tcW w:w="455" w:type="dxa"/>
            <w:tcBorders>
              <w:bottom w:val="single" w:sz="8" w:space="0" w:color="auto"/>
            </w:tcBorders>
            <w:vAlign w:val="center"/>
          </w:tcPr>
          <w:p w14:paraId="5C72E203" w14:textId="77777777" w:rsidR="004825AE" w:rsidRPr="00CB683A" w:rsidRDefault="004825AE" w:rsidP="0088064F">
            <w:pPr>
              <w:ind w:right="-29"/>
              <w:jc w:val="center"/>
              <w:rPr>
                <w:noProof/>
                <w:sz w:val="18"/>
                <w:szCs w:val="18"/>
              </w:rPr>
            </w:pPr>
          </w:p>
        </w:tc>
        <w:tc>
          <w:tcPr>
            <w:tcW w:w="1895" w:type="dxa"/>
            <w:tcBorders>
              <w:bottom w:val="single" w:sz="8" w:space="0" w:color="auto"/>
            </w:tcBorders>
            <w:vAlign w:val="center"/>
          </w:tcPr>
          <w:p w14:paraId="3E5584FA" w14:textId="77777777" w:rsidR="004825AE" w:rsidRPr="00CB683A" w:rsidRDefault="004825AE" w:rsidP="0088064F">
            <w:pPr>
              <w:ind w:right="-29"/>
              <w:jc w:val="center"/>
              <w:rPr>
                <w:noProof/>
                <w:sz w:val="18"/>
                <w:szCs w:val="18"/>
              </w:rPr>
            </w:pPr>
            <w:r w:rsidRPr="00CB683A">
              <w:rPr>
                <w:noProof/>
                <w:sz w:val="18"/>
              </w:rPr>
              <w:t>0,201</w:t>
            </w:r>
          </w:p>
        </w:tc>
        <w:tc>
          <w:tcPr>
            <w:tcW w:w="657" w:type="dxa"/>
            <w:tcBorders>
              <w:bottom w:val="single" w:sz="8" w:space="0" w:color="auto"/>
            </w:tcBorders>
            <w:vAlign w:val="center"/>
          </w:tcPr>
          <w:p w14:paraId="71DB3645" w14:textId="77777777" w:rsidR="004825AE" w:rsidRPr="00CB683A" w:rsidRDefault="004825AE" w:rsidP="0088064F">
            <w:pPr>
              <w:ind w:right="-29"/>
              <w:jc w:val="center"/>
              <w:rPr>
                <w:noProof/>
                <w:sz w:val="18"/>
                <w:szCs w:val="18"/>
              </w:rPr>
            </w:pPr>
            <w:r w:rsidRPr="00CB683A">
              <w:rPr>
                <w:noProof/>
                <w:color w:val="000000"/>
                <w:sz w:val="18"/>
              </w:rPr>
              <w:t xml:space="preserve"> </w:t>
            </w:r>
          </w:p>
        </w:tc>
        <w:tc>
          <w:tcPr>
            <w:tcW w:w="1694" w:type="dxa"/>
            <w:tcBorders>
              <w:bottom w:val="single" w:sz="8" w:space="0" w:color="auto"/>
              <w:right w:val="single" w:sz="8" w:space="0" w:color="auto"/>
            </w:tcBorders>
            <w:vAlign w:val="center"/>
          </w:tcPr>
          <w:p w14:paraId="01BDF1E7" w14:textId="77777777" w:rsidR="004825AE" w:rsidRPr="00CB683A" w:rsidRDefault="004825AE" w:rsidP="0088064F">
            <w:pPr>
              <w:ind w:right="-29"/>
              <w:jc w:val="center"/>
              <w:rPr>
                <w:noProof/>
                <w:sz w:val="18"/>
                <w:szCs w:val="18"/>
              </w:rPr>
            </w:pPr>
            <w:r w:rsidRPr="00CB683A">
              <w:rPr>
                <w:noProof/>
                <w:color w:val="000000"/>
                <w:sz w:val="18"/>
              </w:rPr>
              <w:t>1,627</w:t>
            </w:r>
          </w:p>
        </w:tc>
      </w:tr>
      <w:tr w:rsidR="004825AE" w:rsidRPr="00CB683A" w14:paraId="1D006C00" w14:textId="77777777" w:rsidTr="0088064F">
        <w:trPr>
          <w:jc w:val="center"/>
        </w:trPr>
        <w:tc>
          <w:tcPr>
            <w:tcW w:w="4365" w:type="dxa"/>
            <w:gridSpan w:val="3"/>
            <w:vAlign w:val="center"/>
          </w:tcPr>
          <w:p w14:paraId="672E33B6" w14:textId="77777777" w:rsidR="004825AE" w:rsidRPr="00CB683A" w:rsidRDefault="004825AE" w:rsidP="0088064F">
            <w:pPr>
              <w:spacing w:before="60" w:after="60"/>
              <w:ind w:right="-29"/>
              <w:jc w:val="center"/>
              <w:rPr>
                <w:noProof/>
                <w:sz w:val="18"/>
                <w:szCs w:val="18"/>
              </w:rPr>
            </w:pPr>
            <w:r w:rsidRPr="00CB683A">
              <w:rPr>
                <w:noProof/>
                <w:sz w:val="18"/>
              </w:rPr>
              <w:t xml:space="preserve">SPECIFICKÝ CÍL č. 3: </w:t>
            </w:r>
          </w:p>
        </w:tc>
        <w:tc>
          <w:tcPr>
            <w:tcW w:w="9401" w:type="dxa"/>
            <w:gridSpan w:val="8"/>
            <w:tcBorders>
              <w:right w:val="single" w:sz="8" w:space="0" w:color="auto"/>
            </w:tcBorders>
            <w:vAlign w:val="center"/>
          </w:tcPr>
          <w:p w14:paraId="7282BFAE" w14:textId="77777777" w:rsidR="004825AE" w:rsidRPr="00CB683A" w:rsidRDefault="004825AE" w:rsidP="0088064F">
            <w:pPr>
              <w:spacing w:before="60" w:after="60"/>
              <w:ind w:right="-29"/>
              <w:jc w:val="center"/>
              <w:rPr>
                <w:noProof/>
                <w:sz w:val="18"/>
                <w:szCs w:val="18"/>
              </w:rPr>
            </w:pPr>
            <w:r w:rsidRPr="00CB683A">
              <w:rPr>
                <w:noProof/>
                <w:sz w:val="18"/>
              </w:rPr>
              <w:t>Poskytnutí statistik, které jsou dostatečně komplexní z hlediska příslušných témat a dostatečně podrobné z hlediska ukazatelů a členění</w:t>
            </w:r>
          </w:p>
        </w:tc>
      </w:tr>
      <w:tr w:rsidR="004825AE" w:rsidRPr="00CB683A" w14:paraId="2348FDF5" w14:textId="77777777" w:rsidTr="0088064F">
        <w:trPr>
          <w:trHeight w:val="369"/>
          <w:jc w:val="center"/>
        </w:trPr>
        <w:tc>
          <w:tcPr>
            <w:tcW w:w="2798" w:type="dxa"/>
          </w:tcPr>
          <w:p w14:paraId="343C0428" w14:textId="77777777" w:rsidR="004825AE" w:rsidRPr="00CB683A" w:rsidRDefault="004825AE" w:rsidP="0088064F">
            <w:pPr>
              <w:ind w:right="-29"/>
              <w:jc w:val="center"/>
              <w:rPr>
                <w:noProof/>
                <w:sz w:val="18"/>
                <w:szCs w:val="18"/>
              </w:rPr>
            </w:pPr>
            <w:r w:rsidRPr="00CB683A">
              <w:rPr>
                <w:noProof/>
                <w:sz w:val="18"/>
              </w:rPr>
              <w:t>— Statistika</w:t>
            </w:r>
          </w:p>
        </w:tc>
        <w:tc>
          <w:tcPr>
            <w:tcW w:w="706" w:type="dxa"/>
          </w:tcPr>
          <w:p w14:paraId="7D78494B" w14:textId="77777777" w:rsidR="004825AE" w:rsidRPr="00CB683A" w:rsidRDefault="004825AE" w:rsidP="0088064F">
            <w:pPr>
              <w:ind w:right="-29"/>
              <w:jc w:val="center"/>
              <w:rPr>
                <w:noProof/>
                <w:sz w:val="18"/>
                <w:szCs w:val="18"/>
              </w:rPr>
            </w:pPr>
          </w:p>
        </w:tc>
        <w:tc>
          <w:tcPr>
            <w:tcW w:w="861" w:type="dxa"/>
            <w:vAlign w:val="center"/>
          </w:tcPr>
          <w:p w14:paraId="0AA0CF7D" w14:textId="77777777" w:rsidR="004825AE" w:rsidRPr="00CB683A" w:rsidRDefault="004825AE" w:rsidP="0088064F">
            <w:pPr>
              <w:ind w:right="-29"/>
              <w:jc w:val="center"/>
              <w:rPr>
                <w:noProof/>
                <w:sz w:val="18"/>
                <w:szCs w:val="18"/>
              </w:rPr>
            </w:pPr>
            <w:r w:rsidRPr="00CB683A">
              <w:rPr>
                <w:noProof/>
                <w:color w:val="000000"/>
                <w:sz w:val="18"/>
              </w:rPr>
              <w:t>0,638</w:t>
            </w:r>
          </w:p>
        </w:tc>
        <w:tc>
          <w:tcPr>
            <w:tcW w:w="336" w:type="dxa"/>
            <w:vAlign w:val="center"/>
          </w:tcPr>
          <w:p w14:paraId="5644B105" w14:textId="77777777" w:rsidR="004825AE" w:rsidRPr="00CB683A" w:rsidRDefault="004825AE" w:rsidP="0088064F">
            <w:pPr>
              <w:ind w:right="-29"/>
              <w:jc w:val="center"/>
              <w:rPr>
                <w:noProof/>
                <w:sz w:val="18"/>
                <w:szCs w:val="18"/>
              </w:rPr>
            </w:pPr>
            <w:r w:rsidRPr="00CB683A">
              <w:rPr>
                <w:noProof/>
                <w:color w:val="000000"/>
                <w:sz w:val="18"/>
              </w:rPr>
              <w:t xml:space="preserve"> </w:t>
            </w:r>
          </w:p>
        </w:tc>
        <w:tc>
          <w:tcPr>
            <w:tcW w:w="2014" w:type="dxa"/>
            <w:vAlign w:val="center"/>
          </w:tcPr>
          <w:p w14:paraId="2447F904" w14:textId="77777777" w:rsidR="004825AE" w:rsidRPr="00CB683A" w:rsidRDefault="004825AE" w:rsidP="0088064F">
            <w:pPr>
              <w:ind w:right="-29"/>
              <w:jc w:val="center"/>
              <w:rPr>
                <w:noProof/>
                <w:sz w:val="18"/>
                <w:szCs w:val="18"/>
              </w:rPr>
            </w:pPr>
            <w:r w:rsidRPr="00CB683A">
              <w:rPr>
                <w:noProof/>
                <w:sz w:val="18"/>
              </w:rPr>
              <w:t>0,809</w:t>
            </w:r>
          </w:p>
        </w:tc>
        <w:tc>
          <w:tcPr>
            <w:tcW w:w="396" w:type="dxa"/>
            <w:vAlign w:val="center"/>
          </w:tcPr>
          <w:p w14:paraId="7828CD04" w14:textId="77777777" w:rsidR="004825AE" w:rsidRPr="00CB683A" w:rsidRDefault="004825AE" w:rsidP="0088064F">
            <w:pPr>
              <w:ind w:right="-29"/>
              <w:jc w:val="center"/>
              <w:rPr>
                <w:noProof/>
                <w:sz w:val="18"/>
                <w:szCs w:val="18"/>
              </w:rPr>
            </w:pPr>
          </w:p>
        </w:tc>
        <w:tc>
          <w:tcPr>
            <w:tcW w:w="1954" w:type="dxa"/>
            <w:vAlign w:val="center"/>
          </w:tcPr>
          <w:p w14:paraId="504E05FE" w14:textId="77777777" w:rsidR="004825AE" w:rsidRPr="00CB683A" w:rsidRDefault="004825AE" w:rsidP="0088064F">
            <w:pPr>
              <w:ind w:right="-29"/>
              <w:jc w:val="center"/>
              <w:rPr>
                <w:noProof/>
                <w:sz w:val="18"/>
                <w:szCs w:val="18"/>
              </w:rPr>
            </w:pPr>
            <w:r w:rsidRPr="00CB683A">
              <w:rPr>
                <w:noProof/>
                <w:sz w:val="18"/>
              </w:rPr>
              <w:t>0,809</w:t>
            </w:r>
          </w:p>
        </w:tc>
        <w:tc>
          <w:tcPr>
            <w:tcW w:w="455" w:type="dxa"/>
            <w:vAlign w:val="center"/>
          </w:tcPr>
          <w:p w14:paraId="5C48BEB5" w14:textId="77777777" w:rsidR="004825AE" w:rsidRPr="00CB683A" w:rsidRDefault="004825AE" w:rsidP="0088064F">
            <w:pPr>
              <w:ind w:right="-29"/>
              <w:jc w:val="center"/>
              <w:rPr>
                <w:noProof/>
                <w:sz w:val="18"/>
                <w:szCs w:val="18"/>
              </w:rPr>
            </w:pPr>
          </w:p>
        </w:tc>
        <w:tc>
          <w:tcPr>
            <w:tcW w:w="1895" w:type="dxa"/>
            <w:vAlign w:val="center"/>
          </w:tcPr>
          <w:p w14:paraId="6DC912FF" w14:textId="77777777" w:rsidR="004825AE" w:rsidRPr="00CB683A" w:rsidRDefault="004825AE" w:rsidP="0088064F">
            <w:pPr>
              <w:ind w:right="-29"/>
              <w:jc w:val="center"/>
              <w:rPr>
                <w:noProof/>
                <w:sz w:val="18"/>
                <w:szCs w:val="18"/>
              </w:rPr>
            </w:pPr>
            <w:r w:rsidRPr="00CB683A">
              <w:rPr>
                <w:noProof/>
                <w:sz w:val="18"/>
              </w:rPr>
              <w:t>0,297</w:t>
            </w:r>
          </w:p>
        </w:tc>
        <w:tc>
          <w:tcPr>
            <w:tcW w:w="657" w:type="dxa"/>
            <w:vAlign w:val="center"/>
          </w:tcPr>
          <w:p w14:paraId="55EABA65" w14:textId="77777777" w:rsidR="004825AE" w:rsidRPr="00CB683A" w:rsidRDefault="004825AE" w:rsidP="0088064F">
            <w:pPr>
              <w:ind w:right="-29"/>
              <w:jc w:val="center"/>
              <w:rPr>
                <w:noProof/>
                <w:sz w:val="18"/>
                <w:szCs w:val="18"/>
              </w:rPr>
            </w:pPr>
            <w:r w:rsidRPr="00CB683A">
              <w:rPr>
                <w:noProof/>
                <w:color w:val="000000"/>
                <w:sz w:val="18"/>
              </w:rPr>
              <w:t xml:space="preserve"> </w:t>
            </w:r>
          </w:p>
        </w:tc>
        <w:tc>
          <w:tcPr>
            <w:tcW w:w="1694" w:type="dxa"/>
            <w:vAlign w:val="center"/>
          </w:tcPr>
          <w:p w14:paraId="28FD94FA" w14:textId="77777777" w:rsidR="004825AE" w:rsidRPr="00CB683A" w:rsidRDefault="004825AE" w:rsidP="0088064F">
            <w:pPr>
              <w:ind w:right="-29"/>
              <w:jc w:val="center"/>
              <w:rPr>
                <w:noProof/>
                <w:sz w:val="18"/>
                <w:szCs w:val="18"/>
              </w:rPr>
            </w:pPr>
            <w:r w:rsidRPr="00CB683A">
              <w:rPr>
                <w:noProof/>
                <w:color w:val="000000"/>
                <w:sz w:val="18"/>
              </w:rPr>
              <w:t>1,915</w:t>
            </w:r>
          </w:p>
        </w:tc>
      </w:tr>
      <w:tr w:rsidR="004825AE" w:rsidRPr="00CB683A" w14:paraId="686376B2" w14:textId="77777777" w:rsidTr="0088064F">
        <w:trPr>
          <w:jc w:val="center"/>
        </w:trPr>
        <w:tc>
          <w:tcPr>
            <w:tcW w:w="4365" w:type="dxa"/>
            <w:gridSpan w:val="3"/>
            <w:tcBorders>
              <w:bottom w:val="single" w:sz="4" w:space="0" w:color="auto"/>
            </w:tcBorders>
            <w:vAlign w:val="center"/>
          </w:tcPr>
          <w:p w14:paraId="42437041" w14:textId="77777777" w:rsidR="004825AE" w:rsidRPr="00CB683A" w:rsidRDefault="004825AE" w:rsidP="0088064F">
            <w:pPr>
              <w:jc w:val="center"/>
              <w:rPr>
                <w:noProof/>
                <w:sz w:val="18"/>
                <w:szCs w:val="18"/>
              </w:rPr>
            </w:pPr>
            <w:r w:rsidRPr="00CB683A">
              <w:rPr>
                <w:noProof/>
                <w:sz w:val="18"/>
              </w:rPr>
              <w:t>Mezisoučet za specifický cíl č. 3</w:t>
            </w:r>
          </w:p>
        </w:tc>
        <w:tc>
          <w:tcPr>
            <w:tcW w:w="336" w:type="dxa"/>
            <w:tcBorders>
              <w:bottom w:val="single" w:sz="4" w:space="0" w:color="auto"/>
            </w:tcBorders>
          </w:tcPr>
          <w:p w14:paraId="303635B2" w14:textId="77777777" w:rsidR="004825AE" w:rsidRPr="00CB683A" w:rsidRDefault="004825AE" w:rsidP="0088064F">
            <w:pPr>
              <w:ind w:right="-29"/>
              <w:jc w:val="center"/>
              <w:rPr>
                <w:noProof/>
                <w:sz w:val="18"/>
                <w:szCs w:val="18"/>
              </w:rPr>
            </w:pPr>
          </w:p>
        </w:tc>
        <w:tc>
          <w:tcPr>
            <w:tcW w:w="2014" w:type="dxa"/>
            <w:tcBorders>
              <w:bottom w:val="single" w:sz="4" w:space="0" w:color="auto"/>
            </w:tcBorders>
            <w:vAlign w:val="center"/>
          </w:tcPr>
          <w:p w14:paraId="2AB6BD77" w14:textId="77777777" w:rsidR="004825AE" w:rsidRPr="00CB683A" w:rsidRDefault="004825AE" w:rsidP="0088064F">
            <w:pPr>
              <w:ind w:right="-29"/>
              <w:jc w:val="center"/>
              <w:rPr>
                <w:noProof/>
                <w:sz w:val="18"/>
                <w:szCs w:val="18"/>
              </w:rPr>
            </w:pPr>
            <w:r w:rsidRPr="00CB683A">
              <w:rPr>
                <w:noProof/>
                <w:sz w:val="18"/>
              </w:rPr>
              <w:t>0,809</w:t>
            </w:r>
          </w:p>
        </w:tc>
        <w:tc>
          <w:tcPr>
            <w:tcW w:w="396" w:type="dxa"/>
            <w:tcBorders>
              <w:bottom w:val="single" w:sz="4" w:space="0" w:color="auto"/>
            </w:tcBorders>
            <w:vAlign w:val="center"/>
          </w:tcPr>
          <w:p w14:paraId="3F8F42DD" w14:textId="77777777" w:rsidR="004825AE" w:rsidRPr="00CB683A" w:rsidRDefault="004825AE" w:rsidP="0088064F">
            <w:pPr>
              <w:ind w:right="-29"/>
              <w:jc w:val="center"/>
              <w:rPr>
                <w:noProof/>
                <w:sz w:val="18"/>
                <w:szCs w:val="18"/>
              </w:rPr>
            </w:pPr>
          </w:p>
        </w:tc>
        <w:tc>
          <w:tcPr>
            <w:tcW w:w="1954" w:type="dxa"/>
            <w:tcBorders>
              <w:bottom w:val="single" w:sz="4" w:space="0" w:color="auto"/>
            </w:tcBorders>
            <w:vAlign w:val="center"/>
          </w:tcPr>
          <w:p w14:paraId="760500CF" w14:textId="77777777" w:rsidR="004825AE" w:rsidRPr="00CB683A" w:rsidRDefault="004825AE" w:rsidP="0088064F">
            <w:pPr>
              <w:ind w:right="-29"/>
              <w:jc w:val="center"/>
              <w:rPr>
                <w:noProof/>
                <w:sz w:val="18"/>
                <w:szCs w:val="18"/>
              </w:rPr>
            </w:pPr>
            <w:r w:rsidRPr="00CB683A">
              <w:rPr>
                <w:noProof/>
                <w:sz w:val="18"/>
              </w:rPr>
              <w:t>0,809</w:t>
            </w:r>
          </w:p>
        </w:tc>
        <w:tc>
          <w:tcPr>
            <w:tcW w:w="455" w:type="dxa"/>
            <w:tcBorders>
              <w:bottom w:val="single" w:sz="4" w:space="0" w:color="auto"/>
            </w:tcBorders>
            <w:vAlign w:val="center"/>
          </w:tcPr>
          <w:p w14:paraId="38FCEDF3" w14:textId="77777777" w:rsidR="004825AE" w:rsidRPr="00CB683A" w:rsidRDefault="004825AE" w:rsidP="0088064F">
            <w:pPr>
              <w:ind w:right="-29"/>
              <w:jc w:val="center"/>
              <w:rPr>
                <w:noProof/>
                <w:sz w:val="18"/>
                <w:szCs w:val="18"/>
              </w:rPr>
            </w:pPr>
          </w:p>
        </w:tc>
        <w:tc>
          <w:tcPr>
            <w:tcW w:w="1895" w:type="dxa"/>
            <w:tcBorders>
              <w:bottom w:val="single" w:sz="4" w:space="0" w:color="auto"/>
            </w:tcBorders>
            <w:vAlign w:val="center"/>
          </w:tcPr>
          <w:p w14:paraId="5A415AB8" w14:textId="77777777" w:rsidR="004825AE" w:rsidRPr="00CB683A" w:rsidRDefault="004825AE" w:rsidP="0088064F">
            <w:pPr>
              <w:ind w:right="-29"/>
              <w:jc w:val="center"/>
              <w:rPr>
                <w:noProof/>
                <w:sz w:val="18"/>
                <w:szCs w:val="18"/>
              </w:rPr>
            </w:pPr>
            <w:r w:rsidRPr="00CB683A">
              <w:rPr>
                <w:noProof/>
                <w:sz w:val="18"/>
              </w:rPr>
              <w:t>0,297</w:t>
            </w:r>
          </w:p>
        </w:tc>
        <w:tc>
          <w:tcPr>
            <w:tcW w:w="657" w:type="dxa"/>
            <w:tcBorders>
              <w:bottom w:val="single" w:sz="4" w:space="0" w:color="auto"/>
            </w:tcBorders>
            <w:vAlign w:val="center"/>
          </w:tcPr>
          <w:p w14:paraId="18421DB6" w14:textId="77777777" w:rsidR="004825AE" w:rsidRPr="00CB683A" w:rsidRDefault="004825AE" w:rsidP="0088064F">
            <w:pPr>
              <w:ind w:right="-29"/>
              <w:jc w:val="center"/>
              <w:rPr>
                <w:noProof/>
                <w:sz w:val="18"/>
                <w:szCs w:val="18"/>
              </w:rPr>
            </w:pPr>
            <w:r w:rsidRPr="00CB683A">
              <w:rPr>
                <w:noProof/>
                <w:color w:val="000000"/>
                <w:sz w:val="18"/>
              </w:rPr>
              <w:t xml:space="preserve"> </w:t>
            </w:r>
          </w:p>
        </w:tc>
        <w:tc>
          <w:tcPr>
            <w:tcW w:w="1694" w:type="dxa"/>
            <w:tcBorders>
              <w:bottom w:val="single" w:sz="4" w:space="0" w:color="auto"/>
            </w:tcBorders>
            <w:vAlign w:val="center"/>
          </w:tcPr>
          <w:p w14:paraId="3B7A92EE" w14:textId="77777777" w:rsidR="004825AE" w:rsidRPr="00CB683A" w:rsidRDefault="004825AE" w:rsidP="0088064F">
            <w:pPr>
              <w:ind w:right="-29"/>
              <w:jc w:val="center"/>
              <w:rPr>
                <w:noProof/>
                <w:sz w:val="18"/>
                <w:szCs w:val="18"/>
              </w:rPr>
            </w:pPr>
            <w:r w:rsidRPr="00CB683A">
              <w:rPr>
                <w:noProof/>
                <w:color w:val="000000"/>
                <w:sz w:val="18"/>
              </w:rPr>
              <w:t>1,915</w:t>
            </w:r>
          </w:p>
        </w:tc>
      </w:tr>
      <w:tr w:rsidR="004825AE" w:rsidRPr="00CB683A" w14:paraId="7DDB7B3B" w14:textId="77777777" w:rsidTr="0088064F">
        <w:trPr>
          <w:jc w:val="center"/>
        </w:trPr>
        <w:tc>
          <w:tcPr>
            <w:tcW w:w="4365" w:type="dxa"/>
            <w:gridSpan w:val="3"/>
            <w:vAlign w:val="center"/>
          </w:tcPr>
          <w:p w14:paraId="4ACD7A62" w14:textId="77777777" w:rsidR="004825AE" w:rsidRPr="00CB683A" w:rsidRDefault="004825AE" w:rsidP="0088064F">
            <w:pPr>
              <w:spacing w:before="60" w:after="60"/>
              <w:ind w:right="-29"/>
              <w:jc w:val="center"/>
              <w:rPr>
                <w:noProof/>
                <w:sz w:val="18"/>
                <w:szCs w:val="18"/>
              </w:rPr>
            </w:pPr>
            <w:r w:rsidRPr="00CB683A">
              <w:rPr>
                <w:noProof/>
                <w:sz w:val="18"/>
              </w:rPr>
              <w:t xml:space="preserve">SPECIFICKÝ CÍL č. 4: </w:t>
            </w:r>
          </w:p>
        </w:tc>
        <w:tc>
          <w:tcPr>
            <w:tcW w:w="9401" w:type="dxa"/>
            <w:gridSpan w:val="8"/>
            <w:tcBorders>
              <w:right w:val="single" w:sz="4" w:space="0" w:color="auto"/>
            </w:tcBorders>
            <w:vAlign w:val="center"/>
          </w:tcPr>
          <w:p w14:paraId="47DCD4C6" w14:textId="0B6B186C" w:rsidR="004825AE" w:rsidRPr="00CB683A" w:rsidRDefault="004825AE" w:rsidP="0088064F">
            <w:pPr>
              <w:spacing w:before="60" w:after="60"/>
              <w:ind w:right="-29"/>
              <w:jc w:val="center"/>
              <w:rPr>
                <w:noProof/>
                <w:sz w:val="18"/>
                <w:szCs w:val="18"/>
              </w:rPr>
            </w:pPr>
            <w:r w:rsidRPr="00CB683A">
              <w:rPr>
                <w:noProof/>
                <w:sz w:val="18"/>
              </w:rPr>
              <w:t>Podpora právního rámce a rámce pro sběr</w:t>
            </w:r>
            <w:r w:rsidR="002D1C16">
              <w:rPr>
                <w:noProof/>
                <w:sz w:val="18"/>
              </w:rPr>
              <w:t xml:space="preserve"> </w:t>
            </w:r>
            <w:r w:rsidRPr="00CB683A">
              <w:rPr>
                <w:noProof/>
                <w:sz w:val="18"/>
              </w:rPr>
              <w:t>údajů, které jsou dostatečně pružné, aby bylo možné přizpůsobovat soubory údajů vyvíjejícím se potřebám politiky a příležitostem, které se objevují v souvislosti s novými zdroji</w:t>
            </w:r>
          </w:p>
        </w:tc>
      </w:tr>
      <w:tr w:rsidR="004825AE" w:rsidRPr="00CB683A" w14:paraId="0B9561D4" w14:textId="77777777" w:rsidTr="0088064F">
        <w:trPr>
          <w:trHeight w:hRule="exact" w:val="369"/>
          <w:jc w:val="center"/>
        </w:trPr>
        <w:tc>
          <w:tcPr>
            <w:tcW w:w="2798" w:type="dxa"/>
          </w:tcPr>
          <w:p w14:paraId="68137553" w14:textId="77777777" w:rsidR="004825AE" w:rsidRPr="00CB683A" w:rsidRDefault="004825AE" w:rsidP="0088064F">
            <w:pPr>
              <w:ind w:right="-29"/>
              <w:jc w:val="center"/>
              <w:rPr>
                <w:noProof/>
                <w:sz w:val="18"/>
                <w:szCs w:val="18"/>
              </w:rPr>
            </w:pPr>
            <w:r w:rsidRPr="00CB683A">
              <w:rPr>
                <w:noProof/>
                <w:sz w:val="18"/>
              </w:rPr>
              <w:t>— Pilotní studie</w:t>
            </w:r>
          </w:p>
        </w:tc>
        <w:tc>
          <w:tcPr>
            <w:tcW w:w="706" w:type="dxa"/>
          </w:tcPr>
          <w:p w14:paraId="4D88EAC3" w14:textId="77777777" w:rsidR="004825AE" w:rsidRPr="00CB683A" w:rsidRDefault="004825AE" w:rsidP="0088064F">
            <w:pPr>
              <w:ind w:right="-29"/>
              <w:jc w:val="center"/>
              <w:rPr>
                <w:noProof/>
                <w:sz w:val="18"/>
                <w:szCs w:val="18"/>
              </w:rPr>
            </w:pPr>
          </w:p>
        </w:tc>
        <w:tc>
          <w:tcPr>
            <w:tcW w:w="861" w:type="dxa"/>
            <w:vAlign w:val="center"/>
          </w:tcPr>
          <w:p w14:paraId="18A30D1D" w14:textId="77777777" w:rsidR="004825AE" w:rsidRPr="00CB683A" w:rsidRDefault="004825AE" w:rsidP="0088064F">
            <w:pPr>
              <w:ind w:right="-29"/>
              <w:jc w:val="center"/>
              <w:rPr>
                <w:noProof/>
                <w:sz w:val="18"/>
                <w:szCs w:val="18"/>
              </w:rPr>
            </w:pPr>
            <w:r w:rsidRPr="00CB683A">
              <w:rPr>
                <w:noProof/>
                <w:color w:val="000000"/>
                <w:sz w:val="18"/>
              </w:rPr>
              <w:t>0,288</w:t>
            </w:r>
          </w:p>
        </w:tc>
        <w:tc>
          <w:tcPr>
            <w:tcW w:w="336" w:type="dxa"/>
            <w:tcBorders>
              <w:top w:val="single" w:sz="4" w:space="0" w:color="auto"/>
            </w:tcBorders>
            <w:vAlign w:val="center"/>
          </w:tcPr>
          <w:p w14:paraId="423AD5F2" w14:textId="77777777" w:rsidR="004825AE" w:rsidRPr="00CB683A" w:rsidRDefault="004825AE" w:rsidP="0088064F">
            <w:pPr>
              <w:ind w:right="-29"/>
              <w:jc w:val="center"/>
              <w:rPr>
                <w:noProof/>
                <w:sz w:val="18"/>
                <w:szCs w:val="18"/>
              </w:rPr>
            </w:pPr>
            <w:r w:rsidRPr="00CB683A">
              <w:rPr>
                <w:noProof/>
                <w:color w:val="000000"/>
                <w:sz w:val="18"/>
              </w:rPr>
              <w:t xml:space="preserve"> </w:t>
            </w:r>
          </w:p>
        </w:tc>
        <w:tc>
          <w:tcPr>
            <w:tcW w:w="2014" w:type="dxa"/>
            <w:tcBorders>
              <w:top w:val="single" w:sz="4" w:space="0" w:color="auto"/>
            </w:tcBorders>
            <w:vAlign w:val="center"/>
          </w:tcPr>
          <w:p w14:paraId="662E7888" w14:textId="77777777" w:rsidR="004825AE" w:rsidRPr="00CB683A" w:rsidRDefault="004825AE" w:rsidP="0088064F">
            <w:pPr>
              <w:ind w:right="-29"/>
              <w:jc w:val="center"/>
              <w:rPr>
                <w:noProof/>
                <w:sz w:val="18"/>
                <w:szCs w:val="18"/>
              </w:rPr>
            </w:pPr>
            <w:r w:rsidRPr="00CB683A">
              <w:rPr>
                <w:noProof/>
                <w:color w:val="000000"/>
                <w:sz w:val="18"/>
              </w:rPr>
              <w:t>0,288</w:t>
            </w:r>
          </w:p>
        </w:tc>
        <w:tc>
          <w:tcPr>
            <w:tcW w:w="396" w:type="dxa"/>
            <w:tcBorders>
              <w:top w:val="single" w:sz="4" w:space="0" w:color="auto"/>
            </w:tcBorders>
            <w:vAlign w:val="center"/>
          </w:tcPr>
          <w:p w14:paraId="1FD2EE85" w14:textId="77777777" w:rsidR="004825AE" w:rsidRPr="00CB683A" w:rsidRDefault="004825AE" w:rsidP="0088064F">
            <w:pPr>
              <w:ind w:right="-29"/>
              <w:jc w:val="center"/>
              <w:rPr>
                <w:noProof/>
                <w:sz w:val="18"/>
                <w:szCs w:val="18"/>
              </w:rPr>
            </w:pPr>
            <w:r w:rsidRPr="00CB683A">
              <w:rPr>
                <w:noProof/>
                <w:color w:val="000000"/>
                <w:sz w:val="18"/>
              </w:rPr>
              <w:t xml:space="preserve"> </w:t>
            </w:r>
          </w:p>
        </w:tc>
        <w:tc>
          <w:tcPr>
            <w:tcW w:w="1954" w:type="dxa"/>
            <w:tcBorders>
              <w:top w:val="single" w:sz="4" w:space="0" w:color="auto"/>
            </w:tcBorders>
            <w:vAlign w:val="center"/>
          </w:tcPr>
          <w:p w14:paraId="7A153A7B" w14:textId="77777777" w:rsidR="004825AE" w:rsidRPr="00CB683A" w:rsidRDefault="004825AE" w:rsidP="0088064F">
            <w:pPr>
              <w:ind w:right="-29"/>
              <w:jc w:val="center"/>
              <w:rPr>
                <w:noProof/>
                <w:sz w:val="18"/>
                <w:szCs w:val="18"/>
              </w:rPr>
            </w:pPr>
            <w:r w:rsidRPr="00CB683A">
              <w:rPr>
                <w:noProof/>
                <w:color w:val="000000"/>
                <w:sz w:val="18"/>
              </w:rPr>
              <w:t>0,288</w:t>
            </w:r>
          </w:p>
        </w:tc>
        <w:tc>
          <w:tcPr>
            <w:tcW w:w="455" w:type="dxa"/>
            <w:tcBorders>
              <w:top w:val="single" w:sz="4" w:space="0" w:color="auto"/>
            </w:tcBorders>
            <w:vAlign w:val="center"/>
          </w:tcPr>
          <w:p w14:paraId="1B717C8B" w14:textId="77777777" w:rsidR="004825AE" w:rsidRPr="00CB683A" w:rsidRDefault="004825AE" w:rsidP="0088064F">
            <w:pPr>
              <w:ind w:right="-29"/>
              <w:jc w:val="center"/>
              <w:rPr>
                <w:noProof/>
                <w:sz w:val="18"/>
                <w:szCs w:val="18"/>
              </w:rPr>
            </w:pPr>
            <w:r w:rsidRPr="00CB683A">
              <w:rPr>
                <w:noProof/>
                <w:color w:val="000000"/>
                <w:sz w:val="18"/>
              </w:rPr>
              <w:t xml:space="preserve"> </w:t>
            </w:r>
          </w:p>
        </w:tc>
        <w:tc>
          <w:tcPr>
            <w:tcW w:w="1895" w:type="dxa"/>
            <w:tcBorders>
              <w:top w:val="single" w:sz="4" w:space="0" w:color="auto"/>
            </w:tcBorders>
            <w:vAlign w:val="center"/>
          </w:tcPr>
          <w:p w14:paraId="6BC39DB6" w14:textId="77777777" w:rsidR="004825AE" w:rsidRPr="00CB683A" w:rsidRDefault="004825AE" w:rsidP="0088064F">
            <w:pPr>
              <w:ind w:right="-29"/>
              <w:jc w:val="center"/>
              <w:rPr>
                <w:noProof/>
                <w:sz w:val="18"/>
                <w:szCs w:val="18"/>
              </w:rPr>
            </w:pPr>
            <w:r w:rsidRPr="00CB683A">
              <w:rPr>
                <w:noProof/>
                <w:color w:val="000000"/>
                <w:sz w:val="18"/>
              </w:rPr>
              <w:t>0,288</w:t>
            </w:r>
          </w:p>
        </w:tc>
        <w:tc>
          <w:tcPr>
            <w:tcW w:w="657" w:type="dxa"/>
            <w:tcBorders>
              <w:top w:val="single" w:sz="4" w:space="0" w:color="auto"/>
            </w:tcBorders>
            <w:vAlign w:val="center"/>
          </w:tcPr>
          <w:p w14:paraId="4A863851" w14:textId="77777777" w:rsidR="004825AE" w:rsidRPr="00CB683A" w:rsidRDefault="004825AE" w:rsidP="0088064F">
            <w:pPr>
              <w:ind w:right="-29"/>
              <w:jc w:val="center"/>
              <w:rPr>
                <w:noProof/>
                <w:sz w:val="18"/>
                <w:szCs w:val="18"/>
              </w:rPr>
            </w:pPr>
            <w:r w:rsidRPr="00CB683A">
              <w:rPr>
                <w:noProof/>
                <w:color w:val="000000"/>
                <w:sz w:val="18"/>
              </w:rPr>
              <w:t xml:space="preserve"> </w:t>
            </w:r>
          </w:p>
        </w:tc>
        <w:tc>
          <w:tcPr>
            <w:tcW w:w="1694" w:type="dxa"/>
            <w:tcBorders>
              <w:top w:val="single" w:sz="4" w:space="0" w:color="auto"/>
            </w:tcBorders>
            <w:vAlign w:val="center"/>
          </w:tcPr>
          <w:p w14:paraId="1A2B562B" w14:textId="77777777" w:rsidR="004825AE" w:rsidRPr="00CB683A" w:rsidRDefault="004825AE" w:rsidP="0088064F">
            <w:pPr>
              <w:ind w:right="-29"/>
              <w:jc w:val="center"/>
              <w:rPr>
                <w:noProof/>
                <w:sz w:val="18"/>
                <w:szCs w:val="18"/>
              </w:rPr>
            </w:pPr>
            <w:r w:rsidRPr="00CB683A">
              <w:rPr>
                <w:noProof/>
                <w:color w:val="000000"/>
                <w:sz w:val="18"/>
              </w:rPr>
              <w:t>0,864</w:t>
            </w:r>
          </w:p>
        </w:tc>
      </w:tr>
      <w:tr w:rsidR="004825AE" w:rsidRPr="00CB683A" w14:paraId="1D8EBE1C" w14:textId="77777777" w:rsidTr="0088064F">
        <w:trPr>
          <w:trHeight w:val="369"/>
          <w:jc w:val="center"/>
        </w:trPr>
        <w:tc>
          <w:tcPr>
            <w:tcW w:w="2798" w:type="dxa"/>
          </w:tcPr>
          <w:p w14:paraId="7CD6A9F3" w14:textId="77777777" w:rsidR="004825AE" w:rsidRPr="00CB683A" w:rsidRDefault="004825AE" w:rsidP="0088064F">
            <w:pPr>
              <w:ind w:right="-29"/>
              <w:jc w:val="center"/>
              <w:rPr>
                <w:noProof/>
                <w:sz w:val="18"/>
              </w:rPr>
            </w:pPr>
            <w:r w:rsidRPr="00CB683A">
              <w:rPr>
                <w:noProof/>
                <w:sz w:val="18"/>
              </w:rPr>
              <w:t>— Nové zdroje údajů, metodika</w:t>
            </w:r>
          </w:p>
        </w:tc>
        <w:tc>
          <w:tcPr>
            <w:tcW w:w="706" w:type="dxa"/>
          </w:tcPr>
          <w:p w14:paraId="5242C85C" w14:textId="77777777" w:rsidR="004825AE" w:rsidRPr="00CB683A" w:rsidRDefault="004825AE" w:rsidP="0088064F">
            <w:pPr>
              <w:ind w:right="-29"/>
              <w:jc w:val="center"/>
              <w:rPr>
                <w:noProof/>
                <w:sz w:val="18"/>
                <w:szCs w:val="18"/>
              </w:rPr>
            </w:pPr>
          </w:p>
        </w:tc>
        <w:tc>
          <w:tcPr>
            <w:tcW w:w="861" w:type="dxa"/>
            <w:vAlign w:val="center"/>
          </w:tcPr>
          <w:p w14:paraId="670D5FA4" w14:textId="77777777" w:rsidR="004825AE" w:rsidRPr="00CB683A" w:rsidRDefault="004825AE" w:rsidP="0088064F">
            <w:pPr>
              <w:ind w:right="-29"/>
              <w:jc w:val="center"/>
              <w:rPr>
                <w:noProof/>
                <w:sz w:val="18"/>
                <w:szCs w:val="18"/>
              </w:rPr>
            </w:pPr>
            <w:r w:rsidRPr="00CB683A">
              <w:rPr>
                <w:noProof/>
                <w:color w:val="000000"/>
                <w:sz w:val="18"/>
              </w:rPr>
              <w:t>0,509</w:t>
            </w:r>
          </w:p>
        </w:tc>
        <w:tc>
          <w:tcPr>
            <w:tcW w:w="336" w:type="dxa"/>
            <w:tcBorders>
              <w:top w:val="single" w:sz="4" w:space="0" w:color="auto"/>
            </w:tcBorders>
            <w:vAlign w:val="center"/>
          </w:tcPr>
          <w:p w14:paraId="071AF7D7" w14:textId="77777777" w:rsidR="004825AE" w:rsidRPr="00CB683A" w:rsidRDefault="004825AE" w:rsidP="0088064F">
            <w:pPr>
              <w:ind w:right="-29"/>
              <w:jc w:val="center"/>
              <w:rPr>
                <w:noProof/>
                <w:sz w:val="18"/>
                <w:szCs w:val="18"/>
              </w:rPr>
            </w:pPr>
            <w:r w:rsidRPr="00CB683A">
              <w:rPr>
                <w:noProof/>
                <w:color w:val="000000"/>
                <w:sz w:val="18"/>
              </w:rPr>
              <w:t xml:space="preserve"> </w:t>
            </w:r>
          </w:p>
        </w:tc>
        <w:tc>
          <w:tcPr>
            <w:tcW w:w="2014" w:type="dxa"/>
            <w:tcBorders>
              <w:top w:val="single" w:sz="4" w:space="0" w:color="auto"/>
            </w:tcBorders>
            <w:vAlign w:val="center"/>
          </w:tcPr>
          <w:p w14:paraId="30A29DBE" w14:textId="77777777" w:rsidR="004825AE" w:rsidRPr="00CB683A" w:rsidRDefault="004825AE" w:rsidP="0088064F">
            <w:pPr>
              <w:ind w:right="-29"/>
              <w:jc w:val="center"/>
              <w:rPr>
                <w:noProof/>
                <w:sz w:val="18"/>
                <w:szCs w:val="18"/>
              </w:rPr>
            </w:pPr>
            <w:r w:rsidRPr="00CB683A">
              <w:rPr>
                <w:noProof/>
                <w:sz w:val="18"/>
              </w:rPr>
              <w:t>0,665</w:t>
            </w:r>
          </w:p>
        </w:tc>
        <w:tc>
          <w:tcPr>
            <w:tcW w:w="396" w:type="dxa"/>
            <w:tcBorders>
              <w:top w:val="single" w:sz="4" w:space="0" w:color="auto"/>
            </w:tcBorders>
            <w:vAlign w:val="center"/>
          </w:tcPr>
          <w:p w14:paraId="698A430F" w14:textId="77777777" w:rsidR="004825AE" w:rsidRPr="00CB683A" w:rsidRDefault="004825AE" w:rsidP="0088064F">
            <w:pPr>
              <w:ind w:right="-29"/>
              <w:jc w:val="center"/>
              <w:rPr>
                <w:noProof/>
                <w:sz w:val="18"/>
                <w:szCs w:val="18"/>
              </w:rPr>
            </w:pPr>
          </w:p>
        </w:tc>
        <w:tc>
          <w:tcPr>
            <w:tcW w:w="1954" w:type="dxa"/>
            <w:tcBorders>
              <w:top w:val="single" w:sz="4" w:space="0" w:color="auto"/>
            </w:tcBorders>
            <w:vAlign w:val="center"/>
          </w:tcPr>
          <w:p w14:paraId="783B89C3" w14:textId="77777777" w:rsidR="004825AE" w:rsidRPr="00CB683A" w:rsidRDefault="004825AE" w:rsidP="0088064F">
            <w:pPr>
              <w:ind w:right="-29"/>
              <w:jc w:val="center"/>
              <w:rPr>
                <w:noProof/>
                <w:sz w:val="18"/>
                <w:szCs w:val="18"/>
              </w:rPr>
            </w:pPr>
            <w:r w:rsidRPr="00CB683A">
              <w:rPr>
                <w:noProof/>
                <w:sz w:val="18"/>
              </w:rPr>
              <w:t>0,665</w:t>
            </w:r>
          </w:p>
        </w:tc>
        <w:tc>
          <w:tcPr>
            <w:tcW w:w="455" w:type="dxa"/>
            <w:tcBorders>
              <w:top w:val="single" w:sz="4" w:space="0" w:color="auto"/>
            </w:tcBorders>
            <w:vAlign w:val="center"/>
          </w:tcPr>
          <w:p w14:paraId="1F20EC96" w14:textId="77777777" w:rsidR="004825AE" w:rsidRPr="00CB683A" w:rsidRDefault="004825AE" w:rsidP="0088064F">
            <w:pPr>
              <w:ind w:right="-29"/>
              <w:jc w:val="center"/>
              <w:rPr>
                <w:noProof/>
                <w:sz w:val="18"/>
                <w:szCs w:val="18"/>
              </w:rPr>
            </w:pPr>
          </w:p>
        </w:tc>
        <w:tc>
          <w:tcPr>
            <w:tcW w:w="1895" w:type="dxa"/>
            <w:tcBorders>
              <w:top w:val="single" w:sz="4" w:space="0" w:color="auto"/>
            </w:tcBorders>
            <w:vAlign w:val="center"/>
          </w:tcPr>
          <w:p w14:paraId="4D20FBF3" w14:textId="77777777" w:rsidR="004825AE" w:rsidRPr="00CB683A" w:rsidRDefault="004825AE" w:rsidP="0088064F">
            <w:pPr>
              <w:ind w:right="-29"/>
              <w:jc w:val="center"/>
              <w:rPr>
                <w:noProof/>
                <w:sz w:val="18"/>
                <w:szCs w:val="18"/>
              </w:rPr>
            </w:pPr>
            <w:r w:rsidRPr="00CB683A">
              <w:rPr>
                <w:noProof/>
                <w:sz w:val="18"/>
              </w:rPr>
              <w:t>0,196</w:t>
            </w:r>
          </w:p>
        </w:tc>
        <w:tc>
          <w:tcPr>
            <w:tcW w:w="657" w:type="dxa"/>
            <w:tcBorders>
              <w:top w:val="single" w:sz="4" w:space="0" w:color="auto"/>
            </w:tcBorders>
            <w:vAlign w:val="center"/>
          </w:tcPr>
          <w:p w14:paraId="056E81BB" w14:textId="77777777" w:rsidR="004825AE" w:rsidRPr="00CB683A" w:rsidRDefault="004825AE" w:rsidP="0088064F">
            <w:pPr>
              <w:ind w:right="-29"/>
              <w:jc w:val="center"/>
              <w:rPr>
                <w:noProof/>
                <w:sz w:val="18"/>
                <w:szCs w:val="18"/>
              </w:rPr>
            </w:pPr>
            <w:r w:rsidRPr="00CB683A">
              <w:rPr>
                <w:noProof/>
                <w:color w:val="000000"/>
                <w:sz w:val="18"/>
              </w:rPr>
              <w:t xml:space="preserve"> </w:t>
            </w:r>
          </w:p>
        </w:tc>
        <w:tc>
          <w:tcPr>
            <w:tcW w:w="1694" w:type="dxa"/>
            <w:tcBorders>
              <w:top w:val="single" w:sz="4" w:space="0" w:color="auto"/>
            </w:tcBorders>
            <w:vAlign w:val="center"/>
          </w:tcPr>
          <w:p w14:paraId="7B739E59" w14:textId="77777777" w:rsidR="004825AE" w:rsidRPr="00CB683A" w:rsidRDefault="004825AE" w:rsidP="0088064F">
            <w:pPr>
              <w:ind w:right="-29"/>
              <w:jc w:val="center"/>
              <w:rPr>
                <w:noProof/>
                <w:sz w:val="18"/>
                <w:szCs w:val="18"/>
              </w:rPr>
            </w:pPr>
            <w:r w:rsidRPr="00CB683A">
              <w:rPr>
                <w:noProof/>
                <w:color w:val="000000"/>
                <w:sz w:val="18"/>
              </w:rPr>
              <w:t>1,526</w:t>
            </w:r>
          </w:p>
        </w:tc>
      </w:tr>
      <w:tr w:rsidR="004825AE" w:rsidRPr="00CB683A" w14:paraId="174B9791" w14:textId="77777777" w:rsidTr="0088064F">
        <w:trPr>
          <w:jc w:val="center"/>
        </w:trPr>
        <w:tc>
          <w:tcPr>
            <w:tcW w:w="4365" w:type="dxa"/>
            <w:gridSpan w:val="3"/>
            <w:tcBorders>
              <w:bottom w:val="single" w:sz="12" w:space="0" w:color="auto"/>
            </w:tcBorders>
            <w:vAlign w:val="center"/>
          </w:tcPr>
          <w:p w14:paraId="082002BB" w14:textId="77777777" w:rsidR="004825AE" w:rsidRPr="00CB683A" w:rsidRDefault="004825AE" w:rsidP="0088064F">
            <w:pPr>
              <w:jc w:val="center"/>
              <w:rPr>
                <w:noProof/>
                <w:sz w:val="18"/>
                <w:szCs w:val="18"/>
              </w:rPr>
            </w:pPr>
            <w:r w:rsidRPr="00CB683A">
              <w:rPr>
                <w:noProof/>
                <w:sz w:val="18"/>
              </w:rPr>
              <w:t>Mezisoučet za specifický cíl č. 4</w:t>
            </w:r>
          </w:p>
        </w:tc>
        <w:tc>
          <w:tcPr>
            <w:tcW w:w="336" w:type="dxa"/>
            <w:tcBorders>
              <w:bottom w:val="single" w:sz="12" w:space="0" w:color="auto"/>
            </w:tcBorders>
          </w:tcPr>
          <w:p w14:paraId="4F156925" w14:textId="77777777" w:rsidR="004825AE" w:rsidRPr="00CB683A" w:rsidRDefault="004825AE" w:rsidP="0088064F">
            <w:pPr>
              <w:ind w:right="-29"/>
              <w:jc w:val="center"/>
              <w:rPr>
                <w:noProof/>
                <w:sz w:val="18"/>
                <w:szCs w:val="18"/>
              </w:rPr>
            </w:pPr>
          </w:p>
        </w:tc>
        <w:tc>
          <w:tcPr>
            <w:tcW w:w="2014" w:type="dxa"/>
            <w:tcBorders>
              <w:bottom w:val="single" w:sz="12" w:space="0" w:color="auto"/>
            </w:tcBorders>
            <w:vAlign w:val="center"/>
          </w:tcPr>
          <w:p w14:paraId="036F868A" w14:textId="77777777" w:rsidR="004825AE" w:rsidRPr="00CB683A" w:rsidRDefault="004825AE" w:rsidP="0088064F">
            <w:pPr>
              <w:ind w:right="-29"/>
              <w:jc w:val="center"/>
              <w:rPr>
                <w:noProof/>
                <w:sz w:val="18"/>
                <w:szCs w:val="18"/>
              </w:rPr>
            </w:pPr>
            <w:r w:rsidRPr="00CB683A">
              <w:rPr>
                <w:noProof/>
                <w:sz w:val="18"/>
              </w:rPr>
              <w:t>0,953</w:t>
            </w:r>
          </w:p>
        </w:tc>
        <w:tc>
          <w:tcPr>
            <w:tcW w:w="396" w:type="dxa"/>
            <w:tcBorders>
              <w:bottom w:val="single" w:sz="12" w:space="0" w:color="auto"/>
            </w:tcBorders>
            <w:vAlign w:val="center"/>
          </w:tcPr>
          <w:p w14:paraId="6889044B" w14:textId="77777777" w:rsidR="004825AE" w:rsidRPr="00CB683A" w:rsidRDefault="004825AE" w:rsidP="0088064F">
            <w:pPr>
              <w:ind w:right="-29"/>
              <w:jc w:val="center"/>
              <w:rPr>
                <w:noProof/>
                <w:sz w:val="18"/>
                <w:szCs w:val="18"/>
              </w:rPr>
            </w:pPr>
          </w:p>
        </w:tc>
        <w:tc>
          <w:tcPr>
            <w:tcW w:w="1954" w:type="dxa"/>
            <w:tcBorders>
              <w:bottom w:val="single" w:sz="12" w:space="0" w:color="auto"/>
            </w:tcBorders>
            <w:vAlign w:val="center"/>
          </w:tcPr>
          <w:p w14:paraId="6B7698DF" w14:textId="77777777" w:rsidR="004825AE" w:rsidRPr="00CB683A" w:rsidRDefault="004825AE" w:rsidP="0088064F">
            <w:pPr>
              <w:ind w:right="-29"/>
              <w:jc w:val="center"/>
              <w:rPr>
                <w:noProof/>
                <w:sz w:val="18"/>
                <w:szCs w:val="18"/>
              </w:rPr>
            </w:pPr>
            <w:r w:rsidRPr="00CB683A">
              <w:rPr>
                <w:noProof/>
                <w:sz w:val="18"/>
              </w:rPr>
              <w:t>0,953</w:t>
            </w:r>
          </w:p>
        </w:tc>
        <w:tc>
          <w:tcPr>
            <w:tcW w:w="455" w:type="dxa"/>
            <w:tcBorders>
              <w:bottom w:val="single" w:sz="12" w:space="0" w:color="auto"/>
            </w:tcBorders>
            <w:vAlign w:val="center"/>
          </w:tcPr>
          <w:p w14:paraId="3FD384DE" w14:textId="77777777" w:rsidR="004825AE" w:rsidRPr="00CB683A" w:rsidRDefault="004825AE" w:rsidP="0088064F">
            <w:pPr>
              <w:ind w:right="-29"/>
              <w:jc w:val="center"/>
              <w:rPr>
                <w:noProof/>
                <w:sz w:val="18"/>
                <w:szCs w:val="18"/>
              </w:rPr>
            </w:pPr>
          </w:p>
        </w:tc>
        <w:tc>
          <w:tcPr>
            <w:tcW w:w="1895" w:type="dxa"/>
            <w:tcBorders>
              <w:bottom w:val="single" w:sz="12" w:space="0" w:color="auto"/>
            </w:tcBorders>
            <w:vAlign w:val="center"/>
          </w:tcPr>
          <w:p w14:paraId="309D1B2E" w14:textId="77777777" w:rsidR="004825AE" w:rsidRPr="00CB683A" w:rsidRDefault="004825AE" w:rsidP="0088064F">
            <w:pPr>
              <w:ind w:right="-29"/>
              <w:jc w:val="center"/>
              <w:rPr>
                <w:noProof/>
                <w:sz w:val="18"/>
                <w:szCs w:val="18"/>
              </w:rPr>
            </w:pPr>
            <w:r w:rsidRPr="00CB683A">
              <w:rPr>
                <w:noProof/>
                <w:sz w:val="18"/>
              </w:rPr>
              <w:t>0,483</w:t>
            </w:r>
          </w:p>
        </w:tc>
        <w:tc>
          <w:tcPr>
            <w:tcW w:w="657" w:type="dxa"/>
            <w:tcBorders>
              <w:bottom w:val="single" w:sz="12" w:space="0" w:color="auto"/>
            </w:tcBorders>
            <w:vAlign w:val="center"/>
          </w:tcPr>
          <w:p w14:paraId="16288815" w14:textId="77777777" w:rsidR="004825AE" w:rsidRPr="00CB683A" w:rsidRDefault="004825AE" w:rsidP="0088064F">
            <w:pPr>
              <w:ind w:right="-29"/>
              <w:jc w:val="center"/>
              <w:rPr>
                <w:noProof/>
                <w:sz w:val="18"/>
                <w:szCs w:val="18"/>
              </w:rPr>
            </w:pPr>
            <w:r w:rsidRPr="00CB683A">
              <w:rPr>
                <w:noProof/>
                <w:color w:val="000000"/>
                <w:sz w:val="18"/>
              </w:rPr>
              <w:t xml:space="preserve"> </w:t>
            </w:r>
          </w:p>
        </w:tc>
        <w:tc>
          <w:tcPr>
            <w:tcW w:w="1694" w:type="dxa"/>
            <w:tcBorders>
              <w:bottom w:val="single" w:sz="12" w:space="0" w:color="auto"/>
            </w:tcBorders>
            <w:vAlign w:val="center"/>
          </w:tcPr>
          <w:p w14:paraId="2BF95556" w14:textId="77777777" w:rsidR="004825AE" w:rsidRPr="00CB683A" w:rsidRDefault="004825AE" w:rsidP="0088064F">
            <w:pPr>
              <w:ind w:right="-29"/>
              <w:jc w:val="center"/>
              <w:rPr>
                <w:noProof/>
                <w:sz w:val="18"/>
                <w:szCs w:val="18"/>
              </w:rPr>
            </w:pPr>
            <w:r w:rsidRPr="00CB683A">
              <w:rPr>
                <w:noProof/>
                <w:color w:val="000000"/>
                <w:sz w:val="18"/>
              </w:rPr>
              <w:t>2,389</w:t>
            </w:r>
          </w:p>
        </w:tc>
      </w:tr>
      <w:tr w:rsidR="004825AE" w:rsidRPr="00CB683A" w14:paraId="2D031AAE" w14:textId="77777777" w:rsidTr="0088064F">
        <w:trPr>
          <w:jc w:val="center"/>
        </w:trPr>
        <w:tc>
          <w:tcPr>
            <w:tcW w:w="4365" w:type="dxa"/>
            <w:gridSpan w:val="3"/>
            <w:tcBorders>
              <w:top w:val="single" w:sz="12" w:space="0" w:color="auto"/>
              <w:left w:val="single" w:sz="12" w:space="0" w:color="auto"/>
              <w:bottom w:val="single" w:sz="12" w:space="0" w:color="auto"/>
            </w:tcBorders>
            <w:vAlign w:val="center"/>
          </w:tcPr>
          <w:p w14:paraId="4A02488D" w14:textId="77777777" w:rsidR="004825AE" w:rsidRPr="00CB683A" w:rsidRDefault="004825AE" w:rsidP="0088064F">
            <w:pPr>
              <w:ind w:right="-29"/>
              <w:jc w:val="center"/>
              <w:rPr>
                <w:noProof/>
                <w:sz w:val="18"/>
                <w:szCs w:val="18"/>
              </w:rPr>
            </w:pPr>
            <w:r w:rsidRPr="00CB683A">
              <w:rPr>
                <w:b/>
                <w:noProof/>
                <w:sz w:val="18"/>
              </w:rPr>
              <w:t>CELKEM</w:t>
            </w:r>
          </w:p>
        </w:tc>
        <w:tc>
          <w:tcPr>
            <w:tcW w:w="336" w:type="dxa"/>
            <w:tcBorders>
              <w:top w:val="single" w:sz="12" w:space="0" w:color="auto"/>
              <w:bottom w:val="single" w:sz="12" w:space="0" w:color="auto"/>
            </w:tcBorders>
          </w:tcPr>
          <w:p w14:paraId="54A62FE0" w14:textId="77777777" w:rsidR="004825AE" w:rsidRPr="00CB683A" w:rsidRDefault="004825AE" w:rsidP="0088064F">
            <w:pPr>
              <w:spacing w:before="180" w:after="180"/>
              <w:ind w:right="-29"/>
              <w:jc w:val="center"/>
              <w:rPr>
                <w:noProof/>
                <w:sz w:val="18"/>
                <w:szCs w:val="18"/>
              </w:rPr>
            </w:pPr>
          </w:p>
        </w:tc>
        <w:tc>
          <w:tcPr>
            <w:tcW w:w="2014" w:type="dxa"/>
            <w:tcBorders>
              <w:top w:val="single" w:sz="12" w:space="0" w:color="auto"/>
              <w:bottom w:val="single" w:sz="12" w:space="0" w:color="auto"/>
            </w:tcBorders>
            <w:vAlign w:val="center"/>
          </w:tcPr>
          <w:p w14:paraId="06877860" w14:textId="77777777" w:rsidR="004825AE" w:rsidRPr="00CB683A" w:rsidRDefault="004825AE" w:rsidP="0088064F">
            <w:pPr>
              <w:spacing w:before="180" w:after="180"/>
              <w:ind w:right="-29"/>
              <w:jc w:val="center"/>
              <w:rPr>
                <w:noProof/>
                <w:sz w:val="18"/>
                <w:szCs w:val="18"/>
              </w:rPr>
            </w:pPr>
            <w:r w:rsidRPr="00CB683A">
              <w:rPr>
                <w:noProof/>
                <w:sz w:val="18"/>
              </w:rPr>
              <w:t>3,889</w:t>
            </w:r>
          </w:p>
        </w:tc>
        <w:tc>
          <w:tcPr>
            <w:tcW w:w="396" w:type="dxa"/>
            <w:tcBorders>
              <w:top w:val="single" w:sz="12" w:space="0" w:color="auto"/>
              <w:bottom w:val="single" w:sz="12" w:space="0" w:color="auto"/>
            </w:tcBorders>
            <w:vAlign w:val="center"/>
          </w:tcPr>
          <w:p w14:paraId="16219FBE" w14:textId="77777777" w:rsidR="004825AE" w:rsidRPr="00CB683A" w:rsidRDefault="004825AE" w:rsidP="0088064F">
            <w:pPr>
              <w:spacing w:before="180" w:after="180"/>
              <w:ind w:right="-29"/>
              <w:jc w:val="center"/>
              <w:rPr>
                <w:noProof/>
                <w:sz w:val="18"/>
                <w:szCs w:val="18"/>
              </w:rPr>
            </w:pPr>
          </w:p>
        </w:tc>
        <w:tc>
          <w:tcPr>
            <w:tcW w:w="1954" w:type="dxa"/>
            <w:tcBorders>
              <w:top w:val="single" w:sz="12" w:space="0" w:color="auto"/>
              <w:bottom w:val="single" w:sz="12" w:space="0" w:color="auto"/>
            </w:tcBorders>
            <w:vAlign w:val="center"/>
          </w:tcPr>
          <w:p w14:paraId="22F9FD96" w14:textId="77777777" w:rsidR="004825AE" w:rsidRPr="00CB683A" w:rsidRDefault="004825AE" w:rsidP="0088064F">
            <w:pPr>
              <w:spacing w:before="180" w:after="180"/>
              <w:ind w:right="-29"/>
              <w:jc w:val="center"/>
              <w:rPr>
                <w:noProof/>
                <w:sz w:val="18"/>
                <w:szCs w:val="18"/>
              </w:rPr>
            </w:pPr>
            <w:r w:rsidRPr="00CB683A">
              <w:rPr>
                <w:noProof/>
                <w:sz w:val="18"/>
              </w:rPr>
              <w:t>3,191</w:t>
            </w:r>
          </w:p>
        </w:tc>
        <w:tc>
          <w:tcPr>
            <w:tcW w:w="455" w:type="dxa"/>
            <w:tcBorders>
              <w:top w:val="single" w:sz="12" w:space="0" w:color="auto"/>
              <w:bottom w:val="single" w:sz="12" w:space="0" w:color="auto"/>
            </w:tcBorders>
            <w:vAlign w:val="center"/>
          </w:tcPr>
          <w:p w14:paraId="6B823ADB" w14:textId="77777777" w:rsidR="004825AE" w:rsidRPr="00CB683A" w:rsidRDefault="004825AE" w:rsidP="0088064F">
            <w:pPr>
              <w:spacing w:before="180" w:after="180"/>
              <w:ind w:right="-29"/>
              <w:jc w:val="center"/>
              <w:rPr>
                <w:noProof/>
                <w:sz w:val="18"/>
                <w:szCs w:val="18"/>
              </w:rPr>
            </w:pPr>
          </w:p>
        </w:tc>
        <w:tc>
          <w:tcPr>
            <w:tcW w:w="1895" w:type="dxa"/>
            <w:tcBorders>
              <w:top w:val="single" w:sz="12" w:space="0" w:color="auto"/>
              <w:bottom w:val="single" w:sz="12" w:space="0" w:color="auto"/>
            </w:tcBorders>
            <w:vAlign w:val="center"/>
          </w:tcPr>
          <w:p w14:paraId="7E18DBD1" w14:textId="77777777" w:rsidR="004825AE" w:rsidRPr="00CB683A" w:rsidRDefault="004825AE" w:rsidP="0088064F">
            <w:pPr>
              <w:spacing w:before="180" w:after="180"/>
              <w:ind w:right="-29"/>
              <w:jc w:val="center"/>
              <w:rPr>
                <w:noProof/>
                <w:sz w:val="18"/>
                <w:szCs w:val="18"/>
              </w:rPr>
            </w:pPr>
            <w:r w:rsidRPr="00CB683A">
              <w:rPr>
                <w:noProof/>
                <w:sz w:val="18"/>
              </w:rPr>
              <w:t>1,183</w:t>
            </w:r>
          </w:p>
        </w:tc>
        <w:tc>
          <w:tcPr>
            <w:tcW w:w="657" w:type="dxa"/>
            <w:tcBorders>
              <w:top w:val="single" w:sz="12" w:space="0" w:color="auto"/>
              <w:bottom w:val="single" w:sz="12" w:space="0" w:color="auto"/>
            </w:tcBorders>
            <w:vAlign w:val="center"/>
          </w:tcPr>
          <w:p w14:paraId="1AB5CF4C" w14:textId="77777777" w:rsidR="004825AE" w:rsidRPr="00CB683A" w:rsidRDefault="004825AE" w:rsidP="0088064F">
            <w:pPr>
              <w:spacing w:before="180" w:after="180"/>
              <w:ind w:right="-29"/>
              <w:jc w:val="center"/>
              <w:rPr>
                <w:noProof/>
                <w:sz w:val="18"/>
                <w:szCs w:val="18"/>
              </w:rPr>
            </w:pPr>
            <w:r w:rsidRPr="00CB683A">
              <w:rPr>
                <w:noProof/>
                <w:color w:val="000000"/>
                <w:sz w:val="18"/>
              </w:rPr>
              <w:t xml:space="preserve"> </w:t>
            </w:r>
          </w:p>
        </w:tc>
        <w:tc>
          <w:tcPr>
            <w:tcW w:w="1694" w:type="dxa"/>
            <w:tcBorders>
              <w:top w:val="single" w:sz="12" w:space="0" w:color="auto"/>
              <w:bottom w:val="single" w:sz="12" w:space="0" w:color="auto"/>
              <w:right w:val="single" w:sz="12" w:space="0" w:color="auto"/>
            </w:tcBorders>
            <w:vAlign w:val="center"/>
          </w:tcPr>
          <w:p w14:paraId="4BDE5F84" w14:textId="77777777" w:rsidR="004825AE" w:rsidRPr="00CB683A" w:rsidRDefault="004825AE" w:rsidP="0088064F">
            <w:pPr>
              <w:spacing w:before="180" w:after="180"/>
              <w:ind w:right="-29"/>
              <w:jc w:val="center"/>
              <w:rPr>
                <w:noProof/>
                <w:sz w:val="18"/>
                <w:szCs w:val="18"/>
              </w:rPr>
            </w:pPr>
            <w:r w:rsidRPr="00CB683A">
              <w:rPr>
                <w:noProof/>
                <w:color w:val="000000"/>
                <w:sz w:val="18"/>
              </w:rPr>
              <w:t>8,263</w:t>
            </w:r>
          </w:p>
        </w:tc>
      </w:tr>
    </w:tbl>
    <w:p w14:paraId="6B2342E0" w14:textId="77777777" w:rsidR="004825AE" w:rsidRPr="00CB683A" w:rsidRDefault="004825AE" w:rsidP="004825AE">
      <w:pPr>
        <w:rPr>
          <w:noProof/>
        </w:rPr>
        <w:sectPr w:rsidR="004825AE" w:rsidRPr="00CB683A" w:rsidSect="009925B6">
          <w:headerReference w:type="default" r:id="rId16"/>
          <w:footerReference w:type="default" r:id="rId17"/>
          <w:headerReference w:type="first" r:id="rId18"/>
          <w:footerReference w:type="first" r:id="rId19"/>
          <w:pgSz w:w="16840" w:h="11907" w:orient="landscape" w:code="9"/>
          <w:pgMar w:top="1134" w:right="1418" w:bottom="567" w:left="1418" w:header="709" w:footer="709" w:gutter="0"/>
          <w:cols w:space="708"/>
          <w:docGrid w:linePitch="360"/>
        </w:sectPr>
      </w:pPr>
    </w:p>
    <w:p w14:paraId="42C97805" w14:textId="04AE6C66" w:rsidR="004825AE" w:rsidRPr="00CB683A" w:rsidRDefault="00891439" w:rsidP="00891439">
      <w:pPr>
        <w:pStyle w:val="ManualHeading3"/>
        <w:rPr>
          <w:bCs/>
          <w:noProof/>
          <w:szCs w:val="24"/>
        </w:rPr>
      </w:pPr>
      <w:bookmarkStart w:id="59" w:name="_Toc514938055"/>
      <w:bookmarkStart w:id="60" w:name="_Toc520485054"/>
      <w:r w:rsidRPr="00891439">
        <w:t>3.2.3.</w:t>
      </w:r>
      <w:r w:rsidRPr="00891439">
        <w:tab/>
      </w:r>
      <w:r w:rsidR="004825AE" w:rsidRPr="00CB683A">
        <w:rPr>
          <w:noProof/>
        </w:rPr>
        <w:t>Odhadovaný souhrnný dopad na správní prostředky</w:t>
      </w:r>
      <w:bookmarkEnd w:id="59"/>
      <w:bookmarkEnd w:id="60"/>
      <w:r w:rsidR="004825AE" w:rsidRPr="00CB683A">
        <w:rPr>
          <w:noProof/>
        </w:rPr>
        <w:t xml:space="preserve"> </w:t>
      </w:r>
    </w:p>
    <w:p w14:paraId="460E4057" w14:textId="77777777" w:rsidR="004825AE" w:rsidRPr="00CB683A" w:rsidRDefault="004825AE" w:rsidP="004825AE">
      <w:pPr>
        <w:pStyle w:val="ListDash1"/>
        <w:rPr>
          <w:noProof/>
        </w:rPr>
      </w:pPr>
      <w:r w:rsidRPr="00CB683A">
        <w:rPr>
          <w:noProof/>
        </w:rPr>
        <w:sym w:font="Wingdings" w:char="F0A8"/>
      </w:r>
      <w:r w:rsidRPr="00CB683A">
        <w:rPr>
          <w:noProof/>
        </w:rPr>
        <w:tab/>
        <w:t xml:space="preserve">Návrh/podnět nevyžaduje využití prostředků správní povahy. </w:t>
      </w:r>
    </w:p>
    <w:p w14:paraId="2BC7325B" w14:textId="77777777" w:rsidR="004825AE" w:rsidRPr="00CB683A" w:rsidRDefault="004825AE" w:rsidP="004825AE">
      <w:pPr>
        <w:pStyle w:val="ListDash1"/>
        <w:rPr>
          <w:noProof/>
        </w:rPr>
      </w:pPr>
      <w:r w:rsidRPr="00CB683A">
        <w:rPr>
          <w:noProof/>
        </w:rPr>
        <w:sym w:font="Wingdings" w:char="F0FD"/>
      </w:r>
      <w:r w:rsidRPr="00CB683A">
        <w:rPr>
          <w:noProof/>
        </w:rPr>
        <w:tab/>
        <w:t>Návrh/podnět vyžaduje využití prostředků správní povahy, jak je vysvětleno dále:</w:t>
      </w:r>
    </w:p>
    <w:p w14:paraId="13E3A45A" w14:textId="77777777" w:rsidR="004825AE" w:rsidRPr="00CB683A" w:rsidRDefault="004825AE" w:rsidP="004825AE">
      <w:pPr>
        <w:jc w:val="right"/>
        <w:rPr>
          <w:noProof/>
          <w:sz w:val="20"/>
        </w:rPr>
      </w:pPr>
      <w:r w:rsidRPr="00CB683A">
        <w:rPr>
          <w:noProof/>
          <w:sz w:val="20"/>
        </w:rPr>
        <w:t>v milionech EUR (zaokrouhleno na tři desetinná místa)</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337"/>
        <w:gridCol w:w="1820"/>
        <w:gridCol w:w="1821"/>
        <w:gridCol w:w="1821"/>
        <w:gridCol w:w="1821"/>
      </w:tblGrid>
      <w:tr w:rsidR="004825AE" w:rsidRPr="00CB683A" w14:paraId="39688F67" w14:textId="77777777" w:rsidTr="0088064F">
        <w:trPr>
          <w:trHeight w:val="585"/>
        </w:trPr>
        <w:tc>
          <w:tcPr>
            <w:tcW w:w="1980" w:type="dxa"/>
          </w:tcPr>
          <w:p w14:paraId="1F24DBA0" w14:textId="77777777" w:rsidR="004825AE" w:rsidRPr="00CB683A" w:rsidRDefault="004825AE" w:rsidP="0088064F">
            <w:pPr>
              <w:spacing w:before="60" w:after="60" w:line="200" w:lineRule="exact"/>
              <w:rPr>
                <w:noProof/>
                <w:sz w:val="16"/>
                <w:szCs w:val="16"/>
              </w:rPr>
            </w:pPr>
          </w:p>
        </w:tc>
        <w:tc>
          <w:tcPr>
            <w:tcW w:w="1080" w:type="dxa"/>
            <w:vAlign w:val="center"/>
          </w:tcPr>
          <w:p w14:paraId="640A552D" w14:textId="77777777" w:rsidR="004825AE" w:rsidRPr="00CB683A" w:rsidRDefault="004825AE" w:rsidP="0088064F">
            <w:pPr>
              <w:spacing w:before="60" w:after="60" w:line="200" w:lineRule="exact"/>
              <w:jc w:val="center"/>
              <w:rPr>
                <w:noProof/>
                <w:sz w:val="16"/>
                <w:szCs w:val="16"/>
              </w:rPr>
            </w:pPr>
            <w:r w:rsidRPr="00CB683A">
              <w:rPr>
                <w:noProof/>
                <w:sz w:val="16"/>
              </w:rPr>
              <w:t>Rok</w:t>
            </w:r>
            <w:r w:rsidRPr="00CB683A">
              <w:rPr>
                <w:noProof/>
              </w:rPr>
              <w:t xml:space="preserve"> </w:t>
            </w:r>
            <w:r w:rsidRPr="00CB683A">
              <w:rPr>
                <w:noProof/>
              </w:rPr>
              <w:br/>
            </w:r>
            <w:r w:rsidRPr="00CB683A">
              <w:rPr>
                <w:b/>
                <w:noProof/>
                <w:sz w:val="16"/>
              </w:rPr>
              <w:t>2025</w:t>
            </w:r>
          </w:p>
        </w:tc>
        <w:tc>
          <w:tcPr>
            <w:tcW w:w="1080" w:type="dxa"/>
            <w:vAlign w:val="center"/>
          </w:tcPr>
          <w:p w14:paraId="7B728732" w14:textId="77777777" w:rsidR="004825AE" w:rsidRPr="00CB683A" w:rsidRDefault="004825AE" w:rsidP="0088064F">
            <w:pPr>
              <w:spacing w:before="60" w:after="60" w:line="200" w:lineRule="exact"/>
              <w:jc w:val="center"/>
              <w:rPr>
                <w:noProof/>
                <w:sz w:val="16"/>
                <w:szCs w:val="16"/>
              </w:rPr>
            </w:pPr>
            <w:r w:rsidRPr="00CB683A">
              <w:rPr>
                <w:noProof/>
                <w:sz w:val="16"/>
              </w:rPr>
              <w:t>Rok</w:t>
            </w:r>
            <w:r w:rsidRPr="00CB683A">
              <w:rPr>
                <w:noProof/>
              </w:rPr>
              <w:t xml:space="preserve"> </w:t>
            </w:r>
            <w:r w:rsidRPr="00CB683A">
              <w:rPr>
                <w:noProof/>
              </w:rPr>
              <w:br/>
            </w:r>
            <w:r w:rsidRPr="00CB683A">
              <w:rPr>
                <w:b/>
                <w:noProof/>
                <w:sz w:val="16"/>
              </w:rPr>
              <w:t>2026</w:t>
            </w:r>
          </w:p>
        </w:tc>
        <w:tc>
          <w:tcPr>
            <w:tcW w:w="1080" w:type="dxa"/>
            <w:vAlign w:val="center"/>
          </w:tcPr>
          <w:p w14:paraId="73B97FEC" w14:textId="77777777" w:rsidR="004825AE" w:rsidRPr="00CB683A" w:rsidRDefault="004825AE" w:rsidP="0088064F">
            <w:pPr>
              <w:spacing w:before="60" w:after="60" w:line="200" w:lineRule="exact"/>
              <w:jc w:val="center"/>
              <w:rPr>
                <w:noProof/>
                <w:sz w:val="16"/>
                <w:szCs w:val="16"/>
              </w:rPr>
            </w:pPr>
            <w:r w:rsidRPr="00CB683A">
              <w:rPr>
                <w:noProof/>
                <w:sz w:val="16"/>
              </w:rPr>
              <w:t>Rok</w:t>
            </w:r>
            <w:r w:rsidRPr="00CB683A">
              <w:rPr>
                <w:noProof/>
              </w:rPr>
              <w:t xml:space="preserve"> </w:t>
            </w:r>
            <w:r w:rsidRPr="00CB683A">
              <w:rPr>
                <w:noProof/>
              </w:rPr>
              <w:br/>
            </w:r>
            <w:r w:rsidRPr="00CB683A">
              <w:rPr>
                <w:b/>
                <w:noProof/>
                <w:sz w:val="16"/>
              </w:rPr>
              <w:t>2027</w:t>
            </w:r>
          </w:p>
        </w:tc>
        <w:tc>
          <w:tcPr>
            <w:tcW w:w="1080" w:type="dxa"/>
            <w:vAlign w:val="center"/>
          </w:tcPr>
          <w:p w14:paraId="2E6D7D31" w14:textId="77777777" w:rsidR="004825AE" w:rsidRPr="00CB683A" w:rsidRDefault="004825AE" w:rsidP="0088064F">
            <w:pPr>
              <w:spacing w:before="60" w:after="60" w:line="200" w:lineRule="exact"/>
              <w:jc w:val="center"/>
              <w:rPr>
                <w:b/>
                <w:noProof/>
                <w:sz w:val="16"/>
                <w:szCs w:val="16"/>
              </w:rPr>
            </w:pPr>
            <w:r w:rsidRPr="00CB683A">
              <w:rPr>
                <w:b/>
                <w:noProof/>
                <w:sz w:val="16"/>
              </w:rPr>
              <w:t>CELKEM</w:t>
            </w:r>
          </w:p>
        </w:tc>
      </w:tr>
    </w:tbl>
    <w:p w14:paraId="7B522AA5" w14:textId="77777777" w:rsidR="004825AE" w:rsidRPr="00CB683A" w:rsidRDefault="004825AE" w:rsidP="004825AE">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337"/>
        <w:gridCol w:w="1820"/>
        <w:gridCol w:w="1821"/>
        <w:gridCol w:w="1821"/>
        <w:gridCol w:w="1821"/>
      </w:tblGrid>
      <w:tr w:rsidR="004825AE" w:rsidRPr="00CB683A" w14:paraId="78AEFDC2" w14:textId="77777777" w:rsidTr="0088064F">
        <w:trPr>
          <w:trHeight w:val="585"/>
        </w:trPr>
        <w:tc>
          <w:tcPr>
            <w:tcW w:w="1980" w:type="dxa"/>
            <w:shd w:val="clear" w:color="auto" w:fill="CCCCCC"/>
            <w:vAlign w:val="center"/>
          </w:tcPr>
          <w:p w14:paraId="1A3B000B" w14:textId="77777777" w:rsidR="004825AE" w:rsidRPr="00CB683A" w:rsidRDefault="004825AE" w:rsidP="0088064F">
            <w:pPr>
              <w:spacing w:before="60" w:after="60" w:line="200" w:lineRule="exact"/>
              <w:jc w:val="center"/>
              <w:rPr>
                <w:b/>
                <w:noProof/>
                <w:sz w:val="16"/>
                <w:szCs w:val="16"/>
              </w:rPr>
            </w:pPr>
            <w:r w:rsidRPr="00CB683A">
              <w:rPr>
                <w:b/>
                <w:noProof/>
                <w:sz w:val="16"/>
              </w:rPr>
              <w:t>OKRUH 7</w:t>
            </w:r>
            <w:r w:rsidRPr="00CB683A">
              <w:rPr>
                <w:noProof/>
              </w:rPr>
              <w:t xml:space="preserve"> </w:t>
            </w:r>
            <w:r w:rsidRPr="00CB683A">
              <w:rPr>
                <w:noProof/>
              </w:rPr>
              <w:br/>
            </w:r>
            <w:r w:rsidRPr="00CB683A">
              <w:rPr>
                <w:b/>
                <w:noProof/>
                <w:sz w:val="16"/>
              </w:rPr>
              <w:t>víceletého finančního rámce</w:t>
            </w:r>
          </w:p>
        </w:tc>
        <w:tc>
          <w:tcPr>
            <w:tcW w:w="1080" w:type="dxa"/>
            <w:vAlign w:val="center"/>
          </w:tcPr>
          <w:p w14:paraId="647D6276" w14:textId="77777777" w:rsidR="004825AE" w:rsidRPr="00CB683A" w:rsidRDefault="004825AE" w:rsidP="0088064F">
            <w:pPr>
              <w:spacing w:before="60" w:after="60" w:line="200" w:lineRule="exact"/>
              <w:jc w:val="right"/>
              <w:rPr>
                <w:noProof/>
                <w:sz w:val="16"/>
                <w:szCs w:val="16"/>
              </w:rPr>
            </w:pPr>
          </w:p>
        </w:tc>
        <w:tc>
          <w:tcPr>
            <w:tcW w:w="1080" w:type="dxa"/>
            <w:vAlign w:val="center"/>
          </w:tcPr>
          <w:p w14:paraId="3937391C" w14:textId="77777777" w:rsidR="004825AE" w:rsidRPr="00CB683A" w:rsidRDefault="004825AE" w:rsidP="0088064F">
            <w:pPr>
              <w:spacing w:before="60" w:after="60" w:line="200" w:lineRule="exact"/>
              <w:jc w:val="right"/>
              <w:rPr>
                <w:noProof/>
                <w:sz w:val="16"/>
                <w:szCs w:val="16"/>
              </w:rPr>
            </w:pPr>
          </w:p>
        </w:tc>
        <w:tc>
          <w:tcPr>
            <w:tcW w:w="1080" w:type="dxa"/>
            <w:vAlign w:val="center"/>
          </w:tcPr>
          <w:p w14:paraId="1696C4C3" w14:textId="77777777" w:rsidR="004825AE" w:rsidRPr="00CB683A" w:rsidRDefault="004825AE" w:rsidP="0088064F">
            <w:pPr>
              <w:spacing w:before="60" w:after="60" w:line="200" w:lineRule="exact"/>
              <w:jc w:val="right"/>
              <w:rPr>
                <w:noProof/>
                <w:sz w:val="16"/>
                <w:szCs w:val="16"/>
              </w:rPr>
            </w:pPr>
          </w:p>
        </w:tc>
        <w:tc>
          <w:tcPr>
            <w:tcW w:w="1080" w:type="dxa"/>
            <w:vAlign w:val="center"/>
          </w:tcPr>
          <w:p w14:paraId="31071B4C" w14:textId="77777777" w:rsidR="004825AE" w:rsidRPr="00CB683A" w:rsidRDefault="004825AE" w:rsidP="0088064F">
            <w:pPr>
              <w:spacing w:before="60" w:after="60" w:line="200" w:lineRule="exact"/>
              <w:jc w:val="right"/>
              <w:rPr>
                <w:b/>
                <w:noProof/>
                <w:sz w:val="16"/>
                <w:szCs w:val="16"/>
              </w:rPr>
            </w:pPr>
          </w:p>
        </w:tc>
      </w:tr>
      <w:tr w:rsidR="004825AE" w:rsidRPr="00CB683A" w14:paraId="0DB8FA30" w14:textId="77777777" w:rsidTr="0088064F">
        <w:trPr>
          <w:trHeight w:val="585"/>
        </w:trPr>
        <w:tc>
          <w:tcPr>
            <w:tcW w:w="1980" w:type="dxa"/>
            <w:vAlign w:val="center"/>
          </w:tcPr>
          <w:p w14:paraId="6C4A02CB" w14:textId="77777777" w:rsidR="004825AE" w:rsidRPr="00CB683A" w:rsidRDefault="004825AE" w:rsidP="0088064F">
            <w:pPr>
              <w:spacing w:before="60" w:after="60" w:line="200" w:lineRule="exact"/>
              <w:ind w:left="72"/>
              <w:jc w:val="left"/>
              <w:rPr>
                <w:noProof/>
                <w:sz w:val="16"/>
                <w:szCs w:val="16"/>
              </w:rPr>
            </w:pPr>
            <w:r w:rsidRPr="00CB683A">
              <w:rPr>
                <w:noProof/>
                <w:sz w:val="16"/>
              </w:rPr>
              <w:t xml:space="preserve">Lidské zdroje </w:t>
            </w:r>
          </w:p>
        </w:tc>
        <w:tc>
          <w:tcPr>
            <w:tcW w:w="1080" w:type="dxa"/>
            <w:vAlign w:val="center"/>
          </w:tcPr>
          <w:p w14:paraId="6E5A27BF" w14:textId="77777777" w:rsidR="004825AE" w:rsidRPr="00CB683A" w:rsidRDefault="004825AE" w:rsidP="0088064F">
            <w:pPr>
              <w:spacing w:before="60" w:after="60" w:line="200" w:lineRule="exact"/>
              <w:jc w:val="right"/>
              <w:rPr>
                <w:noProof/>
                <w:sz w:val="16"/>
                <w:szCs w:val="16"/>
              </w:rPr>
            </w:pPr>
            <w:r w:rsidRPr="00CB683A">
              <w:rPr>
                <w:noProof/>
                <w:color w:val="000000"/>
                <w:sz w:val="16"/>
              </w:rPr>
              <w:t>3,656</w:t>
            </w:r>
          </w:p>
        </w:tc>
        <w:tc>
          <w:tcPr>
            <w:tcW w:w="1080" w:type="dxa"/>
            <w:vAlign w:val="center"/>
          </w:tcPr>
          <w:p w14:paraId="13B3A9EC" w14:textId="77777777" w:rsidR="004825AE" w:rsidRPr="00CB683A" w:rsidRDefault="004825AE" w:rsidP="0088064F">
            <w:pPr>
              <w:spacing w:before="60" w:after="60" w:line="200" w:lineRule="exact"/>
              <w:jc w:val="right"/>
              <w:rPr>
                <w:noProof/>
                <w:sz w:val="16"/>
                <w:szCs w:val="16"/>
              </w:rPr>
            </w:pPr>
            <w:r w:rsidRPr="00CB683A">
              <w:rPr>
                <w:noProof/>
                <w:color w:val="000000"/>
                <w:sz w:val="16"/>
              </w:rPr>
              <w:t>3,656</w:t>
            </w:r>
          </w:p>
        </w:tc>
        <w:tc>
          <w:tcPr>
            <w:tcW w:w="1080" w:type="dxa"/>
            <w:vAlign w:val="center"/>
          </w:tcPr>
          <w:p w14:paraId="6E8A8CFC" w14:textId="77777777" w:rsidR="004825AE" w:rsidRPr="00CB683A" w:rsidRDefault="004825AE" w:rsidP="0088064F">
            <w:pPr>
              <w:spacing w:before="60" w:after="60" w:line="200" w:lineRule="exact"/>
              <w:jc w:val="right"/>
              <w:rPr>
                <w:noProof/>
                <w:sz w:val="16"/>
                <w:szCs w:val="16"/>
              </w:rPr>
            </w:pPr>
            <w:r w:rsidRPr="00CB683A">
              <w:rPr>
                <w:noProof/>
                <w:color w:val="000000"/>
                <w:sz w:val="16"/>
              </w:rPr>
              <w:t>3,656</w:t>
            </w:r>
          </w:p>
        </w:tc>
        <w:tc>
          <w:tcPr>
            <w:tcW w:w="1080" w:type="dxa"/>
            <w:vAlign w:val="center"/>
          </w:tcPr>
          <w:p w14:paraId="544F9FF9" w14:textId="77777777" w:rsidR="004825AE" w:rsidRPr="00CB683A" w:rsidRDefault="004825AE" w:rsidP="0088064F">
            <w:pPr>
              <w:spacing w:before="60" w:after="60" w:line="200" w:lineRule="exact"/>
              <w:jc w:val="right"/>
              <w:rPr>
                <w:b/>
                <w:noProof/>
                <w:sz w:val="16"/>
                <w:szCs w:val="16"/>
              </w:rPr>
            </w:pPr>
            <w:r w:rsidRPr="00CB683A">
              <w:rPr>
                <w:b/>
                <w:noProof/>
                <w:color w:val="000000"/>
                <w:sz w:val="16"/>
              </w:rPr>
              <w:t>10,968</w:t>
            </w:r>
          </w:p>
        </w:tc>
      </w:tr>
      <w:tr w:rsidR="004825AE" w:rsidRPr="00CB683A" w14:paraId="4E1FEF1B" w14:textId="77777777" w:rsidTr="0088064F">
        <w:trPr>
          <w:trHeight w:val="585"/>
        </w:trPr>
        <w:tc>
          <w:tcPr>
            <w:tcW w:w="1980" w:type="dxa"/>
            <w:vAlign w:val="center"/>
          </w:tcPr>
          <w:p w14:paraId="0C62B80A" w14:textId="77777777" w:rsidR="004825AE" w:rsidRPr="00CB683A" w:rsidRDefault="004825AE" w:rsidP="0088064F">
            <w:pPr>
              <w:spacing w:before="60" w:after="60" w:line="200" w:lineRule="exact"/>
              <w:ind w:left="72"/>
              <w:jc w:val="left"/>
              <w:rPr>
                <w:noProof/>
                <w:sz w:val="16"/>
                <w:szCs w:val="16"/>
              </w:rPr>
            </w:pPr>
            <w:r w:rsidRPr="00CB683A">
              <w:rPr>
                <w:noProof/>
                <w:sz w:val="16"/>
              </w:rPr>
              <w:t xml:space="preserve">Ostatní správní výdaje </w:t>
            </w:r>
          </w:p>
        </w:tc>
        <w:tc>
          <w:tcPr>
            <w:tcW w:w="1080" w:type="dxa"/>
            <w:vAlign w:val="center"/>
          </w:tcPr>
          <w:p w14:paraId="423B1EBD" w14:textId="77777777" w:rsidR="004825AE" w:rsidRPr="00CB683A" w:rsidRDefault="004825AE" w:rsidP="0088064F">
            <w:pPr>
              <w:spacing w:before="60" w:after="60" w:line="200" w:lineRule="exact"/>
              <w:jc w:val="right"/>
              <w:rPr>
                <w:noProof/>
                <w:sz w:val="16"/>
                <w:szCs w:val="16"/>
              </w:rPr>
            </w:pPr>
            <w:r w:rsidRPr="00CB683A">
              <w:rPr>
                <w:noProof/>
                <w:color w:val="000000"/>
                <w:sz w:val="16"/>
              </w:rPr>
              <w:t>0,100</w:t>
            </w:r>
          </w:p>
        </w:tc>
        <w:tc>
          <w:tcPr>
            <w:tcW w:w="1080" w:type="dxa"/>
            <w:vAlign w:val="center"/>
          </w:tcPr>
          <w:p w14:paraId="711720F5" w14:textId="77777777" w:rsidR="004825AE" w:rsidRPr="00CB683A" w:rsidRDefault="004825AE" w:rsidP="0088064F">
            <w:pPr>
              <w:spacing w:before="60" w:after="60" w:line="200" w:lineRule="exact"/>
              <w:jc w:val="right"/>
              <w:rPr>
                <w:noProof/>
                <w:sz w:val="16"/>
                <w:szCs w:val="16"/>
              </w:rPr>
            </w:pPr>
            <w:r w:rsidRPr="00CB683A">
              <w:rPr>
                <w:noProof/>
                <w:color w:val="000000"/>
                <w:sz w:val="16"/>
              </w:rPr>
              <w:t>0,100</w:t>
            </w:r>
          </w:p>
        </w:tc>
        <w:tc>
          <w:tcPr>
            <w:tcW w:w="1080" w:type="dxa"/>
            <w:vAlign w:val="center"/>
          </w:tcPr>
          <w:p w14:paraId="1F585137" w14:textId="77777777" w:rsidR="004825AE" w:rsidRPr="00CB683A" w:rsidRDefault="004825AE" w:rsidP="0088064F">
            <w:pPr>
              <w:spacing w:before="60" w:after="60" w:line="200" w:lineRule="exact"/>
              <w:jc w:val="right"/>
              <w:rPr>
                <w:noProof/>
                <w:sz w:val="16"/>
                <w:szCs w:val="16"/>
              </w:rPr>
            </w:pPr>
            <w:r w:rsidRPr="00CB683A">
              <w:rPr>
                <w:noProof/>
                <w:color w:val="000000"/>
                <w:sz w:val="16"/>
              </w:rPr>
              <w:t>0,100</w:t>
            </w:r>
          </w:p>
        </w:tc>
        <w:tc>
          <w:tcPr>
            <w:tcW w:w="1080" w:type="dxa"/>
            <w:vAlign w:val="center"/>
          </w:tcPr>
          <w:p w14:paraId="1A306859" w14:textId="77777777" w:rsidR="004825AE" w:rsidRPr="00CB683A" w:rsidRDefault="004825AE" w:rsidP="0088064F">
            <w:pPr>
              <w:spacing w:before="60" w:after="60" w:line="200" w:lineRule="exact"/>
              <w:jc w:val="right"/>
              <w:rPr>
                <w:b/>
                <w:noProof/>
                <w:sz w:val="16"/>
                <w:szCs w:val="16"/>
              </w:rPr>
            </w:pPr>
            <w:r w:rsidRPr="00CB683A">
              <w:rPr>
                <w:b/>
                <w:noProof/>
                <w:color w:val="000000"/>
                <w:sz w:val="16"/>
              </w:rPr>
              <w:t>0,300</w:t>
            </w:r>
          </w:p>
        </w:tc>
      </w:tr>
      <w:tr w:rsidR="004825AE" w:rsidRPr="00CB683A" w14:paraId="18A331DB" w14:textId="77777777" w:rsidTr="0088064F">
        <w:trPr>
          <w:trHeight w:val="585"/>
        </w:trPr>
        <w:tc>
          <w:tcPr>
            <w:tcW w:w="1980" w:type="dxa"/>
            <w:shd w:val="clear" w:color="auto" w:fill="CCCCCC"/>
            <w:vAlign w:val="center"/>
          </w:tcPr>
          <w:p w14:paraId="3A24B14E" w14:textId="77777777" w:rsidR="004825AE" w:rsidRPr="00CB683A" w:rsidRDefault="004825AE" w:rsidP="0088064F">
            <w:pPr>
              <w:spacing w:before="60" w:after="60" w:line="200" w:lineRule="exact"/>
              <w:jc w:val="center"/>
              <w:rPr>
                <w:b/>
                <w:noProof/>
                <w:sz w:val="16"/>
                <w:szCs w:val="16"/>
              </w:rPr>
            </w:pPr>
            <w:r w:rsidRPr="00CB683A">
              <w:rPr>
                <w:b/>
                <w:noProof/>
                <w:sz w:val="16"/>
              </w:rPr>
              <w:t>Mezisoučet za OKRUH 7</w:t>
            </w:r>
            <w:r w:rsidRPr="00CB683A">
              <w:rPr>
                <w:noProof/>
              </w:rPr>
              <w:t xml:space="preserve"> </w:t>
            </w:r>
            <w:r w:rsidRPr="00CB683A">
              <w:rPr>
                <w:noProof/>
              </w:rPr>
              <w:br/>
            </w:r>
            <w:r w:rsidRPr="00CB683A">
              <w:rPr>
                <w:b/>
                <w:noProof/>
                <w:sz w:val="16"/>
              </w:rPr>
              <w:t xml:space="preserve">víceletého finančního rámce </w:t>
            </w:r>
          </w:p>
        </w:tc>
        <w:tc>
          <w:tcPr>
            <w:tcW w:w="1080" w:type="dxa"/>
            <w:vAlign w:val="center"/>
          </w:tcPr>
          <w:p w14:paraId="2CB2D6A7" w14:textId="77777777" w:rsidR="004825AE" w:rsidRPr="00CB683A" w:rsidRDefault="004825AE" w:rsidP="0088064F">
            <w:pPr>
              <w:spacing w:before="60" w:after="60" w:line="200" w:lineRule="exact"/>
              <w:jc w:val="right"/>
              <w:rPr>
                <w:noProof/>
                <w:sz w:val="16"/>
                <w:szCs w:val="16"/>
              </w:rPr>
            </w:pPr>
            <w:r w:rsidRPr="00CB683A">
              <w:rPr>
                <w:noProof/>
                <w:color w:val="000000"/>
                <w:sz w:val="16"/>
              </w:rPr>
              <w:t>3,756</w:t>
            </w:r>
          </w:p>
        </w:tc>
        <w:tc>
          <w:tcPr>
            <w:tcW w:w="1080" w:type="dxa"/>
            <w:vAlign w:val="center"/>
          </w:tcPr>
          <w:p w14:paraId="63E18BEC" w14:textId="77777777" w:rsidR="004825AE" w:rsidRPr="00CB683A" w:rsidRDefault="004825AE" w:rsidP="0088064F">
            <w:pPr>
              <w:spacing w:before="60" w:after="60" w:line="200" w:lineRule="exact"/>
              <w:jc w:val="right"/>
              <w:rPr>
                <w:noProof/>
                <w:sz w:val="16"/>
                <w:szCs w:val="16"/>
              </w:rPr>
            </w:pPr>
            <w:r w:rsidRPr="00CB683A">
              <w:rPr>
                <w:noProof/>
                <w:color w:val="000000"/>
                <w:sz w:val="16"/>
              </w:rPr>
              <w:t>3,756</w:t>
            </w:r>
          </w:p>
        </w:tc>
        <w:tc>
          <w:tcPr>
            <w:tcW w:w="1080" w:type="dxa"/>
            <w:vAlign w:val="center"/>
          </w:tcPr>
          <w:p w14:paraId="5EC1D2F8" w14:textId="77777777" w:rsidR="004825AE" w:rsidRPr="00CB683A" w:rsidRDefault="004825AE" w:rsidP="0088064F">
            <w:pPr>
              <w:spacing w:before="60" w:after="60" w:line="200" w:lineRule="exact"/>
              <w:jc w:val="right"/>
              <w:rPr>
                <w:noProof/>
                <w:sz w:val="16"/>
                <w:szCs w:val="16"/>
              </w:rPr>
            </w:pPr>
            <w:r w:rsidRPr="00CB683A">
              <w:rPr>
                <w:noProof/>
                <w:color w:val="000000"/>
                <w:sz w:val="16"/>
              </w:rPr>
              <w:t>3,756</w:t>
            </w:r>
          </w:p>
        </w:tc>
        <w:tc>
          <w:tcPr>
            <w:tcW w:w="1080" w:type="dxa"/>
            <w:vAlign w:val="center"/>
          </w:tcPr>
          <w:p w14:paraId="4CC7660F" w14:textId="77777777" w:rsidR="004825AE" w:rsidRPr="00CB683A" w:rsidRDefault="004825AE" w:rsidP="0088064F">
            <w:pPr>
              <w:spacing w:before="60" w:after="60" w:line="200" w:lineRule="exact"/>
              <w:jc w:val="right"/>
              <w:rPr>
                <w:b/>
                <w:noProof/>
                <w:sz w:val="16"/>
                <w:szCs w:val="16"/>
              </w:rPr>
            </w:pPr>
            <w:r w:rsidRPr="00CB683A">
              <w:rPr>
                <w:b/>
                <w:noProof/>
                <w:color w:val="000000"/>
                <w:sz w:val="16"/>
              </w:rPr>
              <w:t>11,268</w:t>
            </w:r>
          </w:p>
        </w:tc>
      </w:tr>
    </w:tbl>
    <w:p w14:paraId="47BC6152" w14:textId="77777777" w:rsidR="004825AE" w:rsidRPr="00CB683A" w:rsidRDefault="004825AE" w:rsidP="004825AE">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337"/>
        <w:gridCol w:w="1820"/>
        <w:gridCol w:w="1821"/>
        <w:gridCol w:w="1821"/>
        <w:gridCol w:w="1821"/>
      </w:tblGrid>
      <w:tr w:rsidR="004825AE" w:rsidRPr="00CB683A" w14:paraId="1FB17B76" w14:textId="77777777" w:rsidTr="0088064F">
        <w:trPr>
          <w:trHeight w:val="585"/>
        </w:trPr>
        <w:tc>
          <w:tcPr>
            <w:tcW w:w="1980" w:type="dxa"/>
            <w:shd w:val="clear" w:color="auto" w:fill="CCCCCC"/>
            <w:vAlign w:val="center"/>
          </w:tcPr>
          <w:p w14:paraId="20EE5A90" w14:textId="77777777" w:rsidR="004825AE" w:rsidRPr="00CB683A" w:rsidRDefault="004825AE" w:rsidP="0088064F">
            <w:pPr>
              <w:spacing w:before="60" w:after="60" w:line="200" w:lineRule="exact"/>
              <w:jc w:val="center"/>
              <w:rPr>
                <w:noProof/>
                <w:sz w:val="16"/>
                <w:szCs w:val="16"/>
              </w:rPr>
            </w:pPr>
            <w:r w:rsidRPr="00CB683A">
              <w:rPr>
                <w:b/>
                <w:noProof/>
                <w:sz w:val="16"/>
              </w:rPr>
              <w:t>Mimo OKRUH 7</w:t>
            </w:r>
            <w:r w:rsidRPr="00CB683A">
              <w:rPr>
                <w:rStyle w:val="FootnoteReference"/>
                <w:b/>
                <w:noProof/>
                <w:sz w:val="16"/>
              </w:rPr>
              <w:footnoteReference w:id="57"/>
            </w:r>
            <w:r w:rsidRPr="00CB683A">
              <w:rPr>
                <w:noProof/>
              </w:rPr>
              <w:br/>
            </w:r>
            <w:r w:rsidRPr="00CB683A">
              <w:rPr>
                <w:b/>
                <w:noProof/>
                <w:sz w:val="16"/>
              </w:rPr>
              <w:t xml:space="preserve">víceletého finančního rámce </w:t>
            </w:r>
          </w:p>
          <w:p w14:paraId="7314FCA2" w14:textId="77777777" w:rsidR="004825AE" w:rsidRPr="00CB683A" w:rsidRDefault="004825AE" w:rsidP="0088064F">
            <w:pPr>
              <w:spacing w:before="0" w:after="0" w:line="200" w:lineRule="exact"/>
              <w:jc w:val="center"/>
              <w:rPr>
                <w:b/>
                <w:noProof/>
                <w:sz w:val="16"/>
                <w:szCs w:val="16"/>
              </w:rPr>
            </w:pPr>
          </w:p>
        </w:tc>
        <w:tc>
          <w:tcPr>
            <w:tcW w:w="1080" w:type="dxa"/>
            <w:vAlign w:val="center"/>
          </w:tcPr>
          <w:p w14:paraId="072CC725" w14:textId="77777777" w:rsidR="004825AE" w:rsidRPr="00CB683A" w:rsidRDefault="004825AE" w:rsidP="0088064F">
            <w:pPr>
              <w:spacing w:before="60" w:after="60" w:line="200" w:lineRule="exact"/>
              <w:jc w:val="right"/>
              <w:rPr>
                <w:noProof/>
                <w:sz w:val="16"/>
                <w:szCs w:val="16"/>
              </w:rPr>
            </w:pPr>
          </w:p>
        </w:tc>
        <w:tc>
          <w:tcPr>
            <w:tcW w:w="1080" w:type="dxa"/>
            <w:vAlign w:val="center"/>
          </w:tcPr>
          <w:p w14:paraId="5BE08652" w14:textId="77777777" w:rsidR="004825AE" w:rsidRPr="00CB683A" w:rsidRDefault="004825AE" w:rsidP="0088064F">
            <w:pPr>
              <w:spacing w:before="60" w:after="60" w:line="200" w:lineRule="exact"/>
              <w:jc w:val="right"/>
              <w:rPr>
                <w:noProof/>
                <w:sz w:val="16"/>
                <w:szCs w:val="16"/>
              </w:rPr>
            </w:pPr>
          </w:p>
        </w:tc>
        <w:tc>
          <w:tcPr>
            <w:tcW w:w="1080" w:type="dxa"/>
            <w:vAlign w:val="center"/>
          </w:tcPr>
          <w:p w14:paraId="4F8DD440" w14:textId="77777777" w:rsidR="004825AE" w:rsidRPr="00CB683A" w:rsidRDefault="004825AE" w:rsidP="0088064F">
            <w:pPr>
              <w:spacing w:before="60" w:after="60" w:line="200" w:lineRule="exact"/>
              <w:jc w:val="right"/>
              <w:rPr>
                <w:noProof/>
                <w:sz w:val="16"/>
                <w:szCs w:val="16"/>
              </w:rPr>
            </w:pPr>
          </w:p>
        </w:tc>
        <w:tc>
          <w:tcPr>
            <w:tcW w:w="1080" w:type="dxa"/>
            <w:vAlign w:val="center"/>
          </w:tcPr>
          <w:p w14:paraId="0F147AA3" w14:textId="77777777" w:rsidR="004825AE" w:rsidRPr="00CB683A" w:rsidRDefault="004825AE" w:rsidP="0088064F">
            <w:pPr>
              <w:spacing w:before="60" w:after="60" w:line="200" w:lineRule="exact"/>
              <w:jc w:val="right"/>
              <w:rPr>
                <w:b/>
                <w:noProof/>
                <w:sz w:val="16"/>
                <w:szCs w:val="16"/>
              </w:rPr>
            </w:pPr>
          </w:p>
        </w:tc>
      </w:tr>
      <w:tr w:rsidR="004825AE" w:rsidRPr="00CB683A" w14:paraId="5A663DBF" w14:textId="77777777" w:rsidTr="0088064F">
        <w:trPr>
          <w:trHeight w:val="585"/>
        </w:trPr>
        <w:tc>
          <w:tcPr>
            <w:tcW w:w="1980" w:type="dxa"/>
            <w:vAlign w:val="center"/>
          </w:tcPr>
          <w:p w14:paraId="76DA12D7" w14:textId="77777777" w:rsidR="004825AE" w:rsidRPr="00CB683A" w:rsidRDefault="004825AE" w:rsidP="0088064F">
            <w:pPr>
              <w:spacing w:before="60" w:after="60" w:line="200" w:lineRule="exact"/>
              <w:ind w:left="72"/>
              <w:jc w:val="left"/>
              <w:rPr>
                <w:noProof/>
                <w:sz w:val="16"/>
                <w:szCs w:val="16"/>
              </w:rPr>
            </w:pPr>
            <w:r w:rsidRPr="00CB683A">
              <w:rPr>
                <w:noProof/>
                <w:sz w:val="16"/>
              </w:rPr>
              <w:t xml:space="preserve">Lidské zdroje </w:t>
            </w:r>
          </w:p>
        </w:tc>
        <w:tc>
          <w:tcPr>
            <w:tcW w:w="1080" w:type="dxa"/>
            <w:vAlign w:val="center"/>
          </w:tcPr>
          <w:p w14:paraId="2711AC0E" w14:textId="77777777" w:rsidR="004825AE" w:rsidRPr="00CB683A" w:rsidRDefault="004825AE" w:rsidP="0088064F">
            <w:pPr>
              <w:spacing w:before="60" w:after="60" w:line="200" w:lineRule="exact"/>
              <w:jc w:val="right"/>
              <w:rPr>
                <w:noProof/>
                <w:sz w:val="16"/>
                <w:szCs w:val="16"/>
              </w:rPr>
            </w:pPr>
          </w:p>
        </w:tc>
        <w:tc>
          <w:tcPr>
            <w:tcW w:w="1080" w:type="dxa"/>
            <w:vAlign w:val="center"/>
          </w:tcPr>
          <w:p w14:paraId="6C0268EE" w14:textId="77777777" w:rsidR="004825AE" w:rsidRPr="00CB683A" w:rsidRDefault="004825AE" w:rsidP="0088064F">
            <w:pPr>
              <w:spacing w:before="60" w:after="60" w:line="200" w:lineRule="exact"/>
              <w:jc w:val="right"/>
              <w:rPr>
                <w:noProof/>
                <w:sz w:val="16"/>
                <w:szCs w:val="16"/>
              </w:rPr>
            </w:pPr>
          </w:p>
        </w:tc>
        <w:tc>
          <w:tcPr>
            <w:tcW w:w="1080" w:type="dxa"/>
            <w:vAlign w:val="center"/>
          </w:tcPr>
          <w:p w14:paraId="3380561E" w14:textId="77777777" w:rsidR="004825AE" w:rsidRPr="00CB683A" w:rsidRDefault="004825AE" w:rsidP="0088064F">
            <w:pPr>
              <w:spacing w:before="60" w:after="60" w:line="200" w:lineRule="exact"/>
              <w:jc w:val="right"/>
              <w:rPr>
                <w:noProof/>
                <w:sz w:val="16"/>
                <w:szCs w:val="16"/>
              </w:rPr>
            </w:pPr>
          </w:p>
        </w:tc>
        <w:tc>
          <w:tcPr>
            <w:tcW w:w="1080" w:type="dxa"/>
            <w:vAlign w:val="center"/>
          </w:tcPr>
          <w:p w14:paraId="5D7486DA" w14:textId="77777777" w:rsidR="004825AE" w:rsidRPr="00CB683A" w:rsidRDefault="004825AE" w:rsidP="0088064F">
            <w:pPr>
              <w:spacing w:before="60" w:after="60" w:line="200" w:lineRule="exact"/>
              <w:jc w:val="right"/>
              <w:rPr>
                <w:b/>
                <w:noProof/>
                <w:sz w:val="16"/>
                <w:szCs w:val="16"/>
              </w:rPr>
            </w:pPr>
          </w:p>
        </w:tc>
      </w:tr>
      <w:tr w:rsidR="004825AE" w:rsidRPr="00CB683A" w14:paraId="7989AA49" w14:textId="77777777" w:rsidTr="0088064F">
        <w:trPr>
          <w:trHeight w:val="585"/>
        </w:trPr>
        <w:tc>
          <w:tcPr>
            <w:tcW w:w="1980" w:type="dxa"/>
            <w:vAlign w:val="center"/>
          </w:tcPr>
          <w:p w14:paraId="1F5BBF73" w14:textId="77777777" w:rsidR="004825AE" w:rsidRPr="00CB683A" w:rsidRDefault="004825AE" w:rsidP="0088064F">
            <w:pPr>
              <w:spacing w:before="60" w:after="60" w:line="200" w:lineRule="exact"/>
              <w:ind w:left="72"/>
              <w:jc w:val="left"/>
              <w:rPr>
                <w:noProof/>
                <w:sz w:val="16"/>
                <w:szCs w:val="16"/>
              </w:rPr>
            </w:pPr>
            <w:r w:rsidRPr="00CB683A">
              <w:rPr>
                <w:noProof/>
                <w:sz w:val="16"/>
              </w:rPr>
              <w:t>Ostatní výdaje</w:t>
            </w:r>
            <w:r w:rsidRPr="00CB683A">
              <w:rPr>
                <w:noProof/>
              </w:rPr>
              <w:t xml:space="preserve"> </w:t>
            </w:r>
            <w:r w:rsidRPr="00CB683A">
              <w:rPr>
                <w:noProof/>
              </w:rPr>
              <w:br/>
            </w:r>
            <w:r w:rsidRPr="00CB683A">
              <w:rPr>
                <w:noProof/>
                <w:sz w:val="16"/>
              </w:rPr>
              <w:t>správní povahy</w:t>
            </w:r>
          </w:p>
        </w:tc>
        <w:tc>
          <w:tcPr>
            <w:tcW w:w="1080" w:type="dxa"/>
            <w:vAlign w:val="center"/>
          </w:tcPr>
          <w:p w14:paraId="1DCC6A4F" w14:textId="77777777" w:rsidR="004825AE" w:rsidRPr="00CB683A" w:rsidRDefault="004825AE" w:rsidP="0088064F">
            <w:pPr>
              <w:spacing w:before="60" w:after="60" w:line="200" w:lineRule="exact"/>
              <w:jc w:val="right"/>
              <w:rPr>
                <w:noProof/>
                <w:sz w:val="16"/>
                <w:szCs w:val="16"/>
              </w:rPr>
            </w:pPr>
          </w:p>
        </w:tc>
        <w:tc>
          <w:tcPr>
            <w:tcW w:w="1080" w:type="dxa"/>
            <w:vAlign w:val="center"/>
          </w:tcPr>
          <w:p w14:paraId="46170FC5" w14:textId="77777777" w:rsidR="004825AE" w:rsidRPr="00CB683A" w:rsidRDefault="004825AE" w:rsidP="0088064F">
            <w:pPr>
              <w:spacing w:before="60" w:after="60" w:line="200" w:lineRule="exact"/>
              <w:jc w:val="right"/>
              <w:rPr>
                <w:noProof/>
                <w:sz w:val="16"/>
                <w:szCs w:val="16"/>
              </w:rPr>
            </w:pPr>
          </w:p>
        </w:tc>
        <w:tc>
          <w:tcPr>
            <w:tcW w:w="1080" w:type="dxa"/>
            <w:vAlign w:val="center"/>
          </w:tcPr>
          <w:p w14:paraId="7DC4E5CF" w14:textId="77777777" w:rsidR="004825AE" w:rsidRPr="00CB683A" w:rsidRDefault="004825AE" w:rsidP="0088064F">
            <w:pPr>
              <w:spacing w:before="60" w:after="60" w:line="200" w:lineRule="exact"/>
              <w:jc w:val="right"/>
              <w:rPr>
                <w:noProof/>
                <w:sz w:val="16"/>
                <w:szCs w:val="16"/>
              </w:rPr>
            </w:pPr>
          </w:p>
        </w:tc>
        <w:tc>
          <w:tcPr>
            <w:tcW w:w="1080" w:type="dxa"/>
            <w:vAlign w:val="center"/>
          </w:tcPr>
          <w:p w14:paraId="05B12FF6" w14:textId="77777777" w:rsidR="004825AE" w:rsidRPr="00CB683A" w:rsidRDefault="004825AE" w:rsidP="0088064F">
            <w:pPr>
              <w:spacing w:before="60" w:after="60" w:line="200" w:lineRule="exact"/>
              <w:jc w:val="right"/>
              <w:rPr>
                <w:b/>
                <w:noProof/>
                <w:sz w:val="16"/>
                <w:szCs w:val="16"/>
              </w:rPr>
            </w:pPr>
          </w:p>
        </w:tc>
      </w:tr>
      <w:tr w:rsidR="004825AE" w:rsidRPr="00CB683A" w14:paraId="7794159F" w14:textId="77777777" w:rsidTr="0088064F">
        <w:trPr>
          <w:trHeight w:val="585"/>
        </w:trPr>
        <w:tc>
          <w:tcPr>
            <w:tcW w:w="1980" w:type="dxa"/>
            <w:shd w:val="clear" w:color="auto" w:fill="CCCCCC"/>
            <w:vAlign w:val="center"/>
          </w:tcPr>
          <w:p w14:paraId="31569C05" w14:textId="77777777" w:rsidR="004825AE" w:rsidRPr="00CB683A" w:rsidRDefault="004825AE" w:rsidP="0088064F">
            <w:pPr>
              <w:spacing w:before="60" w:after="60" w:line="200" w:lineRule="exact"/>
              <w:jc w:val="center"/>
              <w:rPr>
                <w:b/>
                <w:noProof/>
                <w:sz w:val="16"/>
                <w:szCs w:val="16"/>
              </w:rPr>
            </w:pPr>
            <w:r w:rsidRPr="00CB683A">
              <w:rPr>
                <w:b/>
                <w:noProof/>
                <w:sz w:val="16"/>
              </w:rPr>
              <w:t>Mezisoučet</w:t>
            </w:r>
            <w:r w:rsidRPr="00CB683A">
              <w:rPr>
                <w:noProof/>
              </w:rPr>
              <w:t xml:space="preserve"> </w:t>
            </w:r>
            <w:r w:rsidRPr="00CB683A">
              <w:rPr>
                <w:noProof/>
              </w:rPr>
              <w:br/>
            </w:r>
            <w:r w:rsidRPr="00CB683A">
              <w:rPr>
                <w:b/>
                <w:noProof/>
                <w:sz w:val="16"/>
              </w:rPr>
              <w:t>mimo OKRUH 7</w:t>
            </w:r>
            <w:r w:rsidRPr="00CB683A">
              <w:rPr>
                <w:noProof/>
              </w:rPr>
              <w:t xml:space="preserve"> </w:t>
            </w:r>
            <w:r w:rsidRPr="00CB683A">
              <w:rPr>
                <w:noProof/>
              </w:rPr>
              <w:br/>
            </w:r>
            <w:r w:rsidRPr="00CB683A">
              <w:rPr>
                <w:b/>
                <w:noProof/>
                <w:sz w:val="16"/>
              </w:rPr>
              <w:t xml:space="preserve">víceletého finančního rámce </w:t>
            </w:r>
          </w:p>
        </w:tc>
        <w:tc>
          <w:tcPr>
            <w:tcW w:w="1080" w:type="dxa"/>
            <w:vAlign w:val="center"/>
          </w:tcPr>
          <w:p w14:paraId="62AC3C10" w14:textId="77777777" w:rsidR="004825AE" w:rsidRPr="00CB683A" w:rsidRDefault="004825AE" w:rsidP="0088064F">
            <w:pPr>
              <w:spacing w:before="60" w:after="60" w:line="200" w:lineRule="exact"/>
              <w:jc w:val="right"/>
              <w:rPr>
                <w:noProof/>
                <w:sz w:val="16"/>
                <w:szCs w:val="16"/>
              </w:rPr>
            </w:pPr>
          </w:p>
        </w:tc>
        <w:tc>
          <w:tcPr>
            <w:tcW w:w="1080" w:type="dxa"/>
            <w:vAlign w:val="center"/>
          </w:tcPr>
          <w:p w14:paraId="04892043" w14:textId="77777777" w:rsidR="004825AE" w:rsidRPr="00CB683A" w:rsidRDefault="004825AE" w:rsidP="0088064F">
            <w:pPr>
              <w:spacing w:before="60" w:after="60" w:line="200" w:lineRule="exact"/>
              <w:jc w:val="right"/>
              <w:rPr>
                <w:noProof/>
                <w:sz w:val="16"/>
                <w:szCs w:val="16"/>
              </w:rPr>
            </w:pPr>
          </w:p>
        </w:tc>
        <w:tc>
          <w:tcPr>
            <w:tcW w:w="1080" w:type="dxa"/>
            <w:vAlign w:val="center"/>
          </w:tcPr>
          <w:p w14:paraId="1BA753C7" w14:textId="77777777" w:rsidR="004825AE" w:rsidRPr="00CB683A" w:rsidRDefault="004825AE" w:rsidP="0088064F">
            <w:pPr>
              <w:spacing w:before="60" w:after="60" w:line="200" w:lineRule="exact"/>
              <w:jc w:val="right"/>
              <w:rPr>
                <w:noProof/>
                <w:sz w:val="16"/>
                <w:szCs w:val="16"/>
              </w:rPr>
            </w:pPr>
          </w:p>
        </w:tc>
        <w:tc>
          <w:tcPr>
            <w:tcW w:w="1080" w:type="dxa"/>
            <w:vAlign w:val="center"/>
          </w:tcPr>
          <w:p w14:paraId="7D45BDED" w14:textId="77777777" w:rsidR="004825AE" w:rsidRPr="00CB683A" w:rsidRDefault="004825AE" w:rsidP="0088064F">
            <w:pPr>
              <w:spacing w:before="60" w:after="60" w:line="200" w:lineRule="exact"/>
              <w:jc w:val="right"/>
              <w:rPr>
                <w:b/>
                <w:noProof/>
                <w:sz w:val="16"/>
                <w:szCs w:val="16"/>
              </w:rPr>
            </w:pPr>
          </w:p>
        </w:tc>
      </w:tr>
    </w:tbl>
    <w:p w14:paraId="070E5D97" w14:textId="77777777" w:rsidR="004825AE" w:rsidRPr="00CB683A" w:rsidRDefault="004825AE" w:rsidP="004825AE">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3337"/>
        <w:gridCol w:w="1820"/>
        <w:gridCol w:w="1821"/>
        <w:gridCol w:w="1821"/>
        <w:gridCol w:w="1821"/>
      </w:tblGrid>
      <w:tr w:rsidR="004825AE" w:rsidRPr="00CB683A" w14:paraId="7AB43714" w14:textId="77777777" w:rsidTr="0088064F">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4D2921D4" w14:textId="77777777" w:rsidR="004825AE" w:rsidRPr="00CB683A" w:rsidRDefault="004825AE" w:rsidP="0088064F">
            <w:pPr>
              <w:spacing w:before="60" w:after="60" w:line="200" w:lineRule="exact"/>
              <w:jc w:val="center"/>
              <w:rPr>
                <w:noProof/>
                <w:sz w:val="16"/>
                <w:szCs w:val="16"/>
              </w:rPr>
            </w:pPr>
            <w:r w:rsidRPr="00CB683A">
              <w:rPr>
                <w:b/>
                <w:noProof/>
                <w:sz w:val="16"/>
              </w:rPr>
              <w:t>CELKEM</w:t>
            </w:r>
          </w:p>
        </w:tc>
        <w:tc>
          <w:tcPr>
            <w:tcW w:w="1080" w:type="dxa"/>
            <w:tcBorders>
              <w:top w:val="single" w:sz="12" w:space="0" w:color="auto"/>
              <w:left w:val="single" w:sz="2" w:space="0" w:color="auto"/>
              <w:bottom w:val="single" w:sz="12" w:space="0" w:color="auto"/>
              <w:right w:val="single" w:sz="2" w:space="0" w:color="auto"/>
            </w:tcBorders>
            <w:vAlign w:val="center"/>
          </w:tcPr>
          <w:p w14:paraId="3E038FCB" w14:textId="77777777" w:rsidR="004825AE" w:rsidRPr="00CB683A" w:rsidRDefault="004825AE" w:rsidP="0088064F">
            <w:pPr>
              <w:spacing w:before="60" w:after="60" w:line="200" w:lineRule="exact"/>
              <w:jc w:val="right"/>
              <w:rPr>
                <w:b/>
                <w:noProof/>
                <w:sz w:val="16"/>
                <w:szCs w:val="16"/>
              </w:rPr>
            </w:pPr>
            <w:r w:rsidRPr="00CB683A">
              <w:rPr>
                <w:noProof/>
                <w:color w:val="000000"/>
                <w:sz w:val="16"/>
              </w:rPr>
              <w:t>3,756</w:t>
            </w:r>
          </w:p>
        </w:tc>
        <w:tc>
          <w:tcPr>
            <w:tcW w:w="1080" w:type="dxa"/>
            <w:tcBorders>
              <w:top w:val="single" w:sz="12" w:space="0" w:color="auto"/>
              <w:left w:val="single" w:sz="2" w:space="0" w:color="auto"/>
              <w:bottom w:val="single" w:sz="12" w:space="0" w:color="auto"/>
              <w:right w:val="single" w:sz="2" w:space="0" w:color="auto"/>
            </w:tcBorders>
            <w:vAlign w:val="center"/>
          </w:tcPr>
          <w:p w14:paraId="29B0270E" w14:textId="77777777" w:rsidR="004825AE" w:rsidRPr="00CB683A" w:rsidRDefault="004825AE" w:rsidP="0088064F">
            <w:pPr>
              <w:spacing w:before="60" w:after="60" w:line="200" w:lineRule="exact"/>
              <w:jc w:val="right"/>
              <w:rPr>
                <w:b/>
                <w:noProof/>
                <w:sz w:val="16"/>
                <w:szCs w:val="16"/>
              </w:rPr>
            </w:pPr>
            <w:r w:rsidRPr="00CB683A">
              <w:rPr>
                <w:noProof/>
                <w:color w:val="000000"/>
                <w:sz w:val="16"/>
              </w:rPr>
              <w:t>3,756</w:t>
            </w:r>
          </w:p>
        </w:tc>
        <w:tc>
          <w:tcPr>
            <w:tcW w:w="1080" w:type="dxa"/>
            <w:tcBorders>
              <w:top w:val="single" w:sz="12" w:space="0" w:color="auto"/>
              <w:left w:val="single" w:sz="2" w:space="0" w:color="auto"/>
              <w:bottom w:val="single" w:sz="12" w:space="0" w:color="auto"/>
              <w:right w:val="single" w:sz="2" w:space="0" w:color="auto"/>
            </w:tcBorders>
            <w:vAlign w:val="center"/>
          </w:tcPr>
          <w:p w14:paraId="65D7026D" w14:textId="77777777" w:rsidR="004825AE" w:rsidRPr="00CB683A" w:rsidRDefault="004825AE" w:rsidP="0088064F">
            <w:pPr>
              <w:spacing w:before="60" w:after="60" w:line="200" w:lineRule="exact"/>
              <w:jc w:val="right"/>
              <w:rPr>
                <w:b/>
                <w:noProof/>
                <w:sz w:val="16"/>
                <w:szCs w:val="16"/>
              </w:rPr>
            </w:pPr>
            <w:r w:rsidRPr="00CB683A">
              <w:rPr>
                <w:noProof/>
                <w:color w:val="000000"/>
                <w:sz w:val="16"/>
              </w:rPr>
              <w:t>3,756</w:t>
            </w:r>
          </w:p>
        </w:tc>
        <w:tc>
          <w:tcPr>
            <w:tcW w:w="1080" w:type="dxa"/>
            <w:tcBorders>
              <w:top w:val="single" w:sz="12" w:space="0" w:color="auto"/>
              <w:left w:val="single" w:sz="2" w:space="0" w:color="auto"/>
              <w:bottom w:val="single" w:sz="12" w:space="0" w:color="auto"/>
              <w:right w:val="single" w:sz="12" w:space="0" w:color="auto"/>
            </w:tcBorders>
            <w:vAlign w:val="center"/>
          </w:tcPr>
          <w:p w14:paraId="0484EE3C" w14:textId="77777777" w:rsidR="004825AE" w:rsidRPr="00CB683A" w:rsidRDefault="004825AE" w:rsidP="0088064F">
            <w:pPr>
              <w:spacing w:before="60" w:after="60" w:line="200" w:lineRule="exact"/>
              <w:jc w:val="right"/>
              <w:rPr>
                <w:b/>
                <w:noProof/>
                <w:sz w:val="16"/>
                <w:szCs w:val="16"/>
              </w:rPr>
            </w:pPr>
            <w:r w:rsidRPr="00CB683A">
              <w:rPr>
                <w:b/>
                <w:noProof/>
                <w:color w:val="000000"/>
                <w:sz w:val="16"/>
              </w:rPr>
              <w:t>11,268</w:t>
            </w:r>
          </w:p>
        </w:tc>
      </w:tr>
    </w:tbl>
    <w:p w14:paraId="6EB1FED0" w14:textId="77777777" w:rsidR="004825AE" w:rsidRPr="00CB683A" w:rsidRDefault="004825AE" w:rsidP="004825AE">
      <w:pPr>
        <w:rPr>
          <w:noProof/>
          <w:sz w:val="18"/>
        </w:rPr>
      </w:pPr>
      <w:r w:rsidRPr="00CB683A">
        <w:rPr>
          <w:noProof/>
          <w:sz w:val="18"/>
        </w:rPr>
        <w:t>Potřebné prostředky na oblast lidských zdrojů a na ostatní výdaje správní povahy budou pokryty z prostředků GŘ, které jsou již vyčleněny na řízení akce a/nebo byly vnitřně přerozděleny v rámci GŘ a případně doplněny z dodatečného přídělu, který lze řídícímu GŘ poskytnout v rámci ročního přidělování a s ohledem na rozpočtová omezení.</w:t>
      </w:r>
    </w:p>
    <w:p w14:paraId="3D8957D7" w14:textId="77777777" w:rsidR="004825AE" w:rsidRPr="00CB683A" w:rsidRDefault="004825AE" w:rsidP="004825AE">
      <w:pPr>
        <w:rPr>
          <w:noProof/>
          <w:sz w:val="18"/>
        </w:rPr>
        <w:sectPr w:rsidR="004825AE" w:rsidRPr="00CB683A" w:rsidSect="009925B6">
          <w:headerReference w:type="default" r:id="rId20"/>
          <w:footerReference w:type="default" r:id="rId21"/>
          <w:headerReference w:type="first" r:id="rId22"/>
          <w:footerReference w:type="first" r:id="rId23"/>
          <w:pgSz w:w="11907" w:h="16840"/>
          <w:pgMar w:top="1134" w:right="1418" w:bottom="1134" w:left="1418" w:header="709" w:footer="709" w:gutter="0"/>
          <w:cols w:space="708"/>
          <w:docGrid w:linePitch="360"/>
        </w:sectPr>
      </w:pPr>
    </w:p>
    <w:p w14:paraId="58FBAAB2" w14:textId="5E086F9B" w:rsidR="004825AE" w:rsidRPr="00CB683A" w:rsidRDefault="00891439" w:rsidP="00891439">
      <w:pPr>
        <w:pStyle w:val="ManualHeading4"/>
        <w:rPr>
          <w:bCs/>
          <w:noProof/>
          <w:szCs w:val="24"/>
        </w:rPr>
      </w:pPr>
      <w:r w:rsidRPr="00891439">
        <w:t>3.2.3.1.</w:t>
      </w:r>
      <w:r w:rsidRPr="00891439">
        <w:tab/>
      </w:r>
      <w:r w:rsidR="004825AE" w:rsidRPr="00CB683A">
        <w:rPr>
          <w:noProof/>
        </w:rPr>
        <w:t xml:space="preserve">Odhadované potřeby v oblasti lidských zdrojů </w:t>
      </w:r>
    </w:p>
    <w:p w14:paraId="49D05577" w14:textId="77777777" w:rsidR="004825AE" w:rsidRPr="00CB683A" w:rsidRDefault="004825AE" w:rsidP="004825AE">
      <w:pPr>
        <w:pStyle w:val="ListDash1"/>
        <w:rPr>
          <w:noProof/>
        </w:rPr>
      </w:pPr>
      <w:r w:rsidRPr="00CB683A">
        <w:rPr>
          <w:noProof/>
        </w:rPr>
        <w:sym w:font="Wingdings" w:char="F0A8"/>
      </w:r>
      <w:r w:rsidRPr="00CB683A">
        <w:rPr>
          <w:noProof/>
        </w:rPr>
        <w:tab/>
        <w:t xml:space="preserve">Návrh/podnět nevyžaduje využití lidských zdrojů. </w:t>
      </w:r>
    </w:p>
    <w:p w14:paraId="586B9829" w14:textId="77777777" w:rsidR="004825AE" w:rsidRPr="00CB683A" w:rsidRDefault="004825AE" w:rsidP="004825AE">
      <w:pPr>
        <w:pStyle w:val="ListDash1"/>
        <w:rPr>
          <w:noProof/>
        </w:rPr>
      </w:pPr>
      <w:r w:rsidRPr="00CB683A">
        <w:rPr>
          <w:noProof/>
        </w:rPr>
        <w:sym w:font="Wingdings" w:char="F0FD"/>
      </w:r>
      <w:r w:rsidRPr="00CB683A">
        <w:rPr>
          <w:noProof/>
        </w:rPr>
        <w:tab/>
        <w:t>Návrh/podnět vyžaduje využití lidských zdrojů, jak je vysvětleno dále:</w:t>
      </w:r>
    </w:p>
    <w:p w14:paraId="32B9463F" w14:textId="77777777" w:rsidR="004825AE" w:rsidRPr="00CB683A" w:rsidRDefault="004825AE" w:rsidP="004825AE">
      <w:pPr>
        <w:spacing w:after="60"/>
        <w:jc w:val="right"/>
        <w:rPr>
          <w:i/>
          <w:noProof/>
          <w:sz w:val="20"/>
        </w:rPr>
      </w:pPr>
      <w:r w:rsidRPr="00CB683A">
        <w:rPr>
          <w:i/>
          <w:noProof/>
          <w:sz w:val="20"/>
        </w:rPr>
        <w:t>Odhad vyjádřete v přepočtu na plné pracovní úvazky</w:t>
      </w:r>
    </w:p>
    <w:tbl>
      <w:tblPr>
        <w:tblW w:w="9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342"/>
        <w:gridCol w:w="2377"/>
        <w:gridCol w:w="1479"/>
        <w:gridCol w:w="1479"/>
        <w:gridCol w:w="1480"/>
      </w:tblGrid>
      <w:tr w:rsidR="004825AE" w:rsidRPr="00CB683A" w14:paraId="517DCAAF" w14:textId="77777777" w:rsidTr="0088064F">
        <w:trPr>
          <w:trHeight w:val="289"/>
          <w:jc w:val="center"/>
        </w:trPr>
        <w:tc>
          <w:tcPr>
            <w:tcW w:w="4719" w:type="dxa"/>
            <w:gridSpan w:val="2"/>
            <w:shd w:val="clear" w:color="auto" w:fill="auto"/>
          </w:tcPr>
          <w:p w14:paraId="08C8A134" w14:textId="77777777" w:rsidR="004825AE" w:rsidRPr="00CB683A" w:rsidRDefault="004825AE" w:rsidP="0088064F">
            <w:pPr>
              <w:pStyle w:val="Text1"/>
              <w:spacing w:before="40" w:after="40"/>
              <w:ind w:left="0"/>
              <w:jc w:val="center"/>
              <w:rPr>
                <w:i/>
                <w:noProof/>
                <w:sz w:val="16"/>
                <w:szCs w:val="16"/>
              </w:rPr>
            </w:pPr>
          </w:p>
        </w:tc>
        <w:tc>
          <w:tcPr>
            <w:tcW w:w="1479" w:type="dxa"/>
            <w:shd w:val="clear" w:color="auto" w:fill="auto"/>
            <w:vAlign w:val="center"/>
          </w:tcPr>
          <w:p w14:paraId="13DCF1DA" w14:textId="77777777" w:rsidR="004825AE" w:rsidRPr="00CB683A" w:rsidRDefault="004825AE" w:rsidP="0088064F">
            <w:pPr>
              <w:spacing w:before="20" w:after="20"/>
              <w:jc w:val="center"/>
              <w:rPr>
                <w:noProof/>
                <w:sz w:val="16"/>
                <w:szCs w:val="16"/>
              </w:rPr>
            </w:pPr>
            <w:r w:rsidRPr="00CB683A">
              <w:rPr>
                <w:noProof/>
                <w:sz w:val="16"/>
              </w:rPr>
              <w:t>Rok</w:t>
            </w:r>
            <w:r w:rsidRPr="00CB683A">
              <w:rPr>
                <w:noProof/>
              </w:rPr>
              <w:t xml:space="preserve"> </w:t>
            </w:r>
            <w:r w:rsidRPr="00CB683A">
              <w:rPr>
                <w:noProof/>
              </w:rPr>
              <w:br/>
            </w:r>
            <w:r w:rsidRPr="00CB683A">
              <w:rPr>
                <w:b/>
                <w:noProof/>
                <w:sz w:val="16"/>
              </w:rPr>
              <w:t>2025</w:t>
            </w:r>
          </w:p>
        </w:tc>
        <w:tc>
          <w:tcPr>
            <w:tcW w:w="1479" w:type="dxa"/>
            <w:shd w:val="clear" w:color="auto" w:fill="auto"/>
            <w:vAlign w:val="center"/>
          </w:tcPr>
          <w:p w14:paraId="1E37073F" w14:textId="77777777" w:rsidR="004825AE" w:rsidRPr="00CB683A" w:rsidRDefault="004825AE" w:rsidP="0088064F">
            <w:pPr>
              <w:spacing w:before="20" w:after="20"/>
              <w:jc w:val="center"/>
              <w:rPr>
                <w:noProof/>
                <w:sz w:val="16"/>
                <w:szCs w:val="16"/>
              </w:rPr>
            </w:pPr>
            <w:r w:rsidRPr="00CB683A">
              <w:rPr>
                <w:noProof/>
                <w:sz w:val="16"/>
              </w:rPr>
              <w:t>Rok</w:t>
            </w:r>
            <w:r w:rsidRPr="00CB683A">
              <w:rPr>
                <w:noProof/>
              </w:rPr>
              <w:t xml:space="preserve"> </w:t>
            </w:r>
            <w:r w:rsidRPr="00CB683A">
              <w:rPr>
                <w:noProof/>
              </w:rPr>
              <w:br/>
            </w:r>
            <w:r w:rsidRPr="00CB683A">
              <w:rPr>
                <w:b/>
                <w:noProof/>
                <w:sz w:val="16"/>
              </w:rPr>
              <w:t>2026</w:t>
            </w:r>
          </w:p>
        </w:tc>
        <w:tc>
          <w:tcPr>
            <w:tcW w:w="1480" w:type="dxa"/>
            <w:shd w:val="clear" w:color="auto" w:fill="auto"/>
            <w:vAlign w:val="center"/>
          </w:tcPr>
          <w:p w14:paraId="401DC791" w14:textId="77777777" w:rsidR="004825AE" w:rsidRPr="00CB683A" w:rsidRDefault="004825AE" w:rsidP="0088064F">
            <w:pPr>
              <w:spacing w:before="20" w:after="20"/>
              <w:jc w:val="center"/>
              <w:rPr>
                <w:noProof/>
                <w:sz w:val="16"/>
                <w:szCs w:val="16"/>
              </w:rPr>
            </w:pPr>
            <w:r w:rsidRPr="00CB683A">
              <w:rPr>
                <w:noProof/>
                <w:sz w:val="16"/>
              </w:rPr>
              <w:t>Rok</w:t>
            </w:r>
            <w:r w:rsidRPr="00CB683A">
              <w:rPr>
                <w:noProof/>
              </w:rPr>
              <w:t xml:space="preserve"> </w:t>
            </w:r>
            <w:r w:rsidRPr="00CB683A">
              <w:rPr>
                <w:noProof/>
              </w:rPr>
              <w:br/>
            </w:r>
            <w:r w:rsidRPr="00CB683A">
              <w:rPr>
                <w:b/>
                <w:noProof/>
                <w:sz w:val="16"/>
              </w:rPr>
              <w:t>2027</w:t>
            </w:r>
          </w:p>
        </w:tc>
      </w:tr>
      <w:tr w:rsidR="004825AE" w:rsidRPr="00CB683A" w14:paraId="56B281E9" w14:textId="77777777" w:rsidTr="0088064F">
        <w:trPr>
          <w:trHeight w:val="289"/>
          <w:jc w:val="center"/>
        </w:trPr>
        <w:tc>
          <w:tcPr>
            <w:tcW w:w="9157" w:type="dxa"/>
            <w:gridSpan w:val="5"/>
          </w:tcPr>
          <w:p w14:paraId="61D58093" w14:textId="77777777" w:rsidR="004825AE" w:rsidRPr="00CB683A" w:rsidRDefault="004825AE" w:rsidP="0088064F">
            <w:pPr>
              <w:jc w:val="left"/>
              <w:rPr>
                <w:noProof/>
                <w:sz w:val="16"/>
                <w:szCs w:val="16"/>
              </w:rPr>
            </w:pPr>
            <w:r w:rsidRPr="00CB683A">
              <w:rPr>
                <w:b/>
                <w:noProof/>
                <w:sz w:val="16"/>
              </w:rPr>
              <w:sym w:font="Wingdings" w:char="F09F"/>
            </w:r>
            <w:r w:rsidRPr="00CB683A">
              <w:rPr>
                <w:b/>
                <w:noProof/>
                <w:sz w:val="16"/>
              </w:rPr>
              <w:t xml:space="preserve"> Pracovní místa podle plánu pracovních míst (místa úředníků a dočasných zaměstnanců)</w:t>
            </w:r>
          </w:p>
        </w:tc>
      </w:tr>
      <w:tr w:rsidR="004825AE" w:rsidRPr="00CB683A" w14:paraId="4437769C" w14:textId="77777777" w:rsidTr="0088064F">
        <w:trPr>
          <w:trHeight w:val="289"/>
          <w:jc w:val="center"/>
        </w:trPr>
        <w:tc>
          <w:tcPr>
            <w:tcW w:w="4719" w:type="dxa"/>
            <w:gridSpan w:val="2"/>
            <w:shd w:val="clear" w:color="auto" w:fill="auto"/>
            <w:vAlign w:val="center"/>
          </w:tcPr>
          <w:p w14:paraId="192EA0D0" w14:textId="77777777" w:rsidR="004825AE" w:rsidRPr="00CB683A" w:rsidRDefault="004825AE" w:rsidP="0088064F">
            <w:pPr>
              <w:pStyle w:val="Text1"/>
              <w:spacing w:beforeLines="20" w:before="48" w:afterLines="20" w:after="48"/>
              <w:ind w:left="134"/>
              <w:jc w:val="left"/>
              <w:rPr>
                <w:b/>
                <w:noProof/>
                <w:sz w:val="16"/>
                <w:szCs w:val="16"/>
              </w:rPr>
            </w:pPr>
            <w:r w:rsidRPr="00CB683A">
              <w:rPr>
                <w:noProof/>
                <w:sz w:val="16"/>
              </w:rPr>
              <w:t>20 01 02 01</w:t>
            </w:r>
            <w:r w:rsidRPr="00CB683A">
              <w:rPr>
                <w:rFonts w:ascii="Arial Narrow" w:hAnsi="Arial Narrow"/>
                <w:noProof/>
                <w:color w:val="000000"/>
                <w:sz w:val="20"/>
              </w:rPr>
              <w:t xml:space="preserve"> </w:t>
            </w:r>
            <w:r w:rsidRPr="00CB683A">
              <w:rPr>
                <w:noProof/>
                <w:sz w:val="16"/>
              </w:rPr>
              <w:t>(v ústředí a v zastoupeních Komise)</w:t>
            </w:r>
          </w:p>
        </w:tc>
        <w:tc>
          <w:tcPr>
            <w:tcW w:w="1479" w:type="dxa"/>
            <w:shd w:val="clear" w:color="auto" w:fill="auto"/>
            <w:vAlign w:val="center"/>
          </w:tcPr>
          <w:p w14:paraId="2CDC04E2" w14:textId="77777777" w:rsidR="004825AE" w:rsidRPr="00CB683A" w:rsidRDefault="004825AE" w:rsidP="0088064F">
            <w:pPr>
              <w:spacing w:beforeLines="20" w:before="48" w:afterLines="20" w:after="48"/>
              <w:jc w:val="center"/>
              <w:rPr>
                <w:noProof/>
                <w:sz w:val="16"/>
                <w:szCs w:val="16"/>
              </w:rPr>
            </w:pPr>
            <w:r w:rsidRPr="00CB683A">
              <w:rPr>
                <w:noProof/>
                <w:sz w:val="16"/>
              </w:rPr>
              <w:t>20</w:t>
            </w:r>
          </w:p>
        </w:tc>
        <w:tc>
          <w:tcPr>
            <w:tcW w:w="1479" w:type="dxa"/>
            <w:shd w:val="clear" w:color="auto" w:fill="auto"/>
            <w:vAlign w:val="center"/>
          </w:tcPr>
          <w:p w14:paraId="0FB42A38" w14:textId="77777777" w:rsidR="004825AE" w:rsidRPr="00CB683A" w:rsidRDefault="004825AE" w:rsidP="0088064F">
            <w:pPr>
              <w:spacing w:beforeLines="20" w:before="48" w:afterLines="20" w:after="48"/>
              <w:jc w:val="center"/>
              <w:rPr>
                <w:noProof/>
                <w:sz w:val="16"/>
                <w:szCs w:val="16"/>
              </w:rPr>
            </w:pPr>
            <w:r w:rsidRPr="00CB683A">
              <w:rPr>
                <w:noProof/>
                <w:sz w:val="16"/>
              </w:rPr>
              <w:t>20</w:t>
            </w:r>
          </w:p>
        </w:tc>
        <w:tc>
          <w:tcPr>
            <w:tcW w:w="1480" w:type="dxa"/>
            <w:shd w:val="clear" w:color="auto" w:fill="auto"/>
            <w:vAlign w:val="center"/>
          </w:tcPr>
          <w:p w14:paraId="0DC47133" w14:textId="77777777" w:rsidR="004825AE" w:rsidRPr="00CB683A" w:rsidRDefault="004825AE" w:rsidP="0088064F">
            <w:pPr>
              <w:spacing w:beforeLines="20" w:before="48" w:afterLines="20" w:after="48"/>
              <w:jc w:val="center"/>
              <w:rPr>
                <w:noProof/>
                <w:sz w:val="16"/>
                <w:szCs w:val="16"/>
              </w:rPr>
            </w:pPr>
            <w:r w:rsidRPr="00CB683A">
              <w:rPr>
                <w:noProof/>
                <w:sz w:val="16"/>
              </w:rPr>
              <w:t>20</w:t>
            </w:r>
          </w:p>
        </w:tc>
      </w:tr>
      <w:tr w:rsidR="004825AE" w:rsidRPr="00CB683A" w14:paraId="105E9DF2" w14:textId="77777777" w:rsidTr="0088064F">
        <w:trPr>
          <w:trHeight w:val="289"/>
          <w:jc w:val="center"/>
        </w:trPr>
        <w:tc>
          <w:tcPr>
            <w:tcW w:w="4719" w:type="dxa"/>
            <w:gridSpan w:val="2"/>
            <w:shd w:val="clear" w:color="auto" w:fill="auto"/>
            <w:vAlign w:val="center"/>
          </w:tcPr>
          <w:p w14:paraId="1ECE2AA5" w14:textId="77777777" w:rsidR="004825AE" w:rsidRPr="00CB683A" w:rsidRDefault="004825AE" w:rsidP="0088064F">
            <w:pPr>
              <w:pStyle w:val="Text1"/>
              <w:spacing w:beforeLines="20" w:before="48" w:afterLines="20" w:after="48"/>
              <w:ind w:left="134"/>
              <w:jc w:val="left"/>
              <w:rPr>
                <w:noProof/>
                <w:sz w:val="16"/>
              </w:rPr>
            </w:pPr>
            <w:r w:rsidRPr="00CB683A">
              <w:rPr>
                <w:noProof/>
                <w:sz w:val="16"/>
              </w:rPr>
              <w:t>20 01 02 03 (při delegacích)</w:t>
            </w:r>
          </w:p>
        </w:tc>
        <w:tc>
          <w:tcPr>
            <w:tcW w:w="1479" w:type="dxa"/>
            <w:shd w:val="clear" w:color="auto" w:fill="auto"/>
            <w:vAlign w:val="center"/>
          </w:tcPr>
          <w:p w14:paraId="6646CBF6" w14:textId="77777777" w:rsidR="004825AE" w:rsidRPr="00CB683A" w:rsidRDefault="004825AE" w:rsidP="0088064F">
            <w:pPr>
              <w:spacing w:beforeLines="20" w:before="48" w:afterLines="20" w:after="48"/>
              <w:jc w:val="center"/>
              <w:rPr>
                <w:noProof/>
                <w:sz w:val="16"/>
                <w:szCs w:val="16"/>
              </w:rPr>
            </w:pPr>
          </w:p>
        </w:tc>
        <w:tc>
          <w:tcPr>
            <w:tcW w:w="1479" w:type="dxa"/>
            <w:shd w:val="clear" w:color="auto" w:fill="auto"/>
            <w:vAlign w:val="center"/>
          </w:tcPr>
          <w:p w14:paraId="450B9C45" w14:textId="77777777" w:rsidR="004825AE" w:rsidRPr="00CB683A" w:rsidRDefault="004825AE" w:rsidP="0088064F">
            <w:pPr>
              <w:spacing w:beforeLines="20" w:before="48" w:afterLines="20" w:after="48"/>
              <w:jc w:val="center"/>
              <w:rPr>
                <w:noProof/>
                <w:sz w:val="16"/>
                <w:szCs w:val="16"/>
              </w:rPr>
            </w:pPr>
          </w:p>
        </w:tc>
        <w:tc>
          <w:tcPr>
            <w:tcW w:w="1480" w:type="dxa"/>
            <w:shd w:val="clear" w:color="auto" w:fill="auto"/>
            <w:vAlign w:val="center"/>
          </w:tcPr>
          <w:p w14:paraId="6976DF3A" w14:textId="77777777" w:rsidR="004825AE" w:rsidRPr="00CB683A" w:rsidRDefault="004825AE" w:rsidP="0088064F">
            <w:pPr>
              <w:spacing w:beforeLines="20" w:before="48" w:afterLines="20" w:after="48"/>
              <w:jc w:val="center"/>
              <w:rPr>
                <w:noProof/>
                <w:sz w:val="16"/>
                <w:szCs w:val="16"/>
              </w:rPr>
            </w:pPr>
          </w:p>
        </w:tc>
      </w:tr>
      <w:tr w:rsidR="004825AE" w:rsidRPr="00CB683A" w14:paraId="17F65FB1" w14:textId="77777777" w:rsidTr="0088064F">
        <w:trPr>
          <w:trHeight w:val="289"/>
          <w:jc w:val="center"/>
        </w:trPr>
        <w:tc>
          <w:tcPr>
            <w:tcW w:w="4719" w:type="dxa"/>
            <w:gridSpan w:val="2"/>
            <w:shd w:val="clear" w:color="auto" w:fill="auto"/>
            <w:vAlign w:val="center"/>
          </w:tcPr>
          <w:p w14:paraId="18DE19A5" w14:textId="77777777" w:rsidR="004825AE" w:rsidRPr="00CB683A" w:rsidRDefault="004825AE" w:rsidP="0088064F">
            <w:pPr>
              <w:pStyle w:val="Text1"/>
              <w:spacing w:beforeLines="20" w:before="48" w:afterLines="20" w:after="48"/>
              <w:ind w:left="134"/>
              <w:jc w:val="left"/>
              <w:rPr>
                <w:noProof/>
                <w:sz w:val="16"/>
                <w:szCs w:val="16"/>
              </w:rPr>
            </w:pPr>
            <w:r w:rsidRPr="00CB683A">
              <w:rPr>
                <w:noProof/>
                <w:sz w:val="16"/>
              </w:rPr>
              <w:t>01 01 01 01</w:t>
            </w:r>
            <w:r w:rsidRPr="00CB683A">
              <w:rPr>
                <w:rFonts w:ascii="Arial Narrow" w:hAnsi="Arial Narrow"/>
                <w:noProof/>
                <w:color w:val="000000"/>
                <w:sz w:val="20"/>
              </w:rPr>
              <w:t xml:space="preserve"> </w:t>
            </w:r>
            <w:r w:rsidRPr="00CB683A">
              <w:rPr>
                <w:noProof/>
                <w:sz w:val="16"/>
              </w:rPr>
              <w:t>(v nepřímém výzkumu)</w:t>
            </w:r>
          </w:p>
        </w:tc>
        <w:tc>
          <w:tcPr>
            <w:tcW w:w="1479" w:type="dxa"/>
            <w:shd w:val="clear" w:color="auto" w:fill="auto"/>
            <w:vAlign w:val="center"/>
          </w:tcPr>
          <w:p w14:paraId="1B8A826B" w14:textId="77777777" w:rsidR="004825AE" w:rsidRPr="00CB683A" w:rsidRDefault="004825AE" w:rsidP="0088064F">
            <w:pPr>
              <w:spacing w:beforeLines="20" w:before="48" w:afterLines="20" w:after="48"/>
              <w:jc w:val="center"/>
              <w:rPr>
                <w:noProof/>
                <w:sz w:val="16"/>
                <w:szCs w:val="16"/>
              </w:rPr>
            </w:pPr>
          </w:p>
        </w:tc>
        <w:tc>
          <w:tcPr>
            <w:tcW w:w="1479" w:type="dxa"/>
            <w:shd w:val="clear" w:color="auto" w:fill="auto"/>
            <w:vAlign w:val="center"/>
          </w:tcPr>
          <w:p w14:paraId="2BBA148B" w14:textId="77777777" w:rsidR="004825AE" w:rsidRPr="00CB683A" w:rsidRDefault="004825AE" w:rsidP="0088064F">
            <w:pPr>
              <w:spacing w:beforeLines="20" w:before="48" w:afterLines="20" w:after="48"/>
              <w:jc w:val="center"/>
              <w:rPr>
                <w:noProof/>
                <w:sz w:val="16"/>
                <w:szCs w:val="16"/>
              </w:rPr>
            </w:pPr>
          </w:p>
        </w:tc>
        <w:tc>
          <w:tcPr>
            <w:tcW w:w="1480" w:type="dxa"/>
            <w:shd w:val="clear" w:color="auto" w:fill="auto"/>
            <w:vAlign w:val="center"/>
          </w:tcPr>
          <w:p w14:paraId="1CB2F1E3" w14:textId="77777777" w:rsidR="004825AE" w:rsidRPr="00CB683A" w:rsidRDefault="004825AE" w:rsidP="0088064F">
            <w:pPr>
              <w:spacing w:beforeLines="20" w:before="48" w:afterLines="20" w:after="48"/>
              <w:jc w:val="center"/>
              <w:rPr>
                <w:noProof/>
                <w:sz w:val="16"/>
                <w:szCs w:val="16"/>
              </w:rPr>
            </w:pPr>
          </w:p>
        </w:tc>
      </w:tr>
      <w:tr w:rsidR="004825AE" w:rsidRPr="00CB683A" w14:paraId="6A6411B7" w14:textId="77777777" w:rsidTr="0088064F">
        <w:trPr>
          <w:trHeight w:val="289"/>
          <w:jc w:val="center"/>
        </w:trPr>
        <w:tc>
          <w:tcPr>
            <w:tcW w:w="4719" w:type="dxa"/>
            <w:gridSpan w:val="2"/>
            <w:shd w:val="clear" w:color="auto" w:fill="auto"/>
            <w:vAlign w:val="center"/>
          </w:tcPr>
          <w:p w14:paraId="61C1D50D" w14:textId="77777777" w:rsidR="004825AE" w:rsidRPr="00CB683A" w:rsidRDefault="004825AE" w:rsidP="0088064F">
            <w:pPr>
              <w:pStyle w:val="Text1"/>
              <w:spacing w:beforeLines="20" w:before="48" w:afterLines="20" w:after="48"/>
              <w:ind w:left="134"/>
              <w:jc w:val="left"/>
              <w:rPr>
                <w:noProof/>
                <w:sz w:val="16"/>
                <w:szCs w:val="16"/>
              </w:rPr>
            </w:pPr>
            <w:r w:rsidRPr="00CB683A">
              <w:rPr>
                <w:noProof/>
                <w:sz w:val="16"/>
              </w:rPr>
              <w:t xml:space="preserve"> 01 01 01 11 (v přímém výzkumu)</w:t>
            </w:r>
          </w:p>
        </w:tc>
        <w:tc>
          <w:tcPr>
            <w:tcW w:w="1479" w:type="dxa"/>
            <w:shd w:val="clear" w:color="auto" w:fill="auto"/>
            <w:vAlign w:val="center"/>
          </w:tcPr>
          <w:p w14:paraId="64174610" w14:textId="77777777" w:rsidR="004825AE" w:rsidRPr="00CB683A" w:rsidRDefault="004825AE" w:rsidP="0088064F">
            <w:pPr>
              <w:spacing w:beforeLines="20" w:before="48" w:afterLines="20" w:after="48"/>
              <w:jc w:val="center"/>
              <w:rPr>
                <w:noProof/>
                <w:sz w:val="16"/>
                <w:szCs w:val="16"/>
              </w:rPr>
            </w:pPr>
          </w:p>
        </w:tc>
        <w:tc>
          <w:tcPr>
            <w:tcW w:w="1479" w:type="dxa"/>
            <w:shd w:val="clear" w:color="auto" w:fill="auto"/>
            <w:vAlign w:val="center"/>
          </w:tcPr>
          <w:p w14:paraId="6BE7B4B1" w14:textId="77777777" w:rsidR="004825AE" w:rsidRPr="00CB683A" w:rsidRDefault="004825AE" w:rsidP="0088064F">
            <w:pPr>
              <w:spacing w:beforeLines="20" w:before="48" w:afterLines="20" w:after="48"/>
              <w:jc w:val="center"/>
              <w:rPr>
                <w:noProof/>
                <w:sz w:val="16"/>
                <w:szCs w:val="16"/>
              </w:rPr>
            </w:pPr>
          </w:p>
        </w:tc>
        <w:tc>
          <w:tcPr>
            <w:tcW w:w="1480" w:type="dxa"/>
            <w:shd w:val="clear" w:color="auto" w:fill="auto"/>
            <w:vAlign w:val="center"/>
          </w:tcPr>
          <w:p w14:paraId="330BE52F" w14:textId="77777777" w:rsidR="004825AE" w:rsidRPr="00CB683A" w:rsidRDefault="004825AE" w:rsidP="0088064F">
            <w:pPr>
              <w:spacing w:beforeLines="20" w:before="48" w:afterLines="20" w:after="48"/>
              <w:jc w:val="center"/>
              <w:rPr>
                <w:noProof/>
                <w:sz w:val="16"/>
                <w:szCs w:val="16"/>
              </w:rPr>
            </w:pPr>
          </w:p>
        </w:tc>
      </w:tr>
      <w:tr w:rsidR="004825AE" w:rsidRPr="00CB683A" w14:paraId="54C973E0" w14:textId="77777777" w:rsidTr="0088064F">
        <w:trPr>
          <w:trHeight w:val="289"/>
          <w:jc w:val="center"/>
        </w:trPr>
        <w:tc>
          <w:tcPr>
            <w:tcW w:w="4719" w:type="dxa"/>
            <w:gridSpan w:val="2"/>
            <w:shd w:val="clear" w:color="auto" w:fill="auto"/>
            <w:vAlign w:val="center"/>
          </w:tcPr>
          <w:p w14:paraId="1C088AED" w14:textId="77777777" w:rsidR="004825AE" w:rsidRPr="00CB683A" w:rsidRDefault="004825AE" w:rsidP="0088064F">
            <w:pPr>
              <w:pStyle w:val="Text1"/>
              <w:spacing w:beforeLines="20" w:before="48" w:afterLines="20" w:after="48"/>
              <w:ind w:left="134"/>
              <w:jc w:val="left"/>
              <w:rPr>
                <w:noProof/>
                <w:sz w:val="16"/>
              </w:rPr>
            </w:pPr>
            <w:r w:rsidRPr="00CB683A">
              <w:rPr>
                <w:noProof/>
                <w:sz w:val="16"/>
              </w:rPr>
              <w:t>Jiné rozpočtové položky (upřesněte)</w:t>
            </w:r>
          </w:p>
        </w:tc>
        <w:tc>
          <w:tcPr>
            <w:tcW w:w="1479" w:type="dxa"/>
            <w:shd w:val="clear" w:color="auto" w:fill="auto"/>
            <w:vAlign w:val="center"/>
          </w:tcPr>
          <w:p w14:paraId="0EC659BA" w14:textId="77777777" w:rsidR="004825AE" w:rsidRPr="00CB683A" w:rsidRDefault="004825AE" w:rsidP="0088064F">
            <w:pPr>
              <w:spacing w:beforeLines="20" w:before="48" w:afterLines="20" w:after="48"/>
              <w:jc w:val="center"/>
              <w:rPr>
                <w:noProof/>
                <w:sz w:val="16"/>
                <w:szCs w:val="16"/>
              </w:rPr>
            </w:pPr>
          </w:p>
        </w:tc>
        <w:tc>
          <w:tcPr>
            <w:tcW w:w="1479" w:type="dxa"/>
            <w:shd w:val="clear" w:color="auto" w:fill="auto"/>
            <w:vAlign w:val="center"/>
          </w:tcPr>
          <w:p w14:paraId="6A6CEDD0" w14:textId="77777777" w:rsidR="004825AE" w:rsidRPr="00CB683A" w:rsidRDefault="004825AE" w:rsidP="0088064F">
            <w:pPr>
              <w:spacing w:beforeLines="20" w:before="48" w:afterLines="20" w:after="48"/>
              <w:jc w:val="center"/>
              <w:rPr>
                <w:noProof/>
                <w:sz w:val="16"/>
                <w:szCs w:val="16"/>
              </w:rPr>
            </w:pPr>
          </w:p>
        </w:tc>
        <w:tc>
          <w:tcPr>
            <w:tcW w:w="1480" w:type="dxa"/>
            <w:shd w:val="clear" w:color="auto" w:fill="auto"/>
            <w:vAlign w:val="center"/>
          </w:tcPr>
          <w:p w14:paraId="6FEC3C12" w14:textId="77777777" w:rsidR="004825AE" w:rsidRPr="00CB683A" w:rsidRDefault="004825AE" w:rsidP="0088064F">
            <w:pPr>
              <w:spacing w:beforeLines="20" w:before="48" w:afterLines="20" w:after="48"/>
              <w:jc w:val="center"/>
              <w:rPr>
                <w:noProof/>
                <w:sz w:val="16"/>
                <w:szCs w:val="16"/>
              </w:rPr>
            </w:pPr>
          </w:p>
        </w:tc>
      </w:tr>
      <w:tr w:rsidR="004825AE" w:rsidRPr="00CB683A" w14:paraId="7A811BA5" w14:textId="77777777" w:rsidTr="0088064F">
        <w:trPr>
          <w:trHeight w:val="248"/>
          <w:jc w:val="center"/>
        </w:trPr>
        <w:tc>
          <w:tcPr>
            <w:tcW w:w="9157" w:type="dxa"/>
            <w:gridSpan w:val="5"/>
          </w:tcPr>
          <w:p w14:paraId="4F6F4399" w14:textId="77777777" w:rsidR="004825AE" w:rsidRPr="00CB683A" w:rsidRDefault="004825AE" w:rsidP="0088064F">
            <w:pPr>
              <w:pStyle w:val="Text1"/>
              <w:spacing w:before="60" w:after="60"/>
              <w:ind w:left="0"/>
              <w:jc w:val="left"/>
              <w:rPr>
                <w:b/>
                <w:noProof/>
                <w:sz w:val="16"/>
                <w:szCs w:val="16"/>
              </w:rPr>
            </w:pPr>
            <w:r w:rsidRPr="00CB683A">
              <w:rPr>
                <w:b/>
                <w:noProof/>
                <w:sz w:val="16"/>
              </w:rPr>
              <w:sym w:font="Wingdings" w:char="F09F"/>
            </w:r>
            <w:r w:rsidRPr="00CB683A">
              <w:rPr>
                <w:b/>
                <w:noProof/>
                <w:sz w:val="16"/>
              </w:rPr>
              <w:t xml:space="preserve"> Externí zaměstnanci (v přepočtu na plné pracovní úvazky: FTE)</w:t>
            </w:r>
            <w:r w:rsidRPr="00CB683A">
              <w:rPr>
                <w:rStyle w:val="FootnoteReference"/>
                <w:b/>
                <w:noProof/>
                <w:sz w:val="16"/>
              </w:rPr>
              <w:footnoteReference w:id="58"/>
            </w:r>
          </w:p>
        </w:tc>
      </w:tr>
      <w:tr w:rsidR="004825AE" w:rsidRPr="00CB683A" w14:paraId="3F2913A7" w14:textId="77777777" w:rsidTr="0088064F">
        <w:trPr>
          <w:trHeight w:val="289"/>
          <w:jc w:val="center"/>
        </w:trPr>
        <w:tc>
          <w:tcPr>
            <w:tcW w:w="4719" w:type="dxa"/>
            <w:gridSpan w:val="2"/>
            <w:shd w:val="clear" w:color="auto" w:fill="auto"/>
            <w:vAlign w:val="center"/>
          </w:tcPr>
          <w:p w14:paraId="460E8BB1" w14:textId="77777777" w:rsidR="004825AE" w:rsidRPr="00CB683A" w:rsidRDefault="004825AE" w:rsidP="0088064F">
            <w:pPr>
              <w:pStyle w:val="Text1"/>
              <w:spacing w:beforeLines="20" w:before="48" w:afterLines="20" w:after="48"/>
              <w:ind w:left="136"/>
              <w:jc w:val="left"/>
              <w:rPr>
                <w:b/>
                <w:noProof/>
                <w:sz w:val="16"/>
                <w:szCs w:val="16"/>
              </w:rPr>
            </w:pPr>
            <w:r w:rsidRPr="00CB683A">
              <w:rPr>
                <w:noProof/>
                <w:sz w:val="16"/>
              </w:rPr>
              <w:t>20 02 01</w:t>
            </w:r>
            <w:r w:rsidRPr="00CB683A">
              <w:rPr>
                <w:rFonts w:ascii="Arial Narrow" w:hAnsi="Arial Narrow"/>
                <w:noProof/>
                <w:color w:val="000000"/>
                <w:sz w:val="20"/>
              </w:rPr>
              <w:t xml:space="preserve"> </w:t>
            </w:r>
            <w:r w:rsidRPr="00CB683A">
              <w:rPr>
                <w:noProof/>
                <w:sz w:val="16"/>
              </w:rPr>
              <w:t>(SZ, VNO, ZAP z celkového rámce)</w:t>
            </w:r>
          </w:p>
        </w:tc>
        <w:tc>
          <w:tcPr>
            <w:tcW w:w="1479" w:type="dxa"/>
            <w:shd w:val="clear" w:color="auto" w:fill="auto"/>
            <w:vAlign w:val="center"/>
          </w:tcPr>
          <w:p w14:paraId="3711DDCB" w14:textId="77777777" w:rsidR="004825AE" w:rsidRPr="00CB683A" w:rsidRDefault="004825AE" w:rsidP="0088064F">
            <w:pPr>
              <w:spacing w:beforeLines="20" w:before="48" w:afterLines="20" w:after="48"/>
              <w:jc w:val="center"/>
              <w:rPr>
                <w:noProof/>
                <w:sz w:val="16"/>
                <w:szCs w:val="16"/>
              </w:rPr>
            </w:pPr>
            <w:r w:rsidRPr="00CB683A">
              <w:rPr>
                <w:noProof/>
                <w:sz w:val="16"/>
              </w:rPr>
              <w:t>6</w:t>
            </w:r>
          </w:p>
        </w:tc>
        <w:tc>
          <w:tcPr>
            <w:tcW w:w="1479" w:type="dxa"/>
            <w:shd w:val="clear" w:color="auto" w:fill="auto"/>
            <w:vAlign w:val="center"/>
          </w:tcPr>
          <w:p w14:paraId="43767C14" w14:textId="77777777" w:rsidR="004825AE" w:rsidRPr="00CB683A" w:rsidRDefault="004825AE" w:rsidP="0088064F">
            <w:pPr>
              <w:spacing w:beforeLines="20" w:before="48" w:afterLines="20" w:after="48"/>
              <w:jc w:val="center"/>
              <w:rPr>
                <w:noProof/>
                <w:sz w:val="16"/>
                <w:szCs w:val="16"/>
              </w:rPr>
            </w:pPr>
            <w:r w:rsidRPr="00CB683A">
              <w:rPr>
                <w:noProof/>
                <w:sz w:val="16"/>
              </w:rPr>
              <w:t>6</w:t>
            </w:r>
          </w:p>
        </w:tc>
        <w:tc>
          <w:tcPr>
            <w:tcW w:w="1480" w:type="dxa"/>
            <w:shd w:val="clear" w:color="auto" w:fill="auto"/>
            <w:vAlign w:val="center"/>
          </w:tcPr>
          <w:p w14:paraId="3382E21C" w14:textId="77777777" w:rsidR="004825AE" w:rsidRPr="00CB683A" w:rsidRDefault="004825AE" w:rsidP="0088064F">
            <w:pPr>
              <w:spacing w:beforeLines="20" w:before="48" w:afterLines="20" w:after="48"/>
              <w:jc w:val="center"/>
              <w:rPr>
                <w:noProof/>
                <w:sz w:val="16"/>
                <w:szCs w:val="16"/>
              </w:rPr>
            </w:pPr>
            <w:r w:rsidRPr="00CB683A">
              <w:rPr>
                <w:noProof/>
                <w:sz w:val="16"/>
              </w:rPr>
              <w:t>6</w:t>
            </w:r>
          </w:p>
        </w:tc>
      </w:tr>
      <w:tr w:rsidR="004825AE" w:rsidRPr="00CB683A" w14:paraId="5D8A51B4" w14:textId="77777777" w:rsidTr="0088064F">
        <w:trPr>
          <w:trHeight w:val="289"/>
          <w:jc w:val="center"/>
        </w:trPr>
        <w:tc>
          <w:tcPr>
            <w:tcW w:w="4719" w:type="dxa"/>
            <w:gridSpan w:val="2"/>
            <w:shd w:val="clear" w:color="auto" w:fill="auto"/>
            <w:vAlign w:val="center"/>
          </w:tcPr>
          <w:p w14:paraId="25E3D273" w14:textId="77777777" w:rsidR="004825AE" w:rsidRPr="00CB683A" w:rsidRDefault="004825AE" w:rsidP="0088064F">
            <w:pPr>
              <w:pStyle w:val="Text1"/>
              <w:spacing w:beforeLines="20" w:before="48" w:afterLines="20" w:after="48"/>
              <w:ind w:left="136"/>
              <w:jc w:val="left"/>
              <w:rPr>
                <w:noProof/>
                <w:sz w:val="16"/>
              </w:rPr>
            </w:pPr>
            <w:r w:rsidRPr="00CB683A">
              <w:rPr>
                <w:noProof/>
                <w:sz w:val="16"/>
              </w:rPr>
              <w:t>20 02 03 (SZ, MZ, VNO, ZAP a MOD při delegacích)</w:t>
            </w:r>
          </w:p>
        </w:tc>
        <w:tc>
          <w:tcPr>
            <w:tcW w:w="1479" w:type="dxa"/>
            <w:shd w:val="clear" w:color="auto" w:fill="auto"/>
            <w:vAlign w:val="center"/>
          </w:tcPr>
          <w:p w14:paraId="300D4505" w14:textId="77777777" w:rsidR="004825AE" w:rsidRPr="00CB683A" w:rsidRDefault="004825AE" w:rsidP="0088064F">
            <w:pPr>
              <w:spacing w:beforeLines="20" w:before="48" w:afterLines="20" w:after="48"/>
              <w:jc w:val="center"/>
              <w:rPr>
                <w:noProof/>
                <w:sz w:val="16"/>
                <w:szCs w:val="16"/>
              </w:rPr>
            </w:pPr>
          </w:p>
        </w:tc>
        <w:tc>
          <w:tcPr>
            <w:tcW w:w="1479" w:type="dxa"/>
            <w:shd w:val="clear" w:color="auto" w:fill="auto"/>
            <w:vAlign w:val="center"/>
          </w:tcPr>
          <w:p w14:paraId="081D8FFC" w14:textId="77777777" w:rsidR="004825AE" w:rsidRPr="00CB683A" w:rsidRDefault="004825AE" w:rsidP="0088064F">
            <w:pPr>
              <w:spacing w:beforeLines="20" w:before="48" w:afterLines="20" w:after="48"/>
              <w:jc w:val="center"/>
              <w:rPr>
                <w:noProof/>
                <w:sz w:val="16"/>
                <w:szCs w:val="16"/>
              </w:rPr>
            </w:pPr>
          </w:p>
        </w:tc>
        <w:tc>
          <w:tcPr>
            <w:tcW w:w="1480" w:type="dxa"/>
            <w:shd w:val="clear" w:color="auto" w:fill="auto"/>
            <w:vAlign w:val="center"/>
          </w:tcPr>
          <w:p w14:paraId="71296EBE" w14:textId="77777777" w:rsidR="004825AE" w:rsidRPr="00CB683A" w:rsidRDefault="004825AE" w:rsidP="0088064F">
            <w:pPr>
              <w:spacing w:beforeLines="20" w:before="48" w:afterLines="20" w:after="48"/>
              <w:jc w:val="center"/>
              <w:rPr>
                <w:noProof/>
                <w:sz w:val="16"/>
                <w:szCs w:val="16"/>
              </w:rPr>
            </w:pPr>
          </w:p>
        </w:tc>
      </w:tr>
      <w:tr w:rsidR="004825AE" w:rsidRPr="00CB683A" w14:paraId="7B7A125E" w14:textId="77777777" w:rsidTr="0088064F">
        <w:trPr>
          <w:trHeight w:val="289"/>
          <w:jc w:val="center"/>
        </w:trPr>
        <w:tc>
          <w:tcPr>
            <w:tcW w:w="2342" w:type="dxa"/>
            <w:vMerge w:val="restart"/>
            <w:shd w:val="clear" w:color="auto" w:fill="auto"/>
            <w:vAlign w:val="center"/>
          </w:tcPr>
          <w:p w14:paraId="1E6D48C6" w14:textId="77777777" w:rsidR="004825AE" w:rsidRPr="00CB683A" w:rsidRDefault="004825AE" w:rsidP="0088064F">
            <w:pPr>
              <w:pStyle w:val="Text1"/>
              <w:spacing w:beforeLines="20" w:before="48" w:afterLines="20" w:after="48"/>
              <w:ind w:left="136"/>
              <w:jc w:val="left"/>
              <w:rPr>
                <w:b/>
                <w:noProof/>
                <w:sz w:val="16"/>
                <w:szCs w:val="16"/>
              </w:rPr>
            </w:pPr>
            <w:r w:rsidRPr="00CB683A">
              <w:rPr>
                <w:b/>
                <w:noProof/>
                <w:sz w:val="16"/>
              </w:rPr>
              <w:t>XX</w:t>
            </w:r>
            <w:r w:rsidRPr="00CB683A">
              <w:rPr>
                <w:noProof/>
                <w:sz w:val="16"/>
              </w:rPr>
              <w:t xml:space="preserve"> 01  xx </w:t>
            </w:r>
            <w:r w:rsidRPr="00CB683A">
              <w:rPr>
                <w:b/>
                <w:noProof/>
                <w:sz w:val="16"/>
              </w:rPr>
              <w:t xml:space="preserve">yy zz </w:t>
            </w:r>
            <w:r w:rsidRPr="00CB683A">
              <w:rPr>
                <w:b/>
                <w:i/>
                <w:noProof/>
                <w:sz w:val="16"/>
              </w:rPr>
              <w:t xml:space="preserve"> </w:t>
            </w:r>
            <w:r w:rsidRPr="00CB683A">
              <w:rPr>
                <w:rStyle w:val="FootnoteReference"/>
                <w:b/>
                <w:i/>
                <w:noProof/>
                <w:sz w:val="16"/>
              </w:rPr>
              <w:footnoteReference w:id="59"/>
            </w:r>
          </w:p>
          <w:p w14:paraId="618D9A5C" w14:textId="77777777" w:rsidR="004825AE" w:rsidRPr="00CB683A" w:rsidRDefault="004825AE" w:rsidP="0088064F">
            <w:pPr>
              <w:pStyle w:val="Text1"/>
              <w:spacing w:beforeLines="20" w:before="48" w:afterLines="20" w:after="48"/>
              <w:ind w:left="136"/>
              <w:jc w:val="left"/>
              <w:rPr>
                <w:b/>
                <w:noProof/>
                <w:sz w:val="16"/>
                <w:szCs w:val="16"/>
              </w:rPr>
            </w:pPr>
          </w:p>
        </w:tc>
        <w:tc>
          <w:tcPr>
            <w:tcW w:w="2377" w:type="dxa"/>
            <w:shd w:val="clear" w:color="auto" w:fill="auto"/>
            <w:vAlign w:val="center"/>
          </w:tcPr>
          <w:p w14:paraId="1067B1BD" w14:textId="77777777" w:rsidR="004825AE" w:rsidRPr="00CB683A" w:rsidRDefault="004825AE" w:rsidP="0088064F">
            <w:pPr>
              <w:pStyle w:val="Text1"/>
              <w:spacing w:beforeLines="20" w:before="48" w:afterLines="20" w:after="48"/>
              <w:ind w:left="136"/>
              <w:jc w:val="left"/>
              <w:rPr>
                <w:b/>
                <w:noProof/>
                <w:sz w:val="16"/>
                <w:szCs w:val="16"/>
              </w:rPr>
            </w:pPr>
            <w:r w:rsidRPr="00CB683A">
              <w:rPr>
                <w:noProof/>
                <w:sz w:val="16"/>
              </w:rPr>
              <w:t>– v ústředí</w:t>
            </w:r>
          </w:p>
          <w:p w14:paraId="751A4BDD" w14:textId="77777777" w:rsidR="004825AE" w:rsidRPr="00CB683A" w:rsidRDefault="004825AE" w:rsidP="0088064F">
            <w:pPr>
              <w:pStyle w:val="Text1"/>
              <w:spacing w:beforeLines="20" w:before="48" w:afterLines="20" w:after="48"/>
              <w:ind w:left="136"/>
              <w:jc w:val="left"/>
              <w:rPr>
                <w:b/>
                <w:noProof/>
                <w:sz w:val="16"/>
                <w:szCs w:val="16"/>
              </w:rPr>
            </w:pPr>
          </w:p>
        </w:tc>
        <w:tc>
          <w:tcPr>
            <w:tcW w:w="1479" w:type="dxa"/>
            <w:shd w:val="clear" w:color="auto" w:fill="auto"/>
            <w:vAlign w:val="center"/>
          </w:tcPr>
          <w:p w14:paraId="0CDD63EF" w14:textId="77777777" w:rsidR="004825AE" w:rsidRPr="00CB683A" w:rsidRDefault="004825AE" w:rsidP="0088064F">
            <w:pPr>
              <w:pStyle w:val="Text1"/>
              <w:spacing w:beforeLines="20" w:before="48" w:afterLines="20" w:after="48"/>
              <w:ind w:left="0"/>
              <w:rPr>
                <w:noProof/>
                <w:sz w:val="16"/>
                <w:szCs w:val="16"/>
              </w:rPr>
            </w:pPr>
          </w:p>
        </w:tc>
        <w:tc>
          <w:tcPr>
            <w:tcW w:w="1479" w:type="dxa"/>
            <w:shd w:val="clear" w:color="auto" w:fill="auto"/>
            <w:vAlign w:val="center"/>
          </w:tcPr>
          <w:p w14:paraId="244F8B09" w14:textId="77777777" w:rsidR="004825AE" w:rsidRPr="00CB683A" w:rsidRDefault="004825AE" w:rsidP="0088064F">
            <w:pPr>
              <w:spacing w:beforeLines="20" w:before="48" w:afterLines="20" w:after="48"/>
              <w:jc w:val="center"/>
              <w:rPr>
                <w:noProof/>
                <w:sz w:val="16"/>
                <w:szCs w:val="16"/>
              </w:rPr>
            </w:pPr>
          </w:p>
        </w:tc>
        <w:tc>
          <w:tcPr>
            <w:tcW w:w="1480" w:type="dxa"/>
            <w:shd w:val="clear" w:color="auto" w:fill="auto"/>
            <w:vAlign w:val="center"/>
          </w:tcPr>
          <w:p w14:paraId="1A95AF7D" w14:textId="77777777" w:rsidR="004825AE" w:rsidRPr="00CB683A" w:rsidRDefault="004825AE" w:rsidP="0088064F">
            <w:pPr>
              <w:spacing w:beforeLines="20" w:before="48" w:afterLines="20" w:after="48"/>
              <w:jc w:val="center"/>
              <w:rPr>
                <w:noProof/>
                <w:sz w:val="16"/>
                <w:szCs w:val="16"/>
              </w:rPr>
            </w:pPr>
          </w:p>
        </w:tc>
      </w:tr>
      <w:tr w:rsidR="004825AE" w:rsidRPr="00CB683A" w14:paraId="6AD84BE9" w14:textId="77777777" w:rsidTr="0088064F">
        <w:trPr>
          <w:trHeight w:val="289"/>
          <w:jc w:val="center"/>
        </w:trPr>
        <w:tc>
          <w:tcPr>
            <w:tcW w:w="2342" w:type="dxa"/>
            <w:vMerge/>
            <w:shd w:val="clear" w:color="auto" w:fill="auto"/>
            <w:vAlign w:val="center"/>
          </w:tcPr>
          <w:p w14:paraId="151F96B0" w14:textId="77777777" w:rsidR="004825AE" w:rsidRPr="00CB683A" w:rsidRDefault="004825AE" w:rsidP="0088064F">
            <w:pPr>
              <w:pStyle w:val="Text1"/>
              <w:spacing w:beforeLines="20" w:before="48" w:afterLines="20" w:after="48"/>
              <w:ind w:left="136"/>
              <w:jc w:val="left"/>
              <w:rPr>
                <w:b/>
                <w:noProof/>
                <w:sz w:val="16"/>
                <w:szCs w:val="16"/>
              </w:rPr>
            </w:pPr>
          </w:p>
        </w:tc>
        <w:tc>
          <w:tcPr>
            <w:tcW w:w="2377" w:type="dxa"/>
            <w:shd w:val="clear" w:color="auto" w:fill="auto"/>
            <w:vAlign w:val="center"/>
          </w:tcPr>
          <w:p w14:paraId="77E49F32" w14:textId="77777777" w:rsidR="004825AE" w:rsidRPr="00CB683A" w:rsidRDefault="004825AE" w:rsidP="0088064F">
            <w:pPr>
              <w:pStyle w:val="Text1"/>
              <w:spacing w:beforeLines="20" w:before="48" w:afterLines="20" w:after="48"/>
              <w:ind w:left="136"/>
              <w:jc w:val="left"/>
              <w:rPr>
                <w:b/>
                <w:noProof/>
                <w:sz w:val="16"/>
                <w:szCs w:val="16"/>
              </w:rPr>
            </w:pPr>
            <w:r w:rsidRPr="00CB683A">
              <w:rPr>
                <w:noProof/>
                <w:sz w:val="16"/>
              </w:rPr>
              <w:t xml:space="preserve">– při delegacích </w:t>
            </w:r>
          </w:p>
        </w:tc>
        <w:tc>
          <w:tcPr>
            <w:tcW w:w="1479" w:type="dxa"/>
            <w:shd w:val="clear" w:color="auto" w:fill="auto"/>
            <w:vAlign w:val="center"/>
          </w:tcPr>
          <w:p w14:paraId="18BC4963" w14:textId="77777777" w:rsidR="004825AE" w:rsidRPr="00CB683A" w:rsidRDefault="004825AE" w:rsidP="0088064F">
            <w:pPr>
              <w:pStyle w:val="Text1"/>
              <w:spacing w:beforeLines="20" w:before="48" w:afterLines="20" w:after="48"/>
              <w:ind w:left="0"/>
              <w:rPr>
                <w:noProof/>
                <w:sz w:val="16"/>
                <w:szCs w:val="16"/>
              </w:rPr>
            </w:pPr>
          </w:p>
        </w:tc>
        <w:tc>
          <w:tcPr>
            <w:tcW w:w="1479" w:type="dxa"/>
            <w:shd w:val="clear" w:color="auto" w:fill="auto"/>
            <w:vAlign w:val="center"/>
          </w:tcPr>
          <w:p w14:paraId="0A581723" w14:textId="77777777" w:rsidR="004825AE" w:rsidRPr="00CB683A" w:rsidRDefault="004825AE" w:rsidP="0088064F">
            <w:pPr>
              <w:spacing w:beforeLines="20" w:before="48" w:afterLines="20" w:after="48"/>
              <w:jc w:val="center"/>
              <w:rPr>
                <w:noProof/>
                <w:sz w:val="16"/>
                <w:szCs w:val="16"/>
              </w:rPr>
            </w:pPr>
          </w:p>
        </w:tc>
        <w:tc>
          <w:tcPr>
            <w:tcW w:w="1480" w:type="dxa"/>
            <w:shd w:val="clear" w:color="auto" w:fill="auto"/>
            <w:vAlign w:val="center"/>
          </w:tcPr>
          <w:p w14:paraId="707C47B8" w14:textId="77777777" w:rsidR="004825AE" w:rsidRPr="00CB683A" w:rsidRDefault="004825AE" w:rsidP="0088064F">
            <w:pPr>
              <w:spacing w:beforeLines="20" w:before="48" w:afterLines="20" w:after="48"/>
              <w:jc w:val="center"/>
              <w:rPr>
                <w:noProof/>
                <w:sz w:val="16"/>
                <w:szCs w:val="16"/>
              </w:rPr>
            </w:pPr>
          </w:p>
        </w:tc>
      </w:tr>
      <w:tr w:rsidR="004825AE" w:rsidRPr="00CB683A" w14:paraId="3E25BE54" w14:textId="77777777" w:rsidTr="0088064F">
        <w:trPr>
          <w:trHeight w:val="289"/>
          <w:jc w:val="center"/>
        </w:trPr>
        <w:tc>
          <w:tcPr>
            <w:tcW w:w="4719" w:type="dxa"/>
            <w:gridSpan w:val="2"/>
            <w:shd w:val="clear" w:color="auto" w:fill="auto"/>
            <w:vAlign w:val="center"/>
          </w:tcPr>
          <w:p w14:paraId="06E52368" w14:textId="77777777" w:rsidR="004825AE" w:rsidRPr="00CB683A" w:rsidRDefault="004825AE" w:rsidP="0088064F">
            <w:pPr>
              <w:pStyle w:val="Text1"/>
              <w:spacing w:beforeLines="20" w:before="48" w:afterLines="20" w:after="48"/>
              <w:ind w:left="136"/>
              <w:jc w:val="left"/>
              <w:rPr>
                <w:noProof/>
                <w:sz w:val="16"/>
                <w:szCs w:val="16"/>
              </w:rPr>
            </w:pPr>
            <w:r w:rsidRPr="00CB683A">
              <w:rPr>
                <w:noProof/>
                <w:sz w:val="16"/>
              </w:rPr>
              <w:t>01 01 01 02</w:t>
            </w:r>
            <w:r w:rsidRPr="00CB683A">
              <w:rPr>
                <w:rFonts w:ascii="Arial Narrow" w:hAnsi="Arial Narrow"/>
                <w:noProof/>
                <w:color w:val="000000"/>
                <w:sz w:val="20"/>
              </w:rPr>
              <w:t xml:space="preserve"> </w:t>
            </w:r>
            <w:r w:rsidRPr="00CB683A">
              <w:rPr>
                <w:noProof/>
                <w:sz w:val="16"/>
              </w:rPr>
              <w:t>(SZ, VNO, ZAP v nepřímém výzkumu)</w:t>
            </w:r>
          </w:p>
        </w:tc>
        <w:tc>
          <w:tcPr>
            <w:tcW w:w="1479" w:type="dxa"/>
            <w:shd w:val="clear" w:color="auto" w:fill="auto"/>
            <w:vAlign w:val="center"/>
          </w:tcPr>
          <w:p w14:paraId="1F8C06B4" w14:textId="77777777" w:rsidR="004825AE" w:rsidRPr="00CB683A" w:rsidRDefault="004825AE" w:rsidP="0088064F">
            <w:pPr>
              <w:spacing w:beforeLines="20" w:before="48" w:afterLines="20" w:after="48"/>
              <w:jc w:val="center"/>
              <w:rPr>
                <w:noProof/>
                <w:sz w:val="16"/>
                <w:szCs w:val="16"/>
              </w:rPr>
            </w:pPr>
          </w:p>
        </w:tc>
        <w:tc>
          <w:tcPr>
            <w:tcW w:w="1479" w:type="dxa"/>
            <w:shd w:val="clear" w:color="auto" w:fill="auto"/>
            <w:vAlign w:val="center"/>
          </w:tcPr>
          <w:p w14:paraId="59E9EA86" w14:textId="77777777" w:rsidR="004825AE" w:rsidRPr="00CB683A" w:rsidRDefault="004825AE" w:rsidP="0088064F">
            <w:pPr>
              <w:spacing w:beforeLines="20" w:before="48" w:afterLines="20" w:after="48"/>
              <w:jc w:val="center"/>
              <w:rPr>
                <w:noProof/>
                <w:sz w:val="16"/>
                <w:szCs w:val="16"/>
              </w:rPr>
            </w:pPr>
          </w:p>
        </w:tc>
        <w:tc>
          <w:tcPr>
            <w:tcW w:w="1480" w:type="dxa"/>
            <w:shd w:val="clear" w:color="auto" w:fill="auto"/>
            <w:vAlign w:val="center"/>
          </w:tcPr>
          <w:p w14:paraId="7DD70D4A" w14:textId="77777777" w:rsidR="004825AE" w:rsidRPr="00CB683A" w:rsidRDefault="004825AE" w:rsidP="0088064F">
            <w:pPr>
              <w:spacing w:beforeLines="20" w:before="48" w:afterLines="20" w:after="48"/>
              <w:jc w:val="center"/>
              <w:rPr>
                <w:noProof/>
                <w:sz w:val="16"/>
                <w:szCs w:val="16"/>
              </w:rPr>
            </w:pPr>
          </w:p>
        </w:tc>
      </w:tr>
      <w:tr w:rsidR="004825AE" w:rsidRPr="00CB683A" w14:paraId="36B77F49" w14:textId="77777777" w:rsidTr="0088064F">
        <w:trPr>
          <w:trHeight w:val="289"/>
          <w:jc w:val="center"/>
        </w:trPr>
        <w:tc>
          <w:tcPr>
            <w:tcW w:w="4719" w:type="dxa"/>
            <w:gridSpan w:val="2"/>
            <w:shd w:val="clear" w:color="auto" w:fill="auto"/>
            <w:vAlign w:val="center"/>
          </w:tcPr>
          <w:p w14:paraId="49036C77" w14:textId="77777777" w:rsidR="004825AE" w:rsidRPr="00CB683A" w:rsidRDefault="004825AE" w:rsidP="0088064F">
            <w:pPr>
              <w:pStyle w:val="Text1"/>
              <w:spacing w:beforeLines="20" w:before="48" w:afterLines="20" w:after="48"/>
              <w:ind w:left="136"/>
              <w:jc w:val="left"/>
              <w:rPr>
                <w:noProof/>
                <w:color w:val="FF0000"/>
                <w:sz w:val="16"/>
                <w:szCs w:val="16"/>
              </w:rPr>
            </w:pPr>
            <w:r w:rsidRPr="00CB683A">
              <w:rPr>
                <w:noProof/>
                <w:sz w:val="16"/>
              </w:rPr>
              <w:t xml:space="preserve"> 01 01 01 12 (SZ, VNO, ZAP v přímém výzkumu)</w:t>
            </w:r>
          </w:p>
        </w:tc>
        <w:tc>
          <w:tcPr>
            <w:tcW w:w="1479" w:type="dxa"/>
            <w:shd w:val="clear" w:color="auto" w:fill="auto"/>
            <w:vAlign w:val="center"/>
          </w:tcPr>
          <w:p w14:paraId="2364E3CE" w14:textId="77777777" w:rsidR="004825AE" w:rsidRPr="00CB683A" w:rsidRDefault="004825AE" w:rsidP="0088064F">
            <w:pPr>
              <w:spacing w:beforeLines="20" w:before="48" w:afterLines="20" w:after="48"/>
              <w:jc w:val="center"/>
              <w:rPr>
                <w:noProof/>
                <w:sz w:val="16"/>
                <w:szCs w:val="16"/>
              </w:rPr>
            </w:pPr>
          </w:p>
        </w:tc>
        <w:tc>
          <w:tcPr>
            <w:tcW w:w="1479" w:type="dxa"/>
            <w:shd w:val="clear" w:color="auto" w:fill="auto"/>
            <w:vAlign w:val="center"/>
          </w:tcPr>
          <w:p w14:paraId="70840FC1" w14:textId="77777777" w:rsidR="004825AE" w:rsidRPr="00CB683A" w:rsidRDefault="004825AE" w:rsidP="0088064F">
            <w:pPr>
              <w:spacing w:beforeLines="20" w:before="48" w:afterLines="20" w:after="48"/>
              <w:jc w:val="center"/>
              <w:rPr>
                <w:noProof/>
                <w:sz w:val="16"/>
                <w:szCs w:val="16"/>
              </w:rPr>
            </w:pPr>
          </w:p>
        </w:tc>
        <w:tc>
          <w:tcPr>
            <w:tcW w:w="1480" w:type="dxa"/>
            <w:shd w:val="clear" w:color="auto" w:fill="auto"/>
            <w:vAlign w:val="center"/>
          </w:tcPr>
          <w:p w14:paraId="155D489E" w14:textId="77777777" w:rsidR="004825AE" w:rsidRPr="00CB683A" w:rsidRDefault="004825AE" w:rsidP="0088064F">
            <w:pPr>
              <w:spacing w:beforeLines="20" w:before="48" w:afterLines="20" w:after="48"/>
              <w:jc w:val="center"/>
              <w:rPr>
                <w:noProof/>
                <w:sz w:val="16"/>
                <w:szCs w:val="16"/>
              </w:rPr>
            </w:pPr>
          </w:p>
        </w:tc>
      </w:tr>
      <w:tr w:rsidR="004825AE" w:rsidRPr="00CB683A" w14:paraId="02E8B86F" w14:textId="77777777" w:rsidTr="0088064F">
        <w:trPr>
          <w:trHeight w:val="289"/>
          <w:jc w:val="center"/>
        </w:trPr>
        <w:tc>
          <w:tcPr>
            <w:tcW w:w="4719" w:type="dxa"/>
            <w:gridSpan w:val="2"/>
            <w:shd w:val="clear" w:color="auto" w:fill="auto"/>
            <w:vAlign w:val="center"/>
          </w:tcPr>
          <w:p w14:paraId="389ADB9A" w14:textId="77777777" w:rsidR="004825AE" w:rsidRPr="00CB683A" w:rsidRDefault="004825AE" w:rsidP="0088064F">
            <w:pPr>
              <w:pStyle w:val="Text1"/>
              <w:spacing w:beforeLines="20" w:before="48" w:afterLines="20" w:after="48"/>
              <w:ind w:left="136"/>
              <w:jc w:val="left"/>
              <w:rPr>
                <w:noProof/>
                <w:sz w:val="16"/>
              </w:rPr>
            </w:pPr>
            <w:r w:rsidRPr="00CB683A">
              <w:rPr>
                <w:noProof/>
                <w:sz w:val="16"/>
              </w:rPr>
              <w:t>Jiné rozpočtové položky (upřesněte)</w:t>
            </w:r>
          </w:p>
        </w:tc>
        <w:tc>
          <w:tcPr>
            <w:tcW w:w="1479" w:type="dxa"/>
            <w:shd w:val="clear" w:color="auto" w:fill="auto"/>
            <w:vAlign w:val="center"/>
          </w:tcPr>
          <w:p w14:paraId="27E772BF" w14:textId="77777777" w:rsidR="004825AE" w:rsidRPr="00CB683A" w:rsidRDefault="004825AE" w:rsidP="0088064F">
            <w:pPr>
              <w:spacing w:beforeLines="20" w:before="48" w:afterLines="20" w:after="48"/>
              <w:jc w:val="center"/>
              <w:rPr>
                <w:noProof/>
                <w:sz w:val="16"/>
                <w:szCs w:val="16"/>
              </w:rPr>
            </w:pPr>
          </w:p>
        </w:tc>
        <w:tc>
          <w:tcPr>
            <w:tcW w:w="1479" w:type="dxa"/>
            <w:shd w:val="clear" w:color="auto" w:fill="auto"/>
            <w:vAlign w:val="center"/>
          </w:tcPr>
          <w:p w14:paraId="7529CE05" w14:textId="77777777" w:rsidR="004825AE" w:rsidRPr="00CB683A" w:rsidRDefault="004825AE" w:rsidP="0088064F">
            <w:pPr>
              <w:spacing w:beforeLines="20" w:before="48" w:afterLines="20" w:after="48"/>
              <w:jc w:val="center"/>
              <w:rPr>
                <w:noProof/>
                <w:sz w:val="16"/>
                <w:szCs w:val="16"/>
              </w:rPr>
            </w:pPr>
          </w:p>
        </w:tc>
        <w:tc>
          <w:tcPr>
            <w:tcW w:w="1480" w:type="dxa"/>
            <w:shd w:val="clear" w:color="auto" w:fill="auto"/>
            <w:vAlign w:val="center"/>
          </w:tcPr>
          <w:p w14:paraId="5FD17E57" w14:textId="77777777" w:rsidR="004825AE" w:rsidRPr="00CB683A" w:rsidRDefault="004825AE" w:rsidP="0088064F">
            <w:pPr>
              <w:spacing w:beforeLines="20" w:before="48" w:afterLines="20" w:after="48"/>
              <w:jc w:val="center"/>
              <w:rPr>
                <w:noProof/>
                <w:sz w:val="16"/>
                <w:szCs w:val="16"/>
              </w:rPr>
            </w:pPr>
          </w:p>
        </w:tc>
      </w:tr>
      <w:tr w:rsidR="004825AE" w:rsidRPr="00CB683A" w14:paraId="5701CD44" w14:textId="77777777" w:rsidTr="0088064F">
        <w:trPr>
          <w:trHeight w:val="289"/>
          <w:jc w:val="center"/>
        </w:trPr>
        <w:tc>
          <w:tcPr>
            <w:tcW w:w="4719" w:type="dxa"/>
            <w:gridSpan w:val="2"/>
            <w:tcBorders>
              <w:top w:val="double" w:sz="4" w:space="0" w:color="auto"/>
            </w:tcBorders>
            <w:shd w:val="clear" w:color="auto" w:fill="auto"/>
            <w:vAlign w:val="center"/>
          </w:tcPr>
          <w:p w14:paraId="34F83239" w14:textId="77777777" w:rsidR="004825AE" w:rsidRPr="00CB683A" w:rsidRDefault="004825AE" w:rsidP="0088064F">
            <w:pPr>
              <w:pStyle w:val="Text1"/>
              <w:spacing w:beforeLines="20" w:before="48" w:afterLines="20" w:after="48"/>
              <w:ind w:left="136"/>
              <w:jc w:val="left"/>
              <w:rPr>
                <w:noProof/>
                <w:sz w:val="16"/>
                <w:szCs w:val="16"/>
              </w:rPr>
            </w:pPr>
            <w:r w:rsidRPr="00CB683A">
              <w:rPr>
                <w:b/>
                <w:noProof/>
                <w:sz w:val="16"/>
              </w:rPr>
              <w:t>CELKEM</w:t>
            </w:r>
          </w:p>
        </w:tc>
        <w:tc>
          <w:tcPr>
            <w:tcW w:w="1479" w:type="dxa"/>
            <w:tcBorders>
              <w:top w:val="double" w:sz="4" w:space="0" w:color="auto"/>
            </w:tcBorders>
            <w:shd w:val="clear" w:color="auto" w:fill="auto"/>
            <w:vAlign w:val="center"/>
          </w:tcPr>
          <w:p w14:paraId="30AB7B85" w14:textId="77777777" w:rsidR="004825AE" w:rsidRPr="00CB683A" w:rsidRDefault="004825AE" w:rsidP="0088064F">
            <w:pPr>
              <w:spacing w:beforeLines="20" w:before="48" w:afterLines="20" w:after="48"/>
              <w:jc w:val="center"/>
              <w:rPr>
                <w:b/>
                <w:noProof/>
                <w:sz w:val="16"/>
                <w:szCs w:val="16"/>
              </w:rPr>
            </w:pPr>
            <w:r w:rsidRPr="00CB683A">
              <w:rPr>
                <w:b/>
                <w:noProof/>
                <w:sz w:val="16"/>
              </w:rPr>
              <w:t>26</w:t>
            </w:r>
          </w:p>
        </w:tc>
        <w:tc>
          <w:tcPr>
            <w:tcW w:w="1479" w:type="dxa"/>
            <w:tcBorders>
              <w:top w:val="double" w:sz="4" w:space="0" w:color="auto"/>
            </w:tcBorders>
            <w:shd w:val="clear" w:color="auto" w:fill="auto"/>
            <w:vAlign w:val="center"/>
          </w:tcPr>
          <w:p w14:paraId="3DAE5A62" w14:textId="77777777" w:rsidR="004825AE" w:rsidRPr="00CB683A" w:rsidRDefault="004825AE" w:rsidP="0088064F">
            <w:pPr>
              <w:spacing w:beforeLines="20" w:before="48" w:afterLines="20" w:after="48"/>
              <w:jc w:val="center"/>
              <w:rPr>
                <w:b/>
                <w:noProof/>
                <w:sz w:val="16"/>
                <w:szCs w:val="16"/>
              </w:rPr>
            </w:pPr>
            <w:r w:rsidRPr="00CB683A">
              <w:rPr>
                <w:b/>
                <w:noProof/>
                <w:sz w:val="16"/>
              </w:rPr>
              <w:t>26</w:t>
            </w:r>
          </w:p>
        </w:tc>
        <w:tc>
          <w:tcPr>
            <w:tcW w:w="1480" w:type="dxa"/>
            <w:tcBorders>
              <w:top w:val="double" w:sz="4" w:space="0" w:color="auto"/>
            </w:tcBorders>
            <w:shd w:val="clear" w:color="auto" w:fill="auto"/>
            <w:vAlign w:val="center"/>
          </w:tcPr>
          <w:p w14:paraId="64CE3CDD" w14:textId="77777777" w:rsidR="004825AE" w:rsidRPr="00CB683A" w:rsidRDefault="004825AE" w:rsidP="0088064F">
            <w:pPr>
              <w:spacing w:beforeLines="20" w:before="48" w:afterLines="20" w:after="48"/>
              <w:jc w:val="center"/>
              <w:rPr>
                <w:b/>
                <w:noProof/>
                <w:sz w:val="16"/>
                <w:szCs w:val="16"/>
              </w:rPr>
            </w:pPr>
            <w:r w:rsidRPr="00CB683A">
              <w:rPr>
                <w:b/>
                <w:noProof/>
                <w:sz w:val="16"/>
              </w:rPr>
              <w:t>26</w:t>
            </w:r>
          </w:p>
        </w:tc>
      </w:tr>
    </w:tbl>
    <w:p w14:paraId="7B2C8184" w14:textId="77777777" w:rsidR="007F065E" w:rsidRPr="00CB683A" w:rsidRDefault="002A46CB" w:rsidP="00FE41E8">
      <w:pPr>
        <w:pStyle w:val="Text1"/>
        <w:spacing w:before="60" w:after="60"/>
        <w:ind w:left="851"/>
        <w:rPr>
          <w:noProof/>
          <w:sz w:val="18"/>
          <w:szCs w:val="18"/>
        </w:rPr>
      </w:pPr>
      <w:r w:rsidRPr="00CB683A">
        <w:rPr>
          <w:b/>
          <w:noProof/>
          <w:sz w:val="18"/>
        </w:rPr>
        <w:t>03</w:t>
      </w:r>
      <w:r w:rsidRPr="00CB683A">
        <w:rPr>
          <w:noProof/>
          <w:sz w:val="18"/>
        </w:rPr>
        <w:t xml:space="preserve"> je oblast politiky nebo dotčená hlava rozpočtu.</w:t>
      </w:r>
    </w:p>
    <w:p w14:paraId="7571A0A8" w14:textId="77777777" w:rsidR="007F065E" w:rsidRPr="00CB683A" w:rsidRDefault="007F065E" w:rsidP="00FE41E8">
      <w:pPr>
        <w:pStyle w:val="Text1"/>
        <w:rPr>
          <w:noProof/>
          <w:sz w:val="18"/>
          <w:szCs w:val="18"/>
        </w:rPr>
      </w:pPr>
      <w:r w:rsidRPr="00CB683A">
        <w:rPr>
          <w:noProof/>
          <w:sz w:val="18"/>
        </w:rPr>
        <w:t>Potřeby v oblasti lidských zdrojů budou pokryty ze zdrojů GŘ, které jsou již vyčleněny na řízení akce a/nebo byly vnitřně přeobsazeny v rámci GŘ, a případně doplněny z dodatečného přídělu, který lze řídícímu GŘ poskytnout v rámci ročního přidělování a s ohledem na rozpočtová omezení.</w:t>
      </w:r>
    </w:p>
    <w:p w14:paraId="232D490A" w14:textId="77777777" w:rsidR="007F065E" w:rsidRPr="00CB683A" w:rsidRDefault="007F065E" w:rsidP="00FE41E8">
      <w:pPr>
        <w:rPr>
          <w:noProof/>
          <w:sz w:val="20"/>
        </w:rPr>
      </w:pPr>
      <w:r w:rsidRPr="00CB683A">
        <w:rPr>
          <w:noProof/>
          <w:sz w:val="20"/>
        </w:rPr>
        <w:t>Popis úkolů:</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7F065E" w:rsidRPr="00CB683A" w14:paraId="0123F3CB" w14:textId="77777777" w:rsidTr="00FE41E8">
        <w:tc>
          <w:tcPr>
            <w:tcW w:w="3240" w:type="dxa"/>
          </w:tcPr>
          <w:p w14:paraId="1B57CFCA" w14:textId="77777777" w:rsidR="007F065E" w:rsidRPr="00CB683A" w:rsidRDefault="007F065E" w:rsidP="00FE41E8">
            <w:pPr>
              <w:rPr>
                <w:noProof/>
                <w:sz w:val="20"/>
              </w:rPr>
            </w:pPr>
            <w:r w:rsidRPr="00CB683A">
              <w:rPr>
                <w:noProof/>
                <w:sz w:val="20"/>
              </w:rPr>
              <w:t>Úředníci a dočasní zaměstnanci</w:t>
            </w:r>
          </w:p>
        </w:tc>
        <w:tc>
          <w:tcPr>
            <w:tcW w:w="7200" w:type="dxa"/>
          </w:tcPr>
          <w:p w14:paraId="12CB32FB" w14:textId="77777777" w:rsidR="00CA612D" w:rsidRPr="00CB683A" w:rsidRDefault="00CA612D" w:rsidP="00CA612D">
            <w:pPr>
              <w:rPr>
                <w:noProof/>
                <w:sz w:val="20"/>
              </w:rPr>
            </w:pPr>
            <w:r w:rsidRPr="00CB683A">
              <w:rPr>
                <w:noProof/>
                <w:sz w:val="20"/>
              </w:rPr>
              <w:t>Metodická práce pro spolehlivé zavedení pojmů, definic a statistických metod</w:t>
            </w:r>
          </w:p>
          <w:p w14:paraId="186F7C4F" w14:textId="77777777" w:rsidR="00CA612D" w:rsidRPr="00CB683A" w:rsidRDefault="00CA612D" w:rsidP="00CA612D">
            <w:pPr>
              <w:rPr>
                <w:noProof/>
                <w:sz w:val="20"/>
              </w:rPr>
            </w:pPr>
            <w:r w:rsidRPr="00CB683A">
              <w:rPr>
                <w:noProof/>
                <w:sz w:val="20"/>
              </w:rPr>
              <w:t>Práce na tvorbě údajů pro přijetí, zpracování, ověření a zveřejnění údajů a metadat</w:t>
            </w:r>
          </w:p>
          <w:p w14:paraId="0800B43A" w14:textId="77777777" w:rsidR="007F065E" w:rsidRPr="00CB683A" w:rsidRDefault="00CA612D" w:rsidP="00CA612D">
            <w:pPr>
              <w:rPr>
                <w:noProof/>
                <w:sz w:val="20"/>
              </w:rPr>
            </w:pPr>
            <w:r w:rsidRPr="00CB683A">
              <w:rPr>
                <w:noProof/>
                <w:sz w:val="20"/>
              </w:rPr>
              <w:t>Analýza údajů, publikace a podpora uživatelů</w:t>
            </w:r>
          </w:p>
          <w:p w14:paraId="1E0EBA2A" w14:textId="77777777" w:rsidR="00CA612D" w:rsidRPr="00CB683A" w:rsidRDefault="00CA612D" w:rsidP="00CA612D">
            <w:pPr>
              <w:rPr>
                <w:noProof/>
                <w:sz w:val="20"/>
              </w:rPr>
            </w:pPr>
            <w:r w:rsidRPr="00CB683A">
              <w:rPr>
                <w:noProof/>
                <w:sz w:val="20"/>
              </w:rPr>
              <w:t>Regulační statistická spolupráce</w:t>
            </w:r>
          </w:p>
          <w:p w14:paraId="36088D5D" w14:textId="77777777" w:rsidR="00CA612D" w:rsidRPr="00CB683A" w:rsidRDefault="00CA612D" w:rsidP="00CA612D">
            <w:pPr>
              <w:rPr>
                <w:noProof/>
                <w:sz w:val="20"/>
              </w:rPr>
            </w:pPr>
            <w:r w:rsidRPr="00CB683A">
              <w:rPr>
                <w:noProof/>
                <w:sz w:val="20"/>
              </w:rPr>
              <w:t>Mezinárodní spolupráce v otázkách statistiky</w:t>
            </w:r>
          </w:p>
        </w:tc>
      </w:tr>
      <w:tr w:rsidR="007F065E" w:rsidRPr="00CB683A" w14:paraId="1AC84C0B" w14:textId="77777777" w:rsidTr="00FE41E8">
        <w:tc>
          <w:tcPr>
            <w:tcW w:w="3240" w:type="dxa"/>
          </w:tcPr>
          <w:p w14:paraId="5B4C5F67" w14:textId="77777777" w:rsidR="007F065E" w:rsidRPr="00CB683A" w:rsidRDefault="007F065E" w:rsidP="00FE41E8">
            <w:pPr>
              <w:spacing w:before="60" w:after="60"/>
              <w:rPr>
                <w:noProof/>
                <w:sz w:val="20"/>
              </w:rPr>
            </w:pPr>
            <w:r w:rsidRPr="00CB683A">
              <w:rPr>
                <w:noProof/>
                <w:sz w:val="20"/>
              </w:rPr>
              <w:t>Externí zaměstnanci</w:t>
            </w:r>
          </w:p>
        </w:tc>
        <w:tc>
          <w:tcPr>
            <w:tcW w:w="7200" w:type="dxa"/>
          </w:tcPr>
          <w:p w14:paraId="1BF4D627" w14:textId="77777777" w:rsidR="007F065E" w:rsidRPr="00CB683A" w:rsidRDefault="00CA612D" w:rsidP="00FE41E8">
            <w:pPr>
              <w:rPr>
                <w:noProof/>
                <w:sz w:val="20"/>
              </w:rPr>
            </w:pPr>
            <w:r w:rsidRPr="00CB683A">
              <w:rPr>
                <w:noProof/>
                <w:sz w:val="20"/>
              </w:rPr>
              <w:t>IT a další technické práce podporující tvorbu a analýzu údajů</w:t>
            </w:r>
          </w:p>
        </w:tc>
      </w:tr>
    </w:tbl>
    <w:p w14:paraId="111A0C7A" w14:textId="77777777" w:rsidR="007F065E" w:rsidRPr="00CB683A" w:rsidRDefault="007F065E" w:rsidP="00FE41E8">
      <w:pPr>
        <w:rPr>
          <w:noProof/>
        </w:rPr>
        <w:sectPr w:rsidR="007F065E" w:rsidRPr="00CB683A" w:rsidSect="009925B6">
          <w:pgSz w:w="11907" w:h="16840"/>
          <w:pgMar w:top="1134" w:right="1418" w:bottom="1134" w:left="1418" w:header="709" w:footer="709" w:gutter="0"/>
          <w:cols w:space="708"/>
          <w:docGrid w:linePitch="360"/>
        </w:sectPr>
      </w:pPr>
    </w:p>
    <w:p w14:paraId="2F5D6CED" w14:textId="0EA7FFAE" w:rsidR="007F065E" w:rsidRPr="00CB683A" w:rsidRDefault="00891439" w:rsidP="00891439">
      <w:pPr>
        <w:pStyle w:val="ManualHeading3"/>
        <w:rPr>
          <w:noProof/>
        </w:rPr>
      </w:pPr>
      <w:bookmarkStart w:id="61" w:name="_Toc514938056"/>
      <w:bookmarkStart w:id="62" w:name="_Toc520485055"/>
      <w:r w:rsidRPr="00891439">
        <w:t>3.2.4.</w:t>
      </w:r>
      <w:r w:rsidRPr="00891439">
        <w:tab/>
      </w:r>
      <w:r w:rsidR="007F065E" w:rsidRPr="00CB683A">
        <w:rPr>
          <w:noProof/>
        </w:rPr>
        <w:t>Slučitelnost se stávajícím víceletým finančním rámcem</w:t>
      </w:r>
      <w:bookmarkEnd w:id="61"/>
      <w:bookmarkEnd w:id="62"/>
      <w:r w:rsidR="007F065E" w:rsidRPr="00CB683A">
        <w:rPr>
          <w:noProof/>
        </w:rPr>
        <w:t xml:space="preserve"> </w:t>
      </w:r>
    </w:p>
    <w:p w14:paraId="2E289A50" w14:textId="77777777" w:rsidR="007F065E" w:rsidRPr="00CB683A" w:rsidRDefault="007F065E" w:rsidP="00FE41E8">
      <w:pPr>
        <w:pStyle w:val="Text1"/>
        <w:rPr>
          <w:noProof/>
        </w:rPr>
      </w:pPr>
      <w:r w:rsidRPr="00CB683A">
        <w:rPr>
          <w:noProof/>
        </w:rPr>
        <w:t>Návrh/podnět:</w:t>
      </w:r>
    </w:p>
    <w:p w14:paraId="66B4BD36" w14:textId="77777777" w:rsidR="007F065E" w:rsidRPr="00CB683A" w:rsidRDefault="00894852" w:rsidP="00FE41E8">
      <w:pPr>
        <w:pStyle w:val="ListDash1"/>
        <w:rPr>
          <w:noProof/>
        </w:rPr>
      </w:pPr>
      <w:r w:rsidRPr="00CB683A">
        <w:rPr>
          <w:noProof/>
        </w:rPr>
        <w:sym w:font="Wingdings" w:char="F0FD"/>
      </w:r>
      <w:r w:rsidRPr="00CB683A">
        <w:rPr>
          <w:noProof/>
        </w:rPr>
        <w:tab/>
        <w:t>může být v plném rozsahu financován přerozdělením prostředků v rámci příslušného okruhu víceletého finančního rámce (VFR).</w:t>
      </w:r>
    </w:p>
    <w:p w14:paraId="3ECBABC4" w14:textId="77777777" w:rsidR="007F065E" w:rsidRPr="00CB683A" w:rsidRDefault="007F065E" w:rsidP="00FE41E8">
      <w:pPr>
        <w:pStyle w:val="Text1"/>
        <w:pBdr>
          <w:top w:val="single" w:sz="4" w:space="1" w:color="auto"/>
          <w:left w:val="single" w:sz="4" w:space="4" w:color="auto"/>
          <w:bottom w:val="single" w:sz="4" w:space="1" w:color="auto"/>
          <w:right w:val="single" w:sz="4" w:space="4" w:color="auto"/>
        </w:pBdr>
        <w:rPr>
          <w:noProof/>
          <w:sz w:val="20"/>
        </w:rPr>
      </w:pPr>
      <w:r w:rsidRPr="00CB683A">
        <w:rPr>
          <w:noProof/>
          <w:sz w:val="20"/>
        </w:rPr>
        <w:t>Upřesněte, jaká úprava se požaduje, příslušné rozpočtové položky a odpovídající částky.</w:t>
      </w:r>
      <w:r w:rsidRPr="00CB683A">
        <w:rPr>
          <w:noProof/>
        </w:rPr>
        <w:t xml:space="preserve"> </w:t>
      </w:r>
      <w:r w:rsidRPr="00CB683A">
        <w:rPr>
          <w:noProof/>
          <w:sz w:val="20"/>
        </w:rPr>
        <w:t>V případě zásadní úpravy přiložte excelovou tabulku.</w:t>
      </w:r>
    </w:p>
    <w:p w14:paraId="26894E4E" w14:textId="77777777" w:rsidR="008F6A4F" w:rsidRPr="00CB683A" w:rsidRDefault="008F6A4F" w:rsidP="00FE41E8">
      <w:pPr>
        <w:pStyle w:val="Text1"/>
        <w:pBdr>
          <w:top w:val="single" w:sz="4" w:space="1" w:color="auto"/>
          <w:left w:val="single" w:sz="4" w:space="4" w:color="auto"/>
          <w:bottom w:val="single" w:sz="4" w:space="1" w:color="auto"/>
          <w:right w:val="single" w:sz="4" w:space="4" w:color="auto"/>
        </w:pBdr>
        <w:rPr>
          <w:noProof/>
          <w:sz w:val="20"/>
        </w:rPr>
      </w:pPr>
      <w:r w:rsidRPr="00CB683A">
        <w:rPr>
          <w:noProof/>
          <w:sz w:val="20"/>
        </w:rPr>
        <w:t xml:space="preserve">Finanční potřeby budou pokryty z prostředků Programu pro jednotný trh, jak je stanoveno ve finančním plánu víceletého finančního rámce na období 2021–2027. </w:t>
      </w:r>
    </w:p>
    <w:p w14:paraId="7C8DC07A" w14:textId="77777777" w:rsidR="007F065E" w:rsidRPr="00CB683A" w:rsidRDefault="007F065E" w:rsidP="00FE41E8">
      <w:pPr>
        <w:pStyle w:val="ListDash1"/>
        <w:rPr>
          <w:noProof/>
        </w:rPr>
      </w:pPr>
      <w:r w:rsidRPr="00CB683A">
        <w:rPr>
          <w:noProof/>
        </w:rPr>
        <w:sym w:font="Wingdings" w:char="F0A8"/>
      </w:r>
      <w:r w:rsidRPr="00CB683A">
        <w:rPr>
          <w:noProof/>
        </w:rPr>
        <w:tab/>
        <w:t>vyžaduje použití nepřiděleného rozpětí v rámci příslušného okruhu VFR a/nebo použití zvláštních nástrojů definovaných v nařízení o VFR.</w:t>
      </w:r>
    </w:p>
    <w:p w14:paraId="651E06B9" w14:textId="77777777" w:rsidR="007F065E" w:rsidRPr="00CB683A" w:rsidRDefault="007F065E" w:rsidP="00FE41E8">
      <w:pPr>
        <w:pStyle w:val="Text1"/>
        <w:pBdr>
          <w:top w:val="single" w:sz="4" w:space="1" w:color="auto"/>
          <w:left w:val="single" w:sz="4" w:space="4" w:color="auto"/>
          <w:bottom w:val="single" w:sz="4" w:space="1" w:color="auto"/>
          <w:right w:val="single" w:sz="4" w:space="4" w:color="auto"/>
        </w:pBdr>
        <w:rPr>
          <w:noProof/>
          <w:sz w:val="20"/>
        </w:rPr>
      </w:pPr>
      <w:r w:rsidRPr="00CB683A">
        <w:rPr>
          <w:noProof/>
          <w:sz w:val="20"/>
        </w:rPr>
        <w:t>Upřesněte, co se požaduje, příslušné okruhy a rozpočtové položky, odpovídající částky a navrhované nástroje, které mají být použity.</w:t>
      </w:r>
    </w:p>
    <w:p w14:paraId="4BF4D188" w14:textId="77777777" w:rsidR="007F065E" w:rsidRPr="00CB683A" w:rsidRDefault="007F065E" w:rsidP="00FE41E8">
      <w:pPr>
        <w:pStyle w:val="ListDash1"/>
        <w:rPr>
          <w:noProof/>
        </w:rPr>
      </w:pPr>
      <w:r w:rsidRPr="00CB683A">
        <w:rPr>
          <w:noProof/>
        </w:rPr>
        <w:sym w:font="Wingdings" w:char="F0A8"/>
      </w:r>
      <w:r w:rsidRPr="00CB683A">
        <w:rPr>
          <w:noProof/>
        </w:rPr>
        <w:tab/>
        <w:t>vyžaduje revizi VFR.</w:t>
      </w:r>
    </w:p>
    <w:p w14:paraId="0A171E95" w14:textId="77777777" w:rsidR="007F065E" w:rsidRPr="00CB683A" w:rsidRDefault="007F065E" w:rsidP="00FE41E8">
      <w:pPr>
        <w:pStyle w:val="Text1"/>
        <w:pBdr>
          <w:top w:val="single" w:sz="4" w:space="1" w:color="auto"/>
          <w:left w:val="single" w:sz="4" w:space="4" w:color="auto"/>
          <w:bottom w:val="single" w:sz="4" w:space="1" w:color="auto"/>
          <w:right w:val="single" w:sz="4" w:space="4" w:color="auto"/>
        </w:pBdr>
        <w:rPr>
          <w:noProof/>
          <w:sz w:val="20"/>
        </w:rPr>
      </w:pPr>
      <w:r w:rsidRPr="00CB683A">
        <w:rPr>
          <w:noProof/>
          <w:sz w:val="20"/>
        </w:rPr>
        <w:t>Upřesněte, co se požaduje, příslušné okruhy a rozpočtové položky a odpovídající částky.</w:t>
      </w:r>
    </w:p>
    <w:p w14:paraId="33FCFB3E" w14:textId="0907E34F" w:rsidR="007F065E" w:rsidRPr="00CB683A" w:rsidRDefault="00891439" w:rsidP="00891439">
      <w:pPr>
        <w:pStyle w:val="ManualHeading3"/>
        <w:rPr>
          <w:bCs/>
          <w:noProof/>
          <w:szCs w:val="24"/>
        </w:rPr>
      </w:pPr>
      <w:bookmarkStart w:id="63" w:name="_Toc514938058"/>
      <w:bookmarkStart w:id="64" w:name="_Toc520485056"/>
      <w:r w:rsidRPr="00891439">
        <w:t>3.2.5.</w:t>
      </w:r>
      <w:r w:rsidRPr="00891439">
        <w:tab/>
      </w:r>
      <w:r w:rsidR="007F065E" w:rsidRPr="00CB683A">
        <w:rPr>
          <w:noProof/>
        </w:rPr>
        <w:t>Příspěvky třetích stran</w:t>
      </w:r>
      <w:bookmarkEnd w:id="63"/>
      <w:bookmarkEnd w:id="64"/>
      <w:r w:rsidR="007F065E" w:rsidRPr="00CB683A">
        <w:rPr>
          <w:noProof/>
        </w:rPr>
        <w:t xml:space="preserve"> </w:t>
      </w:r>
    </w:p>
    <w:p w14:paraId="0B3F4D72" w14:textId="77777777" w:rsidR="007F065E" w:rsidRPr="00CB683A" w:rsidRDefault="007F065E" w:rsidP="00FE41E8">
      <w:pPr>
        <w:pStyle w:val="Text1"/>
        <w:rPr>
          <w:noProof/>
        </w:rPr>
      </w:pPr>
      <w:r w:rsidRPr="00CB683A">
        <w:rPr>
          <w:noProof/>
        </w:rPr>
        <w:t>Návrh/podnět:</w:t>
      </w:r>
    </w:p>
    <w:p w14:paraId="168AD2AD" w14:textId="77777777" w:rsidR="007F065E" w:rsidRPr="00CB683A" w:rsidRDefault="00894852" w:rsidP="00FE41E8">
      <w:pPr>
        <w:pStyle w:val="ListDash1"/>
        <w:rPr>
          <w:noProof/>
        </w:rPr>
      </w:pPr>
      <w:r w:rsidRPr="00CB683A">
        <w:rPr>
          <w:noProof/>
        </w:rPr>
        <w:sym w:font="Wingdings" w:char="F0FD"/>
      </w:r>
      <w:r w:rsidRPr="00CB683A">
        <w:rPr>
          <w:noProof/>
        </w:rPr>
        <w:tab/>
        <w:t>nepočítá se spolufinancováním od třetích stran.</w:t>
      </w:r>
    </w:p>
    <w:p w14:paraId="66C0FC87" w14:textId="77777777" w:rsidR="007F065E" w:rsidRPr="00CB683A" w:rsidRDefault="007F065E" w:rsidP="00FE41E8">
      <w:pPr>
        <w:pStyle w:val="ListDash1"/>
        <w:rPr>
          <w:noProof/>
        </w:rPr>
      </w:pPr>
      <w:r w:rsidRPr="00CB683A">
        <w:rPr>
          <w:noProof/>
        </w:rPr>
        <w:sym w:font="Wingdings" w:char="F0A8"/>
      </w:r>
      <w:r w:rsidRPr="00CB683A">
        <w:rPr>
          <w:noProof/>
        </w:rPr>
        <w:tab/>
        <w:t>počítá se spolufinancováním od třetích stran podle následujícího odhadu:</w:t>
      </w:r>
    </w:p>
    <w:p w14:paraId="14A4C467" w14:textId="77777777" w:rsidR="007F065E" w:rsidRPr="00CB683A" w:rsidRDefault="007F065E" w:rsidP="00FE41E8">
      <w:pPr>
        <w:jc w:val="right"/>
        <w:rPr>
          <w:noProof/>
          <w:sz w:val="20"/>
        </w:rPr>
      </w:pPr>
      <w:r w:rsidRPr="00CB683A">
        <w:rPr>
          <w:noProof/>
          <w:sz w:val="20"/>
        </w:rPr>
        <w:t>Prostředky v milionech EUR (zaokrouhleno na tři desetinná místa)</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7F065E" w:rsidRPr="00CB683A" w14:paraId="39E61EBB" w14:textId="77777777" w:rsidTr="00FE41E8">
        <w:trPr>
          <w:cantSplit/>
        </w:trPr>
        <w:tc>
          <w:tcPr>
            <w:tcW w:w="2340" w:type="dxa"/>
          </w:tcPr>
          <w:p w14:paraId="100F527A" w14:textId="77777777" w:rsidR="007F065E" w:rsidRPr="00CB683A" w:rsidRDefault="007F065E" w:rsidP="00FE41E8">
            <w:pPr>
              <w:spacing w:before="60" w:after="60"/>
              <w:rPr>
                <w:noProof/>
                <w:sz w:val="20"/>
              </w:rPr>
            </w:pPr>
          </w:p>
        </w:tc>
        <w:tc>
          <w:tcPr>
            <w:tcW w:w="964" w:type="dxa"/>
            <w:vAlign w:val="center"/>
          </w:tcPr>
          <w:p w14:paraId="36DBC87F" w14:textId="77777777" w:rsidR="007F065E" w:rsidRPr="00CB683A" w:rsidRDefault="007F065E" w:rsidP="008F6A4F">
            <w:pPr>
              <w:jc w:val="center"/>
              <w:rPr>
                <w:noProof/>
                <w:sz w:val="20"/>
              </w:rPr>
            </w:pPr>
            <w:r w:rsidRPr="00CB683A">
              <w:rPr>
                <w:noProof/>
                <w:sz w:val="20"/>
              </w:rPr>
              <w:t>Rok</w:t>
            </w:r>
            <w:r w:rsidRPr="00CB683A">
              <w:rPr>
                <w:noProof/>
              </w:rPr>
              <w:t xml:space="preserve"> </w:t>
            </w:r>
            <w:r w:rsidRPr="00CB683A">
              <w:rPr>
                <w:noProof/>
              </w:rPr>
              <w:br/>
            </w:r>
            <w:r w:rsidRPr="00CB683A">
              <w:rPr>
                <w:b/>
                <w:noProof/>
                <w:sz w:val="20"/>
              </w:rPr>
              <w:t>N</w:t>
            </w:r>
            <w:r w:rsidRPr="00CB683A">
              <w:rPr>
                <w:rStyle w:val="FootnoteReference"/>
                <w:b/>
                <w:noProof/>
                <w:sz w:val="20"/>
              </w:rPr>
              <w:footnoteReference w:id="60"/>
            </w:r>
          </w:p>
        </w:tc>
        <w:tc>
          <w:tcPr>
            <w:tcW w:w="964" w:type="dxa"/>
            <w:vAlign w:val="center"/>
          </w:tcPr>
          <w:p w14:paraId="28A77021" w14:textId="77777777" w:rsidR="007F065E" w:rsidRPr="00CB683A" w:rsidRDefault="007F065E" w:rsidP="00FE41E8">
            <w:pPr>
              <w:jc w:val="center"/>
              <w:rPr>
                <w:noProof/>
                <w:sz w:val="20"/>
              </w:rPr>
            </w:pPr>
            <w:r w:rsidRPr="00CB683A">
              <w:rPr>
                <w:noProof/>
                <w:sz w:val="20"/>
              </w:rPr>
              <w:t>Rok</w:t>
            </w:r>
            <w:r w:rsidRPr="00CB683A">
              <w:rPr>
                <w:noProof/>
              </w:rPr>
              <w:t xml:space="preserve"> </w:t>
            </w:r>
            <w:r w:rsidRPr="00CB683A">
              <w:rPr>
                <w:noProof/>
              </w:rPr>
              <w:br/>
            </w:r>
            <w:r w:rsidRPr="00CB683A">
              <w:rPr>
                <w:b/>
                <w:noProof/>
                <w:sz w:val="20"/>
              </w:rPr>
              <w:t>N+1</w:t>
            </w:r>
          </w:p>
        </w:tc>
        <w:tc>
          <w:tcPr>
            <w:tcW w:w="964" w:type="dxa"/>
            <w:vAlign w:val="center"/>
          </w:tcPr>
          <w:p w14:paraId="3A855A1C" w14:textId="77777777" w:rsidR="007F065E" w:rsidRPr="00CB683A" w:rsidRDefault="007F065E" w:rsidP="00FE41E8">
            <w:pPr>
              <w:jc w:val="center"/>
              <w:rPr>
                <w:noProof/>
                <w:sz w:val="20"/>
              </w:rPr>
            </w:pPr>
            <w:r w:rsidRPr="00CB683A">
              <w:rPr>
                <w:noProof/>
                <w:sz w:val="20"/>
              </w:rPr>
              <w:t>Rok</w:t>
            </w:r>
            <w:r w:rsidRPr="00CB683A">
              <w:rPr>
                <w:noProof/>
              </w:rPr>
              <w:t xml:space="preserve"> </w:t>
            </w:r>
            <w:r w:rsidRPr="00CB683A">
              <w:rPr>
                <w:noProof/>
              </w:rPr>
              <w:br/>
            </w:r>
            <w:r w:rsidRPr="00CB683A">
              <w:rPr>
                <w:b/>
                <w:noProof/>
                <w:sz w:val="20"/>
              </w:rPr>
              <w:t>N+2</w:t>
            </w:r>
          </w:p>
        </w:tc>
        <w:tc>
          <w:tcPr>
            <w:tcW w:w="964" w:type="dxa"/>
            <w:vAlign w:val="center"/>
          </w:tcPr>
          <w:p w14:paraId="28DEBFE3" w14:textId="77777777" w:rsidR="007F065E" w:rsidRPr="00CB683A" w:rsidRDefault="007F065E" w:rsidP="00FE41E8">
            <w:pPr>
              <w:jc w:val="center"/>
              <w:rPr>
                <w:noProof/>
                <w:sz w:val="20"/>
              </w:rPr>
            </w:pPr>
            <w:r w:rsidRPr="00CB683A">
              <w:rPr>
                <w:noProof/>
                <w:sz w:val="20"/>
              </w:rPr>
              <w:t>Rok</w:t>
            </w:r>
            <w:r w:rsidRPr="00CB683A">
              <w:rPr>
                <w:noProof/>
              </w:rPr>
              <w:t xml:space="preserve"> </w:t>
            </w:r>
            <w:r w:rsidRPr="00CB683A">
              <w:rPr>
                <w:noProof/>
              </w:rPr>
              <w:br/>
            </w:r>
            <w:r w:rsidRPr="00CB683A">
              <w:rPr>
                <w:b/>
                <w:noProof/>
                <w:sz w:val="20"/>
              </w:rPr>
              <w:t>N+3</w:t>
            </w:r>
          </w:p>
        </w:tc>
        <w:tc>
          <w:tcPr>
            <w:tcW w:w="2892" w:type="dxa"/>
            <w:gridSpan w:val="3"/>
            <w:vAlign w:val="center"/>
          </w:tcPr>
          <w:p w14:paraId="04742788" w14:textId="77777777" w:rsidR="007F065E" w:rsidRPr="00CB683A" w:rsidRDefault="007F065E" w:rsidP="00FE41E8">
            <w:pPr>
              <w:jc w:val="center"/>
              <w:rPr>
                <w:b/>
                <w:noProof/>
                <w:sz w:val="20"/>
              </w:rPr>
            </w:pPr>
            <w:r w:rsidRPr="00CB683A">
              <w:rPr>
                <w:noProof/>
                <w:sz w:val="20"/>
              </w:rPr>
              <w:t>Vložit počet let podle trvání finančního dopadu (viz bod 1.6)</w:t>
            </w:r>
          </w:p>
        </w:tc>
        <w:tc>
          <w:tcPr>
            <w:tcW w:w="1158" w:type="dxa"/>
            <w:vAlign w:val="center"/>
          </w:tcPr>
          <w:p w14:paraId="771D4B7E" w14:textId="77777777" w:rsidR="007F065E" w:rsidRPr="00CB683A" w:rsidRDefault="007F065E" w:rsidP="00FE41E8">
            <w:pPr>
              <w:spacing w:before="60" w:after="60"/>
              <w:jc w:val="center"/>
              <w:rPr>
                <w:noProof/>
                <w:sz w:val="20"/>
              </w:rPr>
            </w:pPr>
            <w:r w:rsidRPr="00CB683A">
              <w:rPr>
                <w:noProof/>
                <w:sz w:val="20"/>
              </w:rPr>
              <w:t>Celkem</w:t>
            </w:r>
          </w:p>
        </w:tc>
      </w:tr>
      <w:tr w:rsidR="007F065E" w:rsidRPr="00CB683A" w14:paraId="639B7DAA" w14:textId="77777777" w:rsidTr="00FE41E8">
        <w:trPr>
          <w:cantSplit/>
        </w:trPr>
        <w:tc>
          <w:tcPr>
            <w:tcW w:w="2340" w:type="dxa"/>
          </w:tcPr>
          <w:p w14:paraId="4C35AC72" w14:textId="77777777" w:rsidR="007F065E" w:rsidRPr="00CB683A" w:rsidRDefault="007F065E" w:rsidP="00FE41E8">
            <w:pPr>
              <w:rPr>
                <w:noProof/>
              </w:rPr>
            </w:pPr>
            <w:r w:rsidRPr="00CB683A">
              <w:rPr>
                <w:noProof/>
                <w:sz w:val="20"/>
              </w:rPr>
              <w:t>Upřesněte spolufinancující subjekt</w:t>
            </w:r>
            <w:r w:rsidRPr="00CB683A">
              <w:rPr>
                <w:i/>
                <w:noProof/>
                <w:sz w:val="20"/>
              </w:rPr>
              <w:t xml:space="preserve"> </w:t>
            </w:r>
          </w:p>
        </w:tc>
        <w:tc>
          <w:tcPr>
            <w:tcW w:w="964" w:type="dxa"/>
            <w:vAlign w:val="center"/>
          </w:tcPr>
          <w:p w14:paraId="42257A50" w14:textId="77777777" w:rsidR="007F065E" w:rsidRPr="00CB683A" w:rsidRDefault="007F065E" w:rsidP="00FE41E8">
            <w:pPr>
              <w:spacing w:before="60" w:after="60"/>
              <w:jc w:val="center"/>
              <w:rPr>
                <w:noProof/>
                <w:sz w:val="20"/>
              </w:rPr>
            </w:pPr>
          </w:p>
        </w:tc>
        <w:tc>
          <w:tcPr>
            <w:tcW w:w="964" w:type="dxa"/>
            <w:vAlign w:val="center"/>
          </w:tcPr>
          <w:p w14:paraId="32D2344B" w14:textId="77777777" w:rsidR="007F065E" w:rsidRPr="00CB683A" w:rsidRDefault="007F065E" w:rsidP="00FE41E8">
            <w:pPr>
              <w:spacing w:before="60" w:after="60"/>
              <w:jc w:val="center"/>
              <w:rPr>
                <w:noProof/>
                <w:sz w:val="20"/>
              </w:rPr>
            </w:pPr>
          </w:p>
        </w:tc>
        <w:tc>
          <w:tcPr>
            <w:tcW w:w="964" w:type="dxa"/>
            <w:vAlign w:val="center"/>
          </w:tcPr>
          <w:p w14:paraId="452CE3EF" w14:textId="77777777" w:rsidR="007F065E" w:rsidRPr="00CB683A" w:rsidRDefault="007F065E" w:rsidP="00FE41E8">
            <w:pPr>
              <w:spacing w:before="60" w:after="60"/>
              <w:jc w:val="center"/>
              <w:rPr>
                <w:noProof/>
                <w:sz w:val="20"/>
              </w:rPr>
            </w:pPr>
          </w:p>
        </w:tc>
        <w:tc>
          <w:tcPr>
            <w:tcW w:w="964" w:type="dxa"/>
            <w:vAlign w:val="center"/>
          </w:tcPr>
          <w:p w14:paraId="663114A0" w14:textId="77777777" w:rsidR="007F065E" w:rsidRPr="00CB683A" w:rsidRDefault="007F065E" w:rsidP="00FE41E8">
            <w:pPr>
              <w:spacing w:before="60" w:after="60"/>
              <w:jc w:val="center"/>
              <w:rPr>
                <w:noProof/>
                <w:sz w:val="20"/>
              </w:rPr>
            </w:pPr>
          </w:p>
        </w:tc>
        <w:tc>
          <w:tcPr>
            <w:tcW w:w="964" w:type="dxa"/>
            <w:vAlign w:val="center"/>
          </w:tcPr>
          <w:p w14:paraId="03F11EF0" w14:textId="77777777" w:rsidR="007F065E" w:rsidRPr="00CB683A" w:rsidRDefault="007F065E" w:rsidP="00FE41E8">
            <w:pPr>
              <w:spacing w:before="60" w:after="60"/>
              <w:jc w:val="center"/>
              <w:rPr>
                <w:noProof/>
                <w:sz w:val="20"/>
              </w:rPr>
            </w:pPr>
          </w:p>
        </w:tc>
        <w:tc>
          <w:tcPr>
            <w:tcW w:w="964" w:type="dxa"/>
            <w:vAlign w:val="center"/>
          </w:tcPr>
          <w:p w14:paraId="543C8460" w14:textId="77777777" w:rsidR="007F065E" w:rsidRPr="00CB683A" w:rsidRDefault="007F065E" w:rsidP="00FE41E8">
            <w:pPr>
              <w:spacing w:before="60" w:after="60"/>
              <w:jc w:val="center"/>
              <w:rPr>
                <w:noProof/>
                <w:sz w:val="20"/>
              </w:rPr>
            </w:pPr>
          </w:p>
        </w:tc>
        <w:tc>
          <w:tcPr>
            <w:tcW w:w="964" w:type="dxa"/>
            <w:vAlign w:val="center"/>
          </w:tcPr>
          <w:p w14:paraId="30AF30A4" w14:textId="77777777" w:rsidR="007F065E" w:rsidRPr="00CB683A" w:rsidRDefault="007F065E" w:rsidP="00FE41E8">
            <w:pPr>
              <w:spacing w:before="60" w:after="60"/>
              <w:jc w:val="center"/>
              <w:rPr>
                <w:noProof/>
                <w:sz w:val="20"/>
              </w:rPr>
            </w:pPr>
          </w:p>
        </w:tc>
        <w:tc>
          <w:tcPr>
            <w:tcW w:w="1158" w:type="dxa"/>
            <w:vAlign w:val="center"/>
          </w:tcPr>
          <w:p w14:paraId="4BE9CE48" w14:textId="77777777" w:rsidR="007F065E" w:rsidRPr="00CB683A" w:rsidRDefault="007F065E" w:rsidP="00FE41E8">
            <w:pPr>
              <w:spacing w:before="60" w:after="60"/>
              <w:jc w:val="center"/>
              <w:rPr>
                <w:noProof/>
                <w:sz w:val="20"/>
              </w:rPr>
            </w:pPr>
          </w:p>
        </w:tc>
      </w:tr>
      <w:tr w:rsidR="007F065E" w:rsidRPr="00CB683A" w14:paraId="00862AE3" w14:textId="77777777" w:rsidTr="00FE41E8">
        <w:trPr>
          <w:cantSplit/>
        </w:trPr>
        <w:tc>
          <w:tcPr>
            <w:tcW w:w="2340" w:type="dxa"/>
          </w:tcPr>
          <w:p w14:paraId="5F30D6F8" w14:textId="77777777" w:rsidR="007F065E" w:rsidRPr="00CB683A" w:rsidRDefault="007F065E" w:rsidP="00FE41E8">
            <w:pPr>
              <w:spacing w:before="60" w:after="60"/>
              <w:jc w:val="left"/>
              <w:rPr>
                <w:noProof/>
                <w:sz w:val="20"/>
              </w:rPr>
            </w:pPr>
            <w:r w:rsidRPr="00CB683A">
              <w:rPr>
                <w:noProof/>
                <w:sz w:val="20"/>
              </w:rPr>
              <w:t xml:space="preserve">Spolufinancované prostředky CELKEM </w:t>
            </w:r>
          </w:p>
        </w:tc>
        <w:tc>
          <w:tcPr>
            <w:tcW w:w="964" w:type="dxa"/>
            <w:vAlign w:val="center"/>
          </w:tcPr>
          <w:p w14:paraId="6FB3DDBB" w14:textId="77777777" w:rsidR="007F065E" w:rsidRPr="00CB683A" w:rsidRDefault="007F065E" w:rsidP="00FE41E8">
            <w:pPr>
              <w:spacing w:before="60" w:after="60"/>
              <w:jc w:val="center"/>
              <w:rPr>
                <w:noProof/>
                <w:sz w:val="20"/>
              </w:rPr>
            </w:pPr>
          </w:p>
        </w:tc>
        <w:tc>
          <w:tcPr>
            <w:tcW w:w="964" w:type="dxa"/>
            <w:vAlign w:val="center"/>
          </w:tcPr>
          <w:p w14:paraId="624E2F84" w14:textId="77777777" w:rsidR="007F065E" w:rsidRPr="00CB683A" w:rsidRDefault="007F065E" w:rsidP="00FE41E8">
            <w:pPr>
              <w:spacing w:before="60" w:after="60"/>
              <w:jc w:val="center"/>
              <w:rPr>
                <w:noProof/>
                <w:sz w:val="20"/>
              </w:rPr>
            </w:pPr>
          </w:p>
        </w:tc>
        <w:tc>
          <w:tcPr>
            <w:tcW w:w="964" w:type="dxa"/>
            <w:vAlign w:val="center"/>
          </w:tcPr>
          <w:p w14:paraId="6C81BA09" w14:textId="77777777" w:rsidR="007F065E" w:rsidRPr="00CB683A" w:rsidRDefault="007F065E" w:rsidP="00FE41E8">
            <w:pPr>
              <w:spacing w:before="60" w:after="60"/>
              <w:jc w:val="center"/>
              <w:rPr>
                <w:noProof/>
                <w:sz w:val="20"/>
              </w:rPr>
            </w:pPr>
          </w:p>
        </w:tc>
        <w:tc>
          <w:tcPr>
            <w:tcW w:w="964" w:type="dxa"/>
            <w:vAlign w:val="center"/>
          </w:tcPr>
          <w:p w14:paraId="47CAD85D" w14:textId="77777777" w:rsidR="007F065E" w:rsidRPr="00CB683A" w:rsidRDefault="007F065E" w:rsidP="00FE41E8">
            <w:pPr>
              <w:spacing w:before="60" w:after="60"/>
              <w:jc w:val="center"/>
              <w:rPr>
                <w:noProof/>
                <w:sz w:val="20"/>
              </w:rPr>
            </w:pPr>
          </w:p>
        </w:tc>
        <w:tc>
          <w:tcPr>
            <w:tcW w:w="964" w:type="dxa"/>
            <w:vAlign w:val="center"/>
          </w:tcPr>
          <w:p w14:paraId="4BDB539B" w14:textId="77777777" w:rsidR="007F065E" w:rsidRPr="00CB683A" w:rsidRDefault="007F065E" w:rsidP="00FE41E8">
            <w:pPr>
              <w:spacing w:before="60" w:after="60"/>
              <w:jc w:val="center"/>
              <w:rPr>
                <w:noProof/>
                <w:sz w:val="20"/>
              </w:rPr>
            </w:pPr>
          </w:p>
        </w:tc>
        <w:tc>
          <w:tcPr>
            <w:tcW w:w="964" w:type="dxa"/>
            <w:vAlign w:val="center"/>
          </w:tcPr>
          <w:p w14:paraId="382349C2" w14:textId="77777777" w:rsidR="007F065E" w:rsidRPr="00CB683A" w:rsidRDefault="007F065E" w:rsidP="00FE41E8">
            <w:pPr>
              <w:spacing w:before="60" w:after="60"/>
              <w:jc w:val="center"/>
              <w:rPr>
                <w:noProof/>
                <w:sz w:val="20"/>
              </w:rPr>
            </w:pPr>
          </w:p>
        </w:tc>
        <w:tc>
          <w:tcPr>
            <w:tcW w:w="964" w:type="dxa"/>
            <w:vAlign w:val="center"/>
          </w:tcPr>
          <w:p w14:paraId="3CD17942" w14:textId="77777777" w:rsidR="007F065E" w:rsidRPr="00CB683A" w:rsidRDefault="007F065E" w:rsidP="00FE41E8">
            <w:pPr>
              <w:spacing w:before="60" w:after="60"/>
              <w:jc w:val="center"/>
              <w:rPr>
                <w:noProof/>
                <w:sz w:val="20"/>
              </w:rPr>
            </w:pPr>
          </w:p>
        </w:tc>
        <w:tc>
          <w:tcPr>
            <w:tcW w:w="1158" w:type="dxa"/>
            <w:vAlign w:val="center"/>
          </w:tcPr>
          <w:p w14:paraId="4B25B464" w14:textId="77777777" w:rsidR="007F065E" w:rsidRPr="00CB683A" w:rsidRDefault="007F065E" w:rsidP="00FE41E8">
            <w:pPr>
              <w:spacing w:before="60" w:after="60"/>
              <w:jc w:val="center"/>
              <w:rPr>
                <w:noProof/>
                <w:sz w:val="20"/>
              </w:rPr>
            </w:pPr>
          </w:p>
        </w:tc>
      </w:tr>
    </w:tbl>
    <w:p w14:paraId="3627EFAD" w14:textId="4235FA37" w:rsidR="007F065E" w:rsidRPr="00CB683A" w:rsidRDefault="007F065E" w:rsidP="00FE41E8">
      <w:pPr>
        <w:rPr>
          <w:noProof/>
        </w:rPr>
      </w:pPr>
      <w:r w:rsidRPr="00CB683A">
        <w:rPr>
          <w:noProof/>
        </w:rPr>
        <w:br/>
      </w:r>
    </w:p>
    <w:p w14:paraId="352295F1" w14:textId="756D9C08" w:rsidR="007F065E" w:rsidRPr="00CB683A" w:rsidRDefault="007F065E" w:rsidP="00891439">
      <w:pPr>
        <w:pStyle w:val="ManualHeading2"/>
        <w:rPr>
          <w:bCs/>
          <w:noProof/>
          <w:szCs w:val="24"/>
        </w:rPr>
      </w:pPr>
      <w:r w:rsidRPr="00CB683A">
        <w:rPr>
          <w:noProof/>
        </w:rPr>
        <w:br w:type="page"/>
      </w:r>
      <w:bookmarkStart w:id="65" w:name="_Toc514938059"/>
      <w:bookmarkStart w:id="66" w:name="_Toc520485057"/>
      <w:r w:rsidR="00891439" w:rsidRPr="00891439">
        <w:t>3.3.</w:t>
      </w:r>
      <w:r w:rsidR="00891439" w:rsidRPr="00891439">
        <w:tab/>
      </w:r>
      <w:r w:rsidRPr="00CB683A">
        <w:rPr>
          <w:noProof/>
        </w:rPr>
        <w:t>Odhadovaný dopad na příjmy</w:t>
      </w:r>
      <w:bookmarkEnd w:id="65"/>
      <w:bookmarkEnd w:id="66"/>
      <w:r w:rsidRPr="00CB683A">
        <w:rPr>
          <w:noProof/>
        </w:rPr>
        <w:t xml:space="preserve"> </w:t>
      </w:r>
    </w:p>
    <w:p w14:paraId="0ADF188B" w14:textId="77777777" w:rsidR="007F065E" w:rsidRPr="00CB683A" w:rsidRDefault="00894852" w:rsidP="00FE41E8">
      <w:pPr>
        <w:pStyle w:val="ListDash1"/>
        <w:rPr>
          <w:noProof/>
        </w:rPr>
      </w:pPr>
      <w:r w:rsidRPr="00CB683A">
        <w:rPr>
          <w:noProof/>
        </w:rPr>
        <w:sym w:font="Wingdings" w:char="F0FD"/>
      </w:r>
      <w:r w:rsidRPr="00CB683A">
        <w:rPr>
          <w:noProof/>
        </w:rPr>
        <w:tab/>
        <w:t>Návrh/podnět nemá žádný finanční dopad na příjmy.</w:t>
      </w:r>
    </w:p>
    <w:p w14:paraId="2BBD45BE" w14:textId="77777777" w:rsidR="007F065E" w:rsidRPr="00CB683A" w:rsidRDefault="007F065E" w:rsidP="00FE41E8">
      <w:pPr>
        <w:pStyle w:val="ListDash1"/>
        <w:rPr>
          <w:noProof/>
        </w:rPr>
      </w:pPr>
      <w:r w:rsidRPr="00CB683A">
        <w:rPr>
          <w:noProof/>
        </w:rPr>
        <w:sym w:font="Wingdings" w:char="F0A8"/>
      </w:r>
      <w:r w:rsidRPr="00CB683A">
        <w:rPr>
          <w:noProof/>
        </w:rPr>
        <w:tab/>
        <w:t>Návrh/podnět má tento finanční dopad:</w:t>
      </w:r>
    </w:p>
    <w:p w14:paraId="17295B2C" w14:textId="77777777" w:rsidR="007F065E" w:rsidRPr="00CB683A" w:rsidRDefault="007F065E" w:rsidP="007F065E">
      <w:pPr>
        <w:pStyle w:val="ListNumberLevel3"/>
        <w:rPr>
          <w:noProof/>
        </w:rPr>
      </w:pPr>
      <w:r w:rsidRPr="00CB683A">
        <w:rPr>
          <w:noProof/>
        </w:rPr>
        <w:sym w:font="Wingdings" w:char="F0A8"/>
      </w:r>
      <w:r w:rsidRPr="00CB683A">
        <w:rPr>
          <w:noProof/>
        </w:rPr>
        <w:tab/>
        <w:t xml:space="preserve">na vlastní zdroje </w:t>
      </w:r>
    </w:p>
    <w:p w14:paraId="289B75F6" w14:textId="77777777" w:rsidR="007F065E" w:rsidRPr="00CB683A" w:rsidRDefault="007F065E" w:rsidP="007F065E">
      <w:pPr>
        <w:pStyle w:val="ListNumberLevel3"/>
        <w:rPr>
          <w:noProof/>
        </w:rPr>
      </w:pPr>
      <w:r w:rsidRPr="00CB683A">
        <w:rPr>
          <w:noProof/>
        </w:rPr>
        <w:sym w:font="Wingdings" w:char="F0A8"/>
      </w:r>
      <w:r w:rsidRPr="00CB683A">
        <w:rPr>
          <w:noProof/>
        </w:rPr>
        <w:tab/>
        <w:t>na jiné příjmy</w:t>
      </w:r>
    </w:p>
    <w:p w14:paraId="6F092313" w14:textId="77777777" w:rsidR="007F065E" w:rsidRPr="00CB683A" w:rsidRDefault="007F065E" w:rsidP="00FE41E8">
      <w:pPr>
        <w:pStyle w:val="ListNumberLevel3"/>
        <w:rPr>
          <w:noProof/>
        </w:rPr>
      </w:pPr>
      <w:r w:rsidRPr="00CB683A">
        <w:rPr>
          <w:noProof/>
        </w:rPr>
        <w:t xml:space="preserve">uveďte, zda je příjem účelově vázán na výdajové položky </w:t>
      </w:r>
      <w:r w:rsidRPr="00CB683A">
        <w:rPr>
          <w:noProof/>
        </w:rPr>
        <w:sym w:font="Wingdings" w:char="F0A8"/>
      </w:r>
      <w:r w:rsidRPr="00CB683A">
        <w:rPr>
          <w:noProof/>
        </w:rPr>
        <w:tab/>
      </w:r>
    </w:p>
    <w:p w14:paraId="4C937F65" w14:textId="77777777" w:rsidR="007F065E" w:rsidRPr="00CB683A" w:rsidRDefault="007F065E" w:rsidP="00FE41E8">
      <w:pPr>
        <w:ind w:left="4320"/>
        <w:rPr>
          <w:i/>
          <w:noProof/>
          <w:sz w:val="20"/>
        </w:rPr>
      </w:pPr>
      <w:r w:rsidRPr="00CB683A">
        <w:rPr>
          <w:noProof/>
        </w:rPr>
        <w:t xml:space="preserve">     v milionech EUR (zaokrouhleno na tři desetinná místa)</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7F065E" w:rsidRPr="00CB683A" w14:paraId="568C3674" w14:textId="77777777" w:rsidTr="00FE41E8">
        <w:trPr>
          <w:trHeight w:val="388"/>
        </w:trPr>
        <w:tc>
          <w:tcPr>
            <w:tcW w:w="2144" w:type="dxa"/>
            <w:vMerge w:val="restart"/>
            <w:vAlign w:val="center"/>
          </w:tcPr>
          <w:p w14:paraId="518B2A52" w14:textId="77777777" w:rsidR="007F065E" w:rsidRPr="00CB683A" w:rsidRDefault="007F065E" w:rsidP="00FE41E8">
            <w:pPr>
              <w:spacing w:before="40" w:after="40"/>
              <w:rPr>
                <w:noProof/>
                <w:sz w:val="18"/>
              </w:rPr>
            </w:pPr>
            <w:r w:rsidRPr="00CB683A">
              <w:rPr>
                <w:noProof/>
                <w:sz w:val="18"/>
              </w:rPr>
              <w:t>Příjmová rozpočtová položka:</w:t>
            </w:r>
          </w:p>
        </w:tc>
        <w:tc>
          <w:tcPr>
            <w:tcW w:w="1325" w:type="dxa"/>
            <w:vMerge w:val="restart"/>
            <w:vAlign w:val="center"/>
          </w:tcPr>
          <w:p w14:paraId="62E36374" w14:textId="77777777" w:rsidR="007F065E" w:rsidRPr="00CB683A" w:rsidRDefault="007F065E" w:rsidP="00FE41E8">
            <w:pPr>
              <w:jc w:val="center"/>
              <w:rPr>
                <w:noProof/>
                <w:sz w:val="18"/>
              </w:rPr>
            </w:pPr>
            <w:r w:rsidRPr="00CB683A">
              <w:rPr>
                <w:noProof/>
                <w:sz w:val="18"/>
              </w:rPr>
              <w:t>Prostředky dostupné v běžném rozpočtovém roce</w:t>
            </w:r>
          </w:p>
        </w:tc>
        <w:tc>
          <w:tcPr>
            <w:tcW w:w="7151" w:type="dxa"/>
            <w:gridSpan w:val="7"/>
            <w:vAlign w:val="center"/>
          </w:tcPr>
          <w:p w14:paraId="486B46E9" w14:textId="77777777" w:rsidR="007F065E" w:rsidRPr="00CB683A" w:rsidRDefault="007F065E" w:rsidP="008F6A4F">
            <w:pPr>
              <w:jc w:val="center"/>
              <w:rPr>
                <w:noProof/>
                <w:sz w:val="18"/>
              </w:rPr>
            </w:pPr>
            <w:r w:rsidRPr="00CB683A">
              <w:rPr>
                <w:noProof/>
                <w:sz w:val="18"/>
              </w:rPr>
              <w:t>Dopad návrhu/podnětu</w:t>
            </w:r>
            <w:r w:rsidRPr="00CB683A">
              <w:rPr>
                <w:rStyle w:val="FootnoteReference"/>
                <w:noProof/>
                <w:sz w:val="18"/>
              </w:rPr>
              <w:footnoteReference w:id="61"/>
            </w:r>
          </w:p>
        </w:tc>
      </w:tr>
      <w:tr w:rsidR="007F065E" w:rsidRPr="00CB683A" w14:paraId="4326B7B2" w14:textId="77777777" w:rsidTr="00FE41E8">
        <w:trPr>
          <w:trHeight w:val="388"/>
        </w:trPr>
        <w:tc>
          <w:tcPr>
            <w:tcW w:w="2144" w:type="dxa"/>
            <w:vMerge/>
          </w:tcPr>
          <w:p w14:paraId="5C11E9DD" w14:textId="77777777" w:rsidR="007F065E" w:rsidRPr="00CB683A" w:rsidRDefault="007F065E" w:rsidP="00FE41E8">
            <w:pPr>
              <w:spacing w:before="40" w:after="40"/>
              <w:rPr>
                <w:noProof/>
                <w:sz w:val="18"/>
              </w:rPr>
            </w:pPr>
          </w:p>
        </w:tc>
        <w:tc>
          <w:tcPr>
            <w:tcW w:w="1325" w:type="dxa"/>
            <w:vMerge/>
          </w:tcPr>
          <w:p w14:paraId="3645A870" w14:textId="77777777" w:rsidR="007F065E" w:rsidRPr="00CB683A" w:rsidRDefault="007F065E" w:rsidP="00FE41E8">
            <w:pPr>
              <w:spacing w:beforeLines="40" w:before="96" w:afterLines="40" w:after="96"/>
              <w:rPr>
                <w:i/>
                <w:noProof/>
                <w:sz w:val="18"/>
              </w:rPr>
            </w:pPr>
          </w:p>
        </w:tc>
        <w:tc>
          <w:tcPr>
            <w:tcW w:w="1031" w:type="dxa"/>
            <w:vAlign w:val="center"/>
          </w:tcPr>
          <w:p w14:paraId="295BB2C5" w14:textId="77777777" w:rsidR="007F065E" w:rsidRPr="00CB683A" w:rsidRDefault="007F065E" w:rsidP="00FE41E8">
            <w:pPr>
              <w:jc w:val="center"/>
              <w:rPr>
                <w:noProof/>
                <w:sz w:val="18"/>
              </w:rPr>
            </w:pPr>
            <w:r w:rsidRPr="00CB683A">
              <w:rPr>
                <w:noProof/>
                <w:sz w:val="18"/>
              </w:rPr>
              <w:t>Rok</w:t>
            </w:r>
            <w:r w:rsidRPr="00CB683A">
              <w:rPr>
                <w:noProof/>
              </w:rPr>
              <w:t xml:space="preserve"> </w:t>
            </w:r>
            <w:r w:rsidRPr="00CB683A">
              <w:rPr>
                <w:noProof/>
              </w:rPr>
              <w:br/>
            </w:r>
            <w:r w:rsidRPr="00CB683A">
              <w:rPr>
                <w:b/>
                <w:noProof/>
                <w:sz w:val="18"/>
              </w:rPr>
              <w:t>N</w:t>
            </w:r>
          </w:p>
        </w:tc>
        <w:tc>
          <w:tcPr>
            <w:tcW w:w="900" w:type="dxa"/>
            <w:vAlign w:val="center"/>
          </w:tcPr>
          <w:p w14:paraId="3DE6007D" w14:textId="77777777" w:rsidR="007F065E" w:rsidRPr="00CB683A" w:rsidRDefault="007F065E" w:rsidP="00FE41E8">
            <w:pPr>
              <w:jc w:val="center"/>
              <w:rPr>
                <w:noProof/>
                <w:sz w:val="18"/>
              </w:rPr>
            </w:pPr>
            <w:r w:rsidRPr="00CB683A">
              <w:rPr>
                <w:noProof/>
                <w:sz w:val="18"/>
              </w:rPr>
              <w:t>Rok</w:t>
            </w:r>
            <w:r w:rsidRPr="00CB683A">
              <w:rPr>
                <w:noProof/>
              </w:rPr>
              <w:t xml:space="preserve"> </w:t>
            </w:r>
            <w:r w:rsidRPr="00CB683A">
              <w:rPr>
                <w:noProof/>
              </w:rPr>
              <w:br/>
            </w:r>
            <w:r w:rsidRPr="00CB683A">
              <w:rPr>
                <w:b/>
                <w:noProof/>
                <w:sz w:val="18"/>
              </w:rPr>
              <w:t>N+1</w:t>
            </w:r>
          </w:p>
        </w:tc>
        <w:tc>
          <w:tcPr>
            <w:tcW w:w="900" w:type="dxa"/>
            <w:vAlign w:val="center"/>
          </w:tcPr>
          <w:p w14:paraId="3BAD9BD8" w14:textId="77777777" w:rsidR="007F065E" w:rsidRPr="00CB683A" w:rsidRDefault="007F065E" w:rsidP="00FE41E8">
            <w:pPr>
              <w:jc w:val="center"/>
              <w:rPr>
                <w:noProof/>
                <w:sz w:val="18"/>
              </w:rPr>
            </w:pPr>
            <w:r w:rsidRPr="00CB683A">
              <w:rPr>
                <w:noProof/>
                <w:sz w:val="18"/>
              </w:rPr>
              <w:t>Rok</w:t>
            </w:r>
            <w:r w:rsidRPr="00CB683A">
              <w:rPr>
                <w:noProof/>
              </w:rPr>
              <w:t xml:space="preserve"> </w:t>
            </w:r>
            <w:r w:rsidRPr="00CB683A">
              <w:rPr>
                <w:noProof/>
              </w:rPr>
              <w:br/>
            </w:r>
            <w:r w:rsidRPr="00CB683A">
              <w:rPr>
                <w:b/>
                <w:noProof/>
                <w:sz w:val="18"/>
              </w:rPr>
              <w:t>N+2</w:t>
            </w:r>
          </w:p>
        </w:tc>
        <w:tc>
          <w:tcPr>
            <w:tcW w:w="1080" w:type="dxa"/>
            <w:vAlign w:val="center"/>
          </w:tcPr>
          <w:p w14:paraId="0E407E8B" w14:textId="77777777" w:rsidR="007F065E" w:rsidRPr="00CB683A" w:rsidRDefault="007F065E" w:rsidP="00FE41E8">
            <w:pPr>
              <w:jc w:val="center"/>
              <w:rPr>
                <w:noProof/>
                <w:sz w:val="18"/>
              </w:rPr>
            </w:pPr>
            <w:r w:rsidRPr="00CB683A">
              <w:rPr>
                <w:noProof/>
                <w:sz w:val="18"/>
              </w:rPr>
              <w:t>Rok</w:t>
            </w:r>
            <w:r w:rsidRPr="00CB683A">
              <w:rPr>
                <w:noProof/>
              </w:rPr>
              <w:t xml:space="preserve"> </w:t>
            </w:r>
            <w:r w:rsidRPr="00CB683A">
              <w:rPr>
                <w:noProof/>
              </w:rPr>
              <w:br/>
            </w:r>
            <w:r w:rsidRPr="00CB683A">
              <w:rPr>
                <w:b/>
                <w:noProof/>
                <w:sz w:val="18"/>
              </w:rPr>
              <w:t>N+3</w:t>
            </w:r>
          </w:p>
        </w:tc>
        <w:tc>
          <w:tcPr>
            <w:tcW w:w="3240" w:type="dxa"/>
            <w:gridSpan w:val="3"/>
            <w:vAlign w:val="center"/>
          </w:tcPr>
          <w:p w14:paraId="5B436280" w14:textId="77777777" w:rsidR="007F065E" w:rsidRPr="00CB683A" w:rsidRDefault="007F065E" w:rsidP="00FE41E8">
            <w:pPr>
              <w:jc w:val="center"/>
              <w:rPr>
                <w:b/>
                <w:noProof/>
                <w:sz w:val="18"/>
              </w:rPr>
            </w:pPr>
            <w:r w:rsidRPr="00CB683A">
              <w:rPr>
                <w:noProof/>
                <w:sz w:val="18"/>
              </w:rPr>
              <w:t>Vložit počet let podle trvání finančního dopadu (viz bod 1.6)</w:t>
            </w:r>
          </w:p>
        </w:tc>
      </w:tr>
      <w:tr w:rsidR="007F065E" w:rsidRPr="00CB683A" w14:paraId="56597395" w14:textId="77777777" w:rsidTr="00FE41E8">
        <w:trPr>
          <w:trHeight w:val="388"/>
        </w:trPr>
        <w:tc>
          <w:tcPr>
            <w:tcW w:w="2144" w:type="dxa"/>
            <w:vAlign w:val="center"/>
          </w:tcPr>
          <w:p w14:paraId="3F61F06B" w14:textId="77777777" w:rsidR="007F065E" w:rsidRPr="00CB683A" w:rsidRDefault="007F065E" w:rsidP="00FE41E8">
            <w:pPr>
              <w:spacing w:before="40" w:after="40"/>
              <w:rPr>
                <w:noProof/>
                <w:sz w:val="18"/>
              </w:rPr>
            </w:pPr>
            <w:r w:rsidRPr="00CB683A">
              <w:rPr>
                <w:noProof/>
                <w:sz w:val="18"/>
              </w:rPr>
              <w:t>Článek ………….</w:t>
            </w:r>
          </w:p>
        </w:tc>
        <w:tc>
          <w:tcPr>
            <w:tcW w:w="1325" w:type="dxa"/>
          </w:tcPr>
          <w:p w14:paraId="2B512106" w14:textId="77777777" w:rsidR="007F065E" w:rsidRPr="00CB683A" w:rsidRDefault="007F065E" w:rsidP="00FE41E8">
            <w:pPr>
              <w:spacing w:beforeLines="40" w:before="96" w:afterLines="40" w:after="96"/>
              <w:jc w:val="center"/>
              <w:rPr>
                <w:i/>
                <w:noProof/>
                <w:sz w:val="18"/>
              </w:rPr>
            </w:pPr>
          </w:p>
        </w:tc>
        <w:tc>
          <w:tcPr>
            <w:tcW w:w="1031" w:type="dxa"/>
          </w:tcPr>
          <w:p w14:paraId="626CA916" w14:textId="77777777" w:rsidR="007F065E" w:rsidRPr="00CB683A" w:rsidRDefault="007F065E" w:rsidP="00FE41E8">
            <w:pPr>
              <w:spacing w:beforeLines="40" w:before="96" w:afterLines="40" w:after="96"/>
              <w:jc w:val="center"/>
              <w:rPr>
                <w:noProof/>
                <w:sz w:val="18"/>
              </w:rPr>
            </w:pPr>
          </w:p>
        </w:tc>
        <w:tc>
          <w:tcPr>
            <w:tcW w:w="900" w:type="dxa"/>
          </w:tcPr>
          <w:p w14:paraId="7D9F9CE3" w14:textId="77777777" w:rsidR="007F065E" w:rsidRPr="00CB683A" w:rsidRDefault="007F065E" w:rsidP="00FE41E8">
            <w:pPr>
              <w:spacing w:beforeLines="40" w:before="96" w:afterLines="40" w:after="96"/>
              <w:jc w:val="center"/>
              <w:rPr>
                <w:noProof/>
                <w:sz w:val="18"/>
              </w:rPr>
            </w:pPr>
          </w:p>
        </w:tc>
        <w:tc>
          <w:tcPr>
            <w:tcW w:w="900" w:type="dxa"/>
          </w:tcPr>
          <w:p w14:paraId="6F529FE1" w14:textId="77777777" w:rsidR="007F065E" w:rsidRPr="00CB683A" w:rsidRDefault="007F065E" w:rsidP="00FE41E8">
            <w:pPr>
              <w:spacing w:beforeLines="40" w:before="96" w:afterLines="40" w:after="96"/>
              <w:jc w:val="center"/>
              <w:rPr>
                <w:noProof/>
                <w:sz w:val="18"/>
              </w:rPr>
            </w:pPr>
          </w:p>
        </w:tc>
        <w:tc>
          <w:tcPr>
            <w:tcW w:w="1080" w:type="dxa"/>
          </w:tcPr>
          <w:p w14:paraId="4FCC7ED6" w14:textId="77777777" w:rsidR="007F065E" w:rsidRPr="00CB683A" w:rsidRDefault="007F065E" w:rsidP="00FE41E8">
            <w:pPr>
              <w:spacing w:beforeLines="40" w:before="96" w:afterLines="40" w:after="96"/>
              <w:jc w:val="center"/>
              <w:rPr>
                <w:noProof/>
                <w:sz w:val="18"/>
              </w:rPr>
            </w:pPr>
          </w:p>
        </w:tc>
        <w:tc>
          <w:tcPr>
            <w:tcW w:w="1080" w:type="dxa"/>
          </w:tcPr>
          <w:p w14:paraId="732ABA92" w14:textId="77777777" w:rsidR="007F065E" w:rsidRPr="00CB683A" w:rsidRDefault="007F065E" w:rsidP="00FE41E8">
            <w:pPr>
              <w:spacing w:beforeLines="40" w:before="96" w:afterLines="40" w:after="96"/>
              <w:jc w:val="center"/>
              <w:rPr>
                <w:noProof/>
                <w:sz w:val="18"/>
              </w:rPr>
            </w:pPr>
          </w:p>
        </w:tc>
        <w:tc>
          <w:tcPr>
            <w:tcW w:w="1080" w:type="dxa"/>
          </w:tcPr>
          <w:p w14:paraId="49446348" w14:textId="77777777" w:rsidR="007F065E" w:rsidRPr="00CB683A" w:rsidRDefault="007F065E" w:rsidP="00FE41E8">
            <w:pPr>
              <w:spacing w:beforeLines="40" w:before="96" w:afterLines="40" w:after="96"/>
              <w:jc w:val="center"/>
              <w:rPr>
                <w:noProof/>
                <w:sz w:val="18"/>
              </w:rPr>
            </w:pPr>
          </w:p>
        </w:tc>
        <w:tc>
          <w:tcPr>
            <w:tcW w:w="1080" w:type="dxa"/>
          </w:tcPr>
          <w:p w14:paraId="5FA19EE4" w14:textId="77777777" w:rsidR="007F065E" w:rsidRPr="00CB683A" w:rsidRDefault="007F065E" w:rsidP="00FE41E8">
            <w:pPr>
              <w:spacing w:beforeLines="40" w:before="96" w:afterLines="40" w:after="96"/>
              <w:jc w:val="center"/>
              <w:rPr>
                <w:noProof/>
                <w:sz w:val="18"/>
              </w:rPr>
            </w:pPr>
          </w:p>
        </w:tc>
      </w:tr>
    </w:tbl>
    <w:p w14:paraId="40B40467" w14:textId="77777777" w:rsidR="007F065E" w:rsidRPr="00CB683A" w:rsidRDefault="007F065E" w:rsidP="00FE41E8">
      <w:pPr>
        <w:pStyle w:val="Text1"/>
        <w:rPr>
          <w:noProof/>
          <w:sz w:val="20"/>
        </w:rPr>
      </w:pPr>
      <w:r w:rsidRPr="00CB683A">
        <w:rPr>
          <w:noProof/>
          <w:sz w:val="20"/>
        </w:rPr>
        <w:t>U účelově vázaných příjmů upřesněte dotčené výdajové rozpočtové položky.</w:t>
      </w:r>
    </w:p>
    <w:p w14:paraId="5519C520" w14:textId="77777777" w:rsidR="007F065E" w:rsidRPr="00CB683A" w:rsidRDefault="007F065E" w:rsidP="00FE41E8">
      <w:pPr>
        <w:pStyle w:val="Text1"/>
        <w:pBdr>
          <w:top w:val="single" w:sz="4" w:space="1" w:color="auto"/>
          <w:left w:val="single" w:sz="4" w:space="4" w:color="auto"/>
          <w:bottom w:val="single" w:sz="4" w:space="1" w:color="auto"/>
          <w:right w:val="single" w:sz="4" w:space="4" w:color="auto"/>
        </w:pBdr>
        <w:rPr>
          <w:noProof/>
        </w:rPr>
      </w:pPr>
    </w:p>
    <w:p w14:paraId="58AC3111" w14:textId="77777777" w:rsidR="007F065E" w:rsidRPr="00CB683A" w:rsidRDefault="007F065E" w:rsidP="00FE41E8">
      <w:pPr>
        <w:pStyle w:val="Text1"/>
        <w:rPr>
          <w:noProof/>
          <w:sz w:val="20"/>
        </w:rPr>
      </w:pPr>
      <w:r w:rsidRPr="00CB683A">
        <w:rPr>
          <w:noProof/>
          <w:sz w:val="20"/>
        </w:rPr>
        <w:t>Jiné poznámky (např. způsob/vzorec výpočtu dopadu na příjmy nebo jiné údaje).</w:t>
      </w:r>
    </w:p>
    <w:p w14:paraId="60E34E36" w14:textId="77777777" w:rsidR="007F065E" w:rsidRPr="00CB683A" w:rsidRDefault="007F065E" w:rsidP="00FE41E8">
      <w:pPr>
        <w:pStyle w:val="Text1"/>
        <w:pBdr>
          <w:top w:val="single" w:sz="4" w:space="1" w:color="auto"/>
          <w:left w:val="single" w:sz="4" w:space="4" w:color="auto"/>
          <w:bottom w:val="single" w:sz="4" w:space="1" w:color="auto"/>
          <w:right w:val="single" w:sz="4" w:space="4" w:color="auto"/>
        </w:pBdr>
        <w:rPr>
          <w:noProof/>
        </w:rPr>
      </w:pPr>
    </w:p>
    <w:sectPr w:rsidR="007F065E" w:rsidRPr="00CB683A" w:rsidSect="009925B6">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F741E" w14:textId="77777777" w:rsidR="0067679B" w:rsidRDefault="0067679B" w:rsidP="007F065E">
      <w:pPr>
        <w:spacing w:before="0" w:after="0"/>
      </w:pPr>
      <w:r>
        <w:separator/>
      </w:r>
    </w:p>
  </w:endnote>
  <w:endnote w:type="continuationSeparator" w:id="0">
    <w:p w14:paraId="32ADE189" w14:textId="77777777" w:rsidR="0067679B" w:rsidRDefault="0067679B" w:rsidP="007F065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 w:name="DIN">
    <w:altName w:val="DIN"/>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75693" w14:textId="4BDA49E2" w:rsidR="00551191" w:rsidRPr="009925B6" w:rsidRDefault="009925B6" w:rsidP="009925B6">
    <w:pPr>
      <w:pStyle w:val="Footer"/>
      <w:rPr>
        <w:rFonts w:ascii="Arial" w:hAnsi="Arial" w:cs="Arial"/>
        <w:b/>
        <w:sz w:val="48"/>
      </w:rPr>
    </w:pPr>
    <w:r w:rsidRPr="009925B6">
      <w:rPr>
        <w:rFonts w:ascii="Arial" w:hAnsi="Arial" w:cs="Arial"/>
        <w:b/>
        <w:sz w:val="48"/>
      </w:rPr>
      <w:t>CS</w:t>
    </w:r>
    <w:r w:rsidRPr="009925B6">
      <w:rPr>
        <w:rFonts w:ascii="Arial" w:hAnsi="Arial" w:cs="Arial"/>
        <w:b/>
        <w:sz w:val="48"/>
      </w:rPr>
      <w:tab/>
    </w:r>
    <w:r w:rsidRPr="009925B6">
      <w:rPr>
        <w:rFonts w:ascii="Arial" w:hAnsi="Arial" w:cs="Arial"/>
        <w:b/>
        <w:sz w:val="48"/>
      </w:rPr>
      <w:tab/>
    </w:r>
    <w:r w:rsidRPr="009925B6">
      <w:tab/>
    </w:r>
    <w:r w:rsidRPr="009925B6">
      <w:rPr>
        <w:rFonts w:ascii="Arial" w:hAnsi="Arial" w:cs="Arial"/>
        <w:b/>
        <w:sz w:val="48"/>
      </w:rPr>
      <w:t>CS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295A9" w14:textId="706193C6" w:rsidR="009925B6" w:rsidRPr="009925B6" w:rsidRDefault="009925B6" w:rsidP="009925B6">
    <w:pPr>
      <w:pStyle w:val="Footer"/>
      <w:rPr>
        <w:rFonts w:ascii="Arial" w:hAnsi="Arial" w:cs="Arial"/>
        <w:b/>
        <w:sz w:val="48"/>
      </w:rPr>
    </w:pPr>
    <w:r w:rsidRPr="009925B6">
      <w:rPr>
        <w:rFonts w:ascii="Arial" w:hAnsi="Arial" w:cs="Arial"/>
        <w:b/>
        <w:sz w:val="48"/>
      </w:rPr>
      <w:t>CS</w:t>
    </w:r>
    <w:r w:rsidRPr="009925B6">
      <w:rPr>
        <w:rFonts w:ascii="Arial" w:hAnsi="Arial" w:cs="Arial"/>
        <w:b/>
        <w:sz w:val="48"/>
      </w:rPr>
      <w:tab/>
    </w:r>
    <w:r>
      <w:fldChar w:fldCharType="begin"/>
    </w:r>
    <w:r>
      <w:instrText xml:space="preserve"> PAGE  \* MERGEFORMAT </w:instrText>
    </w:r>
    <w:r>
      <w:fldChar w:fldCharType="separate"/>
    </w:r>
    <w:r w:rsidR="009E5557">
      <w:rPr>
        <w:noProof/>
      </w:rPr>
      <w:t>31</w:t>
    </w:r>
    <w:r>
      <w:fldChar w:fldCharType="end"/>
    </w:r>
    <w:r>
      <w:tab/>
    </w:r>
    <w:r w:rsidRPr="009925B6">
      <w:tab/>
    </w:r>
    <w:r w:rsidRPr="009925B6">
      <w:rPr>
        <w:rFonts w:ascii="Arial" w:hAnsi="Arial" w:cs="Arial"/>
        <w:b/>
        <w:sz w:val="48"/>
      </w:rPr>
      <w:t>CS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9BE1C" w14:textId="77777777" w:rsidR="009925B6" w:rsidRPr="009925B6" w:rsidRDefault="009925B6" w:rsidP="009925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7F447" w14:textId="77ACDDC6" w:rsidR="009925B6" w:rsidRPr="009925B6" w:rsidRDefault="009925B6" w:rsidP="009925B6">
    <w:pPr>
      <w:pStyle w:val="FooterLandscape"/>
      <w:rPr>
        <w:rFonts w:ascii="Arial" w:hAnsi="Arial" w:cs="Arial"/>
        <w:b/>
        <w:sz w:val="48"/>
      </w:rPr>
    </w:pPr>
    <w:r w:rsidRPr="009925B6">
      <w:rPr>
        <w:rFonts w:ascii="Arial" w:hAnsi="Arial" w:cs="Arial"/>
        <w:b/>
        <w:sz w:val="48"/>
      </w:rPr>
      <w:t>CS</w:t>
    </w:r>
    <w:r w:rsidRPr="009925B6">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925B6">
      <w:tab/>
    </w:r>
    <w:r w:rsidRPr="009925B6">
      <w:rPr>
        <w:rFonts w:ascii="Arial" w:hAnsi="Arial" w:cs="Arial"/>
        <w:b/>
        <w:sz w:val="48"/>
      </w:rPr>
      <w:t>CS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15D01" w14:textId="77777777" w:rsidR="009925B6" w:rsidRPr="009925B6" w:rsidRDefault="009925B6" w:rsidP="009925B6">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E05DE" w14:textId="42ECCB41" w:rsidR="007F2841" w:rsidRPr="009925B6" w:rsidRDefault="009925B6" w:rsidP="009925B6">
    <w:pPr>
      <w:pStyle w:val="Footer"/>
      <w:rPr>
        <w:rFonts w:ascii="Arial" w:hAnsi="Arial" w:cs="Arial"/>
        <w:b/>
        <w:sz w:val="48"/>
      </w:rPr>
    </w:pPr>
    <w:r w:rsidRPr="009925B6">
      <w:rPr>
        <w:rFonts w:ascii="Arial" w:hAnsi="Arial" w:cs="Arial"/>
        <w:b/>
        <w:sz w:val="48"/>
      </w:rPr>
      <w:t>CS</w:t>
    </w:r>
    <w:r w:rsidRPr="009925B6">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925B6">
      <w:tab/>
    </w:r>
    <w:r w:rsidRPr="009925B6">
      <w:rPr>
        <w:rFonts w:ascii="Arial" w:hAnsi="Arial" w:cs="Arial"/>
        <w:b/>
        <w:sz w:val="48"/>
      </w:rPr>
      <w:t>CS</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606B3" w14:textId="77777777" w:rsidR="009925B6" w:rsidRPr="009925B6" w:rsidRDefault="009925B6" w:rsidP="00992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639D8" w14:textId="77777777" w:rsidR="0067679B" w:rsidRDefault="0067679B" w:rsidP="007F065E">
      <w:pPr>
        <w:spacing w:before="0" w:after="0"/>
      </w:pPr>
      <w:r>
        <w:separator/>
      </w:r>
    </w:p>
  </w:footnote>
  <w:footnote w:type="continuationSeparator" w:id="0">
    <w:p w14:paraId="7094AB87" w14:textId="77777777" w:rsidR="0067679B" w:rsidRDefault="0067679B" w:rsidP="007F065E">
      <w:pPr>
        <w:spacing w:before="0" w:after="0"/>
      </w:pPr>
      <w:r>
        <w:continuationSeparator/>
      </w:r>
    </w:p>
  </w:footnote>
  <w:footnote w:id="1">
    <w:p w14:paraId="773229FC" w14:textId="72DB9E55" w:rsidR="0067679B" w:rsidRDefault="0067679B">
      <w:pPr>
        <w:pStyle w:val="FootnoteText"/>
      </w:pPr>
      <w:r>
        <w:rPr>
          <w:rStyle w:val="FootnoteReference"/>
        </w:rPr>
        <w:footnoteRef/>
      </w:r>
      <w:r>
        <w:tab/>
        <w:t>SWD(2023) 13.</w:t>
      </w:r>
    </w:p>
  </w:footnote>
  <w:footnote w:id="2">
    <w:p w14:paraId="5A8192F2" w14:textId="77777777" w:rsidR="0067679B" w:rsidRDefault="0067679B">
      <w:pPr>
        <w:pStyle w:val="FootnoteText"/>
      </w:pPr>
      <w:r>
        <w:rPr>
          <w:rStyle w:val="FootnoteReference"/>
        </w:rPr>
        <w:footnoteRef/>
      </w:r>
      <w:r>
        <w:tab/>
        <w:t>Nařízení Evropského parlamentu a Rady (ES) č. 862/2007 ze dne 11. července 2007 o statistice Společenství v oblasti migrace a mezinárodní ochrany a o zrušení nařízení Rady (EHS) č. 311/76 o sestavování statistik zahraničních pracovníků (</w:t>
      </w:r>
      <w:hyperlink r:id="rId1" w:history="1">
        <w:r>
          <w:rPr>
            <w:rStyle w:val="Hyperlink"/>
          </w:rPr>
          <w:t>Úř. věst. L 199, 31.7.2007, s. 23</w:t>
        </w:r>
      </w:hyperlink>
      <w:r>
        <w:t>).</w:t>
      </w:r>
    </w:p>
  </w:footnote>
  <w:footnote w:id="3">
    <w:p w14:paraId="37EF250E" w14:textId="77777777" w:rsidR="0067679B" w:rsidRDefault="0067679B">
      <w:pPr>
        <w:pStyle w:val="FootnoteText"/>
      </w:pPr>
      <w:r>
        <w:rPr>
          <w:rStyle w:val="FootnoteReference"/>
        </w:rPr>
        <w:footnoteRef/>
      </w:r>
      <w:r>
        <w:tab/>
      </w:r>
      <w:r>
        <w:rPr>
          <w:shd w:val="clear" w:color="auto" w:fill="FFFFFF"/>
        </w:rPr>
        <w:t>Sdělení Komise Radě a Evropskému parlamentu o předložení akčního plánu na shromažďování a analýzu statistik Společenství v oblasti migrace (</w:t>
      </w:r>
      <w:hyperlink r:id="rId2" w:history="1">
        <w:r>
          <w:rPr>
            <w:rStyle w:val="Hyperlink"/>
          </w:rPr>
          <w:t>COM(2003) 179</w:t>
        </w:r>
      </w:hyperlink>
      <w:r>
        <w:t>).</w:t>
      </w:r>
    </w:p>
  </w:footnote>
  <w:footnote w:id="4">
    <w:p w14:paraId="6C6D6D70" w14:textId="77777777" w:rsidR="0067679B" w:rsidRDefault="0067679B" w:rsidP="009370AA">
      <w:pPr>
        <w:pStyle w:val="FootnoteText"/>
      </w:pPr>
      <w:r>
        <w:rPr>
          <w:rStyle w:val="FootnoteReference"/>
        </w:rPr>
        <w:footnoteRef/>
      </w:r>
      <w:r>
        <w:tab/>
        <w:t>Do článku 3 tedy spadají statistiky podle nařízení (ES) č. 862/2007, které se týkají demografických pojmů obyvatelstva s místem pobytu na území členských států, včetně občanů, a jeho změn v důsledku migračních toků. Tyto statistiky tvoří spolu se statistikami podle nařízení (EU) č. 1260/2013 důležitý prvek demografické rovnováhy. Naproti tomu články 4 až 7 nařízení (ES) č. 862/2007 se týkají statistiky o soudních událostech v oblasti azylu, legální a nelegální migrace státních příslušníků třetích zemí.</w:t>
      </w:r>
    </w:p>
  </w:footnote>
  <w:footnote w:id="5">
    <w:p w14:paraId="3D0C5C58" w14:textId="77777777" w:rsidR="0067679B" w:rsidRDefault="0067679B">
      <w:pPr>
        <w:pStyle w:val="FootnoteText"/>
      </w:pPr>
      <w:r>
        <w:rPr>
          <w:rStyle w:val="FootnoteReference"/>
        </w:rPr>
        <w:footnoteRef/>
      </w:r>
      <w:r>
        <w:tab/>
        <w:t>Nařízení Evropského parlamentu a Rady (ES) č. 763/2008 ze dne 9. července 2008 o sčítání lidu, domů a bytů (</w:t>
      </w:r>
      <w:hyperlink r:id="rId3" w:history="1">
        <w:r>
          <w:rPr>
            <w:rStyle w:val="Hyperlink"/>
          </w:rPr>
          <w:t>Úř. věst. L 218, 13.8.2008, s. 14</w:t>
        </w:r>
      </w:hyperlink>
      <w:r>
        <w:t>).</w:t>
      </w:r>
    </w:p>
  </w:footnote>
  <w:footnote w:id="6">
    <w:p w14:paraId="1E3F8326" w14:textId="77777777" w:rsidR="0067679B" w:rsidRDefault="0067679B">
      <w:pPr>
        <w:pStyle w:val="FootnoteText"/>
      </w:pPr>
      <w:r>
        <w:rPr>
          <w:rStyle w:val="FootnoteReference"/>
        </w:rPr>
        <w:footnoteRef/>
      </w:r>
      <w:r>
        <w:tab/>
        <w:t>Nařízení Evropského parlamentu a Rady (EU) č. 1260/2013 ze dne 20. listopadu 2013 o evropské demografické statistice (</w:t>
      </w:r>
      <w:hyperlink r:id="rId4" w:history="1">
        <w:r>
          <w:rPr>
            <w:rStyle w:val="Hyperlink"/>
          </w:rPr>
          <w:t>Úř. věst. L 330, 10.12.2013, s. 39</w:t>
        </w:r>
      </w:hyperlink>
      <w:r>
        <w:t>).</w:t>
      </w:r>
    </w:p>
  </w:footnote>
  <w:footnote w:id="7">
    <w:p w14:paraId="059700DB" w14:textId="77777777" w:rsidR="0067679B" w:rsidRDefault="0067679B">
      <w:pPr>
        <w:pStyle w:val="FootnoteText"/>
      </w:pPr>
      <w:r>
        <w:rPr>
          <w:rStyle w:val="FootnoteReference"/>
        </w:rPr>
        <w:footnoteRef/>
      </w:r>
      <w:r>
        <w:tab/>
      </w:r>
      <w:hyperlink r:id="rId5" w:history="1">
        <w:r>
          <w:rPr>
            <w:rStyle w:val="Hyperlink"/>
          </w:rPr>
          <w:t>https://ec.europa.eu/info/strategy/priorities-2019-2024_cs</w:t>
        </w:r>
      </w:hyperlink>
    </w:p>
  </w:footnote>
  <w:footnote w:id="8">
    <w:p w14:paraId="0D087FF1" w14:textId="77777777" w:rsidR="0067679B" w:rsidRDefault="0067679B">
      <w:pPr>
        <w:pStyle w:val="FootnoteText"/>
      </w:pPr>
      <w:r>
        <w:rPr>
          <w:rStyle w:val="FootnoteReference"/>
        </w:rPr>
        <w:footnoteRef/>
      </w:r>
      <w:r>
        <w:tab/>
        <w:t>Budoucnost Evropy: na plenárním zasedání konference byl přijat konečný soubor návrhů (</w:t>
      </w:r>
      <w:hyperlink r:id="rId6" w:history="1">
        <w:r>
          <w:rPr>
            <w:rStyle w:val="Hyperlink"/>
          </w:rPr>
          <w:t>tisková zpráva IP/22/2763</w:t>
        </w:r>
      </w:hyperlink>
      <w:r>
        <w:t>); viz návrh 15 o demografické transformaci, zejména bod 10.</w:t>
      </w:r>
    </w:p>
  </w:footnote>
  <w:footnote w:id="9">
    <w:p w14:paraId="1A2104BD" w14:textId="77777777" w:rsidR="0067679B" w:rsidRDefault="0067679B" w:rsidP="00491676">
      <w:pPr>
        <w:pStyle w:val="FootnoteText"/>
      </w:pPr>
      <w:r>
        <w:rPr>
          <w:rStyle w:val="FootnoteReference"/>
        </w:rPr>
        <w:footnoteRef/>
      </w:r>
      <w:r>
        <w:tab/>
        <w:t>Nařízení Evropského parlamentu a Rady (EU) 2019/1700 ze dne 10. října 2019, kterým se zavádí společný rámec pro evropské statistiky týkající se osob a domácností založené na individuálních údajích sbíraných na základě výběrových souborů, mění nařízení Evropského parlamentu a Rady (ES) č. 808/2004, (ES) č. 452/2008 a (ES) č. 1338/2008 a zrušuje nařízení Evropského parlamentu a Rady (ES) č. 1177/2003 a nařízení Rady (ES) č. 577/98 (</w:t>
      </w:r>
      <w:hyperlink r:id="rId7" w:history="1">
        <w:r>
          <w:rPr>
            <w:rStyle w:val="Hyperlink"/>
          </w:rPr>
          <w:t>Úř. věst. L 261I, 14.10.2019, s. 1</w:t>
        </w:r>
      </w:hyperlink>
      <w:r>
        <w:t>).</w:t>
      </w:r>
    </w:p>
  </w:footnote>
  <w:footnote w:id="10">
    <w:p w14:paraId="7FBF855F" w14:textId="77777777" w:rsidR="0067679B" w:rsidRDefault="0067679B" w:rsidP="00491676">
      <w:pPr>
        <w:pStyle w:val="FootnoteText"/>
      </w:pPr>
      <w:r>
        <w:rPr>
          <w:rStyle w:val="FootnoteReference"/>
        </w:rPr>
        <w:footnoteRef/>
      </w:r>
      <w:r>
        <w:tab/>
      </w:r>
      <w:hyperlink r:id="rId8" w:history="1">
        <w:r>
          <w:rPr>
            <w:rStyle w:val="Hyperlink"/>
          </w:rPr>
          <w:t>https://ec.europa.eu/eurostat/documents/13019146/13237859/FINAL+Budapest+memorandum.pdf/96a6db89-1395-44a5-8a46-85e8c49d576c</w:t>
        </w:r>
      </w:hyperlink>
    </w:p>
  </w:footnote>
  <w:footnote w:id="11">
    <w:p w14:paraId="716C8EFC" w14:textId="0A6F7FCE" w:rsidR="0067679B" w:rsidRPr="00C92915" w:rsidRDefault="0067679B">
      <w:pPr>
        <w:pStyle w:val="FootnoteText"/>
      </w:pPr>
      <w:r>
        <w:rPr>
          <w:rStyle w:val="FootnoteReference"/>
        </w:rPr>
        <w:footnoteRef/>
      </w:r>
      <w:r>
        <w:tab/>
        <w:t xml:space="preserve">SWD(2023) 15, viz </w:t>
      </w:r>
      <w:r>
        <w:rPr>
          <w:bdr w:val="none" w:sz="0" w:space="0" w:color="auto" w:frame="1"/>
        </w:rPr>
        <w:t>věcná</w:t>
      </w:r>
      <w:r>
        <w:t xml:space="preserve"> souhrnná zpráva na platformě </w:t>
      </w:r>
      <w:hyperlink r:id="rId9" w:history="1">
        <w:r>
          <w:rPr>
            <w:rStyle w:val="Hyperlink"/>
            <w:i/>
          </w:rPr>
          <w:t>Podělte se o svůj názor</w:t>
        </w:r>
      </w:hyperlink>
      <w:r>
        <w:t>.</w:t>
      </w:r>
    </w:p>
  </w:footnote>
  <w:footnote w:id="12">
    <w:p w14:paraId="6CB654F4" w14:textId="77777777" w:rsidR="0067679B" w:rsidRPr="00C92915" w:rsidRDefault="0067679B">
      <w:pPr>
        <w:pStyle w:val="FootnoteText"/>
      </w:pPr>
      <w:r>
        <w:rPr>
          <w:rStyle w:val="FootnoteReference"/>
        </w:rPr>
        <w:footnoteRef/>
      </w:r>
      <w:r>
        <w:tab/>
        <w:t>Zřízený nařízením Evropského parlamentu a Rady (ES) č. 223/2009.</w:t>
      </w:r>
    </w:p>
  </w:footnote>
  <w:footnote w:id="13">
    <w:p w14:paraId="29E5F4C6" w14:textId="77777777" w:rsidR="0067679B" w:rsidRDefault="0067679B" w:rsidP="00B14F4E">
      <w:pPr>
        <w:pStyle w:val="FootnoteText"/>
      </w:pPr>
      <w:r>
        <w:rPr>
          <w:rStyle w:val="FootnoteReference"/>
        </w:rPr>
        <w:footnoteRef/>
      </w:r>
      <w:r>
        <w:tab/>
      </w:r>
      <w:hyperlink r:id="rId10" w:history="1">
        <w:r>
          <w:rPr>
            <w:rStyle w:val="Hyperlink"/>
          </w:rPr>
          <w:t>https://ec.europa.eu/transparency/expert-groups-register/screen/home?lang=cs</w:t>
        </w:r>
      </w:hyperlink>
    </w:p>
  </w:footnote>
  <w:footnote w:id="14">
    <w:p w14:paraId="75EC2B90" w14:textId="32B50B34" w:rsidR="0067679B" w:rsidRDefault="0067679B">
      <w:pPr>
        <w:pStyle w:val="FootnoteText"/>
      </w:pPr>
      <w:r>
        <w:rPr>
          <w:rStyle w:val="FootnoteReference"/>
        </w:rPr>
        <w:footnoteRef/>
      </w:r>
      <w:r>
        <w:tab/>
        <w:t>SWD(2023) 11, SWD(2023) 12.</w:t>
      </w:r>
    </w:p>
  </w:footnote>
  <w:footnote w:id="15">
    <w:p w14:paraId="00503923" w14:textId="541519F4" w:rsidR="0067679B" w:rsidRDefault="0067679B">
      <w:pPr>
        <w:pStyle w:val="FootnoteText"/>
      </w:pPr>
      <w:r>
        <w:rPr>
          <w:rStyle w:val="FootnoteReference"/>
        </w:rPr>
        <w:footnoteRef/>
      </w:r>
      <w:r>
        <w:tab/>
        <w:t>SEC(2023) 38.</w:t>
      </w:r>
    </w:p>
  </w:footnote>
  <w:footnote w:id="16">
    <w:p w14:paraId="20ACB714" w14:textId="77777777" w:rsidR="0067679B" w:rsidRDefault="0067679B">
      <w:pPr>
        <w:pStyle w:val="FootnoteText"/>
      </w:pPr>
      <w:r>
        <w:rPr>
          <w:rStyle w:val="FootnoteReference"/>
        </w:rPr>
        <w:footnoteRef/>
      </w:r>
      <w:r>
        <w:tab/>
        <w:t>Nařízení Evropského parlamentu a Rady (EU) 2016/679 ze dne 27. dubna 2016 o ochraně fyzických osob v souvislosti se zpracováním osobních údajů a o volném pohybu těchto údajů a o zrušení směrnice 95/46/ES (obecné nařízení o ochraně osobních údajů) (</w:t>
      </w:r>
      <w:hyperlink r:id="rId11" w:history="1">
        <w:r>
          <w:rPr>
            <w:rStyle w:val="Hyperlink"/>
          </w:rPr>
          <w:t>Úř. věst. L 119, 4.5.2016, s. 1</w:t>
        </w:r>
      </w:hyperlink>
      <w:r>
        <w:t>).</w:t>
      </w:r>
    </w:p>
  </w:footnote>
  <w:footnote w:id="17">
    <w:p w14:paraId="1CF8390F" w14:textId="77777777" w:rsidR="0067679B" w:rsidRDefault="0067679B">
      <w:pPr>
        <w:pStyle w:val="FootnoteText"/>
      </w:pPr>
      <w:r>
        <w:rPr>
          <w:rStyle w:val="FootnoteReference"/>
        </w:rPr>
        <w:footnoteRef/>
      </w:r>
      <w:r>
        <w:tab/>
        <w:t>Nařízení Evropského parlamentu a Rady (EU) 2018/1725 ze dne 23. října 2018 o ochraně fyzických osob v souvislosti se zpracováním osobních údajů orgány, institucemi a jinými subjekty Unie a o volném pohybu těchto údajů a o zrušení nařízení (ES) č. 45/2001 a rozhodnutí č. 1247/2002/ES (</w:t>
      </w:r>
      <w:hyperlink r:id="rId12" w:history="1">
        <w:r>
          <w:rPr>
            <w:rStyle w:val="Hyperlink"/>
          </w:rPr>
          <w:t>Úř. věst. L 295, 21.11.2018, s. 39</w:t>
        </w:r>
      </w:hyperlink>
      <w:r>
        <w:t>).</w:t>
      </w:r>
    </w:p>
  </w:footnote>
  <w:footnote w:id="18">
    <w:p w14:paraId="79B1BE8D" w14:textId="77777777" w:rsidR="0067679B" w:rsidRDefault="0067679B" w:rsidP="002D71DD">
      <w:pPr>
        <w:pStyle w:val="FootnoteText"/>
      </w:pPr>
      <w:r>
        <w:rPr>
          <w:rStyle w:val="FootnoteReference"/>
        </w:rPr>
        <w:footnoteRef/>
      </w:r>
      <w:r>
        <w:tab/>
        <w:t>Nařízení Evropského parlamentu a Rady (ES) č. 223/2009 ze dne 11. března 2009 o evropské statistice a zrušení nařízení (ES, Euratom) č. 1101/2008 o předávání údajů, na které se vztahuje statistická důvěrnost, Statistickému úřadu Evropských společenství, nařízení Rady (ES) č. 322/97 o statistice Společenství a rozhodnutí Rady 89/382/EHS, Euratom, kterým se zřizuje Výbor pro statistické programy Evropských společenství (Úř. věst. L 87, 31.3.2009, s. 164).</w:t>
      </w:r>
    </w:p>
  </w:footnote>
  <w:footnote w:id="19">
    <w:p w14:paraId="32E819B7" w14:textId="77777777" w:rsidR="0067679B" w:rsidRDefault="0067679B">
      <w:pPr>
        <w:pStyle w:val="FootnoteText"/>
      </w:pPr>
      <w:r>
        <w:rPr>
          <w:rStyle w:val="FootnoteReference"/>
        </w:rPr>
        <w:footnoteRef/>
      </w:r>
      <w:r>
        <w:tab/>
        <w:t>Úř. věst. C [...], [...], s. [...].</w:t>
      </w:r>
    </w:p>
  </w:footnote>
  <w:footnote w:id="20">
    <w:p w14:paraId="0D2F49F1" w14:textId="77777777" w:rsidR="0067679B" w:rsidRDefault="0067679B">
      <w:pPr>
        <w:pStyle w:val="FootnoteText"/>
      </w:pPr>
      <w:r>
        <w:rPr>
          <w:rStyle w:val="FootnoteReference"/>
        </w:rPr>
        <w:footnoteRef/>
      </w:r>
      <w:r>
        <w:tab/>
        <w:t>Úř. věst. C [...], [...], s. [...].</w:t>
      </w:r>
    </w:p>
  </w:footnote>
  <w:footnote w:id="21">
    <w:p w14:paraId="6A344876" w14:textId="77777777" w:rsidR="0067679B" w:rsidRDefault="0067679B" w:rsidP="00DB2C46">
      <w:pPr>
        <w:pStyle w:val="FootnoteText"/>
      </w:pPr>
      <w:r>
        <w:rPr>
          <w:rStyle w:val="FootnoteReference"/>
        </w:rPr>
        <w:footnoteRef/>
      </w:r>
      <w:r>
        <w:tab/>
        <w:t>Nařízení Evropského parlamentu a Rady (EU) 2019/1700 ze dne 10. října 2019, kterým se zavádí společný rámec pro evropské statistiky týkající se osob a domácností založené na individuálních údajích sbíraných na základě výběrových souborů, mění nařízení Evropského parlamentu a Rady (ES) č. 808/2004, (ES) č. 452/2008 a (ES) č. 1338/2008 a zrušuje nařízení Evropského parlamentu a Rady (ES) č. 1177/2003 a nařízení Rady (ES) č. 577/98 (Úř. věst. L 261I, 14.10.2019, s. 1).</w:t>
      </w:r>
    </w:p>
  </w:footnote>
  <w:footnote w:id="22">
    <w:p w14:paraId="72CCD39F" w14:textId="77777777" w:rsidR="0067679B" w:rsidRDefault="0067679B" w:rsidP="00DB2C46">
      <w:pPr>
        <w:pStyle w:val="FootnoteText"/>
      </w:pPr>
      <w:r>
        <w:rPr>
          <w:rStyle w:val="FootnoteReference"/>
        </w:rPr>
        <w:footnoteRef/>
      </w:r>
      <w:r>
        <w:tab/>
        <w:t>Nařízení Evropského parlamentu a Rady (EU) č. 1260/2013 ze dne 20. listopadu 2013 o evropské demografické statistice (Úř. věst. L 330, 10.12.2013, s. 39).</w:t>
      </w:r>
    </w:p>
  </w:footnote>
  <w:footnote w:id="23">
    <w:p w14:paraId="36DF6529" w14:textId="77777777" w:rsidR="0067679B" w:rsidRPr="00CD17D4" w:rsidRDefault="0067679B" w:rsidP="00DB2C46">
      <w:pPr>
        <w:pStyle w:val="FootnoteText"/>
      </w:pPr>
      <w:r>
        <w:rPr>
          <w:rStyle w:val="FootnoteReference"/>
        </w:rPr>
        <w:footnoteRef/>
      </w:r>
      <w:r>
        <w:tab/>
        <w:t>Úř. věst. C 202, 7.6.2016, s. 389.</w:t>
      </w:r>
    </w:p>
  </w:footnote>
  <w:footnote w:id="24">
    <w:p w14:paraId="3338AD0A" w14:textId="77777777" w:rsidR="0067679B" w:rsidRDefault="0067679B" w:rsidP="00DB2C46">
      <w:pPr>
        <w:pStyle w:val="FootnoteText"/>
      </w:pPr>
      <w:r>
        <w:rPr>
          <w:rStyle w:val="FootnoteReference"/>
        </w:rPr>
        <w:footnoteRef/>
      </w:r>
      <w:r>
        <w:tab/>
        <w:t>Nařízení Evropského parlamentu a Rady (ES) č. 223/2009 ze dne 11. března 2009 o evropské statistice a zrušení nařízení (ES, Euratom) č. 1101/2008 o předávání údajů, na které se vztahuje statistická důvěrnost, Statistickému úřadu Evropských společenství, nařízení Rady (ES) č. 322/97 o statistice Společenství a rozhodnutí Rady 89/382/EHS, Euratom, kterým se zřizuje Výbor pro statistické programy Evropských společenství (Úř. věst. L 87, 31.3.2009, s. 164).</w:t>
      </w:r>
    </w:p>
  </w:footnote>
  <w:footnote w:id="25">
    <w:p w14:paraId="205315A0" w14:textId="227A87F8" w:rsidR="0067679B" w:rsidRDefault="0067679B" w:rsidP="00DB2C46">
      <w:pPr>
        <w:pStyle w:val="FootnoteText"/>
      </w:pPr>
      <w:r>
        <w:rPr>
          <w:rStyle w:val="FootnoteReference"/>
        </w:rPr>
        <w:footnoteRef/>
      </w:r>
      <w:r>
        <w:tab/>
        <w:t>SWD(2023) 13.</w:t>
      </w:r>
    </w:p>
  </w:footnote>
  <w:footnote w:id="26">
    <w:p w14:paraId="2E716F6C" w14:textId="77777777" w:rsidR="0067679B" w:rsidRDefault="0067679B" w:rsidP="00DB2C46">
      <w:pPr>
        <w:pStyle w:val="FootnoteText"/>
      </w:pPr>
      <w:r>
        <w:rPr>
          <w:rStyle w:val="FootnoteReference"/>
        </w:rPr>
        <w:footnoteRef/>
      </w:r>
      <w:r>
        <w:tab/>
        <w:t>Nařízení Evropského parlamentu a Rady (ES) č. 862/2007 ze dne 11. července 2007 o statistice Společenství v oblasti migrace a mezinárodní ochrany a o zrušení nařízení Rady (EHS) č. 311/76 o sestavování statistik o zahraničních pracovnících (Úř. věst. L 199, 31.7.2007, s. 23).</w:t>
      </w:r>
    </w:p>
  </w:footnote>
  <w:footnote w:id="27">
    <w:p w14:paraId="50CC42F9" w14:textId="77777777" w:rsidR="0067679B" w:rsidRDefault="0067679B" w:rsidP="00DB2C46">
      <w:pPr>
        <w:pStyle w:val="FootnoteText"/>
      </w:pPr>
      <w:r>
        <w:rPr>
          <w:rStyle w:val="FootnoteReference"/>
        </w:rPr>
        <w:footnoteRef/>
      </w:r>
      <w:r>
        <w:tab/>
        <w:t>Nařízení Evropského parlamentu a Rady (ES) č. 763/2008 ze dne 9. července 2008 o sčítání lidu, domů a bytů (Úř. věst. L 218, 13.8.2008, s. 14).</w:t>
      </w:r>
    </w:p>
  </w:footnote>
  <w:footnote w:id="28">
    <w:p w14:paraId="473221E6" w14:textId="77777777" w:rsidR="0067679B" w:rsidRDefault="0067679B" w:rsidP="00DB2C46">
      <w:pPr>
        <w:pStyle w:val="FootnoteText"/>
      </w:pPr>
      <w:r>
        <w:rPr>
          <w:rStyle w:val="FootnoteReference"/>
        </w:rPr>
        <w:footnoteRef/>
      </w:r>
      <w:r>
        <w:tab/>
        <w:t>Nařízení Evropského parlamentu a Rady (ES) č. 1059/2003 ze dne 26. května 2003 o zavedení společné klasifikace územních statistických jednotek (NUTS) (Úř. věst. L 154, 21.6.2003, s. 1).</w:t>
      </w:r>
    </w:p>
  </w:footnote>
  <w:footnote w:id="29">
    <w:p w14:paraId="694B4D6B" w14:textId="77777777" w:rsidR="0067679B" w:rsidRDefault="0067679B" w:rsidP="00DB2C46">
      <w:pPr>
        <w:pStyle w:val="FootnoteText"/>
      </w:pPr>
      <w:r>
        <w:rPr>
          <w:rStyle w:val="FootnoteReference"/>
        </w:rPr>
        <w:footnoteRef/>
      </w:r>
      <w:r>
        <w:tab/>
        <w:t>Prováděcí nařízení Komise (EU) 2018/1799 ze dne 21. listopadu 2018 o zavedení přechodné přímé statistické akce pro šíření vybraných témat sčítání lidu, domů a bytů v roce 2021 geokódovaných v souřadnicové síti s buňkou o ploše 1 km2 (Úř. věst. L 296, 22.11.2018, s. 19).</w:t>
      </w:r>
    </w:p>
  </w:footnote>
  <w:footnote w:id="30">
    <w:p w14:paraId="08E5EC0C" w14:textId="77777777" w:rsidR="0067679B" w:rsidRDefault="0067679B" w:rsidP="00DB2C46">
      <w:pPr>
        <w:pStyle w:val="FootnoteText"/>
      </w:pPr>
      <w:r>
        <w:rPr>
          <w:rStyle w:val="FootnoteReference"/>
        </w:rPr>
        <w:footnoteRef/>
      </w:r>
      <w:r>
        <w:tab/>
        <w:t>Směrnice Evropského parlamentu a Rady 2007/2/ES ze dne 14. března 2007 o zřízení Infrastruktury pro prostorové informace v Evropském společenství (INSPIRE) (Úř. věst. L 108, 25.4.2007, s. 1).</w:t>
      </w:r>
    </w:p>
  </w:footnote>
  <w:footnote w:id="31">
    <w:p w14:paraId="779D4A98" w14:textId="77777777" w:rsidR="0067679B" w:rsidRDefault="0067679B" w:rsidP="00DB2C46">
      <w:pPr>
        <w:pStyle w:val="FootnoteText"/>
      </w:pPr>
      <w:r>
        <w:rPr>
          <w:rStyle w:val="FootnoteReference"/>
        </w:rPr>
        <w:footnoteRef/>
      </w:r>
      <w:r>
        <w:tab/>
        <w:t>Směrnice Evropského parlamentu a Rady 2010/31/EU ze dne 19. května 2010 o energetické náročnosti budov (Úř. věst. L 153, 18.6.2010, s. 13).</w:t>
      </w:r>
    </w:p>
  </w:footnote>
  <w:footnote w:id="32">
    <w:p w14:paraId="684398EF" w14:textId="77777777" w:rsidR="0067679B" w:rsidRDefault="0067679B" w:rsidP="00DB2C46">
      <w:pPr>
        <w:pStyle w:val="FootnoteText"/>
      </w:pPr>
      <w:r>
        <w:rPr>
          <w:rStyle w:val="FootnoteReference"/>
        </w:rPr>
        <w:footnoteRef/>
      </w:r>
      <w:r>
        <w:tab/>
        <w:t>Nařízení Evropského parlamentu a Rady (EU) č. 910/2014 ze dne 23. července 2014 o elektronické identifikaci a službách vytvářejících důvěru pro elektronické transakce na vnitřním trhu a o zrušení směrnice 1999/93/ES (Úř. věst. L 257, 28.8.2014, s. 73).</w:t>
      </w:r>
    </w:p>
  </w:footnote>
  <w:footnote w:id="33">
    <w:p w14:paraId="044F0270" w14:textId="77777777" w:rsidR="0067679B" w:rsidRDefault="0067679B" w:rsidP="00DB2C46">
      <w:pPr>
        <w:pStyle w:val="FootnoteText"/>
      </w:pPr>
      <w:r>
        <w:rPr>
          <w:rStyle w:val="FootnoteReference"/>
        </w:rPr>
        <w:footnoteRef/>
      </w:r>
      <w:r>
        <w:tab/>
        <w:t>Nařízení Evropského parlamentu a Rady (EU) 2018/1724 ze dne 2. října 2018, kterým se zřizuje jednotná digitální brána pro poskytování přístupu k informacím, postupům a k asistenčním službám a službám pro řešení problémů a kterým se mění nařízení (EU) č. 1024/2012 (Úř. věst. L 295, 21.11.2018, s. 1).</w:t>
      </w:r>
    </w:p>
  </w:footnote>
  <w:footnote w:id="34">
    <w:p w14:paraId="661D2E98" w14:textId="77777777" w:rsidR="0067679B" w:rsidRDefault="0067679B" w:rsidP="00DB2C46">
      <w:pPr>
        <w:pStyle w:val="FootnoteText"/>
      </w:pPr>
      <w:r>
        <w:rPr>
          <w:rStyle w:val="FootnoteReference"/>
        </w:rPr>
        <w:footnoteRef/>
      </w:r>
      <w:r>
        <w:tab/>
        <w:t>Nařízení Evropského parlamentu a Rady (EU) 2019/817 ze dne 20. května 2019, kterým se zřizuje rámec pro interoperabilitu mezi informačními systémy EU v oblasti hranic a víz a mění nařízení Evropského parlamentu a Rady (ES) č. 767/2008, (EU) 2016/399, (EU) 2017/2226, (EU) 2018/1240, (EU) 2018/1726 a (EU) 2018/1861 a rozhodnutí Rady 2004/512/ES a 2008/633/SVV (Úř. věst. L 135, 22.5.2019, s. 27).</w:t>
      </w:r>
    </w:p>
  </w:footnote>
  <w:footnote w:id="35">
    <w:p w14:paraId="089167FF" w14:textId="77777777" w:rsidR="0067679B" w:rsidRDefault="0067679B" w:rsidP="00DB2C46">
      <w:pPr>
        <w:pStyle w:val="FootnoteText"/>
      </w:pPr>
      <w:r>
        <w:rPr>
          <w:rStyle w:val="FootnoteReference"/>
        </w:rPr>
        <w:footnoteRef/>
      </w:r>
      <w:r>
        <w:tab/>
        <w:t>Nařízení Evropského parlamentu a Rady (EU) 2019/818 ze dne 20. května 2019, kterým se zřizuje rámec pro interoperabilitu mezi informačními systémy EU v oblasti policejní a justiční spolupráce, azylu a migrace a kterým se mění nařízení (EU) 2018/1726, (EU) 2018/1862 a (EU) 2019/816 (Úř. věst. L 135, 22.5.2019, s. 85).</w:t>
      </w:r>
    </w:p>
  </w:footnote>
  <w:footnote w:id="36">
    <w:p w14:paraId="4D4F4EE5" w14:textId="77777777" w:rsidR="0067679B" w:rsidRDefault="0067679B" w:rsidP="00DB2C46">
      <w:pPr>
        <w:pStyle w:val="FootnoteText"/>
      </w:pPr>
      <w:r>
        <w:rPr>
          <w:rStyle w:val="FootnoteReference"/>
        </w:rPr>
        <w:footnoteRef/>
      </w:r>
      <w:r>
        <w:tab/>
        <w:t>Nařízení Evropského parlamentu a Rady (EU) 2018/1725 ze dne 23. října 2018 o ochraně fyzických osob v souvislosti se zpracováním osobních údajů orgány, institucemi a jinými subjekty Unie a o volném pohybu těchto údajů a o zrušení nařízení (ES) č. 45/2001 a rozhodnutí č. 1247/2002/ES (Úř. věst. L 295, 21.11.2018, s. 39).</w:t>
      </w:r>
    </w:p>
  </w:footnote>
  <w:footnote w:id="37">
    <w:p w14:paraId="769275F0" w14:textId="77777777" w:rsidR="0067679B" w:rsidRDefault="0067679B" w:rsidP="00DB2C46">
      <w:pPr>
        <w:pStyle w:val="FootnoteText"/>
      </w:pPr>
      <w:r>
        <w:rPr>
          <w:rStyle w:val="FootnoteReference"/>
        </w:rPr>
        <w:footnoteRef/>
      </w:r>
      <w:r>
        <w:tab/>
        <w:t>Nařízení Evropského parlamentu a Rady (EU) 2016/679 ze dne 27. dubna 2016 o ochraně fyzických osob v souvislosti se zpracováním osobních údajů a o volném pohybu těchto údajů a o zrušení směrnice 95/46/ES (obecné nařízení o ochraně osobních údajů) (Úř. věst. L 119, 4.5.2016, s. 1).</w:t>
      </w:r>
    </w:p>
  </w:footnote>
  <w:footnote w:id="38">
    <w:p w14:paraId="6BC374B7" w14:textId="77777777" w:rsidR="0067679B" w:rsidRDefault="0067679B" w:rsidP="00DB2C46">
      <w:pPr>
        <w:pStyle w:val="FootnoteText"/>
      </w:pPr>
      <w:r>
        <w:rPr>
          <w:rStyle w:val="FootnoteReference"/>
        </w:rPr>
        <w:footnoteRef/>
      </w:r>
      <w:r>
        <w:tab/>
        <w:t>Směrnice Evropského parlamentu a Rady 2002/58/ES ze dne 12. července 2002 o zpracování osobních údajů a ochraně soukromí v odvětví elektronických komunikací (směrnice o soukromí a elektronických komunikacích) (Úř. věst. L 201, 31.7.2002, s. 37).</w:t>
      </w:r>
    </w:p>
  </w:footnote>
  <w:footnote w:id="39">
    <w:p w14:paraId="44618C7D" w14:textId="77777777" w:rsidR="0067679B" w:rsidRDefault="0067679B" w:rsidP="00DB2C46">
      <w:pPr>
        <w:pStyle w:val="FootnoteText"/>
      </w:pPr>
      <w:r>
        <w:rPr>
          <w:rStyle w:val="FootnoteReference"/>
        </w:rPr>
        <w:footnoteRef/>
      </w:r>
      <w:r>
        <w:tab/>
        <w:t>Úř. věst. L 123, 12.5.2016, s. 1.</w:t>
      </w:r>
    </w:p>
  </w:footnote>
  <w:footnote w:id="40">
    <w:p w14:paraId="6D576290" w14:textId="77777777" w:rsidR="0067679B" w:rsidRDefault="0067679B">
      <w:pPr>
        <w:pStyle w:val="FootnoteText"/>
      </w:pPr>
      <w:r>
        <w:rPr>
          <w:rStyle w:val="FootnoteReference"/>
        </w:rPr>
        <w:footnoteRef/>
      </w:r>
      <w:r>
        <w:tab/>
        <w:t>Nařízení Evropského parlamentu a Rady (EU, Euratom) č. 883/2013 ze dne 11. září 2013 o vyšetřování prováděném Evropským úřadem pro boj proti podvodům (OLAF) a o zrušení nařízení Evropského parlamentu a Rady (ES) č. 1073/1999 a nařízení Rady (Euratom) č. 1074/1999 (Úř. věst. L 248, 18.9.2013, s. 1).</w:t>
      </w:r>
    </w:p>
  </w:footnote>
  <w:footnote w:id="41">
    <w:p w14:paraId="4C6D0F45" w14:textId="77777777" w:rsidR="0067679B" w:rsidRDefault="0067679B">
      <w:pPr>
        <w:pStyle w:val="FootnoteText"/>
      </w:pPr>
      <w:r>
        <w:rPr>
          <w:rStyle w:val="FootnoteReference"/>
        </w:rPr>
        <w:footnoteRef/>
      </w:r>
      <w:r>
        <w:tab/>
        <w:t>Nařízení Rady (ES, Euratom) č. 2988/95 ze dne 18. prosince 1995 o ochraně finančních zájmů Evropských společenství (Úř. věst. L 312, 23.12.1995, s. 1).</w:t>
      </w:r>
    </w:p>
  </w:footnote>
  <w:footnote w:id="42">
    <w:p w14:paraId="0EEFA5B5" w14:textId="77777777" w:rsidR="0067679B" w:rsidRDefault="0067679B">
      <w:pPr>
        <w:pStyle w:val="FootnoteText"/>
      </w:pPr>
      <w:r>
        <w:rPr>
          <w:rStyle w:val="FootnoteReference"/>
        </w:rPr>
        <w:footnoteRef/>
      </w:r>
      <w:r>
        <w:tab/>
        <w:t>Nařízení Rady (Euratom, ES) č. 2185/96 ze dne 11. listopadu 1996 o kontrolách a inspekcích na místě prováděných Komisí za účelem ochrany finančních zájmů Evropských společenství proti podvodům a jiným nesrovnalostem (Úř. věst. L 292, 15.11.1996, s. 2).</w:t>
      </w:r>
    </w:p>
  </w:footnote>
  <w:footnote w:id="43">
    <w:p w14:paraId="1AB4C9DA" w14:textId="77777777" w:rsidR="0067679B" w:rsidRDefault="0067679B">
      <w:pPr>
        <w:pStyle w:val="FootnoteText"/>
      </w:pPr>
      <w:r>
        <w:rPr>
          <w:rStyle w:val="FootnoteReference"/>
        </w:rPr>
        <w:footnoteRef/>
      </w:r>
      <w:r>
        <w:tab/>
        <w:t>Nařízení Rady (EU) 2017/1939 ze dne 12. října 2017, kterým se provádí posílená spolupráce za účelem zřízení Úřadu evropského veřejného žalobce (Úř. věst. L 283, 31.10.2017, s. 1).</w:t>
      </w:r>
    </w:p>
  </w:footnote>
  <w:footnote w:id="44">
    <w:p w14:paraId="24B07368" w14:textId="77777777" w:rsidR="0067679B" w:rsidRDefault="0067679B">
      <w:pPr>
        <w:pStyle w:val="FootnoteText"/>
      </w:pPr>
      <w:r>
        <w:rPr>
          <w:rStyle w:val="FootnoteReference"/>
        </w:rPr>
        <w:footnoteRef/>
      </w:r>
      <w:r>
        <w:tab/>
        <w:t>Směrnice Evropského parlamentu a Rady (EU) 2017/1371 ze dne 5. července 2017 o boji vedeném trestněprávní cestou proti podvodům poškozujícím finanční zájmy Unie (Úř. věst. L 198, 28.7.2017, s. 29).</w:t>
      </w:r>
    </w:p>
  </w:footnote>
  <w:footnote w:id="45">
    <w:p w14:paraId="20483400" w14:textId="77777777" w:rsidR="0067679B" w:rsidRDefault="0067679B" w:rsidP="00DB2C46">
      <w:pPr>
        <w:pStyle w:val="FootnoteText"/>
      </w:pPr>
      <w:r>
        <w:rPr>
          <w:rStyle w:val="FootnoteReference"/>
        </w:rPr>
        <w:footnoteRef/>
      </w:r>
      <w:r>
        <w:tab/>
        <w:t>Nařízení Evropského parlamentu a Rady (EU) č. 182/2011 ze dne 16. února 2011, kterým se stanoví pravidla a obecné zásady způsobu, jakým členské státy kontrolují Komisi při výkonu prováděcích pravomocí (Úř. věst. L 55, 28.2.2011, s. 13).</w:t>
      </w:r>
    </w:p>
  </w:footnote>
  <w:footnote w:id="46">
    <w:p w14:paraId="67E08D9B" w14:textId="77777777" w:rsidR="0067679B" w:rsidRDefault="0067679B">
      <w:pPr>
        <w:pStyle w:val="FootnoteText"/>
      </w:pPr>
      <w:r>
        <w:rPr>
          <w:rStyle w:val="FootnoteReference"/>
        </w:rPr>
        <w:footnoteRef/>
      </w:r>
      <w:r>
        <w:tab/>
        <w:t>Uvedené v čl. 58 odst. 2 písm. a) nebo b) finančního nařízení.</w:t>
      </w:r>
    </w:p>
  </w:footnote>
  <w:footnote w:id="47">
    <w:p w14:paraId="2CA56D98" w14:textId="77777777" w:rsidR="0067679B" w:rsidRDefault="0067679B" w:rsidP="00110B86">
      <w:pPr>
        <w:pStyle w:val="FootnoteText"/>
      </w:pPr>
      <w:r>
        <w:rPr>
          <w:rStyle w:val="FootnoteReference"/>
        </w:rPr>
        <w:footnoteRef/>
      </w:r>
      <w:r>
        <w:tab/>
        <w:t>Nařízení Evropského parlamentu a Rady (EU) č. 1175/2011 ze dne 16. listopadu 2011, kterým se mění nařízení Rady (ES) č. 1466/97 o posílení dohledu nad stavy rozpočtů a nad hospodářskými politikami a o posílení koordinace hospodářských politik (Úř. věst. L 306, 23.11.2011, s. 12).</w:t>
      </w:r>
    </w:p>
  </w:footnote>
  <w:footnote w:id="48">
    <w:p w14:paraId="616A247A" w14:textId="77777777" w:rsidR="0067679B" w:rsidRDefault="0067679B" w:rsidP="00110B86">
      <w:pPr>
        <w:pStyle w:val="FootnoteText"/>
      </w:pPr>
      <w:r>
        <w:rPr>
          <w:rStyle w:val="FootnoteReference"/>
        </w:rPr>
        <w:footnoteRef/>
      </w:r>
      <w:r>
        <w:tab/>
        <w:t>Nařízení Evropského parlamentu a Rady (EU) 2021/690 ze dne 28. dubna 2021, kterým se zavádí program pro vnitřní trh, pro konkurenceschopnost podniků včetně malých a středních podniků, pro oblast rostlin, zvířat, potravin a krmiv a pro evropskou statistiku (Program pro jednotný trh) a kterým se zrušují nařízení (EU) č. 99/2013, (EU) č. 1287/2013, (EU) č. 254/2014 a (EU) č. 652/2014 (Text s významem pro EHP) (Úř. věst. L 153, 3.5.2021, s. 1).</w:t>
      </w:r>
    </w:p>
  </w:footnote>
  <w:footnote w:id="49">
    <w:p w14:paraId="4006485E" w14:textId="77777777" w:rsidR="0067679B" w:rsidRDefault="0067679B" w:rsidP="00573B5A">
      <w:pPr>
        <w:pStyle w:val="FootnoteText"/>
        <w:jc w:val="left"/>
      </w:pPr>
      <w:r>
        <w:rPr>
          <w:rStyle w:val="FootnoteReference"/>
        </w:rPr>
        <w:footnoteRef/>
      </w:r>
      <w:r>
        <w:tab/>
        <w:t xml:space="preserve">Vysvětlení způsobů řízení spolu s odkazem na finanční nařízení jsou k dispozici na stránkách BudgWeb: </w:t>
      </w:r>
      <w:hyperlink r:id="rId13" w:history="1">
        <w:r>
          <w:rPr>
            <w:rStyle w:val="Hyperlink"/>
          </w:rPr>
          <w:t>https://myintracomm.ec.europa.eu/budgweb/EN/man/budgmanag/Pages/budgmanag.aspx</w:t>
        </w:r>
      </w:hyperlink>
    </w:p>
  </w:footnote>
  <w:footnote w:id="50">
    <w:p w14:paraId="4C131524" w14:textId="77777777" w:rsidR="0067679B" w:rsidRDefault="0067679B">
      <w:pPr>
        <w:pStyle w:val="FootnoteText"/>
      </w:pPr>
      <w:r>
        <w:rPr>
          <w:rStyle w:val="FootnoteReference"/>
        </w:rPr>
        <w:footnoteRef/>
      </w:r>
      <w:r>
        <w:tab/>
        <w:t>RP = rozlišené prostředky / NRP = nerozlišené prostředky.</w:t>
      </w:r>
    </w:p>
  </w:footnote>
  <w:footnote w:id="51">
    <w:p w14:paraId="131EDB80" w14:textId="77777777" w:rsidR="0067679B" w:rsidRDefault="0067679B">
      <w:pPr>
        <w:pStyle w:val="FootnoteText"/>
      </w:pPr>
      <w:r>
        <w:rPr>
          <w:rStyle w:val="FootnoteReference"/>
        </w:rPr>
        <w:footnoteRef/>
      </w:r>
      <w:r>
        <w:tab/>
        <w:t>ESVO: Evropské sdružení volného obchodu.</w:t>
      </w:r>
    </w:p>
  </w:footnote>
  <w:footnote w:id="52">
    <w:p w14:paraId="21D773AD" w14:textId="77777777" w:rsidR="0067679B" w:rsidRDefault="0067679B">
      <w:pPr>
        <w:pStyle w:val="FootnoteText"/>
      </w:pPr>
      <w:r>
        <w:rPr>
          <w:rStyle w:val="FootnoteReference"/>
        </w:rPr>
        <w:footnoteRef/>
      </w:r>
      <w:r>
        <w:tab/>
        <w:t>Kandidátské země a případně potenciální kandidáti západního Balkánu.</w:t>
      </w:r>
    </w:p>
  </w:footnote>
  <w:footnote w:id="53">
    <w:p w14:paraId="617D73D6" w14:textId="77777777" w:rsidR="0067679B" w:rsidRDefault="0067679B" w:rsidP="004825AE">
      <w:pPr>
        <w:pStyle w:val="FootnoteText"/>
      </w:pPr>
      <w:r>
        <w:rPr>
          <w:rStyle w:val="FootnoteReference"/>
        </w:rPr>
        <w:footnoteRef/>
      </w:r>
      <w:r>
        <w:tab/>
      </w:r>
      <w:r>
        <w:rPr>
          <w:sz w:val="18"/>
        </w:rPr>
        <w:t>Podle oficiální rozpočtové nomenklatury.</w:t>
      </w:r>
    </w:p>
  </w:footnote>
  <w:footnote w:id="54">
    <w:p w14:paraId="24D1B73B" w14:textId="77777777" w:rsidR="0067679B" w:rsidRDefault="0067679B" w:rsidP="004825AE">
      <w:pPr>
        <w:pStyle w:val="FootnoteText"/>
      </w:pPr>
      <w:r>
        <w:rPr>
          <w:rStyle w:val="FootnoteReference"/>
        </w:rPr>
        <w:footnoteRef/>
      </w:r>
      <w:r>
        <w:tab/>
      </w:r>
      <w:r>
        <w:rPr>
          <w:sz w:val="18"/>
        </w:rPr>
        <w:t>Technická a/nebo administrativní pomoc a výdaje na podporu provádění programů a/nebo akcí EU (bývalé položky „BA“), nepřímý výzkum, přímý výzkum.</w:t>
      </w:r>
    </w:p>
  </w:footnote>
  <w:footnote w:id="55">
    <w:p w14:paraId="1C6F07C9" w14:textId="77777777" w:rsidR="0067679B" w:rsidRDefault="0067679B" w:rsidP="004825AE">
      <w:pPr>
        <w:pStyle w:val="FootnoteText"/>
      </w:pPr>
      <w:r>
        <w:rPr>
          <w:rStyle w:val="FootnoteReference"/>
        </w:rPr>
        <w:footnoteRef/>
      </w:r>
      <w:r>
        <w:tab/>
        <w:t>Výstupy se rozumí produkty a služby, které mají být dodány (např. počet financovaných studentských výměn, počet vybudovaných kilometrů silnic atd.).</w:t>
      </w:r>
    </w:p>
  </w:footnote>
  <w:footnote w:id="56">
    <w:p w14:paraId="6A8A6A15" w14:textId="77777777" w:rsidR="0067679B" w:rsidRDefault="0067679B" w:rsidP="004825AE">
      <w:pPr>
        <w:pStyle w:val="FootnoteText"/>
      </w:pPr>
      <w:r>
        <w:rPr>
          <w:rStyle w:val="FootnoteReference"/>
        </w:rPr>
        <w:footnoteRef/>
      </w:r>
      <w:r>
        <w:tab/>
        <w:t>Popsaný v bodě 1.4.2. „Specifické cíle…“.</w:t>
      </w:r>
    </w:p>
  </w:footnote>
  <w:footnote w:id="57">
    <w:p w14:paraId="5B148D15" w14:textId="77777777" w:rsidR="0067679B" w:rsidRDefault="0067679B" w:rsidP="004825AE">
      <w:pPr>
        <w:pStyle w:val="FootnoteText"/>
      </w:pPr>
      <w:r>
        <w:rPr>
          <w:rStyle w:val="FootnoteReference"/>
        </w:rPr>
        <w:footnoteRef/>
      </w:r>
      <w:r>
        <w:tab/>
      </w:r>
      <w:r>
        <w:rPr>
          <w:sz w:val="18"/>
        </w:rPr>
        <w:t>Technická a/nebo administrativní pomoc a výdaje na podporu provádění programů a/nebo akcí EU (bývalé položky „BA“), nepřímý výzkum, přímý výzkum.</w:t>
      </w:r>
    </w:p>
  </w:footnote>
  <w:footnote w:id="58">
    <w:p w14:paraId="3E753638" w14:textId="77777777" w:rsidR="0067679B" w:rsidRDefault="0067679B" w:rsidP="004825AE">
      <w:pPr>
        <w:pStyle w:val="FootnoteText"/>
      </w:pPr>
      <w:r>
        <w:rPr>
          <w:rStyle w:val="FootnoteReference"/>
        </w:rPr>
        <w:footnoteRef/>
      </w:r>
      <w:r>
        <w:tab/>
        <w:t>SZ = smluvní zaměstnanec; MZ = místní zaměstnanec; VNO = vyslaný národní odborník; ZAP = zaměstnanec agentury práce; MOD = mladý odborník při delegaci.</w:t>
      </w:r>
    </w:p>
  </w:footnote>
  <w:footnote w:id="59">
    <w:p w14:paraId="31ADE926" w14:textId="77777777" w:rsidR="0067679B" w:rsidRDefault="0067679B" w:rsidP="004825AE">
      <w:pPr>
        <w:pStyle w:val="FootnoteText"/>
      </w:pPr>
      <w:r>
        <w:rPr>
          <w:rStyle w:val="FootnoteReference"/>
        </w:rPr>
        <w:footnoteRef/>
      </w:r>
      <w:r>
        <w:tab/>
        <w:t>Dílčí strop na externí zaměstnance financované z operačních prostředků (bývalé položky „BA“).</w:t>
      </w:r>
    </w:p>
  </w:footnote>
  <w:footnote w:id="60">
    <w:p w14:paraId="77D6125F" w14:textId="77777777" w:rsidR="0067679B" w:rsidRDefault="0067679B">
      <w:pPr>
        <w:pStyle w:val="FootnoteText"/>
      </w:pPr>
      <w:r>
        <w:rPr>
          <w:rStyle w:val="FootnoteReference"/>
        </w:rPr>
        <w:footnoteRef/>
      </w:r>
      <w:r>
        <w:tab/>
        <w:t>Rokem N se rozumí rok, kdy se návrh/podnět začíná provádět. Výraz „N“ nahraďte předpokládaným prvním rokem provádění (například 2021). Totéž proveďte u let následujících.</w:t>
      </w:r>
    </w:p>
  </w:footnote>
  <w:footnote w:id="61">
    <w:p w14:paraId="6A8BAFDC" w14:textId="77777777" w:rsidR="0067679B" w:rsidRDefault="0067679B">
      <w:pPr>
        <w:pStyle w:val="FootnoteText"/>
      </w:pPr>
      <w:r>
        <w:rPr>
          <w:rStyle w:val="FootnoteReference"/>
        </w:rPr>
        <w:footnoteRef/>
      </w:r>
      <w:r>
        <w:tab/>
        <w:t>Pokud jde o tradiční vlastní zdroje (cla, dávky z cukru), je třeba uvést čisté částky, tj. hrubé částky po odečtení 20 % nákladů na výběr.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6B201" w14:textId="77777777" w:rsidR="009925B6" w:rsidRPr="009925B6" w:rsidRDefault="009925B6" w:rsidP="009925B6">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158C6" w14:textId="77777777" w:rsidR="009925B6" w:rsidRPr="009925B6" w:rsidRDefault="009925B6" w:rsidP="009925B6">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1D241" w14:textId="77777777" w:rsidR="007F2841" w:rsidRPr="007F2841" w:rsidRDefault="007F2841" w:rsidP="009925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EC6A0" w14:textId="77777777" w:rsidR="009925B6" w:rsidRPr="009925B6" w:rsidRDefault="009925B6" w:rsidP="009925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0"/>
  </w:num>
  <w:num w:numId="3">
    <w:abstractNumId w:val="8"/>
  </w:num>
  <w:num w:numId="4">
    <w:abstractNumId w:val="17"/>
  </w:num>
  <w:num w:numId="5">
    <w:abstractNumId w:val="16"/>
  </w:num>
  <w:num w:numId="6">
    <w:abstractNumId w:val="27"/>
  </w:num>
  <w:num w:numId="7">
    <w:abstractNumId w:val="24"/>
  </w:num>
  <w:num w:numId="8">
    <w:abstractNumId w:val="28"/>
  </w:num>
  <w:num w:numId="9">
    <w:abstractNumId w:val="29"/>
  </w:num>
  <w:num w:numId="10">
    <w:abstractNumId w:val="1"/>
  </w:num>
  <w:num w:numId="11">
    <w:abstractNumId w:val="10"/>
  </w:num>
  <w:num w:numId="12">
    <w:abstractNumId w:val="2"/>
  </w:num>
  <w:num w:numId="13">
    <w:abstractNumId w:val="11"/>
  </w:num>
  <w:num w:numId="14">
    <w:abstractNumId w:val="9"/>
  </w:num>
  <w:num w:numId="15">
    <w:abstractNumId w:val="18"/>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num>
  <w:num w:numId="18">
    <w:abstractNumId w:val="7"/>
  </w:num>
  <w:num w:numId="19">
    <w:abstractNumId w:val="23"/>
    <w:lvlOverride w:ilvl="0">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12"/>
  </w:num>
  <w:num w:numId="38">
    <w:abstractNumId w:val="26"/>
  </w:num>
  <w:num w:numId="39">
    <w:abstractNumId w:val="6"/>
  </w:num>
  <w:num w:numId="40">
    <w:abstractNumId w:val="13"/>
  </w:num>
  <w:num w:numId="41">
    <w:abstractNumId w:val="14"/>
  </w:num>
  <w:num w:numId="42">
    <w:abstractNumId w:val="4"/>
  </w:num>
  <w:num w:numId="43">
    <w:abstractNumId w:val="25"/>
  </w:num>
  <w:num w:numId="44">
    <w:abstractNumId w:val="3"/>
  </w:num>
  <w:num w:numId="45">
    <w:abstractNumId w:val="15"/>
  </w:num>
  <w:num w:numId="46">
    <w:abstractNumId w:val="21"/>
  </w:num>
  <w:num w:numId="47">
    <w:abstractNumId w:val="22"/>
  </w:num>
  <w:num w:numId="48">
    <w:abstractNumId w:val="5"/>
  </w:num>
  <w:num w:numId="49">
    <w:abstractNumId w:val="19"/>
  </w:num>
  <w:num w:numId="50">
    <w:abstractNumId w:val="3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es-ES" w:vendorID="64" w:dllVersion="6" w:nlCheck="1" w:checkStyle="0"/>
  <w:activeWritingStyle w:appName="MSWord" w:lang="en-GB" w:vendorID="64" w:dllVersion="6" w:nlCheck="1" w:checkStyle="1"/>
  <w:activeWritingStyle w:appName="MSWord" w:lang="fr-FR"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pt-PT" w:vendorID="64" w:dllVersion="6"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pt-PT" w:vendorID="64" w:dllVersion="131078" w:nlCheck="1" w:checkStyle="0"/>
  <w:activeWritingStyle w:appName="MSWord" w:lang="de-DE" w:vendorID="64" w:dllVersion="131078" w:nlCheck="1" w:checkStyle="0"/>
  <w:activeWritingStyle w:appName="MSWord" w:lang="fr-BE" w:vendorID="64" w:dllVersion="131078" w:nlCheck="1" w:checkStyle="0"/>
  <w:attachedTemplate r:id="rId1"/>
  <w:revisionView w:markup="0"/>
  <w:defaultTabStop w:val="720"/>
  <w:hyphenationZone w:val="425"/>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3-01-16 09:23:4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67296F4B-4A9E-4856-8B15-9E6DBE8C7724"/>
    <w:docVar w:name="LW_COVERPAGE_TYPE" w:val="1"/>
    <w:docVar w:name="LW_CROSSREFERENCE" w:val="{SEC(2023) 38 final} - {SWD(2023) 11 final} - {SWD(2023) 12 final} - {SWD(2023) 13 final} - {SWD(2023) 14 final} - {SWD(2023) 15 final}"/>
    <w:docVar w:name="LW_DocType" w:val="COM"/>
    <w:docVar w:name="LW_EMISSION" w:val="20.1.2023"/>
    <w:docVar w:name="LW_EMISSION_ISODATE" w:val="2023-01-20"/>
    <w:docVar w:name="LW_EMISSION_LOCATION" w:val="BRX"/>
    <w:docVar w:name="LW_EMISSION_PREFIX" w:val="V Bruselu dne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s významem pro EHP)"/>
    <w:docVar w:name="LW_LANGUE" w:val="CS"/>
    <w:docVar w:name="LW_LEVEL_OF_SENSITIVITY" w:val="Standard treatment"/>
    <w:docVar w:name="LW_NOM.INST" w:val="EVROPSKÁ KOMISE"/>
    <w:docVar w:name="LW_NOM.INST_JOINTDOC" w:val="&lt;EMPTY&gt;"/>
    <w:docVar w:name="LW_PART_NBR" w:val="1"/>
    <w:docVar w:name="LW_PART_NBR_TOTAL" w:val="1"/>
    <w:docVar w:name="LW_REF.II.NEW.CP" w:val="COD"/>
    <w:docVar w:name="LW_REF.II.NEW.CP_NUMBER" w:val="0008"/>
    <w:docVar w:name="LW_REF.II.NEW.CP_YEAR" w:val="2023"/>
    <w:docVar w:name="LW_REF.INST.NEW" w:val="COM"/>
    <w:docVar w:name="LW_REF.INST.NEW_ADOPTED" w:val="final"/>
    <w:docVar w:name="LW_REF.INST.NEW_TEXT" w:val="(2023) 3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Návrh"/>
    <w:docVar w:name="LW_SUPERTITRE" w:val="&lt;UNUSED&gt;"/>
    <w:docVar w:name="LW_TITRE.OBJ.CP" w:val="o evropské statistice o obyvatelstvu, domech a bytech, kterým se mění nařízení (ES) č. 862/2007 a zrušují nařízení (ES) č. 763/2008 a (EU) č. 1260/2013"/>
    <w:docVar w:name="LW_TYPE.DOC.CP" w:val="NAŘÍZENÍ EVROPSKÉHO PARLAMENTU A RADY"/>
    <w:docVar w:name="LwApiVersions" w:val="LW4CoDe 1.23.2.0; LW 8.0, Build 20211117"/>
  </w:docVars>
  <w:rsids>
    <w:rsidRoot w:val="007F065E"/>
    <w:rsid w:val="00001F3D"/>
    <w:rsid w:val="00003DED"/>
    <w:rsid w:val="00004CF9"/>
    <w:rsid w:val="0001057C"/>
    <w:rsid w:val="000234CC"/>
    <w:rsid w:val="0002364E"/>
    <w:rsid w:val="000275F6"/>
    <w:rsid w:val="00034626"/>
    <w:rsid w:val="00041188"/>
    <w:rsid w:val="00047267"/>
    <w:rsid w:val="000473DE"/>
    <w:rsid w:val="00051015"/>
    <w:rsid w:val="00051D77"/>
    <w:rsid w:val="000550EF"/>
    <w:rsid w:val="00056CF8"/>
    <w:rsid w:val="00060D89"/>
    <w:rsid w:val="00061A4D"/>
    <w:rsid w:val="000750E3"/>
    <w:rsid w:val="00075C8A"/>
    <w:rsid w:val="00077AE6"/>
    <w:rsid w:val="000803FA"/>
    <w:rsid w:val="00082D97"/>
    <w:rsid w:val="000853ED"/>
    <w:rsid w:val="00094CCD"/>
    <w:rsid w:val="00096E98"/>
    <w:rsid w:val="000A2980"/>
    <w:rsid w:val="000A33C0"/>
    <w:rsid w:val="000A6445"/>
    <w:rsid w:val="000B079E"/>
    <w:rsid w:val="000B4F54"/>
    <w:rsid w:val="000B75F7"/>
    <w:rsid w:val="000B7A7D"/>
    <w:rsid w:val="000C74DC"/>
    <w:rsid w:val="000D4DAF"/>
    <w:rsid w:val="000E0225"/>
    <w:rsid w:val="000E40AF"/>
    <w:rsid w:val="000E4A39"/>
    <w:rsid w:val="000E501C"/>
    <w:rsid w:val="000E53CC"/>
    <w:rsid w:val="000F061A"/>
    <w:rsid w:val="000F0BF8"/>
    <w:rsid w:val="001027CD"/>
    <w:rsid w:val="00105A3F"/>
    <w:rsid w:val="00107FE1"/>
    <w:rsid w:val="00110B86"/>
    <w:rsid w:val="0011111B"/>
    <w:rsid w:val="0011300D"/>
    <w:rsid w:val="0011472C"/>
    <w:rsid w:val="00121F11"/>
    <w:rsid w:val="001220F1"/>
    <w:rsid w:val="001274D5"/>
    <w:rsid w:val="001349EA"/>
    <w:rsid w:val="00135D32"/>
    <w:rsid w:val="00135FB4"/>
    <w:rsid w:val="0014116E"/>
    <w:rsid w:val="00145D74"/>
    <w:rsid w:val="001526F0"/>
    <w:rsid w:val="00152894"/>
    <w:rsid w:val="001556D4"/>
    <w:rsid w:val="00161A70"/>
    <w:rsid w:val="00172BD4"/>
    <w:rsid w:val="001774C6"/>
    <w:rsid w:val="00180762"/>
    <w:rsid w:val="00184D5C"/>
    <w:rsid w:val="001850BD"/>
    <w:rsid w:val="00186D7B"/>
    <w:rsid w:val="001968B4"/>
    <w:rsid w:val="0019717D"/>
    <w:rsid w:val="00197448"/>
    <w:rsid w:val="001A1B4D"/>
    <w:rsid w:val="001A310E"/>
    <w:rsid w:val="001A4795"/>
    <w:rsid w:val="001A5435"/>
    <w:rsid w:val="001A60BB"/>
    <w:rsid w:val="001A6814"/>
    <w:rsid w:val="001A7371"/>
    <w:rsid w:val="001A744C"/>
    <w:rsid w:val="001B125E"/>
    <w:rsid w:val="001C20F1"/>
    <w:rsid w:val="001D5E67"/>
    <w:rsid w:val="001E0C67"/>
    <w:rsid w:val="001E23F9"/>
    <w:rsid w:val="001E383D"/>
    <w:rsid w:val="001F3A7F"/>
    <w:rsid w:val="00201641"/>
    <w:rsid w:val="00203A57"/>
    <w:rsid w:val="00205540"/>
    <w:rsid w:val="0020630D"/>
    <w:rsid w:val="00211232"/>
    <w:rsid w:val="0021590F"/>
    <w:rsid w:val="0023449F"/>
    <w:rsid w:val="00242743"/>
    <w:rsid w:val="00245801"/>
    <w:rsid w:val="00245F0A"/>
    <w:rsid w:val="00247ACE"/>
    <w:rsid w:val="0025267E"/>
    <w:rsid w:val="0025335B"/>
    <w:rsid w:val="00254C28"/>
    <w:rsid w:val="0026017A"/>
    <w:rsid w:val="00265C40"/>
    <w:rsid w:val="00275A2C"/>
    <w:rsid w:val="0028578D"/>
    <w:rsid w:val="002857EC"/>
    <w:rsid w:val="00294ED8"/>
    <w:rsid w:val="002954A4"/>
    <w:rsid w:val="00297E4A"/>
    <w:rsid w:val="002A1946"/>
    <w:rsid w:val="002A46CB"/>
    <w:rsid w:val="002A73B7"/>
    <w:rsid w:val="002B338F"/>
    <w:rsid w:val="002B4D86"/>
    <w:rsid w:val="002B5DE0"/>
    <w:rsid w:val="002C7D14"/>
    <w:rsid w:val="002D1C16"/>
    <w:rsid w:val="002D2242"/>
    <w:rsid w:val="002D4F6A"/>
    <w:rsid w:val="002D71DD"/>
    <w:rsid w:val="002E24C2"/>
    <w:rsid w:val="002E2B05"/>
    <w:rsid w:val="002E47C8"/>
    <w:rsid w:val="002F0166"/>
    <w:rsid w:val="002F15A6"/>
    <w:rsid w:val="002F250E"/>
    <w:rsid w:val="002F453E"/>
    <w:rsid w:val="002F47D8"/>
    <w:rsid w:val="002F47DA"/>
    <w:rsid w:val="00304055"/>
    <w:rsid w:val="00305B64"/>
    <w:rsid w:val="00310FEA"/>
    <w:rsid w:val="00313CD6"/>
    <w:rsid w:val="003149F5"/>
    <w:rsid w:val="00332DA2"/>
    <w:rsid w:val="003407A2"/>
    <w:rsid w:val="0034128A"/>
    <w:rsid w:val="00343CF4"/>
    <w:rsid w:val="00343E23"/>
    <w:rsid w:val="00353AD2"/>
    <w:rsid w:val="00354D58"/>
    <w:rsid w:val="003561F4"/>
    <w:rsid w:val="003566C5"/>
    <w:rsid w:val="00362D26"/>
    <w:rsid w:val="0036386E"/>
    <w:rsid w:val="00365447"/>
    <w:rsid w:val="00365D4E"/>
    <w:rsid w:val="00366BEC"/>
    <w:rsid w:val="00370E12"/>
    <w:rsid w:val="0037357C"/>
    <w:rsid w:val="003745E4"/>
    <w:rsid w:val="0037464B"/>
    <w:rsid w:val="00374A32"/>
    <w:rsid w:val="00377D03"/>
    <w:rsid w:val="00387FB8"/>
    <w:rsid w:val="0039379E"/>
    <w:rsid w:val="00396ACD"/>
    <w:rsid w:val="003A0693"/>
    <w:rsid w:val="003A1E21"/>
    <w:rsid w:val="003A2F4C"/>
    <w:rsid w:val="003A41B5"/>
    <w:rsid w:val="003A6C2B"/>
    <w:rsid w:val="003B07B8"/>
    <w:rsid w:val="003B5E08"/>
    <w:rsid w:val="003B6C84"/>
    <w:rsid w:val="003C0269"/>
    <w:rsid w:val="003C1B86"/>
    <w:rsid w:val="003C5312"/>
    <w:rsid w:val="003D1E2C"/>
    <w:rsid w:val="003D4460"/>
    <w:rsid w:val="003D7395"/>
    <w:rsid w:val="003E1348"/>
    <w:rsid w:val="003E2B40"/>
    <w:rsid w:val="003F3776"/>
    <w:rsid w:val="004040F9"/>
    <w:rsid w:val="004058EE"/>
    <w:rsid w:val="00424A74"/>
    <w:rsid w:val="004261A6"/>
    <w:rsid w:val="00426440"/>
    <w:rsid w:val="00437209"/>
    <w:rsid w:val="00437AA5"/>
    <w:rsid w:val="004554FC"/>
    <w:rsid w:val="00460495"/>
    <w:rsid w:val="00476B82"/>
    <w:rsid w:val="004825AE"/>
    <w:rsid w:val="0048469F"/>
    <w:rsid w:val="00491676"/>
    <w:rsid w:val="00492396"/>
    <w:rsid w:val="0049414B"/>
    <w:rsid w:val="00495403"/>
    <w:rsid w:val="00495C1E"/>
    <w:rsid w:val="004A38C9"/>
    <w:rsid w:val="004A49B9"/>
    <w:rsid w:val="004B1E0C"/>
    <w:rsid w:val="004B3549"/>
    <w:rsid w:val="004B3788"/>
    <w:rsid w:val="004C756D"/>
    <w:rsid w:val="004D3A3B"/>
    <w:rsid w:val="004D70BC"/>
    <w:rsid w:val="004E19F9"/>
    <w:rsid w:val="004E20EE"/>
    <w:rsid w:val="004E72FF"/>
    <w:rsid w:val="004F57E3"/>
    <w:rsid w:val="004F586D"/>
    <w:rsid w:val="004F7A2E"/>
    <w:rsid w:val="00502FD6"/>
    <w:rsid w:val="00506074"/>
    <w:rsid w:val="00507FBA"/>
    <w:rsid w:val="00516711"/>
    <w:rsid w:val="00517205"/>
    <w:rsid w:val="0052127B"/>
    <w:rsid w:val="00521A79"/>
    <w:rsid w:val="00536E65"/>
    <w:rsid w:val="00540E20"/>
    <w:rsid w:val="00542487"/>
    <w:rsid w:val="005427D5"/>
    <w:rsid w:val="00543B83"/>
    <w:rsid w:val="005458D8"/>
    <w:rsid w:val="00551191"/>
    <w:rsid w:val="00551A1E"/>
    <w:rsid w:val="00554152"/>
    <w:rsid w:val="00564EF3"/>
    <w:rsid w:val="00570723"/>
    <w:rsid w:val="0057097A"/>
    <w:rsid w:val="00573B5A"/>
    <w:rsid w:val="00576C5F"/>
    <w:rsid w:val="00582810"/>
    <w:rsid w:val="00584D69"/>
    <w:rsid w:val="00585D32"/>
    <w:rsid w:val="005904A4"/>
    <w:rsid w:val="0059111F"/>
    <w:rsid w:val="00595540"/>
    <w:rsid w:val="005A334C"/>
    <w:rsid w:val="005A39B3"/>
    <w:rsid w:val="005A3A99"/>
    <w:rsid w:val="005B2846"/>
    <w:rsid w:val="005B5FA6"/>
    <w:rsid w:val="005B7893"/>
    <w:rsid w:val="005C3C97"/>
    <w:rsid w:val="005C4691"/>
    <w:rsid w:val="005D69B1"/>
    <w:rsid w:val="005E18A2"/>
    <w:rsid w:val="005E2E98"/>
    <w:rsid w:val="005E6CA0"/>
    <w:rsid w:val="005F24DE"/>
    <w:rsid w:val="0060001B"/>
    <w:rsid w:val="00602876"/>
    <w:rsid w:val="00607DCB"/>
    <w:rsid w:val="006125F7"/>
    <w:rsid w:val="00612F2B"/>
    <w:rsid w:val="0061786F"/>
    <w:rsid w:val="0062008A"/>
    <w:rsid w:val="0062012E"/>
    <w:rsid w:val="006231DB"/>
    <w:rsid w:val="00625B5A"/>
    <w:rsid w:val="00640092"/>
    <w:rsid w:val="00644D07"/>
    <w:rsid w:val="00651F45"/>
    <w:rsid w:val="00651FE3"/>
    <w:rsid w:val="00657D37"/>
    <w:rsid w:val="00662210"/>
    <w:rsid w:val="006644FA"/>
    <w:rsid w:val="006654AB"/>
    <w:rsid w:val="006705C6"/>
    <w:rsid w:val="0067679B"/>
    <w:rsid w:val="00680BC2"/>
    <w:rsid w:val="00682408"/>
    <w:rsid w:val="00683618"/>
    <w:rsid w:val="0068569A"/>
    <w:rsid w:val="00685CBF"/>
    <w:rsid w:val="006900D7"/>
    <w:rsid w:val="00695704"/>
    <w:rsid w:val="0069614E"/>
    <w:rsid w:val="00696AA6"/>
    <w:rsid w:val="006A1E20"/>
    <w:rsid w:val="006A4733"/>
    <w:rsid w:val="006A4F83"/>
    <w:rsid w:val="006A75BF"/>
    <w:rsid w:val="006B525D"/>
    <w:rsid w:val="006B622F"/>
    <w:rsid w:val="006B7897"/>
    <w:rsid w:val="006C1F50"/>
    <w:rsid w:val="006C2191"/>
    <w:rsid w:val="006C4C25"/>
    <w:rsid w:val="006C5389"/>
    <w:rsid w:val="006D3836"/>
    <w:rsid w:val="006D4150"/>
    <w:rsid w:val="006D47A5"/>
    <w:rsid w:val="006D5A75"/>
    <w:rsid w:val="006D5CB0"/>
    <w:rsid w:val="006E19C1"/>
    <w:rsid w:val="006E7B64"/>
    <w:rsid w:val="006F33D5"/>
    <w:rsid w:val="006F6F27"/>
    <w:rsid w:val="006F7EFE"/>
    <w:rsid w:val="00706EF5"/>
    <w:rsid w:val="0070780C"/>
    <w:rsid w:val="00707E7A"/>
    <w:rsid w:val="00714DDE"/>
    <w:rsid w:val="00717185"/>
    <w:rsid w:val="00721C5D"/>
    <w:rsid w:val="00722140"/>
    <w:rsid w:val="00723DBD"/>
    <w:rsid w:val="00727061"/>
    <w:rsid w:val="00727722"/>
    <w:rsid w:val="007302BE"/>
    <w:rsid w:val="00733457"/>
    <w:rsid w:val="0073432E"/>
    <w:rsid w:val="0073675F"/>
    <w:rsid w:val="00736B0A"/>
    <w:rsid w:val="0075266E"/>
    <w:rsid w:val="00752AA1"/>
    <w:rsid w:val="00752D11"/>
    <w:rsid w:val="00763A70"/>
    <w:rsid w:val="00764132"/>
    <w:rsid w:val="0076517D"/>
    <w:rsid w:val="00766877"/>
    <w:rsid w:val="007709E3"/>
    <w:rsid w:val="0077664F"/>
    <w:rsid w:val="007800D9"/>
    <w:rsid w:val="00785344"/>
    <w:rsid w:val="007A0BA1"/>
    <w:rsid w:val="007B1876"/>
    <w:rsid w:val="007B3477"/>
    <w:rsid w:val="007B6E31"/>
    <w:rsid w:val="007B7656"/>
    <w:rsid w:val="007C3118"/>
    <w:rsid w:val="007C5F10"/>
    <w:rsid w:val="007D0861"/>
    <w:rsid w:val="007E010B"/>
    <w:rsid w:val="007E1126"/>
    <w:rsid w:val="007E3F52"/>
    <w:rsid w:val="007E72C6"/>
    <w:rsid w:val="007F065E"/>
    <w:rsid w:val="007F2841"/>
    <w:rsid w:val="007F3B8A"/>
    <w:rsid w:val="007F52DD"/>
    <w:rsid w:val="007F6204"/>
    <w:rsid w:val="0080044B"/>
    <w:rsid w:val="00800874"/>
    <w:rsid w:val="00802DB5"/>
    <w:rsid w:val="00802FC2"/>
    <w:rsid w:val="00811E4B"/>
    <w:rsid w:val="00817F1D"/>
    <w:rsid w:val="008223A5"/>
    <w:rsid w:val="008229BD"/>
    <w:rsid w:val="00826029"/>
    <w:rsid w:val="00830263"/>
    <w:rsid w:val="00835466"/>
    <w:rsid w:val="00840335"/>
    <w:rsid w:val="00840365"/>
    <w:rsid w:val="00841B19"/>
    <w:rsid w:val="00842201"/>
    <w:rsid w:val="00842C65"/>
    <w:rsid w:val="008508E8"/>
    <w:rsid w:val="00853A63"/>
    <w:rsid w:val="0085477B"/>
    <w:rsid w:val="00855121"/>
    <w:rsid w:val="008732DF"/>
    <w:rsid w:val="0088064F"/>
    <w:rsid w:val="00880A84"/>
    <w:rsid w:val="00891439"/>
    <w:rsid w:val="00894852"/>
    <w:rsid w:val="00896026"/>
    <w:rsid w:val="00897912"/>
    <w:rsid w:val="008A1670"/>
    <w:rsid w:val="008A1F69"/>
    <w:rsid w:val="008A560D"/>
    <w:rsid w:val="008A630E"/>
    <w:rsid w:val="008B2819"/>
    <w:rsid w:val="008B4AE2"/>
    <w:rsid w:val="008B5A2A"/>
    <w:rsid w:val="008B5C32"/>
    <w:rsid w:val="008C015D"/>
    <w:rsid w:val="008C1D3C"/>
    <w:rsid w:val="008C39E4"/>
    <w:rsid w:val="008C3CB3"/>
    <w:rsid w:val="008C7698"/>
    <w:rsid w:val="008C7A4A"/>
    <w:rsid w:val="008E0A67"/>
    <w:rsid w:val="008E1CA7"/>
    <w:rsid w:val="008E2694"/>
    <w:rsid w:val="008E4734"/>
    <w:rsid w:val="008E5ED9"/>
    <w:rsid w:val="008E64ED"/>
    <w:rsid w:val="008F01E9"/>
    <w:rsid w:val="008F199E"/>
    <w:rsid w:val="008F6A4F"/>
    <w:rsid w:val="00904867"/>
    <w:rsid w:val="009053A0"/>
    <w:rsid w:val="009113A3"/>
    <w:rsid w:val="00913718"/>
    <w:rsid w:val="00914D73"/>
    <w:rsid w:val="009245BB"/>
    <w:rsid w:val="009323E6"/>
    <w:rsid w:val="00932DA8"/>
    <w:rsid w:val="00933817"/>
    <w:rsid w:val="00935E18"/>
    <w:rsid w:val="009370AA"/>
    <w:rsid w:val="00937289"/>
    <w:rsid w:val="00940731"/>
    <w:rsid w:val="00951F63"/>
    <w:rsid w:val="00953755"/>
    <w:rsid w:val="00956977"/>
    <w:rsid w:val="009678AB"/>
    <w:rsid w:val="00972429"/>
    <w:rsid w:val="009850CC"/>
    <w:rsid w:val="0099017C"/>
    <w:rsid w:val="009925B6"/>
    <w:rsid w:val="009957C5"/>
    <w:rsid w:val="00997335"/>
    <w:rsid w:val="009A493F"/>
    <w:rsid w:val="009A6FCF"/>
    <w:rsid w:val="009A7AEA"/>
    <w:rsid w:val="009B3261"/>
    <w:rsid w:val="009C1507"/>
    <w:rsid w:val="009C5A72"/>
    <w:rsid w:val="009D4337"/>
    <w:rsid w:val="009E4376"/>
    <w:rsid w:val="009E4C52"/>
    <w:rsid w:val="009E5557"/>
    <w:rsid w:val="009E6562"/>
    <w:rsid w:val="009F28E9"/>
    <w:rsid w:val="00A00E64"/>
    <w:rsid w:val="00A11022"/>
    <w:rsid w:val="00A12537"/>
    <w:rsid w:val="00A13559"/>
    <w:rsid w:val="00A174CE"/>
    <w:rsid w:val="00A31AA2"/>
    <w:rsid w:val="00A37C86"/>
    <w:rsid w:val="00A42AEE"/>
    <w:rsid w:val="00A565C7"/>
    <w:rsid w:val="00A601F3"/>
    <w:rsid w:val="00A61F3A"/>
    <w:rsid w:val="00A631A0"/>
    <w:rsid w:val="00A63403"/>
    <w:rsid w:val="00A676E6"/>
    <w:rsid w:val="00A67892"/>
    <w:rsid w:val="00A67FA0"/>
    <w:rsid w:val="00A723AF"/>
    <w:rsid w:val="00A72C38"/>
    <w:rsid w:val="00A7453F"/>
    <w:rsid w:val="00A82B06"/>
    <w:rsid w:val="00A87B04"/>
    <w:rsid w:val="00A90AB0"/>
    <w:rsid w:val="00A9113C"/>
    <w:rsid w:val="00AA0D79"/>
    <w:rsid w:val="00AA2F33"/>
    <w:rsid w:val="00AA3EFE"/>
    <w:rsid w:val="00AA4B5D"/>
    <w:rsid w:val="00AA6FEF"/>
    <w:rsid w:val="00AB204B"/>
    <w:rsid w:val="00AB64DE"/>
    <w:rsid w:val="00AB6A6D"/>
    <w:rsid w:val="00AB6D6C"/>
    <w:rsid w:val="00AB7568"/>
    <w:rsid w:val="00AC64D7"/>
    <w:rsid w:val="00AC6C91"/>
    <w:rsid w:val="00AC74D2"/>
    <w:rsid w:val="00AC7A97"/>
    <w:rsid w:val="00AD49AE"/>
    <w:rsid w:val="00AD5824"/>
    <w:rsid w:val="00AD67AB"/>
    <w:rsid w:val="00AE15D0"/>
    <w:rsid w:val="00AF0236"/>
    <w:rsid w:val="00AF21BA"/>
    <w:rsid w:val="00AF7168"/>
    <w:rsid w:val="00AF7D36"/>
    <w:rsid w:val="00B01676"/>
    <w:rsid w:val="00B050CD"/>
    <w:rsid w:val="00B06B0A"/>
    <w:rsid w:val="00B14F4E"/>
    <w:rsid w:val="00B17B5B"/>
    <w:rsid w:val="00B17EE3"/>
    <w:rsid w:val="00B213CC"/>
    <w:rsid w:val="00B223B0"/>
    <w:rsid w:val="00B240BE"/>
    <w:rsid w:val="00B26D25"/>
    <w:rsid w:val="00B349DF"/>
    <w:rsid w:val="00B357C4"/>
    <w:rsid w:val="00B404CE"/>
    <w:rsid w:val="00B474E3"/>
    <w:rsid w:val="00B53EAA"/>
    <w:rsid w:val="00B55056"/>
    <w:rsid w:val="00B63448"/>
    <w:rsid w:val="00B648BF"/>
    <w:rsid w:val="00B65555"/>
    <w:rsid w:val="00B65DF6"/>
    <w:rsid w:val="00B66314"/>
    <w:rsid w:val="00B733A2"/>
    <w:rsid w:val="00B73CB9"/>
    <w:rsid w:val="00B7570B"/>
    <w:rsid w:val="00B758E0"/>
    <w:rsid w:val="00B76807"/>
    <w:rsid w:val="00B76A2B"/>
    <w:rsid w:val="00B94560"/>
    <w:rsid w:val="00B94EFC"/>
    <w:rsid w:val="00B95BC6"/>
    <w:rsid w:val="00B96E34"/>
    <w:rsid w:val="00BA168D"/>
    <w:rsid w:val="00BA468A"/>
    <w:rsid w:val="00BA747D"/>
    <w:rsid w:val="00BB61EB"/>
    <w:rsid w:val="00BB6E28"/>
    <w:rsid w:val="00BC2004"/>
    <w:rsid w:val="00BC3D4E"/>
    <w:rsid w:val="00BC5169"/>
    <w:rsid w:val="00BC51E9"/>
    <w:rsid w:val="00BC5DC6"/>
    <w:rsid w:val="00BC6240"/>
    <w:rsid w:val="00BD50D4"/>
    <w:rsid w:val="00BD60B2"/>
    <w:rsid w:val="00BE1EAD"/>
    <w:rsid w:val="00BE74E8"/>
    <w:rsid w:val="00BF3835"/>
    <w:rsid w:val="00C025F1"/>
    <w:rsid w:val="00C06308"/>
    <w:rsid w:val="00C139F1"/>
    <w:rsid w:val="00C15EF9"/>
    <w:rsid w:val="00C16986"/>
    <w:rsid w:val="00C24AEB"/>
    <w:rsid w:val="00C33AFE"/>
    <w:rsid w:val="00C351D7"/>
    <w:rsid w:val="00C36090"/>
    <w:rsid w:val="00C3731F"/>
    <w:rsid w:val="00C43A7E"/>
    <w:rsid w:val="00C462C4"/>
    <w:rsid w:val="00C5288A"/>
    <w:rsid w:val="00C610CC"/>
    <w:rsid w:val="00C6226D"/>
    <w:rsid w:val="00C676D2"/>
    <w:rsid w:val="00C7535D"/>
    <w:rsid w:val="00C75B8C"/>
    <w:rsid w:val="00C77E14"/>
    <w:rsid w:val="00C83BCC"/>
    <w:rsid w:val="00C8780C"/>
    <w:rsid w:val="00C90467"/>
    <w:rsid w:val="00C91338"/>
    <w:rsid w:val="00C92915"/>
    <w:rsid w:val="00C97ADF"/>
    <w:rsid w:val="00CA0B10"/>
    <w:rsid w:val="00CA4609"/>
    <w:rsid w:val="00CA47A6"/>
    <w:rsid w:val="00CA612D"/>
    <w:rsid w:val="00CA7F80"/>
    <w:rsid w:val="00CB01AB"/>
    <w:rsid w:val="00CB4247"/>
    <w:rsid w:val="00CB43A6"/>
    <w:rsid w:val="00CB49CC"/>
    <w:rsid w:val="00CB683A"/>
    <w:rsid w:val="00CC157B"/>
    <w:rsid w:val="00CC6F4E"/>
    <w:rsid w:val="00CD00F5"/>
    <w:rsid w:val="00CD0D56"/>
    <w:rsid w:val="00CE12FF"/>
    <w:rsid w:val="00CE3B6A"/>
    <w:rsid w:val="00CF1FDE"/>
    <w:rsid w:val="00CF4E2D"/>
    <w:rsid w:val="00CF711E"/>
    <w:rsid w:val="00D03351"/>
    <w:rsid w:val="00D06F30"/>
    <w:rsid w:val="00D106F5"/>
    <w:rsid w:val="00D249F5"/>
    <w:rsid w:val="00D25247"/>
    <w:rsid w:val="00D27FD0"/>
    <w:rsid w:val="00D332D6"/>
    <w:rsid w:val="00D34876"/>
    <w:rsid w:val="00D36B8A"/>
    <w:rsid w:val="00D41A17"/>
    <w:rsid w:val="00D500DF"/>
    <w:rsid w:val="00D53E4F"/>
    <w:rsid w:val="00D57C97"/>
    <w:rsid w:val="00D6216A"/>
    <w:rsid w:val="00D62FED"/>
    <w:rsid w:val="00D701BF"/>
    <w:rsid w:val="00D72595"/>
    <w:rsid w:val="00D74E94"/>
    <w:rsid w:val="00D7568B"/>
    <w:rsid w:val="00D769D5"/>
    <w:rsid w:val="00D82DBF"/>
    <w:rsid w:val="00D86521"/>
    <w:rsid w:val="00D97CA1"/>
    <w:rsid w:val="00DA3CDF"/>
    <w:rsid w:val="00DA3D01"/>
    <w:rsid w:val="00DA46E9"/>
    <w:rsid w:val="00DA4CDC"/>
    <w:rsid w:val="00DA7ACB"/>
    <w:rsid w:val="00DA7F1D"/>
    <w:rsid w:val="00DB2C46"/>
    <w:rsid w:val="00DB373C"/>
    <w:rsid w:val="00DB4B20"/>
    <w:rsid w:val="00DB5E15"/>
    <w:rsid w:val="00DC0A86"/>
    <w:rsid w:val="00DD1767"/>
    <w:rsid w:val="00DD4EC4"/>
    <w:rsid w:val="00DF0071"/>
    <w:rsid w:val="00E02483"/>
    <w:rsid w:val="00E042AB"/>
    <w:rsid w:val="00E07235"/>
    <w:rsid w:val="00E10A26"/>
    <w:rsid w:val="00E121B6"/>
    <w:rsid w:val="00E1246C"/>
    <w:rsid w:val="00E1253D"/>
    <w:rsid w:val="00E125C3"/>
    <w:rsid w:val="00E15658"/>
    <w:rsid w:val="00E20A85"/>
    <w:rsid w:val="00E21267"/>
    <w:rsid w:val="00E23670"/>
    <w:rsid w:val="00E3040A"/>
    <w:rsid w:val="00E33C9F"/>
    <w:rsid w:val="00E33E4C"/>
    <w:rsid w:val="00E33F1A"/>
    <w:rsid w:val="00E34DCF"/>
    <w:rsid w:val="00E3707E"/>
    <w:rsid w:val="00E4255C"/>
    <w:rsid w:val="00E437F7"/>
    <w:rsid w:val="00E43E85"/>
    <w:rsid w:val="00E44869"/>
    <w:rsid w:val="00E468F7"/>
    <w:rsid w:val="00E50B67"/>
    <w:rsid w:val="00E511F7"/>
    <w:rsid w:val="00E564C9"/>
    <w:rsid w:val="00E57864"/>
    <w:rsid w:val="00E726B2"/>
    <w:rsid w:val="00E777D8"/>
    <w:rsid w:val="00E80040"/>
    <w:rsid w:val="00E81B08"/>
    <w:rsid w:val="00E82263"/>
    <w:rsid w:val="00E8250E"/>
    <w:rsid w:val="00E8313D"/>
    <w:rsid w:val="00E839F6"/>
    <w:rsid w:val="00E840A1"/>
    <w:rsid w:val="00E849B5"/>
    <w:rsid w:val="00E8518A"/>
    <w:rsid w:val="00E86242"/>
    <w:rsid w:val="00E932E3"/>
    <w:rsid w:val="00E93FE5"/>
    <w:rsid w:val="00E95361"/>
    <w:rsid w:val="00E958DC"/>
    <w:rsid w:val="00E95CCA"/>
    <w:rsid w:val="00E96DA9"/>
    <w:rsid w:val="00E978FE"/>
    <w:rsid w:val="00E979AB"/>
    <w:rsid w:val="00EA2E9A"/>
    <w:rsid w:val="00EA6F8F"/>
    <w:rsid w:val="00EC39BC"/>
    <w:rsid w:val="00EC7BA9"/>
    <w:rsid w:val="00ED2F7A"/>
    <w:rsid w:val="00EE140B"/>
    <w:rsid w:val="00EE1F9C"/>
    <w:rsid w:val="00EE31C1"/>
    <w:rsid w:val="00EE3CDF"/>
    <w:rsid w:val="00EF283F"/>
    <w:rsid w:val="00EF6D2A"/>
    <w:rsid w:val="00F015A7"/>
    <w:rsid w:val="00F14A6A"/>
    <w:rsid w:val="00F153F2"/>
    <w:rsid w:val="00F232BD"/>
    <w:rsid w:val="00F239B8"/>
    <w:rsid w:val="00F23EA0"/>
    <w:rsid w:val="00F3103C"/>
    <w:rsid w:val="00F3193D"/>
    <w:rsid w:val="00F32986"/>
    <w:rsid w:val="00F350B5"/>
    <w:rsid w:val="00F374C9"/>
    <w:rsid w:val="00F438EF"/>
    <w:rsid w:val="00F4431E"/>
    <w:rsid w:val="00F513A5"/>
    <w:rsid w:val="00F52FA7"/>
    <w:rsid w:val="00F563DC"/>
    <w:rsid w:val="00F610FB"/>
    <w:rsid w:val="00F71E3E"/>
    <w:rsid w:val="00F72006"/>
    <w:rsid w:val="00F73830"/>
    <w:rsid w:val="00F74630"/>
    <w:rsid w:val="00F75E32"/>
    <w:rsid w:val="00F807B3"/>
    <w:rsid w:val="00F83D58"/>
    <w:rsid w:val="00F86813"/>
    <w:rsid w:val="00FA1179"/>
    <w:rsid w:val="00FB0499"/>
    <w:rsid w:val="00FC1B80"/>
    <w:rsid w:val="00FC2396"/>
    <w:rsid w:val="00FC425A"/>
    <w:rsid w:val="00FD0E0E"/>
    <w:rsid w:val="00FD2BAA"/>
    <w:rsid w:val="00FD7019"/>
    <w:rsid w:val="00FE41E8"/>
    <w:rsid w:val="00FF110B"/>
    <w:rsid w:val="00FF2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2E9DE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9"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cs-CZ"/>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7F065E"/>
    <w:pPr>
      <w:numPr>
        <w:numId w:val="2"/>
      </w:numPr>
    </w:pPr>
    <w:rPr>
      <w:rFonts w:eastAsia="Times New Roman"/>
      <w:lang w:eastAsia="de-DE"/>
    </w:rPr>
  </w:style>
  <w:style w:type="paragraph" w:styleId="ListNumber">
    <w:name w:val="List Number"/>
    <w:basedOn w:val="Normal"/>
    <w:rsid w:val="007F065E"/>
    <w:pPr>
      <w:numPr>
        <w:numId w:val="6"/>
      </w:numPr>
    </w:pPr>
    <w:rPr>
      <w:rFonts w:eastAsia="Times New Roman"/>
      <w:lang w:eastAsia="de-DE"/>
    </w:rPr>
  </w:style>
  <w:style w:type="paragraph" w:customStyle="1" w:styleId="ListBullet1">
    <w:name w:val="List Bullet 1"/>
    <w:basedOn w:val="Normal"/>
    <w:rsid w:val="007F065E"/>
    <w:pPr>
      <w:numPr>
        <w:numId w:val="1"/>
      </w:numPr>
    </w:pPr>
    <w:rPr>
      <w:rFonts w:eastAsia="Times New Roman"/>
      <w:lang w:eastAsia="de-DE"/>
    </w:rPr>
  </w:style>
  <w:style w:type="paragraph" w:customStyle="1" w:styleId="ListDash">
    <w:name w:val="List Dash"/>
    <w:basedOn w:val="Normal"/>
    <w:rsid w:val="007F065E"/>
    <w:pPr>
      <w:numPr>
        <w:numId w:val="3"/>
      </w:numPr>
    </w:pPr>
    <w:rPr>
      <w:rFonts w:eastAsia="Times New Roman"/>
      <w:lang w:eastAsia="de-DE"/>
    </w:rPr>
  </w:style>
  <w:style w:type="paragraph" w:customStyle="1" w:styleId="ListDash1">
    <w:name w:val="List Dash 1"/>
    <w:basedOn w:val="Normal"/>
    <w:rsid w:val="007F065E"/>
    <w:pPr>
      <w:numPr>
        <w:numId w:val="4"/>
      </w:numPr>
    </w:pPr>
    <w:rPr>
      <w:rFonts w:eastAsia="Times New Roman"/>
      <w:lang w:eastAsia="de-DE"/>
    </w:rPr>
  </w:style>
  <w:style w:type="paragraph" w:customStyle="1" w:styleId="ListDash2">
    <w:name w:val="List Dash 2"/>
    <w:basedOn w:val="Normal"/>
    <w:rsid w:val="007F065E"/>
    <w:pPr>
      <w:numPr>
        <w:numId w:val="5"/>
      </w:numPr>
    </w:pPr>
    <w:rPr>
      <w:rFonts w:eastAsia="Times New Roman"/>
      <w:lang w:eastAsia="de-DE"/>
    </w:rPr>
  </w:style>
  <w:style w:type="paragraph" w:customStyle="1" w:styleId="ListNumberLevel2">
    <w:name w:val="List Number (Level 2)"/>
    <w:basedOn w:val="Normal"/>
    <w:rsid w:val="007F065E"/>
    <w:pPr>
      <w:numPr>
        <w:ilvl w:val="1"/>
        <w:numId w:val="6"/>
      </w:numPr>
    </w:pPr>
    <w:rPr>
      <w:rFonts w:eastAsia="Times New Roman"/>
      <w:lang w:eastAsia="de-DE"/>
    </w:rPr>
  </w:style>
  <w:style w:type="paragraph" w:customStyle="1" w:styleId="ListNumberLevel3">
    <w:name w:val="List Number (Level 3)"/>
    <w:basedOn w:val="Normal"/>
    <w:rsid w:val="007F065E"/>
    <w:pPr>
      <w:numPr>
        <w:ilvl w:val="2"/>
        <w:numId w:val="6"/>
      </w:numPr>
    </w:pPr>
    <w:rPr>
      <w:rFonts w:eastAsia="Times New Roman"/>
      <w:lang w:eastAsia="de-DE"/>
    </w:rPr>
  </w:style>
  <w:style w:type="paragraph" w:customStyle="1" w:styleId="ListNumberLevel4">
    <w:name w:val="List Number (Level 4)"/>
    <w:basedOn w:val="Normal"/>
    <w:rsid w:val="007F065E"/>
    <w:pPr>
      <w:numPr>
        <w:ilvl w:val="3"/>
        <w:numId w:val="6"/>
      </w:numPr>
    </w:pPr>
    <w:rPr>
      <w:rFonts w:eastAsia="Times New Roman"/>
      <w:lang w:eastAsia="de-DE"/>
    </w:rPr>
  </w:style>
  <w:style w:type="table" w:styleId="TableGrid">
    <w:name w:val="Table Grid"/>
    <w:aliases w:val="Document Table,CV1,Table Format 1,HTG,Tabela Renova,TabelEcorys,Deloitte,Simple table,simple table"/>
    <w:basedOn w:val="TableNormal"/>
    <w:uiPriority w:val="59"/>
    <w:rsid w:val="007F065E"/>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F065E"/>
    <w:rPr>
      <w:color w:val="0000FF"/>
      <w:u w:val="single"/>
    </w:rPr>
  </w:style>
  <w:style w:type="paragraph" w:styleId="ListBullet">
    <w:name w:val="List Bullet"/>
    <w:basedOn w:val="Normal"/>
    <w:rsid w:val="007F065E"/>
    <w:pPr>
      <w:numPr>
        <w:numId w:val="7"/>
      </w:numPr>
    </w:pPr>
    <w:rPr>
      <w:rFonts w:eastAsia="Times New Roman"/>
      <w:lang w:eastAsia="en-GB"/>
    </w:rPr>
  </w:style>
  <w:style w:type="paragraph" w:styleId="ListBullet2">
    <w:name w:val="List Bullet 2"/>
    <w:basedOn w:val="Normal"/>
    <w:rsid w:val="007F065E"/>
    <w:pPr>
      <w:numPr>
        <w:numId w:val="8"/>
      </w:numPr>
    </w:pPr>
    <w:rPr>
      <w:rFonts w:eastAsia="Times New Roman"/>
      <w:lang w:eastAsia="en-GB"/>
    </w:rPr>
  </w:style>
  <w:style w:type="paragraph" w:styleId="ListBullet3">
    <w:name w:val="List Bullet 3"/>
    <w:basedOn w:val="Normal"/>
    <w:rsid w:val="007F065E"/>
    <w:pPr>
      <w:numPr>
        <w:numId w:val="9"/>
      </w:numPr>
    </w:pPr>
    <w:rPr>
      <w:rFonts w:eastAsia="Times New Roman"/>
      <w:lang w:eastAsia="en-GB"/>
    </w:rPr>
  </w:style>
  <w:style w:type="paragraph" w:styleId="ListNumber2">
    <w:name w:val="List Number 2"/>
    <w:basedOn w:val="Normal"/>
    <w:rsid w:val="007F065E"/>
    <w:pPr>
      <w:numPr>
        <w:numId w:val="13"/>
      </w:numPr>
    </w:pPr>
    <w:rPr>
      <w:rFonts w:eastAsia="Times New Roman"/>
      <w:lang w:eastAsia="en-GB"/>
    </w:rPr>
  </w:style>
  <w:style w:type="paragraph" w:styleId="ListNumber3">
    <w:name w:val="List Number 3"/>
    <w:basedOn w:val="Normal"/>
    <w:rsid w:val="007F065E"/>
    <w:pPr>
      <w:numPr>
        <w:numId w:val="14"/>
      </w:numPr>
    </w:pPr>
    <w:rPr>
      <w:rFonts w:eastAsia="Times New Roman"/>
      <w:lang w:eastAsia="en-GB"/>
    </w:rPr>
  </w:style>
  <w:style w:type="paragraph" w:styleId="ListNumber4">
    <w:name w:val="List Number 4"/>
    <w:basedOn w:val="Normal"/>
    <w:rsid w:val="007F065E"/>
    <w:pPr>
      <w:numPr>
        <w:numId w:val="15"/>
      </w:numPr>
    </w:pPr>
    <w:rPr>
      <w:rFonts w:eastAsia="Times New Roman"/>
      <w:lang w:eastAsia="en-GB"/>
    </w:rPr>
  </w:style>
  <w:style w:type="paragraph" w:customStyle="1" w:styleId="ListDash3">
    <w:name w:val="List Dash 3"/>
    <w:basedOn w:val="Normal"/>
    <w:rsid w:val="007F065E"/>
    <w:pPr>
      <w:numPr>
        <w:numId w:val="10"/>
      </w:numPr>
    </w:pPr>
    <w:rPr>
      <w:rFonts w:eastAsia="Times New Roman"/>
      <w:lang w:eastAsia="en-GB"/>
    </w:rPr>
  </w:style>
  <w:style w:type="paragraph" w:customStyle="1" w:styleId="ListDash4">
    <w:name w:val="List Dash 4"/>
    <w:basedOn w:val="Normal"/>
    <w:rsid w:val="007F065E"/>
    <w:pPr>
      <w:numPr>
        <w:numId w:val="11"/>
      </w:numPr>
    </w:pPr>
    <w:rPr>
      <w:rFonts w:eastAsia="Times New Roman"/>
      <w:lang w:eastAsia="en-GB"/>
    </w:rPr>
  </w:style>
  <w:style w:type="paragraph" w:customStyle="1" w:styleId="ListNumber1">
    <w:name w:val="List Number 1"/>
    <w:basedOn w:val="Text1"/>
    <w:rsid w:val="007F065E"/>
    <w:pPr>
      <w:numPr>
        <w:numId w:val="12"/>
      </w:numPr>
    </w:pPr>
    <w:rPr>
      <w:rFonts w:eastAsia="Times New Roman"/>
      <w:lang w:eastAsia="en-GB"/>
    </w:rPr>
  </w:style>
  <w:style w:type="paragraph" w:customStyle="1" w:styleId="ListNumber1Level2">
    <w:name w:val="List Number 1 (Level 2)"/>
    <w:basedOn w:val="Text1"/>
    <w:rsid w:val="007F065E"/>
    <w:pPr>
      <w:numPr>
        <w:ilvl w:val="1"/>
        <w:numId w:val="12"/>
      </w:numPr>
    </w:pPr>
    <w:rPr>
      <w:rFonts w:eastAsia="Times New Roman"/>
      <w:lang w:eastAsia="en-GB"/>
    </w:rPr>
  </w:style>
  <w:style w:type="paragraph" w:customStyle="1" w:styleId="ListNumber2Level2">
    <w:name w:val="List Number 2 (Level 2)"/>
    <w:basedOn w:val="Text2"/>
    <w:rsid w:val="007F065E"/>
    <w:pPr>
      <w:numPr>
        <w:ilvl w:val="1"/>
        <w:numId w:val="13"/>
      </w:numPr>
    </w:pPr>
    <w:rPr>
      <w:rFonts w:eastAsia="Times New Roman"/>
      <w:lang w:eastAsia="en-GB"/>
    </w:rPr>
  </w:style>
  <w:style w:type="paragraph" w:customStyle="1" w:styleId="ListNumber3Level2">
    <w:name w:val="List Number 3 (Level 2)"/>
    <w:basedOn w:val="Text3"/>
    <w:rsid w:val="007F065E"/>
    <w:pPr>
      <w:numPr>
        <w:ilvl w:val="1"/>
        <w:numId w:val="14"/>
      </w:numPr>
    </w:pPr>
    <w:rPr>
      <w:rFonts w:eastAsia="Times New Roman"/>
      <w:lang w:eastAsia="en-GB"/>
    </w:rPr>
  </w:style>
  <w:style w:type="paragraph" w:customStyle="1" w:styleId="ListNumber4Level2">
    <w:name w:val="List Number 4 (Level 2)"/>
    <w:basedOn w:val="Text4"/>
    <w:rsid w:val="007F065E"/>
    <w:pPr>
      <w:numPr>
        <w:ilvl w:val="1"/>
        <w:numId w:val="15"/>
      </w:numPr>
    </w:pPr>
    <w:rPr>
      <w:rFonts w:eastAsia="Times New Roman"/>
      <w:lang w:eastAsia="en-GB"/>
    </w:rPr>
  </w:style>
  <w:style w:type="paragraph" w:customStyle="1" w:styleId="ListNumber1Level3">
    <w:name w:val="List Number 1 (Level 3)"/>
    <w:basedOn w:val="Text1"/>
    <w:rsid w:val="007F065E"/>
    <w:pPr>
      <w:numPr>
        <w:ilvl w:val="2"/>
        <w:numId w:val="12"/>
      </w:numPr>
    </w:pPr>
    <w:rPr>
      <w:rFonts w:eastAsia="Times New Roman"/>
      <w:lang w:eastAsia="en-GB"/>
    </w:rPr>
  </w:style>
  <w:style w:type="paragraph" w:customStyle="1" w:styleId="ListNumber2Level3">
    <w:name w:val="List Number 2 (Level 3)"/>
    <w:basedOn w:val="Text2"/>
    <w:rsid w:val="007F065E"/>
    <w:pPr>
      <w:numPr>
        <w:ilvl w:val="2"/>
        <w:numId w:val="13"/>
      </w:numPr>
    </w:pPr>
    <w:rPr>
      <w:rFonts w:eastAsia="Times New Roman"/>
      <w:lang w:eastAsia="en-GB"/>
    </w:rPr>
  </w:style>
  <w:style w:type="paragraph" w:customStyle="1" w:styleId="ListNumber3Level3">
    <w:name w:val="List Number 3 (Level 3)"/>
    <w:basedOn w:val="Text3"/>
    <w:rsid w:val="007F065E"/>
    <w:pPr>
      <w:numPr>
        <w:ilvl w:val="2"/>
        <w:numId w:val="14"/>
      </w:numPr>
    </w:pPr>
    <w:rPr>
      <w:rFonts w:eastAsia="Times New Roman"/>
      <w:lang w:eastAsia="en-GB"/>
    </w:rPr>
  </w:style>
  <w:style w:type="paragraph" w:customStyle="1" w:styleId="ListNumber4Level3">
    <w:name w:val="List Number 4 (Level 3)"/>
    <w:basedOn w:val="Text4"/>
    <w:rsid w:val="007F065E"/>
    <w:pPr>
      <w:numPr>
        <w:ilvl w:val="2"/>
        <w:numId w:val="15"/>
      </w:numPr>
    </w:pPr>
    <w:rPr>
      <w:rFonts w:eastAsia="Times New Roman"/>
      <w:lang w:eastAsia="en-GB"/>
    </w:rPr>
  </w:style>
  <w:style w:type="paragraph" w:customStyle="1" w:styleId="ListNumber1Level4">
    <w:name w:val="List Number 1 (Level 4)"/>
    <w:basedOn w:val="Text1"/>
    <w:rsid w:val="007F065E"/>
    <w:pPr>
      <w:numPr>
        <w:ilvl w:val="3"/>
        <w:numId w:val="12"/>
      </w:numPr>
    </w:pPr>
    <w:rPr>
      <w:rFonts w:eastAsia="Times New Roman"/>
      <w:lang w:eastAsia="en-GB"/>
    </w:rPr>
  </w:style>
  <w:style w:type="paragraph" w:customStyle="1" w:styleId="ListNumber2Level4">
    <w:name w:val="List Number 2 (Level 4)"/>
    <w:basedOn w:val="Text2"/>
    <w:rsid w:val="007F065E"/>
    <w:pPr>
      <w:numPr>
        <w:ilvl w:val="3"/>
        <w:numId w:val="13"/>
      </w:numPr>
    </w:pPr>
    <w:rPr>
      <w:rFonts w:eastAsia="Times New Roman"/>
      <w:lang w:eastAsia="en-GB"/>
    </w:rPr>
  </w:style>
  <w:style w:type="paragraph" w:customStyle="1" w:styleId="ListNumber3Level4">
    <w:name w:val="List Number 3 (Level 4)"/>
    <w:basedOn w:val="Text3"/>
    <w:rsid w:val="007F065E"/>
    <w:pPr>
      <w:numPr>
        <w:ilvl w:val="3"/>
        <w:numId w:val="14"/>
      </w:numPr>
    </w:pPr>
    <w:rPr>
      <w:rFonts w:eastAsia="Times New Roman"/>
      <w:lang w:eastAsia="en-GB"/>
    </w:rPr>
  </w:style>
  <w:style w:type="paragraph" w:customStyle="1" w:styleId="ListNumber4Level4">
    <w:name w:val="List Number 4 (Level 4)"/>
    <w:basedOn w:val="Text4"/>
    <w:rsid w:val="007F065E"/>
    <w:pPr>
      <w:numPr>
        <w:ilvl w:val="3"/>
        <w:numId w:val="15"/>
      </w:numPr>
    </w:pPr>
    <w:rPr>
      <w:rFonts w:eastAsia="Times New Roman"/>
      <w:lang w:eastAsia="en-GB"/>
    </w:rPr>
  </w:style>
  <w:style w:type="paragraph" w:customStyle="1" w:styleId="Annexetitreacte">
    <w:name w:val="Annexe titre (acte)"/>
    <w:basedOn w:val="Normal"/>
    <w:next w:val="Normal"/>
    <w:rsid w:val="007F065E"/>
    <w:pPr>
      <w:jc w:val="center"/>
    </w:pPr>
    <w:rPr>
      <w:rFonts w:eastAsia="Times New Roman"/>
      <w:b/>
      <w:u w:val="single"/>
      <w:lang w:eastAsia="en-GB"/>
    </w:rPr>
  </w:style>
  <w:style w:type="paragraph" w:customStyle="1" w:styleId="Annexetitreexposglobal">
    <w:name w:val="Annexe titre (exposé global)"/>
    <w:basedOn w:val="Normal"/>
    <w:next w:val="Normal"/>
    <w:rsid w:val="007F065E"/>
    <w:pPr>
      <w:jc w:val="center"/>
    </w:pPr>
    <w:rPr>
      <w:rFonts w:eastAsia="Times New Roman"/>
      <w:b/>
      <w:u w:val="single"/>
      <w:lang w:eastAsia="en-GB"/>
    </w:rPr>
  </w:style>
  <w:style w:type="paragraph" w:customStyle="1" w:styleId="Annexetitrefichefinacte">
    <w:name w:val="Annexe titre (fiche fin. acte)"/>
    <w:basedOn w:val="Normal"/>
    <w:next w:val="Normal"/>
    <w:rsid w:val="007F065E"/>
    <w:pPr>
      <w:jc w:val="center"/>
    </w:pPr>
    <w:rPr>
      <w:rFonts w:eastAsia="Times New Roman"/>
      <w:b/>
      <w:u w:val="single"/>
      <w:lang w:eastAsia="en-GB"/>
    </w:rPr>
  </w:style>
  <w:style w:type="paragraph" w:customStyle="1" w:styleId="Annexetitrefichefinglobale">
    <w:name w:val="Annexe titre (fiche fin. globale)"/>
    <w:basedOn w:val="Normal"/>
    <w:next w:val="Normal"/>
    <w:rsid w:val="007F065E"/>
    <w:pPr>
      <w:jc w:val="center"/>
    </w:pPr>
    <w:rPr>
      <w:rFonts w:eastAsia="Times New Roman"/>
      <w:b/>
      <w:u w:val="single"/>
      <w:lang w:eastAsia="en-GB"/>
    </w:rPr>
  </w:style>
  <w:style w:type="paragraph" w:customStyle="1" w:styleId="Annexetitreglobale">
    <w:name w:val="Annexe titre (globale)"/>
    <w:basedOn w:val="Normal"/>
    <w:next w:val="Normal"/>
    <w:rsid w:val="007F065E"/>
    <w:pPr>
      <w:jc w:val="center"/>
    </w:pPr>
    <w:rPr>
      <w:rFonts w:eastAsia="Times New Roman"/>
      <w:b/>
      <w:u w:val="single"/>
      <w:lang w:eastAsia="en-GB"/>
    </w:rPr>
  </w:style>
  <w:style w:type="paragraph" w:customStyle="1" w:styleId="Exposdesmotifstitreglobal">
    <w:name w:val="Exposé des motifs titre (global)"/>
    <w:basedOn w:val="Normal"/>
    <w:next w:val="Normal"/>
    <w:rsid w:val="007F065E"/>
    <w:pPr>
      <w:jc w:val="center"/>
    </w:pPr>
    <w:rPr>
      <w:rFonts w:eastAsia="Times New Roman"/>
      <w:b/>
      <w:u w:val="single"/>
      <w:lang w:eastAsia="en-GB"/>
    </w:rPr>
  </w:style>
  <w:style w:type="paragraph" w:customStyle="1" w:styleId="Langueoriginale">
    <w:name w:val="Langue originale"/>
    <w:basedOn w:val="Normal"/>
    <w:rsid w:val="007F065E"/>
    <w:pPr>
      <w:spacing w:before="360"/>
      <w:jc w:val="center"/>
    </w:pPr>
    <w:rPr>
      <w:rFonts w:eastAsia="Times New Roman"/>
      <w:caps/>
      <w:lang w:eastAsia="en-GB"/>
    </w:rPr>
  </w:style>
  <w:style w:type="paragraph" w:customStyle="1" w:styleId="Phrasefinale">
    <w:name w:val="Phrase finale"/>
    <w:basedOn w:val="Normal"/>
    <w:next w:val="Normal"/>
    <w:rsid w:val="007F065E"/>
    <w:pPr>
      <w:spacing w:before="360" w:after="0"/>
      <w:jc w:val="center"/>
    </w:pPr>
    <w:rPr>
      <w:rFonts w:eastAsia="Times New Roman"/>
      <w:lang w:eastAsia="en-GB"/>
    </w:rPr>
  </w:style>
  <w:style w:type="paragraph" w:customStyle="1" w:styleId="Prliminairetitre">
    <w:name w:val="Préliminaire titre"/>
    <w:basedOn w:val="Normal"/>
    <w:next w:val="Normal"/>
    <w:rsid w:val="007F065E"/>
    <w:pPr>
      <w:spacing w:before="360" w:after="360"/>
      <w:jc w:val="center"/>
    </w:pPr>
    <w:rPr>
      <w:rFonts w:eastAsia="Times New Roman"/>
      <w:b/>
      <w:lang w:eastAsia="en-GB"/>
    </w:rPr>
  </w:style>
  <w:style w:type="paragraph" w:customStyle="1" w:styleId="Prliminairetype">
    <w:name w:val="Préliminaire type"/>
    <w:basedOn w:val="Normal"/>
    <w:next w:val="Normal"/>
    <w:rsid w:val="007F065E"/>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7F065E"/>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7F065E"/>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7F065E"/>
    <w:pPr>
      <w:spacing w:before="0" w:after="0"/>
      <w:ind w:left="5103"/>
      <w:jc w:val="left"/>
    </w:pPr>
    <w:rPr>
      <w:rFonts w:eastAsia="Times New Roman"/>
      <w:lang w:eastAsia="en-GB"/>
    </w:rPr>
  </w:style>
  <w:style w:type="paragraph" w:customStyle="1" w:styleId="Sous-titreobjetprliminaire">
    <w:name w:val="Sous-titre objet (préliminaire)"/>
    <w:basedOn w:val="Normal"/>
    <w:rsid w:val="007F065E"/>
    <w:pPr>
      <w:spacing w:before="0" w:after="0"/>
      <w:jc w:val="center"/>
    </w:pPr>
    <w:rPr>
      <w:rFonts w:eastAsia="Times New Roman"/>
      <w:b/>
      <w:lang w:eastAsia="en-GB"/>
    </w:rPr>
  </w:style>
  <w:style w:type="paragraph" w:customStyle="1" w:styleId="Statutprliminaire">
    <w:name w:val="Statut (préliminaire)"/>
    <w:basedOn w:val="Normal"/>
    <w:next w:val="Normal"/>
    <w:rsid w:val="007F065E"/>
    <w:pPr>
      <w:spacing w:before="360" w:after="0"/>
      <w:jc w:val="center"/>
    </w:pPr>
    <w:rPr>
      <w:rFonts w:eastAsia="Times New Roman"/>
      <w:lang w:eastAsia="en-GB"/>
    </w:rPr>
  </w:style>
  <w:style w:type="paragraph" w:customStyle="1" w:styleId="Titreobjetprliminaire">
    <w:name w:val="Titre objet (préliminaire)"/>
    <w:basedOn w:val="Normal"/>
    <w:next w:val="Normal"/>
    <w:rsid w:val="007F065E"/>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7F065E"/>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7F065E"/>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7F065E"/>
    <w:pPr>
      <w:jc w:val="center"/>
    </w:pPr>
    <w:rPr>
      <w:rFonts w:eastAsia="Times New Roman"/>
      <w:b/>
      <w:u w:val="single"/>
      <w:lang w:eastAsia="en-GB"/>
    </w:rPr>
  </w:style>
  <w:style w:type="paragraph" w:customStyle="1" w:styleId="Fichefinanciretravailtitre">
    <w:name w:val="Fiche financière (travail) titre"/>
    <w:basedOn w:val="Normal"/>
    <w:next w:val="Normal"/>
    <w:rsid w:val="007F065E"/>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7F065E"/>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7F065E"/>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7F065E"/>
    <w:pPr>
      <w:jc w:val="center"/>
    </w:pPr>
    <w:rPr>
      <w:rFonts w:eastAsia="Times New Roman"/>
      <w:b/>
      <w:u w:val="single"/>
      <w:lang w:eastAsia="en-GB"/>
    </w:rPr>
  </w:style>
  <w:style w:type="character" w:styleId="CommentReference">
    <w:name w:val="annotation reference"/>
    <w:uiPriority w:val="99"/>
    <w:rsid w:val="007F065E"/>
    <w:rPr>
      <w:rFonts w:cs="Times New Roman"/>
      <w:sz w:val="16"/>
      <w:szCs w:val="16"/>
    </w:rPr>
  </w:style>
  <w:style w:type="paragraph" w:styleId="CommentText">
    <w:name w:val="annotation text"/>
    <w:aliases w:val="Char2"/>
    <w:basedOn w:val="Normal"/>
    <w:link w:val="CommentTextChar"/>
    <w:uiPriority w:val="99"/>
    <w:rsid w:val="007F065E"/>
    <w:rPr>
      <w:rFonts w:eastAsia="Times New Roman"/>
      <w:sz w:val="20"/>
      <w:szCs w:val="20"/>
      <w:lang w:eastAsia="en-GB"/>
    </w:rPr>
  </w:style>
  <w:style w:type="character" w:customStyle="1" w:styleId="CommentTextChar">
    <w:name w:val="Comment Text Char"/>
    <w:aliases w:val="Char2 Char"/>
    <w:basedOn w:val="DefaultParagraphFont"/>
    <w:link w:val="CommentText"/>
    <w:uiPriority w:val="99"/>
    <w:rsid w:val="007F065E"/>
    <w:rPr>
      <w:rFonts w:ascii="Times New Roman" w:eastAsia="Times New Roman" w:hAnsi="Times New Roman" w:cs="Times New Roman"/>
      <w:sz w:val="20"/>
      <w:szCs w:val="20"/>
      <w:lang w:val="cs-CZ" w:eastAsia="en-GB"/>
    </w:rPr>
  </w:style>
  <w:style w:type="paragraph" w:styleId="CommentSubject">
    <w:name w:val="annotation subject"/>
    <w:basedOn w:val="CommentText"/>
    <w:next w:val="CommentText"/>
    <w:link w:val="CommentSubjectChar"/>
    <w:uiPriority w:val="99"/>
    <w:rsid w:val="007F065E"/>
    <w:rPr>
      <w:b/>
      <w:bCs/>
    </w:rPr>
  </w:style>
  <w:style w:type="character" w:customStyle="1" w:styleId="CommentSubjectChar">
    <w:name w:val="Comment Subject Char"/>
    <w:basedOn w:val="CommentTextChar"/>
    <w:link w:val="CommentSubject"/>
    <w:uiPriority w:val="99"/>
    <w:rsid w:val="007F065E"/>
    <w:rPr>
      <w:rFonts w:ascii="Times New Roman" w:eastAsia="Times New Roman" w:hAnsi="Times New Roman" w:cs="Times New Roman"/>
      <w:b/>
      <w:bCs/>
      <w:sz w:val="20"/>
      <w:szCs w:val="20"/>
      <w:lang w:val="cs-CZ" w:eastAsia="en-GB"/>
    </w:rPr>
  </w:style>
  <w:style w:type="paragraph" w:styleId="BalloonText">
    <w:name w:val="Balloon Text"/>
    <w:basedOn w:val="Normal"/>
    <w:link w:val="BalloonTextChar"/>
    <w:uiPriority w:val="99"/>
    <w:rsid w:val="007F065E"/>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rsid w:val="007F065E"/>
    <w:rPr>
      <w:rFonts w:ascii="Tahoma" w:eastAsia="Times New Roman" w:hAnsi="Tahoma" w:cs="Tahoma"/>
      <w:sz w:val="16"/>
      <w:szCs w:val="16"/>
      <w:lang w:val="cs-CZ" w:eastAsia="en-GB"/>
    </w:rPr>
  </w:style>
  <w:style w:type="paragraph" w:styleId="Caption">
    <w:name w:val="caption"/>
    <w:basedOn w:val="Normal"/>
    <w:next w:val="Normal"/>
    <w:uiPriority w:val="29"/>
    <w:qFormat/>
    <w:rsid w:val="007F065E"/>
    <w:rPr>
      <w:rFonts w:eastAsia="Times New Roman"/>
      <w:b/>
      <w:bCs/>
      <w:sz w:val="20"/>
      <w:szCs w:val="20"/>
      <w:lang w:eastAsia="en-GB"/>
    </w:rPr>
  </w:style>
  <w:style w:type="paragraph" w:styleId="TableofFigures">
    <w:name w:val="table of figures"/>
    <w:basedOn w:val="Normal"/>
    <w:next w:val="Normal"/>
    <w:rsid w:val="007F065E"/>
    <w:rPr>
      <w:rFonts w:eastAsia="Times New Roman"/>
      <w:lang w:eastAsia="en-GB"/>
    </w:rPr>
  </w:style>
  <w:style w:type="character" w:styleId="PageNumber">
    <w:name w:val="page number"/>
    <w:rsid w:val="007F065E"/>
  </w:style>
  <w:style w:type="character" w:customStyle="1" w:styleId="tw4winMark">
    <w:name w:val="tw4winMark"/>
    <w:rsid w:val="007F065E"/>
    <w:rPr>
      <w:vanish/>
      <w:color w:val="800080"/>
      <w:vertAlign w:val="subscript"/>
    </w:rPr>
  </w:style>
  <w:style w:type="character" w:styleId="FollowedHyperlink">
    <w:name w:val="FollowedHyperlink"/>
    <w:uiPriority w:val="99"/>
    <w:rsid w:val="007F065E"/>
    <w:rPr>
      <w:color w:val="800080"/>
      <w:u w:val="single"/>
    </w:rPr>
  </w:style>
  <w:style w:type="paragraph" w:customStyle="1" w:styleId="Sous-titreobjet">
    <w:name w:val="Sous-titre objet"/>
    <w:basedOn w:val="Normal"/>
    <w:rsid w:val="007F065E"/>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7F065E"/>
  </w:style>
  <w:style w:type="paragraph" w:styleId="Revision">
    <w:name w:val="Revision"/>
    <w:hidden/>
    <w:uiPriority w:val="99"/>
    <w:semiHidden/>
    <w:rsid w:val="007F065E"/>
    <w:rPr>
      <w:rFonts w:ascii="Calibri" w:eastAsia="Calibri" w:hAnsi="Calibri" w:cs="Times New Roman"/>
      <w:sz w:val="24"/>
      <w:lang w:eastAsia="en-GB"/>
    </w:rPr>
  </w:style>
  <w:style w:type="paragraph" w:customStyle="1" w:styleId="FooterCoverPage">
    <w:name w:val="Footer Cover Page"/>
    <w:basedOn w:val="Normal"/>
    <w:link w:val="FooterCoverPageChar"/>
    <w:rsid w:val="007F065E"/>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7F065E"/>
    <w:rPr>
      <w:rFonts w:ascii="Times New Roman" w:hAnsi="Times New Roman" w:cs="Times New Roman"/>
      <w:b/>
      <w:sz w:val="28"/>
      <w:lang w:val="cs-CZ"/>
    </w:rPr>
  </w:style>
  <w:style w:type="character" w:customStyle="1" w:styleId="FooterCoverPageChar">
    <w:name w:val="Footer Cover Page Char"/>
    <w:link w:val="FooterCoverPage"/>
    <w:rsid w:val="007F065E"/>
    <w:rPr>
      <w:rFonts w:ascii="Times New Roman" w:eastAsia="Calibri" w:hAnsi="Times New Roman" w:cs="Times New Roman"/>
      <w:sz w:val="24"/>
      <w:lang w:val="cs-CZ" w:eastAsia="en-GB"/>
    </w:rPr>
  </w:style>
  <w:style w:type="paragraph" w:customStyle="1" w:styleId="HeaderCoverPage">
    <w:name w:val="Header Cover Page"/>
    <w:basedOn w:val="Normal"/>
    <w:link w:val="HeaderCoverPageChar"/>
    <w:rsid w:val="007F065E"/>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7F065E"/>
    <w:rPr>
      <w:rFonts w:ascii="Times New Roman" w:eastAsia="Calibri" w:hAnsi="Times New Roman" w:cs="Times New Roman"/>
      <w:sz w:val="24"/>
      <w:lang w:val="cs-CZ" w:eastAsia="en-GB"/>
    </w:rPr>
  </w:style>
  <w:style w:type="paragraph" w:styleId="ListParagraph">
    <w:name w:val="List Paragraph"/>
    <w:basedOn w:val="Normal"/>
    <w:uiPriority w:val="34"/>
    <w:qFormat/>
    <w:rsid w:val="0076517D"/>
    <w:pPr>
      <w:ind w:left="720"/>
      <w:contextualSpacing/>
    </w:pPr>
  </w:style>
  <w:style w:type="character" w:styleId="Emphasis">
    <w:name w:val="Emphasis"/>
    <w:basedOn w:val="DefaultParagraphFont"/>
    <w:uiPriority w:val="20"/>
    <w:qFormat/>
    <w:rsid w:val="0037357C"/>
    <w:rPr>
      <w:i/>
      <w:iCs/>
    </w:rPr>
  </w:style>
  <w:style w:type="paragraph" w:styleId="NormalWeb">
    <w:name w:val="Normal (Web)"/>
    <w:basedOn w:val="Normal"/>
    <w:uiPriority w:val="99"/>
    <w:unhideWhenUsed/>
    <w:rsid w:val="004E72FF"/>
    <w:pPr>
      <w:spacing w:before="100" w:beforeAutospacing="1" w:after="100" w:afterAutospacing="1"/>
      <w:jc w:val="left"/>
    </w:pPr>
    <w:rPr>
      <w:rFonts w:eastAsia="Times New Roman"/>
      <w:szCs w:val="24"/>
      <w:lang w:eastAsia="en-GB"/>
    </w:rPr>
  </w:style>
  <w:style w:type="paragraph" w:customStyle="1" w:styleId="Default">
    <w:name w:val="Default"/>
    <w:rsid w:val="004E72FF"/>
    <w:pPr>
      <w:autoSpaceDE w:val="0"/>
      <w:autoSpaceDN w:val="0"/>
      <w:adjustRightInd w:val="0"/>
      <w:spacing w:after="0" w:line="240" w:lineRule="auto"/>
    </w:pPr>
    <w:rPr>
      <w:rFonts w:ascii="EUAlbertina" w:hAnsi="EUAlbertina" w:cs="EUAlbertina"/>
      <w:color w:val="000000"/>
      <w:sz w:val="24"/>
      <w:szCs w:val="24"/>
    </w:rPr>
  </w:style>
  <w:style w:type="paragraph" w:customStyle="1" w:styleId="doc-ti">
    <w:name w:val="doc-ti"/>
    <w:basedOn w:val="Normal"/>
    <w:rsid w:val="009D4337"/>
    <w:pPr>
      <w:spacing w:before="100" w:beforeAutospacing="1" w:after="100" w:afterAutospacing="1"/>
      <w:jc w:val="left"/>
    </w:pPr>
    <w:rPr>
      <w:rFonts w:eastAsia="Times New Roman"/>
      <w:szCs w:val="24"/>
      <w:lang w:eastAsia="en-GB"/>
    </w:rPr>
  </w:style>
  <w:style w:type="paragraph" w:customStyle="1" w:styleId="Normal2">
    <w:name w:val="Normal2"/>
    <w:basedOn w:val="Normal"/>
    <w:rsid w:val="009D4337"/>
    <w:pPr>
      <w:spacing w:before="100" w:beforeAutospacing="1" w:after="100" w:afterAutospacing="1"/>
      <w:jc w:val="left"/>
    </w:pPr>
    <w:rPr>
      <w:rFonts w:eastAsia="Times New Roman"/>
      <w:szCs w:val="24"/>
      <w:lang w:eastAsia="en-GB"/>
    </w:rPr>
  </w:style>
  <w:style w:type="paragraph" w:customStyle="1" w:styleId="Normal1">
    <w:name w:val="Normal1"/>
    <w:basedOn w:val="Normal"/>
    <w:rsid w:val="009D4337"/>
    <w:pPr>
      <w:spacing w:before="100" w:beforeAutospacing="1" w:after="100" w:afterAutospacing="1"/>
      <w:jc w:val="left"/>
    </w:pPr>
    <w:rPr>
      <w:rFonts w:eastAsia="Times New Roman"/>
      <w:szCs w:val="24"/>
      <w:lang w:eastAsia="en-GB"/>
    </w:rPr>
  </w:style>
  <w:style w:type="character" w:styleId="PlaceholderText">
    <w:name w:val="Placeholder Text"/>
    <w:basedOn w:val="DefaultParagraphFont"/>
    <w:uiPriority w:val="99"/>
    <w:semiHidden/>
    <w:rsid w:val="009D4337"/>
    <w:rPr>
      <w:color w:val="808080"/>
    </w:rPr>
  </w:style>
  <w:style w:type="paragraph" w:styleId="Date">
    <w:name w:val="Date"/>
    <w:basedOn w:val="Normal"/>
    <w:next w:val="Normal"/>
    <w:link w:val="DateChar"/>
    <w:uiPriority w:val="99"/>
    <w:rsid w:val="009D4337"/>
    <w:pPr>
      <w:spacing w:before="0" w:after="0"/>
      <w:ind w:left="5103" w:right="-567"/>
      <w:jc w:val="left"/>
    </w:pPr>
    <w:rPr>
      <w:rFonts w:eastAsia="Times New Roman"/>
      <w:szCs w:val="20"/>
    </w:rPr>
  </w:style>
  <w:style w:type="character" w:customStyle="1" w:styleId="DateChar">
    <w:name w:val="Date Char"/>
    <w:basedOn w:val="DefaultParagraphFont"/>
    <w:link w:val="Date"/>
    <w:uiPriority w:val="99"/>
    <w:rsid w:val="009D4337"/>
    <w:rPr>
      <w:rFonts w:ascii="Times New Roman" w:eastAsia="Times New Roman" w:hAnsi="Times New Roman" w:cs="Times New Roman"/>
      <w:sz w:val="24"/>
      <w:szCs w:val="20"/>
      <w:lang w:val="cs-CZ"/>
    </w:rPr>
  </w:style>
  <w:style w:type="paragraph" w:customStyle="1" w:styleId="ZCom">
    <w:name w:val="Z_Com"/>
    <w:basedOn w:val="Normal"/>
    <w:next w:val="ZDGName"/>
    <w:uiPriority w:val="99"/>
    <w:rsid w:val="009D4337"/>
    <w:pPr>
      <w:widowControl w:val="0"/>
      <w:autoSpaceDE w:val="0"/>
      <w:autoSpaceDN w:val="0"/>
      <w:spacing w:before="0" w:after="0"/>
      <w:ind w:right="85"/>
    </w:pPr>
    <w:rPr>
      <w:rFonts w:ascii="Arial" w:eastAsia="Times New Roman" w:hAnsi="Arial" w:cs="Arial"/>
      <w:szCs w:val="24"/>
      <w:lang w:eastAsia="en-GB"/>
    </w:rPr>
  </w:style>
  <w:style w:type="paragraph" w:customStyle="1" w:styleId="ZDGName">
    <w:name w:val="Z_DGName"/>
    <w:basedOn w:val="Normal"/>
    <w:uiPriority w:val="99"/>
    <w:rsid w:val="009D4337"/>
    <w:pPr>
      <w:widowControl w:val="0"/>
      <w:autoSpaceDE w:val="0"/>
      <w:autoSpaceDN w:val="0"/>
      <w:spacing w:before="0" w:after="0"/>
      <w:ind w:right="85"/>
      <w:jc w:val="left"/>
    </w:pPr>
    <w:rPr>
      <w:rFonts w:ascii="Arial" w:eastAsia="Times New Roman" w:hAnsi="Arial" w:cs="Arial"/>
      <w:sz w:val="16"/>
      <w:szCs w:val="16"/>
      <w:lang w:eastAsia="en-GB"/>
    </w:rPr>
  </w:style>
  <w:style w:type="character" w:customStyle="1" w:styleId="Heading10">
    <w:name w:val="Heading #1_"/>
    <w:link w:val="Heading11"/>
    <w:rsid w:val="009D4337"/>
    <w:rPr>
      <w:rFonts w:ascii="Arial" w:eastAsia="Arial" w:hAnsi="Arial" w:cs="Arial"/>
      <w:b/>
      <w:bCs/>
      <w:sz w:val="26"/>
      <w:szCs w:val="26"/>
      <w:shd w:val="clear" w:color="auto" w:fill="FFFFFF"/>
      <w:lang w:val="cs-CZ" w:eastAsia="fr-FR" w:bidi="fr-FR"/>
    </w:rPr>
  </w:style>
  <w:style w:type="paragraph" w:customStyle="1" w:styleId="Heading11">
    <w:name w:val="Heading #1"/>
    <w:basedOn w:val="Normal"/>
    <w:link w:val="Heading10"/>
    <w:rsid w:val="009D4337"/>
    <w:pPr>
      <w:widowControl w:val="0"/>
      <w:shd w:val="clear" w:color="auto" w:fill="FFFFFF"/>
      <w:spacing w:before="8220" w:after="0" w:line="480" w:lineRule="exact"/>
      <w:jc w:val="center"/>
      <w:outlineLvl w:val="0"/>
    </w:pPr>
    <w:rPr>
      <w:rFonts w:ascii="Arial" w:eastAsia="Arial" w:hAnsi="Arial" w:cs="Arial"/>
      <w:b/>
      <w:bCs/>
      <w:sz w:val="26"/>
      <w:szCs w:val="26"/>
      <w:lang w:eastAsia="fr-FR" w:bidi="fr-FR"/>
    </w:rPr>
  </w:style>
  <w:style w:type="paragraph" w:customStyle="1" w:styleId="References">
    <w:name w:val="References"/>
    <w:basedOn w:val="Normal"/>
    <w:next w:val="Normal"/>
    <w:rsid w:val="009D4337"/>
    <w:pPr>
      <w:suppressAutoHyphens/>
      <w:spacing w:before="0" w:after="240"/>
      <w:ind w:left="5103"/>
      <w:jc w:val="left"/>
    </w:pPr>
    <w:rPr>
      <w:rFonts w:eastAsia="Times New Roman"/>
      <w:sz w:val="20"/>
      <w:szCs w:val="20"/>
      <w:lang w:eastAsia="ar-SA"/>
    </w:rPr>
  </w:style>
  <w:style w:type="paragraph" w:customStyle="1" w:styleId="LegalNumPar">
    <w:name w:val="LegalNumPar"/>
    <w:basedOn w:val="Normal"/>
    <w:rsid w:val="009D4337"/>
    <w:pPr>
      <w:numPr>
        <w:numId w:val="18"/>
      </w:numPr>
      <w:spacing w:before="0" w:after="160" w:line="360" w:lineRule="auto"/>
      <w:jc w:val="left"/>
    </w:pPr>
    <w:rPr>
      <w:rFonts w:asciiTheme="minorHAnsi" w:hAnsiTheme="minorHAnsi" w:cstheme="minorBidi"/>
    </w:rPr>
  </w:style>
  <w:style w:type="paragraph" w:customStyle="1" w:styleId="LegalNumPar2">
    <w:name w:val="LegalNumPar2"/>
    <w:basedOn w:val="Normal"/>
    <w:rsid w:val="009D4337"/>
    <w:pPr>
      <w:numPr>
        <w:ilvl w:val="1"/>
        <w:numId w:val="18"/>
      </w:numPr>
      <w:spacing w:before="0" w:after="160" w:line="360" w:lineRule="auto"/>
      <w:jc w:val="left"/>
    </w:pPr>
    <w:rPr>
      <w:rFonts w:asciiTheme="minorHAnsi" w:hAnsiTheme="minorHAnsi" w:cstheme="minorBidi"/>
    </w:rPr>
  </w:style>
  <w:style w:type="paragraph" w:customStyle="1" w:styleId="LegalNumPar3">
    <w:name w:val="LegalNumPar3"/>
    <w:basedOn w:val="Normal"/>
    <w:rsid w:val="009D4337"/>
    <w:pPr>
      <w:numPr>
        <w:ilvl w:val="2"/>
        <w:numId w:val="18"/>
      </w:numPr>
      <w:spacing w:before="0" w:after="160" w:line="360" w:lineRule="auto"/>
      <w:jc w:val="left"/>
    </w:pPr>
    <w:rPr>
      <w:rFonts w:asciiTheme="minorHAnsi" w:hAnsiTheme="minorHAnsi" w:cstheme="minorBidi"/>
    </w:rPr>
  </w:style>
  <w:style w:type="paragraph" w:customStyle="1" w:styleId="AddressTR">
    <w:name w:val="AddressTR"/>
    <w:basedOn w:val="Normal"/>
    <w:next w:val="Normal"/>
    <w:rsid w:val="009D4337"/>
    <w:pPr>
      <w:spacing w:before="0" w:after="720"/>
      <w:ind w:left="5103"/>
      <w:jc w:val="left"/>
    </w:pPr>
    <w:rPr>
      <w:rFonts w:eastAsia="Times New Roman"/>
      <w:szCs w:val="20"/>
    </w:rPr>
  </w:style>
  <w:style w:type="paragraph" w:customStyle="1" w:styleId="ti-art">
    <w:name w:val="ti-art"/>
    <w:basedOn w:val="Normal"/>
    <w:rsid w:val="009D4337"/>
    <w:pPr>
      <w:spacing w:before="100" w:beforeAutospacing="1" w:after="100" w:afterAutospacing="1"/>
      <w:jc w:val="left"/>
    </w:pPr>
    <w:rPr>
      <w:rFonts w:eastAsia="Times New Roman"/>
      <w:szCs w:val="24"/>
      <w:lang w:eastAsia="fr-BE"/>
    </w:rPr>
  </w:style>
  <w:style w:type="paragraph" w:customStyle="1" w:styleId="sti-art">
    <w:name w:val="sti-art"/>
    <w:basedOn w:val="Normal"/>
    <w:rsid w:val="009D4337"/>
    <w:pPr>
      <w:spacing w:before="100" w:beforeAutospacing="1" w:after="100" w:afterAutospacing="1"/>
      <w:jc w:val="left"/>
    </w:pPr>
    <w:rPr>
      <w:rFonts w:eastAsia="Times New Roman"/>
      <w:szCs w:val="24"/>
      <w:lang w:eastAsia="fr-BE"/>
    </w:rPr>
  </w:style>
  <w:style w:type="paragraph" w:customStyle="1" w:styleId="Normal3">
    <w:name w:val="Normal3"/>
    <w:basedOn w:val="Normal"/>
    <w:rsid w:val="009D4337"/>
    <w:pPr>
      <w:spacing w:before="100" w:beforeAutospacing="1" w:after="100" w:afterAutospacing="1"/>
      <w:jc w:val="left"/>
    </w:pPr>
    <w:rPr>
      <w:rFonts w:eastAsia="Times New Roman"/>
      <w:szCs w:val="24"/>
      <w:lang w:eastAsia="fr-BE"/>
    </w:rPr>
  </w:style>
  <w:style w:type="paragraph" w:customStyle="1" w:styleId="Pa8">
    <w:name w:val="Pa8"/>
    <w:basedOn w:val="Normal"/>
    <w:next w:val="Normal"/>
    <w:uiPriority w:val="99"/>
    <w:rsid w:val="009D4337"/>
    <w:pPr>
      <w:autoSpaceDE w:val="0"/>
      <w:autoSpaceDN w:val="0"/>
      <w:adjustRightInd w:val="0"/>
      <w:spacing w:before="0" w:after="0" w:line="221" w:lineRule="atLeast"/>
      <w:jc w:val="left"/>
    </w:pPr>
    <w:rPr>
      <w:rFonts w:ascii="Frutiger 55 Roman" w:hAnsi="Frutiger 55 Roman" w:cstheme="minorBidi"/>
      <w:szCs w:val="24"/>
    </w:rPr>
  </w:style>
  <w:style w:type="character" w:customStyle="1" w:styleId="A5">
    <w:name w:val="A5"/>
    <w:uiPriority w:val="99"/>
    <w:rsid w:val="009D4337"/>
    <w:rPr>
      <w:rFonts w:cs="Frutiger 55 Roman"/>
      <w:color w:val="000000"/>
      <w:sz w:val="20"/>
      <w:szCs w:val="20"/>
    </w:rPr>
  </w:style>
  <w:style w:type="character" w:customStyle="1" w:styleId="A9">
    <w:name w:val="A9"/>
    <w:uiPriority w:val="99"/>
    <w:rsid w:val="009D4337"/>
    <w:rPr>
      <w:rFonts w:cs="Frutiger 55 Roman"/>
      <w:color w:val="000000"/>
      <w:sz w:val="11"/>
      <w:szCs w:val="11"/>
    </w:rPr>
  </w:style>
  <w:style w:type="character" w:customStyle="1" w:styleId="A0">
    <w:name w:val="A0"/>
    <w:uiPriority w:val="99"/>
    <w:rsid w:val="009D4337"/>
    <w:rPr>
      <w:rFonts w:ascii="DIN" w:hAnsi="DIN" w:cs="DIN"/>
      <w:b/>
      <w:bCs/>
      <w:color w:val="000000"/>
      <w:sz w:val="16"/>
      <w:szCs w:val="16"/>
    </w:rPr>
  </w:style>
  <w:style w:type="character" w:customStyle="1" w:styleId="highlight">
    <w:name w:val="highlight"/>
    <w:basedOn w:val="DefaultParagraphFont"/>
    <w:rsid w:val="009D4337"/>
  </w:style>
  <w:style w:type="paragraph" w:customStyle="1" w:styleId="Normal4">
    <w:name w:val="Normal4"/>
    <w:basedOn w:val="Normal"/>
    <w:rsid w:val="009D4337"/>
    <w:pPr>
      <w:spacing w:before="100" w:beforeAutospacing="1" w:after="100" w:afterAutospacing="1"/>
      <w:jc w:val="left"/>
    </w:pPr>
    <w:rPr>
      <w:rFonts w:eastAsia="Times New Roman"/>
      <w:szCs w:val="24"/>
      <w:lang w:eastAsia="en-GB"/>
    </w:rPr>
  </w:style>
  <w:style w:type="paragraph" w:styleId="BodyText">
    <w:name w:val="Body Text"/>
    <w:basedOn w:val="Normal"/>
    <w:link w:val="BodyTextChar"/>
    <w:uiPriority w:val="99"/>
    <w:semiHidden/>
    <w:unhideWhenUsed/>
    <w:rsid w:val="009D4337"/>
    <w:pPr>
      <w:spacing w:before="0" w:line="276" w:lineRule="auto"/>
      <w:jc w:val="left"/>
    </w:pPr>
    <w:rPr>
      <w:rFonts w:asciiTheme="minorHAnsi" w:hAnsiTheme="minorHAnsi" w:cstheme="minorBidi"/>
      <w:sz w:val="22"/>
    </w:rPr>
  </w:style>
  <w:style w:type="character" w:customStyle="1" w:styleId="BodyTextChar">
    <w:name w:val="Body Text Char"/>
    <w:basedOn w:val="DefaultParagraphFont"/>
    <w:link w:val="BodyText"/>
    <w:uiPriority w:val="99"/>
    <w:semiHidden/>
    <w:rsid w:val="009D4337"/>
    <w:rPr>
      <w:lang w:val="cs-CZ"/>
    </w:rPr>
  </w:style>
  <w:style w:type="paragraph" w:styleId="BodyTextFirstIndent">
    <w:name w:val="Body Text First Indent"/>
    <w:basedOn w:val="BodyText"/>
    <w:link w:val="BodyTextFirstIndentChar"/>
    <w:rsid w:val="009D4337"/>
    <w:pPr>
      <w:spacing w:line="240" w:lineRule="auto"/>
      <w:ind w:firstLine="210"/>
      <w:jc w:val="both"/>
    </w:pPr>
    <w:rPr>
      <w:rFonts w:ascii="Times New Roman" w:eastAsia="Times New Roman" w:hAnsi="Times New Roman" w:cs="Times New Roman"/>
      <w:sz w:val="24"/>
      <w:szCs w:val="20"/>
    </w:rPr>
  </w:style>
  <w:style w:type="character" w:customStyle="1" w:styleId="BodyTextFirstIndentChar">
    <w:name w:val="Body Text First Indent Char"/>
    <w:basedOn w:val="BodyTextChar"/>
    <w:link w:val="BodyTextFirstIndent"/>
    <w:rsid w:val="009D4337"/>
    <w:rPr>
      <w:rFonts w:ascii="Times New Roman" w:eastAsia="Times New Roman" w:hAnsi="Times New Roman" w:cs="Times New Roman"/>
      <w:sz w:val="24"/>
      <w:szCs w:val="20"/>
      <w:lang w:val="cs-CZ"/>
    </w:rPr>
  </w:style>
  <w:style w:type="paragraph" w:customStyle="1" w:styleId="Normal5">
    <w:name w:val="Normal5"/>
    <w:basedOn w:val="Normal"/>
    <w:rsid w:val="009D4337"/>
    <w:pPr>
      <w:spacing w:before="100" w:beforeAutospacing="1" w:after="100" w:afterAutospacing="1"/>
      <w:jc w:val="left"/>
    </w:pPr>
    <w:rPr>
      <w:rFonts w:eastAsia="Times New Roman"/>
      <w:szCs w:val="24"/>
    </w:rPr>
  </w:style>
  <w:style w:type="character" w:styleId="Strong">
    <w:name w:val="Strong"/>
    <w:basedOn w:val="DefaultParagraphFont"/>
    <w:uiPriority w:val="22"/>
    <w:qFormat/>
    <w:rsid w:val="009D4337"/>
    <w:rPr>
      <w:b/>
      <w:bCs/>
    </w:rPr>
  </w:style>
  <w:style w:type="paragraph" w:customStyle="1" w:styleId="Normal6">
    <w:name w:val="Normal6"/>
    <w:basedOn w:val="Normal"/>
    <w:rsid w:val="009D4337"/>
    <w:pPr>
      <w:spacing w:before="100" w:beforeAutospacing="1" w:after="100" w:afterAutospacing="1"/>
      <w:jc w:val="left"/>
    </w:pPr>
    <w:rPr>
      <w:rFonts w:eastAsia="Times New Roman"/>
      <w:szCs w:val="24"/>
      <w:lang w:eastAsia="fr-BE"/>
    </w:rPr>
  </w:style>
  <w:style w:type="character" w:customStyle="1" w:styleId="super">
    <w:name w:val="super"/>
    <w:basedOn w:val="DefaultParagraphFont"/>
    <w:rsid w:val="009D4337"/>
  </w:style>
  <w:style w:type="paragraph" w:customStyle="1" w:styleId="Normal7">
    <w:name w:val="Normal7"/>
    <w:basedOn w:val="Normal"/>
    <w:rsid w:val="009D4337"/>
    <w:pPr>
      <w:spacing w:before="100" w:beforeAutospacing="1" w:after="100" w:afterAutospacing="1"/>
      <w:jc w:val="left"/>
    </w:pPr>
    <w:rPr>
      <w:rFonts w:eastAsia="Times New Roman"/>
      <w:szCs w:val="24"/>
      <w:lang w:eastAsia="en-GB"/>
    </w:rPr>
  </w:style>
  <w:style w:type="paragraph" w:customStyle="1" w:styleId="ti-grseq-1">
    <w:name w:val="ti-grseq-1"/>
    <w:basedOn w:val="Normal"/>
    <w:rsid w:val="009D4337"/>
    <w:pPr>
      <w:spacing w:before="100" w:beforeAutospacing="1" w:after="100" w:afterAutospacing="1"/>
      <w:jc w:val="left"/>
    </w:pPr>
    <w:rPr>
      <w:rFonts w:eastAsia="Times New Roman"/>
      <w:szCs w:val="24"/>
      <w:lang w:eastAsia="en-GB"/>
    </w:rPr>
  </w:style>
  <w:style w:type="character" w:customStyle="1" w:styleId="markedcontent">
    <w:name w:val="markedcontent"/>
    <w:basedOn w:val="DefaultParagraphFont"/>
    <w:rsid w:val="009D4337"/>
  </w:style>
  <w:style w:type="paragraph" w:customStyle="1" w:styleId="title-article-norm">
    <w:name w:val="title-article-norm"/>
    <w:basedOn w:val="Normal"/>
    <w:rsid w:val="00DB2C46"/>
    <w:pPr>
      <w:spacing w:before="100" w:beforeAutospacing="1" w:after="100" w:afterAutospacing="1"/>
      <w:jc w:val="left"/>
    </w:pPr>
    <w:rPr>
      <w:rFonts w:eastAsia="Times New Roman"/>
      <w:szCs w:val="24"/>
      <w:lang w:eastAsia="fr-BE"/>
    </w:rPr>
  </w:style>
  <w:style w:type="paragraph" w:customStyle="1" w:styleId="stitle-article-norm">
    <w:name w:val="stitle-article-norm"/>
    <w:basedOn w:val="Normal"/>
    <w:rsid w:val="00DB2C46"/>
    <w:pPr>
      <w:spacing w:before="100" w:beforeAutospacing="1" w:after="100" w:afterAutospacing="1"/>
      <w:jc w:val="left"/>
    </w:pPr>
    <w:rPr>
      <w:rFonts w:eastAsia="Times New Roman"/>
      <w:szCs w:val="24"/>
      <w:lang w:eastAsia="fr-BE"/>
    </w:rPr>
  </w:style>
  <w:style w:type="paragraph" w:styleId="Header">
    <w:name w:val="header"/>
    <w:basedOn w:val="Normal"/>
    <w:link w:val="HeaderChar"/>
    <w:uiPriority w:val="99"/>
    <w:unhideWhenUsed/>
    <w:rsid w:val="009925B6"/>
    <w:pPr>
      <w:tabs>
        <w:tab w:val="center" w:pos="4535"/>
        <w:tab w:val="right" w:pos="9071"/>
      </w:tabs>
      <w:spacing w:before="0"/>
    </w:pPr>
  </w:style>
  <w:style w:type="character" w:customStyle="1" w:styleId="HeaderChar">
    <w:name w:val="Header Char"/>
    <w:basedOn w:val="DefaultParagraphFont"/>
    <w:link w:val="Header"/>
    <w:uiPriority w:val="99"/>
    <w:rsid w:val="009925B6"/>
    <w:rPr>
      <w:rFonts w:ascii="Times New Roman" w:hAnsi="Times New Roman" w:cs="Times New Roman"/>
      <w:sz w:val="24"/>
      <w:lang w:val="cs-CZ"/>
    </w:rPr>
  </w:style>
  <w:style w:type="paragraph" w:styleId="Footer">
    <w:name w:val="footer"/>
    <w:basedOn w:val="Normal"/>
    <w:link w:val="FooterChar"/>
    <w:uiPriority w:val="99"/>
    <w:unhideWhenUsed/>
    <w:rsid w:val="009925B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9925B6"/>
    <w:rPr>
      <w:rFonts w:ascii="Times New Roman" w:hAnsi="Times New Roman" w:cs="Times New Roman"/>
      <w:sz w:val="24"/>
      <w:lang w:val="cs-CZ"/>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cs-CZ"/>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cs-CZ"/>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cs-CZ"/>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cs-CZ"/>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cs-CZ"/>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cs-CZ"/>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cs-CZ"/>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9925B6"/>
    <w:pPr>
      <w:tabs>
        <w:tab w:val="center" w:pos="7285"/>
        <w:tab w:val="right" w:pos="14003"/>
      </w:tabs>
      <w:spacing w:before="0"/>
    </w:pPr>
  </w:style>
  <w:style w:type="paragraph" w:customStyle="1" w:styleId="FooterLandscape">
    <w:name w:val="FooterLandscape"/>
    <w:basedOn w:val="Normal"/>
    <w:rsid w:val="009925B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9925B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925B6"/>
    <w:pPr>
      <w:spacing w:before="0"/>
      <w:jc w:val="right"/>
    </w:pPr>
    <w:rPr>
      <w:sz w:val="28"/>
    </w:rPr>
  </w:style>
  <w:style w:type="paragraph" w:customStyle="1" w:styleId="FooterSensitivity">
    <w:name w:val="Footer Sensitivity"/>
    <w:basedOn w:val="Normal"/>
    <w:rsid w:val="009925B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Tiret5">
    <w:name w:val="Tiret 5"/>
    <w:basedOn w:val="Point5"/>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NumPar5">
    <w:name w:val="NumPar 5"/>
    <w:basedOn w:val="Normal"/>
    <w:next w:val="Text2"/>
    <w:pPr>
      <w:numPr>
        <w:ilvl w:val="4"/>
        <w:numId w:val="42"/>
      </w:numPr>
    </w:pPr>
  </w:style>
  <w:style w:type="paragraph" w:customStyle="1" w:styleId="NumPar6">
    <w:name w:val="NumPar 6"/>
    <w:basedOn w:val="Normal"/>
    <w:next w:val="Text2"/>
    <w:pPr>
      <w:numPr>
        <w:ilvl w:val="5"/>
        <w:numId w:val="42"/>
      </w:numPr>
    </w:pPr>
  </w:style>
  <w:style w:type="paragraph" w:customStyle="1" w:styleId="NumPar7">
    <w:name w:val="NumPar 7"/>
    <w:basedOn w:val="Normal"/>
    <w:next w:val="Text2"/>
    <w:pPr>
      <w:numPr>
        <w:ilvl w:val="6"/>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2E24C2"/>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989965">
      <w:bodyDiv w:val="1"/>
      <w:marLeft w:val="0"/>
      <w:marRight w:val="0"/>
      <w:marTop w:val="0"/>
      <w:marBottom w:val="0"/>
      <w:divBdr>
        <w:top w:val="none" w:sz="0" w:space="0" w:color="auto"/>
        <w:left w:val="none" w:sz="0" w:space="0" w:color="auto"/>
        <w:bottom w:val="none" w:sz="0" w:space="0" w:color="auto"/>
        <w:right w:val="none" w:sz="0" w:space="0" w:color="auto"/>
      </w:divBdr>
    </w:div>
    <w:div w:id="889614744">
      <w:bodyDiv w:val="1"/>
      <w:marLeft w:val="0"/>
      <w:marRight w:val="0"/>
      <w:marTop w:val="0"/>
      <w:marBottom w:val="0"/>
      <w:divBdr>
        <w:top w:val="none" w:sz="0" w:space="0" w:color="auto"/>
        <w:left w:val="none" w:sz="0" w:space="0" w:color="auto"/>
        <w:bottom w:val="none" w:sz="0" w:space="0" w:color="auto"/>
        <w:right w:val="none" w:sz="0" w:space="0" w:color="auto"/>
      </w:divBdr>
    </w:div>
    <w:div w:id="1112824135">
      <w:bodyDiv w:val="1"/>
      <w:marLeft w:val="0"/>
      <w:marRight w:val="0"/>
      <w:marTop w:val="0"/>
      <w:marBottom w:val="0"/>
      <w:divBdr>
        <w:top w:val="none" w:sz="0" w:space="0" w:color="auto"/>
        <w:left w:val="none" w:sz="0" w:space="0" w:color="auto"/>
        <w:bottom w:val="none" w:sz="0" w:space="0" w:color="auto"/>
        <w:right w:val="none" w:sz="0" w:space="0" w:color="auto"/>
      </w:divBdr>
    </w:div>
    <w:div w:id="1268847838">
      <w:bodyDiv w:val="1"/>
      <w:marLeft w:val="0"/>
      <w:marRight w:val="0"/>
      <w:marTop w:val="0"/>
      <w:marBottom w:val="0"/>
      <w:divBdr>
        <w:top w:val="none" w:sz="0" w:space="0" w:color="auto"/>
        <w:left w:val="none" w:sz="0" w:space="0" w:color="auto"/>
        <w:bottom w:val="none" w:sz="0" w:space="0" w:color="auto"/>
        <w:right w:val="none" w:sz="0" w:space="0" w:color="auto"/>
      </w:divBdr>
    </w:div>
    <w:div w:id="183364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s://ec.europa.eu/transparency/expert-groups-register/screen/expert-groups/consult?lang=en&amp;groupID=1552" TargetMode="Externa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ransparency/expert-groups-register/screen/expert-groups/consult?lang=en&amp;groupID=307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yintracomm.ec.europa.eu/budgweb/EN/leg/internal/Documents/2016-5-legislative-financial-statement-ann-en.docx" TargetMode="External"/><Relationship Id="rId23" Type="http://schemas.openxmlformats.org/officeDocument/2006/relationships/footer" Target="footer7.xml"/><Relationship Id="rId10" Type="http://schemas.openxmlformats.org/officeDocument/2006/relationships/hyperlink" Target="https://ec.europa.eu/transparency/expert-groups-register/screen/expert-groups/consult?lang=cs&amp;groupID=1544"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eurostat/documents/13019146/13237859/FINAL+Budapest+memorandum.pdf/96a6db89-1395-44a5-8a46-85e8c49d576c" TargetMode="External"/><Relationship Id="rId13" Type="http://schemas.openxmlformats.org/officeDocument/2006/relationships/hyperlink" Target="https://myintracomm.ec.europa.eu/budgweb/EN/man/budgmanag/Pages/budgmanag.aspx" TargetMode="External"/><Relationship Id="rId3" Type="http://schemas.openxmlformats.org/officeDocument/2006/relationships/hyperlink" Target="http://data.europa.eu/eli/reg/2008/763/oj" TargetMode="External"/><Relationship Id="rId7" Type="http://schemas.openxmlformats.org/officeDocument/2006/relationships/hyperlink" Target="http://data.europa.eu/eli/reg/2019/1700/oj" TargetMode="External"/><Relationship Id="rId12" Type="http://schemas.openxmlformats.org/officeDocument/2006/relationships/hyperlink" Target="http://data.europa.eu/eli/reg/2018/1725/oj" TargetMode="External"/><Relationship Id="rId2" Type="http://schemas.openxmlformats.org/officeDocument/2006/relationships/hyperlink" Target="https://eur-lex.europa.eu/legal-content/EN/ALL/?uri=CELEX:52003DC0179" TargetMode="External"/><Relationship Id="rId1" Type="http://schemas.openxmlformats.org/officeDocument/2006/relationships/hyperlink" Target="http://data.europa.eu/eli/reg/2007/862/oj" TargetMode="External"/><Relationship Id="rId6" Type="http://schemas.openxmlformats.org/officeDocument/2006/relationships/hyperlink" Target="https://ec.europa.eu/commission/presscorner/detail/cs/IP_22_2763" TargetMode="External"/><Relationship Id="rId11" Type="http://schemas.openxmlformats.org/officeDocument/2006/relationships/hyperlink" Target="http://data.europa.eu/eli/reg/2016/679/oj" TargetMode="External"/><Relationship Id="rId5" Type="http://schemas.openxmlformats.org/officeDocument/2006/relationships/hyperlink" Target="https://ec.europa.eu/info/strategy/priorities-2019-2024_cs" TargetMode="External"/><Relationship Id="rId10" Type="http://schemas.openxmlformats.org/officeDocument/2006/relationships/hyperlink" Target="https://ec.europa.eu/transparency/expert-groups-register/screen/home?lang=cs" TargetMode="External"/><Relationship Id="rId4" Type="http://schemas.openxmlformats.org/officeDocument/2006/relationships/hyperlink" Target="http://data.europa.eu/eli/reg/2013/1260/oj" TargetMode="External"/><Relationship Id="rId9" Type="http://schemas.openxmlformats.org/officeDocument/2006/relationships/hyperlink" Target="https://ec.europa.eu/info/law/better-regulation/have-your-say/initiatives/12958-Data-collection-European-statistics-on-population-ESOP-/F_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410C0D3-8B79-44ED-9AD5-DE9E19743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52</Pages>
  <Words>16535</Words>
  <Characters>100372</Characters>
  <Application>Microsoft Office Word</Application>
  <DocSecurity>0</DocSecurity>
  <Lines>2334</Lines>
  <Paragraphs>1034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2023-01-10T16:53:00Z</dcterms:created>
  <dcterms:modified xsi:type="dcterms:W3CDTF">2023-01-16T08:23:00Z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2022-11-27T16:58:31Z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6207110e-fc0b-48b9-b5de-e47b88777917</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Category">
    <vt:lpwstr>COM/PL/ORG</vt:lpwstr>
  </property>
  <property fmtid="{D5CDD505-2E9C-101B-9397-08002B2CF9AE}" pid="11" name="Last edited using">
    <vt:lpwstr>LW 8.1, Build 20220902</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SJ-023</vt:lpwstr>
  </property>
  <property fmtid="{D5CDD505-2E9C-101B-9397-08002B2CF9AE}" pid="15" name="DQCStatus">
    <vt:lpwstr>Green (DQC version 03)</vt:lpwstr>
  </property>
</Properties>
</file>