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A5325C" w14:textId="6F9901EE" w:rsidR="00DD4F81" w:rsidRPr="008F6730" w:rsidRDefault="00176A4E" w:rsidP="00176A4E">
      <w:pPr>
        <w:pStyle w:val="Pagedecouverture"/>
        <w:rPr>
          <w:noProof/>
        </w:rPr>
      </w:pPr>
      <w:r>
        <w:rPr>
          <w:noProof/>
        </w:rPr>
        <w:pict w14:anchorId="7580FA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5" type="#_x0000_t75" alt="89EF03B2-D6D9-4FC4-B505-67FA181C4B2E" style="width:455.25pt;height:355.5pt">
            <v:imagedata r:id="rId11" o:title=""/>
          </v:shape>
        </w:pict>
      </w:r>
    </w:p>
    <w:p w14:paraId="1C89CC70" w14:textId="77777777" w:rsidR="00BE258C" w:rsidRPr="008F6730" w:rsidRDefault="00BE258C">
      <w:pPr>
        <w:rPr>
          <w:noProof/>
        </w:rPr>
        <w:sectPr w:rsidR="00BE258C" w:rsidRPr="008F6730" w:rsidSect="00176A4E">
          <w:footerReference w:type="default" r:id="rId12"/>
          <w:pgSz w:w="11907" w:h="16839"/>
          <w:pgMar w:top="1134" w:right="1417" w:bottom="1134" w:left="1417" w:header="709" w:footer="709" w:gutter="0"/>
          <w:pgNumType w:start="0"/>
          <w:cols w:space="720"/>
          <w:docGrid w:linePitch="326"/>
        </w:sectPr>
      </w:pPr>
    </w:p>
    <w:p w14:paraId="6D74B66F" w14:textId="77777777" w:rsidR="00BE258C" w:rsidRPr="008F6730" w:rsidRDefault="00386210">
      <w:pPr>
        <w:pStyle w:val="Exposdesmotifstitre"/>
        <w:rPr>
          <w:noProof/>
        </w:rPr>
      </w:pPr>
      <w:bookmarkStart w:id="0" w:name="_GoBack"/>
      <w:bookmarkEnd w:id="0"/>
      <w:r w:rsidRPr="008F6730">
        <w:rPr>
          <w:noProof/>
        </w:rPr>
        <w:lastRenderedPageBreak/>
        <w:t>OBRAZLOŽENJE</w:t>
      </w:r>
    </w:p>
    <w:p w14:paraId="3187A0AF" w14:textId="77777777" w:rsidR="00BE258C" w:rsidRPr="008F6730" w:rsidRDefault="00386210">
      <w:pPr>
        <w:pStyle w:val="ManualHeading1"/>
        <w:rPr>
          <w:noProof/>
        </w:rPr>
      </w:pPr>
      <w:bookmarkStart w:id="1" w:name="_Toc125124870"/>
      <w:bookmarkStart w:id="2" w:name="_Toc125125328"/>
      <w:bookmarkStart w:id="3" w:name="_Toc125125573"/>
      <w:bookmarkStart w:id="4" w:name="_Toc125125681"/>
      <w:r w:rsidRPr="008F6730">
        <w:rPr>
          <w:noProof/>
        </w:rPr>
        <w:t>1.</w:t>
      </w:r>
      <w:r w:rsidRPr="008F6730">
        <w:rPr>
          <w:noProof/>
        </w:rPr>
        <w:tab/>
        <w:t>KONTEKST PRIJEDLOGA</w:t>
      </w:r>
      <w:bookmarkEnd w:id="1"/>
      <w:bookmarkEnd w:id="2"/>
      <w:bookmarkEnd w:id="3"/>
      <w:bookmarkEnd w:id="4"/>
    </w:p>
    <w:p w14:paraId="3B2C23D4" w14:textId="77777777" w:rsidR="00BE258C" w:rsidRPr="008F6730" w:rsidRDefault="00386210">
      <w:pPr>
        <w:pStyle w:val="ManualHeading2"/>
        <w:rPr>
          <w:noProof/>
        </w:rPr>
      </w:pPr>
      <w:bookmarkStart w:id="5" w:name="_Toc125124871"/>
      <w:bookmarkStart w:id="6" w:name="_Toc125125329"/>
      <w:bookmarkStart w:id="7" w:name="_Toc125125574"/>
      <w:bookmarkStart w:id="8" w:name="_Toc125125682"/>
      <w:r w:rsidRPr="008F6730">
        <w:rPr>
          <w:noProof/>
        </w:rPr>
        <w:t>•</w:t>
      </w:r>
      <w:r w:rsidRPr="008F6730">
        <w:rPr>
          <w:noProof/>
        </w:rPr>
        <w:tab/>
        <w:t>Razlozi i ciljevi prijedloga</w:t>
      </w:r>
      <w:bookmarkEnd w:id="5"/>
      <w:bookmarkEnd w:id="6"/>
      <w:bookmarkEnd w:id="7"/>
      <w:bookmarkEnd w:id="8"/>
    </w:p>
    <w:p w14:paraId="27675615" w14:textId="77777777" w:rsidR="00BE258C" w:rsidRPr="008F6730" w:rsidRDefault="00386210">
      <w:pPr>
        <w:rPr>
          <w:noProof/>
        </w:rPr>
      </w:pPr>
      <w:r w:rsidRPr="008F6730">
        <w:rPr>
          <w:noProof/>
        </w:rPr>
        <w:t>Da bi se porast prosječne globalne temperature ograničio na manje od 1,5 °C, tijekom sljedećih će desetljeća biti potrebno znatno smanjiti emisije stakleničkih plinova na globalnoj razini. Da bismo to postigli, prvo moramo poboljšati učinkovitost svojih zgrada, vrsta prijevoza i industrije, prijeći na kružno gospodarstvo i znatno povećati upotrebu energije iz obnovljivih izvora. Zatim moramo reciklirati ugljik iz tokova otpada, održivih izvora biomase ili izravno iz atmosfere, primjerice hvatanjem i upotrebom ugljika te upotrebom održivih sintetičkih goriva, kako bismo ga upotrebljavali umjesto fosilnog ugljika u sektorima gospodarstva koji će neizbježno ostati ovisni o ugljiku. Da bi se postigla klimatska neutralnost, istodobno će se sve veće količine ugljikova dioksida (CO</w:t>
      </w:r>
      <w:r w:rsidRPr="008F6730">
        <w:rPr>
          <w:noProof/>
          <w:vertAlign w:val="subscript"/>
        </w:rPr>
        <w:t>2</w:t>
      </w:r>
      <w:r w:rsidRPr="008F6730">
        <w:rPr>
          <w:noProof/>
        </w:rPr>
        <w:t>) morati svake godine hvatati i uklanjati iz atmosfere aktivnostima sekvestracije ugljika u poljoprivredi i industrijskog uklanjanja ili u okviru projekata za kompenzaciju emisija koje je teško smanjiti iz, primjerice, sektora poljoprivrede, cementa, čelika, zračnog ili pomorskog prometa.</w:t>
      </w:r>
    </w:p>
    <w:p w14:paraId="425E23D8" w14:textId="77777777" w:rsidR="00BE258C" w:rsidRPr="008F6730" w:rsidRDefault="00386210">
      <w:pPr>
        <w:rPr>
          <w:noProof/>
        </w:rPr>
      </w:pPr>
      <w:r w:rsidRPr="008F6730">
        <w:rPr>
          <w:noProof/>
        </w:rPr>
        <w:t>Na globalnoj razini, zadnje izvješće</w:t>
      </w:r>
      <w:r w:rsidRPr="008F6730">
        <w:rPr>
          <w:rStyle w:val="FootnoteReference"/>
          <w:noProof/>
        </w:rPr>
        <w:footnoteReference w:id="2"/>
      </w:r>
      <w:r w:rsidRPr="008F6730">
        <w:rPr>
          <w:noProof/>
        </w:rPr>
        <w:t xml:space="preserve"> Međuvladina panela o klimatskim promjenama (IPCC) upućuje na to da se vjerojatnost ograničavanja globalnog zagrijavanja na 1,5 °C smanjuje ako se brzo ne smanje emisije stakleničkih plinova. U tom se izvješću IPCC-a jasno navodi da je, ako se želi postići nulta neto stopa emisija CO</w:t>
      </w:r>
      <w:r w:rsidRPr="008F6730">
        <w:rPr>
          <w:noProof/>
          <w:vertAlign w:val="subscript"/>
        </w:rPr>
        <w:t>2</w:t>
      </w:r>
      <w:r w:rsidRPr="008F6730">
        <w:rPr>
          <w:noProof/>
        </w:rPr>
        <w:t xml:space="preserve"> ili emisija stakleničkih plinova, neophodno uklanjati ugljikov dioksid kako bi se kompenzirale preostale emisije koje je teško smanjiti. To će podrazumijevati široko uvođenje održivih aktivnosti za hvatanje CO</w:t>
      </w:r>
      <w:r w:rsidRPr="008F6730">
        <w:rPr>
          <w:noProof/>
          <w:vertAlign w:val="subscript"/>
        </w:rPr>
        <w:t>2</w:t>
      </w:r>
      <w:r w:rsidRPr="008F6730">
        <w:rPr>
          <w:noProof/>
        </w:rPr>
        <w:t xml:space="preserve"> iz atmosfere i njegovo trajno skladištenje u geološkim spremnicima, kopnenim i morskim ekosustavima i proizvodima.</w:t>
      </w:r>
    </w:p>
    <w:p w14:paraId="3091E27F" w14:textId="77777777" w:rsidR="00BE258C" w:rsidRPr="008F6730" w:rsidRDefault="00386210">
      <w:pPr>
        <w:rPr>
          <w:noProof/>
        </w:rPr>
      </w:pPr>
      <w:r w:rsidRPr="008F6730">
        <w:rPr>
          <w:noProof/>
        </w:rPr>
        <w:t>Prema Europskom zakonu o klimi</w:t>
      </w:r>
      <w:r w:rsidRPr="008F6730">
        <w:rPr>
          <w:rStyle w:val="FootnoteReference"/>
          <w:noProof/>
        </w:rPr>
        <w:footnoteReference w:id="3"/>
      </w:r>
      <w:r w:rsidRPr="008F6730">
        <w:rPr>
          <w:noProof/>
        </w:rPr>
        <w:t>, EU bi do 2050. trebao postati klimatski neutralan. Za to je potrebno znatno smanjiti emisije stakleničkih plinova te najkasnije do 2050. uravnotežiti neizbježne emisije i uklanjanja unutar Europske unije s ciljem da se nakon toga postignu negativne emisije. Da bi se postigao taj cilj, i prirodni bi ekosustavi i industrijske aktivnosti trebali doprinositi uklanjanju nekoliko stotina milijuna tona CO</w:t>
      </w:r>
      <w:r w:rsidRPr="008F6730">
        <w:rPr>
          <w:noProof/>
          <w:vertAlign w:val="subscript"/>
        </w:rPr>
        <w:t>2</w:t>
      </w:r>
      <w:r w:rsidRPr="008F6730">
        <w:rPr>
          <w:noProof/>
        </w:rPr>
        <w:t xml:space="preserve"> godišnje iz atmosfere. EU danas, s postojećim politikama, nije na dobrom putu da ostvari te količine: uklanjanje ugljika u prirodnim ekosustavima posljednjih se godina smanjuje, a u industriji se trenutačno uklanjaju tek neznatne količine ugljika.</w:t>
      </w:r>
    </w:p>
    <w:p w14:paraId="67AAF17C" w14:textId="77777777" w:rsidR="00BE258C" w:rsidRPr="008F6730" w:rsidRDefault="00386210">
      <w:pPr>
        <w:rPr>
          <w:noProof/>
        </w:rPr>
      </w:pPr>
      <w:r w:rsidRPr="008F6730">
        <w:rPr>
          <w:noProof/>
        </w:rPr>
        <w:t>U skladu sa scenarijima koje je procijenio IPCC, u akcijskom planu za kružno gospodarstvo</w:t>
      </w:r>
      <w:r w:rsidRPr="008F6730">
        <w:rPr>
          <w:rStyle w:val="FootnoteReference"/>
          <w:noProof/>
        </w:rPr>
        <w:footnoteReference w:id="4"/>
      </w:r>
      <w:r w:rsidRPr="008F6730">
        <w:rPr>
          <w:noProof/>
        </w:rPr>
        <w:t xml:space="preserve"> iz ožujka 2020. Europska komisija najavila je da će oblikovati djelotvoran okvir za certifikaciju uklanjanja ugljika kako bi se potaknulo uklanjanje ugljika i povećala njegova kružnost, uz potpuno poštovanje bioraznolikosti i ciljeva nulte stope onečišćenja.</w:t>
      </w:r>
    </w:p>
    <w:p w14:paraId="23FF099A" w14:textId="77777777" w:rsidR="00BE258C" w:rsidRPr="008F6730" w:rsidRDefault="00386210">
      <w:pPr>
        <w:rPr>
          <w:noProof/>
        </w:rPr>
      </w:pPr>
      <w:r w:rsidRPr="008F6730">
        <w:rPr>
          <w:noProof/>
        </w:rPr>
        <w:t>Glavni su ciljevi te inicijative i. osigurati visoku kvalitetu uklanjanja ugljika u EU-u i ii. uspostaviti sustav EU-a za certificiranje upravljanja kako bi se izbjegao manipulativni zeleni marketing, i to pravilnom, pouzdanom i usklađenom primjenom i provedbom EU-ovih okvirnih kriterija za kvalitetu u cijeloj Uniji. Te su mjere potrebne kako bi se potaknulo aktivno uvođenje uklanjanja ugljika i oblikovale buduće politike u tom području imajući u vidu potrebu za uklanjanjem stotina milijuna tona CO</w:t>
      </w:r>
      <w:r w:rsidRPr="008F6730">
        <w:rPr>
          <w:noProof/>
          <w:vertAlign w:val="subscript"/>
        </w:rPr>
        <w:t>2</w:t>
      </w:r>
      <w:r w:rsidRPr="008F6730">
        <w:rPr>
          <w:noProof/>
        </w:rPr>
        <w:t xml:space="preserve"> godišnje. Tako će se poduprijeti postizanje cilja klimatske neutralnosti do 2050. utvrđenog u Europskom zakonu o klimi, kao i drugih okolišnih ciljeva iz Komunikacije o europskom zelenom planu</w:t>
      </w:r>
      <w:r w:rsidRPr="008F6730">
        <w:rPr>
          <w:rStyle w:val="FootnoteReference"/>
          <w:noProof/>
        </w:rPr>
        <w:footnoteReference w:id="5"/>
      </w:r>
      <w:r w:rsidRPr="008F6730">
        <w:rPr>
          <w:noProof/>
        </w:rPr>
        <w:t>.</w:t>
      </w:r>
    </w:p>
    <w:p w14:paraId="0A200D79" w14:textId="77777777" w:rsidR="00BE258C" w:rsidRPr="008F6730" w:rsidRDefault="00386210">
      <w:pPr>
        <w:pStyle w:val="ManualHeading2"/>
        <w:rPr>
          <w:noProof/>
        </w:rPr>
      </w:pPr>
      <w:bookmarkStart w:id="9" w:name="_Toc125124872"/>
      <w:bookmarkStart w:id="10" w:name="_Toc125125330"/>
      <w:bookmarkStart w:id="11" w:name="_Toc125125575"/>
      <w:bookmarkStart w:id="12" w:name="_Toc125125683"/>
      <w:r w:rsidRPr="008F6730">
        <w:rPr>
          <w:noProof/>
        </w:rPr>
        <w:t>•</w:t>
      </w:r>
      <w:r w:rsidRPr="008F6730">
        <w:rPr>
          <w:noProof/>
        </w:rPr>
        <w:tab/>
        <w:t>Dosljednost s postojećim odredbama politike u tom području</w:t>
      </w:r>
      <w:bookmarkEnd w:id="9"/>
      <w:bookmarkEnd w:id="10"/>
      <w:bookmarkEnd w:id="11"/>
      <w:bookmarkEnd w:id="12"/>
    </w:p>
    <w:p w14:paraId="0AB19B19" w14:textId="77777777" w:rsidR="00BE258C" w:rsidRPr="008F6730" w:rsidRDefault="00386210">
      <w:pPr>
        <w:rPr>
          <w:noProof/>
        </w:rPr>
      </w:pPr>
      <w:r w:rsidRPr="008F6730">
        <w:rPr>
          <w:noProof/>
        </w:rPr>
        <w:t>U prijedlogu izmjene Uredbe o korištenju zemljišta, prenamjeni zemljišta i šumarstvu (LULUCF)</w:t>
      </w:r>
      <w:r w:rsidRPr="008F6730">
        <w:rPr>
          <w:rStyle w:val="FootnoteReference"/>
          <w:noProof/>
        </w:rPr>
        <w:footnoteReference w:id="6"/>
      </w:r>
      <w:r w:rsidRPr="008F6730">
        <w:rPr>
          <w:noProof/>
        </w:rPr>
        <w:t xml:space="preserve"> Europska komisija prvi je put predložila zaseban cilj neto uklanjanja za zemljišta od –310 milijuna tona ekvivalenta CO</w:t>
      </w:r>
      <w:r w:rsidRPr="008F6730">
        <w:rPr>
          <w:noProof/>
          <w:vertAlign w:val="subscript"/>
        </w:rPr>
        <w:t>2</w:t>
      </w:r>
      <w:r w:rsidRPr="008F6730">
        <w:rPr>
          <w:noProof/>
        </w:rPr>
        <w:t xml:space="preserve"> do 2030. Taj cilj na razini EU-a treba se postići s pomoću obvezujućih nacionalnih ciljeva za sektor LULUCF-a, pri čemu će se od država članica zahtijevati da budu ambicioznije u pogledu svojih politika korištenja zemljišta. Ovim se prijedlogom omogućuje pružanje djelotvornije potpore utemeljene na rezultatima za aktivnosti sekvestracije ugljika u poljoprivredi koje mogu doprinijeti postizanju tog cilja. Komisija je predložila i povećanje inovacijskog fonda</w:t>
      </w:r>
      <w:r w:rsidRPr="008F6730">
        <w:rPr>
          <w:rStyle w:val="FootnoteReference"/>
          <w:noProof/>
        </w:rPr>
        <w:footnoteReference w:id="7"/>
      </w:r>
      <w:r w:rsidRPr="008F6730">
        <w:rPr>
          <w:noProof/>
        </w:rPr>
        <w:t>, koji se financira prihodima iz sustava EU-a za trgovanje emisijama (ETS EU-a)</w:t>
      </w:r>
      <w:r w:rsidRPr="008F6730">
        <w:rPr>
          <w:rStyle w:val="FootnoteReference"/>
          <w:noProof/>
        </w:rPr>
        <w:footnoteReference w:id="8"/>
      </w:r>
      <w:r w:rsidRPr="008F6730">
        <w:rPr>
          <w:noProof/>
        </w:rPr>
        <w:t>, kako bi se poduzećima pomoglo da ulažu u inovativne čiste tehnologije, uključujući one kojima se ostvaruje uklanjanje ugljika.</w:t>
      </w:r>
    </w:p>
    <w:p w14:paraId="5A97D424" w14:textId="77777777" w:rsidR="00BE258C" w:rsidRPr="008F6730" w:rsidRDefault="00386210">
      <w:pPr>
        <w:rPr>
          <w:noProof/>
        </w:rPr>
      </w:pPr>
      <w:r w:rsidRPr="008F6730">
        <w:rPr>
          <w:noProof/>
        </w:rPr>
        <w:t>U Komunikaciji Komisije o održivim ciklusima ugljika</w:t>
      </w:r>
      <w:r w:rsidRPr="008F6730">
        <w:rPr>
          <w:rStyle w:val="FootnoteReference"/>
          <w:noProof/>
        </w:rPr>
        <w:footnoteReference w:id="9"/>
      </w:r>
      <w:r w:rsidRPr="008F6730">
        <w:rPr>
          <w:noProof/>
        </w:rPr>
        <w:t xml:space="preserve"> iz 2021. ističe se važnost omogućivanja poslovnog modela u kojem se upravitelji zemljišta nagrađuju za sekvestraciju ugljika uz potpuno poštovanje ekoloških načela („sekvestracija ugljika u poljoprivredi”) te stvaranja unutarnjeg tržišta EU-a za hvatanje, upotrebu, skladištenje i prijevoz CO</w:t>
      </w:r>
      <w:r w:rsidRPr="008F6730">
        <w:rPr>
          <w:noProof/>
          <w:vertAlign w:val="subscript"/>
        </w:rPr>
        <w:t>2</w:t>
      </w:r>
      <w:r w:rsidRPr="008F6730">
        <w:rPr>
          <w:noProof/>
        </w:rPr>
        <w:t xml:space="preserve"> s pomoću inovativnih tehnologija. U Komunikaciji se utvrđuje i akcijski plan za postizanje sljedećih željenih ciljeva u pogledu uklanjanja ugljika: svi upravitelji zemljišta trebali bi do 2028. imati pristup verificiranim podacima o emisijama i uklanjanjima za mjerenje prakse sekvestracije ugljika u poljoprivredi, a sav CO</w:t>
      </w:r>
      <w:r w:rsidRPr="008F6730">
        <w:rPr>
          <w:noProof/>
          <w:vertAlign w:val="subscript"/>
        </w:rPr>
        <w:t>2</w:t>
      </w:r>
      <w:r w:rsidRPr="008F6730">
        <w:rPr>
          <w:noProof/>
        </w:rPr>
        <w:t xml:space="preserve"> koji se uhvati, preveze, upotrijebi i pohrani u okviru industrijskih aktivnosti trebalo bi prijaviti i obračunati, sekvestracija ugljika u poljoprivredi trebala bi do 2030. početi doprinositi postizanju cilja neto uklanjanja 310 Mt ekvivalenta CO</w:t>
      </w:r>
      <w:r w:rsidRPr="008F6730">
        <w:rPr>
          <w:noProof/>
          <w:vertAlign w:val="subscript"/>
        </w:rPr>
        <w:t>2</w:t>
      </w:r>
      <w:r w:rsidRPr="008F6730">
        <w:rPr>
          <w:noProof/>
        </w:rPr>
        <w:t xml:space="preserve"> u sektoru LULUCF-a, a industrijskim bi se tehnologijama do 2030. godišnje trebalo uklanjati barem 5 Mt ekvivalenta CO</w:t>
      </w:r>
      <w:r w:rsidRPr="008F6730">
        <w:rPr>
          <w:noProof/>
          <w:vertAlign w:val="subscript"/>
        </w:rPr>
        <w:t>2</w:t>
      </w:r>
      <w:r w:rsidRPr="008F6730">
        <w:rPr>
          <w:noProof/>
        </w:rPr>
        <w:t>.</w:t>
      </w:r>
    </w:p>
    <w:p w14:paraId="0DB23C8D" w14:textId="77777777" w:rsidR="006910F7" w:rsidRPr="008F6730" w:rsidRDefault="006910F7" w:rsidP="006910F7">
      <w:pPr>
        <w:rPr>
          <w:noProof/>
        </w:rPr>
      </w:pPr>
      <w:r w:rsidRPr="008F6730">
        <w:rPr>
          <w:noProof/>
        </w:rPr>
        <w:t>Ovaj je prijedlog u skladu i s konačnim prijedlozima Konferencije o budućnosti Europe</w:t>
      </w:r>
      <w:r w:rsidRPr="008F6730">
        <w:rPr>
          <w:rStyle w:val="FootnoteReference"/>
          <w:noProof/>
        </w:rPr>
        <w:footnoteReference w:id="10"/>
      </w:r>
      <w:r w:rsidRPr="008F6730">
        <w:rPr>
          <w:noProof/>
        </w:rPr>
        <w:t>, posebno s 1. prijedlogom, u okviru kojeg se izričito želi „uvesti certificiranje uklanjanja ugljika na temelju pouzdanog, čvrstog i transparentnog obračuna ugljika” (mjera 5.). Nadalje, u Komunikaciji o ozelenjivanju Komisije</w:t>
      </w:r>
      <w:r w:rsidRPr="008F6730">
        <w:rPr>
          <w:rStyle w:val="FootnoteReference"/>
          <w:noProof/>
          <w:szCs w:val="24"/>
        </w:rPr>
        <w:footnoteReference w:id="11"/>
      </w:r>
      <w:r w:rsidRPr="008F6730">
        <w:rPr>
          <w:noProof/>
        </w:rPr>
        <w:t xml:space="preserve"> iz 2022. Komisija je najavila da će se </w:t>
      </w:r>
      <w:r w:rsidRPr="008F6730">
        <w:rPr>
          <w:rStyle w:val="markedcontent"/>
          <w:noProof/>
        </w:rPr>
        <w:t>uz ambiciozan skup mjera za smanjenje emisija stakleničkih plinova morati oslanjati i na uklanjanje ugljika kako bi do 2030. neutralizirala neizbježne emisije i postigla nultu neto stopu emisija stakleničkih plinova.</w:t>
      </w:r>
    </w:p>
    <w:p w14:paraId="09C9AE0A" w14:textId="77777777" w:rsidR="00BE258C" w:rsidRPr="008F6730" w:rsidRDefault="00386210">
      <w:pPr>
        <w:rPr>
          <w:noProof/>
        </w:rPr>
      </w:pPr>
      <w:r w:rsidRPr="008F6730">
        <w:rPr>
          <w:noProof/>
        </w:rPr>
        <w:t>Okvir za certifikaciju opisan u ovom prijedlogu osmišljen je tako da se temelji na sljedećem postojećem zakonodavstvu o klimatskim promjenama:</w:t>
      </w:r>
    </w:p>
    <w:p w14:paraId="19266DAF" w14:textId="77777777" w:rsidR="00BE258C" w:rsidRPr="008F6730" w:rsidRDefault="00386210">
      <w:pPr>
        <w:pStyle w:val="Point0"/>
        <w:rPr>
          <w:noProof/>
        </w:rPr>
      </w:pPr>
      <w:r w:rsidRPr="008F6730">
        <w:rPr>
          <w:noProof/>
        </w:rPr>
        <w:t>•</w:t>
      </w:r>
      <w:r w:rsidRPr="008F6730">
        <w:rPr>
          <w:noProof/>
        </w:rPr>
        <w:tab/>
        <w:t>Direktivi o geološkom skladištenju ugljikova dioksida, takozvanoj Direktivi o CCS-u</w:t>
      </w:r>
      <w:r w:rsidRPr="008F6730">
        <w:rPr>
          <w:rStyle w:val="FootnoteReference"/>
          <w:noProof/>
        </w:rPr>
        <w:footnoteReference w:id="12"/>
      </w:r>
      <w:r w:rsidRPr="008F6730">
        <w:rPr>
          <w:noProof/>
        </w:rPr>
        <w:t>, kojom se uspostavlja opći pravni okvir za geološko skladištenje CO</w:t>
      </w:r>
      <w:r w:rsidRPr="008F6730">
        <w:rPr>
          <w:noProof/>
          <w:vertAlign w:val="subscript"/>
        </w:rPr>
        <w:t>2</w:t>
      </w:r>
      <w:r w:rsidRPr="008F6730">
        <w:rPr>
          <w:noProof/>
        </w:rPr>
        <w:t xml:space="preserve"> na način siguran za okoliš. Aktivnosti skladištenja CO</w:t>
      </w:r>
      <w:r w:rsidRPr="008F6730">
        <w:rPr>
          <w:noProof/>
          <w:vertAlign w:val="subscript"/>
        </w:rPr>
        <w:t>2</w:t>
      </w:r>
      <w:r w:rsidRPr="008F6730">
        <w:rPr>
          <w:noProof/>
        </w:rPr>
        <w:t xml:space="preserve"> iz postrojenja obuhvaćenog ETS-om u skladišnom prostoru za koji je izdana dozvola u skladu s Direktivom o CCS-u izričito su uključene u Direktivu o ETS-u EU-a, a emisijske jedinice u okviru ETS-a EU-a moraju se predati u slučaju istjecanja CO</w:t>
      </w:r>
      <w:r w:rsidRPr="008F6730">
        <w:rPr>
          <w:noProof/>
          <w:vertAlign w:val="subscript"/>
        </w:rPr>
        <w:t>2</w:t>
      </w:r>
      <w:r w:rsidRPr="008F6730">
        <w:rPr>
          <w:noProof/>
        </w:rPr>
        <w:t>. Predloženim okvirom za certifikaciju osigurat će se da kvantifikacija uklanjanja ugljika za industrijske aktivnosti kao što su hvatanje i skladištenje ugljika u proizvodnji bioenergije (BECCS)</w:t>
      </w:r>
      <w:r w:rsidRPr="008F6730">
        <w:rPr>
          <w:rStyle w:val="FootnoteReference"/>
          <w:noProof/>
        </w:rPr>
        <w:footnoteReference w:id="13"/>
      </w:r>
      <w:r w:rsidRPr="008F6730">
        <w:rPr>
          <w:noProof/>
        </w:rPr>
        <w:t xml:space="preserve"> i hvatanje i skladištenje ugljika izravno iz zraka (DACCS) bude u skladu s pravilima utvrđenima u Provedbenoj uredbi Komisije (EU) 2018/2066</w:t>
      </w:r>
      <w:r w:rsidRPr="008F6730">
        <w:rPr>
          <w:rStyle w:val="FootnoteReference"/>
          <w:noProof/>
        </w:rPr>
        <w:footnoteReference w:id="14"/>
      </w:r>
      <w:r w:rsidRPr="008F6730">
        <w:rPr>
          <w:noProof/>
        </w:rPr>
        <w:t xml:space="preserve"> o praćenju i izvješćivanju o emisijama stakleničkih plinova u okviru ETS-a te u detaljnim metodologijama EU-a koje je Komisija razvila</w:t>
      </w:r>
      <w:r w:rsidRPr="008F6730">
        <w:rPr>
          <w:rStyle w:val="FootnoteReference"/>
          <w:noProof/>
        </w:rPr>
        <w:footnoteReference w:id="15"/>
      </w:r>
      <w:r w:rsidRPr="008F6730">
        <w:rPr>
          <w:noProof/>
        </w:rPr>
        <w:t xml:space="preserve"> radi kvantifikacije izbjegavanja emisija stakleničkih plinova iz projekata BECCS-a i DACCS-a u okviru inovacijskog fonda</w:t>
      </w:r>
      <w:r w:rsidRPr="008F6730">
        <w:rPr>
          <w:rStyle w:val="FootnoteReference"/>
          <w:noProof/>
        </w:rPr>
        <w:footnoteReference w:id="16"/>
      </w:r>
      <w:r w:rsidRPr="008F6730">
        <w:rPr>
          <w:noProof/>
        </w:rPr>
        <w:t>.</w:t>
      </w:r>
    </w:p>
    <w:p w14:paraId="724A80F4" w14:textId="77777777" w:rsidR="00BE258C" w:rsidRPr="008F6730" w:rsidRDefault="00386210">
      <w:pPr>
        <w:pStyle w:val="Point0"/>
        <w:rPr>
          <w:noProof/>
        </w:rPr>
      </w:pPr>
      <w:r w:rsidRPr="008F6730">
        <w:rPr>
          <w:noProof/>
        </w:rPr>
        <w:t>•</w:t>
      </w:r>
      <w:r w:rsidRPr="008F6730">
        <w:rPr>
          <w:noProof/>
        </w:rPr>
        <w:tab/>
        <w:t>Kad je riječ o proizvodima za sekvestraciju ugljika u poljoprivredi i za skladištenje ugljika, u Uredbi o LULUCF-u</w:t>
      </w:r>
      <w:r w:rsidRPr="008F6730">
        <w:rPr>
          <w:rStyle w:val="FootnoteReference"/>
          <w:noProof/>
        </w:rPr>
        <w:footnoteReference w:id="17"/>
      </w:r>
      <w:r w:rsidRPr="008F6730">
        <w:rPr>
          <w:noProof/>
        </w:rPr>
        <w:t xml:space="preserve"> daje se plan za točno praćenje i izvješćivanje o uklanjanjima ugljika u skladu sa smjernicama IPCC-a i u sinergiji s politikama o bioraznolikosti, nultoj stopi onečišćenja, energiji iz obnovljivih izvora i prilagodbi klimatskim promjenama. Pravilima utvrđenima u Uredbi o LULUCF-u potiče se geografski eksplicitno, troškovno učinkovito i pravodobno praćenje korištenja zemljišta, primjerice s pomoću digitalnih baza podataka, geografskih informacijskih sustava (GIS) i daljinskog istraživanja, uključujući satelite i usluge Sentinel u okviru programa Copernicus (npr. klimatske i kopnene usluge) ili komercijalno dostupne usluge.</w:t>
      </w:r>
    </w:p>
    <w:p w14:paraId="2F41FB31" w14:textId="77777777" w:rsidR="00BE258C" w:rsidRPr="008F6730" w:rsidRDefault="00386210">
      <w:pPr>
        <w:pStyle w:val="ManualHeading2"/>
        <w:rPr>
          <w:noProof/>
        </w:rPr>
      </w:pPr>
      <w:bookmarkStart w:id="13" w:name="_Toc125124873"/>
      <w:bookmarkStart w:id="14" w:name="_Toc125125331"/>
      <w:bookmarkStart w:id="15" w:name="_Toc125125576"/>
      <w:bookmarkStart w:id="16" w:name="_Toc125125684"/>
      <w:r w:rsidRPr="008F6730">
        <w:rPr>
          <w:noProof/>
        </w:rPr>
        <w:t>•</w:t>
      </w:r>
      <w:r w:rsidRPr="008F6730">
        <w:rPr>
          <w:noProof/>
        </w:rPr>
        <w:tab/>
        <w:t>Dosljednost u odnosu na druge politike Unije</w:t>
      </w:r>
      <w:bookmarkEnd w:id="13"/>
      <w:bookmarkEnd w:id="14"/>
      <w:bookmarkEnd w:id="15"/>
      <w:bookmarkEnd w:id="16"/>
    </w:p>
    <w:p w14:paraId="114E45AB" w14:textId="77777777" w:rsidR="00BE258C" w:rsidRPr="008F6730" w:rsidRDefault="00386210">
      <w:pPr>
        <w:rPr>
          <w:noProof/>
        </w:rPr>
      </w:pPr>
      <w:r w:rsidRPr="008F6730">
        <w:rPr>
          <w:noProof/>
        </w:rPr>
        <w:t>Okvir EU-a za certifikaciju uklanjanja ugljika temeljit će se ili će imati važnu ulogu u omogućivanju sljedećih politika Unije:</w:t>
      </w:r>
    </w:p>
    <w:p w14:paraId="02D373D0" w14:textId="77777777" w:rsidR="00BE258C" w:rsidRPr="008F6730" w:rsidRDefault="00386210">
      <w:pPr>
        <w:pStyle w:val="Point0"/>
        <w:rPr>
          <w:noProof/>
        </w:rPr>
      </w:pPr>
      <w:r w:rsidRPr="008F6730">
        <w:rPr>
          <w:noProof/>
        </w:rPr>
        <w:t>•</w:t>
      </w:r>
      <w:r w:rsidRPr="008F6730">
        <w:rPr>
          <w:noProof/>
        </w:rPr>
        <w:tab/>
        <w:t>predloženog zakona o obnovi prirode</w:t>
      </w:r>
      <w:r w:rsidRPr="008F6730">
        <w:rPr>
          <w:rStyle w:val="FootnoteReference"/>
          <w:noProof/>
        </w:rPr>
        <w:footnoteReference w:id="18"/>
      </w:r>
      <w:r w:rsidRPr="008F6730">
        <w:rPr>
          <w:noProof/>
        </w:rPr>
        <w:t>, u kojem se utvrđuje cilj da 20 % kopnenih i morskih područja EU-a do 2030. bude obuhvaćeno mjerama obnove te da svi ekosustavi kojima je potrebna obnova do 2050. budu obuhvaćeni mjerama obnove. Brojne su sinergije među aktivnostima uklanjanja ugljika, posebno kad je riječ o sekvestraciji ugljika u poljoprivredi, i mjerama obnove prirode. Predloženim okvirom za certifikaciju uklanjanja ugljika pridonijet će se postizanju ciljeva obnove i ispunjavanju obveza iz zakona o obnovi prirode. Na primjer, aktivnosti sekvestracije ugljika u poljoprivredi kojima se povećava skladištenje ugljika mogu pridonijeti ispunjavanju obveze da se na nacionalnoj razini osigura trend rasta zaliha organskog ugljika u šumskim ekosustavima i u mineralnim tlima zemljišta pod usjevima u poljoprivrednim ekosustavima. Tim se aktivnostima može poduprijeti i obveza uvođenja mjera obnove za organska tla koja čine isušena tresetišta i upotrebljavaju se u poljoprivredne svrhe. Stoga će se predloženi zakon o obnovi prirode i ovaj prijedlog međusobno nadopunjavati i tako doprinositi politikama u području klime i bioraznolikosti,</w:t>
      </w:r>
    </w:p>
    <w:p w14:paraId="1C1075D0" w14:textId="1A774EC7" w:rsidR="00BE258C" w:rsidRPr="008F6730" w:rsidRDefault="00386210">
      <w:pPr>
        <w:pStyle w:val="Point0"/>
        <w:rPr>
          <w:noProof/>
        </w:rPr>
      </w:pPr>
      <w:r w:rsidRPr="008F6730">
        <w:rPr>
          <w:noProof/>
        </w:rPr>
        <w:t>•</w:t>
      </w:r>
      <w:r w:rsidRPr="008F6730">
        <w:rPr>
          <w:noProof/>
        </w:rPr>
        <w:tab/>
        <w:t xml:space="preserve">zajedničke poljoprivredne politike (ZPP), u okviru koje se predviđa potpora poljoprivrednicima koji se obvežu na provedbu određenih okolišnih i klimatskih praksi ili ulaganja. Ta politika uključuje i određene okolišne i klimatske uvjete (standardi za dobre poljoprivredne i okolišne uvjete, standardi GAEC), koje poljoprivrednici trebaju poštovati kad primaju </w:t>
      </w:r>
      <w:r w:rsidR="008F6730">
        <w:rPr>
          <w:noProof/>
        </w:rPr>
        <w:t>potporu dohotku u okviru ZPP-a.</w:t>
      </w:r>
      <w:r w:rsidRPr="008F6730">
        <w:rPr>
          <w:noProof/>
        </w:rPr>
        <w:t xml:space="preserve"> Ti uvjeti nadilaze zakonske zahtjeve. Neki su uvjeti relevantn</w:t>
      </w:r>
      <w:r w:rsidR="00D856C4">
        <w:rPr>
          <w:noProof/>
        </w:rPr>
        <w:t xml:space="preserve">i za sekvestraciju i zaštitu </w:t>
      </w:r>
      <w:r w:rsidRPr="008F6730">
        <w:rPr>
          <w:noProof/>
        </w:rPr>
        <w:t>ugljika u tlu, primjerice u slučaju travnjaka i tresetišta. Osim toga, prihvaćanju certificiranja može se pridonijeti tako da se sredstvima iz ZPP-a financiraju početna ulaganja i promiču relevantne prakse na razini poljoprivrednih gospodarstava. Uvođenjem okvira EU-a za certifikaciju uklanjanja ugljika poboljšat će se kvantifikacija emisija stakleničkih plinova u praksama koje se podupiru i inventari stakleničkih plinova u nacionalnom zemljišnom sektoru. Dobrovoljnim razvojem tržišta može se osigurati dugoročna zaštita zaliha ugljika i aktivnosti povezanih s ugljikom na zemljištu za koje se ne dodjeljuje potpora u okviru ZPP-a. Prema ovom bi se prijedlogu programi javnog certificiranja koje razviju države članice mogli prijaviti za priznavanje na razini EU-a kako bi se proveo okvir EU-a za certifikaciju uklanjanja ugljika, uključujući metodologije certificiranja utvrđene u ovom prijedlogu. Nadalje, ovim će se prijedlogom omogućiti otkrivanje smanjenja emisija plinova osim CO</w:t>
      </w:r>
      <w:r w:rsidRPr="008F6730">
        <w:rPr>
          <w:noProof/>
          <w:vertAlign w:val="subscript"/>
        </w:rPr>
        <w:t>2</w:t>
      </w:r>
      <w:r w:rsidRPr="008F6730">
        <w:rPr>
          <w:noProof/>
        </w:rPr>
        <w:t xml:space="preserve"> kao posredne koristi uklanjanja ugljika,</w:t>
      </w:r>
    </w:p>
    <w:p w14:paraId="3E846ABE" w14:textId="77777777" w:rsidR="00BE258C" w:rsidRPr="008F6730" w:rsidRDefault="00386210">
      <w:pPr>
        <w:pStyle w:val="Point0"/>
        <w:rPr>
          <w:noProof/>
        </w:rPr>
      </w:pPr>
      <w:r w:rsidRPr="008F6730">
        <w:rPr>
          <w:noProof/>
        </w:rPr>
        <w:t>•</w:t>
      </w:r>
      <w:r w:rsidRPr="008F6730">
        <w:rPr>
          <w:noProof/>
        </w:rPr>
        <w:tab/>
        <w:t>Direktive o energiji iz obnovljivih izvora</w:t>
      </w:r>
      <w:r w:rsidRPr="008F6730">
        <w:rPr>
          <w:rStyle w:val="FootnoteReference"/>
          <w:noProof/>
        </w:rPr>
        <w:footnoteReference w:id="19"/>
      </w:r>
      <w:r w:rsidRPr="008F6730">
        <w:rPr>
          <w:noProof/>
        </w:rPr>
        <w:t>, koja sadržava skup kriterija održivosti za bioenergiju, koje provode nacionalna nadležna tijela ili privatni programi certificiranja koje priznaje Komisija. U okviru tih bi se programa mogla potvrđivati i usklađenost aktivnosti uklanjanja ugljika s kriterijima kvalitete za uklanjanje ugljika navedenima u ovom prijedlogu,</w:t>
      </w:r>
    </w:p>
    <w:p w14:paraId="78FFE2D5" w14:textId="77777777" w:rsidR="00BE258C" w:rsidRPr="008F6730" w:rsidRDefault="00386210">
      <w:pPr>
        <w:pStyle w:val="Point0"/>
        <w:rPr>
          <w:noProof/>
        </w:rPr>
      </w:pPr>
      <w:r w:rsidRPr="008F6730">
        <w:rPr>
          <w:noProof/>
        </w:rPr>
        <w:t>•</w:t>
      </w:r>
      <w:r w:rsidRPr="008F6730">
        <w:rPr>
          <w:noProof/>
        </w:rPr>
        <w:tab/>
        <w:t>strategije EU-a za šume</w:t>
      </w:r>
      <w:r w:rsidRPr="008F6730">
        <w:rPr>
          <w:rStyle w:val="FootnoteReference"/>
          <w:noProof/>
        </w:rPr>
        <w:footnoteReference w:id="20"/>
      </w:r>
      <w:r w:rsidRPr="008F6730">
        <w:rPr>
          <w:noProof/>
        </w:rPr>
        <w:t>, u kojoj se utvrđuje okvir politike za osiguravanje rasta, zdravlja, raznolikosti i otpornosti šuma u EU-u, koje znatno pridonose našim ambicijama u pogledu bioraznolikosti, povećavaju uklanjanja prirodnim ponorima, osiguravaju egzistenciju u ruralnim područjima i šire te podupiru održivo šumsko biogospodarstvo koje se oslanja na najodrživije prakse gospodarenja šumama.</w:t>
      </w:r>
    </w:p>
    <w:p w14:paraId="0BAE0BCE" w14:textId="77777777" w:rsidR="00BE258C" w:rsidRPr="008F6730" w:rsidRDefault="00386210">
      <w:pPr>
        <w:pStyle w:val="ManualHeading1"/>
        <w:rPr>
          <w:noProof/>
        </w:rPr>
      </w:pPr>
      <w:bookmarkStart w:id="17" w:name="_Toc125124874"/>
      <w:bookmarkStart w:id="18" w:name="_Toc125125332"/>
      <w:bookmarkStart w:id="19" w:name="_Toc125125577"/>
      <w:bookmarkStart w:id="20" w:name="_Toc125125685"/>
      <w:r w:rsidRPr="008F6730">
        <w:rPr>
          <w:noProof/>
        </w:rPr>
        <w:t>2.</w:t>
      </w:r>
      <w:r w:rsidRPr="008F6730">
        <w:rPr>
          <w:noProof/>
        </w:rPr>
        <w:tab/>
        <w:t>PRAVNA OSNOVA, SUPSIDIJARNOST I PROPORCIONALNOST</w:t>
      </w:r>
      <w:bookmarkEnd w:id="17"/>
      <w:bookmarkEnd w:id="18"/>
      <w:bookmarkEnd w:id="19"/>
      <w:bookmarkEnd w:id="20"/>
    </w:p>
    <w:p w14:paraId="2F078C38" w14:textId="77777777" w:rsidR="00BE258C" w:rsidRPr="008F6730" w:rsidRDefault="00386210">
      <w:pPr>
        <w:pStyle w:val="ManualHeading2"/>
        <w:rPr>
          <w:noProof/>
        </w:rPr>
      </w:pPr>
      <w:bookmarkStart w:id="21" w:name="_Toc125124875"/>
      <w:bookmarkStart w:id="22" w:name="_Toc125125333"/>
      <w:bookmarkStart w:id="23" w:name="_Toc125125578"/>
      <w:bookmarkStart w:id="24" w:name="_Toc125125686"/>
      <w:r w:rsidRPr="008F6730">
        <w:rPr>
          <w:noProof/>
        </w:rPr>
        <w:t>•</w:t>
      </w:r>
      <w:r w:rsidRPr="008F6730">
        <w:rPr>
          <w:noProof/>
        </w:rPr>
        <w:tab/>
        <w:t>Pravna osnova</w:t>
      </w:r>
      <w:bookmarkEnd w:id="21"/>
      <w:bookmarkEnd w:id="22"/>
      <w:bookmarkEnd w:id="23"/>
      <w:bookmarkEnd w:id="24"/>
    </w:p>
    <w:p w14:paraId="4F9B0487" w14:textId="77777777" w:rsidR="00BE258C" w:rsidRPr="008F6730" w:rsidRDefault="00386210">
      <w:pPr>
        <w:rPr>
          <w:noProof/>
        </w:rPr>
      </w:pPr>
      <w:r w:rsidRPr="008F6730">
        <w:rPr>
          <w:noProof/>
        </w:rPr>
        <w:t>Člankom 192. stavkom 1. Ugovora o funkcioniranju Europske unije (UFEU) Uniju se ovlašćuje za djelovanje radi ostvarivanja ciljeva svoje politike u području okoliša. Ciljevi politike Unije u području okoliša kako su definirani u članku 191. stavku 1. UFEU-a uključuju, među ostalim, očuvanje, zaštitu i poboljšanje kvalitete okoliša, razborito i racionalno korištenje prirodnih bogatstava te promicanje mjera na međunarodnoj razini za rješavanje regionalnih, odnosno svjetskih problema okoliša, a osobito borbe protiv klimatskih promjena.</w:t>
      </w:r>
    </w:p>
    <w:p w14:paraId="09099420" w14:textId="77777777" w:rsidR="00BE258C" w:rsidRPr="008F6730" w:rsidRDefault="00386210">
      <w:pPr>
        <w:pStyle w:val="ManualHeading2"/>
        <w:rPr>
          <w:noProof/>
        </w:rPr>
      </w:pPr>
      <w:bookmarkStart w:id="25" w:name="_Toc125124876"/>
      <w:bookmarkStart w:id="26" w:name="_Toc125125334"/>
      <w:bookmarkStart w:id="27" w:name="_Toc125125579"/>
      <w:bookmarkStart w:id="28" w:name="_Toc125125687"/>
      <w:r w:rsidRPr="008F6730">
        <w:rPr>
          <w:noProof/>
        </w:rPr>
        <w:t>•</w:t>
      </w:r>
      <w:r w:rsidRPr="008F6730">
        <w:rPr>
          <w:noProof/>
        </w:rPr>
        <w:tab/>
        <w:t>Supsidijarnost (za neisključivu nadležnost)</w:t>
      </w:r>
      <w:bookmarkEnd w:id="25"/>
      <w:bookmarkEnd w:id="26"/>
      <w:bookmarkEnd w:id="27"/>
      <w:bookmarkEnd w:id="28"/>
    </w:p>
    <w:p w14:paraId="4F844460" w14:textId="77777777" w:rsidR="00BE258C" w:rsidRPr="008F6730" w:rsidRDefault="00386210">
      <w:pPr>
        <w:rPr>
          <w:noProof/>
        </w:rPr>
      </w:pPr>
      <w:r w:rsidRPr="008F6730">
        <w:rPr>
          <w:noProof/>
        </w:rPr>
        <w:t>Klimatske promjene prekogranični su problem. Njihovi su učinci globalni, neovisno o tome odakle emisije stakleničkih plinova potječu. Stoga se ti izazovi ne mogu riješiti samo nacionalnim ili lokalnim djelovanjem jer to vjerojatno neće dovesti do optimalnog ishoda. Koordinacijom na europskoj razini jača se djelovanje u području klime te se može djelotvorno dopuniti i ojačati djelovanje na nacionalnoj i lokalnoj razini. Djelovanje EU-a opravdano je načelom supsidijarnosti, u skladu s člankom 191. Ugovora o funkcioniranju Europske unije.</w:t>
      </w:r>
    </w:p>
    <w:p w14:paraId="203FEBEC" w14:textId="77777777" w:rsidR="00BE258C" w:rsidRPr="008F6730" w:rsidRDefault="00386210">
      <w:pPr>
        <w:rPr>
          <w:noProof/>
        </w:rPr>
      </w:pPr>
      <w:r w:rsidRPr="008F6730">
        <w:rPr>
          <w:noProof/>
        </w:rPr>
        <w:t>Europski bi okvir bio prikladniji od nacionalnih inicijativa za rješavanje poteškoća u procjeni kvalitete uklanjanja ugljika. Uvođenjem takvog okvira na unutarnjem bi se tržištu osigurali jednaki uvjeti za certificiranje uklanjanja ugljika, čime bi se povećala usporedivost i povjerenje. Postojanje raznih nacionalnih inicijativa u tom području ne bi riješilo problem, već bi ga samo pogoršalo.</w:t>
      </w:r>
    </w:p>
    <w:p w14:paraId="4F4A766E" w14:textId="77777777" w:rsidR="00BE258C" w:rsidRPr="008F6730" w:rsidRDefault="00386210">
      <w:pPr>
        <w:pStyle w:val="ManualHeading2"/>
        <w:rPr>
          <w:noProof/>
        </w:rPr>
      </w:pPr>
      <w:bookmarkStart w:id="29" w:name="_Toc125124877"/>
      <w:bookmarkStart w:id="30" w:name="_Toc125125335"/>
      <w:bookmarkStart w:id="31" w:name="_Toc125125580"/>
      <w:bookmarkStart w:id="32" w:name="_Toc125125688"/>
      <w:r w:rsidRPr="008F6730">
        <w:rPr>
          <w:noProof/>
        </w:rPr>
        <w:t>•</w:t>
      </w:r>
      <w:r w:rsidRPr="008F6730">
        <w:rPr>
          <w:noProof/>
        </w:rPr>
        <w:tab/>
        <w:t>Proporcionalnost</w:t>
      </w:r>
      <w:bookmarkEnd w:id="29"/>
      <w:bookmarkEnd w:id="30"/>
      <w:bookmarkEnd w:id="31"/>
      <w:bookmarkEnd w:id="32"/>
    </w:p>
    <w:p w14:paraId="76AE2E8D" w14:textId="77777777" w:rsidR="00BE258C" w:rsidRPr="008F6730" w:rsidRDefault="00386210">
      <w:pPr>
        <w:rPr>
          <w:noProof/>
        </w:rPr>
      </w:pPr>
      <w:r w:rsidRPr="008F6730">
        <w:rPr>
          <w:noProof/>
        </w:rPr>
        <w:t xml:space="preserve">Ovaj je prijedlog u skladu s načelom proporcionalnosti jer ne prelazi ono što je potrebno za ostvarivanje cilja da se uspostavi okvir Unije za certifikaciju visokokvalitetnih uklanjanja ugljika. Njime se utvrđuju kriteriji kvalitete za uklanjanje ugljika, potrebna pravila i postupci za certificiranje i verifikaciju uklanjanja ugljika te okvir za priznavanje privatnih i javnih programa certificiranja. </w:t>
      </w:r>
    </w:p>
    <w:p w14:paraId="133CDA33" w14:textId="77777777" w:rsidR="00420FCE" w:rsidRPr="008F6730" w:rsidRDefault="00420FCE">
      <w:pPr>
        <w:rPr>
          <w:noProof/>
        </w:rPr>
      </w:pPr>
    </w:p>
    <w:p w14:paraId="208B9D7D" w14:textId="77777777" w:rsidR="00BE258C" w:rsidRPr="008F6730" w:rsidRDefault="00386210">
      <w:pPr>
        <w:pStyle w:val="ManualHeading2"/>
        <w:rPr>
          <w:noProof/>
        </w:rPr>
      </w:pPr>
      <w:bookmarkStart w:id="33" w:name="_Toc125124878"/>
      <w:bookmarkStart w:id="34" w:name="_Toc125125336"/>
      <w:bookmarkStart w:id="35" w:name="_Toc125125581"/>
      <w:bookmarkStart w:id="36" w:name="_Toc125125689"/>
      <w:r w:rsidRPr="008F6730">
        <w:rPr>
          <w:noProof/>
        </w:rPr>
        <w:t>•</w:t>
      </w:r>
      <w:r w:rsidRPr="008F6730">
        <w:rPr>
          <w:noProof/>
        </w:rPr>
        <w:tab/>
        <w:t>Odabir instrumenta</w:t>
      </w:r>
      <w:bookmarkEnd w:id="33"/>
      <w:bookmarkEnd w:id="34"/>
      <w:bookmarkEnd w:id="35"/>
      <w:bookmarkEnd w:id="36"/>
    </w:p>
    <w:p w14:paraId="2725786A" w14:textId="77777777" w:rsidR="00BE258C" w:rsidRPr="008F6730" w:rsidRDefault="00386210">
      <w:pPr>
        <w:rPr>
          <w:noProof/>
        </w:rPr>
      </w:pPr>
      <w:r w:rsidRPr="008F6730">
        <w:rPr>
          <w:noProof/>
        </w:rPr>
        <w:t>Ciljevi ovog prijedloga najbolje se mogu ostvariti uredbom. Tako će se istodobno osigurati izravna i ujednačena primjenjivost odredaba u cijeloj Uniji. Zahtjevi su usmjereni na operatere dobrovoljnih programa certificiranja, države članice kad je riječ o priznavanju javnih programa certificiranja i Komisiju u pogledu izvješćivanja i preispitivanja.</w:t>
      </w:r>
    </w:p>
    <w:p w14:paraId="6389303B" w14:textId="77777777" w:rsidR="00BE258C" w:rsidRPr="008F6730" w:rsidRDefault="00386210">
      <w:pPr>
        <w:pStyle w:val="ManualHeading1"/>
        <w:rPr>
          <w:noProof/>
        </w:rPr>
      </w:pPr>
      <w:bookmarkStart w:id="37" w:name="_Toc125124879"/>
      <w:bookmarkStart w:id="38" w:name="_Toc125125337"/>
      <w:bookmarkStart w:id="39" w:name="_Toc125125582"/>
      <w:bookmarkStart w:id="40" w:name="_Toc125125690"/>
      <w:r w:rsidRPr="008F6730">
        <w:rPr>
          <w:noProof/>
        </w:rPr>
        <w:t>3.</w:t>
      </w:r>
      <w:r w:rsidRPr="008F6730">
        <w:rPr>
          <w:noProof/>
        </w:rPr>
        <w:tab/>
        <w:t xml:space="preserve">REZULTATI </w:t>
      </w:r>
      <w:r w:rsidRPr="008F6730">
        <w:rPr>
          <w:i/>
          <w:iCs/>
          <w:noProof/>
        </w:rPr>
        <w:t>EX POST</w:t>
      </w:r>
      <w:r w:rsidRPr="008F6730">
        <w:rPr>
          <w:noProof/>
        </w:rPr>
        <w:t xml:space="preserve"> EVALUACIJA, SAVJETOVANJA S DIONICIMA I PROCJENA UČINKA</w:t>
      </w:r>
      <w:bookmarkEnd w:id="37"/>
      <w:bookmarkEnd w:id="38"/>
      <w:bookmarkEnd w:id="39"/>
      <w:bookmarkEnd w:id="40"/>
    </w:p>
    <w:p w14:paraId="210C2A57" w14:textId="77777777" w:rsidR="00BE258C" w:rsidRPr="008F6730" w:rsidRDefault="00386210">
      <w:pPr>
        <w:pStyle w:val="ManualHeading2"/>
        <w:rPr>
          <w:noProof/>
        </w:rPr>
      </w:pPr>
      <w:bookmarkStart w:id="41" w:name="_Toc125124880"/>
      <w:bookmarkStart w:id="42" w:name="_Toc125125338"/>
      <w:bookmarkStart w:id="43" w:name="_Toc125125583"/>
      <w:bookmarkStart w:id="44" w:name="_Toc125125691"/>
      <w:r w:rsidRPr="008F6730">
        <w:rPr>
          <w:noProof/>
        </w:rPr>
        <w:t>•</w:t>
      </w:r>
      <w:r w:rsidRPr="008F6730">
        <w:rPr>
          <w:noProof/>
        </w:rPr>
        <w:tab/>
        <w:t>Ex post evaluacije/provjere primjerenosti postojećeg zakonodavstva</w:t>
      </w:r>
      <w:bookmarkEnd w:id="41"/>
      <w:bookmarkEnd w:id="42"/>
      <w:bookmarkEnd w:id="43"/>
      <w:bookmarkEnd w:id="44"/>
    </w:p>
    <w:p w14:paraId="6AC11C73" w14:textId="77777777" w:rsidR="00BE258C" w:rsidRPr="008F6730" w:rsidRDefault="00386210">
      <w:pPr>
        <w:rPr>
          <w:noProof/>
        </w:rPr>
      </w:pPr>
      <w:r w:rsidRPr="008F6730">
        <w:rPr>
          <w:noProof/>
        </w:rPr>
        <w:t>Nije primjenjivo</w:t>
      </w:r>
    </w:p>
    <w:p w14:paraId="0D6D679C" w14:textId="77777777" w:rsidR="00BE258C" w:rsidRPr="008F6730" w:rsidRDefault="00386210">
      <w:pPr>
        <w:pStyle w:val="ManualHeading2"/>
        <w:rPr>
          <w:noProof/>
        </w:rPr>
      </w:pPr>
      <w:bookmarkStart w:id="45" w:name="_Toc125124881"/>
      <w:bookmarkStart w:id="46" w:name="_Toc125125339"/>
      <w:bookmarkStart w:id="47" w:name="_Toc125125584"/>
      <w:bookmarkStart w:id="48" w:name="_Toc125125692"/>
      <w:r w:rsidRPr="008F6730">
        <w:rPr>
          <w:noProof/>
        </w:rPr>
        <w:t>•</w:t>
      </w:r>
      <w:r w:rsidRPr="008F6730">
        <w:rPr>
          <w:noProof/>
        </w:rPr>
        <w:tab/>
        <w:t>Savjetovanja s dionicima</w:t>
      </w:r>
      <w:bookmarkEnd w:id="45"/>
      <w:bookmarkEnd w:id="46"/>
      <w:bookmarkEnd w:id="47"/>
      <w:bookmarkEnd w:id="48"/>
    </w:p>
    <w:p w14:paraId="392C7A81" w14:textId="77777777" w:rsidR="00BE258C" w:rsidRPr="008F6730" w:rsidRDefault="00386210">
      <w:pPr>
        <w:rPr>
          <w:noProof/>
        </w:rPr>
      </w:pPr>
      <w:r w:rsidRPr="008F6730">
        <w:rPr>
          <w:noProof/>
        </w:rPr>
        <w:t>U skladu sa smjernicama za bolju regulativu održano je nekoliko aktivnosti savjetovanja:</w:t>
      </w:r>
    </w:p>
    <w:p w14:paraId="7A646E7E" w14:textId="77777777" w:rsidR="00BE258C" w:rsidRPr="008F6730" w:rsidRDefault="00386210">
      <w:pPr>
        <w:pStyle w:val="Point0"/>
        <w:rPr>
          <w:noProof/>
        </w:rPr>
      </w:pPr>
      <w:r w:rsidRPr="008F6730">
        <w:rPr>
          <w:noProof/>
        </w:rPr>
        <w:t>•</w:t>
      </w:r>
      <w:r w:rsidRPr="008F6730">
        <w:rPr>
          <w:noProof/>
        </w:rPr>
        <w:tab/>
        <w:t>internetska konferencija o održivim ciklusima ugljika održana 31. siječnja 2022.,</w:t>
      </w:r>
    </w:p>
    <w:p w14:paraId="79EFCA7C" w14:textId="77777777" w:rsidR="00BE258C" w:rsidRPr="008F6730" w:rsidRDefault="00386210">
      <w:pPr>
        <w:pStyle w:val="Point0"/>
        <w:rPr>
          <w:noProof/>
        </w:rPr>
      </w:pPr>
      <w:r w:rsidRPr="008F6730">
        <w:rPr>
          <w:noProof/>
        </w:rPr>
        <w:t>•</w:t>
      </w:r>
      <w:r w:rsidRPr="008F6730">
        <w:rPr>
          <w:noProof/>
        </w:rPr>
        <w:tab/>
        <w:t>poziv na očitovanje, koji je bio otvoren od 7. veljače do 2. svibnja 2022. i na koji je primljen 231 odgovor,</w:t>
      </w:r>
    </w:p>
    <w:p w14:paraId="7F37FAD8" w14:textId="77777777" w:rsidR="00BE258C" w:rsidRPr="008F6730" w:rsidRDefault="00386210">
      <w:pPr>
        <w:pStyle w:val="Point0"/>
        <w:rPr>
          <w:noProof/>
        </w:rPr>
      </w:pPr>
      <w:r w:rsidRPr="008F6730">
        <w:rPr>
          <w:noProof/>
        </w:rPr>
        <w:t>•</w:t>
      </w:r>
      <w:r w:rsidRPr="008F6730">
        <w:rPr>
          <w:noProof/>
        </w:rPr>
        <w:tab/>
        <w:t>otvoreno javno savjetovanje, održano od 7. veljače do 2. svibnja 2022., na koje je primljeno 396 odgovora.</w:t>
      </w:r>
    </w:p>
    <w:p w14:paraId="219F1DCB" w14:textId="77777777" w:rsidR="00BE258C" w:rsidRPr="008F6730" w:rsidRDefault="00386210">
      <w:pPr>
        <w:rPr>
          <w:noProof/>
        </w:rPr>
      </w:pPr>
      <w:r w:rsidRPr="008F6730">
        <w:rPr>
          <w:noProof/>
        </w:rPr>
        <w:t>Aktivnosti javnog savjetovanja općenito su ukazale na snažnu opću potporu regulatornoj inicijativi koja uključuje oblikovanje okvira za certifikaciju uklanjanja ugljika. Većina dionika željela je da se inicijativom obuhvati širok raspon mogućnosti uklanjanja ugljika i uzmu u obzir aspekti kao što su osiguravanje preciznog, točnog i pravodobnog mjerenja uklanjanja, osiguravanje da se snažno djelovanje za smanjenje emisija ne ugrozi prebacivanjem naglaska na uklanjanje ugljika, pružanje dostatnih jamstava za trajanje skladištenja ugljika i sprečavanje poništenja uklanjanja.</w:t>
      </w:r>
    </w:p>
    <w:p w14:paraId="7046A8D2" w14:textId="77777777" w:rsidR="00BE258C" w:rsidRPr="008F6730" w:rsidRDefault="00386210">
      <w:pPr>
        <w:rPr>
          <w:noProof/>
        </w:rPr>
      </w:pPr>
      <w:r w:rsidRPr="008F6730">
        <w:rPr>
          <w:noProof/>
        </w:rPr>
        <w:t>Kriteriji koje su dionici smatrali najvažnijima kad je riječ o uklanjanju ugljika uključivali su pouzdanost aspekata praćenja, izvješćivanja i verifikacije, potencijal za opsežno uvođenje, tehničku spremnost i gospodarsku izvedivost te potencijal za posredne koristi za okoliš. Većina ispitanika složila se da je uspostava pouzdanog i vjerodostojnog sustava za certificiranje uklanjanja ugljika prvi važan korak prema postizanju neto doprinosa od uklanjanja ugljika u skladu s ciljem klimatske neutralnosti EU-a.</w:t>
      </w:r>
    </w:p>
    <w:p w14:paraId="61C76358" w14:textId="2BEF95B8" w:rsidR="00BE258C" w:rsidRPr="008F6730" w:rsidRDefault="00386210">
      <w:pPr>
        <w:rPr>
          <w:noProof/>
        </w:rPr>
      </w:pPr>
      <w:r w:rsidRPr="008F6730">
        <w:rPr>
          <w:noProof/>
        </w:rPr>
        <w:t>Ispitanici su naveli da bi glavni ciljevi za certificiranje uklanjanja ugljika trebali biti omogućivanje usporedivosti i tržišnog natjecanja među raznim aktivnostima uklanjanja ugljika, povećanje transparentnosti i izjednačavanje uvjeta na dobrovoljnim tržištima ugljika te pružanje boljih javnih poticaja u okviru EU-ovih i nacionalnih programa financ</w:t>
      </w:r>
      <w:r w:rsidR="003A1E32">
        <w:rPr>
          <w:noProof/>
        </w:rPr>
        <w:t>iranja za prirodna</w:t>
      </w:r>
      <w:r w:rsidRPr="008F6730">
        <w:rPr>
          <w:noProof/>
        </w:rPr>
        <w:t xml:space="preserve"> i industrijska uklanjanja ugljika.</w:t>
      </w:r>
    </w:p>
    <w:p w14:paraId="393B05E7" w14:textId="77777777" w:rsidR="00BE258C" w:rsidRPr="008F6730" w:rsidRDefault="00386210">
      <w:pPr>
        <w:rPr>
          <w:noProof/>
        </w:rPr>
      </w:pPr>
      <w:r w:rsidRPr="008F6730">
        <w:rPr>
          <w:noProof/>
        </w:rPr>
        <w:t>Većina ispitanika smatra da bi uloga EU-a trebala biti utvrđivanje sveobuhvatnih zahtjeva u pogledu kvalitete za uklanjanje ugljika, čime bi se osigurala ispravna kvantifikacija uklanjanja ugljika, dodatnost, dugoročno skladištenje i okolišna održivost. Sažetak rezultata savjetovanja s dionicima naveden je u Prilogu 2. Procjeni učinka uz ovu Uredbu.</w:t>
      </w:r>
    </w:p>
    <w:p w14:paraId="285E4E14" w14:textId="77777777" w:rsidR="00BE258C" w:rsidRPr="008F6730" w:rsidRDefault="00386210">
      <w:pPr>
        <w:pStyle w:val="ManualHeading2"/>
        <w:rPr>
          <w:noProof/>
        </w:rPr>
      </w:pPr>
      <w:bookmarkStart w:id="49" w:name="_Toc125124882"/>
      <w:bookmarkStart w:id="50" w:name="_Toc125125340"/>
      <w:bookmarkStart w:id="51" w:name="_Toc125125585"/>
      <w:bookmarkStart w:id="52" w:name="_Toc125125693"/>
      <w:r w:rsidRPr="008F6730">
        <w:rPr>
          <w:noProof/>
        </w:rPr>
        <w:t>•</w:t>
      </w:r>
      <w:r w:rsidRPr="008F6730">
        <w:rPr>
          <w:noProof/>
        </w:rPr>
        <w:tab/>
        <w:t>Prikupljanje i primjena stručnog znanja</w:t>
      </w:r>
      <w:bookmarkEnd w:id="49"/>
      <w:bookmarkEnd w:id="50"/>
      <w:bookmarkEnd w:id="51"/>
      <w:bookmarkEnd w:id="52"/>
    </w:p>
    <w:p w14:paraId="44E622F7" w14:textId="77777777" w:rsidR="00BE258C" w:rsidRPr="008F6730" w:rsidRDefault="00386210">
      <w:pPr>
        <w:rPr>
          <w:noProof/>
        </w:rPr>
      </w:pPr>
      <w:r w:rsidRPr="008F6730">
        <w:rPr>
          <w:noProof/>
        </w:rPr>
        <w:t>Vanjski konzorcij stručnjaka bio je zadužen za provedbu studije tehničke pomoći koja će biti uključena u izradu predložene uredbe o uklanjanju ugljika i povezanu procjenu učinka. U okviru studije provedeno je preispitivanje postojećih mehanizama i programa za certificiranje uklanjanja ugljika te sinoptička procjena raznih aktivnosti uklanjanja ugljika, uključujući trajno uklanjanje, proizvode za skladištenje ugljika i sekvestraciju ugljika u poljoprivredi. Vanjski konzorcij organizirao je u ime Komisije niz informativnih događanja, uključujući Konferenciju o održivim ciklusima ugljika, te je pomogao u procjeni odgovora primljenih u okviru savjetovanja s dionicima. Naposljetku, studija tehničke pomoći sadržava dio podataka na kojima se temelji analiza opcija politike navedenih u procjeni učinka.</w:t>
      </w:r>
    </w:p>
    <w:p w14:paraId="4BD8456E" w14:textId="77777777" w:rsidR="00BE258C" w:rsidRPr="008F6730" w:rsidRDefault="00386210">
      <w:pPr>
        <w:pStyle w:val="ManualHeading2"/>
        <w:rPr>
          <w:noProof/>
        </w:rPr>
      </w:pPr>
      <w:bookmarkStart w:id="53" w:name="_Toc125124883"/>
      <w:bookmarkStart w:id="54" w:name="_Toc125125341"/>
      <w:bookmarkStart w:id="55" w:name="_Toc125125586"/>
      <w:bookmarkStart w:id="56" w:name="_Toc125125694"/>
      <w:r w:rsidRPr="008F6730">
        <w:rPr>
          <w:noProof/>
        </w:rPr>
        <w:t>•</w:t>
      </w:r>
      <w:r w:rsidRPr="008F6730">
        <w:rPr>
          <w:noProof/>
        </w:rPr>
        <w:tab/>
        <w:t>Procjena učinka i mišljenje Odbora za nadzor regulative</w:t>
      </w:r>
      <w:bookmarkEnd w:id="53"/>
      <w:bookmarkEnd w:id="54"/>
      <w:bookmarkEnd w:id="55"/>
      <w:bookmarkEnd w:id="56"/>
    </w:p>
    <w:p w14:paraId="42EC75C9" w14:textId="77777777" w:rsidR="00BE258C" w:rsidRPr="008F6730" w:rsidRDefault="00386210">
      <w:pPr>
        <w:rPr>
          <w:noProof/>
        </w:rPr>
      </w:pPr>
      <w:r w:rsidRPr="008F6730">
        <w:rPr>
          <w:noProof/>
        </w:rPr>
        <w:t>U procjeni učinka priloženoj ovom prijedlogu procijenjene su opcije politike za rješavanje triju glavnih problema koji utječu na budući razvoj uklanjanja ugljika.</w:t>
      </w:r>
    </w:p>
    <w:p w14:paraId="046F7E49" w14:textId="77777777" w:rsidR="00BE258C" w:rsidRPr="008F6730" w:rsidRDefault="00386210">
      <w:pPr>
        <w:rPr>
          <w:noProof/>
        </w:rPr>
      </w:pPr>
      <w:r w:rsidRPr="008F6730">
        <w:rPr>
          <w:noProof/>
        </w:rPr>
        <w:t>Prvi je problem teškoća u procjeni i usporedbi kvalitete uklanjanja ugljika, što dovodi do znatnih troškova traženja potencijalnih izvora financiranja za uklanjanje ugljika. To je tipičan slučaj „nefunkcioniranja tržišta”, zbog kojeg se stvara rizik da se financijska potpora dodijeli za aktivnosti uklanjanja ugljika koje nisu pouzdane kao djelotvorne mjere ublažavanja. Taj problem ima dva uzroka:</w:t>
      </w:r>
    </w:p>
    <w:p w14:paraId="444C56F7" w14:textId="77777777" w:rsidR="00BE258C" w:rsidRPr="008F6730" w:rsidRDefault="00386210">
      <w:pPr>
        <w:pStyle w:val="Point0"/>
        <w:rPr>
          <w:noProof/>
        </w:rPr>
      </w:pPr>
      <w:r w:rsidRPr="008F6730">
        <w:rPr>
          <w:noProof/>
        </w:rPr>
        <w:t>1.</w:t>
      </w:r>
      <w:r w:rsidRPr="008F6730">
        <w:rPr>
          <w:noProof/>
        </w:rPr>
        <w:tab/>
        <w:t>certificiranje uklanjanja ugljika mnogo je manje uobičajeno nego certificiranje smanjenja emisija te uključuje nekoliko metodoloških izazova. U različitim se programima certificiranja predlažu različite metodologije za kvantificiranje ukupnog i dodatnog uklanjanja ugljika, poticanje dugoročnog skladištenja ugljika i obuhvaćanje širih aspekata održivosti kao što su učinci aktivnosti uklanjanja ugljika na okoliš (npr. gubitak bioraznolikosti, onečišćenje itd.);</w:t>
      </w:r>
    </w:p>
    <w:p w14:paraId="3FB10E28" w14:textId="77777777" w:rsidR="00BE258C" w:rsidRPr="008F6730" w:rsidRDefault="00386210">
      <w:pPr>
        <w:pStyle w:val="Point0"/>
        <w:rPr>
          <w:noProof/>
        </w:rPr>
      </w:pPr>
      <w:r w:rsidRPr="008F6730">
        <w:rPr>
          <w:noProof/>
        </w:rPr>
        <w:t>2.</w:t>
      </w:r>
      <w:r w:rsidRPr="008F6730">
        <w:rPr>
          <w:noProof/>
        </w:rPr>
        <w:tab/>
        <w:t>aktivnosti uklanjanja ugljika (tj. trajno uklanjanje, proizvodi za skladištenje ugljika i sekvestracija ugljika u poljoprivredi) vrlo su heterogene kad je riječ o njihovoj zrelosti, troškovnoj učinkovitosti i povezanim troškovima praćenja te predstavljaju različite izazove za certificiranje.</w:t>
      </w:r>
    </w:p>
    <w:p w14:paraId="0678F8DD" w14:textId="77777777" w:rsidR="00BE258C" w:rsidRPr="008F6730" w:rsidRDefault="00386210">
      <w:pPr>
        <w:rPr>
          <w:noProof/>
        </w:rPr>
      </w:pPr>
      <w:r w:rsidRPr="008F6730">
        <w:rPr>
          <w:noProof/>
        </w:rPr>
        <w:t>Kako bi se riješio taj problem, cilj je ove inicijative zajamčiti kvalitetu svih uklanjanja ugljika certificiranih u EU-u s pomoću metodologija certificiranja prilagođenih posebnim okolnostima raznih aktivnosti za uklanjanje ugljika.</w:t>
      </w:r>
    </w:p>
    <w:p w14:paraId="69EFF213" w14:textId="77777777" w:rsidR="00BE258C" w:rsidRPr="008F6730" w:rsidRDefault="00386210">
      <w:pPr>
        <w:rPr>
          <w:noProof/>
        </w:rPr>
      </w:pPr>
      <w:r w:rsidRPr="008F6730">
        <w:rPr>
          <w:noProof/>
        </w:rPr>
        <w:t xml:space="preserve">U tu se svrhu u okviru ove inicijative predlaže okvir EU-a za certifikaciju uklanjanja ugljika na temelju četiriju kriterija kvalitete (dalje u tekstu QU.A.L.ITY), u kojima se navodi kako osigurati kvantifikaciju (eng. </w:t>
      </w:r>
      <w:r w:rsidRPr="008F6730">
        <w:rPr>
          <w:i/>
          <w:iCs/>
          <w:noProof/>
        </w:rPr>
        <w:t>QUantification</w:t>
      </w:r>
      <w:r w:rsidRPr="008F6730">
        <w:rPr>
          <w:noProof/>
        </w:rPr>
        <w:t xml:space="preserve">), dodatnost i polazne vrijednosti (eng. </w:t>
      </w:r>
      <w:r w:rsidRPr="008F6730">
        <w:rPr>
          <w:i/>
          <w:iCs/>
          <w:noProof/>
        </w:rPr>
        <w:t>Additionality</w:t>
      </w:r>
      <w:r w:rsidRPr="008F6730">
        <w:rPr>
          <w:noProof/>
        </w:rPr>
        <w:t xml:space="preserve">), dugoročno skladištenje (eng. </w:t>
      </w:r>
      <w:r w:rsidRPr="008F6730">
        <w:rPr>
          <w:i/>
          <w:iCs/>
          <w:noProof/>
        </w:rPr>
        <w:t>Long-term storage</w:t>
      </w:r>
      <w:r w:rsidRPr="008F6730">
        <w:rPr>
          <w:noProof/>
        </w:rPr>
        <w:t xml:space="preserve">) i održivost (eng. </w:t>
      </w:r>
      <w:r w:rsidRPr="008F6730">
        <w:rPr>
          <w:i/>
          <w:iCs/>
          <w:noProof/>
        </w:rPr>
        <w:t>sustainabilITY</w:t>
      </w:r>
      <w:r w:rsidRPr="008F6730">
        <w:rPr>
          <w:noProof/>
        </w:rPr>
        <w:t>). U procjeni učinka utvrđen je niz najboljih praksi za svaki od kriterija QU.A.L.ITY, pri čemu se uzima u obzir da će se pristup certificiranja za svaki kriterij razlikovati među aktivnostima uklanjanja ugljika.</w:t>
      </w:r>
    </w:p>
    <w:p w14:paraId="3526C128" w14:textId="77777777" w:rsidR="00BE258C" w:rsidRPr="008F6730" w:rsidRDefault="00386210">
      <w:pPr>
        <w:rPr>
          <w:noProof/>
        </w:rPr>
      </w:pPr>
      <w:r w:rsidRPr="008F6730">
        <w:rPr>
          <w:noProof/>
        </w:rPr>
        <w:t xml:space="preserve">U drugom će se koraku morati razviti detaljne metodologije certificiranja za provedbu kriterija QU.A.L.ITY u raznim aktivnostima uklanjanja ugljika. U tom će koraku pravila biti prilagođena značajkama pojedinih vrsta aktivnosti uklanjanja ugljika: na primjer, u pravilima će se priznati čvrsta jamstva za trajnost koja se nude u okviru rješenja za skladištenje ugljika u geološkim formacijama, uz istodobno povećanje posrednih koristi za aktivnosti sekvestracije ugljika u poljoprivredi. U tom se pogledu u procjeni učinka uspoređuju dvije opcije kvalitete (eng. </w:t>
      </w:r>
      <w:r w:rsidRPr="008F6730">
        <w:rPr>
          <w:i/>
          <w:iCs/>
          <w:noProof/>
        </w:rPr>
        <w:t>Quality</w:t>
      </w:r>
      <w:r w:rsidRPr="008F6730">
        <w:rPr>
          <w:noProof/>
        </w:rPr>
        <w:t>):</w:t>
      </w:r>
    </w:p>
    <w:p w14:paraId="2ACCF7D8" w14:textId="77777777" w:rsidR="00BE258C" w:rsidRPr="008F6730" w:rsidRDefault="00386210">
      <w:pPr>
        <w:pStyle w:val="Point0"/>
        <w:rPr>
          <w:noProof/>
        </w:rPr>
      </w:pPr>
      <w:r w:rsidRPr="008F6730">
        <w:rPr>
          <w:noProof/>
        </w:rPr>
        <w:t>•</w:t>
      </w:r>
      <w:r w:rsidRPr="008F6730">
        <w:rPr>
          <w:noProof/>
        </w:rPr>
        <w:tab/>
        <w:t>opcija Q1: u okviru programâ certificiranja razvijaju se metodologije u skladu s kriterijima QU.A.L.ITY te se dostavljaju nadležnom javnom tijelu na priznavanje,</w:t>
      </w:r>
    </w:p>
    <w:p w14:paraId="144CEAEB" w14:textId="77777777" w:rsidR="00BE258C" w:rsidRPr="008F6730" w:rsidRDefault="00386210">
      <w:pPr>
        <w:pStyle w:val="Point0"/>
        <w:rPr>
          <w:noProof/>
        </w:rPr>
      </w:pPr>
      <w:r w:rsidRPr="008F6730">
        <w:rPr>
          <w:noProof/>
        </w:rPr>
        <w:t>•</w:t>
      </w:r>
      <w:r w:rsidRPr="008F6730">
        <w:rPr>
          <w:noProof/>
        </w:rPr>
        <w:tab/>
        <w:t>opcija Q2: Komisija razvija metodologije uz blisko savjetovanje sa stručnom skupinom.</w:t>
      </w:r>
    </w:p>
    <w:p w14:paraId="65DCFDDB" w14:textId="77777777" w:rsidR="00BE258C" w:rsidRPr="008F6730" w:rsidRDefault="00386210">
      <w:pPr>
        <w:rPr>
          <w:noProof/>
        </w:rPr>
      </w:pPr>
      <w:r w:rsidRPr="008F6730">
        <w:rPr>
          <w:noProof/>
        </w:rPr>
        <w:t>U analizi je zaključeno da opcija Q2 ima najveći potencijal za jamčenje kvalitete uklanjanja ugljika i osiguravanje njihove usporedivosti, uz istodobno smanjenje administrativnih troškova za razvoj ili odobravanje detaljnih metodologija certificiranja na najmanju moguću mjeru.</w:t>
      </w:r>
    </w:p>
    <w:p w14:paraId="6A039525" w14:textId="77777777" w:rsidR="00BE258C" w:rsidRPr="008F6730" w:rsidRDefault="00386210">
      <w:pPr>
        <w:rPr>
          <w:noProof/>
        </w:rPr>
      </w:pPr>
      <w:r w:rsidRPr="008F6730">
        <w:rPr>
          <w:noProof/>
        </w:rPr>
        <w:t>Drugi je problem taj što mnogi dionici nemaju povjerenja u certifikate o uklanjanju ugljika jer se ti certifikati mogu generirati netransparentnim i nepouzdanim postupcima certificiranja za aktivnosti koje ne donose stvarne koristi za klimu ni za održivost. Kako bi se riješio taj problem, u programe certificiranja trebalo bi uvesti transparentna i pouzdana pravila i postupke kako bi se ublažili rizici od toga da se postupkom certificiranja ne mogu otkriti niskokvalitetna uklanjanja, da se aktivnostima uklanjanja ugljika ne ostvaruju planirana uklanjanja te da se ista aktivnost certificira dvaput ili da se isti certifikat upotrebljava dvaput.</w:t>
      </w:r>
    </w:p>
    <w:p w14:paraId="267D9D6F" w14:textId="77777777" w:rsidR="00BE258C" w:rsidRPr="008F6730" w:rsidRDefault="00386210">
      <w:pPr>
        <w:rPr>
          <w:noProof/>
        </w:rPr>
      </w:pPr>
      <w:r w:rsidRPr="008F6730">
        <w:rPr>
          <w:noProof/>
        </w:rPr>
        <w:t>Treći je problem to što pružatelji usluga uklanjanja ugljika nailaze na prepreke u pristupu financiranju. Taj je problem prisutan zato što postoje brojni načini upotrebe certifikata o uklanjanju ugljika (za javno financiranje, korporativno izvješćivanje o održivosti, ekološke oznake, dobrovoljna tržišta ugljika itd.). Zbog te raznolikosti dolazi do transakcijskih troškova za one koji žele certificirati svoju aktivnost uklanjanja ugljika, primjerice troškova pretraživanja (vrijeme i rad uloženi u razumijevanje kvalitete postupaka certificiranja u određenom programu) i troškova prebacivanja (trošak nastojanja da se prikupe druge komplementarne ili alternativne vrste financiranja, za što će vjerojatno trebati promijeniti njihovu provedbu i pružati drugačiji skup dokaza i informacija).</w:t>
      </w:r>
    </w:p>
    <w:p w14:paraId="3C0D81DE" w14:textId="77777777" w:rsidR="00BE258C" w:rsidRPr="008F6730" w:rsidRDefault="00386210">
      <w:pPr>
        <w:rPr>
          <w:noProof/>
        </w:rPr>
      </w:pPr>
      <w:r w:rsidRPr="008F6730">
        <w:rPr>
          <w:noProof/>
        </w:rPr>
        <w:t>Kako bi se riješio drugi i treći problem, programi certificiranja trebali bi ispunjavati usklađene zahtjeve u pogledu certificiranja kako bi se osigurala transparentnost i izgradilo povjerenje:</w:t>
      </w:r>
    </w:p>
    <w:p w14:paraId="6D3BF39E" w14:textId="77777777" w:rsidR="00BE258C" w:rsidRPr="008F6730" w:rsidRDefault="00386210">
      <w:pPr>
        <w:pStyle w:val="Point0"/>
        <w:rPr>
          <w:noProof/>
        </w:rPr>
      </w:pPr>
      <w:r w:rsidRPr="008F6730">
        <w:rPr>
          <w:noProof/>
        </w:rPr>
        <w:t>1.</w:t>
      </w:r>
      <w:r w:rsidRPr="008F6730">
        <w:rPr>
          <w:noProof/>
        </w:rPr>
        <w:tab/>
        <w:t>upravljanje programom: programi certificiranja trebali bi se provoditi na temelju pouzdanih i transparentnih postupaka, npr. internog upravljanja i praćenja, upravljanja pritužbama i žalbama, savjetovanja s dionicima, transparentnosti i objavljivanja informacija itd.;</w:t>
      </w:r>
    </w:p>
    <w:p w14:paraId="2FFDE9AA" w14:textId="77777777" w:rsidR="00BE258C" w:rsidRPr="008F6730" w:rsidRDefault="00386210">
      <w:pPr>
        <w:pStyle w:val="Point0"/>
        <w:rPr>
          <w:noProof/>
        </w:rPr>
      </w:pPr>
      <w:r w:rsidRPr="008F6730">
        <w:rPr>
          <w:noProof/>
        </w:rPr>
        <w:t>2.</w:t>
      </w:r>
      <w:r w:rsidRPr="008F6730">
        <w:rPr>
          <w:noProof/>
        </w:rPr>
        <w:tab/>
        <w:t>neovisna verifikacija: usklađenost uklanjanja ugljika s kriterijima QU.A.L.ITY trebali bi provjeravati revizori trećih strana; te</w:t>
      </w:r>
    </w:p>
    <w:p w14:paraId="3AF9DC93" w14:textId="77777777" w:rsidR="00BE258C" w:rsidRPr="008F6730" w:rsidRDefault="00386210">
      <w:pPr>
        <w:pStyle w:val="Point0"/>
        <w:rPr>
          <w:noProof/>
        </w:rPr>
      </w:pPr>
      <w:r w:rsidRPr="008F6730">
        <w:rPr>
          <w:noProof/>
        </w:rPr>
        <w:t>3.</w:t>
      </w:r>
      <w:r w:rsidRPr="008F6730">
        <w:rPr>
          <w:noProof/>
        </w:rPr>
        <w:tab/>
        <w:t>potpuno objavljivanje: sve informacije o certificiranim uklanjanjima ugljika trebale bi biti javno dostupne i sljedive putem javnih registara.</w:t>
      </w:r>
    </w:p>
    <w:p w14:paraId="1E8FC7A0" w14:textId="77777777" w:rsidR="00BE258C" w:rsidRPr="008F6730" w:rsidRDefault="00386210">
      <w:pPr>
        <w:rPr>
          <w:noProof/>
        </w:rPr>
      </w:pPr>
      <w:r w:rsidRPr="008F6730">
        <w:rPr>
          <w:noProof/>
        </w:rPr>
        <w:t>U skladu s tim kriterijima transparentnosti utvrđuje se postupak za priznavanje programa certificiranja te operateri (tj. vlasnici aktivnosti za uklanjanje ugljika) za dokazivanje usklađenosti s kriterijima QU.A.L.ITY i relevantnim metodologijama certificiranja mogu upotrebljavati samo priznate programe certificiranja.</w:t>
      </w:r>
    </w:p>
    <w:p w14:paraId="0CE9FEE6" w14:textId="77777777" w:rsidR="00BE258C" w:rsidRPr="008F6730" w:rsidRDefault="00386210">
      <w:pPr>
        <w:rPr>
          <w:noProof/>
        </w:rPr>
      </w:pPr>
      <w:r w:rsidRPr="008F6730">
        <w:rPr>
          <w:noProof/>
        </w:rPr>
        <w:t xml:space="preserve">U tom se kontekstu u procjeni učinka uspoređuju dvije opcije upravljanja (eng. </w:t>
      </w:r>
      <w:r w:rsidRPr="008F6730">
        <w:rPr>
          <w:i/>
          <w:iCs/>
          <w:noProof/>
        </w:rPr>
        <w:t>Governance</w:t>
      </w:r>
      <w:r w:rsidRPr="008F6730">
        <w:rPr>
          <w:noProof/>
        </w:rPr>
        <w:t>) u pogledu toga tko bi bio odgovoran za priznavanje programa certificiranja: države članice (opcija G1) ili Komisija (opcija G2). U analizi se zaključuje da opcija G2 daje najbolje rezultate u pogledu jamčenja pouzdanog i usklađenog postupka certificiranja te promicanja unutarnjeg tržišta za certificiranje uklanjanja ugljika, uz istodobno smanjenje administrativnih troškova za javna tijela na najmanju moguću mjeru.</w:t>
      </w:r>
    </w:p>
    <w:p w14:paraId="07E472C2" w14:textId="77777777" w:rsidR="00BE258C" w:rsidRPr="008F6730" w:rsidRDefault="00386210">
      <w:pPr>
        <w:rPr>
          <w:noProof/>
        </w:rPr>
      </w:pPr>
      <w:r w:rsidRPr="008F6730">
        <w:rPr>
          <w:noProof/>
        </w:rPr>
        <w:t>Zaključno, najpoželjnija je opcija politike ona u kojoj Komisija i. razvija metodologije certificiranja uz savjetovanje sa stručnjacima i dionicima te ii. usklađuje provedbu okvira za certifikaciju i kriterija QU.A.L.ITY putem priznatih programa certificiranja.</w:t>
      </w:r>
    </w:p>
    <w:p w14:paraId="62132E9A" w14:textId="77777777" w:rsidR="00BE258C" w:rsidRPr="008F6730" w:rsidRDefault="00386210">
      <w:pPr>
        <w:rPr>
          <w:noProof/>
        </w:rPr>
      </w:pPr>
      <w:r w:rsidRPr="008F6730">
        <w:rPr>
          <w:noProof/>
        </w:rPr>
        <w:t>U procjeni učinka Komisija je ocijenila i usklađenost prijedloga s ciljevima utvrđenima u Europskom zakonu o klimi, kako je propisano u njegovu članku 6. stavku 4. Komisija je utvrdila da pristupi sekvestraciji ugljika u poljoprivredi mogu pridonijeti postizanju zasebnog cilja za 2030. predloženog u zakonodavnom paketu „Spremni za 55 %” za sektor LULUCF-a (–310 Mt ekvivalenta CO</w:t>
      </w:r>
      <w:r w:rsidRPr="008F6730">
        <w:rPr>
          <w:noProof/>
          <w:vertAlign w:val="subscript"/>
        </w:rPr>
        <w:t>2</w:t>
      </w:r>
      <w:r w:rsidRPr="008F6730">
        <w:rPr>
          <w:noProof/>
        </w:rPr>
        <w:t>), čime bi se premašio doprinos uklanjanja ugljika u sektoru LULUCF-a cilju od –55 % na razini cijeloga gospodarstva utvrđenom u Europskom zakonu o klimi (u kojem je gornja granica –225 Mt ekvivalenta CO</w:t>
      </w:r>
      <w:r w:rsidRPr="008F6730">
        <w:rPr>
          <w:noProof/>
          <w:vertAlign w:val="subscript"/>
        </w:rPr>
        <w:t>2</w:t>
      </w:r>
      <w:r w:rsidRPr="008F6730">
        <w:rPr>
          <w:noProof/>
        </w:rPr>
        <w:t>). Europski zakon o klimi uključuje i cilj da Unija postane klimatski neutralna do 2050. i da nakon toga ostvaruje negativne emisije, ali da bi se postigao taj cilj, u Uniji se mora povećati uklanjanje ugljika. U procjeni učinka analizirane su opcije politike za uklanjanje prepreka koje otežavaju provedbu djelotvornih aktivnosti uklanjanja ugljika, ali koje ne bi trebale odvraćati od provedbe mjera za smanjenje emisija stakleničkih plinova.</w:t>
      </w:r>
    </w:p>
    <w:p w14:paraId="14EFB7A5" w14:textId="77777777" w:rsidR="00D61437" w:rsidRPr="008F6730" w:rsidRDefault="00386210">
      <w:pPr>
        <w:rPr>
          <w:noProof/>
        </w:rPr>
      </w:pPr>
      <w:r w:rsidRPr="008F6730">
        <w:rPr>
          <w:noProof/>
        </w:rPr>
        <w:t xml:space="preserve">Odbor za nadzor regulative dao je pozitivno mišljenje o procjeni učinka i dao popis preporuka za poboljšanje izvješća kako bi se bolje dokazalo da je nepostojanje pouzdanog okvira za certifikaciju glavna prepreka razvoju aktivnosti uklanjanja ugljika te kako bi se transparentnije predstavile sve političke odluke u pogledu metodologije i upravljanja. </w:t>
      </w:r>
    </w:p>
    <w:p w14:paraId="4B64E56B" w14:textId="77777777" w:rsidR="00BE258C" w:rsidRPr="008F6730" w:rsidRDefault="00D61437">
      <w:pPr>
        <w:rPr>
          <w:noProof/>
        </w:rPr>
      </w:pPr>
      <w:r w:rsidRPr="008F6730">
        <w:rPr>
          <w:noProof/>
        </w:rPr>
        <w:t>Slijedom toga, u konačnu su verziju izvješća o procjeni učinka uključeni sljedeći aspekti:</w:t>
      </w:r>
    </w:p>
    <w:p w14:paraId="78C227B6" w14:textId="77777777" w:rsidR="00BE258C" w:rsidRPr="008F6730" w:rsidRDefault="00386210">
      <w:pPr>
        <w:pStyle w:val="Point0"/>
        <w:rPr>
          <w:noProof/>
        </w:rPr>
      </w:pPr>
      <w:r w:rsidRPr="008F6730">
        <w:rPr>
          <w:noProof/>
        </w:rPr>
        <w:t>•</w:t>
      </w:r>
      <w:r w:rsidRPr="008F6730">
        <w:rPr>
          <w:noProof/>
        </w:rPr>
        <w:tab/>
        <w:t>u uvodu su pojašnjeni kontekst inicijative (tj. uloga uklanjanja ugljika u cilju klimatske neutralnosti do 2050. i trenutačnom polaznom stanju politike) i dobrovoljna priroda inicijative,</w:t>
      </w:r>
    </w:p>
    <w:p w14:paraId="4B7A7C42" w14:textId="77777777" w:rsidR="00BE258C" w:rsidRPr="008F6730" w:rsidRDefault="00386210">
      <w:pPr>
        <w:pStyle w:val="Point0"/>
        <w:rPr>
          <w:noProof/>
        </w:rPr>
      </w:pPr>
      <w:r w:rsidRPr="008F6730">
        <w:rPr>
          <w:noProof/>
        </w:rPr>
        <w:t>•</w:t>
      </w:r>
      <w:r w:rsidRPr="008F6730">
        <w:rPr>
          <w:noProof/>
        </w:rPr>
        <w:tab/>
        <w:t>u definiciji problema dodana su nova upućivanja kako bi se potvrdilo postojanje i razmjer utvrđenih problema (posebno nedostatka povjerenja) i istaknula važnost međunarodnog usklađivanja okvira u stajalištima dionika,</w:t>
      </w:r>
    </w:p>
    <w:p w14:paraId="34FDD5A8" w14:textId="77777777" w:rsidR="00BE258C" w:rsidRPr="008F6730" w:rsidRDefault="00386210">
      <w:pPr>
        <w:pStyle w:val="Point0"/>
        <w:rPr>
          <w:noProof/>
        </w:rPr>
      </w:pPr>
      <w:r w:rsidRPr="008F6730">
        <w:rPr>
          <w:noProof/>
        </w:rPr>
        <w:t>•</w:t>
      </w:r>
      <w:r w:rsidRPr="008F6730">
        <w:rPr>
          <w:noProof/>
        </w:rPr>
        <w:tab/>
        <w:t>u odjeljku o ciljevima pojašnjeno je da su četiri kriterija QU.A.L.ITY rezultat općeg konsenzusa o značajkama visokokvalitetnog certificiranja u skladu s većinom postojećih metodologija certificiranja, a opis tih kriterija u odjeljku o opcijama politike sada uključuje više argumenata iz odgovarajućih priloga,</w:t>
      </w:r>
    </w:p>
    <w:p w14:paraId="08FA542B" w14:textId="77777777" w:rsidR="00BE258C" w:rsidRPr="008F6730" w:rsidRDefault="00386210">
      <w:pPr>
        <w:pStyle w:val="Point0"/>
        <w:rPr>
          <w:noProof/>
        </w:rPr>
      </w:pPr>
      <w:r w:rsidRPr="008F6730">
        <w:rPr>
          <w:noProof/>
        </w:rPr>
        <w:t>•</w:t>
      </w:r>
      <w:r w:rsidRPr="008F6730">
        <w:rPr>
          <w:noProof/>
        </w:rPr>
        <w:tab/>
        <w:t>kako bi se uzela u obzir dobrovoljna priroda okvira, dodano je nekoliko pojašnjenja (npr. cilj „jednakih uvjeta” preformuliran je kao „usklađivanje”),</w:t>
      </w:r>
    </w:p>
    <w:p w14:paraId="067BA9B3" w14:textId="77777777" w:rsidR="00BE258C" w:rsidRPr="008F6730" w:rsidRDefault="00386210">
      <w:pPr>
        <w:pStyle w:val="Point0"/>
        <w:rPr>
          <w:noProof/>
        </w:rPr>
      </w:pPr>
      <w:r w:rsidRPr="008F6730">
        <w:rPr>
          <w:noProof/>
        </w:rPr>
        <w:t>•</w:t>
      </w:r>
      <w:r w:rsidRPr="008F6730">
        <w:rPr>
          <w:noProof/>
        </w:rPr>
        <w:tab/>
        <w:t>u odjeljku o odbačenim opcijama politike bolje se objašnjava zašto je odbačena obvezna primjena politike okvira za certifikaciju,</w:t>
      </w:r>
    </w:p>
    <w:p w14:paraId="5129F4B8" w14:textId="77777777" w:rsidR="00BE258C" w:rsidRPr="008F6730" w:rsidRDefault="00386210">
      <w:pPr>
        <w:pStyle w:val="Point0"/>
        <w:rPr>
          <w:noProof/>
        </w:rPr>
      </w:pPr>
      <w:r w:rsidRPr="008F6730">
        <w:rPr>
          <w:noProof/>
        </w:rPr>
        <w:t>•</w:t>
      </w:r>
      <w:r w:rsidRPr="008F6730">
        <w:rPr>
          <w:noProof/>
        </w:rPr>
        <w:tab/>
        <w:t>u odjeljku o procjeni učinaka navodi se da je dobrovoljna priroda okvira rizik koji bi mogao ugroziti uspjeh inicijativa te su navedene mjere za ublažavanje tog rizika,</w:t>
      </w:r>
    </w:p>
    <w:p w14:paraId="519E15A1" w14:textId="77777777" w:rsidR="00BE258C" w:rsidRPr="008F6730" w:rsidRDefault="00386210">
      <w:pPr>
        <w:pStyle w:val="Point0"/>
        <w:rPr>
          <w:noProof/>
        </w:rPr>
      </w:pPr>
      <w:r w:rsidRPr="008F6730">
        <w:rPr>
          <w:noProof/>
        </w:rPr>
        <w:t>•</w:t>
      </w:r>
      <w:r w:rsidRPr="008F6730">
        <w:rPr>
          <w:noProof/>
        </w:rPr>
        <w:tab/>
        <w:t>u procjeni opcija politike bolje su utvrđene prepreke povećanju opsega aktivnosti uklanjanja ugljika te se objašnjava kako će se okvirom za certifikaciju ukloniti te prepreke; u tom se odjeljku pojašnjava i nesigurnost povezana s kvalitativnim izjavama o očekivanim koristima i troškovima,</w:t>
      </w:r>
    </w:p>
    <w:p w14:paraId="38B092B6" w14:textId="77777777" w:rsidR="00BE258C" w:rsidRPr="008F6730" w:rsidRDefault="00386210">
      <w:pPr>
        <w:pStyle w:val="Point0"/>
        <w:rPr>
          <w:noProof/>
        </w:rPr>
      </w:pPr>
      <w:r w:rsidRPr="008F6730">
        <w:rPr>
          <w:noProof/>
        </w:rPr>
        <w:t>•</w:t>
      </w:r>
      <w:r w:rsidRPr="008F6730">
        <w:rPr>
          <w:noProof/>
        </w:rPr>
        <w:tab/>
        <w:t>odjeljak o pristupu „jedan za jedan” premješten je iz priloga u glavni tekst,</w:t>
      </w:r>
    </w:p>
    <w:p w14:paraId="68F9260F" w14:textId="77777777" w:rsidR="00BE258C" w:rsidRPr="008F6730" w:rsidRDefault="00386210">
      <w:pPr>
        <w:pStyle w:val="Point0"/>
        <w:rPr>
          <w:noProof/>
        </w:rPr>
      </w:pPr>
      <w:r w:rsidRPr="008F6730">
        <w:rPr>
          <w:noProof/>
        </w:rPr>
        <w:t>•</w:t>
      </w:r>
      <w:r w:rsidRPr="008F6730">
        <w:rPr>
          <w:noProof/>
        </w:rPr>
        <w:tab/>
        <w:t>odjeljak o praćenju i evaluaciji inicijative sadržava razrađenije operativne ciljeve.</w:t>
      </w:r>
    </w:p>
    <w:p w14:paraId="3935F467" w14:textId="77777777" w:rsidR="00BE258C" w:rsidRPr="008F6730" w:rsidRDefault="00386210">
      <w:pPr>
        <w:pStyle w:val="ManualHeading2"/>
        <w:rPr>
          <w:noProof/>
        </w:rPr>
      </w:pPr>
      <w:bookmarkStart w:id="57" w:name="_Toc125124884"/>
      <w:bookmarkStart w:id="58" w:name="_Toc125125342"/>
      <w:bookmarkStart w:id="59" w:name="_Toc125125587"/>
      <w:bookmarkStart w:id="60" w:name="_Toc125125695"/>
      <w:r w:rsidRPr="008F6730">
        <w:rPr>
          <w:noProof/>
        </w:rPr>
        <w:t>•</w:t>
      </w:r>
      <w:r w:rsidRPr="008F6730">
        <w:rPr>
          <w:noProof/>
        </w:rPr>
        <w:tab/>
        <w:t>Primjerenost i pojednostavnjenje propisa</w:t>
      </w:r>
      <w:bookmarkEnd w:id="57"/>
      <w:bookmarkEnd w:id="58"/>
      <w:bookmarkEnd w:id="59"/>
      <w:bookmarkEnd w:id="60"/>
    </w:p>
    <w:p w14:paraId="65EDDCEC" w14:textId="77777777" w:rsidR="00BE258C" w:rsidRPr="008F6730" w:rsidRDefault="00386210">
      <w:pPr>
        <w:rPr>
          <w:noProof/>
        </w:rPr>
      </w:pPr>
      <w:r w:rsidRPr="008F6730">
        <w:rPr>
          <w:noProof/>
        </w:rPr>
        <w:t>Nije primjenjivo</w:t>
      </w:r>
    </w:p>
    <w:p w14:paraId="71412AD7" w14:textId="77777777" w:rsidR="00BE258C" w:rsidRPr="008F6730" w:rsidRDefault="00386210">
      <w:pPr>
        <w:pStyle w:val="ManualHeading2"/>
        <w:rPr>
          <w:noProof/>
        </w:rPr>
      </w:pPr>
      <w:bookmarkStart w:id="61" w:name="_Toc125124885"/>
      <w:bookmarkStart w:id="62" w:name="_Toc125125343"/>
      <w:bookmarkStart w:id="63" w:name="_Toc125125588"/>
      <w:bookmarkStart w:id="64" w:name="_Toc125125696"/>
      <w:r w:rsidRPr="008F6730">
        <w:rPr>
          <w:noProof/>
        </w:rPr>
        <w:t>•</w:t>
      </w:r>
      <w:r w:rsidRPr="008F6730">
        <w:rPr>
          <w:noProof/>
        </w:rPr>
        <w:tab/>
        <w:t>Temeljna prava</w:t>
      </w:r>
      <w:bookmarkEnd w:id="61"/>
      <w:bookmarkEnd w:id="62"/>
      <w:bookmarkEnd w:id="63"/>
      <w:bookmarkEnd w:id="64"/>
    </w:p>
    <w:p w14:paraId="6C156387" w14:textId="77777777" w:rsidR="00BE258C" w:rsidRPr="008F6730" w:rsidRDefault="00386210">
      <w:pPr>
        <w:rPr>
          <w:noProof/>
        </w:rPr>
      </w:pPr>
      <w:r w:rsidRPr="008F6730">
        <w:rPr>
          <w:noProof/>
        </w:rPr>
        <w:t>Nije primjenjivo</w:t>
      </w:r>
    </w:p>
    <w:p w14:paraId="0B9821C4" w14:textId="77777777" w:rsidR="00BE258C" w:rsidRPr="008F6730" w:rsidRDefault="00386210">
      <w:pPr>
        <w:pStyle w:val="ManualHeading1"/>
        <w:rPr>
          <w:noProof/>
        </w:rPr>
      </w:pPr>
      <w:bookmarkStart w:id="65" w:name="_Toc125124886"/>
      <w:bookmarkStart w:id="66" w:name="_Toc125125344"/>
      <w:bookmarkStart w:id="67" w:name="_Toc125125589"/>
      <w:bookmarkStart w:id="68" w:name="_Toc125125697"/>
      <w:r w:rsidRPr="008F6730">
        <w:rPr>
          <w:noProof/>
        </w:rPr>
        <w:t>4.</w:t>
      </w:r>
      <w:r w:rsidRPr="008F6730">
        <w:rPr>
          <w:noProof/>
        </w:rPr>
        <w:tab/>
        <w:t>UTJECAJ NA PRORAČUN</w:t>
      </w:r>
      <w:bookmarkEnd w:id="65"/>
      <w:bookmarkEnd w:id="66"/>
      <w:bookmarkEnd w:id="67"/>
      <w:bookmarkEnd w:id="68"/>
    </w:p>
    <w:p w14:paraId="66540915" w14:textId="77777777" w:rsidR="00BE258C" w:rsidRPr="008F6730" w:rsidRDefault="00386210">
      <w:pPr>
        <w:rPr>
          <w:noProof/>
        </w:rPr>
      </w:pPr>
      <w:r w:rsidRPr="008F6730">
        <w:rPr>
          <w:noProof/>
        </w:rPr>
        <w:t>Najveći utjecaj na proračun Unije povezan je s pripremom nezakonodavnih akata i radom stručne skupine za uklanjanje ugljika.</w:t>
      </w:r>
    </w:p>
    <w:p w14:paraId="40ED6344" w14:textId="77777777" w:rsidR="00BE258C" w:rsidRPr="008F6730" w:rsidRDefault="00386210">
      <w:pPr>
        <w:rPr>
          <w:noProof/>
        </w:rPr>
      </w:pPr>
      <w:r w:rsidRPr="008F6730">
        <w:rPr>
          <w:noProof/>
        </w:rPr>
        <w:t>U prijedlogu se predviđa usporedna priprema niza delegiranih i provedbenih akata nakon stupanja na snagu predložene uredbe. Što je najvažnije, bit će potrebno donijeti delegirane akte u kojima se utvrđuju metodologije certificiranja za razne aktivnosti uklanjanja ugljika (npr. za trajno uklanjanje, sekvestraciju ugljika u poljoprivredi i proizvode za skladištenje ugljika).</w:t>
      </w:r>
    </w:p>
    <w:p w14:paraId="6E05EC1C" w14:textId="77777777" w:rsidR="00BE258C" w:rsidRPr="008F6730" w:rsidRDefault="00386210">
      <w:pPr>
        <w:rPr>
          <w:noProof/>
        </w:rPr>
      </w:pPr>
      <w:r w:rsidRPr="008F6730">
        <w:rPr>
          <w:noProof/>
        </w:rPr>
        <w:t>U izradi tih izrazito tehničkih nezakonodavnih akata Komisiji će pomagati stručna skupina za uklanjanje ugljika. Ta će skupina imati oko 70 članova i mogla bi uključivati niz podskupina i zahtijevati dodatno stručno znanje. Skupinom će upravljati Komisija uz pomoć vanjskog izvođača.</w:t>
      </w:r>
    </w:p>
    <w:p w14:paraId="743FE827" w14:textId="77777777" w:rsidR="00BE258C" w:rsidRPr="008F6730" w:rsidRDefault="00386210">
      <w:pPr>
        <w:rPr>
          <w:noProof/>
        </w:rPr>
      </w:pPr>
      <w:r w:rsidRPr="008F6730">
        <w:rPr>
          <w:noProof/>
        </w:rPr>
        <w:t>Osim toga, utjecaj na proračun za Komisiju povezan je i s postupkom priznavanja javnih i privatnih programa certificiranja putem kojih bi se okvir za certifikaciju provodio u jednoj ili više država članica. Utjecaj na proračun predviđen je i u onim državama članicama koje namjeravaju uspostaviti i provoditi nacionalni program certificiranja, uključujući nadzor neovisnih tijela za certifikaciju te uspostavu i rad nacionalnog registra.</w:t>
      </w:r>
    </w:p>
    <w:p w14:paraId="52BA1548" w14:textId="77777777" w:rsidR="00BE258C" w:rsidRPr="008F6730" w:rsidRDefault="00386210">
      <w:pPr>
        <w:rPr>
          <w:noProof/>
        </w:rPr>
      </w:pPr>
      <w:r w:rsidRPr="008F6730">
        <w:rPr>
          <w:noProof/>
        </w:rPr>
        <w:t>U zakonodavnom financijskom izvještaju navedeni su detaljni utjecaji na proračun te ljudski i administrativni resursi koji su potrebni na temelju ovog prijedloga.</w:t>
      </w:r>
    </w:p>
    <w:p w14:paraId="47CF4166" w14:textId="77777777" w:rsidR="00BE258C" w:rsidRPr="008F6730" w:rsidRDefault="00386210">
      <w:pPr>
        <w:pStyle w:val="ManualHeading1"/>
        <w:rPr>
          <w:noProof/>
        </w:rPr>
      </w:pPr>
      <w:bookmarkStart w:id="69" w:name="_Toc125124887"/>
      <w:bookmarkStart w:id="70" w:name="_Toc125125345"/>
      <w:bookmarkStart w:id="71" w:name="_Toc125125590"/>
      <w:bookmarkStart w:id="72" w:name="_Toc125125698"/>
      <w:r w:rsidRPr="008F6730">
        <w:rPr>
          <w:noProof/>
        </w:rPr>
        <w:t>5.</w:t>
      </w:r>
      <w:r w:rsidRPr="008F6730">
        <w:rPr>
          <w:noProof/>
        </w:rPr>
        <w:tab/>
        <w:t>DRUGI ELEMENTI</w:t>
      </w:r>
      <w:bookmarkEnd w:id="69"/>
      <w:bookmarkEnd w:id="70"/>
      <w:bookmarkEnd w:id="71"/>
      <w:bookmarkEnd w:id="72"/>
    </w:p>
    <w:p w14:paraId="750CC283" w14:textId="77777777" w:rsidR="00BE258C" w:rsidRPr="008F6730" w:rsidRDefault="00386210">
      <w:pPr>
        <w:pStyle w:val="ManualHeading2"/>
        <w:rPr>
          <w:noProof/>
        </w:rPr>
      </w:pPr>
      <w:bookmarkStart w:id="73" w:name="_Toc125124888"/>
      <w:bookmarkStart w:id="74" w:name="_Toc125125346"/>
      <w:bookmarkStart w:id="75" w:name="_Toc125125591"/>
      <w:bookmarkStart w:id="76" w:name="_Toc125125699"/>
      <w:r w:rsidRPr="008F6730">
        <w:rPr>
          <w:noProof/>
        </w:rPr>
        <w:t>•</w:t>
      </w:r>
      <w:r w:rsidRPr="008F6730">
        <w:rPr>
          <w:noProof/>
        </w:rPr>
        <w:tab/>
        <w:t>Planovi provedbe i mehanizmi praćenja, evaluacije i izvješćivanja</w:t>
      </w:r>
      <w:bookmarkEnd w:id="73"/>
      <w:bookmarkEnd w:id="74"/>
      <w:bookmarkEnd w:id="75"/>
      <w:bookmarkEnd w:id="76"/>
    </w:p>
    <w:p w14:paraId="058F2157" w14:textId="77777777" w:rsidR="00BE258C" w:rsidRPr="008F6730" w:rsidRDefault="00386210">
      <w:pPr>
        <w:rPr>
          <w:noProof/>
        </w:rPr>
      </w:pPr>
      <w:r w:rsidRPr="008F6730">
        <w:rPr>
          <w:noProof/>
        </w:rPr>
        <w:t>U skladu sa smjernicama za bolju regulativu objavljenima u studenome 2021., a posebno s alatom 38., nakon što suzakonodavci donesu zakonodavni prijedlog, Komisija će izraditi provedbenu strategiju. U njoj će biti predstavljeni alati za promicanje usklađenosti koji će se upotrebljavati te aspekti povezani s digitalnom provedbom.</w:t>
      </w:r>
    </w:p>
    <w:p w14:paraId="5EFEC2EC" w14:textId="77777777" w:rsidR="00BE258C" w:rsidRPr="008F6730" w:rsidRDefault="00386210">
      <w:pPr>
        <w:pStyle w:val="ManualHeading2"/>
        <w:rPr>
          <w:noProof/>
        </w:rPr>
      </w:pPr>
      <w:bookmarkStart w:id="77" w:name="_Toc125124889"/>
      <w:bookmarkStart w:id="78" w:name="_Toc125125347"/>
      <w:bookmarkStart w:id="79" w:name="_Toc125125592"/>
      <w:bookmarkStart w:id="80" w:name="_Toc125125700"/>
      <w:r w:rsidRPr="008F6730">
        <w:rPr>
          <w:noProof/>
        </w:rPr>
        <w:t>•</w:t>
      </w:r>
      <w:r w:rsidRPr="008F6730">
        <w:rPr>
          <w:noProof/>
        </w:rPr>
        <w:tab/>
        <w:t>Detaljno obrazloženje posebnih odredaba prijedloga</w:t>
      </w:r>
      <w:bookmarkEnd w:id="77"/>
      <w:bookmarkEnd w:id="78"/>
      <w:bookmarkEnd w:id="79"/>
      <w:bookmarkEnd w:id="80"/>
    </w:p>
    <w:p w14:paraId="6E88BA0A" w14:textId="77777777" w:rsidR="00BE258C" w:rsidRPr="008F6730" w:rsidRDefault="00386210">
      <w:pPr>
        <w:rPr>
          <w:noProof/>
        </w:rPr>
      </w:pPr>
      <w:r w:rsidRPr="008F6730">
        <w:rPr>
          <w:noProof/>
        </w:rPr>
        <w:t>Odredbe i struktura predložene uredbe odgovaraju cilju inicijative da se uspostavi transparentan i vjerodostojan okvir za certifikaciju uklanjanja ugljika uz visok klimatski i okolišni integritet kako bi se pružila potpora fizičkim i pravnim osobama koje su uz najveće moguće smanjenje emisija stakleničkih plinova voljne otići korak dalje te kako bi se njihove aktivnosti dovele na razinu održivosti u kontekstu povećanih klimatskih ambicija navedenih u europskom zelenom planu i cilja klimatske neutralnosti do 2050. utvrđenog u Europskom zakonu o klimi.</w:t>
      </w:r>
    </w:p>
    <w:p w14:paraId="0E55F777" w14:textId="77777777" w:rsidR="00BE258C" w:rsidRPr="008F6730" w:rsidRDefault="00386210">
      <w:pPr>
        <w:rPr>
          <w:noProof/>
        </w:rPr>
      </w:pPr>
      <w:r w:rsidRPr="008F6730">
        <w:rPr>
          <w:noProof/>
        </w:rPr>
        <w:t>U nastavku se navode glavne odredbe predložene uredbe.</w:t>
      </w:r>
    </w:p>
    <w:p w14:paraId="13033E04" w14:textId="77777777" w:rsidR="00BE258C" w:rsidRPr="008F6730" w:rsidRDefault="00386210">
      <w:pPr>
        <w:rPr>
          <w:noProof/>
        </w:rPr>
      </w:pPr>
      <w:r w:rsidRPr="008F6730">
        <w:rPr>
          <w:noProof/>
        </w:rPr>
        <w:t>U članku 1. definirani su cilj i područje primjene uredbe. Cilj je ovog prijedloga olakšati uvođenje visokokvalitetnog uklanjanja ugljika putem dobrovoljnog okvira Unije za certifikaciju. U tom se članku definira i opća struktura prijedloga, koji počiva na tri stupa. U prvom se utvrđuju četiri kriterija kvalitete, koje uklanjanja ugljika moraju ispunjavati da bi ispunjavala uvjete za certificiranje. U drugom su stupu utvrđeni glavni elementi postupka verifikacije i certifikacije. U trećem stupu utvrđena su pravila za funkcioniranje programa certificiranja putem kojih se provodi okvir Unije za certifikaciju.</w:t>
      </w:r>
    </w:p>
    <w:p w14:paraId="7E6ED240" w14:textId="77777777" w:rsidR="00BE258C" w:rsidRPr="008F6730" w:rsidRDefault="00386210">
      <w:pPr>
        <w:rPr>
          <w:noProof/>
        </w:rPr>
      </w:pPr>
      <w:r w:rsidRPr="008F6730">
        <w:rPr>
          <w:noProof/>
        </w:rPr>
        <w:t>U članku 2. navodi se glavna terminologija potrebna za dopunjavanje odredaba predložene uredbe, posebno definicije uklanjanja ugljika i aktivnosti uklanjanja ugljika.</w:t>
      </w:r>
    </w:p>
    <w:p w14:paraId="7C84E74B" w14:textId="77777777" w:rsidR="00BE258C" w:rsidRPr="008F6730" w:rsidRDefault="00386210">
      <w:pPr>
        <w:rPr>
          <w:noProof/>
        </w:rPr>
      </w:pPr>
      <w:r w:rsidRPr="008F6730">
        <w:rPr>
          <w:noProof/>
        </w:rPr>
        <w:t>U članku 3. utvrđuju se dva uvjeta koja moraju biti ispunjena kako bi uklanjanje ugljika bilo prihvatljivo za Unijin okvir za certifikaciju: prvo, mora biti ostvareno provedbom aktivnosti uklanjanja ugljika koje ispunjavaju kriterije kvalitete i, drugo, mora ga verificirati neovisno tijelo za certifikaciju.</w:t>
      </w:r>
    </w:p>
    <w:p w14:paraId="11AA26CE" w14:textId="77777777" w:rsidR="00BE258C" w:rsidRPr="008F6730" w:rsidRDefault="00386210">
      <w:pPr>
        <w:rPr>
          <w:noProof/>
        </w:rPr>
      </w:pPr>
      <w:r w:rsidRPr="008F6730">
        <w:rPr>
          <w:noProof/>
        </w:rPr>
        <w:t>Prvi stup predložene uredbe definiran je u člancima od 4. do 8. U članku 4. utvrđuju se pravila za kvantifikaciju koristi neto uklanjanja ugljika u odnosu na polaznu vrijednost, dok se u člancima 5., 6. i 7. utvrđuju kriteriji kvalitete za dodatnost, dugoročno skladištenje i održivost aktivnosti uklanjanja ugljika. Člankom 8. Komisiji se dodjeljuju ovlasti za donošenje delegiranih akata, u kojima će se utvrditi prilagođene metodologije certificiranja za procjenu usklađenosti s kriterijima kvalitete. Elementi koje treba uključiti u te metodologije certificiranja navedeni su u Prilogu I.</w:t>
      </w:r>
    </w:p>
    <w:p w14:paraId="479F585F" w14:textId="77777777" w:rsidR="00BE258C" w:rsidRPr="008F6730" w:rsidRDefault="00386210">
      <w:pPr>
        <w:rPr>
          <w:noProof/>
        </w:rPr>
      </w:pPr>
      <w:r w:rsidRPr="008F6730">
        <w:rPr>
          <w:noProof/>
        </w:rPr>
        <w:t>Drugi stup predložene uredbe, koji se odnosi na certificiranje usklađenosti, utvrđen je u člancima 9. i 10.</w:t>
      </w:r>
    </w:p>
    <w:p w14:paraId="470DFC71" w14:textId="77777777" w:rsidR="00BE258C" w:rsidRPr="008F6730" w:rsidRDefault="00386210">
      <w:pPr>
        <w:rPr>
          <w:noProof/>
        </w:rPr>
      </w:pPr>
      <w:r w:rsidRPr="008F6730">
        <w:rPr>
          <w:noProof/>
        </w:rPr>
        <w:t>U članku 9. definiraju se glavni elementi postupka certificiranja, koji se sastoji od dva koraka. U početnoj fazi operater tijelu za certifikaciju dostavlja sveobuhvatne informacije o aktivnosti uklanjanja ugljika i njezinoj očekivanoj usklađenosti s kriterijima kvalitete. Tijelo za certifikaciju provodi reviziju kako bi provjerilo tvrdnje operatera, izdaje izvješće o reviziji za potrebe certificiranja i, ako su ispunjeni kriteriji kvalitete, certifikat.</w:t>
      </w:r>
    </w:p>
    <w:p w14:paraId="7E9A6346" w14:textId="77777777" w:rsidR="00BE258C" w:rsidRPr="008F6730" w:rsidRDefault="00386210">
      <w:pPr>
        <w:rPr>
          <w:noProof/>
        </w:rPr>
      </w:pPr>
      <w:r w:rsidRPr="008F6730">
        <w:rPr>
          <w:noProof/>
        </w:rPr>
        <w:t>U drugoj fazi tijelo za certifikaciju provodi reviziju za potrebe ponovnog certificiranja kako bi provjerilo je li aktivnost uklanjanja ugljika provedena ispravno i u potpunosti u skladu s kriterijima kvalitete te izdaje izvješće o reviziji za potrebe ponovnog certificiranja i ažurirani certifikat, na temelju kojih se u okviru programa certificiranja izdaju i registriraju certificirane jedinice uklanjanja ugljika. Minimalne informacije koje certifikat mora sadržavati navedene su u Prilogu II.</w:t>
      </w:r>
    </w:p>
    <w:p w14:paraId="03DF67AC" w14:textId="77777777" w:rsidR="00BE258C" w:rsidRPr="008F6730" w:rsidRDefault="00386210">
      <w:pPr>
        <w:rPr>
          <w:noProof/>
        </w:rPr>
      </w:pPr>
      <w:r w:rsidRPr="008F6730">
        <w:rPr>
          <w:noProof/>
        </w:rPr>
        <w:t>U članku 10. utvrđuju se minimalni uvjeti za tijela za certifikaciju kako bi se osigurala njihova stručnost za provođenje revizija za potrebe certificiranja te njihova neovisnost i nepristranost. Utvrđuje se i obveza država članica da nadziru rad tijela za certifikaciju.</w:t>
      </w:r>
    </w:p>
    <w:p w14:paraId="2C98F30C" w14:textId="77777777" w:rsidR="00BE258C" w:rsidRPr="008F6730" w:rsidRDefault="00386210">
      <w:pPr>
        <w:rPr>
          <w:noProof/>
        </w:rPr>
      </w:pPr>
      <w:r w:rsidRPr="008F6730">
        <w:rPr>
          <w:noProof/>
        </w:rPr>
        <w:t>Treći stup, koji se odnosi na programe certificiranja, obuhvaćen je člancima od 11. do 14. U članku 11. utvrđuje se obveza operatera da za dokazivanje usklađenosti s kriterijima kvalitete upotrebljavaju programe certificiranja koje priznaje Komisija. U tom se članku utvrđuje i niz zahtjeva za funkcioniranje programa certificiranja, uključujući mjere za osiguravanje dobrog upravljanja, transparentnosti i odgovornosti.</w:t>
      </w:r>
    </w:p>
    <w:p w14:paraId="02B0EABB" w14:textId="77777777" w:rsidR="00BE258C" w:rsidRPr="008F6730" w:rsidRDefault="00386210">
      <w:pPr>
        <w:rPr>
          <w:noProof/>
        </w:rPr>
      </w:pPr>
      <w:r w:rsidRPr="008F6730">
        <w:rPr>
          <w:noProof/>
        </w:rPr>
        <w:t>Člankom 12. uvodi se obveza da se u okviru programa certificiranja uspostave i održavaju javni registri aktivnosti uklanjanja ugljika i jedinica uklanjanja ugljika. Neophodno je da se u registrima upotrebljavaju automatizirani sustavi i da registri budu interoperabilni kako bi se spriječile prijevare i izbjeglo dvostruko računanje.</w:t>
      </w:r>
    </w:p>
    <w:p w14:paraId="5829B377" w14:textId="77777777" w:rsidR="00BE258C" w:rsidRPr="008F6730" w:rsidRDefault="00386210">
      <w:pPr>
        <w:rPr>
          <w:noProof/>
        </w:rPr>
      </w:pPr>
      <w:r w:rsidRPr="008F6730">
        <w:rPr>
          <w:noProof/>
        </w:rPr>
        <w:t>Članak 13. sadržava pravnu osnovu za priznavanje programa certificiranja na temelju odluka Komisije, a u članku 14. propisuju se zahtjevi za izvješćivanje o programima certificiranja.</w:t>
      </w:r>
    </w:p>
    <w:p w14:paraId="52D6CA87" w14:textId="77777777" w:rsidR="00BE258C" w:rsidRPr="008F6730" w:rsidRDefault="00386210">
      <w:pPr>
        <w:rPr>
          <w:noProof/>
        </w:rPr>
      </w:pPr>
      <w:r w:rsidRPr="008F6730">
        <w:rPr>
          <w:noProof/>
        </w:rPr>
        <w:t>U članku 18. propisuje se preispitivanje uredbe: prvi put tri godine nakon njezina stupanja na snagu, a najkasnije do kraja 2028., a nakon toga u pravilnim vremenskim razmacima nakon svakog pregleda stanja koje se provede kako je utvrđeno u Pariškom sporazumu.</w:t>
      </w:r>
    </w:p>
    <w:p w14:paraId="152475E9" w14:textId="77777777" w:rsidR="00BE258C" w:rsidRPr="008F6730" w:rsidRDefault="00BE258C">
      <w:pPr>
        <w:rPr>
          <w:noProof/>
        </w:rPr>
        <w:sectPr w:rsidR="00BE258C" w:rsidRPr="008F6730" w:rsidSect="00176A4E">
          <w:footerReference w:type="default" r:id="rId13"/>
          <w:footerReference w:type="first" r:id="rId14"/>
          <w:pgSz w:w="11907" w:h="16839"/>
          <w:pgMar w:top="1134" w:right="1417" w:bottom="1134" w:left="1417" w:header="709" w:footer="709" w:gutter="0"/>
          <w:cols w:space="720"/>
          <w:docGrid w:linePitch="360"/>
        </w:sectPr>
      </w:pPr>
    </w:p>
    <w:p w14:paraId="32CC2F75" w14:textId="26C7C184" w:rsidR="00AF25A5" w:rsidRPr="008F6730" w:rsidRDefault="00657CF7" w:rsidP="00657CF7">
      <w:pPr>
        <w:pStyle w:val="Rfrenceinterinstitutionnelle"/>
        <w:rPr>
          <w:noProof/>
        </w:rPr>
      </w:pPr>
      <w:r w:rsidRPr="00657CF7">
        <w:t>2022/0394 (COD)</w:t>
      </w:r>
    </w:p>
    <w:p w14:paraId="5E455DBD" w14:textId="6BFE20DB" w:rsidR="00BE258C" w:rsidRPr="008F6730" w:rsidRDefault="008F6730" w:rsidP="008F6730">
      <w:pPr>
        <w:pStyle w:val="Statut"/>
        <w:rPr>
          <w:noProof/>
        </w:rPr>
      </w:pPr>
      <w:r w:rsidRPr="008F6730">
        <w:rPr>
          <w:noProof/>
        </w:rPr>
        <w:t>Prijedlog</w:t>
      </w:r>
    </w:p>
    <w:p w14:paraId="262A0B61" w14:textId="6D659FAC" w:rsidR="00BE258C" w:rsidRPr="008F6730" w:rsidRDefault="008F6730" w:rsidP="008F6730">
      <w:pPr>
        <w:pStyle w:val="Typedudocument"/>
        <w:rPr>
          <w:noProof/>
        </w:rPr>
      </w:pPr>
      <w:r w:rsidRPr="008F6730">
        <w:rPr>
          <w:noProof/>
        </w:rPr>
        <w:t>UREDBE EUROPSKOG PARLAMENTA I VIJEĆA</w:t>
      </w:r>
    </w:p>
    <w:p w14:paraId="36035B69" w14:textId="5BBD9D14" w:rsidR="00BE258C" w:rsidRPr="008F6730" w:rsidRDefault="008F6730" w:rsidP="008F6730">
      <w:pPr>
        <w:pStyle w:val="Titreobjet"/>
        <w:rPr>
          <w:noProof/>
        </w:rPr>
      </w:pPr>
      <w:r w:rsidRPr="008F6730">
        <w:rPr>
          <w:noProof/>
        </w:rPr>
        <w:t>o uspostavljanju okvira Unije za certifikaciju uklanjanja ugljika</w:t>
      </w:r>
    </w:p>
    <w:p w14:paraId="39D69673" w14:textId="77777777" w:rsidR="00BE258C" w:rsidRPr="008F6730" w:rsidRDefault="00386210">
      <w:pPr>
        <w:pStyle w:val="Institutionquiagit"/>
        <w:rPr>
          <w:noProof/>
        </w:rPr>
      </w:pPr>
      <w:r w:rsidRPr="008F6730">
        <w:rPr>
          <w:noProof/>
        </w:rPr>
        <w:t>EUROPSKI PARLAMENT I VIJEĆE EUROPSKE UNIJE,</w:t>
      </w:r>
    </w:p>
    <w:p w14:paraId="7856824E" w14:textId="77777777" w:rsidR="00BE258C" w:rsidRPr="008F6730" w:rsidRDefault="00386210">
      <w:pPr>
        <w:rPr>
          <w:noProof/>
        </w:rPr>
      </w:pPr>
      <w:r w:rsidRPr="008F6730">
        <w:rPr>
          <w:noProof/>
        </w:rPr>
        <w:t>uzimajući u obzir Ugovor o funkcioniranju Europske unije, a posebno njegov članak 192. stavak 1.,</w:t>
      </w:r>
    </w:p>
    <w:p w14:paraId="29D1E3F2" w14:textId="77777777" w:rsidR="00BE258C" w:rsidRPr="008F6730" w:rsidRDefault="00386210">
      <w:pPr>
        <w:rPr>
          <w:noProof/>
        </w:rPr>
      </w:pPr>
      <w:r w:rsidRPr="008F6730">
        <w:rPr>
          <w:noProof/>
        </w:rPr>
        <w:t>uzimajući u obzir prijedlog Europske komisije,</w:t>
      </w:r>
    </w:p>
    <w:p w14:paraId="74228D42" w14:textId="77777777" w:rsidR="00BE258C" w:rsidRPr="008F6730" w:rsidRDefault="00386210">
      <w:pPr>
        <w:rPr>
          <w:noProof/>
        </w:rPr>
      </w:pPr>
      <w:r w:rsidRPr="008F6730">
        <w:rPr>
          <w:noProof/>
        </w:rPr>
        <w:t>nakon prosljeđivanja nacrta zakonodavnog akta nacionalnim parlamentima,</w:t>
      </w:r>
    </w:p>
    <w:p w14:paraId="6C920EB7" w14:textId="77777777" w:rsidR="00BE258C" w:rsidRPr="008F6730" w:rsidRDefault="00386210">
      <w:pPr>
        <w:rPr>
          <w:noProof/>
        </w:rPr>
      </w:pPr>
      <w:r w:rsidRPr="008F6730">
        <w:rPr>
          <w:noProof/>
        </w:rPr>
        <w:t>uzimajući u obzir mišljenje Europskoga gospodarskog i socijalnog odbora</w:t>
      </w:r>
      <w:r w:rsidRPr="008F6730">
        <w:rPr>
          <w:rStyle w:val="FootnoteReference"/>
          <w:noProof/>
        </w:rPr>
        <w:footnoteReference w:id="21"/>
      </w:r>
      <w:r w:rsidRPr="008F6730">
        <w:rPr>
          <w:noProof/>
        </w:rPr>
        <w:t>,</w:t>
      </w:r>
    </w:p>
    <w:p w14:paraId="3A4B787E" w14:textId="77777777" w:rsidR="00BE258C" w:rsidRPr="008F6730" w:rsidRDefault="00386210">
      <w:pPr>
        <w:rPr>
          <w:noProof/>
        </w:rPr>
      </w:pPr>
      <w:r w:rsidRPr="008F6730">
        <w:rPr>
          <w:noProof/>
        </w:rPr>
        <w:t>uzimajući u obzir mišljenje Odbora regija</w:t>
      </w:r>
      <w:r w:rsidRPr="008F6730">
        <w:rPr>
          <w:rStyle w:val="FootnoteReference"/>
          <w:noProof/>
        </w:rPr>
        <w:footnoteReference w:id="22"/>
      </w:r>
      <w:r w:rsidRPr="008F6730">
        <w:rPr>
          <w:noProof/>
        </w:rPr>
        <w:t>,</w:t>
      </w:r>
    </w:p>
    <w:p w14:paraId="7C5A56E8" w14:textId="77777777" w:rsidR="00BE258C" w:rsidRPr="008F6730" w:rsidRDefault="00386210">
      <w:pPr>
        <w:rPr>
          <w:noProof/>
        </w:rPr>
      </w:pPr>
      <w:r w:rsidRPr="008F6730">
        <w:rPr>
          <w:noProof/>
        </w:rPr>
        <w:t>u skladu s redovnim zakonodavnim postupkom,</w:t>
      </w:r>
    </w:p>
    <w:p w14:paraId="30C4FA05" w14:textId="77777777" w:rsidR="00BE258C" w:rsidRPr="008F6730" w:rsidRDefault="00386210">
      <w:pPr>
        <w:rPr>
          <w:noProof/>
        </w:rPr>
      </w:pPr>
      <w:r w:rsidRPr="008F6730">
        <w:rPr>
          <w:noProof/>
        </w:rPr>
        <w:t>budući da:</w:t>
      </w:r>
    </w:p>
    <w:p w14:paraId="0FB84F7C" w14:textId="77777777" w:rsidR="00BE258C" w:rsidRPr="008F6730" w:rsidRDefault="00386210">
      <w:pPr>
        <w:pStyle w:val="ManualConsidrant"/>
        <w:rPr>
          <w:noProof/>
        </w:rPr>
      </w:pPr>
      <w:r w:rsidRPr="008F6730">
        <w:rPr>
          <w:noProof/>
        </w:rPr>
        <w:t>(1)</w:t>
      </w:r>
      <w:r w:rsidRPr="008F6730">
        <w:rPr>
          <w:noProof/>
        </w:rPr>
        <w:tab/>
        <w:t>U skladu s Pariškim sporazumom, donesenim u sklopu Okvirne konvencije Ujedinjenih naroda o promjeni klime</w:t>
      </w:r>
      <w:r w:rsidRPr="008F6730">
        <w:rPr>
          <w:rStyle w:val="FootnoteReference"/>
          <w:noProof/>
        </w:rPr>
        <w:footnoteReference w:id="23"/>
      </w:r>
      <w:r w:rsidRPr="008F6730">
        <w:rPr>
          <w:noProof/>
        </w:rPr>
        <w:t xml:space="preserve"> („Pariški sporazum”), međunarodna zajednica pristala je zadržati povećanje prosječne globalne temperature na razini znatno nižoj od 2 °C iznad razina iz predindustrijskog razdoblja te nastojati ograničiti taj porast temperature na 1,5 °C iznad razina iz predindustrijskog razdoblja. Unija i njezine države članice stranke su Pariškog sporazuma i predane njegovoj provedbi, i to smanjenjem emisija stakleničkih plinova i povećanjem uklanjanja ugljika.</w:t>
      </w:r>
    </w:p>
    <w:p w14:paraId="2CCE0E55" w14:textId="77777777" w:rsidR="00BE258C" w:rsidRPr="008F6730" w:rsidRDefault="00386210">
      <w:pPr>
        <w:pStyle w:val="ManualConsidrant"/>
        <w:rPr>
          <w:noProof/>
        </w:rPr>
      </w:pPr>
      <w:r w:rsidRPr="008F6730">
        <w:rPr>
          <w:noProof/>
        </w:rPr>
        <w:t>(2)</w:t>
      </w:r>
      <w:r w:rsidRPr="008F6730">
        <w:rPr>
          <w:noProof/>
        </w:rPr>
        <w:tab/>
        <w:t>Na globalnoj razini, zadnje izvješće</w:t>
      </w:r>
      <w:r w:rsidRPr="008F6730">
        <w:rPr>
          <w:rStyle w:val="FootnoteReference"/>
          <w:noProof/>
        </w:rPr>
        <w:footnoteReference w:id="24"/>
      </w:r>
      <w:r w:rsidRPr="008F6730">
        <w:rPr>
          <w:noProof/>
        </w:rPr>
        <w:t xml:space="preserve"> Međuvladina panela o klimatskim promjenama (IPCC) upućuje na to da se vjerojatnost ograničavanja globalnog zagrijavanja na 1,5 °C smanjuje ako se u narednim desetljećima brzo i znatno ne smanje emisije stakleničkih plinova na globalnoj razini. U tom se izvješću IPCC-a jasno navodi i da je, ako se želi postići nulta neto stopa emisija ugljikova dioksida (CO</w:t>
      </w:r>
      <w:r w:rsidRPr="008F6730">
        <w:rPr>
          <w:noProof/>
          <w:vertAlign w:val="subscript"/>
        </w:rPr>
        <w:t>2</w:t>
      </w:r>
      <w:r w:rsidRPr="008F6730">
        <w:rPr>
          <w:noProof/>
        </w:rPr>
        <w:t>) ili emisija stakleničkih plinova, neophodno uklanjati ugljikov dioksid kako bi se kompenzirale preostale emisije koje je teško smanjiti. Za to će biti potrebno široko uvođenje održivih aktivnosti za hvatanje CO</w:t>
      </w:r>
      <w:r w:rsidRPr="008F6730">
        <w:rPr>
          <w:noProof/>
          <w:vertAlign w:val="subscript"/>
        </w:rPr>
        <w:t>2</w:t>
      </w:r>
      <w:r w:rsidRPr="008F6730">
        <w:rPr>
          <w:noProof/>
        </w:rPr>
        <w:t xml:space="preserve"> iz atmosfere i njegovo trajno skladištenje u geološkim spremnicima, kopnenim i morskim ekosustavima i proizvodima. Unija danas, s postojećim politikama, nije na dobrom putu da ostvari potrebna uklanjanja ugljika: uklanjanje ugljika u kopnenim ekosustavima posljednjih se godina smanjuje, a u industriji se trenutačno uklanjaju tek neznatne količine ugljika.</w:t>
      </w:r>
    </w:p>
    <w:p w14:paraId="780894E3" w14:textId="77777777" w:rsidR="00BE258C" w:rsidRPr="008F6730" w:rsidRDefault="00386210">
      <w:pPr>
        <w:pStyle w:val="ManualConsidrant"/>
        <w:rPr>
          <w:noProof/>
        </w:rPr>
      </w:pPr>
      <w:r w:rsidRPr="008F6730">
        <w:rPr>
          <w:noProof/>
        </w:rPr>
        <w:t>(3)</w:t>
      </w:r>
      <w:r w:rsidRPr="008F6730">
        <w:rPr>
          <w:noProof/>
        </w:rPr>
        <w:tab/>
        <w:t>Cilj je ove Uredbe razviti dobrovoljni okvir Unije za certifikaciju uklanjanja ugljika kako bi se potaknulo visokokvalitetno uklanjanje ugljika uz potpuno poštovanje bioraznolikosti i ciljeva nulte stope onečišćenja. Riječ je o alatu za potporu postizanju ciljeva Unije na temelju Pariškog sporazuma, posebno cilja zajedničke klimatske neutralnosti do 2050., utvrđenog u Uredbi (EU) 2021/1119 Europskog parlamenta i Vijeća</w:t>
      </w:r>
      <w:r w:rsidRPr="008F6730">
        <w:rPr>
          <w:rStyle w:val="FootnoteReference"/>
          <w:noProof/>
        </w:rPr>
        <w:footnoteReference w:id="25"/>
      </w:r>
      <w:r w:rsidRPr="008F6730">
        <w:rPr>
          <w:noProof/>
        </w:rPr>
        <w:t>. Unija se obvezala i da će nakon 2050. stvarati negativne emisije. Važan instrument za povećanje uklanjanja ugljika u kopnenim ekosustavima jest Uredba (EU) 2018/841 Europskog parlamenta i Vijeća</w:t>
      </w:r>
      <w:r w:rsidRPr="008F6730">
        <w:rPr>
          <w:rStyle w:val="FootnoteReference"/>
          <w:noProof/>
        </w:rPr>
        <w:footnoteReference w:id="26"/>
      </w:r>
      <w:r w:rsidRPr="008F6730">
        <w:rPr>
          <w:noProof/>
        </w:rPr>
        <w:t>, koja se trenutačno preispituje. Cilj je tog preispitivanja utvrditi cilj neto uklanjanja u Uniji od 310 Mt ekvivalenta CO</w:t>
      </w:r>
      <w:r w:rsidRPr="008F6730">
        <w:rPr>
          <w:noProof/>
          <w:vertAlign w:val="subscript"/>
        </w:rPr>
        <w:t>2</w:t>
      </w:r>
      <w:r w:rsidRPr="008F6730">
        <w:rPr>
          <w:noProof/>
        </w:rPr>
        <w:t xml:space="preserve"> do 2030. i zadati odgovarajuće ciljeve svakoj državi članici.</w:t>
      </w:r>
    </w:p>
    <w:p w14:paraId="7C44C9A3" w14:textId="77777777" w:rsidR="00BE258C" w:rsidRPr="008F6730" w:rsidRDefault="00386210">
      <w:pPr>
        <w:pStyle w:val="ManualConsidrant"/>
        <w:rPr>
          <w:noProof/>
        </w:rPr>
      </w:pPr>
      <w:r w:rsidRPr="008F6730">
        <w:rPr>
          <w:noProof/>
        </w:rPr>
        <w:t>(4)</w:t>
      </w:r>
      <w:r w:rsidRPr="008F6730">
        <w:rPr>
          <w:noProof/>
        </w:rPr>
        <w:tab/>
        <w:t>Primjena Unijina okvira za certifikaciju pridonijet će razvoju aktivnosti uklanjanja ugljika u Uniji koje dovode do nedvojbene koristi neto uklanjanja ugljika, uz izbjegavanje manipulativnog zelenog marketinga. U slučaju sekvestracije ugljika u poljoprivredi takav bi okvir za certifikaciju trebao poticati i uvođenje aktivnosti uklanjanja ugljika kojima se ostvaraju posredne koristi za bioraznolikost, čime bi se postigli ciljevi obnove prirode utvrđeni u pravu Unije o obnovi prirode. Uvođenje okvira za certifikaciju bit će neophodno za postizanje ciljeva Unije u pogledu ublažavanja klimatskih promjena utvrđenih u međunarodnim sporazumima i zakonodavstvu Unije.</w:t>
      </w:r>
    </w:p>
    <w:p w14:paraId="75F8781C" w14:textId="77777777" w:rsidR="00BE258C" w:rsidRPr="008F6730" w:rsidRDefault="00386210">
      <w:pPr>
        <w:pStyle w:val="ManualConsidrant"/>
        <w:rPr>
          <w:noProof/>
        </w:rPr>
      </w:pPr>
      <w:r w:rsidRPr="008F6730">
        <w:rPr>
          <w:noProof/>
        </w:rPr>
        <w:t>(5)</w:t>
      </w:r>
      <w:r w:rsidRPr="008F6730">
        <w:rPr>
          <w:noProof/>
        </w:rPr>
        <w:tab/>
        <w:t>Kako bi se pružila potpora operaterima koji su voljni uložiti dodatne napore u održivo povećanje uklanjanja ugljika, u Unijinu okviru za certifikaciju trebalo bi uzeti u obzir razne vrste aktivnosti uklanjanja ugljika, njihove posebnosti i povezane učinke na okoliš. Stoga bi u ovoj Uredbi trebalo jasno definirati uklanjanje ugljika, aktivnosti uklanjanja ugljika i druge elemente Unijina okvira za certifikaciju.</w:t>
      </w:r>
    </w:p>
    <w:p w14:paraId="5824BACA" w14:textId="77777777" w:rsidR="00BE258C" w:rsidRPr="008F6730" w:rsidRDefault="00386210">
      <w:pPr>
        <w:pStyle w:val="ManualConsidrant"/>
        <w:rPr>
          <w:noProof/>
        </w:rPr>
      </w:pPr>
      <w:r w:rsidRPr="008F6730">
        <w:rPr>
          <w:noProof/>
        </w:rPr>
        <w:t>(6)</w:t>
      </w:r>
      <w:r w:rsidRPr="008F6730">
        <w:rPr>
          <w:noProof/>
        </w:rPr>
        <w:tab/>
        <w:t>U ovoj bi se Uredbi trebali utvrditi zahtjevi koje je potrebno ispuniti da bi uklanjanje ugljika bilo prihvatljivo za certificiranje u Unijinu okviru za certifikaciju. U tu bi svrhu uklanjanje ugljika trebalo kvantificirati na točan i pouzdan način te bi se ono trebalo ostvarivati samo putem aktivnosti uklanjanja ugljika kojima se ostvaruje korist neto uklanjanja ugljika, koje su dodatne, kojima se nastoji osigurati dugoročno skladištenje ugljika i koje imaju neutralan učinak ili posrednu korist za ciljeve održivosti. Nadalje, uklanjanje ugljika trebalo bi podlijegati reviziji koju provodi neovisna treća strana kako bi se osigurala vjerodostojnost i pouzdanost postupka certificiranja. Primjenjuju se obvezujuća pravila Unije o određivanju cijena ugljika, utvrđena Direktivom 2003/87/EZ Europskog parlamenta i Vijeća</w:t>
      </w:r>
      <w:r w:rsidRPr="008F6730">
        <w:rPr>
          <w:rStyle w:val="FootnoteReference"/>
          <w:noProof/>
        </w:rPr>
        <w:footnoteReference w:id="27"/>
      </w:r>
      <w:r w:rsidRPr="008F6730">
        <w:rPr>
          <w:noProof/>
        </w:rPr>
        <w:t>, kako bi se uredilo postupanje s emisijama iz djelatnosti obuhvaćenih tom direktivom. Ovom Uredbom ne bi se trebala dovoditi u pitanje Direktiva 2003/87/EZ, osim u pogledu certificiranja uklanjanja emisija iz održive biomase s nultom stopom u skladu s Prilogom IV. toj direktivi.</w:t>
      </w:r>
    </w:p>
    <w:p w14:paraId="141EB186" w14:textId="77777777" w:rsidR="00BE258C" w:rsidRPr="008F6730" w:rsidRDefault="00386210">
      <w:pPr>
        <w:pStyle w:val="ManualConsidrant"/>
        <w:rPr>
          <w:noProof/>
        </w:rPr>
      </w:pPr>
      <w:r w:rsidRPr="008F6730">
        <w:rPr>
          <w:noProof/>
        </w:rPr>
        <w:t>(7)</w:t>
      </w:r>
      <w:r w:rsidRPr="008F6730">
        <w:rPr>
          <w:noProof/>
        </w:rPr>
        <w:tab/>
        <w:t>Aktivnost uklanjanja ugljika trebala bi dovesti do koristi neto uklanjanja ugljika, što bi dokazalo da ta aktivnost ima pozitivan učinak na klimu. Korist neto uklanjanja ugljika trebala bi se izračunavati u dva koraka. Prvo, operateri bi trebali kvantificirati količinu dodatnog uklanjanja ugljika ostvarenu provedbom aktivnosti uklanjanja ugljika u odnosu na polaznu vrijednost. Trebalo bi dati prednost standardiziranoj polaznoj vrijednosti koja odražava standardnu učinkovitost usporedivih aktivnosti u sličnim društvenim, gospodarskim, okolišnim i tehnološkim okolnostima i geografskim lokacijama jer se tako osigurava objektivnost, smanjuju na najmanju moguću mjeru troškovi usklađivanja i drugi administrativni troškovi te se pozitivno prepoznaje djelovanje pionira koji su već počeli s aktivnostima uklanjanja ugljika. U kontekstu sekvestracije ugljika u poljoprivredi trebalo bi promicati upotrebu dostupnih digitalnih tehnologija, uključujući elektroničke baze podataka, geografske informacijske sustave, daljinsko istraživanje, umjetnu inteligenciju i strojno učenje, te upotrebu elektroničkih karata kako bi se smanjili troškovi utvrđivanja polaznih vrijednosti i praćenja aktivnosti uklanjanja ugljika. Međutim, ako nije moguće utvrditi takvu standardiziranu polaznu vrijednost, može se upotrijebiti polazna vrijednost za pojedine projekte na temelju pojedinačnih rezultata operatera. Polazne vrijednosti trebalo bi redovito ažurirati kako bi se uzeo u obzir društveni, gospodarski, ekološki i tehnološki razvoj te kako bi se s vremenom povećale ambicije u skladu s Pariškim sporazumom.</w:t>
      </w:r>
    </w:p>
    <w:p w14:paraId="788D28DC" w14:textId="77777777" w:rsidR="00BE258C" w:rsidRPr="008F6730" w:rsidRDefault="00386210">
      <w:pPr>
        <w:pStyle w:val="ManualConsidrant"/>
        <w:rPr>
          <w:noProof/>
        </w:rPr>
      </w:pPr>
      <w:r w:rsidRPr="008F6730">
        <w:rPr>
          <w:noProof/>
        </w:rPr>
        <w:t>(8)</w:t>
      </w:r>
      <w:r w:rsidRPr="008F6730">
        <w:rPr>
          <w:noProof/>
        </w:rPr>
        <w:tab/>
        <w:t>Drugi korak za kvantificiranje koristi neto uklanjanja ugljika trebao bi uključivati oduzimanje svakog povećanja emisija stakleničkih plinova povezanog s provedbom aktivnosti uklanjanja ugljika. Relevantne emisije stakleničkih plinova koje bi trebalo uzeti u obzir uključuju izravne emisije, primjerice one koje proizlaze iz povećanog korištenja gnojiva, goriva ili energije, te neizravne emisije, primjerice one koje proizlaze iz prenamjene zemljišta, s posljedičnim rizicima za sigurnost opskrbe hranom zbog premještanja poljoprivredne proizvodnje. Smanjenje emisija stakleničkih plinova koje proizlazi iz provedbe aktivnosti uklanjanja ugljika ne bi se trebalo uzimati u obzir za kvantificiranje koristi neto uklanjanja ugljika, već bi se trebalo smatrati posrednom koristi za cilj održivosti ublažavanja klimatskih promjena; uključivanjem smanjenja emisija stakleničkih plinova (kao i drugih posrednih koristi za održivost) u certifikate može se povećati vrijednost certificiranih uklanjanja ugljika.</w:t>
      </w:r>
    </w:p>
    <w:p w14:paraId="5A656F30" w14:textId="77777777" w:rsidR="00BE258C" w:rsidRPr="008F6730" w:rsidRDefault="00386210">
      <w:pPr>
        <w:pStyle w:val="ManualConsidrant"/>
        <w:rPr>
          <w:noProof/>
        </w:rPr>
      </w:pPr>
      <w:r w:rsidRPr="008F6730">
        <w:rPr>
          <w:noProof/>
        </w:rPr>
        <w:t>(9)</w:t>
      </w:r>
      <w:r w:rsidRPr="008F6730">
        <w:rPr>
          <w:noProof/>
        </w:rPr>
        <w:tab/>
        <w:t>Provedbom aktivnosti uklanjanja ugljika ostvaruje se korist neto uklanjanja ugljika ako uklanjanje ugljika iznad polazne vrijednosti premašuje svako povećanje emisija stakleničkih plinova zbog provedbe aktivnosti uklanjanja ugljika. Na primjer, u slučaju aktivnosti kojima se postiže trajno skladištenje ugljika ubrizgavanjem ugljika u zemlju, količina trajno uskladištenog ugljika trebala bi biti veća od emisija stakleničkih plinova iz tog industrijskog procesa povezanih s energijom. U slučaju sekvestracije ugljika u poljoprivredi, količina ugljika uhvaćenog u okviru aktivnosti pošumljavanja ili ugljika zadržanog u tlu zahvaljujući ponovnom natapanju tresetišta trebala bi biti veća od emisija iz strojeva koji se upotrebljavaju za provedbu predmetne aktivnosti uklanjanja ugljika ili emisija u vezi s neizravnom prenamjenom zemljišta do kojih može doći zbog istjecanja ugljika.</w:t>
      </w:r>
    </w:p>
    <w:p w14:paraId="00677A9B" w14:textId="65B0BF64" w:rsidR="00BE258C" w:rsidRPr="008F6730" w:rsidRDefault="00386210">
      <w:pPr>
        <w:pStyle w:val="ManualConsidrant"/>
        <w:rPr>
          <w:noProof/>
        </w:rPr>
      </w:pPr>
      <w:r w:rsidRPr="008F6730">
        <w:rPr>
          <w:noProof/>
        </w:rPr>
        <w:t>(10)</w:t>
      </w:r>
      <w:r w:rsidRPr="008F6730">
        <w:rPr>
          <w:noProof/>
        </w:rPr>
        <w:tab/>
        <w:t xml:space="preserve">Uklanjanje ugljika trebalo bi kvantificirati na relevantan, točan, potpun, dosljedan i usporediv način. O nesigurnostima u kvantifikaciji trebalo bi propisno izvješćivati i voditi računa kako bi se ograničio rizik od precjenjivanja količine ugljikova dioksida uklonjenog iz atmosfere. Uklanjanje ugljika ostvareno sekvestracijom ugljika u poljoprivredi trebalo bi kvantificirati s visokom razinom točnosti kako bi se osigurala najviša kvaliteta, a nesigurnosti smanjile na najmanju moguću mjeru. Uz to, kako bi se potaknule sinergije između ciljeva Unije u području klime i bioraznolikosti, potrebno je i pojačano praćenje zemljišta, čime će se doprinijeti zaštiti i povećanju otpornosti </w:t>
      </w:r>
      <w:r w:rsidR="003A1E32">
        <w:rPr>
          <w:noProof/>
        </w:rPr>
        <w:t xml:space="preserve">prirodnog </w:t>
      </w:r>
      <w:r w:rsidRPr="008F6730">
        <w:rPr>
          <w:noProof/>
        </w:rPr>
        <w:t>uklanjanja ugl</w:t>
      </w:r>
      <w:r w:rsidR="003A1E32">
        <w:rPr>
          <w:noProof/>
        </w:rPr>
        <w:t xml:space="preserve">jika </w:t>
      </w:r>
      <w:r w:rsidRPr="008F6730">
        <w:rPr>
          <w:noProof/>
        </w:rPr>
        <w:t>u cijeloj Uniji. Praćenje i izvješćivanje o emisijama i uklanjanjima putem satelita i na licu mjesta moraju precizno odražavati te pristupe i na najbolji način iskoristiti napredne tehnologije dostupne u okviru programa Unije, primjerice programa Copernicus, uz potpuno iskorištavanje postojećih alata i osiguravanje dosljednosti s nacionalnim inventarima stakleničkih plinova. </w:t>
      </w:r>
    </w:p>
    <w:p w14:paraId="1CD72A95" w14:textId="77777777" w:rsidR="00BE258C" w:rsidRPr="008F6730" w:rsidRDefault="00386210">
      <w:pPr>
        <w:pStyle w:val="ManualConsidrant"/>
        <w:rPr>
          <w:noProof/>
        </w:rPr>
      </w:pPr>
      <w:r w:rsidRPr="008F6730">
        <w:rPr>
          <w:noProof/>
        </w:rPr>
        <w:t>(11)</w:t>
      </w:r>
      <w:r w:rsidRPr="008F6730">
        <w:rPr>
          <w:noProof/>
        </w:rPr>
        <w:tab/>
        <w:t>Kako bi se osiguralo da se poticaji u okviru Unijina okvira za certifikaciju usmjeravaju na uklanjanja ugljika koja nadilaze standardnu praksu, aktivnosti uklanjanja ugljika trebale bi biti dodatne. To znači da bi te aktivnosti trebale ići korak dalje od zakonskih zahtjeva, odnosno da bi operateri trebali provoditi aktivnosti koje im nisu već nametnute mjerodavnim pravom. Uz to, aktivnosti uklanjanja ugljika trebale bi se provoditi zbog poticajnog učinka certificiranja. Takav je učinak prisutan kad poticaj koji proizlazi iz potencijalnih prihoda zahvaljujući certificiranju mijenja ponašanje operatera tako da počne provoditi dodatnu aktivnost uklanjanja ugljika kako bi se postiglo dodatno uklanjanje ugljika.</w:t>
      </w:r>
    </w:p>
    <w:p w14:paraId="0589584C" w14:textId="77777777" w:rsidR="00BE258C" w:rsidRPr="008F6730" w:rsidRDefault="00386210">
      <w:pPr>
        <w:pStyle w:val="ManualConsidrant"/>
        <w:rPr>
          <w:noProof/>
        </w:rPr>
      </w:pPr>
      <w:r w:rsidRPr="008F6730">
        <w:rPr>
          <w:noProof/>
        </w:rPr>
        <w:t>(12)</w:t>
      </w:r>
      <w:r w:rsidRPr="008F6730">
        <w:rPr>
          <w:noProof/>
        </w:rPr>
        <w:tab/>
        <w:t>Standardizirana polazna vrijednost trebala bi odražavati zakonske i tržišne uvjete u kojima se provodi aktivnost uklanjanja ugljika. Ako je primjenjivim pravom operaterima nametnuta određena aktivnost uklanjanja ugljika ili ako za to nisu potrebni nikakvi poticaji, rezultati te aktivnosti odražavat će se u polaznoj vrijednosti. Zato bi se aktivnost uklanjanja ugljika kojom se ostvaruju uklanjanja ugljika koja premašuju takvu polaznu vrijednost trebala smatrati dodatnom. Stoga bi upotreba standardizirane polazne vrijednosti operaterima trebala pojednostavniti dokazivanje dodatnosti. Time bi se smanjilo administrativno opterećenje postupka certificiranja, što je posebno važno u slučaju malih upravitelja zemljišta.</w:t>
      </w:r>
    </w:p>
    <w:p w14:paraId="010D0606" w14:textId="77777777" w:rsidR="00BE258C" w:rsidRPr="008F6730" w:rsidRDefault="00386210">
      <w:pPr>
        <w:pStyle w:val="ManualConsidrant"/>
        <w:rPr>
          <w:noProof/>
        </w:rPr>
      </w:pPr>
      <w:r w:rsidRPr="008F6730">
        <w:rPr>
          <w:noProof/>
        </w:rPr>
        <w:t>(13)</w:t>
      </w:r>
      <w:r w:rsidRPr="008F6730">
        <w:rPr>
          <w:noProof/>
        </w:rPr>
        <w:tab/>
        <w:t>Postoji rizik da se atmosferski i biogeni ugljik koji se hvataju i skladište putem aktivnosti uklanjanja ugljika ponovno ispuste u atmosferu (npr. poništenje uklanjanja) zbog prirodnih ili antropogenih uzroka. Operateri bi trebali poduzeti sve relevantne preventivne mjere za ublažavanje tih rizika i propisno pratiti skladištenje ugljika tijekom razdoblja praćenja utvrđenog za relevantnu aktivnost uklanjanja ugljika. Valjanost certificiranog uklanjanja ugljika trebala bi ovisiti o očekivanom trajanju skladištenja i raznim rizicima od poništenja uklanjanja povezanima s predmetnom aktivnošću uklanjanja ugljika. Aktivnosti kojima se ugljik skladišti u geološkim formacijama pružaju dovoljnu sigurnost u smislu vrlo dugog trajanja skladištenja ugljika (nekoliko stoljeća) te se može smatrati da omogućuju trajno skladištenje ugljika. Sekvestracija ugljika u poljoprivredi i skladištenje ugljika u proizvodima izloženiji su riziku od namjernog ili nenamjernog ispuštanja ugljika u atmosferu. Kako bi se taj rizik uzeo u obzir, valjanost certificiranih uklanjanja ugljika postignutih sekvestracijom ugljika u poljoprivredi i skladištenjem ugljika u proizvodima trebala bi imati rok isteka koji odgovara kraju relevantnog razdoblja praćenja. Trebalo bi pretpostaviti da se nakon toga ugljik ispušta u atmosferu, osim ako operater stalnim praćenjem dokaže da je ugljik i dalje uskladišten.</w:t>
      </w:r>
    </w:p>
    <w:p w14:paraId="6BACC04F" w14:textId="77777777" w:rsidR="00BE258C" w:rsidRPr="008F6730" w:rsidRDefault="00386210">
      <w:pPr>
        <w:pStyle w:val="ManualConsidrant"/>
        <w:rPr>
          <w:noProof/>
        </w:rPr>
      </w:pPr>
      <w:r w:rsidRPr="008F6730">
        <w:rPr>
          <w:noProof/>
        </w:rPr>
        <w:t>(14)</w:t>
      </w:r>
      <w:r w:rsidRPr="008F6730">
        <w:rPr>
          <w:noProof/>
        </w:rPr>
        <w:tab/>
        <w:t>Uz mjere koje se poduzimaju kako bi se rizik od ispuštanja ugljika u atmosferu tijekom razdoblja praćenja sveo na najmanju moguću mjeru, trebalo bi uvesti i odgovarajuće mehanizme odgovornosti za rješavanje slučajeva poništenja uklanjanja. Takvi mehanizmi mogli bi uključivati npr. oduzimanje jedinica uklanjanje ugljika, zajedničke rezerve ili obračune jedinica uklanjanja ugljika te mehanizme osiguravanja unaprijed. Budući da su mehanizmi odgovornosti za geološko skladištenje i istjecanje CO</w:t>
      </w:r>
      <w:r w:rsidRPr="008F6730">
        <w:rPr>
          <w:noProof/>
          <w:vertAlign w:val="subscript"/>
        </w:rPr>
        <w:t>2</w:t>
      </w:r>
      <w:r w:rsidRPr="008F6730">
        <w:rPr>
          <w:noProof/>
        </w:rPr>
        <w:t xml:space="preserve"> te odgovarajuće korektivne mjere već utvrđeni Direktivom 2003/87/EZ i Direktivom 2009/31/EZ Europskog parlamenta i Vijeća</w:t>
      </w:r>
      <w:r w:rsidRPr="008F6730">
        <w:rPr>
          <w:rStyle w:val="FootnoteReference"/>
          <w:noProof/>
        </w:rPr>
        <w:footnoteReference w:id="28"/>
      </w:r>
      <w:r w:rsidRPr="008F6730">
        <w:rPr>
          <w:noProof/>
        </w:rPr>
        <w:t>, ti mehanizmi odgovornosti i korektivne mjere trebali bi se primjenjivati kako bi se izbjeglo dvostruko reguliranje.</w:t>
      </w:r>
    </w:p>
    <w:p w14:paraId="5D5A9660" w14:textId="77777777" w:rsidR="00825D54" w:rsidRPr="008F6730" w:rsidRDefault="00386210" w:rsidP="00825D54">
      <w:pPr>
        <w:ind w:left="720"/>
        <w:rPr>
          <w:iCs/>
          <w:noProof/>
          <w:szCs w:val="24"/>
        </w:rPr>
      </w:pPr>
      <w:r w:rsidRPr="008F6730">
        <w:rPr>
          <w:noProof/>
        </w:rPr>
        <w:t>(15)</w:t>
      </w:r>
      <w:r w:rsidRPr="008F6730">
        <w:rPr>
          <w:noProof/>
        </w:rPr>
        <w:tab/>
        <w:t>Aktivnosti uklanjanja ugljika imaju velik potencijal za pružanje rješenja za održivost od kojih će svi imati koristi, čak i ako se kompromisi ne mogu isključiti. Stoga je primjereno utvrditi minimalne zahtjeve održivosti kako bi se osiguralo da aktivnosti uklanjanja ugljika imaju neutralan učinak ili da stvaraju posredne koristi za sljedeće ciljeve održivosti: ublažavanje i prilagodbu klimatskim promjenama, zaštitu i obnovu bioraznolikosti i ekosustava, održivu upotrebu i zaštitu vodnih i morskih resursa, prelazak na kružno gospodarstvo te sprečavanje i kontrolu onečišćenja. Ti bi se zahtjevi održivosti, prema potrebi i uzimajući u obzir lokalne uvjete, trebali temeljiti na kriterijima za tehničku provjeru nenanošenja bitne štete za šumarske djelatnosti i podzemno trajno geološko skladištenje CO</w:t>
      </w:r>
      <w:r w:rsidRPr="008F6730">
        <w:rPr>
          <w:noProof/>
          <w:vertAlign w:val="subscript"/>
        </w:rPr>
        <w:t>2</w:t>
      </w:r>
      <w:r w:rsidRPr="008F6730">
        <w:rPr>
          <w:noProof/>
        </w:rPr>
        <w:t xml:space="preserve"> iz Delegirane uredbe Komisije (EU) 2021/2139</w:t>
      </w:r>
      <w:r w:rsidRPr="008F6730">
        <w:rPr>
          <w:rStyle w:val="FootnoteReference"/>
          <w:noProof/>
        </w:rPr>
        <w:footnoteReference w:id="29"/>
      </w:r>
      <w:r w:rsidRPr="008F6730">
        <w:rPr>
          <w:noProof/>
        </w:rPr>
        <w:t xml:space="preserve"> te na kriterijima održivosti za sirovine iz šumske i poljoprivredne biomase utvrđenima u članku 29. Direktive (EU) 2018/2001 Europskog parlamenta i Vijeća</w:t>
      </w:r>
      <w:r w:rsidRPr="008F6730">
        <w:rPr>
          <w:rStyle w:val="FootnoteReference"/>
          <w:noProof/>
        </w:rPr>
        <w:footnoteReference w:id="30"/>
      </w:r>
      <w:r w:rsidRPr="008F6730">
        <w:rPr>
          <w:noProof/>
        </w:rPr>
        <w:t>. Prakse kao što su šumske monokulture koje štetno utječu na bioraznolikost ne bi trebale biti prihvatljive za certificiranje.</w:t>
      </w:r>
    </w:p>
    <w:p w14:paraId="7747DA08" w14:textId="77777777" w:rsidR="00545370" w:rsidRPr="008F6730" w:rsidRDefault="00545370" w:rsidP="00957327">
      <w:pPr>
        <w:pStyle w:val="ManualConsidrant"/>
        <w:rPr>
          <w:noProof/>
          <w:sz w:val="22"/>
        </w:rPr>
      </w:pPr>
      <w:r w:rsidRPr="008F6730">
        <w:rPr>
          <w:noProof/>
        </w:rPr>
        <w:t xml:space="preserve">(16) </w:t>
      </w:r>
      <w:r w:rsidRPr="008F6730">
        <w:rPr>
          <w:noProof/>
        </w:rPr>
        <w:tab/>
        <w:t>Poljoprivredne prakse kojima se CO</w:t>
      </w:r>
      <w:r w:rsidRPr="008F6730">
        <w:rPr>
          <w:noProof/>
          <w:vertAlign w:val="subscript"/>
        </w:rPr>
        <w:t>2</w:t>
      </w:r>
      <w:r w:rsidRPr="008F6730">
        <w:rPr>
          <w:noProof/>
        </w:rPr>
        <w:t xml:space="preserve"> uklanja iz atmosfere pridonose cilju klimatske neutralnosti te bi ih trebalo nagrađivati u okviru zajedničke poljoprivredne politike (ZPP) ili putem drugih javnih ili privatnih inicijativa. Konkretno, u ovoj bi se Uredbi trebale uzeti u obzir poljoprivredne prakse kako su navedene u Komunikaciji o održivim ciklusima ugljika</w:t>
      </w:r>
      <w:r w:rsidR="00CE633B" w:rsidRPr="008F6730">
        <w:rPr>
          <w:rStyle w:val="FootnoteReference"/>
          <w:noProof/>
        </w:rPr>
        <w:footnoteReference w:id="31"/>
      </w:r>
      <w:r w:rsidRPr="008F6730">
        <w:rPr>
          <w:noProof/>
        </w:rPr>
        <w:t xml:space="preserve">. </w:t>
      </w:r>
    </w:p>
    <w:p w14:paraId="1A845A19" w14:textId="77777777" w:rsidR="00BE258C" w:rsidRPr="008F6730" w:rsidRDefault="00386210">
      <w:pPr>
        <w:pStyle w:val="ManualConsidrant"/>
        <w:rPr>
          <w:noProof/>
        </w:rPr>
      </w:pPr>
      <w:r w:rsidRPr="008F6730">
        <w:rPr>
          <w:noProof/>
        </w:rPr>
        <w:t>(17)</w:t>
      </w:r>
      <w:r w:rsidRPr="008F6730">
        <w:rPr>
          <w:noProof/>
        </w:rPr>
        <w:tab/>
        <w:t>Operateri ili skupine operatera mogu izvješćivati o posrednim koristima koje pridonose ciljevima održivosti i nadilaze minimalne zahtjeve održivosti. U tu bi svrhu njihovo izvješćivanje trebalo biti u skladu s metodologijama certificiranja koje su prilagođene pojedinim aktivnostima uklanjanja ugljika i koje je razvila Komisija. Metodologijama certificiranja trebalo bi u najvećoj mogućoj mjeri poticati stvaranje posrednih koristi za bioraznolikost koje nadilaze minimalne zahtjeve održivosti. Te dodatne posredne koristi dat će veću gospodarsku vrijednost certificiranim uklanjanjima ugljika i dovesti do porasta prihoda za operatere. S obzirom na sve navedeno, primjereno je da Komisija prednost da razvoju prilagođenih metodologija certificiranja za aktivnosti sekvestracije ugljika u poljoprivredi koje pružaju znatne posredne koristi za bioraznolikost.</w:t>
      </w:r>
    </w:p>
    <w:p w14:paraId="628127DA" w14:textId="77777777" w:rsidR="00BE258C" w:rsidRPr="008F6730" w:rsidRDefault="00386210">
      <w:pPr>
        <w:pStyle w:val="ManualConsidrant"/>
        <w:rPr>
          <w:noProof/>
        </w:rPr>
      </w:pPr>
      <w:r w:rsidRPr="008F6730">
        <w:rPr>
          <w:noProof/>
        </w:rPr>
        <w:t>(18)</w:t>
      </w:r>
      <w:r w:rsidRPr="008F6730">
        <w:rPr>
          <w:noProof/>
        </w:rPr>
        <w:tab/>
        <w:t>Primjereno je razviti detaljne metodologije certificiranja za pojedine aktivnosti uklanjanja ugljika kako bi se na standardiziran, provjerljiv i usporediv način primjenjivali kriteriji kvalitete utvrđeni u ovoj Uredbi. Tim bi se metodologijama trebalo osigurati pouzdano i transparentno certificiranje koristi neto uklanjanja ugljika koja proizlazi iz aktivnosti uklanjanja ugljika, izbjegavajući pritom nerazmjerno administrativno opterećenje za operatere ili skupine operatera, posebno za male poljoprivrednike i posjednike šuma. U tu bi svrhu Komisiju trebalo ovlastiti za dopunjavanje ove Uredbe donošenjem delegiranih akata u kojima se utvrđuju detaljne metodologije certificiranja za razne aktivnosti uklanjanja ugljika. Te bi metodologije trebalo razviti uz blisko savjetovanje sa stručnom skupinom za uklanjanje ugljika i svim drugim zainteresiranim dionicima. Metodologije se moraju temeljiti na najboljim dostupnim znanstvenim dokazima i na postojećim javnim i privatnim programima i metodologijama za certificiranje uklanjanja ugljika te uzimati u obzir sve relevantne standarde i pravila donesena na nacionalnoj razini i razini Unije.</w:t>
      </w:r>
    </w:p>
    <w:p w14:paraId="0FE2CDEF" w14:textId="77777777" w:rsidR="00BE258C" w:rsidRPr="008F6730" w:rsidRDefault="00386210">
      <w:pPr>
        <w:pStyle w:val="ManualConsidrant"/>
        <w:rPr>
          <w:noProof/>
        </w:rPr>
      </w:pPr>
      <w:r w:rsidRPr="008F6730">
        <w:rPr>
          <w:noProof/>
        </w:rPr>
        <w:t>(19)</w:t>
      </w:r>
      <w:r w:rsidRPr="008F6730">
        <w:rPr>
          <w:noProof/>
        </w:rPr>
        <w:tab/>
        <w:t>Kako bi se osigurao vjerodostojan i pouzdan postupak certificiranja, aktivnosti uklanjanja ugljika trebale bi podlijegati reviziji koju provodi neovisna treća strana. Konkretno, prije provedbe aktivnosti uklanjanja ugljika trebalo bi provesti početnu reviziju za potrebe certificiranja kako bi se provjerila njihova usklađenost s kriterijima kvalitete utvrđenima u ovoj Uredbi, uključujući ispravnu kvantifikaciju očekivane koristi neto uklanjanja ugljika. Aktivnosti uklanjanja ugljika trebale bi podlijegati i periodičnim revizijama za potrebe ponovnog certificiranja kako bi se provjerila ispunjavaju li ostvarena uklanjanja ugljika potrebne uvjete. U tu bi svrhu Komisija trebala biti ovlaštena za donošenje provedbenih akata u kojima bi se utvrdila struktura, tehničke pojedinosti i minimalne informacije koje trebaju biti navedene u opisu aktivnosti uklanjanja ugljika i izvješćima o reviziji za potrebe certificiranja i ponovnog certificiranja.</w:t>
      </w:r>
    </w:p>
    <w:p w14:paraId="0B030758" w14:textId="77777777" w:rsidR="00BE258C" w:rsidRPr="008F6730" w:rsidRDefault="00386210">
      <w:pPr>
        <w:pStyle w:val="ManualConsidrant"/>
        <w:rPr>
          <w:noProof/>
        </w:rPr>
      </w:pPr>
      <w:r w:rsidRPr="008F6730">
        <w:rPr>
          <w:noProof/>
        </w:rPr>
        <w:t>(20)</w:t>
      </w:r>
      <w:r w:rsidRPr="008F6730">
        <w:rPr>
          <w:noProof/>
        </w:rPr>
        <w:tab/>
        <w:t>Pružanje boljeg znanja, alata i metoda upraviteljima zemljišta radi bolje procjene i optimizacije uklanjanja ugljika važno je za troškovno učinkovitu provedbu mjera ublažavanja i osiguravanje njihova sudjelovanja u sekvestraciji ugljika u poljoprivredi. To je posebno važno za male poljoprivrednike ili posjednike šuma u Uniji, kojima često nedostaju iskustvo i stručno znanje potrebni za provedbu aktivnosti uklanjanja ugljika, ispunjavanje potrebnih kriterija kvalitete i primjenu povezanih metodologija certificiranja. Stoga je primjereno zahtijevati da organizacije proizvođača olakšaju pružanje relevantnih savjetodavnih usluga putem tehničkog savjetovanja svojih članova. Financijska potpora za pružanje savjetodavnih usluga, razmjenu znanja, osposobljavanje, aktivnosti informiranja ili interaktivne inovacijske projekte s poljoprivrednicima i šumarima može se pružati u okviru zajedničke poljoprivredne politike i nacionalnih državnih potpora.</w:t>
      </w:r>
    </w:p>
    <w:p w14:paraId="0E3D7351" w14:textId="77777777" w:rsidR="00BE258C" w:rsidRPr="008F6730" w:rsidRDefault="00386210">
      <w:pPr>
        <w:pStyle w:val="ManualConsidrant"/>
        <w:rPr>
          <w:noProof/>
        </w:rPr>
      </w:pPr>
      <w:r w:rsidRPr="008F6730">
        <w:rPr>
          <w:noProof/>
        </w:rPr>
        <w:t>(21)</w:t>
      </w:r>
      <w:r w:rsidRPr="008F6730">
        <w:rPr>
          <w:noProof/>
        </w:rPr>
        <w:tab/>
        <w:t>Primjereno je da se na certifikatima o uklanjanju ugljika temelje razne krajnje uporabe, kao što su sastavljanje nacionalnih i korporativnih inventara stakleničkih plinova, među ostalim s obzirom na Uredbu (EU) 2018/841 Europskog parlamenta i Vijeća</w:t>
      </w:r>
      <w:r w:rsidRPr="008F6730">
        <w:rPr>
          <w:rStyle w:val="FootnoteReference"/>
          <w:noProof/>
        </w:rPr>
        <w:footnoteReference w:id="32"/>
      </w:r>
      <w:r w:rsidRPr="008F6730">
        <w:rPr>
          <w:noProof/>
        </w:rPr>
        <w:t>, dokazi korporativnih tvrdnji povezanih s klimom i drugih okolišnih tvrdnji (među ostalim o bioraznolikosti) ili razmjena verificiranih jedinica uklanjanja ugljika putem dobrovoljnih tržišta za kompenzaciju emisija ugljika. Stoga bi certifikat trebao sadržavati točne i transparentne informacije o predmetnoj aktivnosti uklanjanja ugljika, uključujući ukupna uklanjanja i korist neto uklanjanja ugljika koji su u skladu s kriterijima kvalitete utvrđenima u ovoj Uredbi. Komisija bi također trebala biti ovlaštena za donošenje delegiranih akata radi dodatnog preciziranja ili izmjene Priloga II., u kojem se navode minimalne informacije koje certifikati moraju sadržavati.</w:t>
      </w:r>
    </w:p>
    <w:p w14:paraId="667DB4AD" w14:textId="77777777" w:rsidR="00BE258C" w:rsidRPr="008F6730" w:rsidRDefault="00386210">
      <w:pPr>
        <w:pStyle w:val="ManualConsidrant"/>
        <w:rPr>
          <w:noProof/>
        </w:rPr>
      </w:pPr>
      <w:r w:rsidRPr="008F6730">
        <w:rPr>
          <w:noProof/>
        </w:rPr>
        <w:t>(22)</w:t>
      </w:r>
      <w:r w:rsidRPr="008F6730">
        <w:rPr>
          <w:noProof/>
        </w:rPr>
        <w:tab/>
        <w:t>Kako bi se osigurala točna, pouzdana i transparentna verifikacija, tijela za certifikaciju nadležna za certificiranje aktivnosti uklanjanja ugljika trebala bi imati potrebne kompetencije i vještine te bi ih trebala akreditirati nacionalna akreditacijska tijela u skladu s Uredbom (EZ) br. 765/2008 Europskog parlamenta i Vijeća</w:t>
      </w:r>
      <w:r w:rsidRPr="008F6730">
        <w:rPr>
          <w:rStyle w:val="FootnoteReference"/>
          <w:noProof/>
        </w:rPr>
        <w:footnoteReference w:id="33"/>
      </w:r>
      <w:r w:rsidRPr="008F6730">
        <w:rPr>
          <w:noProof/>
        </w:rPr>
        <w:t>. Kako bi se izbjegli mogući sukobi interesa, tijela za certifikaciju trebala bi biti potpuno neovisna o operateru koji obavlja aktivnost uklanjanja ugljika koja podliježe certificiranju. Uz to, države članice trebale bi pridonositi osiguravanju pravilne provedbe postupka certificiranja nadziranjem rada tijela za certifikaciju koja su akreditirala nacionalna akreditacijska tijela i obavješćivanjem programâ certificiranja o relevantnim opažanjima u pogledu neusklađenosti.</w:t>
      </w:r>
    </w:p>
    <w:p w14:paraId="7F895145" w14:textId="77777777" w:rsidR="00BE258C" w:rsidRPr="008F6730" w:rsidRDefault="00386210">
      <w:pPr>
        <w:pStyle w:val="ManualConsidrant"/>
        <w:rPr>
          <w:noProof/>
        </w:rPr>
      </w:pPr>
      <w:r w:rsidRPr="008F6730">
        <w:rPr>
          <w:noProof/>
        </w:rPr>
        <w:t>(23)</w:t>
      </w:r>
      <w:r w:rsidRPr="008F6730">
        <w:rPr>
          <w:noProof/>
        </w:rPr>
        <w:tab/>
        <w:t>Operateri bi se trebali koristiti programima certificiranja kako bi dokazali usklađenost s ovom Uredbom. Stoga bi programi certificiranja trebali funkcionirati na temelju pouzdanih i transparentnih pravila i postupaka te bi trebali osiguravati točnost, pouzdanost, cjelovitost, neosporivost podrijetla i zaštitu od prijevare kad je riječ o informacijama i podacima koje dostavljaju operateri. Trebali bi osigurati i ispravno obračunavanje verificiranih jedinica uklanjanja ugljika, posebno izbjegavanjem dvostrukog računanja. U tu bi svrhu Komisiju trebalo ovlastiti za donošenje provedbenih akata, uključujući odgovarajuće standarde pouzdanosti, transparentnosti, obračunavanja i neovisne revizije koji će se primjenjivati u programima certificiranja, kako bi se osigurala potrebna pravna sigurnost u pogledu pravila koja se primjenjuju na operatere i programe certificiranja. Kako bi se osigurao troškovno učinkovit postupak certificiranja, cilj bi tih tehničkih usklađenih pravila o certificiranju trebao biti i smanjenje nepotrebnog administrativnog opterećenja za operatere ili skupine operatera, posebno za mala i srednja poduzeća (MSP-ove), uključujući male poljoprivrednike i šumare.</w:t>
      </w:r>
    </w:p>
    <w:p w14:paraId="51FFD101" w14:textId="77777777" w:rsidR="00BE258C" w:rsidRPr="008F6730" w:rsidRDefault="00386210">
      <w:pPr>
        <w:pStyle w:val="ManualConsidrant"/>
        <w:rPr>
          <w:noProof/>
        </w:rPr>
      </w:pPr>
      <w:r w:rsidRPr="008F6730">
        <w:rPr>
          <w:noProof/>
        </w:rPr>
        <w:t>(24)</w:t>
      </w:r>
      <w:r w:rsidRPr="008F6730">
        <w:rPr>
          <w:noProof/>
        </w:rPr>
        <w:tab/>
        <w:t>Kako bi se osigurala pouzdana i usklađena kontrola certificiranja, Komisija bi trebala moći donositi odluke kojima se priznaju programi certificiranja koji ispunjavaju zahtjeve utvrđene u ovoj Uredbi, među ostalim u pogledu tehničke stručnosti, pouzdanosti, transparentnosti i neovisne revizije. Takve odluke o priznavanju trebale bi biti vremenski ograničene. U tu bi svrhu Komisiju trebalo ovlastiti za donošenje provedbenih akata o sadržaju i postupcima u skladu s kojima Unija priznaje programe certificiranja.</w:t>
      </w:r>
    </w:p>
    <w:p w14:paraId="5E0206D4" w14:textId="77777777" w:rsidR="00970063" w:rsidRPr="008F6730" w:rsidRDefault="00386210" w:rsidP="00970063">
      <w:pPr>
        <w:pStyle w:val="ManualConsidrant"/>
        <w:rPr>
          <w:noProof/>
        </w:rPr>
      </w:pPr>
      <w:r w:rsidRPr="008F6730">
        <w:rPr>
          <w:noProof/>
        </w:rPr>
        <w:t>(25)</w:t>
      </w:r>
      <w:r w:rsidRPr="008F6730">
        <w:rPr>
          <w:noProof/>
        </w:rPr>
        <w:tab/>
        <w:t>Odredbe Konvencije Gospodarske komisije Ujedinjenih naroda za Europu (UNECE) o pristupu informacijama, sudjelovanju javnosti u odlučivanju i pristupu pravosuđu u pitanjima okoliša</w:t>
      </w:r>
      <w:r w:rsidR="00970063" w:rsidRPr="008F6730">
        <w:rPr>
          <w:rStyle w:val="FootnoteReference"/>
          <w:noProof/>
        </w:rPr>
        <w:footnoteReference w:id="34"/>
      </w:r>
      <w:r w:rsidRPr="008F6730">
        <w:rPr>
          <w:noProof/>
        </w:rPr>
        <w:t xml:space="preserve"> („Aarhuška konvencija”) koje se odnose na pristup informacijama, sudjelovanje javnosti u odlučivanju i pristup pravosuđu u pitanjima okoliša, a posebno odredbe koje se odnose na sudjelovanje javnosti i pristup pravosuđu, i dalje se primjenjuju, ovisno o slučaju.</w:t>
      </w:r>
    </w:p>
    <w:p w14:paraId="0ECCC956" w14:textId="77777777" w:rsidR="00BE258C" w:rsidRPr="008F6730" w:rsidRDefault="00970063">
      <w:pPr>
        <w:pStyle w:val="ManualConsidrant"/>
        <w:rPr>
          <w:noProof/>
        </w:rPr>
      </w:pPr>
      <w:r w:rsidRPr="008F6730">
        <w:rPr>
          <w:noProof/>
        </w:rPr>
        <w:t>(26)</w:t>
      </w:r>
      <w:r w:rsidRPr="008F6730">
        <w:rPr>
          <w:noProof/>
        </w:rPr>
        <w:tab/>
        <w:t>U okviru programâ certificiranja trebalo bi uspostaviti i održavati interoperabilne javne registre kako bi se osigurala transparentnost i potpuna sljedivost certifikata o uklanjanju ugljika te izbjegao rizik od prijevare i dvostrukog računanja. Do prijevare može doći ako je za istu aktivnost uklanjanja ugljika izdano više certifikata jer je aktivnost registrirana u okviru dvaju programa certificiranja ili je dvaput registrirana u okviru istog programa. Do prijevare može doći i kad se isti certifikat upotrebljava nekoliko puta za iznošenje iste tvrdnje na temelju aktivnosti uklanjanja ugljika ili jedinice uklanjanja ugljika. U registrima bi se trebali pohranjivati dokumenti koji proizlaze iz postupka certificiranja uklanjanja ugljika, uključujući sažetke revizija za potrebe certificiranja, izvješća o reviziji za potrebe ponovnog certificiranja, certifikate i ažurirane certifikate, te bi ti dokumenti trebali biti javno dostupni u elektroničkom obliku. U registrima bi trebalo evidentirati i certificirane jedinice uklanjanja ugljika koje ispunjavaju Unijine kriterije kvalitete. Kako bi se osigurali jednaki uvjeti na jedinstvenom tržištu, Komisiju bi trebalo ovlastiti za donošenje provedbenih pravila kojima se utvrđuju standardi i tehničkih pravila o funkcioniranju i interoperabilnosti tih registara.</w:t>
      </w:r>
    </w:p>
    <w:p w14:paraId="6154A54F" w14:textId="77777777" w:rsidR="00BE258C" w:rsidRPr="008F6730" w:rsidRDefault="00386210">
      <w:pPr>
        <w:pStyle w:val="ManualConsidrant"/>
        <w:rPr>
          <w:noProof/>
        </w:rPr>
      </w:pPr>
      <w:r w:rsidRPr="008F6730">
        <w:rPr>
          <w:noProof/>
        </w:rPr>
        <w:t>(27)</w:t>
      </w:r>
      <w:r w:rsidRPr="008F6730">
        <w:rPr>
          <w:noProof/>
        </w:rPr>
        <w:tab/>
        <w:t>Programi certificiranja važni su za pružanje dokaza o usklađenosti s kriterijima kvalitete za uklanjanje ugljika. Stoga je primjereno da Komisija zahtijeva da se redovito izvješćuje o aktivnostima programa certificiranja. Takva bi se izvješća trebala objavljivati u cijelosti ili, ovisno o slučaju, u agregiranom obliku kako bi se povećala transparentnost i poboljšao nadzor koji provodi Komisija. Osim toga, takvim bi se izvješćivanjem Komisiji pružili podaci koji su joj potrebni da bi mogla izvješćivati o radu dobrovoljnih programa s ciljem utvrđivanja najbolje prakse i podnošenja, prema potrebi, prijedloga za daljnje promicanje takve najbolje prakse. Kako bi se osiguralo usporedivo i dosljedno izvješćivanje, Komisiju bi trebalo ovlastiti za donošenje provedbenih akata u kojima se utvrđuju tehničke pojedinosti o sadržaju i formatu izvješća koja se sastavljaju u okviru programa certificiranja.</w:t>
      </w:r>
    </w:p>
    <w:p w14:paraId="0756A2F7" w14:textId="77777777" w:rsidR="00BE258C" w:rsidRPr="008F6730" w:rsidRDefault="00386210">
      <w:pPr>
        <w:pStyle w:val="ManualConsidrant"/>
        <w:rPr>
          <w:noProof/>
        </w:rPr>
      </w:pPr>
      <w:r w:rsidRPr="008F6730">
        <w:rPr>
          <w:noProof/>
        </w:rPr>
        <w:t>(28)</w:t>
      </w:r>
      <w:r w:rsidRPr="008F6730">
        <w:rPr>
          <w:noProof/>
        </w:rPr>
        <w:tab/>
        <w:t>Kako bi se operaterima omogućila standardizirana i troškovno učinkovita primjena kriterija kvalitete utvrđenih u ovoj Uredbi, uzimajući pritom u obzir posebne značajke pojedinih aktivnosti uklanjanja ugljika, Komisiji bi trebalo delegirati ovlast za donošenje akata u skladu s člankom 290. Ugovora o funkcioniranju Europske unije kako bi se ova Uredba dopunila utvrđivanjem detaljnih metodologija certificiranja za razne vrste aktivnosti uklanjanja ugljika. Komisija bi trebala moći i donositi izmjene Priloga II., u kojem se navode minimalne informacije koje certifikati moraju sadržavati. Posebno je važno da Komisija tijekom svojeg pripremnog rada provede odgovarajuća savjetovanja, uključujući ona na razini stručnjaka, i da se ta savjetovanja provedu u skladu s načelima utvrđenima u Međuinstitucijskom sporazumu o boljoj izradi zakonodavstva od 13. travnja 2016.</w:t>
      </w:r>
      <w:r w:rsidRPr="008F6730">
        <w:rPr>
          <w:rStyle w:val="FootnoteReference"/>
          <w:noProof/>
        </w:rPr>
        <w:footnoteReference w:id="35"/>
      </w:r>
      <w:r w:rsidRPr="008F6730">
        <w:rPr>
          <w:noProof/>
        </w:rPr>
        <w:t xml:space="preserve"> Osobito, s ciljem osiguravanja ravnopravnog sudjelovanja u pripremi delegiranih akata, Europski parlament i Vijeće primaju sve dokumente istodobno kada i stručnjaci iz država članica te njihovi stručnjaci sustavno imaju pristup sastancima stručnih skupina Komisije koji se odnose na pripremu delegiranih akata.</w:t>
      </w:r>
    </w:p>
    <w:p w14:paraId="21B69A5A" w14:textId="77777777" w:rsidR="00BE258C" w:rsidRPr="008F6730" w:rsidRDefault="00386210">
      <w:pPr>
        <w:pStyle w:val="ManualConsidrant"/>
        <w:rPr>
          <w:noProof/>
        </w:rPr>
      </w:pPr>
      <w:r w:rsidRPr="008F6730">
        <w:rPr>
          <w:noProof/>
        </w:rPr>
        <w:t>(29)</w:t>
      </w:r>
      <w:r w:rsidRPr="008F6730">
        <w:rPr>
          <w:noProof/>
        </w:rPr>
        <w:tab/>
        <w:t>Provedbene ovlasti dodijeljene Komisiji trebale bi se izvršavati u skladu s Uredbom (EU) br. 182/2011 Europskog parlamenta i Vijeća</w:t>
      </w:r>
      <w:r w:rsidRPr="008F6730">
        <w:rPr>
          <w:rStyle w:val="FootnoteReference"/>
          <w:noProof/>
        </w:rPr>
        <w:footnoteReference w:id="36"/>
      </w:r>
      <w:r w:rsidRPr="008F6730">
        <w:rPr>
          <w:noProof/>
        </w:rPr>
        <w:t>. Da bi mogla izvršavati provedbene ovlasti utvrđene u ovoj Uredbi, Komisiji bi u obavljanju njezinih zadaća iz ove Uredbe trebao pomagati Odbor za klimatske promjene osnovan na temelju članka 44. stavka 3. Uredbe (EU) 2018/1999 Europskog parlamenta i Vijeća</w:t>
      </w:r>
      <w:r w:rsidRPr="008F6730">
        <w:rPr>
          <w:rStyle w:val="FootnoteReference"/>
          <w:noProof/>
        </w:rPr>
        <w:footnoteReference w:id="37"/>
      </w:r>
      <w:r w:rsidRPr="008F6730">
        <w:rPr>
          <w:noProof/>
        </w:rPr>
        <w:t>.</w:t>
      </w:r>
    </w:p>
    <w:p w14:paraId="754C2025" w14:textId="77777777" w:rsidR="00BE258C" w:rsidRPr="008F6730" w:rsidRDefault="00386210" w:rsidP="002B5824">
      <w:pPr>
        <w:pStyle w:val="ManualConsidrant"/>
        <w:rPr>
          <w:noProof/>
        </w:rPr>
      </w:pPr>
      <w:r w:rsidRPr="008F6730">
        <w:rPr>
          <w:noProof/>
        </w:rPr>
        <w:t>(30)</w:t>
      </w:r>
      <w:r w:rsidRPr="008F6730">
        <w:rPr>
          <w:noProof/>
        </w:rPr>
        <w:tab/>
        <w:t>Komisija bi trebala preispitati provedbu ove Uredbe tri godine nakon njezina stupanja na snagu, a nakon toga najkasnije šest mjeseci nakon globalnog pregleda stanja dogovorenog u skladu s člankom 14. Pariškog sporazuma. U tim bi preispitivanjima trebalo uzeti u obzir relevantne promjene u zakonodavstvu Unije, tehnološki i znanstveni napredak, tržišna kretanja u području uklanjanja ugljika i sigurnosti opskrbe hranom, uključujući dostupnost i cjenovnu pristupačnost hrane, a trebala bi se temeljiti na rezultatima globalnog pregleda stanja na temelju Pariškog sporazuma.</w:t>
      </w:r>
    </w:p>
    <w:p w14:paraId="047A2727" w14:textId="77777777" w:rsidR="00BE258C" w:rsidRPr="008F6730" w:rsidRDefault="00386210">
      <w:pPr>
        <w:pStyle w:val="ManualConsidrant"/>
        <w:rPr>
          <w:noProof/>
        </w:rPr>
      </w:pPr>
      <w:r w:rsidRPr="008F6730">
        <w:rPr>
          <w:noProof/>
        </w:rPr>
        <w:t>(31)</w:t>
      </w:r>
      <w:r w:rsidRPr="008F6730">
        <w:rPr>
          <w:noProof/>
        </w:rPr>
        <w:tab/>
        <w:t>Ciljeve ove Uredbe – promicanje visokokvalitetnog uklanjanja ugljika uz istodobno smanjenje rizika od manipulativnog zelenog marketinga na najmanju moguću mjeru – ne mogu dostatno ostvariti države članice same te se zbog opsega i učinaka predloženog djelovanja ti ciljevi mogu bolje ostvariti na razini Unije. Stoga Unija može donijeti mjere u skladu s načelom supsidijarnosti utvrđenim u članku 5. Ugovora o Europskoj Uniji. U skladu s načelom proporcionalnosti utvrđenim u tom članku, ova Uredba ne prelazi ono što je potrebno za ostvarivanje tih ciljeva,</w:t>
      </w:r>
    </w:p>
    <w:p w14:paraId="5D3CB272" w14:textId="77777777" w:rsidR="00BE258C" w:rsidRPr="008F6730" w:rsidRDefault="00386210">
      <w:pPr>
        <w:pStyle w:val="Formuledadoption"/>
        <w:rPr>
          <w:noProof/>
        </w:rPr>
      </w:pPr>
      <w:r w:rsidRPr="008F6730">
        <w:rPr>
          <w:noProof/>
        </w:rPr>
        <w:t>DONIJELI SU OVU UREDBU:</w:t>
      </w:r>
    </w:p>
    <w:p w14:paraId="7C96B0DA" w14:textId="77777777" w:rsidR="00BE258C" w:rsidRPr="008F6730" w:rsidRDefault="00386210">
      <w:pPr>
        <w:pStyle w:val="ChapterTitle"/>
        <w:rPr>
          <w:noProof/>
        </w:rPr>
      </w:pPr>
      <w:r w:rsidRPr="008F6730">
        <w:rPr>
          <w:noProof/>
        </w:rPr>
        <w:t>Poglavlje 1.</w:t>
      </w:r>
      <w:r w:rsidRPr="008F6730">
        <w:rPr>
          <w:noProof/>
        </w:rPr>
        <w:br/>
        <w:t>OPĆE ODREDBE</w:t>
      </w:r>
    </w:p>
    <w:p w14:paraId="3C0B9B8C" w14:textId="77777777" w:rsidR="00BE258C" w:rsidRPr="008F6730" w:rsidRDefault="00386210">
      <w:pPr>
        <w:pStyle w:val="Titrearticle"/>
        <w:rPr>
          <w:noProof/>
        </w:rPr>
      </w:pPr>
      <w:r w:rsidRPr="008F6730">
        <w:rPr>
          <w:noProof/>
        </w:rPr>
        <w:t>Članak 1.</w:t>
      </w:r>
    </w:p>
    <w:p w14:paraId="245B298B" w14:textId="77777777" w:rsidR="00BE258C" w:rsidRPr="008F6730" w:rsidRDefault="00386210">
      <w:pPr>
        <w:pStyle w:val="NormalCentered"/>
        <w:rPr>
          <w:noProof/>
        </w:rPr>
      </w:pPr>
      <w:r w:rsidRPr="008F6730">
        <w:rPr>
          <w:b/>
          <w:noProof/>
        </w:rPr>
        <w:t>Predmet i područje primjene</w:t>
      </w:r>
    </w:p>
    <w:p w14:paraId="5855919C" w14:textId="77777777" w:rsidR="00BE258C" w:rsidRPr="008F6730" w:rsidRDefault="00386210">
      <w:pPr>
        <w:pStyle w:val="ManualNumPar1"/>
        <w:rPr>
          <w:noProof/>
        </w:rPr>
      </w:pPr>
      <w:r w:rsidRPr="008F6730">
        <w:rPr>
          <w:noProof/>
        </w:rPr>
        <w:t>1.</w:t>
      </w:r>
      <w:r w:rsidRPr="008F6730">
        <w:rPr>
          <w:noProof/>
        </w:rPr>
        <w:tab/>
        <w:t>Cilj je ove Uredbe operaterima ili skupinama operatera olakšati ostvarivanje uklanjanja ugljika. U tu se svrhu ovom Uredbom uspostavlja dobrovoljni okvir Unije za certifikaciju uklanjanja ugljika, i to utvrđivanjem:</w:t>
      </w:r>
    </w:p>
    <w:p w14:paraId="65BFFEE3" w14:textId="77777777" w:rsidR="00BE258C" w:rsidRPr="008F6730" w:rsidRDefault="00386210">
      <w:pPr>
        <w:pStyle w:val="Point1"/>
        <w:rPr>
          <w:noProof/>
        </w:rPr>
      </w:pPr>
      <w:r w:rsidRPr="008F6730">
        <w:rPr>
          <w:noProof/>
        </w:rPr>
        <w:t>(a)</w:t>
      </w:r>
      <w:r w:rsidRPr="008F6730">
        <w:rPr>
          <w:noProof/>
        </w:rPr>
        <w:tab/>
        <w:t>kriterija kvalitete za aktivnosti uklanjanja ugljika koje se provode u Uniji;</w:t>
      </w:r>
    </w:p>
    <w:p w14:paraId="11A235EA" w14:textId="77777777" w:rsidR="00BE258C" w:rsidRPr="008F6730" w:rsidRDefault="00386210">
      <w:pPr>
        <w:pStyle w:val="Point1"/>
        <w:rPr>
          <w:noProof/>
        </w:rPr>
      </w:pPr>
      <w:r w:rsidRPr="008F6730">
        <w:rPr>
          <w:noProof/>
        </w:rPr>
        <w:t>(b)</w:t>
      </w:r>
      <w:r w:rsidRPr="008F6730">
        <w:rPr>
          <w:noProof/>
        </w:rPr>
        <w:tab/>
        <w:t>pravila za verifikaciju i certificiranje uklanjanja ugljika;</w:t>
      </w:r>
    </w:p>
    <w:p w14:paraId="16FB179E" w14:textId="77777777" w:rsidR="00BE258C" w:rsidRPr="008F6730" w:rsidRDefault="00386210">
      <w:pPr>
        <w:pStyle w:val="Point1"/>
        <w:rPr>
          <w:noProof/>
        </w:rPr>
      </w:pPr>
      <w:r w:rsidRPr="008F6730">
        <w:rPr>
          <w:noProof/>
        </w:rPr>
        <w:t>(c)</w:t>
      </w:r>
      <w:r w:rsidRPr="008F6730">
        <w:rPr>
          <w:noProof/>
        </w:rPr>
        <w:tab/>
        <w:t>pravila za funkcioniranje programa certificiranja i pravila na temelju kojih će ih Komisija priznavati.</w:t>
      </w:r>
    </w:p>
    <w:p w14:paraId="39C5D86C" w14:textId="77777777" w:rsidR="00BE258C" w:rsidRPr="008F6730" w:rsidRDefault="00386210">
      <w:pPr>
        <w:pStyle w:val="ManualNumPar1"/>
        <w:rPr>
          <w:noProof/>
        </w:rPr>
      </w:pPr>
      <w:r w:rsidRPr="008F6730">
        <w:rPr>
          <w:noProof/>
        </w:rPr>
        <w:t>2.</w:t>
      </w:r>
      <w:r w:rsidRPr="008F6730">
        <w:rPr>
          <w:noProof/>
        </w:rPr>
        <w:tab/>
        <w:t>Taj dobrovoljni okvir Unije za certifikaciju uklanjanja ugljika ne primjenjuje se na emisije obuhvaćene područjem primjene Direktive 2003/87/EZ, osim kad je riječ o skladištenju emisija ugljikova dioksida iz održive biomase s nultom stopom u skladu s Prilogom IV. toj direktivi.</w:t>
      </w:r>
    </w:p>
    <w:p w14:paraId="760C80C5" w14:textId="77777777" w:rsidR="00BE258C" w:rsidRPr="008F6730" w:rsidRDefault="00386210">
      <w:pPr>
        <w:pStyle w:val="Titrearticle"/>
        <w:rPr>
          <w:noProof/>
        </w:rPr>
      </w:pPr>
      <w:r w:rsidRPr="008F6730">
        <w:rPr>
          <w:noProof/>
        </w:rPr>
        <w:t>Članak 2.</w:t>
      </w:r>
    </w:p>
    <w:p w14:paraId="58B50817" w14:textId="77777777" w:rsidR="00BE258C" w:rsidRPr="008F6730" w:rsidRDefault="00386210">
      <w:pPr>
        <w:pStyle w:val="NormalCentered"/>
        <w:rPr>
          <w:noProof/>
        </w:rPr>
      </w:pPr>
      <w:r w:rsidRPr="008F6730">
        <w:rPr>
          <w:b/>
          <w:noProof/>
        </w:rPr>
        <w:t>Definicije</w:t>
      </w:r>
    </w:p>
    <w:p w14:paraId="34044461" w14:textId="77777777" w:rsidR="00BE258C" w:rsidRPr="008F6730" w:rsidRDefault="00386210">
      <w:pPr>
        <w:pStyle w:val="ManualNumPar1"/>
        <w:rPr>
          <w:noProof/>
        </w:rPr>
      </w:pPr>
      <w:r w:rsidRPr="008F6730">
        <w:rPr>
          <w:noProof/>
        </w:rPr>
        <w:t>1.</w:t>
      </w:r>
      <w:r w:rsidRPr="008F6730">
        <w:rPr>
          <w:noProof/>
        </w:rPr>
        <w:tab/>
        <w:t>Za potrebe ove Uredbe primjenjuju se sljedeće definicije: </w:t>
      </w:r>
    </w:p>
    <w:p w14:paraId="22C017E7" w14:textId="77777777" w:rsidR="00BE258C" w:rsidRPr="008F6730" w:rsidRDefault="00386210">
      <w:pPr>
        <w:pStyle w:val="Point1"/>
        <w:rPr>
          <w:noProof/>
        </w:rPr>
      </w:pPr>
      <w:r w:rsidRPr="008F6730">
        <w:rPr>
          <w:noProof/>
        </w:rPr>
        <w:t>(a)</w:t>
      </w:r>
      <w:r w:rsidRPr="008F6730">
        <w:rPr>
          <w:noProof/>
        </w:rPr>
        <w:tab/>
        <w:t>„uklanjanje ugljika” znači skladištenje atmosferskog ili biogenog ugljika u geološkim spremnicima ugljika, biogenim spremnicima ugljika, dugotrajnim proizvodima i materijalima te morskom okolišu ili smanjenje ispuštanja ugljika iz biogenog spremnika ugljika u atmosferu;</w:t>
      </w:r>
    </w:p>
    <w:p w14:paraId="3E61CA84" w14:textId="77777777" w:rsidR="00BE258C" w:rsidRPr="008F6730" w:rsidRDefault="00386210">
      <w:pPr>
        <w:pStyle w:val="Point1"/>
        <w:rPr>
          <w:noProof/>
        </w:rPr>
      </w:pPr>
      <w:r w:rsidRPr="008F6730">
        <w:rPr>
          <w:noProof/>
        </w:rPr>
        <w:t>(b)</w:t>
      </w:r>
      <w:r w:rsidRPr="008F6730">
        <w:rPr>
          <w:noProof/>
        </w:rPr>
        <w:tab/>
        <w:t>„aktivnost uklanjanja ugljika” znači jedna ili više praksi ili postupaka koje provodi operater i kojima se postiže trajno skladištenje ugljika, poboljšava hvatanje ugljika u biogenom spremniku ugljika, smanjuje ispuštanje ugljika iz biogenog spremnika ugljika u atmosferu ili skladišti atmosferski ili biogeni ugljik u dugotrajnim proizvodima ili materijalima;</w:t>
      </w:r>
    </w:p>
    <w:p w14:paraId="48A2FC60" w14:textId="77777777" w:rsidR="00BE258C" w:rsidRPr="008F6730" w:rsidRDefault="00386210">
      <w:pPr>
        <w:pStyle w:val="Point1"/>
        <w:rPr>
          <w:noProof/>
        </w:rPr>
      </w:pPr>
      <w:r w:rsidRPr="008F6730">
        <w:rPr>
          <w:noProof/>
        </w:rPr>
        <w:t>(c)</w:t>
      </w:r>
      <w:r w:rsidRPr="008F6730">
        <w:rPr>
          <w:noProof/>
        </w:rPr>
        <w:tab/>
        <w:t>„biogeni spremnik ugljika” znači nadzemna biomasa, podzemna biomasa, listinac, mrtvo drvo i organski ugljik u tlu kako je utvrđeno u dijelu B točkama od (a) do (e) Priloga I. Uredbi 2018/841;</w:t>
      </w:r>
    </w:p>
    <w:p w14:paraId="2FB8C139" w14:textId="77777777" w:rsidR="00BE258C" w:rsidRPr="008F6730" w:rsidRDefault="00386210">
      <w:pPr>
        <w:pStyle w:val="Point1"/>
        <w:rPr>
          <w:noProof/>
        </w:rPr>
      </w:pPr>
      <w:r w:rsidRPr="008F6730">
        <w:rPr>
          <w:noProof/>
        </w:rPr>
        <w:t>(d)</w:t>
      </w:r>
      <w:r w:rsidRPr="008F6730">
        <w:rPr>
          <w:noProof/>
        </w:rPr>
        <w:tab/>
        <w:t>„operater” znači svaka pravna ili fizička osoba koja provodi ili kontrolira aktivnost uklanjanja ugljika ili kojoj je delegirana odlučujuća gospodarska ovlast nad tehničkim funkcioniranjem takve aktivnosti;</w:t>
      </w:r>
    </w:p>
    <w:p w14:paraId="5DD97315" w14:textId="77777777" w:rsidR="00BE258C" w:rsidRPr="008F6730" w:rsidRDefault="00386210">
      <w:pPr>
        <w:pStyle w:val="Point1"/>
        <w:rPr>
          <w:noProof/>
        </w:rPr>
      </w:pPr>
      <w:r w:rsidRPr="008F6730">
        <w:rPr>
          <w:noProof/>
        </w:rPr>
        <w:t>(e)</w:t>
      </w:r>
      <w:r w:rsidRPr="008F6730">
        <w:rPr>
          <w:noProof/>
        </w:rPr>
        <w:tab/>
        <w:t>„skupina operatera” znači pravna osoba koja predstavlja više od jednog operatera i odgovorna je za osiguravanje usklađenosti tih operatera s ovom Uredbom;</w:t>
      </w:r>
    </w:p>
    <w:p w14:paraId="7A20E27D" w14:textId="77777777" w:rsidR="00BE258C" w:rsidRPr="008F6730" w:rsidRDefault="00386210">
      <w:pPr>
        <w:pStyle w:val="Point1"/>
        <w:rPr>
          <w:noProof/>
        </w:rPr>
      </w:pPr>
      <w:r w:rsidRPr="008F6730">
        <w:rPr>
          <w:noProof/>
        </w:rPr>
        <w:t>(f)</w:t>
      </w:r>
      <w:r w:rsidRPr="008F6730">
        <w:rPr>
          <w:noProof/>
        </w:rPr>
        <w:tab/>
        <w:t>„razdoblje praćenja” znači razdoblje čije se trajanje utvrđuje u skladu s vrstom aktivnosti uklanjanja ugljika i tijekom kojeg operater prati skladištenje ugljika;</w:t>
      </w:r>
    </w:p>
    <w:p w14:paraId="5A9DCAE5" w14:textId="77777777" w:rsidR="00BE258C" w:rsidRPr="008F6730" w:rsidRDefault="00386210">
      <w:pPr>
        <w:pStyle w:val="Point1"/>
        <w:rPr>
          <w:noProof/>
        </w:rPr>
      </w:pPr>
      <w:r w:rsidRPr="008F6730">
        <w:rPr>
          <w:noProof/>
        </w:rPr>
        <w:t>(g)</w:t>
      </w:r>
      <w:r w:rsidRPr="008F6730">
        <w:rPr>
          <w:noProof/>
        </w:rPr>
        <w:tab/>
        <w:t>„trajno skladištenje ugljika” znači aktivnost uklanjanja ugljika kojom se u uobičajenim okolnostima i uz primjenu odgovarajućih praksi upravljanja atmosferski ili biogeni ugljik skladišti na nekoliko stoljeća, uključujući bioenergiju s hvatanjem i skladištenjem ugljika te hvatanje i skladištenje ugljika izravno iz zraka;</w:t>
      </w:r>
    </w:p>
    <w:p w14:paraId="727DAC33" w14:textId="77777777" w:rsidR="00BE258C" w:rsidRPr="008F6730" w:rsidRDefault="00386210">
      <w:pPr>
        <w:pStyle w:val="Point1"/>
        <w:rPr>
          <w:noProof/>
        </w:rPr>
      </w:pPr>
      <w:r w:rsidRPr="008F6730">
        <w:rPr>
          <w:noProof/>
        </w:rPr>
        <w:t>(h)</w:t>
      </w:r>
      <w:r w:rsidRPr="008F6730">
        <w:rPr>
          <w:noProof/>
        </w:rPr>
        <w:tab/>
        <w:t>„sekvestracija ugljika u poljoprivredi” znači aktivnost uklanjanja ugljika povezana s upravljanjem zemljištem koja dovodi do povećanja skladištenja ugljika u živoj biomasi, mrtvoj organskoj tvari i tlima povećanjem hvatanja ugljika i/ili smanjenjem ispuštanja ugljika u atmosferu;</w:t>
      </w:r>
    </w:p>
    <w:p w14:paraId="5A4407C7" w14:textId="77777777" w:rsidR="00BE258C" w:rsidRPr="008F6730" w:rsidRDefault="00386210">
      <w:pPr>
        <w:pStyle w:val="Point1"/>
        <w:rPr>
          <w:noProof/>
        </w:rPr>
      </w:pPr>
      <w:r w:rsidRPr="008F6730">
        <w:rPr>
          <w:noProof/>
        </w:rPr>
        <w:t>(i)</w:t>
      </w:r>
      <w:r w:rsidRPr="008F6730">
        <w:rPr>
          <w:noProof/>
        </w:rPr>
        <w:tab/>
        <w:t>„skladištenje ugljika u proizvodima” znači aktivnost uklanjanja ugljika kojom se atmosferski i biogeni ugljik skladište u dugotrajnim proizvodima ili materijalima; </w:t>
      </w:r>
    </w:p>
    <w:p w14:paraId="7EEB42D1" w14:textId="77777777" w:rsidR="00BE258C" w:rsidRPr="008F6730" w:rsidRDefault="00386210">
      <w:pPr>
        <w:pStyle w:val="Point1"/>
        <w:rPr>
          <w:noProof/>
        </w:rPr>
      </w:pPr>
      <w:r w:rsidRPr="008F6730">
        <w:rPr>
          <w:noProof/>
        </w:rPr>
        <w:t>(j)</w:t>
      </w:r>
      <w:r w:rsidRPr="008F6730">
        <w:rPr>
          <w:noProof/>
        </w:rPr>
        <w:tab/>
        <w:t>„tijelo za certifikaciju” znači neovisno, akreditirano ili priznato tijelo za ocjenjivanje sukladnosti koje je s programom certificiranja sklopilo sporazum o provođenju revizija za potrebe certificiranja i izdavanju certifikata;</w:t>
      </w:r>
    </w:p>
    <w:p w14:paraId="226F50DA" w14:textId="77777777" w:rsidR="00BE258C" w:rsidRPr="008F6730" w:rsidRDefault="00386210">
      <w:pPr>
        <w:pStyle w:val="Point1"/>
        <w:rPr>
          <w:noProof/>
        </w:rPr>
      </w:pPr>
      <w:r w:rsidRPr="008F6730">
        <w:rPr>
          <w:noProof/>
        </w:rPr>
        <w:t>(k)</w:t>
      </w:r>
      <w:r w:rsidRPr="008F6730">
        <w:rPr>
          <w:noProof/>
        </w:rPr>
        <w:tab/>
        <w:t>„program certificiranja” znači program kojim upravlja privatna ili javna organizacija koja nadzire certificiranje usklađenosti operatera ili skupine operatera s ovom Uredbom;</w:t>
      </w:r>
    </w:p>
    <w:p w14:paraId="237D77AA" w14:textId="77777777" w:rsidR="00BE258C" w:rsidRPr="008F6730" w:rsidRDefault="00386210">
      <w:pPr>
        <w:pStyle w:val="Point1"/>
        <w:rPr>
          <w:noProof/>
        </w:rPr>
      </w:pPr>
      <w:r w:rsidRPr="008F6730">
        <w:rPr>
          <w:noProof/>
        </w:rPr>
        <w:t>(l)</w:t>
      </w:r>
      <w:r w:rsidRPr="008F6730">
        <w:rPr>
          <w:noProof/>
        </w:rPr>
        <w:tab/>
        <w:t>„revizija za potrebe certificiranja” znači revizija koju provodi tijelo za certifikaciju;</w:t>
      </w:r>
    </w:p>
    <w:p w14:paraId="1F647EA4" w14:textId="77777777" w:rsidR="00BE258C" w:rsidRPr="008F6730" w:rsidRDefault="00386210">
      <w:pPr>
        <w:pStyle w:val="Point1"/>
        <w:rPr>
          <w:noProof/>
        </w:rPr>
      </w:pPr>
      <w:r w:rsidRPr="008F6730">
        <w:rPr>
          <w:noProof/>
        </w:rPr>
        <w:t>(m)</w:t>
      </w:r>
      <w:r w:rsidRPr="008F6730">
        <w:rPr>
          <w:noProof/>
        </w:rPr>
        <w:tab/>
        <w:t>„revizija za potrebe ponovnog certificiranja” znači revizija koja se provodi u postupku obnove certifikata koji je izdalo tijelo za certifikaciju;</w:t>
      </w:r>
    </w:p>
    <w:p w14:paraId="6D5B10CC" w14:textId="77777777" w:rsidR="00BE258C" w:rsidRPr="008F6730" w:rsidRDefault="00386210">
      <w:pPr>
        <w:pStyle w:val="Point1"/>
        <w:rPr>
          <w:noProof/>
        </w:rPr>
      </w:pPr>
      <w:r w:rsidRPr="008F6730">
        <w:rPr>
          <w:noProof/>
        </w:rPr>
        <w:t>(n)</w:t>
      </w:r>
      <w:r w:rsidRPr="008F6730">
        <w:rPr>
          <w:noProof/>
        </w:rPr>
        <w:tab/>
        <w:t>„certifikat” znači izjava o sukladnosti koju izdaje tijelo za certifikaciju i kojom se potvrđuje da je predmetna aktivnost uklanjanja ugljika u skladu s ovom Uredbom;</w:t>
      </w:r>
    </w:p>
    <w:p w14:paraId="59A05D4A" w14:textId="77777777" w:rsidR="00BE258C" w:rsidRPr="008F6730" w:rsidRDefault="00386210">
      <w:pPr>
        <w:pStyle w:val="Point1"/>
        <w:rPr>
          <w:noProof/>
        </w:rPr>
      </w:pPr>
      <w:r w:rsidRPr="008F6730">
        <w:rPr>
          <w:noProof/>
        </w:rPr>
        <w:t>(o)</w:t>
      </w:r>
      <w:r w:rsidRPr="008F6730">
        <w:rPr>
          <w:noProof/>
        </w:rPr>
        <w:tab/>
        <w:t>„jedinica uklanjanja ugljika” znači jedna tona certificirane koristi neto uklanjanja ugljika koja proizlazi iz aktivnosti uklanjanja ugljika i registrirana je u okviru programa certificiranja.</w:t>
      </w:r>
    </w:p>
    <w:p w14:paraId="7827D165" w14:textId="77777777" w:rsidR="00BE258C" w:rsidRPr="008F6730" w:rsidRDefault="00386210">
      <w:pPr>
        <w:pStyle w:val="Titrearticle"/>
        <w:rPr>
          <w:noProof/>
        </w:rPr>
      </w:pPr>
      <w:r w:rsidRPr="008F6730">
        <w:rPr>
          <w:noProof/>
        </w:rPr>
        <w:t>Članak 3.</w:t>
      </w:r>
    </w:p>
    <w:p w14:paraId="2A991703" w14:textId="77777777" w:rsidR="00BE258C" w:rsidRPr="008F6730" w:rsidRDefault="00386210">
      <w:pPr>
        <w:pStyle w:val="NormalCentered"/>
        <w:rPr>
          <w:noProof/>
        </w:rPr>
      </w:pPr>
      <w:r w:rsidRPr="008F6730">
        <w:rPr>
          <w:b/>
          <w:noProof/>
        </w:rPr>
        <w:t>Ispunjavanje uvjeta za certificiranje</w:t>
      </w:r>
    </w:p>
    <w:p w14:paraId="4E14A9BA" w14:textId="77777777" w:rsidR="00BE258C" w:rsidRPr="008F6730" w:rsidRDefault="00386210" w:rsidP="00A014D8">
      <w:pPr>
        <w:ind w:left="720"/>
        <w:rPr>
          <w:noProof/>
        </w:rPr>
      </w:pPr>
      <w:r w:rsidRPr="008F6730">
        <w:rPr>
          <w:noProof/>
        </w:rPr>
        <w:t>Uklanjanje ugljika prihvatljivo je za certificiranje u skladu s ovom Uredbom ako ispunjava oba sljedeća uvjeta:</w:t>
      </w:r>
    </w:p>
    <w:p w14:paraId="09C02408" w14:textId="77777777" w:rsidR="00BE258C" w:rsidRPr="008F6730" w:rsidRDefault="00386210">
      <w:pPr>
        <w:pStyle w:val="Point1"/>
        <w:rPr>
          <w:noProof/>
        </w:rPr>
      </w:pPr>
      <w:r w:rsidRPr="008F6730">
        <w:rPr>
          <w:noProof/>
        </w:rPr>
        <w:t>(a)</w:t>
      </w:r>
      <w:r w:rsidRPr="008F6730">
        <w:rPr>
          <w:noProof/>
        </w:rPr>
        <w:tab/>
        <w:t>proizlazi iz aktivnosti uklanjanja ugljika koja je u skladu s kriterijima kvalitete utvrđenima u člancima od 4. do 7.;</w:t>
      </w:r>
    </w:p>
    <w:p w14:paraId="2B330A1E" w14:textId="77777777" w:rsidR="00BE258C" w:rsidRPr="008F6730" w:rsidRDefault="00386210">
      <w:pPr>
        <w:pStyle w:val="Point1"/>
        <w:rPr>
          <w:noProof/>
        </w:rPr>
      </w:pPr>
      <w:r w:rsidRPr="008F6730">
        <w:rPr>
          <w:noProof/>
        </w:rPr>
        <w:t>(b)</w:t>
      </w:r>
      <w:r w:rsidRPr="008F6730">
        <w:rPr>
          <w:noProof/>
        </w:rPr>
        <w:tab/>
        <w:t>neovisno je verificirano u skladu s člankom 9.</w:t>
      </w:r>
    </w:p>
    <w:p w14:paraId="6017F81D" w14:textId="77777777" w:rsidR="00BE258C" w:rsidRPr="008F6730" w:rsidRDefault="00386210">
      <w:pPr>
        <w:pStyle w:val="ChapterTitle"/>
        <w:rPr>
          <w:noProof/>
        </w:rPr>
      </w:pPr>
      <w:r w:rsidRPr="008F6730">
        <w:rPr>
          <w:noProof/>
        </w:rPr>
        <w:t>Poglavlje 2.</w:t>
      </w:r>
      <w:r w:rsidRPr="008F6730">
        <w:rPr>
          <w:noProof/>
        </w:rPr>
        <w:br/>
        <w:t>KRITERIJI KVALITETE</w:t>
      </w:r>
    </w:p>
    <w:p w14:paraId="12965ADD" w14:textId="77777777" w:rsidR="00BE258C" w:rsidRPr="008F6730" w:rsidRDefault="00386210">
      <w:pPr>
        <w:pStyle w:val="Titrearticle"/>
        <w:rPr>
          <w:noProof/>
        </w:rPr>
      </w:pPr>
      <w:r w:rsidRPr="008F6730">
        <w:rPr>
          <w:noProof/>
        </w:rPr>
        <w:t>Članak 4.</w:t>
      </w:r>
    </w:p>
    <w:p w14:paraId="2D287A19" w14:textId="77777777" w:rsidR="00BE258C" w:rsidRPr="008F6730" w:rsidRDefault="00386210">
      <w:pPr>
        <w:pStyle w:val="NormalCentered"/>
        <w:rPr>
          <w:noProof/>
        </w:rPr>
      </w:pPr>
      <w:r w:rsidRPr="008F6730">
        <w:rPr>
          <w:b/>
          <w:noProof/>
        </w:rPr>
        <w:t>Kvantifikacija</w:t>
      </w:r>
    </w:p>
    <w:p w14:paraId="04E0D233" w14:textId="77777777" w:rsidR="00DE299A" w:rsidRPr="008F6730" w:rsidRDefault="00386210" w:rsidP="00DE299A">
      <w:pPr>
        <w:pStyle w:val="ManualNumPar1"/>
        <w:rPr>
          <w:noProof/>
        </w:rPr>
      </w:pPr>
      <w:r w:rsidRPr="008F6730">
        <w:rPr>
          <w:noProof/>
        </w:rPr>
        <w:t>1.</w:t>
      </w:r>
      <w:r w:rsidRPr="008F6730">
        <w:rPr>
          <w:noProof/>
        </w:rPr>
        <w:tab/>
        <w:t>Aktivnošću uklanjanja ugljika mora se ostvarivati korist neto uklanjanja ugljika, koja se kvantificira pomoću sljedeće formule:</w:t>
      </w:r>
    </w:p>
    <w:p w14:paraId="3FEC9C16" w14:textId="233565CC" w:rsidR="00DE299A" w:rsidRPr="008F6730" w:rsidRDefault="008F6730" w:rsidP="00DE299A">
      <w:pPr>
        <w:pStyle w:val="Text1"/>
        <w:rPr>
          <w:noProof/>
        </w:rPr>
      </w:pPr>
      <w:r>
        <w:rPr>
          <w:noProof/>
        </w:rPr>
        <w:t>k</w:t>
      </w:r>
      <w:r w:rsidR="00DE299A" w:rsidRPr="008F6730">
        <w:rPr>
          <w:noProof/>
        </w:rPr>
        <w:t>orist neto uklanjanja ugljika = UU</w:t>
      </w:r>
      <w:r w:rsidR="00DE299A" w:rsidRPr="008F6730">
        <w:rPr>
          <w:noProof/>
          <w:vertAlign w:val="subscript"/>
        </w:rPr>
        <w:t>polazna vrijednost</w:t>
      </w:r>
      <w:r w:rsidR="00DE299A" w:rsidRPr="008F6730">
        <w:rPr>
          <w:noProof/>
        </w:rPr>
        <w:t xml:space="preserve"> – UU</w:t>
      </w:r>
      <w:r w:rsidR="00DE299A" w:rsidRPr="008F6730">
        <w:rPr>
          <w:noProof/>
          <w:vertAlign w:val="subscript"/>
        </w:rPr>
        <w:t>ukupno</w:t>
      </w:r>
      <w:r w:rsidR="00DE299A" w:rsidRPr="008F6730">
        <w:rPr>
          <w:noProof/>
        </w:rPr>
        <w:t xml:space="preserve"> – SP</w:t>
      </w:r>
      <w:r w:rsidR="00DE299A" w:rsidRPr="008F6730">
        <w:rPr>
          <w:noProof/>
          <w:vertAlign w:val="subscript"/>
        </w:rPr>
        <w:t>povećanje</w:t>
      </w:r>
      <w:r w:rsidR="00DE299A" w:rsidRPr="008F6730">
        <w:rPr>
          <w:noProof/>
        </w:rPr>
        <w:t xml:space="preserve"> &gt; 0</w:t>
      </w:r>
    </w:p>
    <w:p w14:paraId="732CBC40" w14:textId="77777777" w:rsidR="00BE258C" w:rsidRPr="008F6730" w:rsidRDefault="00386210">
      <w:pPr>
        <w:pStyle w:val="Text1"/>
        <w:rPr>
          <w:noProof/>
        </w:rPr>
      </w:pPr>
      <w:r w:rsidRPr="008F6730">
        <w:rPr>
          <w:noProof/>
        </w:rPr>
        <w:t>pri čemu je:</w:t>
      </w:r>
    </w:p>
    <w:p w14:paraId="163ECF4D" w14:textId="6F72000B" w:rsidR="00BE258C" w:rsidRPr="008F6730" w:rsidRDefault="00386210">
      <w:pPr>
        <w:pStyle w:val="Point1"/>
        <w:rPr>
          <w:noProof/>
        </w:rPr>
      </w:pPr>
      <w:r w:rsidRPr="008F6730">
        <w:rPr>
          <w:noProof/>
        </w:rPr>
        <w:t>(a)</w:t>
      </w:r>
      <w:r w:rsidRPr="008F6730">
        <w:rPr>
          <w:noProof/>
        </w:rPr>
        <w:tab/>
        <w:t>UU</w:t>
      </w:r>
      <w:r w:rsidRPr="008F6730">
        <w:rPr>
          <w:noProof/>
          <w:vertAlign w:val="subscript"/>
        </w:rPr>
        <w:t>polazna vrijednost</w:t>
      </w:r>
      <w:r w:rsidRPr="008F6730">
        <w:rPr>
          <w:noProof/>
        </w:rPr>
        <w:t xml:space="preserve"> – ukl</w:t>
      </w:r>
      <w:r w:rsidR="00D856C4">
        <w:rPr>
          <w:noProof/>
        </w:rPr>
        <w:t>anjanje ugljika u skladu s polaznom vrijednošću</w:t>
      </w:r>
      <w:r w:rsidRPr="008F6730">
        <w:rPr>
          <w:noProof/>
        </w:rPr>
        <w:t>;</w:t>
      </w:r>
    </w:p>
    <w:p w14:paraId="02A36DC1" w14:textId="77777777" w:rsidR="00BE258C" w:rsidRPr="008F6730" w:rsidRDefault="00386210">
      <w:pPr>
        <w:pStyle w:val="Point1"/>
        <w:rPr>
          <w:noProof/>
        </w:rPr>
      </w:pPr>
      <w:r w:rsidRPr="008F6730">
        <w:rPr>
          <w:noProof/>
        </w:rPr>
        <w:t>(b)</w:t>
      </w:r>
      <w:r w:rsidRPr="008F6730">
        <w:rPr>
          <w:noProof/>
        </w:rPr>
        <w:tab/>
        <w:t>UU</w:t>
      </w:r>
      <w:r w:rsidRPr="008F6730">
        <w:rPr>
          <w:noProof/>
          <w:vertAlign w:val="subscript"/>
        </w:rPr>
        <w:t>ukupno</w:t>
      </w:r>
      <w:r w:rsidRPr="008F6730">
        <w:rPr>
          <w:noProof/>
        </w:rPr>
        <w:t xml:space="preserve"> – ukupno uklanjanje ugljika u okviru aktivnosti uklanjanja ugljika;</w:t>
      </w:r>
    </w:p>
    <w:p w14:paraId="52B6421B" w14:textId="77777777" w:rsidR="00BE258C" w:rsidRPr="008F6730" w:rsidRDefault="00386210">
      <w:pPr>
        <w:pStyle w:val="Point1"/>
        <w:rPr>
          <w:noProof/>
        </w:rPr>
      </w:pPr>
      <w:r w:rsidRPr="008F6730">
        <w:rPr>
          <w:noProof/>
        </w:rPr>
        <w:t>(c)</w:t>
      </w:r>
      <w:r w:rsidRPr="008F6730">
        <w:rPr>
          <w:noProof/>
        </w:rPr>
        <w:tab/>
        <w:t>SP</w:t>
      </w:r>
      <w:r w:rsidRPr="008F6730">
        <w:rPr>
          <w:noProof/>
          <w:vertAlign w:val="subscript"/>
        </w:rPr>
        <w:t>povećanje</w:t>
      </w:r>
      <w:r w:rsidRPr="008F6730">
        <w:rPr>
          <w:noProof/>
        </w:rPr>
        <w:t xml:space="preserve"> – povećanje izravnih i neizravnih emisija stakleničkih plinova, osim onih iz biogenih spremnika ugljika u slučaju sekvestracije ugljika u poljoprivredi, koje su posljedica provedbe aktivnosti uklanjanja ugljika.</w:t>
      </w:r>
    </w:p>
    <w:p w14:paraId="3512DA1B" w14:textId="77777777" w:rsidR="00BE258C" w:rsidRPr="008F6730" w:rsidRDefault="00386210">
      <w:pPr>
        <w:pStyle w:val="ManualNumPar1"/>
        <w:rPr>
          <w:noProof/>
        </w:rPr>
      </w:pPr>
      <w:r w:rsidRPr="008F6730">
        <w:rPr>
          <w:noProof/>
        </w:rPr>
        <w:t>2.</w:t>
      </w:r>
      <w:r w:rsidRPr="008F6730">
        <w:rPr>
          <w:noProof/>
        </w:rPr>
        <w:tab/>
        <w:t>U slučaju sekvestracije ugljika u poljoprivredi, UU</w:t>
      </w:r>
      <w:r w:rsidRPr="008F6730">
        <w:rPr>
          <w:noProof/>
          <w:vertAlign w:val="subscript"/>
        </w:rPr>
        <w:t>polazna vrijednost</w:t>
      </w:r>
      <w:r w:rsidRPr="008F6730">
        <w:rPr>
          <w:noProof/>
        </w:rPr>
        <w:t xml:space="preserve"> i UU</w:t>
      </w:r>
      <w:r w:rsidRPr="008F6730">
        <w:rPr>
          <w:noProof/>
          <w:vertAlign w:val="subscript"/>
        </w:rPr>
        <w:t>ukupno</w:t>
      </w:r>
      <w:r w:rsidRPr="008F6730">
        <w:rPr>
          <w:noProof/>
        </w:rPr>
        <w:t xml:space="preserve"> smatraju se neto uklanjanjem stakleničkih plinova ili emisijama u skladu s pravilima za obračun iz Uredbe (EU) 2018/841.</w:t>
      </w:r>
    </w:p>
    <w:p w14:paraId="2F46158D" w14:textId="77777777" w:rsidR="00BE258C" w:rsidRPr="008F6730" w:rsidRDefault="00386210">
      <w:pPr>
        <w:pStyle w:val="ManualNumPar1"/>
        <w:rPr>
          <w:noProof/>
        </w:rPr>
      </w:pPr>
      <w:r w:rsidRPr="008F6730">
        <w:rPr>
          <w:noProof/>
        </w:rPr>
        <w:t>3.</w:t>
      </w:r>
      <w:r w:rsidRPr="008F6730">
        <w:rPr>
          <w:noProof/>
        </w:rPr>
        <w:tab/>
        <w:t>Količine iz stavka 1. točaka (a), (b) i (c) označavaju se negativnim predznakom (−) ako je riječ o neto uklanjanju stakleničkih plinova, odnosno pozitivnim (+) ako se radi o neto emisijama stakleničkih plinova; izražavaju se u tonama ekvivalenta ugljikova dioksida.</w:t>
      </w:r>
    </w:p>
    <w:p w14:paraId="2EB59099" w14:textId="77777777" w:rsidR="00BE258C" w:rsidRPr="008F6730" w:rsidRDefault="00386210">
      <w:pPr>
        <w:pStyle w:val="ManualNumPar1"/>
        <w:rPr>
          <w:noProof/>
        </w:rPr>
      </w:pPr>
      <w:r w:rsidRPr="008F6730">
        <w:rPr>
          <w:noProof/>
        </w:rPr>
        <w:t>4.</w:t>
      </w:r>
      <w:r w:rsidRPr="008F6730">
        <w:rPr>
          <w:noProof/>
        </w:rPr>
        <w:tab/>
        <w:t>Uklanjanja ugljika kvantificiraju se na relevantan, točan, potpun, dosljedan, usporediv i transparentan način.</w:t>
      </w:r>
    </w:p>
    <w:p w14:paraId="06791746" w14:textId="77777777" w:rsidR="00BE258C" w:rsidRPr="008F6730" w:rsidRDefault="00386210">
      <w:pPr>
        <w:pStyle w:val="ManualNumPar1"/>
        <w:rPr>
          <w:noProof/>
        </w:rPr>
      </w:pPr>
      <w:r w:rsidRPr="008F6730">
        <w:rPr>
          <w:noProof/>
        </w:rPr>
        <w:t>5.</w:t>
      </w:r>
      <w:r w:rsidRPr="008F6730">
        <w:rPr>
          <w:noProof/>
        </w:rPr>
        <w:tab/>
        <w:t>Polazna vrijednost mora odgovarati standardnoj učinkovitosti uklanjanja ugljika usporedivih aktivnosti u sličnim društvenim, gospodarskim, okolišnim i tehnološkim okolnostima te uz uzimanje zemljopisnog konteksta u obzir.</w:t>
      </w:r>
    </w:p>
    <w:p w14:paraId="6E7E9C2A" w14:textId="77777777" w:rsidR="00BE258C" w:rsidRPr="008F6730" w:rsidRDefault="00386210">
      <w:pPr>
        <w:pStyle w:val="ManualNumPar1"/>
        <w:rPr>
          <w:noProof/>
        </w:rPr>
      </w:pPr>
      <w:r w:rsidRPr="008F6730">
        <w:rPr>
          <w:noProof/>
        </w:rPr>
        <w:t>6.</w:t>
      </w:r>
      <w:r w:rsidRPr="008F6730">
        <w:rPr>
          <w:noProof/>
        </w:rPr>
        <w:tab/>
        <w:t>Odstupajući od stavka 5., ako je to propisno opravdano, polazna vrijednost može se temeljiti na pojedinačnoj učinkovitosti predmetne aktivnosti u pogledu uklanjanja ugljika.</w:t>
      </w:r>
    </w:p>
    <w:p w14:paraId="0A39D8E5" w14:textId="77777777" w:rsidR="00BE258C" w:rsidRPr="008F6730" w:rsidRDefault="00386210">
      <w:pPr>
        <w:pStyle w:val="ManualNumPar1"/>
        <w:rPr>
          <w:noProof/>
        </w:rPr>
      </w:pPr>
      <w:r w:rsidRPr="008F6730">
        <w:rPr>
          <w:noProof/>
        </w:rPr>
        <w:t>7.</w:t>
      </w:r>
      <w:r w:rsidRPr="008F6730">
        <w:rPr>
          <w:noProof/>
        </w:rPr>
        <w:tab/>
        <w:t>Polazna vrijednost periodično se ažurira.</w:t>
      </w:r>
    </w:p>
    <w:p w14:paraId="68427060" w14:textId="77777777" w:rsidR="00BE258C" w:rsidRPr="008F6730" w:rsidRDefault="00386210">
      <w:pPr>
        <w:pStyle w:val="ManualNumPar1"/>
        <w:rPr>
          <w:noProof/>
        </w:rPr>
      </w:pPr>
      <w:r w:rsidRPr="008F6730">
        <w:rPr>
          <w:noProof/>
        </w:rPr>
        <w:t>8.</w:t>
      </w:r>
      <w:r w:rsidRPr="008F6730">
        <w:rPr>
          <w:noProof/>
        </w:rPr>
        <w:tab/>
        <w:t>U kvantifikaciji uklanjanja ugljika uzimaju se u obzir nesigurnosti u skladu s priznatim statističkim pristupima.</w:t>
      </w:r>
    </w:p>
    <w:p w14:paraId="57DE1300" w14:textId="77777777" w:rsidR="00BE258C" w:rsidRPr="008F6730" w:rsidRDefault="00386210">
      <w:pPr>
        <w:pStyle w:val="ManualNumPar1"/>
        <w:rPr>
          <w:noProof/>
        </w:rPr>
      </w:pPr>
      <w:r w:rsidRPr="008F6730">
        <w:rPr>
          <w:noProof/>
        </w:rPr>
        <w:t>9.</w:t>
      </w:r>
      <w:r w:rsidRPr="008F6730">
        <w:rPr>
          <w:noProof/>
        </w:rPr>
        <w:tab/>
        <w:t>Kako bi se poduprla kvantifikacija uklanjanja ugljika ostvarenih sekvestracijom ugljika u poljoprivredi, operater ili skupina operatera prikuplja podatke o uklanjanju ugljika i emisijama stakleničkih plinova na način koji je u skladu s nacionalnim inventarima stakleničkih plinova na temelju Uredbe (EU) 2018/841 i dijela 3. Priloga V. Uredbi (EU) 2018/1999.</w:t>
      </w:r>
    </w:p>
    <w:p w14:paraId="7D8BD810" w14:textId="77777777" w:rsidR="00BE258C" w:rsidRPr="008F6730" w:rsidRDefault="00386210">
      <w:pPr>
        <w:pStyle w:val="Titrearticle"/>
        <w:rPr>
          <w:noProof/>
        </w:rPr>
      </w:pPr>
      <w:r w:rsidRPr="008F6730">
        <w:rPr>
          <w:noProof/>
        </w:rPr>
        <w:t>Članak 5.</w:t>
      </w:r>
    </w:p>
    <w:p w14:paraId="78ECE1AF" w14:textId="77777777" w:rsidR="00BE258C" w:rsidRPr="008F6730" w:rsidRDefault="00386210">
      <w:pPr>
        <w:pStyle w:val="NormalCentered"/>
        <w:rPr>
          <w:noProof/>
        </w:rPr>
      </w:pPr>
      <w:r w:rsidRPr="008F6730">
        <w:rPr>
          <w:b/>
          <w:noProof/>
        </w:rPr>
        <w:t>Dodatnost</w:t>
      </w:r>
    </w:p>
    <w:p w14:paraId="329AEACA" w14:textId="77777777" w:rsidR="00BE258C" w:rsidRPr="008F6730" w:rsidRDefault="00386210">
      <w:pPr>
        <w:pStyle w:val="ManualNumPar1"/>
        <w:rPr>
          <w:noProof/>
        </w:rPr>
      </w:pPr>
      <w:r w:rsidRPr="008F6730">
        <w:rPr>
          <w:noProof/>
        </w:rPr>
        <w:t>1.</w:t>
      </w:r>
      <w:r w:rsidRPr="008F6730">
        <w:rPr>
          <w:noProof/>
        </w:rPr>
        <w:tab/>
        <w:t>Aktivnost uklanjanja ugljika mora biti dodatna. U tu svrhu aktivnost uklanjanja ugljika mora ispunjavati oba sljedeća kriterija:</w:t>
      </w:r>
    </w:p>
    <w:p w14:paraId="7C2E16BB" w14:textId="77777777" w:rsidR="00BE258C" w:rsidRPr="008F6730" w:rsidRDefault="00386210">
      <w:pPr>
        <w:pStyle w:val="Text1"/>
        <w:rPr>
          <w:noProof/>
        </w:rPr>
      </w:pPr>
      <w:r w:rsidRPr="008F6730">
        <w:rPr>
          <w:noProof/>
        </w:rPr>
        <w:t>(a) mora nadilaziti zakonske zahtjeve Unije i nacionalne zakonske zahtjeve;</w:t>
      </w:r>
    </w:p>
    <w:p w14:paraId="0F2AEB7D" w14:textId="77777777" w:rsidR="00BE258C" w:rsidRPr="008F6730" w:rsidRDefault="00386210">
      <w:pPr>
        <w:pStyle w:val="Text1"/>
        <w:rPr>
          <w:noProof/>
        </w:rPr>
      </w:pPr>
      <w:r w:rsidRPr="008F6730">
        <w:rPr>
          <w:noProof/>
        </w:rPr>
        <w:t>(b) provodi se zbog poticajnog učinka certificiranja.    </w:t>
      </w:r>
    </w:p>
    <w:p w14:paraId="7C98CF15" w14:textId="77777777" w:rsidR="00BE258C" w:rsidRPr="008F6730" w:rsidRDefault="00386210">
      <w:pPr>
        <w:pStyle w:val="ManualNumPar1"/>
        <w:rPr>
          <w:noProof/>
        </w:rPr>
      </w:pPr>
      <w:r w:rsidRPr="008F6730">
        <w:rPr>
          <w:noProof/>
        </w:rPr>
        <w:t>2.</w:t>
      </w:r>
      <w:r w:rsidRPr="008F6730">
        <w:rPr>
          <w:noProof/>
        </w:rPr>
        <w:tab/>
        <w:t>Ako je polazna vrijednost utvrđena u skladu s člankom 4. stavkom 5., smatra se da je ispunjen uvjet dodatnosti iz stavka 1. Ako je polazna vrijednost utvrđena u skladu s člankom 4. stavkom 6., dodatnost iz stavka 1. točaka (a) i (b) dokazuje se posebnim ispitivanjima.</w:t>
      </w:r>
    </w:p>
    <w:p w14:paraId="0D4D4D12" w14:textId="77777777" w:rsidR="00BE258C" w:rsidRPr="008F6730" w:rsidRDefault="00386210">
      <w:pPr>
        <w:pStyle w:val="Titrearticle"/>
        <w:rPr>
          <w:noProof/>
        </w:rPr>
      </w:pPr>
      <w:r w:rsidRPr="008F6730">
        <w:rPr>
          <w:noProof/>
        </w:rPr>
        <w:t>Članak 6.</w:t>
      </w:r>
    </w:p>
    <w:p w14:paraId="69926981" w14:textId="77777777" w:rsidR="00BE258C" w:rsidRPr="008F6730" w:rsidRDefault="00386210">
      <w:pPr>
        <w:pStyle w:val="NormalCentered"/>
        <w:rPr>
          <w:noProof/>
        </w:rPr>
      </w:pPr>
      <w:r w:rsidRPr="008F6730">
        <w:rPr>
          <w:b/>
          <w:noProof/>
        </w:rPr>
        <w:t>Dugoročno skladištenje</w:t>
      </w:r>
    </w:p>
    <w:p w14:paraId="30E65C05" w14:textId="77777777" w:rsidR="00BE258C" w:rsidRPr="008F6730" w:rsidRDefault="00386210">
      <w:pPr>
        <w:pStyle w:val="ManualNumPar1"/>
        <w:rPr>
          <w:noProof/>
        </w:rPr>
      </w:pPr>
      <w:r w:rsidRPr="008F6730">
        <w:rPr>
          <w:noProof/>
        </w:rPr>
        <w:t>1.</w:t>
      </w:r>
      <w:r w:rsidRPr="008F6730">
        <w:rPr>
          <w:noProof/>
        </w:rPr>
        <w:tab/>
        <w:t>Operater ili skupina operatera mora dokazati da je cilj aktivnosti uklanjanja ugljika osigurati dugoročno skladištenje ugljika.</w:t>
      </w:r>
    </w:p>
    <w:p w14:paraId="106503B6" w14:textId="77777777" w:rsidR="00BE258C" w:rsidRPr="008F6730" w:rsidRDefault="00386210">
      <w:pPr>
        <w:pStyle w:val="ManualNumPar1"/>
        <w:rPr>
          <w:noProof/>
        </w:rPr>
      </w:pPr>
      <w:r w:rsidRPr="008F6730">
        <w:rPr>
          <w:noProof/>
        </w:rPr>
        <w:t>2.</w:t>
      </w:r>
      <w:r w:rsidRPr="008F6730">
        <w:rPr>
          <w:noProof/>
        </w:rPr>
        <w:tab/>
        <w:t>Za potrebe stavka 1. operater ili skupina operatera mora ispunjavati oba sljedeća kriterija:</w:t>
      </w:r>
    </w:p>
    <w:p w14:paraId="0E4C1312" w14:textId="77777777" w:rsidR="00BE258C" w:rsidRPr="008F6730" w:rsidRDefault="00386210">
      <w:pPr>
        <w:pStyle w:val="Text1"/>
        <w:rPr>
          <w:noProof/>
        </w:rPr>
      </w:pPr>
      <w:r w:rsidRPr="008F6730">
        <w:rPr>
          <w:noProof/>
        </w:rPr>
        <w:t>(a) mora pratiti i ublažavati svaki rizik od ispuštanja uskladištenog ugljika tijekom razdoblja praćenja;</w:t>
      </w:r>
    </w:p>
    <w:p w14:paraId="178444A0" w14:textId="77777777" w:rsidR="00BE258C" w:rsidRPr="008F6730" w:rsidRDefault="00386210">
      <w:pPr>
        <w:pStyle w:val="Text1"/>
        <w:rPr>
          <w:noProof/>
        </w:rPr>
      </w:pPr>
      <w:r w:rsidRPr="008F6730">
        <w:rPr>
          <w:noProof/>
        </w:rPr>
        <w:t>(b) mora podlijegati odgovarajućim mehanizmima odgovornosti za slučaj eventualnih ispuštanja uskladištenog ugljika tijekom razdoblja praćenja.</w:t>
      </w:r>
    </w:p>
    <w:p w14:paraId="4849729C" w14:textId="77777777" w:rsidR="00BE258C" w:rsidRPr="008F6730" w:rsidRDefault="00386210">
      <w:pPr>
        <w:pStyle w:val="ManualNumPar1"/>
        <w:rPr>
          <w:noProof/>
        </w:rPr>
      </w:pPr>
      <w:r w:rsidRPr="008F6730">
        <w:rPr>
          <w:noProof/>
        </w:rPr>
        <w:t>3.</w:t>
      </w:r>
      <w:r w:rsidRPr="008F6730">
        <w:rPr>
          <w:noProof/>
        </w:rPr>
        <w:tab/>
        <w:t>Kad je riječ o sekvestraciji ugljika u poljoprivredi i skladištenju ugljika u proizvodima, smatra se da se ugljik uskladišten u okviru aktivnosti uklanjanja ugljika ispušta u atmosferu na kraju razdoblja praćenja.</w:t>
      </w:r>
    </w:p>
    <w:p w14:paraId="44BEA543" w14:textId="77777777" w:rsidR="00BE258C" w:rsidRPr="008F6730" w:rsidRDefault="00386210">
      <w:pPr>
        <w:pStyle w:val="Titrearticle"/>
        <w:rPr>
          <w:noProof/>
        </w:rPr>
      </w:pPr>
      <w:r w:rsidRPr="008F6730">
        <w:rPr>
          <w:noProof/>
        </w:rPr>
        <w:t>Članak 7.</w:t>
      </w:r>
    </w:p>
    <w:p w14:paraId="60D6C5F7" w14:textId="77777777" w:rsidR="00BE258C" w:rsidRPr="008F6730" w:rsidRDefault="00386210">
      <w:pPr>
        <w:pStyle w:val="NormalCentered"/>
        <w:rPr>
          <w:noProof/>
        </w:rPr>
      </w:pPr>
      <w:r w:rsidRPr="008F6730">
        <w:rPr>
          <w:b/>
          <w:noProof/>
        </w:rPr>
        <w:t>Održivost</w:t>
      </w:r>
    </w:p>
    <w:p w14:paraId="2A7591A3" w14:textId="77777777" w:rsidR="00BE258C" w:rsidRPr="008F6730" w:rsidRDefault="00386210">
      <w:pPr>
        <w:pStyle w:val="ManualNumPar1"/>
        <w:rPr>
          <w:noProof/>
        </w:rPr>
      </w:pPr>
      <w:r w:rsidRPr="008F6730">
        <w:rPr>
          <w:noProof/>
        </w:rPr>
        <w:t>1.</w:t>
      </w:r>
      <w:r w:rsidRPr="008F6730">
        <w:rPr>
          <w:noProof/>
        </w:rPr>
        <w:tab/>
        <w:t>Aktivnost uklanjanja ugljika mora imati neutralan učinak ili donositi posredne koristi za sve sljedeće ciljeve održivosti:</w:t>
      </w:r>
    </w:p>
    <w:p w14:paraId="7B60EC2F" w14:textId="77777777" w:rsidR="00BE258C" w:rsidRPr="008F6730" w:rsidRDefault="00386210">
      <w:pPr>
        <w:pStyle w:val="Point1"/>
        <w:rPr>
          <w:noProof/>
        </w:rPr>
      </w:pPr>
      <w:r w:rsidRPr="008F6730">
        <w:rPr>
          <w:noProof/>
        </w:rPr>
        <w:t>(a)</w:t>
      </w:r>
      <w:r w:rsidRPr="008F6730">
        <w:rPr>
          <w:noProof/>
        </w:rPr>
        <w:tab/>
        <w:t>ublažavanje klimatskih promjena koje nadilazi korist neto uklanjanja ugljika iz članka 4. stavka 1.;</w:t>
      </w:r>
    </w:p>
    <w:p w14:paraId="5051BC56" w14:textId="77777777" w:rsidR="00BE258C" w:rsidRPr="008F6730" w:rsidRDefault="00386210">
      <w:pPr>
        <w:pStyle w:val="Point1"/>
        <w:rPr>
          <w:noProof/>
        </w:rPr>
      </w:pPr>
      <w:r w:rsidRPr="008F6730">
        <w:rPr>
          <w:noProof/>
        </w:rPr>
        <w:t>(b)</w:t>
      </w:r>
      <w:r w:rsidRPr="008F6730">
        <w:rPr>
          <w:noProof/>
        </w:rPr>
        <w:tab/>
        <w:t>prilagodbu klimatskim promjenama;</w:t>
      </w:r>
    </w:p>
    <w:p w14:paraId="6AB3136B" w14:textId="77777777" w:rsidR="00BE258C" w:rsidRPr="008F6730" w:rsidRDefault="00386210">
      <w:pPr>
        <w:pStyle w:val="Point1"/>
        <w:rPr>
          <w:noProof/>
        </w:rPr>
      </w:pPr>
      <w:r w:rsidRPr="008F6730">
        <w:rPr>
          <w:noProof/>
        </w:rPr>
        <w:t>(c)</w:t>
      </w:r>
      <w:r w:rsidRPr="008F6730">
        <w:rPr>
          <w:noProof/>
        </w:rPr>
        <w:tab/>
        <w:t>održivo korištenje i zaštitu vodnih i morskih resursa;</w:t>
      </w:r>
    </w:p>
    <w:p w14:paraId="72FCEA73" w14:textId="77777777" w:rsidR="00BE258C" w:rsidRPr="008F6730" w:rsidRDefault="00386210">
      <w:pPr>
        <w:pStyle w:val="Point1"/>
        <w:rPr>
          <w:noProof/>
        </w:rPr>
      </w:pPr>
      <w:r w:rsidRPr="008F6730">
        <w:rPr>
          <w:noProof/>
        </w:rPr>
        <w:t>(d)</w:t>
      </w:r>
      <w:r w:rsidRPr="008F6730">
        <w:rPr>
          <w:noProof/>
        </w:rPr>
        <w:tab/>
        <w:t>prelazak na kružno gospodarstvo;</w:t>
      </w:r>
    </w:p>
    <w:p w14:paraId="6BBB4445" w14:textId="77777777" w:rsidR="00BE258C" w:rsidRPr="008F6730" w:rsidRDefault="00386210">
      <w:pPr>
        <w:pStyle w:val="Point1"/>
        <w:rPr>
          <w:noProof/>
        </w:rPr>
      </w:pPr>
      <w:r w:rsidRPr="008F6730">
        <w:rPr>
          <w:noProof/>
        </w:rPr>
        <w:t>(e)</w:t>
      </w:r>
      <w:r w:rsidRPr="008F6730">
        <w:rPr>
          <w:noProof/>
        </w:rPr>
        <w:tab/>
        <w:t>sprečavanje i kontrolu onečišćenja;</w:t>
      </w:r>
    </w:p>
    <w:p w14:paraId="0A370D12" w14:textId="77777777" w:rsidR="00F10591" w:rsidRPr="008F6730" w:rsidRDefault="00386210" w:rsidP="003322A5">
      <w:pPr>
        <w:pStyle w:val="Point1"/>
        <w:rPr>
          <w:noProof/>
        </w:rPr>
      </w:pPr>
      <w:r w:rsidRPr="008F6730">
        <w:rPr>
          <w:noProof/>
        </w:rPr>
        <w:t>(f)</w:t>
      </w:r>
      <w:r w:rsidRPr="008F6730">
        <w:rPr>
          <w:noProof/>
        </w:rPr>
        <w:tab/>
        <w:t>zaštitu i obnovu bioraznolikosti i ekosustava.</w:t>
      </w:r>
    </w:p>
    <w:p w14:paraId="7CFD24B5" w14:textId="77777777" w:rsidR="00BE258C" w:rsidRPr="008F6730" w:rsidRDefault="003322A5">
      <w:pPr>
        <w:pStyle w:val="ManualNumPar1"/>
        <w:rPr>
          <w:noProof/>
        </w:rPr>
      </w:pPr>
      <w:r w:rsidRPr="008F6730">
        <w:rPr>
          <w:noProof/>
        </w:rPr>
        <w:t>2.</w:t>
      </w:r>
      <w:r w:rsidRPr="008F6730">
        <w:rPr>
          <w:noProof/>
        </w:rPr>
        <w:tab/>
        <w:t xml:space="preserve">Za potrebe stavka 1. aktivnost uklanjanja ugljika mora biti u skladu s minimalnim zahtjevima održivosti utvrđenima u metodologijama certificiranja iz delegiranih akata donesenih na temelju članka 8. </w:t>
      </w:r>
    </w:p>
    <w:p w14:paraId="1676244D" w14:textId="77777777" w:rsidR="0015156A" w:rsidRPr="008F6730" w:rsidRDefault="00386210">
      <w:pPr>
        <w:pStyle w:val="ManualNumPar1"/>
        <w:rPr>
          <w:noProof/>
        </w:rPr>
      </w:pPr>
      <w:r w:rsidRPr="008F6730">
        <w:rPr>
          <w:noProof/>
        </w:rPr>
        <w:t>3.</w:t>
      </w:r>
      <w:r w:rsidRPr="008F6730">
        <w:rPr>
          <w:noProof/>
        </w:rPr>
        <w:tab/>
        <w:t xml:space="preserve">Ako operater ili skupina operatera izvješćuje o posrednim koristima koje pridonose ciljevima održivosti iz stavka 1. u mjeri koja premašuje minimalne zahtjeve održivosti iz stavka 2., mora poštovati metodologije certificiranja utvrđene u delegiranim aktima iz članka 8. Metodologijama certificiranja u najvećoj se mogućoj mjeri mora poticati ostvarivanje posrednih koristi koje nadilaze minimalne zahtjeve održivosti, posebno za cilj iz stavka 1. </w:t>
      </w:r>
      <w:r w:rsidRPr="008F6730">
        <w:rPr>
          <w:noProof/>
          <w:shd w:val="clear" w:color="auto" w:fill="FFFFFF"/>
        </w:rPr>
        <w:t>točke (f)</w:t>
      </w:r>
      <w:r w:rsidRPr="008F6730">
        <w:rPr>
          <w:noProof/>
        </w:rPr>
        <w:t>.</w:t>
      </w:r>
    </w:p>
    <w:p w14:paraId="4D5B4ADB" w14:textId="77777777" w:rsidR="00825D54" w:rsidRPr="008F6730" w:rsidRDefault="00825D54" w:rsidP="00B93EFD">
      <w:pPr>
        <w:pStyle w:val="Text1"/>
        <w:rPr>
          <w:noProof/>
        </w:rPr>
      </w:pPr>
    </w:p>
    <w:p w14:paraId="425385D4" w14:textId="77777777" w:rsidR="00BE258C" w:rsidRPr="008F6730" w:rsidRDefault="00386210">
      <w:pPr>
        <w:pStyle w:val="Titrearticle"/>
        <w:rPr>
          <w:noProof/>
        </w:rPr>
      </w:pPr>
      <w:r w:rsidRPr="008F6730">
        <w:rPr>
          <w:noProof/>
        </w:rPr>
        <w:t>Članak 8.</w:t>
      </w:r>
    </w:p>
    <w:p w14:paraId="194200CB" w14:textId="77777777" w:rsidR="00BE258C" w:rsidRPr="008F6730" w:rsidRDefault="00386210">
      <w:pPr>
        <w:pStyle w:val="NormalCentered"/>
        <w:rPr>
          <w:noProof/>
        </w:rPr>
      </w:pPr>
      <w:r w:rsidRPr="008F6730">
        <w:rPr>
          <w:b/>
          <w:noProof/>
        </w:rPr>
        <w:t>Metodologije certificiranja</w:t>
      </w:r>
    </w:p>
    <w:p w14:paraId="14251901" w14:textId="77777777" w:rsidR="00BE258C" w:rsidRPr="008F6730" w:rsidRDefault="00386210">
      <w:pPr>
        <w:pStyle w:val="ManualNumPar1"/>
        <w:rPr>
          <w:noProof/>
        </w:rPr>
      </w:pPr>
      <w:r w:rsidRPr="008F6730">
        <w:rPr>
          <w:noProof/>
        </w:rPr>
        <w:t>1.</w:t>
      </w:r>
      <w:r w:rsidRPr="008F6730">
        <w:rPr>
          <w:noProof/>
        </w:rPr>
        <w:tab/>
        <w:t>Operater ili skupina operatera mora primjenjivati relevantne metodologije certificiranja radi ispunjavanja kriterija utvrđenih u člancima od 4. do 7.</w:t>
      </w:r>
    </w:p>
    <w:p w14:paraId="6E3D0A1C" w14:textId="77777777" w:rsidR="00BE258C" w:rsidRPr="008F6730" w:rsidRDefault="00386210">
      <w:pPr>
        <w:pStyle w:val="ManualNumPar1"/>
        <w:rPr>
          <w:noProof/>
        </w:rPr>
      </w:pPr>
      <w:r w:rsidRPr="008F6730">
        <w:rPr>
          <w:noProof/>
        </w:rPr>
        <w:t>2.</w:t>
      </w:r>
      <w:r w:rsidRPr="008F6730">
        <w:rPr>
          <w:noProof/>
        </w:rPr>
        <w:tab/>
        <w:t>Komisija je ovlaštena za donošenje delegiranih akata u skladu s člankom 16. kako bi utvrdila tehničke metodologije certificiranja iz stavka 1. za aktivnosti povezane s trajnim skladištenjem ugljika, sekvestracijom ugljika u poljoprivredi i skladištenjem ugljika u proizvodima. Te metodologije certificiranja moraju uključivati barem elemente navedene u Prilogu I.</w:t>
      </w:r>
    </w:p>
    <w:p w14:paraId="36B9D0B4" w14:textId="77777777" w:rsidR="00BE258C" w:rsidRPr="008F6730" w:rsidRDefault="00386210">
      <w:pPr>
        <w:pStyle w:val="ManualNumPar1"/>
        <w:rPr>
          <w:noProof/>
        </w:rPr>
      </w:pPr>
      <w:r w:rsidRPr="008F6730">
        <w:rPr>
          <w:noProof/>
        </w:rPr>
        <w:t>3.</w:t>
      </w:r>
      <w:r w:rsidRPr="008F6730">
        <w:rPr>
          <w:noProof/>
        </w:rPr>
        <w:tab/>
        <w:t>U izradi tih delegiranih akata Komisija mora uzeti u obzir sljedeće elemente:</w:t>
      </w:r>
    </w:p>
    <w:p w14:paraId="11885F09" w14:textId="77777777" w:rsidR="00BE258C" w:rsidRPr="008F6730" w:rsidRDefault="00386210">
      <w:pPr>
        <w:pStyle w:val="Point1"/>
        <w:rPr>
          <w:noProof/>
        </w:rPr>
      </w:pPr>
      <w:r w:rsidRPr="008F6730">
        <w:rPr>
          <w:noProof/>
        </w:rPr>
        <w:t>(a)</w:t>
      </w:r>
      <w:r w:rsidRPr="008F6730">
        <w:rPr>
          <w:noProof/>
        </w:rPr>
        <w:tab/>
        <w:t>ciljeve da se osigura stabilnost uklanjanja ugljika te da se zaštite i obnove ekosustavi;</w:t>
      </w:r>
    </w:p>
    <w:p w14:paraId="37B2A759" w14:textId="77777777" w:rsidR="00BE258C" w:rsidRPr="008F6730" w:rsidRDefault="00386210">
      <w:pPr>
        <w:pStyle w:val="Point1"/>
        <w:rPr>
          <w:noProof/>
        </w:rPr>
      </w:pPr>
      <w:r w:rsidRPr="008F6730">
        <w:rPr>
          <w:noProof/>
        </w:rPr>
        <w:t>(b)</w:t>
      </w:r>
      <w:r w:rsidRPr="008F6730">
        <w:rPr>
          <w:noProof/>
        </w:rPr>
        <w:tab/>
        <w:t>cilj maksimalnog smanjenja administrativnog opterećenja za operatere, posebno za male operatere koji provode sekvestraciju ugljika u poljoprivredi;</w:t>
      </w:r>
    </w:p>
    <w:p w14:paraId="5BCADB52" w14:textId="77777777" w:rsidR="00BE258C" w:rsidRPr="008F6730" w:rsidRDefault="00386210">
      <w:pPr>
        <w:pStyle w:val="Point1"/>
        <w:rPr>
          <w:noProof/>
        </w:rPr>
      </w:pPr>
      <w:r w:rsidRPr="008F6730">
        <w:rPr>
          <w:noProof/>
        </w:rPr>
        <w:t>(c)</w:t>
      </w:r>
      <w:r w:rsidRPr="008F6730">
        <w:rPr>
          <w:noProof/>
        </w:rPr>
        <w:tab/>
        <w:t>mjerodavno pravo Unije i nacionalno pravo;</w:t>
      </w:r>
    </w:p>
    <w:p w14:paraId="104CB867" w14:textId="77777777" w:rsidR="00BE258C" w:rsidRPr="008F6730" w:rsidRDefault="00386210">
      <w:pPr>
        <w:pStyle w:val="Point1"/>
        <w:rPr>
          <w:noProof/>
        </w:rPr>
      </w:pPr>
      <w:r w:rsidRPr="008F6730">
        <w:rPr>
          <w:noProof/>
        </w:rPr>
        <w:t>(d)</w:t>
      </w:r>
      <w:r w:rsidRPr="008F6730">
        <w:rPr>
          <w:noProof/>
        </w:rPr>
        <w:tab/>
        <w:t>relevantne metodologije i standarde certificiranja na razini Unije i na međunarodnoj razini.</w:t>
      </w:r>
    </w:p>
    <w:p w14:paraId="6A4AF233" w14:textId="77777777" w:rsidR="00BE258C" w:rsidRPr="008F6730" w:rsidRDefault="00386210">
      <w:pPr>
        <w:pStyle w:val="ChapterTitle"/>
        <w:rPr>
          <w:noProof/>
        </w:rPr>
      </w:pPr>
      <w:r w:rsidRPr="008F6730">
        <w:rPr>
          <w:noProof/>
        </w:rPr>
        <w:t>Poglavlje 3.</w:t>
      </w:r>
      <w:r w:rsidRPr="008F6730">
        <w:rPr>
          <w:noProof/>
        </w:rPr>
        <w:br/>
        <w:t>CERTIFICIRANJE</w:t>
      </w:r>
    </w:p>
    <w:p w14:paraId="583A83DD" w14:textId="77777777" w:rsidR="00BE258C" w:rsidRPr="008F6730" w:rsidRDefault="00386210">
      <w:pPr>
        <w:pStyle w:val="Titrearticle"/>
        <w:rPr>
          <w:noProof/>
        </w:rPr>
      </w:pPr>
      <w:r w:rsidRPr="008F6730">
        <w:rPr>
          <w:noProof/>
        </w:rPr>
        <w:t>Članak 9.</w:t>
      </w:r>
    </w:p>
    <w:p w14:paraId="57E1A05B" w14:textId="77777777" w:rsidR="00BE258C" w:rsidRPr="008F6730" w:rsidRDefault="00386210">
      <w:pPr>
        <w:pStyle w:val="NormalCentered"/>
        <w:rPr>
          <w:noProof/>
        </w:rPr>
      </w:pPr>
      <w:r w:rsidRPr="008F6730">
        <w:rPr>
          <w:b/>
          <w:noProof/>
        </w:rPr>
        <w:t>Certificiranje usklađenosti</w:t>
      </w:r>
    </w:p>
    <w:p w14:paraId="05D1B28E" w14:textId="77777777" w:rsidR="00BE258C" w:rsidRPr="008F6730" w:rsidRDefault="00386210">
      <w:pPr>
        <w:pStyle w:val="ManualNumPar1"/>
        <w:rPr>
          <w:noProof/>
        </w:rPr>
      </w:pPr>
      <w:r w:rsidRPr="008F6730">
        <w:rPr>
          <w:noProof/>
        </w:rPr>
        <w:t>1.</w:t>
      </w:r>
      <w:r w:rsidRPr="008F6730">
        <w:rPr>
          <w:noProof/>
        </w:rPr>
        <w:tab/>
        <w:t>Za certificiranje usklađenosti s ovom Uredbom operater ili skupina operatera podnosi odgovarajući zahtjev programu certificiranja. Nakon prihvaćanja tog zahtjeva operater ili skupina operatera tijelu za certifikaciju dostavlja sveobuhvatan opis aktivnosti uklanjanja ugljika, uključujući metodologiju certificiranja koja se primjenjuje, kako bi se mogla procijeniti usklađenost s člancima od 4. do 7., očekivana ukupna uklanjanja ugljika i korist neto uklanjanja ugljika. Skupine operatera moraju navesti i kako se pružaju savjetodavne usluge o aktivnostima uklanjanja ugljika, posebno malim operaterima koji provode sekvestraciju ugljika u poljoprivredi.</w:t>
      </w:r>
    </w:p>
    <w:p w14:paraId="58BBAFDA" w14:textId="77777777" w:rsidR="00BE258C" w:rsidRPr="008F6730" w:rsidRDefault="00386210">
      <w:pPr>
        <w:pStyle w:val="ManualNumPar1"/>
        <w:rPr>
          <w:noProof/>
        </w:rPr>
      </w:pPr>
      <w:r w:rsidRPr="008F6730">
        <w:rPr>
          <w:noProof/>
        </w:rPr>
        <w:t>2.</w:t>
      </w:r>
      <w:r w:rsidRPr="008F6730">
        <w:rPr>
          <w:noProof/>
        </w:rPr>
        <w:tab/>
        <w:t>Tijelo za certifikaciju provodi reviziju za potrebe certificiranja kako bi provjerilo informacije dostavljene u skladu sa stavkom 1. i potvrdilo usklađenost aktivnosti uklanjanja ugljika s člancima od 4. do 7. Kao rezultat te revizije za potrebe certificiranja tijelo za certifikaciju izdaje izvješće o reviziji za potrebe certificiranja, koje sadržava sažetak i certifikat, koji mora sadržavati barem informacije navedene u Prilogu II. U okviru programa certificiranja kontrolira se to izvješće o reviziji za potrebe certificiranja i certifikat, a sažetak izvješća i certifikat stavljaju se na raspolaganje javnosti u registru iz članka 12.</w:t>
      </w:r>
    </w:p>
    <w:p w14:paraId="335615DD" w14:textId="77777777" w:rsidR="00BE258C" w:rsidRPr="008F6730" w:rsidRDefault="00386210">
      <w:pPr>
        <w:pStyle w:val="ManualNumPar1"/>
        <w:rPr>
          <w:noProof/>
        </w:rPr>
      </w:pPr>
      <w:r w:rsidRPr="008F6730">
        <w:rPr>
          <w:noProof/>
        </w:rPr>
        <w:t>3.</w:t>
      </w:r>
      <w:r w:rsidRPr="008F6730">
        <w:rPr>
          <w:noProof/>
        </w:rPr>
        <w:tab/>
        <w:t>Tijelo za certifikaciju provodi periodične revizije za potrebe ponovnog certificiranja kako bi ponovno potvrdilo usklađenost aktivnosti uklanjanja ugljika s člancima od 4. do 7. i provjerilo ostvarene koristi uklanjanja ugljika. Na temelju te revizije za potrebe ponovnog certificiranja tijelo za certifikaciju izdaje izvješće o reviziji za potrebe ponovnog certificiranja, koje uključuje sažetak, i ažurirani certifikat. U okviru programa certificiranja kontrolira se izvješće o reviziji za potrebe ponovnog certificiranja i ažurirani certifikat, a sažetak izvješća o reviziji za potrebe ponovnog certificiranja, ažurirani certifikat i certificirane jedinice uklanjanja ugljika stavljaju se na raspolaganje javnosti u registru iz članka 12.</w:t>
      </w:r>
    </w:p>
    <w:p w14:paraId="089186B2" w14:textId="77777777" w:rsidR="00BE258C" w:rsidRPr="008F6730" w:rsidRDefault="00386210">
      <w:pPr>
        <w:pStyle w:val="ManualNumPar1"/>
        <w:rPr>
          <w:noProof/>
        </w:rPr>
      </w:pPr>
      <w:r w:rsidRPr="008F6730">
        <w:rPr>
          <w:noProof/>
        </w:rPr>
        <w:t>4.</w:t>
      </w:r>
      <w:r w:rsidRPr="008F6730">
        <w:rPr>
          <w:noProof/>
        </w:rPr>
        <w:tab/>
        <w:t>Operater ili skupina operatera pruža potporu tijelu za certifikaciju tijekom revizija za potrebe certificiranja i ponovnog certificiranja, i to posebno omogućivanjem pristupa lokacijama gdje se provodi predmetna aktivnost i dostavljanjem relevantnih podataka i dokumentacije.</w:t>
      </w:r>
    </w:p>
    <w:p w14:paraId="51E9121C" w14:textId="77777777" w:rsidR="00BE258C" w:rsidRPr="008F6730" w:rsidRDefault="00386210">
      <w:pPr>
        <w:pStyle w:val="ManualNumPar1"/>
        <w:rPr>
          <w:noProof/>
        </w:rPr>
      </w:pPr>
      <w:r w:rsidRPr="008F6730">
        <w:rPr>
          <w:noProof/>
        </w:rPr>
        <w:t>5.</w:t>
      </w:r>
      <w:r w:rsidRPr="008F6730">
        <w:rPr>
          <w:noProof/>
        </w:rPr>
        <w:tab/>
        <w:t>Komisija može donositi provedbene akte kojima se utvrđuju struktura, format i tehničke pojedinosti sveobuhvatnog opisa aktivnosti uklanjanja ugljika iz stavka 1. i izvješćâ o reviziji za potrebe certificiranja i ponovnog certificiranja iz stavaka 2. i 3. Ti se provedbeni akti donose u skladu s postupkom ispitivanja iz članka 17.</w:t>
      </w:r>
    </w:p>
    <w:p w14:paraId="7568A5E5" w14:textId="77777777" w:rsidR="00BE258C" w:rsidRPr="008F6730" w:rsidRDefault="00386210">
      <w:pPr>
        <w:pStyle w:val="Titrearticle"/>
        <w:rPr>
          <w:noProof/>
        </w:rPr>
      </w:pPr>
      <w:r w:rsidRPr="008F6730">
        <w:rPr>
          <w:noProof/>
        </w:rPr>
        <w:t>Članak 10.</w:t>
      </w:r>
    </w:p>
    <w:p w14:paraId="4AB12758" w14:textId="77777777" w:rsidR="00BE258C" w:rsidRPr="008F6730" w:rsidRDefault="00386210">
      <w:pPr>
        <w:pStyle w:val="NormalCentered"/>
        <w:rPr>
          <w:noProof/>
        </w:rPr>
      </w:pPr>
      <w:r w:rsidRPr="008F6730">
        <w:rPr>
          <w:b/>
          <w:noProof/>
        </w:rPr>
        <w:t>Tijela za certifikaciju</w:t>
      </w:r>
    </w:p>
    <w:p w14:paraId="093F3D34" w14:textId="77777777" w:rsidR="00BE258C" w:rsidRPr="008F6730" w:rsidRDefault="00386210">
      <w:pPr>
        <w:pStyle w:val="ManualNumPar1"/>
        <w:rPr>
          <w:noProof/>
        </w:rPr>
      </w:pPr>
      <w:r w:rsidRPr="008F6730">
        <w:rPr>
          <w:noProof/>
        </w:rPr>
        <w:t>1.</w:t>
      </w:r>
      <w:r w:rsidRPr="008F6730">
        <w:rPr>
          <w:noProof/>
        </w:rPr>
        <w:tab/>
        <w:t>Tijela za certifikaciju imenovana u okviru programa certificiranja moraju akreditirati nacionalna akreditacijska tijela u skladu s Uredbom (EZ) br. 765/2008 Europskog parlamenta i Vijeća</w:t>
      </w:r>
      <w:r w:rsidRPr="008F6730">
        <w:rPr>
          <w:rStyle w:val="FootnoteReference"/>
          <w:noProof/>
        </w:rPr>
        <w:footnoteReference w:id="38"/>
      </w:r>
      <w:r w:rsidRPr="008F6730">
        <w:rPr>
          <w:noProof/>
        </w:rPr>
        <w:t>.  </w:t>
      </w:r>
    </w:p>
    <w:p w14:paraId="5A1BAC63" w14:textId="77777777" w:rsidR="00BE258C" w:rsidRPr="008F6730" w:rsidRDefault="00386210">
      <w:pPr>
        <w:pStyle w:val="ManualNumPar1"/>
        <w:rPr>
          <w:noProof/>
        </w:rPr>
      </w:pPr>
      <w:r w:rsidRPr="008F6730">
        <w:rPr>
          <w:noProof/>
        </w:rPr>
        <w:t>2.</w:t>
      </w:r>
      <w:r w:rsidRPr="008F6730">
        <w:rPr>
          <w:noProof/>
        </w:rPr>
        <w:tab/>
        <w:t>Tijela za certifikaciju:</w:t>
      </w:r>
    </w:p>
    <w:p w14:paraId="72B12A27" w14:textId="77777777" w:rsidR="00BE258C" w:rsidRPr="008F6730" w:rsidRDefault="00386210">
      <w:pPr>
        <w:pStyle w:val="Point1"/>
        <w:rPr>
          <w:noProof/>
        </w:rPr>
      </w:pPr>
      <w:r w:rsidRPr="008F6730">
        <w:rPr>
          <w:noProof/>
        </w:rPr>
        <w:t>(a)</w:t>
      </w:r>
      <w:r w:rsidRPr="008F6730">
        <w:rPr>
          <w:noProof/>
        </w:rPr>
        <w:tab/>
        <w:t>nadležna su provoditi revizije za potrebe certificiranja i ponovnog certificiranja iz članka 9.; </w:t>
      </w:r>
    </w:p>
    <w:p w14:paraId="11AB125B" w14:textId="77777777" w:rsidR="00BE258C" w:rsidRPr="008F6730" w:rsidRDefault="00386210">
      <w:pPr>
        <w:pStyle w:val="Point1"/>
        <w:rPr>
          <w:noProof/>
        </w:rPr>
      </w:pPr>
      <w:r w:rsidRPr="008F6730">
        <w:rPr>
          <w:noProof/>
        </w:rPr>
        <w:t>(b)</w:t>
      </w:r>
      <w:r w:rsidRPr="008F6730">
        <w:rPr>
          <w:noProof/>
        </w:rPr>
        <w:tab/>
        <w:t>neovisna su o operateru ili skupini operatera te u javnom interesu provode aktivnosti koje se zahtijevaju na temelju ove Uredbe.</w:t>
      </w:r>
    </w:p>
    <w:p w14:paraId="6AEBEE05" w14:textId="77777777" w:rsidR="00BE258C" w:rsidRPr="008F6730" w:rsidRDefault="00386210">
      <w:pPr>
        <w:pStyle w:val="ManualNumPar1"/>
        <w:rPr>
          <w:noProof/>
        </w:rPr>
      </w:pPr>
      <w:r w:rsidRPr="008F6730">
        <w:rPr>
          <w:noProof/>
        </w:rPr>
        <w:t>3.</w:t>
      </w:r>
      <w:r w:rsidRPr="008F6730">
        <w:rPr>
          <w:noProof/>
        </w:rPr>
        <w:tab/>
        <w:t>Za potrebe stavka 2. točke (b) tijela za certifikaciju ni bilo koji njihov dio ne smiju:</w:t>
      </w:r>
    </w:p>
    <w:p w14:paraId="78172229" w14:textId="77777777" w:rsidR="00BE258C" w:rsidRPr="008F6730" w:rsidRDefault="00386210">
      <w:pPr>
        <w:pStyle w:val="Point1"/>
        <w:rPr>
          <w:noProof/>
        </w:rPr>
      </w:pPr>
      <w:r w:rsidRPr="008F6730">
        <w:rPr>
          <w:noProof/>
        </w:rPr>
        <w:t>(a)</w:t>
      </w:r>
      <w:r w:rsidRPr="008F6730">
        <w:rPr>
          <w:noProof/>
        </w:rPr>
        <w:tab/>
        <w:t>biti operater ni skupina operatera, vlasnik operatera ni skupine operatera niti smiju biti u njihovu vlasništvu;</w:t>
      </w:r>
    </w:p>
    <w:p w14:paraId="2A8671E9" w14:textId="77777777" w:rsidR="00BE258C" w:rsidRPr="008F6730" w:rsidRDefault="00386210">
      <w:pPr>
        <w:pStyle w:val="Point1"/>
        <w:rPr>
          <w:noProof/>
        </w:rPr>
      </w:pPr>
      <w:r w:rsidRPr="008F6730">
        <w:rPr>
          <w:noProof/>
        </w:rPr>
        <w:t>(b)</w:t>
      </w:r>
      <w:r w:rsidRPr="008F6730">
        <w:rPr>
          <w:noProof/>
        </w:rPr>
        <w:tab/>
        <w:t>biti povezana s operaterom ili skupinom operatera koji bi mogli utjecati na njihovu neovisnost i nepristranost.</w:t>
      </w:r>
    </w:p>
    <w:p w14:paraId="02CCCA98" w14:textId="77777777" w:rsidR="00BE258C" w:rsidRPr="008F6730" w:rsidRDefault="00386210">
      <w:pPr>
        <w:pStyle w:val="ManualNumPar1"/>
        <w:rPr>
          <w:noProof/>
        </w:rPr>
      </w:pPr>
      <w:r w:rsidRPr="008F6730">
        <w:rPr>
          <w:noProof/>
        </w:rPr>
        <w:t>4.</w:t>
      </w:r>
      <w:r w:rsidRPr="008F6730">
        <w:rPr>
          <w:noProof/>
        </w:rPr>
        <w:tab/>
        <w:t>Države članice nadziru rad tijela za certifikaciju. Tijela za certifikaciju na zahtjev nacionalnih nadležnih tijela dostavljaju sve relevantne informacije potrebne za nadzor njihova rada, uključujući datum, vrijeme i mjesto provedbe revizija iz članka 9. Ako države članice utvrde nesukladnost, o tome bez odgode obavješćuju tijelo za certifikaciju i relevantni program certifikacije.</w:t>
      </w:r>
    </w:p>
    <w:p w14:paraId="0584DF9F" w14:textId="77777777" w:rsidR="00BE258C" w:rsidRPr="008F6730" w:rsidRDefault="00386210">
      <w:pPr>
        <w:pStyle w:val="ChapterTitle"/>
        <w:rPr>
          <w:noProof/>
        </w:rPr>
      </w:pPr>
      <w:r w:rsidRPr="008F6730">
        <w:rPr>
          <w:noProof/>
        </w:rPr>
        <w:t>Poglavlje 4.</w:t>
      </w:r>
      <w:r w:rsidRPr="008F6730">
        <w:rPr>
          <w:noProof/>
        </w:rPr>
        <w:br/>
        <w:t>Programi certificiranja</w:t>
      </w:r>
    </w:p>
    <w:p w14:paraId="5583854B" w14:textId="77777777" w:rsidR="00BE258C" w:rsidRPr="008F6730" w:rsidRDefault="00386210">
      <w:pPr>
        <w:pStyle w:val="Titrearticle"/>
        <w:rPr>
          <w:noProof/>
        </w:rPr>
      </w:pPr>
      <w:r w:rsidRPr="008F6730">
        <w:rPr>
          <w:noProof/>
        </w:rPr>
        <w:t>Članak 11.</w:t>
      </w:r>
    </w:p>
    <w:p w14:paraId="319D775D" w14:textId="77777777" w:rsidR="00BE258C" w:rsidRPr="008F6730" w:rsidRDefault="00386210">
      <w:pPr>
        <w:pStyle w:val="NormalCentered"/>
        <w:rPr>
          <w:noProof/>
        </w:rPr>
      </w:pPr>
      <w:r w:rsidRPr="008F6730">
        <w:rPr>
          <w:b/>
          <w:noProof/>
        </w:rPr>
        <w:t>Provedba programa certificiranja</w:t>
      </w:r>
    </w:p>
    <w:p w14:paraId="00F8EF46" w14:textId="77777777" w:rsidR="00BE258C" w:rsidRPr="008F6730" w:rsidRDefault="00386210">
      <w:pPr>
        <w:pStyle w:val="ManualNumPar1"/>
        <w:rPr>
          <w:noProof/>
        </w:rPr>
      </w:pPr>
      <w:r w:rsidRPr="008F6730">
        <w:rPr>
          <w:noProof/>
        </w:rPr>
        <w:t>1.</w:t>
      </w:r>
      <w:r w:rsidRPr="008F6730">
        <w:rPr>
          <w:noProof/>
        </w:rPr>
        <w:tab/>
        <w:t>Radi dokazivanja usklađenosti s ovom Uredbom operater ili skupina operatera mora koristiti program certificiranja koji Komisija priznaje u skladu s člankom 13.</w:t>
      </w:r>
    </w:p>
    <w:p w14:paraId="690004A7" w14:textId="77777777" w:rsidR="00BE258C" w:rsidRPr="008F6730" w:rsidRDefault="00386210">
      <w:pPr>
        <w:pStyle w:val="ManualNumPar1"/>
        <w:rPr>
          <w:noProof/>
        </w:rPr>
      </w:pPr>
      <w:r w:rsidRPr="008F6730">
        <w:rPr>
          <w:noProof/>
        </w:rPr>
        <w:t>2.</w:t>
      </w:r>
      <w:r w:rsidRPr="008F6730">
        <w:rPr>
          <w:noProof/>
        </w:rPr>
        <w:tab/>
        <w:t>Programi certificiranja provode se na temelju pouzdanih i transparentnih pravila i postupaka, posebno u pogledu unutarnjeg upravljanja i praćenja, rješavanja pritužbi i žalbi, savjetovanja s dionicima, transparentnosti i objavljivanja informacija, imenovanja i osposobljavanja tijela za certifikaciju, rješavanja pitanja neusklađenosti te razvoja registara i upravljanja njima.</w:t>
      </w:r>
    </w:p>
    <w:p w14:paraId="40BF6BA9" w14:textId="77777777" w:rsidR="00BE258C" w:rsidRPr="008F6730" w:rsidRDefault="00386210">
      <w:pPr>
        <w:pStyle w:val="ManualNumPar1"/>
        <w:rPr>
          <w:noProof/>
        </w:rPr>
      </w:pPr>
      <w:r w:rsidRPr="008F6730">
        <w:rPr>
          <w:noProof/>
        </w:rPr>
        <w:t>3.</w:t>
      </w:r>
      <w:r w:rsidRPr="008F6730">
        <w:rPr>
          <w:noProof/>
        </w:rPr>
        <w:tab/>
        <w:t>U okviru programâ certificiranja provjerava se jesu li informacije i podaci koje dostavi operater ili skupina operatera radi certificiranja usklađenosti u skladu s člankom 9. bili predmet neovisne revizije te je li certificiranje usklađenosti provedeno na točan, pouzdan i troškovno učinkovit način.</w:t>
      </w:r>
    </w:p>
    <w:p w14:paraId="0A921468" w14:textId="77777777" w:rsidR="00BE258C" w:rsidRPr="008F6730" w:rsidRDefault="00386210">
      <w:pPr>
        <w:pStyle w:val="ManualNumPar1"/>
        <w:rPr>
          <w:noProof/>
        </w:rPr>
      </w:pPr>
      <w:r w:rsidRPr="008F6730">
        <w:rPr>
          <w:noProof/>
        </w:rPr>
        <w:t>4.</w:t>
      </w:r>
      <w:r w:rsidRPr="008F6730">
        <w:rPr>
          <w:noProof/>
        </w:rPr>
        <w:tab/>
        <w:t>Programi certificiranja barem jednom godišnje objavljuju popis imenovanih tijela za certifikaciju, pri čemu se za svako od njih navodi koji ga je subjekt ili koje nacionalno javno tijelo priznalo i koji ga subjekt ili koje nacionalno javno tijelo prati.</w:t>
      </w:r>
    </w:p>
    <w:p w14:paraId="21257D60" w14:textId="77777777" w:rsidR="00BE258C" w:rsidRPr="008F6730" w:rsidRDefault="00386210">
      <w:pPr>
        <w:pStyle w:val="ManualNumPar1"/>
        <w:rPr>
          <w:noProof/>
        </w:rPr>
      </w:pPr>
      <w:r w:rsidRPr="008F6730">
        <w:rPr>
          <w:noProof/>
        </w:rPr>
        <w:t>5.</w:t>
      </w:r>
      <w:r w:rsidRPr="008F6730">
        <w:rPr>
          <w:noProof/>
        </w:rPr>
        <w:tab/>
        <w:t>Komisija donosi provedbene akte u kojima se utvrđuju struktura, format, tehničke pojedinosti i postupak iz stavaka 2., 3. i 4. koji se primjenjuju na sve programe certificiranja. Ti se provedbeni akti donose u skladu s postupkom ispitivanja iz članka 17.</w:t>
      </w:r>
    </w:p>
    <w:p w14:paraId="36478A11" w14:textId="77777777" w:rsidR="00BE258C" w:rsidRPr="008F6730" w:rsidRDefault="00386210">
      <w:pPr>
        <w:pStyle w:val="Titrearticle"/>
        <w:rPr>
          <w:noProof/>
        </w:rPr>
      </w:pPr>
      <w:r w:rsidRPr="008F6730">
        <w:rPr>
          <w:noProof/>
        </w:rPr>
        <w:t>Članak 12.</w:t>
      </w:r>
    </w:p>
    <w:p w14:paraId="71887EDF" w14:textId="77777777" w:rsidR="00BE258C" w:rsidRPr="008F6730" w:rsidRDefault="00386210">
      <w:pPr>
        <w:pStyle w:val="NormalCentered"/>
        <w:rPr>
          <w:noProof/>
        </w:rPr>
      </w:pPr>
      <w:r w:rsidRPr="008F6730">
        <w:rPr>
          <w:b/>
          <w:noProof/>
        </w:rPr>
        <w:t>Registri</w:t>
      </w:r>
    </w:p>
    <w:p w14:paraId="1C7822E8" w14:textId="77777777" w:rsidR="00BE258C" w:rsidRPr="008F6730" w:rsidRDefault="00386210">
      <w:pPr>
        <w:pStyle w:val="ManualNumPar1"/>
        <w:rPr>
          <w:noProof/>
        </w:rPr>
      </w:pPr>
      <w:r w:rsidRPr="008F6730">
        <w:rPr>
          <w:noProof/>
        </w:rPr>
        <w:t>1.</w:t>
      </w:r>
      <w:r w:rsidRPr="008F6730">
        <w:rPr>
          <w:noProof/>
        </w:rPr>
        <w:tab/>
        <w:t>U okviru programa certificiranja uspostavlja se i propisno održava javni registar kako bi javnosti bile dostupne informacije povezane s postupkom certificiranja, uključujući certifikate i ažurirane certifikate, te količina jedinica uklanjanja ugljika certificiranih u skladu s člankom 9. U tim se registrima moraju upotrebljavati automatizirani sustavi, uključujući elektroničke obrasce, a sami registri moraju biti interoperabilni.</w:t>
      </w:r>
    </w:p>
    <w:p w14:paraId="47DFD55A" w14:textId="77777777" w:rsidR="00BE258C" w:rsidRPr="008F6730" w:rsidRDefault="00386210">
      <w:pPr>
        <w:pStyle w:val="ManualNumPar1"/>
        <w:rPr>
          <w:noProof/>
        </w:rPr>
      </w:pPr>
      <w:r w:rsidRPr="008F6730">
        <w:rPr>
          <w:noProof/>
        </w:rPr>
        <w:t>2.</w:t>
      </w:r>
      <w:r w:rsidRPr="008F6730">
        <w:rPr>
          <w:noProof/>
        </w:rPr>
        <w:tab/>
        <w:t>Komisija može donositi provedbene akte u kojima se utvrđuju struktura, format i tehničke pojedinosti za javne registre, kao i za bilježenje, posjedovanje i upotrebu jedinica uklanjanja ugljika, kako je navedeno u stavku 1. Ti se provedbeni akti donose u skladu s postupkom ispitivanja iz članka 17.  </w:t>
      </w:r>
    </w:p>
    <w:p w14:paraId="7108CAF0" w14:textId="77777777" w:rsidR="00BE258C" w:rsidRPr="008F6730" w:rsidRDefault="00386210">
      <w:pPr>
        <w:pStyle w:val="Titrearticle"/>
        <w:rPr>
          <w:noProof/>
        </w:rPr>
      </w:pPr>
      <w:r w:rsidRPr="008F6730">
        <w:rPr>
          <w:noProof/>
        </w:rPr>
        <w:t>Članak 13.</w:t>
      </w:r>
    </w:p>
    <w:p w14:paraId="795E52F1" w14:textId="77777777" w:rsidR="00BE258C" w:rsidRPr="008F6730" w:rsidRDefault="00386210">
      <w:pPr>
        <w:pStyle w:val="NormalCentered"/>
        <w:rPr>
          <w:noProof/>
        </w:rPr>
      </w:pPr>
      <w:r w:rsidRPr="008F6730">
        <w:rPr>
          <w:b/>
          <w:noProof/>
        </w:rPr>
        <w:t>Priznavanje programa certificiranja</w:t>
      </w:r>
    </w:p>
    <w:p w14:paraId="32A0EE33" w14:textId="77777777" w:rsidR="00BE258C" w:rsidRPr="008F6730" w:rsidRDefault="00386210">
      <w:pPr>
        <w:pStyle w:val="ManualNumPar1"/>
        <w:rPr>
          <w:noProof/>
        </w:rPr>
      </w:pPr>
      <w:r w:rsidRPr="008F6730">
        <w:rPr>
          <w:noProof/>
        </w:rPr>
        <w:t>1.</w:t>
      </w:r>
      <w:r w:rsidRPr="008F6730">
        <w:rPr>
          <w:noProof/>
        </w:rPr>
        <w:tab/>
        <w:t>Operater ili skupina operatera može se za dokazivanje usklađenosti s ovom Uredbom koristiti samo programima certificiranja koje je Komisija priznala na temelju odluke. Razdoblje valjanosti takve odluke može biti najviše pet godina.</w:t>
      </w:r>
    </w:p>
    <w:p w14:paraId="62DEDDBC" w14:textId="77777777" w:rsidR="00BE258C" w:rsidRPr="008F6730" w:rsidRDefault="00386210">
      <w:pPr>
        <w:pStyle w:val="ManualNumPar1"/>
        <w:rPr>
          <w:noProof/>
        </w:rPr>
      </w:pPr>
      <w:r w:rsidRPr="008F6730">
        <w:rPr>
          <w:noProof/>
        </w:rPr>
        <w:t>2.</w:t>
      </w:r>
      <w:r w:rsidRPr="008F6730">
        <w:rPr>
          <w:noProof/>
        </w:rPr>
        <w:tab/>
        <w:t>Država članica obavješćuje Komisiju o zahtjevu za priznavanje javnog programa certificiranja. Pravni zastupnik privatnog programa certificiranja obavješćuje Komisiju o zahtjevu za priznavanje privatnog programa certificiranja.</w:t>
      </w:r>
    </w:p>
    <w:p w14:paraId="1AED72E1" w14:textId="77777777" w:rsidR="00BE258C" w:rsidRPr="008F6730" w:rsidRDefault="00386210">
      <w:pPr>
        <w:pStyle w:val="ManualNumPar1"/>
        <w:rPr>
          <w:noProof/>
        </w:rPr>
      </w:pPr>
      <w:r w:rsidRPr="008F6730">
        <w:rPr>
          <w:noProof/>
        </w:rPr>
        <w:t>3.</w:t>
      </w:r>
      <w:r w:rsidRPr="008F6730">
        <w:rPr>
          <w:noProof/>
        </w:rPr>
        <w:tab/>
        <w:t>Komisija može staviti izvan snage odluku o priznavanju određenog programa certificiranja u skladu sa stavkom 1. ako se u okviru tog programa certificiranja ne primjenjuju standardi i pravila utvrđeni u provedbenim aktima iz članka 11. stavka 5. Ako država članica izrazi zabrinutost da se određeni program certificiranja ne provodi u skladu sa standardima i pravilima utvrđenima u provedbenim aktima iz članka 11. stavka 5. koji čine osnovu za odluke iz stavka 1., Komisija istražuje to pitanje i poduzima odgovarajuće mjere, uključujući stavljanje relevantne odluke izvan snage.</w:t>
      </w:r>
    </w:p>
    <w:p w14:paraId="225CE5B3" w14:textId="77777777" w:rsidR="00BE258C" w:rsidRPr="008F6730" w:rsidRDefault="00386210">
      <w:pPr>
        <w:pStyle w:val="ManualNumPar1"/>
        <w:rPr>
          <w:noProof/>
        </w:rPr>
      </w:pPr>
      <w:r w:rsidRPr="008F6730">
        <w:rPr>
          <w:noProof/>
        </w:rPr>
        <w:t>4.</w:t>
      </w:r>
      <w:r w:rsidRPr="008F6730">
        <w:rPr>
          <w:noProof/>
        </w:rPr>
        <w:tab/>
        <w:t>Komisija može donositi provedbene akte u kojima se utvrđuju struktura, format i tehničke pojedinosti postupaka obavješćivanja i priznavanja iz stavaka 1. i 2. Ti se provedbeni akti donose u skladu s postupkom ispitivanja iz članka 17.</w:t>
      </w:r>
    </w:p>
    <w:p w14:paraId="60E4D433" w14:textId="77777777" w:rsidR="00BE258C" w:rsidRPr="008F6730" w:rsidRDefault="00386210">
      <w:pPr>
        <w:pStyle w:val="Titrearticle"/>
        <w:rPr>
          <w:noProof/>
        </w:rPr>
      </w:pPr>
      <w:r w:rsidRPr="008F6730">
        <w:rPr>
          <w:noProof/>
        </w:rPr>
        <w:t>Članak 14.</w:t>
      </w:r>
    </w:p>
    <w:p w14:paraId="45AD9001" w14:textId="77777777" w:rsidR="00BE258C" w:rsidRPr="008F6730" w:rsidRDefault="00386210">
      <w:pPr>
        <w:pStyle w:val="NormalCentered"/>
        <w:rPr>
          <w:noProof/>
        </w:rPr>
      </w:pPr>
      <w:r w:rsidRPr="008F6730">
        <w:rPr>
          <w:b/>
          <w:noProof/>
        </w:rPr>
        <w:t>Zahtjevi u pogledu izvješćivanja</w:t>
      </w:r>
    </w:p>
    <w:p w14:paraId="2E7A4A49" w14:textId="77777777" w:rsidR="00BE258C" w:rsidRPr="008F6730" w:rsidRDefault="00386210">
      <w:pPr>
        <w:pStyle w:val="ManualNumPar1"/>
        <w:rPr>
          <w:noProof/>
        </w:rPr>
      </w:pPr>
      <w:r w:rsidRPr="008F6730">
        <w:rPr>
          <w:noProof/>
        </w:rPr>
        <w:t>1.</w:t>
      </w:r>
      <w:r w:rsidRPr="008F6730">
        <w:rPr>
          <w:noProof/>
        </w:rPr>
        <w:tab/>
        <w:t>Svaki program certificiranja koji Komisija prizna mora Komisiji dostavljati godišnje izvješće o svojem djelovanju, uključujući opis eventualnih slučajeva prijevare i povezanih korektivnih mjera. To se izvješće podnosi svake godine do 30. travnja i obuhvaća prethodnu kalendarsku godinu. Obveza podnošenja izvješća primjenjuje se samo na programe certificiranja koji se provode najmanje 12 mjeseci.  </w:t>
      </w:r>
    </w:p>
    <w:p w14:paraId="248096C8" w14:textId="77777777" w:rsidR="00BE258C" w:rsidRPr="008F6730" w:rsidRDefault="00386210">
      <w:pPr>
        <w:pStyle w:val="ManualNumPar1"/>
        <w:rPr>
          <w:noProof/>
        </w:rPr>
      </w:pPr>
      <w:r w:rsidRPr="008F6730">
        <w:rPr>
          <w:noProof/>
        </w:rPr>
        <w:t>2.</w:t>
      </w:r>
      <w:r w:rsidRPr="008F6730">
        <w:rPr>
          <w:noProof/>
        </w:rPr>
        <w:tab/>
        <w:t>Komisija ta izvješća stavlja na raspolaganje javnosti u cijelosti ili, ako je to potrebno radi očuvanja povjerljivosti poslovno osjetljivih informacija, u agregiranom obliku.</w:t>
      </w:r>
    </w:p>
    <w:p w14:paraId="74253C56" w14:textId="77777777" w:rsidR="00BE258C" w:rsidRPr="008F6730" w:rsidRDefault="00386210">
      <w:pPr>
        <w:pStyle w:val="ManualNumPar1"/>
        <w:rPr>
          <w:noProof/>
        </w:rPr>
      </w:pPr>
      <w:r w:rsidRPr="008F6730">
        <w:rPr>
          <w:noProof/>
        </w:rPr>
        <w:t>3.</w:t>
      </w:r>
      <w:r w:rsidRPr="008F6730">
        <w:rPr>
          <w:noProof/>
        </w:rPr>
        <w:tab/>
        <w:t>Komisija može donositi provedbene akte u kojima se utvrđuju struktura, format i tehničke pojedinosti izvješća iz stavka 1. Ti se provedbeni akti donose u skladu s postupkom ispitivanja iz članka 17.</w:t>
      </w:r>
    </w:p>
    <w:p w14:paraId="5388AC99" w14:textId="77777777" w:rsidR="00BE258C" w:rsidRPr="008F6730" w:rsidRDefault="00386210">
      <w:pPr>
        <w:pStyle w:val="ChapterTitle"/>
        <w:rPr>
          <w:noProof/>
        </w:rPr>
      </w:pPr>
      <w:r w:rsidRPr="008F6730">
        <w:rPr>
          <w:noProof/>
        </w:rPr>
        <w:t>Poglavlje 5.</w:t>
      </w:r>
      <w:r w:rsidRPr="008F6730">
        <w:rPr>
          <w:noProof/>
        </w:rPr>
        <w:br/>
        <w:t>ZAVRŠNE ODREDBE</w:t>
      </w:r>
    </w:p>
    <w:p w14:paraId="3D523F13" w14:textId="77777777" w:rsidR="00BE258C" w:rsidRPr="008F6730" w:rsidRDefault="00386210">
      <w:pPr>
        <w:pStyle w:val="Titrearticle"/>
        <w:rPr>
          <w:noProof/>
        </w:rPr>
      </w:pPr>
      <w:r w:rsidRPr="008F6730">
        <w:rPr>
          <w:noProof/>
        </w:rPr>
        <w:t>Članak 15.</w:t>
      </w:r>
    </w:p>
    <w:p w14:paraId="174A9F69" w14:textId="77777777" w:rsidR="00BE258C" w:rsidRPr="008F6730" w:rsidRDefault="00386210">
      <w:pPr>
        <w:pStyle w:val="NormalCentered"/>
        <w:rPr>
          <w:noProof/>
        </w:rPr>
      </w:pPr>
      <w:r w:rsidRPr="008F6730">
        <w:rPr>
          <w:b/>
          <w:noProof/>
        </w:rPr>
        <w:t>Izmjena Priloga II.</w:t>
      </w:r>
    </w:p>
    <w:p w14:paraId="24D23B04" w14:textId="77777777" w:rsidR="00BE258C" w:rsidRPr="008F6730" w:rsidRDefault="00386210">
      <w:pPr>
        <w:rPr>
          <w:noProof/>
        </w:rPr>
      </w:pPr>
      <w:r w:rsidRPr="008F6730">
        <w:rPr>
          <w:noProof/>
        </w:rPr>
        <w:t>Komisija je ovlaštena za donošenje delegiranih akata u skladu s člankom 16. za izmjenu Priloga II. kako bi se prilagodio popis minimalnih informacija uključenih u certifikate iz članka 9.</w:t>
      </w:r>
    </w:p>
    <w:p w14:paraId="302EC0F3" w14:textId="77777777" w:rsidR="00BE258C" w:rsidRPr="008F6730" w:rsidRDefault="00386210">
      <w:pPr>
        <w:pStyle w:val="Titrearticle"/>
        <w:rPr>
          <w:noProof/>
        </w:rPr>
      </w:pPr>
      <w:r w:rsidRPr="008F6730">
        <w:rPr>
          <w:noProof/>
        </w:rPr>
        <w:t>Članak 16.</w:t>
      </w:r>
    </w:p>
    <w:p w14:paraId="0CAD0279" w14:textId="77777777" w:rsidR="00BE258C" w:rsidRPr="008F6730" w:rsidRDefault="00386210">
      <w:pPr>
        <w:pStyle w:val="NormalCentered"/>
        <w:rPr>
          <w:noProof/>
        </w:rPr>
      </w:pPr>
      <w:r w:rsidRPr="008F6730">
        <w:rPr>
          <w:b/>
          <w:noProof/>
        </w:rPr>
        <w:t>Izvršavanje delegiranja ovlasti</w:t>
      </w:r>
    </w:p>
    <w:p w14:paraId="6444876A" w14:textId="77777777" w:rsidR="00BE258C" w:rsidRPr="008F6730" w:rsidRDefault="00386210">
      <w:pPr>
        <w:pStyle w:val="ManualNumPar1"/>
        <w:rPr>
          <w:noProof/>
        </w:rPr>
      </w:pPr>
      <w:r w:rsidRPr="008F6730">
        <w:rPr>
          <w:noProof/>
        </w:rPr>
        <w:t>1.</w:t>
      </w:r>
      <w:r w:rsidRPr="008F6730">
        <w:rPr>
          <w:noProof/>
        </w:rPr>
        <w:tab/>
        <w:t>Ovlast za donošenje delegiranih akata dodjeljuje se Komisiji podložno uvjetima utvrđenima u ovom članku.</w:t>
      </w:r>
    </w:p>
    <w:p w14:paraId="340BD4D6" w14:textId="77777777" w:rsidR="00BE258C" w:rsidRPr="008F6730" w:rsidRDefault="00386210">
      <w:pPr>
        <w:pStyle w:val="ManualNumPar1"/>
        <w:rPr>
          <w:noProof/>
        </w:rPr>
      </w:pPr>
      <w:r w:rsidRPr="008F6730">
        <w:rPr>
          <w:noProof/>
        </w:rPr>
        <w:t>2.</w:t>
      </w:r>
      <w:r w:rsidRPr="008F6730">
        <w:rPr>
          <w:noProof/>
        </w:rPr>
        <w:tab/>
        <w:t>Ovlast za donošenje delegiranih akata iz članaka 8. i 15. dodjeljuje se Komisiji na neodređeno vrijeme počevši od [Ured za publikacije: unijeti datum = datum stupanja na snagu ove Uredbe].</w:t>
      </w:r>
    </w:p>
    <w:p w14:paraId="44F0DBBA" w14:textId="77777777" w:rsidR="00BE258C" w:rsidRPr="008F6730" w:rsidRDefault="00386210">
      <w:pPr>
        <w:pStyle w:val="ManualNumPar1"/>
        <w:rPr>
          <w:noProof/>
        </w:rPr>
      </w:pPr>
      <w:r w:rsidRPr="008F6730">
        <w:rPr>
          <w:noProof/>
        </w:rPr>
        <w:t>3.</w:t>
      </w:r>
      <w:r w:rsidRPr="008F6730">
        <w:rPr>
          <w:noProof/>
        </w:rPr>
        <w:tab/>
        <w:t xml:space="preserve">Europski parlament ili Vijeće u svakom trenutku mogu opozvati delegiranje ovlasti iz članaka 8. i 15. Odlukom o opozivu prekida se delegiranje ovlasti koje je u njoj navedeno. Opoziv počinje proizvoditi učinke sljedećeg dana od dana objave spomenute odluke u </w:t>
      </w:r>
      <w:r w:rsidRPr="008F6730">
        <w:rPr>
          <w:i/>
          <w:iCs/>
          <w:noProof/>
        </w:rPr>
        <w:t>Službenom listu Europske unije</w:t>
      </w:r>
      <w:r w:rsidRPr="008F6730">
        <w:rPr>
          <w:noProof/>
        </w:rPr>
        <w:t xml:space="preserve"> ili na kasniji dan naveden u spomenutoj odluci. On ne utječe na valjanost delegiranih akata koji su već na snazi.</w:t>
      </w:r>
    </w:p>
    <w:p w14:paraId="672A3B12" w14:textId="77777777" w:rsidR="00BE258C" w:rsidRPr="008F6730" w:rsidRDefault="00386210">
      <w:pPr>
        <w:pStyle w:val="ManualNumPar1"/>
        <w:rPr>
          <w:noProof/>
        </w:rPr>
      </w:pPr>
      <w:r w:rsidRPr="008F6730">
        <w:rPr>
          <w:noProof/>
        </w:rPr>
        <w:t>4.</w:t>
      </w:r>
      <w:r w:rsidRPr="008F6730">
        <w:rPr>
          <w:noProof/>
        </w:rPr>
        <w:tab/>
        <w:t>Prije donošenja delegiranog akta Komisija se savjetuje sa stručnjacima koje je imenovala svaka država članica u skladu s načelima utvrđenima u Međuinstitucijskom sporazumu o boljoj izradi zakonodavstva od 13. travnja 2016.</w:t>
      </w:r>
    </w:p>
    <w:p w14:paraId="5A290CD6" w14:textId="77777777" w:rsidR="00BE258C" w:rsidRPr="008F6730" w:rsidRDefault="00386210">
      <w:pPr>
        <w:pStyle w:val="ManualNumPar1"/>
        <w:rPr>
          <w:noProof/>
        </w:rPr>
      </w:pPr>
      <w:r w:rsidRPr="008F6730">
        <w:rPr>
          <w:noProof/>
        </w:rPr>
        <w:t>5.</w:t>
      </w:r>
      <w:r w:rsidRPr="008F6730">
        <w:rPr>
          <w:noProof/>
        </w:rPr>
        <w:tab/>
        <w:t>Delegirani akti doneseni na temelju članaka 8. i 15. stupaju na snagu samo ako ni Europski parlament ni Vijeće u roku od dva mjeseca od priopćenja tih akata Europskom parlamentu i Vijeću na njih ne podnesu nikakav prigovor ili ako su prije isteka tog roka i Europski parlament i Vijeće obavijestili Komisiju da neće podnijeti prigovor. Taj se rok produljuje za dva mjeseca na inicijativu Europskog parlamenta ili Vijeća.</w:t>
      </w:r>
    </w:p>
    <w:p w14:paraId="73DE4BC6" w14:textId="77777777" w:rsidR="00BE258C" w:rsidRPr="008F6730" w:rsidRDefault="00386210">
      <w:pPr>
        <w:pStyle w:val="Titrearticle"/>
        <w:rPr>
          <w:noProof/>
        </w:rPr>
      </w:pPr>
      <w:r w:rsidRPr="008F6730">
        <w:rPr>
          <w:noProof/>
        </w:rPr>
        <w:t>Članak 17.</w:t>
      </w:r>
    </w:p>
    <w:p w14:paraId="320DE98F" w14:textId="77777777" w:rsidR="00BE258C" w:rsidRPr="008F6730" w:rsidRDefault="00386210">
      <w:pPr>
        <w:pStyle w:val="NormalCentered"/>
        <w:rPr>
          <w:noProof/>
        </w:rPr>
      </w:pPr>
      <w:r w:rsidRPr="008F6730">
        <w:rPr>
          <w:b/>
          <w:noProof/>
        </w:rPr>
        <w:t>Postupak odbora</w:t>
      </w:r>
    </w:p>
    <w:p w14:paraId="5AC5EBE3" w14:textId="77777777" w:rsidR="00BE258C" w:rsidRPr="008F6730" w:rsidRDefault="00386210">
      <w:pPr>
        <w:pStyle w:val="ManualNumPar1"/>
        <w:rPr>
          <w:noProof/>
        </w:rPr>
      </w:pPr>
      <w:r w:rsidRPr="008F6730">
        <w:rPr>
          <w:noProof/>
        </w:rPr>
        <w:t>1.</w:t>
      </w:r>
      <w:r w:rsidRPr="008F6730">
        <w:rPr>
          <w:noProof/>
        </w:rPr>
        <w:tab/>
        <w:t>Komisiji pomaže Odbor za klimatske promjene, osnovan člankom 44. stavkom 1. točkom (a). Uredbe (EU) 2018/1999. Navedeni odbor je odbor u smislu Uredbe (EU) br. 182/2011.</w:t>
      </w:r>
    </w:p>
    <w:p w14:paraId="75F7549B" w14:textId="77777777" w:rsidR="00BE258C" w:rsidRPr="008F6730" w:rsidRDefault="00386210">
      <w:pPr>
        <w:pStyle w:val="ManualNumPar1"/>
        <w:rPr>
          <w:noProof/>
        </w:rPr>
      </w:pPr>
      <w:r w:rsidRPr="008F6730">
        <w:rPr>
          <w:noProof/>
        </w:rPr>
        <w:t>2.</w:t>
      </w:r>
      <w:r w:rsidRPr="008F6730">
        <w:rPr>
          <w:noProof/>
        </w:rPr>
        <w:tab/>
        <w:t>Pri upućivanju na ovaj članak primjenjuje se članak 5. Uredbe (EU) br. 182/2011. </w:t>
      </w:r>
    </w:p>
    <w:p w14:paraId="2C75A2CA" w14:textId="77777777" w:rsidR="00BE258C" w:rsidRPr="008F6730" w:rsidRDefault="00386210">
      <w:pPr>
        <w:pStyle w:val="Titrearticle"/>
        <w:rPr>
          <w:noProof/>
        </w:rPr>
      </w:pPr>
      <w:r w:rsidRPr="008F6730">
        <w:rPr>
          <w:noProof/>
        </w:rPr>
        <w:t>Članak 18.</w:t>
      </w:r>
    </w:p>
    <w:p w14:paraId="37F2E930" w14:textId="77777777" w:rsidR="00BE258C" w:rsidRPr="008F6730" w:rsidRDefault="00386210">
      <w:pPr>
        <w:pStyle w:val="NormalCentered"/>
        <w:rPr>
          <w:noProof/>
        </w:rPr>
      </w:pPr>
      <w:r w:rsidRPr="008F6730">
        <w:rPr>
          <w:b/>
          <w:noProof/>
        </w:rPr>
        <w:t>Preispitivanje</w:t>
      </w:r>
    </w:p>
    <w:p w14:paraId="7CE8AD0D" w14:textId="77777777" w:rsidR="00BE258C" w:rsidRPr="008F6730" w:rsidRDefault="00386210">
      <w:pPr>
        <w:pStyle w:val="ManualNumPar1"/>
        <w:rPr>
          <w:noProof/>
        </w:rPr>
      </w:pPr>
      <w:r w:rsidRPr="008F6730">
        <w:rPr>
          <w:noProof/>
        </w:rPr>
        <w:t>1.</w:t>
      </w:r>
      <w:r w:rsidRPr="008F6730">
        <w:rPr>
          <w:noProof/>
        </w:rPr>
        <w:tab/>
        <w:t>Ova se Uredba preispituje u svim aspektima, uzimajući u obzir relevantne promjene u zakonodavstvu Unije, Okvirnoj konvenciji Ujedinjenih naroda o promjeni klime i Pariškom sporazumu, tehnološki i znanstveni napredak, tržišna kretanja u području uklanjanja ugljika te sigurnost opskrbe hranom u Uniji.</w:t>
      </w:r>
    </w:p>
    <w:p w14:paraId="0543CB08" w14:textId="77777777" w:rsidR="00BE258C" w:rsidRPr="008F6730" w:rsidRDefault="00386210">
      <w:pPr>
        <w:pStyle w:val="ManualNumPar1"/>
        <w:rPr>
          <w:noProof/>
        </w:rPr>
      </w:pPr>
      <w:r w:rsidRPr="008F6730">
        <w:rPr>
          <w:noProof/>
        </w:rPr>
        <w:t>2.</w:t>
      </w:r>
      <w:r w:rsidRPr="008F6730">
        <w:rPr>
          <w:noProof/>
        </w:rPr>
        <w:tab/>
        <w:t>Tri godine nakon stupanja na snagu ove Uredbe, a najkasnije do kraja 2028., i zatim u roku od šest mjeseci nakon ishoda svakog globalnog pregleda stanja dogovorenog u skladu s člankom 14. Pariškog sporazuma, Komisija izvješćuje Europski parlament i Vijeće o provedbi ove Uredbe. </w:t>
      </w:r>
    </w:p>
    <w:p w14:paraId="14D09666" w14:textId="77777777" w:rsidR="00BE258C" w:rsidRPr="008F6730" w:rsidRDefault="00386210">
      <w:pPr>
        <w:pStyle w:val="Titrearticle"/>
        <w:rPr>
          <w:noProof/>
        </w:rPr>
      </w:pPr>
      <w:r w:rsidRPr="008F6730">
        <w:rPr>
          <w:noProof/>
        </w:rPr>
        <w:t>Članak 19.</w:t>
      </w:r>
    </w:p>
    <w:p w14:paraId="21268C24" w14:textId="77777777" w:rsidR="00BE258C" w:rsidRPr="008F6730" w:rsidRDefault="00386210">
      <w:pPr>
        <w:pStyle w:val="NormalCentered"/>
        <w:rPr>
          <w:noProof/>
        </w:rPr>
      </w:pPr>
      <w:r w:rsidRPr="008F6730">
        <w:rPr>
          <w:b/>
          <w:noProof/>
        </w:rPr>
        <w:t>Stupanje na snagu</w:t>
      </w:r>
    </w:p>
    <w:p w14:paraId="5EDB06AF" w14:textId="77777777" w:rsidR="00BE258C" w:rsidRPr="008F6730" w:rsidRDefault="00386210">
      <w:pPr>
        <w:rPr>
          <w:noProof/>
        </w:rPr>
      </w:pPr>
      <w:r w:rsidRPr="008F6730">
        <w:rPr>
          <w:noProof/>
        </w:rPr>
        <w:t xml:space="preserve">Ova Uredba stupa na snagu dvadesetog dana od dana objave u </w:t>
      </w:r>
      <w:r w:rsidRPr="008F6730">
        <w:rPr>
          <w:i/>
          <w:noProof/>
        </w:rPr>
        <w:t>Službenom listu Europske unije</w:t>
      </w:r>
      <w:r w:rsidRPr="008F6730">
        <w:rPr>
          <w:noProof/>
        </w:rPr>
        <w:t>.</w:t>
      </w:r>
    </w:p>
    <w:p w14:paraId="139C5DF7" w14:textId="77777777" w:rsidR="00BE258C" w:rsidRPr="008F6730" w:rsidRDefault="00386210">
      <w:pPr>
        <w:pStyle w:val="Applicationdirecte"/>
        <w:rPr>
          <w:noProof/>
        </w:rPr>
      </w:pPr>
      <w:r w:rsidRPr="008F6730">
        <w:rPr>
          <w:noProof/>
        </w:rPr>
        <w:t>Ova je Uredba u cijelosti obvezujuća i izravno se primjenjuje u svim državama članicama.</w:t>
      </w:r>
    </w:p>
    <w:p w14:paraId="70CD7FE7" w14:textId="2EBFAED1" w:rsidR="00BE258C" w:rsidRPr="008F6730" w:rsidRDefault="00106A2C" w:rsidP="001F62C4">
      <w:pPr>
        <w:pStyle w:val="Fait"/>
        <w:rPr>
          <w:noProof/>
        </w:rPr>
      </w:pPr>
      <w:r w:rsidRPr="00106A2C">
        <w:t>Sastavljeno u Bruxellesu,</w:t>
      </w:r>
    </w:p>
    <w:p w14:paraId="16B0C372" w14:textId="77777777" w:rsidR="00BE258C" w:rsidRPr="008F6730" w:rsidRDefault="00386210" w:rsidP="001F62C4">
      <w:pPr>
        <w:pStyle w:val="Institutionquisigne"/>
        <w:rPr>
          <w:noProof/>
        </w:rPr>
      </w:pPr>
      <w:r w:rsidRPr="008F6730">
        <w:rPr>
          <w:noProof/>
        </w:rPr>
        <w:t>Za Europski parlament</w:t>
      </w:r>
      <w:r w:rsidRPr="008F6730">
        <w:rPr>
          <w:noProof/>
        </w:rPr>
        <w:tab/>
        <w:t>Za Vijeće</w:t>
      </w:r>
    </w:p>
    <w:p w14:paraId="1646B014" w14:textId="77777777" w:rsidR="00BE258C" w:rsidRPr="008F6730" w:rsidRDefault="00386210" w:rsidP="001F62C4">
      <w:pPr>
        <w:pStyle w:val="Personnequisigne"/>
        <w:keepNext/>
        <w:rPr>
          <w:noProof/>
        </w:rPr>
      </w:pPr>
      <w:r w:rsidRPr="008F6730">
        <w:rPr>
          <w:noProof/>
        </w:rPr>
        <w:t>Predsjednica</w:t>
      </w:r>
      <w:r w:rsidRPr="008F6730">
        <w:rPr>
          <w:noProof/>
        </w:rPr>
        <w:tab/>
        <w:t>Predsjednik</w:t>
      </w:r>
    </w:p>
    <w:p w14:paraId="30DDA391" w14:textId="77777777" w:rsidR="00BE258C" w:rsidRPr="008F6730" w:rsidRDefault="00386210">
      <w:pPr>
        <w:pStyle w:val="Personnequisigne"/>
        <w:rPr>
          <w:noProof/>
        </w:rPr>
      </w:pPr>
      <w:r w:rsidRPr="008F6730">
        <w:rPr>
          <w:noProof/>
        </w:rPr>
        <w:t>[...]</w:t>
      </w:r>
      <w:r w:rsidRPr="008F6730">
        <w:rPr>
          <w:noProof/>
        </w:rPr>
        <w:tab/>
        <w:t>[...]</w:t>
      </w:r>
    </w:p>
    <w:p w14:paraId="41D8C346" w14:textId="77777777" w:rsidR="00C33731" w:rsidRPr="008F6730" w:rsidRDefault="00C33731" w:rsidP="00C33731">
      <w:pPr>
        <w:pStyle w:val="Personnequisigne"/>
        <w:rPr>
          <w:noProof/>
        </w:rPr>
      </w:pPr>
      <w:r w:rsidRPr="008F6730">
        <w:rPr>
          <w:noProof/>
        </w:rPr>
        <w:br w:type="page"/>
      </w:r>
    </w:p>
    <w:p w14:paraId="184E0872" w14:textId="6028D8B1" w:rsidR="00C25B9E" w:rsidRDefault="000944F2" w:rsidP="00C25B9E">
      <w:pPr>
        <w:pStyle w:val="Fichefinanciretitre"/>
        <w:rPr>
          <w:noProof/>
        </w:rPr>
      </w:pPr>
      <w:r w:rsidRPr="008F6730">
        <w:rPr>
          <w:noProof/>
        </w:rPr>
        <w:t>ZAKONODAVNI FINANCIJSKI IZVJEŠTAJ</w:t>
      </w:r>
    </w:p>
    <w:sdt>
      <w:sdtPr>
        <w:rPr>
          <w:b w:val="0"/>
          <w:noProof/>
          <w:sz w:val="24"/>
        </w:rPr>
        <w:id w:val="339436566"/>
        <w:docPartObj>
          <w:docPartGallery w:val="Table of Contents"/>
          <w:docPartUnique/>
        </w:docPartObj>
      </w:sdtPr>
      <w:sdtEndPr>
        <w:rPr>
          <w:bCs/>
        </w:rPr>
      </w:sdtEndPr>
      <w:sdtContent>
        <w:p w14:paraId="3D498F4D" w14:textId="77777777" w:rsidR="00B14131" w:rsidRDefault="00B14131">
          <w:pPr>
            <w:pStyle w:val="TOCHeading"/>
            <w:rPr>
              <w:noProof/>
            </w:rPr>
          </w:pPr>
        </w:p>
        <w:p w14:paraId="5CF2C0C7" w14:textId="2E0EE87B" w:rsidR="00C25B9E" w:rsidRPr="00B14131" w:rsidRDefault="00B14131" w:rsidP="00B14131">
          <w:pPr>
            <w:pStyle w:val="TOCHeading"/>
            <w:rPr>
              <w:noProof/>
            </w:rPr>
          </w:pPr>
          <w:r>
            <w:rPr>
              <w:noProof/>
            </w:rPr>
            <w:t>Sadržaj</w:t>
          </w:r>
          <w:r w:rsidR="00C25B9E">
            <w:rPr>
              <w:noProof/>
            </w:rPr>
            <w:fldChar w:fldCharType="begin"/>
          </w:r>
          <w:r w:rsidR="00C25B9E">
            <w:rPr>
              <w:noProof/>
            </w:rPr>
            <w:instrText xml:space="preserve"> TOC \o "1-3" \h \z \u </w:instrText>
          </w:r>
          <w:r w:rsidR="00C25B9E">
            <w:rPr>
              <w:noProof/>
            </w:rPr>
            <w:fldChar w:fldCharType="separate"/>
          </w:r>
        </w:p>
        <w:p w14:paraId="67DA8A8D" w14:textId="5C0E236B" w:rsidR="00C25B9E" w:rsidRDefault="003237DA">
          <w:pPr>
            <w:pStyle w:val="TOC1"/>
            <w:rPr>
              <w:rFonts w:asciiTheme="minorHAnsi" w:eastAsiaTheme="minorEastAsia" w:hAnsiTheme="minorHAnsi" w:cstheme="minorBidi"/>
              <w:noProof/>
              <w:sz w:val="22"/>
              <w:lang w:val="en-IE" w:eastAsia="en-IE"/>
            </w:rPr>
          </w:pPr>
          <w:hyperlink w:anchor="_Toc125125701" w:history="1">
            <w:r w:rsidR="00C25B9E" w:rsidRPr="00DD2AA9">
              <w:rPr>
                <w:rStyle w:val="Hyperlink"/>
                <w:noProof/>
              </w:rPr>
              <w:t>1.</w:t>
            </w:r>
            <w:r w:rsidR="00C25B9E">
              <w:rPr>
                <w:rFonts w:asciiTheme="minorHAnsi" w:eastAsiaTheme="minorEastAsia" w:hAnsiTheme="minorHAnsi" w:cstheme="minorBidi"/>
                <w:noProof/>
                <w:sz w:val="22"/>
                <w:lang w:val="en-IE" w:eastAsia="en-IE"/>
              </w:rPr>
              <w:tab/>
            </w:r>
            <w:r w:rsidR="00C25B9E" w:rsidRPr="00DD2AA9">
              <w:rPr>
                <w:rStyle w:val="Hyperlink"/>
                <w:noProof/>
              </w:rPr>
              <w:t>OKVIR PRIJEDLOGA/INICIJATIVE</w:t>
            </w:r>
            <w:r w:rsidR="00C25B9E">
              <w:rPr>
                <w:noProof/>
                <w:webHidden/>
              </w:rPr>
              <w:tab/>
            </w:r>
            <w:r w:rsidR="00C25B9E">
              <w:rPr>
                <w:noProof/>
                <w:webHidden/>
              </w:rPr>
              <w:fldChar w:fldCharType="begin"/>
            </w:r>
            <w:r w:rsidR="00C25B9E">
              <w:rPr>
                <w:noProof/>
                <w:webHidden/>
              </w:rPr>
              <w:instrText xml:space="preserve"> PAGEREF _Toc125125701 \h </w:instrText>
            </w:r>
            <w:r w:rsidR="00C25B9E">
              <w:rPr>
                <w:noProof/>
                <w:webHidden/>
              </w:rPr>
            </w:r>
            <w:r w:rsidR="00C25B9E">
              <w:rPr>
                <w:noProof/>
                <w:webHidden/>
              </w:rPr>
              <w:fldChar w:fldCharType="separate"/>
            </w:r>
            <w:r w:rsidR="00A37E58">
              <w:rPr>
                <w:noProof/>
                <w:webHidden/>
              </w:rPr>
              <w:t>32</w:t>
            </w:r>
            <w:r w:rsidR="00C25B9E">
              <w:rPr>
                <w:noProof/>
                <w:webHidden/>
              </w:rPr>
              <w:fldChar w:fldCharType="end"/>
            </w:r>
          </w:hyperlink>
        </w:p>
        <w:p w14:paraId="46023184" w14:textId="15E88157" w:rsidR="00C25B9E" w:rsidRDefault="003237DA">
          <w:pPr>
            <w:pStyle w:val="TOC2"/>
            <w:rPr>
              <w:rFonts w:asciiTheme="minorHAnsi" w:eastAsiaTheme="minorEastAsia" w:hAnsiTheme="minorHAnsi" w:cstheme="minorBidi"/>
              <w:noProof/>
              <w:sz w:val="22"/>
              <w:lang w:val="en-IE" w:eastAsia="en-IE"/>
            </w:rPr>
          </w:pPr>
          <w:hyperlink w:anchor="_Toc125125702" w:history="1">
            <w:r w:rsidR="00C25B9E" w:rsidRPr="00DD2AA9">
              <w:rPr>
                <w:rStyle w:val="Hyperlink"/>
                <w:noProof/>
              </w:rPr>
              <w:t>1.1.</w:t>
            </w:r>
            <w:r w:rsidR="00C25B9E">
              <w:rPr>
                <w:rFonts w:asciiTheme="minorHAnsi" w:eastAsiaTheme="minorEastAsia" w:hAnsiTheme="minorHAnsi" w:cstheme="minorBidi"/>
                <w:noProof/>
                <w:sz w:val="22"/>
                <w:lang w:val="en-IE" w:eastAsia="en-IE"/>
              </w:rPr>
              <w:tab/>
            </w:r>
            <w:r w:rsidR="00C25B9E" w:rsidRPr="00DD2AA9">
              <w:rPr>
                <w:rStyle w:val="Hyperlink"/>
                <w:noProof/>
              </w:rPr>
              <w:t>Naslov prijedloga/inicijative</w:t>
            </w:r>
            <w:r w:rsidR="00C25B9E">
              <w:rPr>
                <w:noProof/>
                <w:webHidden/>
              </w:rPr>
              <w:tab/>
            </w:r>
            <w:r w:rsidR="00C25B9E">
              <w:rPr>
                <w:noProof/>
                <w:webHidden/>
              </w:rPr>
              <w:fldChar w:fldCharType="begin"/>
            </w:r>
            <w:r w:rsidR="00C25B9E">
              <w:rPr>
                <w:noProof/>
                <w:webHidden/>
              </w:rPr>
              <w:instrText xml:space="preserve"> PAGEREF _Toc125125702 \h </w:instrText>
            </w:r>
            <w:r w:rsidR="00C25B9E">
              <w:rPr>
                <w:noProof/>
                <w:webHidden/>
              </w:rPr>
            </w:r>
            <w:r w:rsidR="00C25B9E">
              <w:rPr>
                <w:noProof/>
                <w:webHidden/>
              </w:rPr>
              <w:fldChar w:fldCharType="separate"/>
            </w:r>
            <w:r w:rsidR="00A37E58">
              <w:rPr>
                <w:noProof/>
                <w:webHidden/>
              </w:rPr>
              <w:t>32</w:t>
            </w:r>
            <w:r w:rsidR="00C25B9E">
              <w:rPr>
                <w:noProof/>
                <w:webHidden/>
              </w:rPr>
              <w:fldChar w:fldCharType="end"/>
            </w:r>
          </w:hyperlink>
        </w:p>
        <w:p w14:paraId="5D327D2D" w14:textId="5EA6B048" w:rsidR="00C25B9E" w:rsidRDefault="003237DA">
          <w:pPr>
            <w:pStyle w:val="TOC2"/>
            <w:rPr>
              <w:rFonts w:asciiTheme="minorHAnsi" w:eastAsiaTheme="minorEastAsia" w:hAnsiTheme="minorHAnsi" w:cstheme="minorBidi"/>
              <w:noProof/>
              <w:sz w:val="22"/>
              <w:lang w:val="en-IE" w:eastAsia="en-IE"/>
            </w:rPr>
          </w:pPr>
          <w:hyperlink w:anchor="_Toc125125703" w:history="1">
            <w:r w:rsidR="00C25B9E" w:rsidRPr="00DD2AA9">
              <w:rPr>
                <w:rStyle w:val="Hyperlink"/>
                <w:noProof/>
              </w:rPr>
              <w:t>1.2.</w:t>
            </w:r>
            <w:r w:rsidR="00C25B9E">
              <w:rPr>
                <w:rFonts w:asciiTheme="minorHAnsi" w:eastAsiaTheme="minorEastAsia" w:hAnsiTheme="minorHAnsi" w:cstheme="minorBidi"/>
                <w:noProof/>
                <w:sz w:val="22"/>
                <w:lang w:val="en-IE" w:eastAsia="en-IE"/>
              </w:rPr>
              <w:tab/>
            </w:r>
            <w:r w:rsidR="00C25B9E" w:rsidRPr="00DD2AA9">
              <w:rPr>
                <w:rStyle w:val="Hyperlink"/>
                <w:noProof/>
              </w:rPr>
              <w:t>Predmetna područja politike</w:t>
            </w:r>
            <w:r w:rsidR="00C25B9E">
              <w:rPr>
                <w:noProof/>
                <w:webHidden/>
              </w:rPr>
              <w:tab/>
            </w:r>
            <w:r w:rsidR="00C25B9E">
              <w:rPr>
                <w:noProof/>
                <w:webHidden/>
              </w:rPr>
              <w:fldChar w:fldCharType="begin"/>
            </w:r>
            <w:r w:rsidR="00C25B9E">
              <w:rPr>
                <w:noProof/>
                <w:webHidden/>
              </w:rPr>
              <w:instrText xml:space="preserve"> PAGEREF _Toc125125703 \h </w:instrText>
            </w:r>
            <w:r w:rsidR="00C25B9E">
              <w:rPr>
                <w:noProof/>
                <w:webHidden/>
              </w:rPr>
            </w:r>
            <w:r w:rsidR="00C25B9E">
              <w:rPr>
                <w:noProof/>
                <w:webHidden/>
              </w:rPr>
              <w:fldChar w:fldCharType="separate"/>
            </w:r>
            <w:r w:rsidR="00A37E58">
              <w:rPr>
                <w:noProof/>
                <w:webHidden/>
              </w:rPr>
              <w:t>32</w:t>
            </w:r>
            <w:r w:rsidR="00C25B9E">
              <w:rPr>
                <w:noProof/>
                <w:webHidden/>
              </w:rPr>
              <w:fldChar w:fldCharType="end"/>
            </w:r>
          </w:hyperlink>
        </w:p>
        <w:p w14:paraId="74F91A96" w14:textId="2A54BB10" w:rsidR="00C25B9E" w:rsidRDefault="003237DA">
          <w:pPr>
            <w:pStyle w:val="TOC2"/>
            <w:rPr>
              <w:rFonts w:asciiTheme="minorHAnsi" w:eastAsiaTheme="minorEastAsia" w:hAnsiTheme="minorHAnsi" w:cstheme="minorBidi"/>
              <w:noProof/>
              <w:sz w:val="22"/>
              <w:lang w:val="en-IE" w:eastAsia="en-IE"/>
            </w:rPr>
          </w:pPr>
          <w:hyperlink w:anchor="_Toc125125704" w:history="1">
            <w:r w:rsidR="00C25B9E" w:rsidRPr="00DD2AA9">
              <w:rPr>
                <w:rStyle w:val="Hyperlink"/>
                <w:noProof/>
              </w:rPr>
              <w:t>1.3.</w:t>
            </w:r>
            <w:r w:rsidR="00C25B9E">
              <w:rPr>
                <w:rFonts w:asciiTheme="minorHAnsi" w:eastAsiaTheme="minorEastAsia" w:hAnsiTheme="minorHAnsi" w:cstheme="minorBidi"/>
                <w:noProof/>
                <w:sz w:val="22"/>
                <w:lang w:val="en-IE" w:eastAsia="en-IE"/>
              </w:rPr>
              <w:tab/>
            </w:r>
            <w:r w:rsidR="00C25B9E" w:rsidRPr="00DD2AA9">
              <w:rPr>
                <w:rStyle w:val="Hyperlink"/>
                <w:noProof/>
              </w:rPr>
              <w:t>Prijedlog/inicijativa odnosi se na:</w:t>
            </w:r>
            <w:r w:rsidR="00C25B9E">
              <w:rPr>
                <w:noProof/>
                <w:webHidden/>
              </w:rPr>
              <w:tab/>
            </w:r>
            <w:r w:rsidR="00C25B9E">
              <w:rPr>
                <w:noProof/>
                <w:webHidden/>
              </w:rPr>
              <w:fldChar w:fldCharType="begin"/>
            </w:r>
            <w:r w:rsidR="00C25B9E">
              <w:rPr>
                <w:noProof/>
                <w:webHidden/>
              </w:rPr>
              <w:instrText xml:space="preserve"> PAGEREF _Toc125125704 \h </w:instrText>
            </w:r>
            <w:r w:rsidR="00C25B9E">
              <w:rPr>
                <w:noProof/>
                <w:webHidden/>
              </w:rPr>
            </w:r>
            <w:r w:rsidR="00C25B9E">
              <w:rPr>
                <w:noProof/>
                <w:webHidden/>
              </w:rPr>
              <w:fldChar w:fldCharType="separate"/>
            </w:r>
            <w:r w:rsidR="00A37E58">
              <w:rPr>
                <w:noProof/>
                <w:webHidden/>
              </w:rPr>
              <w:t>32</w:t>
            </w:r>
            <w:r w:rsidR="00C25B9E">
              <w:rPr>
                <w:noProof/>
                <w:webHidden/>
              </w:rPr>
              <w:fldChar w:fldCharType="end"/>
            </w:r>
          </w:hyperlink>
        </w:p>
        <w:p w14:paraId="137DD445" w14:textId="0043E981" w:rsidR="00C25B9E" w:rsidRDefault="003237DA">
          <w:pPr>
            <w:pStyle w:val="TOC2"/>
            <w:rPr>
              <w:rFonts w:asciiTheme="minorHAnsi" w:eastAsiaTheme="minorEastAsia" w:hAnsiTheme="minorHAnsi" w:cstheme="minorBidi"/>
              <w:noProof/>
              <w:sz w:val="22"/>
              <w:lang w:val="en-IE" w:eastAsia="en-IE"/>
            </w:rPr>
          </w:pPr>
          <w:hyperlink w:anchor="_Toc125125705" w:history="1">
            <w:r w:rsidR="00C25B9E" w:rsidRPr="00DD2AA9">
              <w:rPr>
                <w:rStyle w:val="Hyperlink"/>
                <w:noProof/>
              </w:rPr>
              <w:t>1.4.</w:t>
            </w:r>
            <w:r w:rsidR="00C25B9E">
              <w:rPr>
                <w:rFonts w:asciiTheme="minorHAnsi" w:eastAsiaTheme="minorEastAsia" w:hAnsiTheme="minorHAnsi" w:cstheme="minorBidi"/>
                <w:noProof/>
                <w:sz w:val="22"/>
                <w:lang w:val="en-IE" w:eastAsia="en-IE"/>
              </w:rPr>
              <w:tab/>
            </w:r>
            <w:r w:rsidR="00C25B9E" w:rsidRPr="00DD2AA9">
              <w:rPr>
                <w:rStyle w:val="Hyperlink"/>
                <w:noProof/>
              </w:rPr>
              <w:t>Ciljevi</w:t>
            </w:r>
            <w:r w:rsidR="00C25B9E">
              <w:rPr>
                <w:noProof/>
                <w:webHidden/>
              </w:rPr>
              <w:tab/>
            </w:r>
            <w:r w:rsidR="00C25B9E">
              <w:rPr>
                <w:noProof/>
                <w:webHidden/>
              </w:rPr>
              <w:fldChar w:fldCharType="begin"/>
            </w:r>
            <w:r w:rsidR="00C25B9E">
              <w:rPr>
                <w:noProof/>
                <w:webHidden/>
              </w:rPr>
              <w:instrText xml:space="preserve"> PAGEREF _Toc125125705 \h </w:instrText>
            </w:r>
            <w:r w:rsidR="00C25B9E">
              <w:rPr>
                <w:noProof/>
                <w:webHidden/>
              </w:rPr>
            </w:r>
            <w:r w:rsidR="00C25B9E">
              <w:rPr>
                <w:noProof/>
                <w:webHidden/>
              </w:rPr>
              <w:fldChar w:fldCharType="separate"/>
            </w:r>
            <w:r w:rsidR="00A37E58">
              <w:rPr>
                <w:noProof/>
                <w:webHidden/>
              </w:rPr>
              <w:t>32</w:t>
            </w:r>
            <w:r w:rsidR="00C25B9E">
              <w:rPr>
                <w:noProof/>
                <w:webHidden/>
              </w:rPr>
              <w:fldChar w:fldCharType="end"/>
            </w:r>
          </w:hyperlink>
        </w:p>
        <w:p w14:paraId="5D452492" w14:textId="63A8D248" w:rsidR="00C25B9E" w:rsidRDefault="003237DA">
          <w:pPr>
            <w:pStyle w:val="TOC3"/>
            <w:rPr>
              <w:rFonts w:asciiTheme="minorHAnsi" w:eastAsiaTheme="minorEastAsia" w:hAnsiTheme="minorHAnsi" w:cstheme="minorBidi"/>
              <w:noProof/>
              <w:sz w:val="22"/>
              <w:lang w:val="en-IE" w:eastAsia="en-IE"/>
            </w:rPr>
          </w:pPr>
          <w:hyperlink w:anchor="_Toc125125706" w:history="1">
            <w:r w:rsidR="00C25B9E" w:rsidRPr="00DD2AA9">
              <w:rPr>
                <w:rStyle w:val="Hyperlink"/>
                <w:noProof/>
              </w:rPr>
              <w:t>1.4.1.</w:t>
            </w:r>
            <w:r w:rsidR="00C25B9E">
              <w:rPr>
                <w:rFonts w:asciiTheme="minorHAnsi" w:eastAsiaTheme="minorEastAsia" w:hAnsiTheme="minorHAnsi" w:cstheme="minorBidi"/>
                <w:noProof/>
                <w:sz w:val="22"/>
                <w:lang w:val="en-IE" w:eastAsia="en-IE"/>
              </w:rPr>
              <w:tab/>
            </w:r>
            <w:r w:rsidR="00C25B9E" w:rsidRPr="00DD2AA9">
              <w:rPr>
                <w:rStyle w:val="Hyperlink"/>
                <w:noProof/>
              </w:rPr>
              <w:t>Opći cilj</w:t>
            </w:r>
            <w:r w:rsidR="00C25B9E">
              <w:rPr>
                <w:noProof/>
                <w:webHidden/>
              </w:rPr>
              <w:tab/>
            </w:r>
            <w:r w:rsidR="00C25B9E">
              <w:rPr>
                <w:noProof/>
                <w:webHidden/>
              </w:rPr>
              <w:fldChar w:fldCharType="begin"/>
            </w:r>
            <w:r w:rsidR="00C25B9E">
              <w:rPr>
                <w:noProof/>
                <w:webHidden/>
              </w:rPr>
              <w:instrText xml:space="preserve"> PAGEREF _Toc125125706 \h </w:instrText>
            </w:r>
            <w:r w:rsidR="00C25B9E">
              <w:rPr>
                <w:noProof/>
                <w:webHidden/>
              </w:rPr>
            </w:r>
            <w:r w:rsidR="00C25B9E">
              <w:rPr>
                <w:noProof/>
                <w:webHidden/>
              </w:rPr>
              <w:fldChar w:fldCharType="separate"/>
            </w:r>
            <w:r w:rsidR="00A37E58">
              <w:rPr>
                <w:noProof/>
                <w:webHidden/>
              </w:rPr>
              <w:t>32</w:t>
            </w:r>
            <w:r w:rsidR="00C25B9E">
              <w:rPr>
                <w:noProof/>
                <w:webHidden/>
              </w:rPr>
              <w:fldChar w:fldCharType="end"/>
            </w:r>
          </w:hyperlink>
        </w:p>
        <w:p w14:paraId="4098D625" w14:textId="0735CE6E" w:rsidR="00C25B9E" w:rsidRDefault="003237DA">
          <w:pPr>
            <w:pStyle w:val="TOC3"/>
            <w:rPr>
              <w:rFonts w:asciiTheme="minorHAnsi" w:eastAsiaTheme="minorEastAsia" w:hAnsiTheme="minorHAnsi" w:cstheme="minorBidi"/>
              <w:noProof/>
              <w:sz w:val="22"/>
              <w:lang w:val="en-IE" w:eastAsia="en-IE"/>
            </w:rPr>
          </w:pPr>
          <w:hyperlink w:anchor="_Toc125125707" w:history="1">
            <w:r w:rsidR="00C25B9E" w:rsidRPr="00DD2AA9">
              <w:rPr>
                <w:rStyle w:val="Hyperlink"/>
                <w:noProof/>
              </w:rPr>
              <w:t>1.4.2.</w:t>
            </w:r>
            <w:r w:rsidR="00C25B9E">
              <w:rPr>
                <w:rFonts w:asciiTheme="minorHAnsi" w:eastAsiaTheme="minorEastAsia" w:hAnsiTheme="minorHAnsi" w:cstheme="minorBidi"/>
                <w:noProof/>
                <w:sz w:val="22"/>
                <w:lang w:val="en-IE" w:eastAsia="en-IE"/>
              </w:rPr>
              <w:tab/>
            </w:r>
            <w:r w:rsidR="00C25B9E" w:rsidRPr="00DD2AA9">
              <w:rPr>
                <w:rStyle w:val="Hyperlink"/>
                <w:noProof/>
              </w:rPr>
              <w:t>Posebni ciljevi</w:t>
            </w:r>
            <w:r w:rsidR="00C25B9E">
              <w:rPr>
                <w:noProof/>
                <w:webHidden/>
              </w:rPr>
              <w:tab/>
            </w:r>
            <w:r w:rsidR="00C25B9E">
              <w:rPr>
                <w:noProof/>
                <w:webHidden/>
              </w:rPr>
              <w:fldChar w:fldCharType="begin"/>
            </w:r>
            <w:r w:rsidR="00C25B9E">
              <w:rPr>
                <w:noProof/>
                <w:webHidden/>
              </w:rPr>
              <w:instrText xml:space="preserve"> PAGEREF _Toc125125707 \h </w:instrText>
            </w:r>
            <w:r w:rsidR="00C25B9E">
              <w:rPr>
                <w:noProof/>
                <w:webHidden/>
              </w:rPr>
            </w:r>
            <w:r w:rsidR="00C25B9E">
              <w:rPr>
                <w:noProof/>
                <w:webHidden/>
              </w:rPr>
              <w:fldChar w:fldCharType="separate"/>
            </w:r>
            <w:r w:rsidR="00A37E58">
              <w:rPr>
                <w:noProof/>
                <w:webHidden/>
              </w:rPr>
              <w:t>32</w:t>
            </w:r>
            <w:r w:rsidR="00C25B9E">
              <w:rPr>
                <w:noProof/>
                <w:webHidden/>
              </w:rPr>
              <w:fldChar w:fldCharType="end"/>
            </w:r>
          </w:hyperlink>
        </w:p>
        <w:p w14:paraId="425C32DE" w14:textId="5FC6D72F" w:rsidR="00C25B9E" w:rsidRDefault="003237DA">
          <w:pPr>
            <w:pStyle w:val="TOC3"/>
            <w:rPr>
              <w:rFonts w:asciiTheme="minorHAnsi" w:eastAsiaTheme="minorEastAsia" w:hAnsiTheme="minorHAnsi" w:cstheme="minorBidi"/>
              <w:noProof/>
              <w:sz w:val="22"/>
              <w:lang w:val="en-IE" w:eastAsia="en-IE"/>
            </w:rPr>
          </w:pPr>
          <w:hyperlink w:anchor="_Toc125125708" w:history="1">
            <w:r w:rsidR="00C25B9E" w:rsidRPr="00DD2AA9">
              <w:rPr>
                <w:rStyle w:val="Hyperlink"/>
                <w:noProof/>
              </w:rPr>
              <w:t>1.4.3.</w:t>
            </w:r>
            <w:r w:rsidR="00C25B9E">
              <w:rPr>
                <w:rFonts w:asciiTheme="minorHAnsi" w:eastAsiaTheme="minorEastAsia" w:hAnsiTheme="minorHAnsi" w:cstheme="minorBidi"/>
                <w:noProof/>
                <w:sz w:val="22"/>
                <w:lang w:val="en-IE" w:eastAsia="en-IE"/>
              </w:rPr>
              <w:tab/>
            </w:r>
            <w:r w:rsidR="00C25B9E" w:rsidRPr="00DD2AA9">
              <w:rPr>
                <w:rStyle w:val="Hyperlink"/>
                <w:noProof/>
              </w:rPr>
              <w:t>Očekivani rezultati i učinak</w:t>
            </w:r>
            <w:r w:rsidR="00C25B9E">
              <w:rPr>
                <w:noProof/>
                <w:webHidden/>
              </w:rPr>
              <w:tab/>
            </w:r>
            <w:r w:rsidR="00C25B9E">
              <w:rPr>
                <w:noProof/>
                <w:webHidden/>
              </w:rPr>
              <w:fldChar w:fldCharType="begin"/>
            </w:r>
            <w:r w:rsidR="00C25B9E">
              <w:rPr>
                <w:noProof/>
                <w:webHidden/>
              </w:rPr>
              <w:instrText xml:space="preserve"> PAGEREF _Toc125125708 \h </w:instrText>
            </w:r>
            <w:r w:rsidR="00C25B9E">
              <w:rPr>
                <w:noProof/>
                <w:webHidden/>
              </w:rPr>
            </w:r>
            <w:r w:rsidR="00C25B9E">
              <w:rPr>
                <w:noProof/>
                <w:webHidden/>
              </w:rPr>
              <w:fldChar w:fldCharType="separate"/>
            </w:r>
            <w:r w:rsidR="00A37E58">
              <w:rPr>
                <w:noProof/>
                <w:webHidden/>
              </w:rPr>
              <w:t>33</w:t>
            </w:r>
            <w:r w:rsidR="00C25B9E">
              <w:rPr>
                <w:noProof/>
                <w:webHidden/>
              </w:rPr>
              <w:fldChar w:fldCharType="end"/>
            </w:r>
          </w:hyperlink>
        </w:p>
        <w:p w14:paraId="661837ED" w14:textId="4F6EB66B" w:rsidR="00C25B9E" w:rsidRDefault="003237DA">
          <w:pPr>
            <w:pStyle w:val="TOC3"/>
            <w:rPr>
              <w:rFonts w:asciiTheme="minorHAnsi" w:eastAsiaTheme="minorEastAsia" w:hAnsiTheme="minorHAnsi" w:cstheme="minorBidi"/>
              <w:noProof/>
              <w:sz w:val="22"/>
              <w:lang w:val="en-IE" w:eastAsia="en-IE"/>
            </w:rPr>
          </w:pPr>
          <w:hyperlink w:anchor="_Toc125125709" w:history="1">
            <w:r w:rsidR="00C25B9E" w:rsidRPr="00DD2AA9">
              <w:rPr>
                <w:rStyle w:val="Hyperlink"/>
                <w:noProof/>
              </w:rPr>
              <w:t>1.4.4.</w:t>
            </w:r>
            <w:r w:rsidR="00C25B9E">
              <w:rPr>
                <w:rFonts w:asciiTheme="minorHAnsi" w:eastAsiaTheme="minorEastAsia" w:hAnsiTheme="minorHAnsi" w:cstheme="minorBidi"/>
                <w:noProof/>
                <w:sz w:val="22"/>
                <w:lang w:val="en-IE" w:eastAsia="en-IE"/>
              </w:rPr>
              <w:tab/>
            </w:r>
            <w:r w:rsidR="00C25B9E" w:rsidRPr="00DD2AA9">
              <w:rPr>
                <w:rStyle w:val="Hyperlink"/>
                <w:noProof/>
              </w:rPr>
              <w:t>Pokazatelji uspješnosti</w:t>
            </w:r>
            <w:r w:rsidR="00C25B9E">
              <w:rPr>
                <w:noProof/>
                <w:webHidden/>
              </w:rPr>
              <w:tab/>
            </w:r>
            <w:r w:rsidR="00C25B9E">
              <w:rPr>
                <w:noProof/>
                <w:webHidden/>
              </w:rPr>
              <w:fldChar w:fldCharType="begin"/>
            </w:r>
            <w:r w:rsidR="00C25B9E">
              <w:rPr>
                <w:noProof/>
                <w:webHidden/>
              </w:rPr>
              <w:instrText xml:space="preserve"> PAGEREF _Toc125125709 \h </w:instrText>
            </w:r>
            <w:r w:rsidR="00C25B9E">
              <w:rPr>
                <w:noProof/>
                <w:webHidden/>
              </w:rPr>
            </w:r>
            <w:r w:rsidR="00C25B9E">
              <w:rPr>
                <w:noProof/>
                <w:webHidden/>
              </w:rPr>
              <w:fldChar w:fldCharType="separate"/>
            </w:r>
            <w:r w:rsidR="00A37E58">
              <w:rPr>
                <w:noProof/>
                <w:webHidden/>
              </w:rPr>
              <w:t>33</w:t>
            </w:r>
            <w:r w:rsidR="00C25B9E">
              <w:rPr>
                <w:noProof/>
                <w:webHidden/>
              </w:rPr>
              <w:fldChar w:fldCharType="end"/>
            </w:r>
          </w:hyperlink>
        </w:p>
        <w:p w14:paraId="4A2671AA" w14:textId="24490319" w:rsidR="00C25B9E" w:rsidRDefault="003237DA">
          <w:pPr>
            <w:pStyle w:val="TOC2"/>
            <w:rPr>
              <w:rFonts w:asciiTheme="minorHAnsi" w:eastAsiaTheme="minorEastAsia" w:hAnsiTheme="minorHAnsi" w:cstheme="minorBidi"/>
              <w:noProof/>
              <w:sz w:val="22"/>
              <w:lang w:val="en-IE" w:eastAsia="en-IE"/>
            </w:rPr>
          </w:pPr>
          <w:hyperlink w:anchor="_Toc125125710" w:history="1">
            <w:r w:rsidR="00C25B9E" w:rsidRPr="00DD2AA9">
              <w:rPr>
                <w:rStyle w:val="Hyperlink"/>
                <w:noProof/>
              </w:rPr>
              <w:t>1.5.</w:t>
            </w:r>
            <w:r w:rsidR="00C25B9E">
              <w:rPr>
                <w:rFonts w:asciiTheme="minorHAnsi" w:eastAsiaTheme="minorEastAsia" w:hAnsiTheme="minorHAnsi" w:cstheme="minorBidi"/>
                <w:noProof/>
                <w:sz w:val="22"/>
                <w:lang w:val="en-IE" w:eastAsia="en-IE"/>
              </w:rPr>
              <w:tab/>
            </w:r>
            <w:r w:rsidR="00C25B9E" w:rsidRPr="00DD2AA9">
              <w:rPr>
                <w:rStyle w:val="Hyperlink"/>
                <w:noProof/>
              </w:rPr>
              <w:t>Osnova prijedloga/inicijative</w:t>
            </w:r>
            <w:r w:rsidR="00C25B9E">
              <w:rPr>
                <w:noProof/>
                <w:webHidden/>
              </w:rPr>
              <w:tab/>
            </w:r>
            <w:r w:rsidR="00C25B9E">
              <w:rPr>
                <w:noProof/>
                <w:webHidden/>
              </w:rPr>
              <w:fldChar w:fldCharType="begin"/>
            </w:r>
            <w:r w:rsidR="00C25B9E">
              <w:rPr>
                <w:noProof/>
                <w:webHidden/>
              </w:rPr>
              <w:instrText xml:space="preserve"> PAGEREF _Toc125125710 \h </w:instrText>
            </w:r>
            <w:r w:rsidR="00C25B9E">
              <w:rPr>
                <w:noProof/>
                <w:webHidden/>
              </w:rPr>
            </w:r>
            <w:r w:rsidR="00C25B9E">
              <w:rPr>
                <w:noProof/>
                <w:webHidden/>
              </w:rPr>
              <w:fldChar w:fldCharType="separate"/>
            </w:r>
            <w:r w:rsidR="00A37E58">
              <w:rPr>
                <w:noProof/>
                <w:webHidden/>
              </w:rPr>
              <w:t>33</w:t>
            </w:r>
            <w:r w:rsidR="00C25B9E">
              <w:rPr>
                <w:noProof/>
                <w:webHidden/>
              </w:rPr>
              <w:fldChar w:fldCharType="end"/>
            </w:r>
          </w:hyperlink>
        </w:p>
        <w:p w14:paraId="3FE3562F" w14:textId="072C8F9A" w:rsidR="00C25B9E" w:rsidRDefault="003237DA">
          <w:pPr>
            <w:pStyle w:val="TOC3"/>
            <w:rPr>
              <w:rFonts w:asciiTheme="minorHAnsi" w:eastAsiaTheme="minorEastAsia" w:hAnsiTheme="minorHAnsi" w:cstheme="minorBidi"/>
              <w:noProof/>
              <w:sz w:val="22"/>
              <w:lang w:val="en-IE" w:eastAsia="en-IE"/>
            </w:rPr>
          </w:pPr>
          <w:hyperlink w:anchor="_Toc125125711" w:history="1">
            <w:r w:rsidR="00C25B9E" w:rsidRPr="00DD2AA9">
              <w:rPr>
                <w:rStyle w:val="Hyperlink"/>
                <w:noProof/>
              </w:rPr>
              <w:t>1.5.1.</w:t>
            </w:r>
            <w:r w:rsidR="00C25B9E">
              <w:rPr>
                <w:rFonts w:asciiTheme="minorHAnsi" w:eastAsiaTheme="minorEastAsia" w:hAnsiTheme="minorHAnsi" w:cstheme="minorBidi"/>
                <w:noProof/>
                <w:sz w:val="22"/>
                <w:lang w:val="en-IE" w:eastAsia="en-IE"/>
              </w:rPr>
              <w:tab/>
            </w:r>
            <w:r w:rsidR="00C25B9E" w:rsidRPr="00DD2AA9">
              <w:rPr>
                <w:rStyle w:val="Hyperlink"/>
                <w:noProof/>
              </w:rPr>
              <w:t>Zahtjevi koje treba ispuniti u kratkoročnom ili dugoročnom razdoblju, uključujući detaljan vremenski plan provedbe inicijative</w:t>
            </w:r>
            <w:r w:rsidR="00C25B9E">
              <w:rPr>
                <w:noProof/>
                <w:webHidden/>
              </w:rPr>
              <w:tab/>
            </w:r>
            <w:r w:rsidR="00C25B9E">
              <w:rPr>
                <w:noProof/>
                <w:webHidden/>
              </w:rPr>
              <w:fldChar w:fldCharType="begin"/>
            </w:r>
            <w:r w:rsidR="00C25B9E">
              <w:rPr>
                <w:noProof/>
                <w:webHidden/>
              </w:rPr>
              <w:instrText xml:space="preserve"> PAGEREF _Toc125125711 \h </w:instrText>
            </w:r>
            <w:r w:rsidR="00C25B9E">
              <w:rPr>
                <w:noProof/>
                <w:webHidden/>
              </w:rPr>
            </w:r>
            <w:r w:rsidR="00C25B9E">
              <w:rPr>
                <w:noProof/>
                <w:webHidden/>
              </w:rPr>
              <w:fldChar w:fldCharType="separate"/>
            </w:r>
            <w:r w:rsidR="00A37E58">
              <w:rPr>
                <w:noProof/>
                <w:webHidden/>
              </w:rPr>
              <w:t>33</w:t>
            </w:r>
            <w:r w:rsidR="00C25B9E">
              <w:rPr>
                <w:noProof/>
                <w:webHidden/>
              </w:rPr>
              <w:fldChar w:fldCharType="end"/>
            </w:r>
          </w:hyperlink>
        </w:p>
        <w:p w14:paraId="0F6E113C" w14:textId="7EE51686" w:rsidR="00C25B9E" w:rsidRDefault="003237DA">
          <w:pPr>
            <w:pStyle w:val="TOC3"/>
            <w:rPr>
              <w:rFonts w:asciiTheme="minorHAnsi" w:eastAsiaTheme="minorEastAsia" w:hAnsiTheme="minorHAnsi" w:cstheme="minorBidi"/>
              <w:noProof/>
              <w:sz w:val="22"/>
              <w:lang w:val="en-IE" w:eastAsia="en-IE"/>
            </w:rPr>
          </w:pPr>
          <w:hyperlink w:anchor="_Toc125125712" w:history="1">
            <w:r w:rsidR="00C25B9E" w:rsidRPr="00DD2AA9">
              <w:rPr>
                <w:rStyle w:val="Hyperlink"/>
                <w:noProof/>
              </w:rPr>
              <w:t>1.5.2.</w:t>
            </w:r>
            <w:r w:rsidR="00C25B9E">
              <w:rPr>
                <w:rFonts w:asciiTheme="minorHAnsi" w:eastAsiaTheme="minorEastAsia" w:hAnsiTheme="minorHAnsi" w:cstheme="minorBidi"/>
                <w:noProof/>
                <w:sz w:val="22"/>
                <w:lang w:val="en-IE" w:eastAsia="en-IE"/>
              </w:rPr>
              <w:tab/>
            </w:r>
            <w:r w:rsidR="00C25B9E" w:rsidRPr="00DD2AA9">
              <w:rPr>
                <w:rStyle w:val="Hyperlink"/>
                <w:noProof/>
              </w:rPr>
              <w:t>Dodana vrijednost sudjelovanja Unije (može proizlaziti iz različitih čimbenika, npr. prednosti koordinacije, pravne sigurnosti, veće djelotvornosti ili komplementarnosti). Za potrebe ove točke „dodana vrijednost sudjelovanja Unije” vrijednost je koja proizlazi iz intervencije Unije i predstavlja dodatnu vrijednost u odnosu na vrijednost koju bi države članice inače ostvarile same.</w:t>
            </w:r>
            <w:r w:rsidR="00C25B9E">
              <w:rPr>
                <w:noProof/>
                <w:webHidden/>
              </w:rPr>
              <w:tab/>
            </w:r>
            <w:r w:rsidR="00C25B9E">
              <w:rPr>
                <w:noProof/>
                <w:webHidden/>
              </w:rPr>
              <w:fldChar w:fldCharType="begin"/>
            </w:r>
            <w:r w:rsidR="00C25B9E">
              <w:rPr>
                <w:noProof/>
                <w:webHidden/>
              </w:rPr>
              <w:instrText xml:space="preserve"> PAGEREF _Toc125125712 \h </w:instrText>
            </w:r>
            <w:r w:rsidR="00C25B9E">
              <w:rPr>
                <w:noProof/>
                <w:webHidden/>
              </w:rPr>
            </w:r>
            <w:r w:rsidR="00C25B9E">
              <w:rPr>
                <w:noProof/>
                <w:webHidden/>
              </w:rPr>
              <w:fldChar w:fldCharType="separate"/>
            </w:r>
            <w:r w:rsidR="00A37E58">
              <w:rPr>
                <w:noProof/>
                <w:webHidden/>
              </w:rPr>
              <w:t>34</w:t>
            </w:r>
            <w:r w:rsidR="00C25B9E">
              <w:rPr>
                <w:noProof/>
                <w:webHidden/>
              </w:rPr>
              <w:fldChar w:fldCharType="end"/>
            </w:r>
          </w:hyperlink>
        </w:p>
        <w:p w14:paraId="0C97DB34" w14:textId="0C417A1C" w:rsidR="00C25B9E" w:rsidRDefault="003237DA">
          <w:pPr>
            <w:pStyle w:val="TOC3"/>
            <w:rPr>
              <w:rFonts w:asciiTheme="minorHAnsi" w:eastAsiaTheme="minorEastAsia" w:hAnsiTheme="minorHAnsi" w:cstheme="minorBidi"/>
              <w:noProof/>
              <w:sz w:val="22"/>
              <w:lang w:val="en-IE" w:eastAsia="en-IE"/>
            </w:rPr>
          </w:pPr>
          <w:hyperlink w:anchor="_Toc125125713" w:history="1">
            <w:r w:rsidR="00C25B9E" w:rsidRPr="00DD2AA9">
              <w:rPr>
                <w:rStyle w:val="Hyperlink"/>
                <w:noProof/>
              </w:rPr>
              <w:t>1.5.3.</w:t>
            </w:r>
            <w:r w:rsidR="00C25B9E">
              <w:rPr>
                <w:rFonts w:asciiTheme="minorHAnsi" w:eastAsiaTheme="minorEastAsia" w:hAnsiTheme="minorHAnsi" w:cstheme="minorBidi"/>
                <w:noProof/>
                <w:sz w:val="22"/>
                <w:lang w:val="en-IE" w:eastAsia="en-IE"/>
              </w:rPr>
              <w:tab/>
            </w:r>
            <w:r w:rsidR="00C25B9E" w:rsidRPr="00DD2AA9">
              <w:rPr>
                <w:rStyle w:val="Hyperlink"/>
                <w:noProof/>
              </w:rPr>
              <w:t>Pouke iz prijašnjih sličnih iskustava</w:t>
            </w:r>
            <w:r w:rsidR="00C25B9E">
              <w:rPr>
                <w:noProof/>
                <w:webHidden/>
              </w:rPr>
              <w:tab/>
            </w:r>
            <w:r w:rsidR="00C25B9E">
              <w:rPr>
                <w:noProof/>
                <w:webHidden/>
              </w:rPr>
              <w:fldChar w:fldCharType="begin"/>
            </w:r>
            <w:r w:rsidR="00C25B9E">
              <w:rPr>
                <w:noProof/>
                <w:webHidden/>
              </w:rPr>
              <w:instrText xml:space="preserve"> PAGEREF _Toc125125713 \h </w:instrText>
            </w:r>
            <w:r w:rsidR="00C25B9E">
              <w:rPr>
                <w:noProof/>
                <w:webHidden/>
              </w:rPr>
            </w:r>
            <w:r w:rsidR="00C25B9E">
              <w:rPr>
                <w:noProof/>
                <w:webHidden/>
              </w:rPr>
              <w:fldChar w:fldCharType="separate"/>
            </w:r>
            <w:r w:rsidR="00A37E58">
              <w:rPr>
                <w:noProof/>
                <w:webHidden/>
              </w:rPr>
              <w:t>34</w:t>
            </w:r>
            <w:r w:rsidR="00C25B9E">
              <w:rPr>
                <w:noProof/>
                <w:webHidden/>
              </w:rPr>
              <w:fldChar w:fldCharType="end"/>
            </w:r>
          </w:hyperlink>
        </w:p>
        <w:p w14:paraId="38C11A68" w14:textId="70F7F37F" w:rsidR="00C25B9E" w:rsidRDefault="003237DA">
          <w:pPr>
            <w:pStyle w:val="TOC3"/>
            <w:rPr>
              <w:rFonts w:asciiTheme="minorHAnsi" w:eastAsiaTheme="minorEastAsia" w:hAnsiTheme="minorHAnsi" w:cstheme="minorBidi"/>
              <w:noProof/>
              <w:sz w:val="22"/>
              <w:lang w:val="en-IE" w:eastAsia="en-IE"/>
            </w:rPr>
          </w:pPr>
          <w:hyperlink w:anchor="_Toc125125714" w:history="1">
            <w:r w:rsidR="00C25B9E" w:rsidRPr="00DD2AA9">
              <w:rPr>
                <w:rStyle w:val="Hyperlink"/>
                <w:noProof/>
              </w:rPr>
              <w:t>1.5.4.</w:t>
            </w:r>
            <w:r w:rsidR="00C25B9E">
              <w:rPr>
                <w:rFonts w:asciiTheme="minorHAnsi" w:eastAsiaTheme="minorEastAsia" w:hAnsiTheme="minorHAnsi" w:cstheme="minorBidi"/>
                <w:noProof/>
                <w:sz w:val="22"/>
                <w:lang w:val="en-IE" w:eastAsia="en-IE"/>
              </w:rPr>
              <w:tab/>
            </w:r>
            <w:r w:rsidR="00C25B9E" w:rsidRPr="00DD2AA9">
              <w:rPr>
                <w:rStyle w:val="Hyperlink"/>
                <w:noProof/>
              </w:rPr>
              <w:t>Usklađenost s višegodišnjim financijskim okvirom i moguće sinergije s drugim prikladnim instrumentima</w:t>
            </w:r>
            <w:r w:rsidR="00C25B9E">
              <w:rPr>
                <w:noProof/>
                <w:webHidden/>
              </w:rPr>
              <w:tab/>
            </w:r>
            <w:r w:rsidR="00C25B9E">
              <w:rPr>
                <w:noProof/>
                <w:webHidden/>
              </w:rPr>
              <w:fldChar w:fldCharType="begin"/>
            </w:r>
            <w:r w:rsidR="00C25B9E">
              <w:rPr>
                <w:noProof/>
                <w:webHidden/>
              </w:rPr>
              <w:instrText xml:space="preserve"> PAGEREF _Toc125125714 \h </w:instrText>
            </w:r>
            <w:r w:rsidR="00C25B9E">
              <w:rPr>
                <w:noProof/>
                <w:webHidden/>
              </w:rPr>
            </w:r>
            <w:r w:rsidR="00C25B9E">
              <w:rPr>
                <w:noProof/>
                <w:webHidden/>
              </w:rPr>
              <w:fldChar w:fldCharType="separate"/>
            </w:r>
            <w:r w:rsidR="00A37E58">
              <w:rPr>
                <w:noProof/>
                <w:webHidden/>
              </w:rPr>
              <w:t>35</w:t>
            </w:r>
            <w:r w:rsidR="00C25B9E">
              <w:rPr>
                <w:noProof/>
                <w:webHidden/>
              </w:rPr>
              <w:fldChar w:fldCharType="end"/>
            </w:r>
          </w:hyperlink>
        </w:p>
        <w:p w14:paraId="631ECA51" w14:textId="4401B9F0" w:rsidR="00C25B9E" w:rsidRDefault="003237DA">
          <w:pPr>
            <w:pStyle w:val="TOC3"/>
            <w:rPr>
              <w:rFonts w:asciiTheme="minorHAnsi" w:eastAsiaTheme="minorEastAsia" w:hAnsiTheme="minorHAnsi" w:cstheme="minorBidi"/>
              <w:noProof/>
              <w:sz w:val="22"/>
              <w:lang w:val="en-IE" w:eastAsia="en-IE"/>
            </w:rPr>
          </w:pPr>
          <w:hyperlink w:anchor="_Toc125125715" w:history="1">
            <w:r w:rsidR="00C25B9E" w:rsidRPr="00DD2AA9">
              <w:rPr>
                <w:rStyle w:val="Hyperlink"/>
                <w:noProof/>
              </w:rPr>
              <w:t>1.5.5.</w:t>
            </w:r>
            <w:r w:rsidR="00C25B9E">
              <w:rPr>
                <w:rFonts w:asciiTheme="minorHAnsi" w:eastAsiaTheme="minorEastAsia" w:hAnsiTheme="minorHAnsi" w:cstheme="minorBidi"/>
                <w:noProof/>
                <w:sz w:val="22"/>
                <w:lang w:val="en-IE" w:eastAsia="en-IE"/>
              </w:rPr>
              <w:tab/>
            </w:r>
            <w:r w:rsidR="00C25B9E" w:rsidRPr="00DD2AA9">
              <w:rPr>
                <w:rStyle w:val="Hyperlink"/>
                <w:noProof/>
              </w:rPr>
              <w:t>Ocjena različitih dostupnih mogućnosti financiranja, uključujući mogućnost preraspodjele</w:t>
            </w:r>
            <w:r w:rsidR="00C25B9E">
              <w:rPr>
                <w:noProof/>
                <w:webHidden/>
              </w:rPr>
              <w:tab/>
            </w:r>
            <w:r w:rsidR="00C25B9E">
              <w:rPr>
                <w:noProof/>
                <w:webHidden/>
              </w:rPr>
              <w:fldChar w:fldCharType="begin"/>
            </w:r>
            <w:r w:rsidR="00C25B9E">
              <w:rPr>
                <w:noProof/>
                <w:webHidden/>
              </w:rPr>
              <w:instrText xml:space="preserve"> PAGEREF _Toc125125715 \h </w:instrText>
            </w:r>
            <w:r w:rsidR="00C25B9E">
              <w:rPr>
                <w:noProof/>
                <w:webHidden/>
              </w:rPr>
            </w:r>
            <w:r w:rsidR="00C25B9E">
              <w:rPr>
                <w:noProof/>
                <w:webHidden/>
              </w:rPr>
              <w:fldChar w:fldCharType="separate"/>
            </w:r>
            <w:r w:rsidR="00A37E58">
              <w:rPr>
                <w:noProof/>
                <w:webHidden/>
              </w:rPr>
              <w:t>35</w:t>
            </w:r>
            <w:r w:rsidR="00C25B9E">
              <w:rPr>
                <w:noProof/>
                <w:webHidden/>
              </w:rPr>
              <w:fldChar w:fldCharType="end"/>
            </w:r>
          </w:hyperlink>
        </w:p>
        <w:p w14:paraId="2F446AA8" w14:textId="6C4091E7" w:rsidR="00C25B9E" w:rsidRDefault="003237DA">
          <w:pPr>
            <w:pStyle w:val="TOC2"/>
            <w:rPr>
              <w:rFonts w:asciiTheme="minorHAnsi" w:eastAsiaTheme="minorEastAsia" w:hAnsiTheme="minorHAnsi" w:cstheme="minorBidi"/>
              <w:noProof/>
              <w:sz w:val="22"/>
              <w:lang w:val="en-IE" w:eastAsia="en-IE"/>
            </w:rPr>
          </w:pPr>
          <w:hyperlink w:anchor="_Toc125125716" w:history="1">
            <w:r w:rsidR="00C25B9E" w:rsidRPr="00DD2AA9">
              <w:rPr>
                <w:rStyle w:val="Hyperlink"/>
                <w:noProof/>
              </w:rPr>
              <w:t>1.6.</w:t>
            </w:r>
            <w:r w:rsidR="00C25B9E">
              <w:rPr>
                <w:rFonts w:asciiTheme="minorHAnsi" w:eastAsiaTheme="minorEastAsia" w:hAnsiTheme="minorHAnsi" w:cstheme="minorBidi"/>
                <w:noProof/>
                <w:sz w:val="22"/>
                <w:lang w:val="en-IE" w:eastAsia="en-IE"/>
              </w:rPr>
              <w:tab/>
            </w:r>
            <w:r w:rsidR="00C25B9E" w:rsidRPr="00DD2AA9">
              <w:rPr>
                <w:rStyle w:val="Hyperlink"/>
                <w:noProof/>
              </w:rPr>
              <w:t>Trajanje i financijski učinak prijedloga/inicijative</w:t>
            </w:r>
            <w:r w:rsidR="00C25B9E">
              <w:rPr>
                <w:noProof/>
                <w:webHidden/>
              </w:rPr>
              <w:tab/>
            </w:r>
            <w:r w:rsidR="00C25B9E">
              <w:rPr>
                <w:noProof/>
                <w:webHidden/>
              </w:rPr>
              <w:fldChar w:fldCharType="begin"/>
            </w:r>
            <w:r w:rsidR="00C25B9E">
              <w:rPr>
                <w:noProof/>
                <w:webHidden/>
              </w:rPr>
              <w:instrText xml:space="preserve"> PAGEREF _Toc125125716 \h </w:instrText>
            </w:r>
            <w:r w:rsidR="00C25B9E">
              <w:rPr>
                <w:noProof/>
                <w:webHidden/>
              </w:rPr>
            </w:r>
            <w:r w:rsidR="00C25B9E">
              <w:rPr>
                <w:noProof/>
                <w:webHidden/>
              </w:rPr>
              <w:fldChar w:fldCharType="separate"/>
            </w:r>
            <w:r w:rsidR="00A37E58">
              <w:rPr>
                <w:noProof/>
                <w:webHidden/>
              </w:rPr>
              <w:t>36</w:t>
            </w:r>
            <w:r w:rsidR="00C25B9E">
              <w:rPr>
                <w:noProof/>
                <w:webHidden/>
              </w:rPr>
              <w:fldChar w:fldCharType="end"/>
            </w:r>
          </w:hyperlink>
        </w:p>
        <w:p w14:paraId="6EBC71B7" w14:textId="63ED08E3" w:rsidR="00C25B9E" w:rsidRDefault="003237DA">
          <w:pPr>
            <w:pStyle w:val="TOC2"/>
            <w:rPr>
              <w:rFonts w:asciiTheme="minorHAnsi" w:eastAsiaTheme="minorEastAsia" w:hAnsiTheme="minorHAnsi" w:cstheme="minorBidi"/>
              <w:noProof/>
              <w:sz w:val="22"/>
              <w:lang w:val="en-IE" w:eastAsia="en-IE"/>
            </w:rPr>
          </w:pPr>
          <w:hyperlink w:anchor="_Toc125125717" w:history="1">
            <w:r w:rsidR="00C25B9E" w:rsidRPr="00DD2AA9">
              <w:rPr>
                <w:rStyle w:val="Hyperlink"/>
                <w:noProof/>
              </w:rPr>
              <w:t>1.7.</w:t>
            </w:r>
            <w:r w:rsidR="00C25B9E">
              <w:rPr>
                <w:rFonts w:asciiTheme="minorHAnsi" w:eastAsiaTheme="minorEastAsia" w:hAnsiTheme="minorHAnsi" w:cstheme="minorBidi"/>
                <w:noProof/>
                <w:sz w:val="22"/>
                <w:lang w:val="en-IE" w:eastAsia="en-IE"/>
              </w:rPr>
              <w:tab/>
            </w:r>
            <w:r w:rsidR="00C25B9E" w:rsidRPr="00DD2AA9">
              <w:rPr>
                <w:rStyle w:val="Hyperlink"/>
                <w:noProof/>
              </w:rPr>
              <w:t>Predviđeni načini upravljanja</w:t>
            </w:r>
            <w:r w:rsidR="00C25B9E">
              <w:rPr>
                <w:noProof/>
                <w:webHidden/>
              </w:rPr>
              <w:tab/>
            </w:r>
            <w:r w:rsidR="00C25B9E">
              <w:rPr>
                <w:noProof/>
                <w:webHidden/>
              </w:rPr>
              <w:fldChar w:fldCharType="begin"/>
            </w:r>
            <w:r w:rsidR="00C25B9E">
              <w:rPr>
                <w:noProof/>
                <w:webHidden/>
              </w:rPr>
              <w:instrText xml:space="preserve"> PAGEREF _Toc125125717 \h </w:instrText>
            </w:r>
            <w:r w:rsidR="00C25B9E">
              <w:rPr>
                <w:noProof/>
                <w:webHidden/>
              </w:rPr>
            </w:r>
            <w:r w:rsidR="00C25B9E">
              <w:rPr>
                <w:noProof/>
                <w:webHidden/>
              </w:rPr>
              <w:fldChar w:fldCharType="separate"/>
            </w:r>
            <w:r w:rsidR="00A37E58">
              <w:rPr>
                <w:noProof/>
                <w:webHidden/>
              </w:rPr>
              <w:t>36</w:t>
            </w:r>
            <w:r w:rsidR="00C25B9E">
              <w:rPr>
                <w:noProof/>
                <w:webHidden/>
              </w:rPr>
              <w:fldChar w:fldCharType="end"/>
            </w:r>
          </w:hyperlink>
        </w:p>
        <w:p w14:paraId="4E636CA5" w14:textId="60FE977E" w:rsidR="00C25B9E" w:rsidRDefault="003237DA">
          <w:pPr>
            <w:pStyle w:val="TOC1"/>
            <w:rPr>
              <w:rFonts w:asciiTheme="minorHAnsi" w:eastAsiaTheme="minorEastAsia" w:hAnsiTheme="minorHAnsi" w:cstheme="minorBidi"/>
              <w:noProof/>
              <w:sz w:val="22"/>
              <w:lang w:val="en-IE" w:eastAsia="en-IE"/>
            </w:rPr>
          </w:pPr>
          <w:hyperlink w:anchor="_Toc125125718" w:history="1">
            <w:r w:rsidR="00C25B9E" w:rsidRPr="00DD2AA9">
              <w:rPr>
                <w:rStyle w:val="Hyperlink"/>
                <w:noProof/>
              </w:rPr>
              <w:t>2.</w:t>
            </w:r>
            <w:r w:rsidR="00C25B9E">
              <w:rPr>
                <w:rFonts w:asciiTheme="minorHAnsi" w:eastAsiaTheme="minorEastAsia" w:hAnsiTheme="minorHAnsi" w:cstheme="minorBidi"/>
                <w:noProof/>
                <w:sz w:val="22"/>
                <w:lang w:val="en-IE" w:eastAsia="en-IE"/>
              </w:rPr>
              <w:tab/>
            </w:r>
            <w:r w:rsidR="00C25B9E" w:rsidRPr="00DD2AA9">
              <w:rPr>
                <w:rStyle w:val="Hyperlink"/>
                <w:noProof/>
              </w:rPr>
              <w:t>MJERE UPRAVLJANJA</w:t>
            </w:r>
            <w:r w:rsidR="00C25B9E">
              <w:rPr>
                <w:noProof/>
                <w:webHidden/>
              </w:rPr>
              <w:tab/>
            </w:r>
            <w:r w:rsidR="00C25B9E">
              <w:rPr>
                <w:noProof/>
                <w:webHidden/>
              </w:rPr>
              <w:fldChar w:fldCharType="begin"/>
            </w:r>
            <w:r w:rsidR="00C25B9E">
              <w:rPr>
                <w:noProof/>
                <w:webHidden/>
              </w:rPr>
              <w:instrText xml:space="preserve"> PAGEREF _Toc125125718 \h </w:instrText>
            </w:r>
            <w:r w:rsidR="00C25B9E">
              <w:rPr>
                <w:noProof/>
                <w:webHidden/>
              </w:rPr>
            </w:r>
            <w:r w:rsidR="00C25B9E">
              <w:rPr>
                <w:noProof/>
                <w:webHidden/>
              </w:rPr>
              <w:fldChar w:fldCharType="separate"/>
            </w:r>
            <w:r w:rsidR="00A37E58">
              <w:rPr>
                <w:noProof/>
                <w:webHidden/>
              </w:rPr>
              <w:t>37</w:t>
            </w:r>
            <w:r w:rsidR="00C25B9E">
              <w:rPr>
                <w:noProof/>
                <w:webHidden/>
              </w:rPr>
              <w:fldChar w:fldCharType="end"/>
            </w:r>
          </w:hyperlink>
        </w:p>
        <w:p w14:paraId="574BD6D3" w14:textId="720EF3BB" w:rsidR="00C25B9E" w:rsidRDefault="003237DA">
          <w:pPr>
            <w:pStyle w:val="TOC2"/>
            <w:rPr>
              <w:rFonts w:asciiTheme="minorHAnsi" w:eastAsiaTheme="minorEastAsia" w:hAnsiTheme="minorHAnsi" w:cstheme="minorBidi"/>
              <w:noProof/>
              <w:sz w:val="22"/>
              <w:lang w:val="en-IE" w:eastAsia="en-IE"/>
            </w:rPr>
          </w:pPr>
          <w:hyperlink w:anchor="_Toc125125719" w:history="1">
            <w:r w:rsidR="00C25B9E" w:rsidRPr="00DD2AA9">
              <w:rPr>
                <w:rStyle w:val="Hyperlink"/>
                <w:noProof/>
              </w:rPr>
              <w:t>2.1.</w:t>
            </w:r>
            <w:r w:rsidR="00C25B9E">
              <w:rPr>
                <w:rFonts w:asciiTheme="minorHAnsi" w:eastAsiaTheme="minorEastAsia" w:hAnsiTheme="minorHAnsi" w:cstheme="minorBidi"/>
                <w:noProof/>
                <w:sz w:val="22"/>
                <w:lang w:val="en-IE" w:eastAsia="en-IE"/>
              </w:rPr>
              <w:tab/>
            </w:r>
            <w:r w:rsidR="00C25B9E" w:rsidRPr="00DD2AA9">
              <w:rPr>
                <w:rStyle w:val="Hyperlink"/>
                <w:noProof/>
              </w:rPr>
              <w:t>Pravila praćenja i izvješćivanja</w:t>
            </w:r>
            <w:r w:rsidR="00C25B9E">
              <w:rPr>
                <w:noProof/>
                <w:webHidden/>
              </w:rPr>
              <w:tab/>
            </w:r>
            <w:r w:rsidR="00C25B9E">
              <w:rPr>
                <w:noProof/>
                <w:webHidden/>
              </w:rPr>
              <w:fldChar w:fldCharType="begin"/>
            </w:r>
            <w:r w:rsidR="00C25B9E">
              <w:rPr>
                <w:noProof/>
                <w:webHidden/>
              </w:rPr>
              <w:instrText xml:space="preserve"> PAGEREF _Toc125125719 \h </w:instrText>
            </w:r>
            <w:r w:rsidR="00C25B9E">
              <w:rPr>
                <w:noProof/>
                <w:webHidden/>
              </w:rPr>
            </w:r>
            <w:r w:rsidR="00C25B9E">
              <w:rPr>
                <w:noProof/>
                <w:webHidden/>
              </w:rPr>
              <w:fldChar w:fldCharType="separate"/>
            </w:r>
            <w:r w:rsidR="00A37E58">
              <w:rPr>
                <w:noProof/>
                <w:webHidden/>
              </w:rPr>
              <w:t>37</w:t>
            </w:r>
            <w:r w:rsidR="00C25B9E">
              <w:rPr>
                <w:noProof/>
                <w:webHidden/>
              </w:rPr>
              <w:fldChar w:fldCharType="end"/>
            </w:r>
          </w:hyperlink>
        </w:p>
        <w:p w14:paraId="137D312D" w14:textId="713B0954" w:rsidR="00C25B9E" w:rsidRDefault="003237DA">
          <w:pPr>
            <w:pStyle w:val="TOC2"/>
            <w:rPr>
              <w:rFonts w:asciiTheme="minorHAnsi" w:eastAsiaTheme="minorEastAsia" w:hAnsiTheme="minorHAnsi" w:cstheme="minorBidi"/>
              <w:noProof/>
              <w:sz w:val="22"/>
              <w:lang w:val="en-IE" w:eastAsia="en-IE"/>
            </w:rPr>
          </w:pPr>
          <w:hyperlink w:anchor="_Toc125125720" w:history="1">
            <w:r w:rsidR="00C25B9E" w:rsidRPr="00DD2AA9">
              <w:rPr>
                <w:rStyle w:val="Hyperlink"/>
                <w:noProof/>
              </w:rPr>
              <w:t>2.2.</w:t>
            </w:r>
            <w:r w:rsidR="00C25B9E">
              <w:rPr>
                <w:rFonts w:asciiTheme="minorHAnsi" w:eastAsiaTheme="minorEastAsia" w:hAnsiTheme="minorHAnsi" w:cstheme="minorBidi"/>
                <w:noProof/>
                <w:sz w:val="22"/>
                <w:lang w:val="en-IE" w:eastAsia="en-IE"/>
              </w:rPr>
              <w:tab/>
            </w:r>
            <w:r w:rsidR="00C25B9E" w:rsidRPr="00DD2AA9">
              <w:rPr>
                <w:rStyle w:val="Hyperlink"/>
                <w:noProof/>
              </w:rPr>
              <w:t>Sustavi upravljanja i kontrole</w:t>
            </w:r>
            <w:r w:rsidR="00C25B9E">
              <w:rPr>
                <w:noProof/>
                <w:webHidden/>
              </w:rPr>
              <w:tab/>
            </w:r>
            <w:r w:rsidR="00C25B9E">
              <w:rPr>
                <w:noProof/>
                <w:webHidden/>
              </w:rPr>
              <w:fldChar w:fldCharType="begin"/>
            </w:r>
            <w:r w:rsidR="00C25B9E">
              <w:rPr>
                <w:noProof/>
                <w:webHidden/>
              </w:rPr>
              <w:instrText xml:space="preserve"> PAGEREF _Toc125125720 \h </w:instrText>
            </w:r>
            <w:r w:rsidR="00C25B9E">
              <w:rPr>
                <w:noProof/>
                <w:webHidden/>
              </w:rPr>
            </w:r>
            <w:r w:rsidR="00C25B9E">
              <w:rPr>
                <w:noProof/>
                <w:webHidden/>
              </w:rPr>
              <w:fldChar w:fldCharType="separate"/>
            </w:r>
            <w:r w:rsidR="00A37E58">
              <w:rPr>
                <w:noProof/>
                <w:webHidden/>
              </w:rPr>
              <w:t>37</w:t>
            </w:r>
            <w:r w:rsidR="00C25B9E">
              <w:rPr>
                <w:noProof/>
                <w:webHidden/>
              </w:rPr>
              <w:fldChar w:fldCharType="end"/>
            </w:r>
          </w:hyperlink>
        </w:p>
        <w:p w14:paraId="44D43AA1" w14:textId="70F6B359" w:rsidR="00C25B9E" w:rsidRDefault="003237DA">
          <w:pPr>
            <w:pStyle w:val="TOC3"/>
            <w:rPr>
              <w:rFonts w:asciiTheme="minorHAnsi" w:eastAsiaTheme="minorEastAsia" w:hAnsiTheme="minorHAnsi" w:cstheme="minorBidi"/>
              <w:noProof/>
              <w:sz w:val="22"/>
              <w:lang w:val="en-IE" w:eastAsia="en-IE"/>
            </w:rPr>
          </w:pPr>
          <w:hyperlink w:anchor="_Toc125125721" w:history="1">
            <w:r w:rsidR="00C25B9E" w:rsidRPr="00DD2AA9">
              <w:rPr>
                <w:rStyle w:val="Hyperlink"/>
                <w:noProof/>
              </w:rPr>
              <w:t>2.2.1.</w:t>
            </w:r>
            <w:r w:rsidR="00C25B9E">
              <w:rPr>
                <w:rFonts w:asciiTheme="minorHAnsi" w:eastAsiaTheme="minorEastAsia" w:hAnsiTheme="minorHAnsi" w:cstheme="minorBidi"/>
                <w:noProof/>
                <w:sz w:val="22"/>
                <w:lang w:val="en-IE" w:eastAsia="en-IE"/>
              </w:rPr>
              <w:tab/>
            </w:r>
            <w:r w:rsidR="00C25B9E" w:rsidRPr="00DD2AA9">
              <w:rPr>
                <w:rStyle w:val="Hyperlink"/>
                <w:noProof/>
              </w:rPr>
              <w:t>Obrazloženje načina upravljanja, mehanizama provedbe financiranja, načina plaćanja i predložene strategije kontrole</w:t>
            </w:r>
            <w:r w:rsidR="00C25B9E">
              <w:rPr>
                <w:noProof/>
                <w:webHidden/>
              </w:rPr>
              <w:tab/>
            </w:r>
            <w:r w:rsidR="00C25B9E">
              <w:rPr>
                <w:noProof/>
                <w:webHidden/>
              </w:rPr>
              <w:fldChar w:fldCharType="begin"/>
            </w:r>
            <w:r w:rsidR="00C25B9E">
              <w:rPr>
                <w:noProof/>
                <w:webHidden/>
              </w:rPr>
              <w:instrText xml:space="preserve"> PAGEREF _Toc125125721 \h </w:instrText>
            </w:r>
            <w:r w:rsidR="00C25B9E">
              <w:rPr>
                <w:noProof/>
                <w:webHidden/>
              </w:rPr>
            </w:r>
            <w:r w:rsidR="00C25B9E">
              <w:rPr>
                <w:noProof/>
                <w:webHidden/>
              </w:rPr>
              <w:fldChar w:fldCharType="separate"/>
            </w:r>
            <w:r w:rsidR="00A37E58">
              <w:rPr>
                <w:noProof/>
                <w:webHidden/>
              </w:rPr>
              <w:t>37</w:t>
            </w:r>
            <w:r w:rsidR="00C25B9E">
              <w:rPr>
                <w:noProof/>
                <w:webHidden/>
              </w:rPr>
              <w:fldChar w:fldCharType="end"/>
            </w:r>
          </w:hyperlink>
        </w:p>
        <w:p w14:paraId="1CD9FD92" w14:textId="3B6A63D6" w:rsidR="00C25B9E" w:rsidRDefault="003237DA">
          <w:pPr>
            <w:pStyle w:val="TOC3"/>
            <w:rPr>
              <w:rFonts w:asciiTheme="minorHAnsi" w:eastAsiaTheme="minorEastAsia" w:hAnsiTheme="minorHAnsi" w:cstheme="minorBidi"/>
              <w:noProof/>
              <w:sz w:val="22"/>
              <w:lang w:val="en-IE" w:eastAsia="en-IE"/>
            </w:rPr>
          </w:pPr>
          <w:hyperlink w:anchor="_Toc125125722" w:history="1">
            <w:r w:rsidR="00C25B9E" w:rsidRPr="00DD2AA9">
              <w:rPr>
                <w:rStyle w:val="Hyperlink"/>
                <w:noProof/>
              </w:rPr>
              <w:t>2.2.2.</w:t>
            </w:r>
            <w:r w:rsidR="00C25B9E">
              <w:rPr>
                <w:rFonts w:asciiTheme="minorHAnsi" w:eastAsiaTheme="minorEastAsia" w:hAnsiTheme="minorHAnsi" w:cstheme="minorBidi"/>
                <w:noProof/>
                <w:sz w:val="22"/>
                <w:lang w:val="en-IE" w:eastAsia="en-IE"/>
              </w:rPr>
              <w:tab/>
            </w:r>
            <w:r w:rsidR="00C25B9E" w:rsidRPr="00DD2AA9">
              <w:rPr>
                <w:rStyle w:val="Hyperlink"/>
                <w:noProof/>
              </w:rPr>
              <w:t>Informacije o utvrđenim rizicima i uspostavljenim sustavima unutarnje kontrole za ublažavanje rizika</w:t>
            </w:r>
            <w:r w:rsidR="00C25B9E">
              <w:rPr>
                <w:noProof/>
                <w:webHidden/>
              </w:rPr>
              <w:tab/>
            </w:r>
            <w:r w:rsidR="00C25B9E">
              <w:rPr>
                <w:noProof/>
                <w:webHidden/>
              </w:rPr>
              <w:fldChar w:fldCharType="begin"/>
            </w:r>
            <w:r w:rsidR="00C25B9E">
              <w:rPr>
                <w:noProof/>
                <w:webHidden/>
              </w:rPr>
              <w:instrText xml:space="preserve"> PAGEREF _Toc125125722 \h </w:instrText>
            </w:r>
            <w:r w:rsidR="00C25B9E">
              <w:rPr>
                <w:noProof/>
                <w:webHidden/>
              </w:rPr>
            </w:r>
            <w:r w:rsidR="00C25B9E">
              <w:rPr>
                <w:noProof/>
                <w:webHidden/>
              </w:rPr>
              <w:fldChar w:fldCharType="separate"/>
            </w:r>
            <w:r w:rsidR="00A37E58">
              <w:rPr>
                <w:noProof/>
                <w:webHidden/>
              </w:rPr>
              <w:t>37</w:t>
            </w:r>
            <w:r w:rsidR="00C25B9E">
              <w:rPr>
                <w:noProof/>
                <w:webHidden/>
              </w:rPr>
              <w:fldChar w:fldCharType="end"/>
            </w:r>
          </w:hyperlink>
        </w:p>
        <w:p w14:paraId="71E17DA9" w14:textId="349ED82C" w:rsidR="00C25B9E" w:rsidRDefault="003237DA">
          <w:pPr>
            <w:pStyle w:val="TOC3"/>
            <w:rPr>
              <w:rFonts w:asciiTheme="minorHAnsi" w:eastAsiaTheme="minorEastAsia" w:hAnsiTheme="minorHAnsi" w:cstheme="minorBidi"/>
              <w:noProof/>
              <w:sz w:val="22"/>
              <w:lang w:val="en-IE" w:eastAsia="en-IE"/>
            </w:rPr>
          </w:pPr>
          <w:hyperlink w:anchor="_Toc125125723" w:history="1">
            <w:r w:rsidR="00C25B9E" w:rsidRPr="00DD2AA9">
              <w:rPr>
                <w:rStyle w:val="Hyperlink"/>
                <w:noProof/>
              </w:rPr>
              <w:t>2.2.3.</w:t>
            </w:r>
            <w:r w:rsidR="00C25B9E">
              <w:rPr>
                <w:rFonts w:asciiTheme="minorHAnsi" w:eastAsiaTheme="minorEastAsia" w:hAnsiTheme="minorHAnsi" w:cstheme="minorBidi"/>
                <w:noProof/>
                <w:sz w:val="22"/>
                <w:lang w:val="en-IE" w:eastAsia="en-IE"/>
              </w:rPr>
              <w:tab/>
            </w:r>
            <w:r w:rsidR="00C25B9E" w:rsidRPr="00DD2AA9">
              <w:rPr>
                <w:rStyle w:val="Hyperlink"/>
                <w:noProof/>
              </w:rPr>
              <w:t>Procjena i obrazloženje troškovne učinkovitosti kontrola (omjer troškova kontrole i vrijednosti sredstava kojima se upravlja) i procjena očekivane razine rizika od pogreške (pri plaćanju i pri zaključenju)</w:t>
            </w:r>
            <w:r w:rsidR="00C25B9E">
              <w:rPr>
                <w:noProof/>
                <w:webHidden/>
              </w:rPr>
              <w:tab/>
            </w:r>
            <w:r w:rsidR="00C25B9E">
              <w:rPr>
                <w:noProof/>
                <w:webHidden/>
              </w:rPr>
              <w:fldChar w:fldCharType="begin"/>
            </w:r>
            <w:r w:rsidR="00C25B9E">
              <w:rPr>
                <w:noProof/>
                <w:webHidden/>
              </w:rPr>
              <w:instrText xml:space="preserve"> PAGEREF _Toc125125723 \h </w:instrText>
            </w:r>
            <w:r w:rsidR="00C25B9E">
              <w:rPr>
                <w:noProof/>
                <w:webHidden/>
              </w:rPr>
            </w:r>
            <w:r w:rsidR="00C25B9E">
              <w:rPr>
                <w:noProof/>
                <w:webHidden/>
              </w:rPr>
              <w:fldChar w:fldCharType="separate"/>
            </w:r>
            <w:r w:rsidR="00A37E58">
              <w:rPr>
                <w:noProof/>
                <w:webHidden/>
              </w:rPr>
              <w:t>37</w:t>
            </w:r>
            <w:r w:rsidR="00C25B9E">
              <w:rPr>
                <w:noProof/>
                <w:webHidden/>
              </w:rPr>
              <w:fldChar w:fldCharType="end"/>
            </w:r>
          </w:hyperlink>
        </w:p>
        <w:p w14:paraId="729EC25D" w14:textId="10326C59" w:rsidR="00C25B9E" w:rsidRDefault="003237DA">
          <w:pPr>
            <w:pStyle w:val="TOC2"/>
            <w:rPr>
              <w:rFonts w:asciiTheme="minorHAnsi" w:eastAsiaTheme="minorEastAsia" w:hAnsiTheme="minorHAnsi" w:cstheme="minorBidi"/>
              <w:noProof/>
              <w:sz w:val="22"/>
              <w:lang w:val="en-IE" w:eastAsia="en-IE"/>
            </w:rPr>
          </w:pPr>
          <w:hyperlink w:anchor="_Toc125125724" w:history="1">
            <w:r w:rsidR="00C25B9E" w:rsidRPr="00DD2AA9">
              <w:rPr>
                <w:rStyle w:val="Hyperlink"/>
                <w:noProof/>
              </w:rPr>
              <w:t>2.3.</w:t>
            </w:r>
            <w:r w:rsidR="00C25B9E">
              <w:rPr>
                <w:rFonts w:asciiTheme="minorHAnsi" w:eastAsiaTheme="minorEastAsia" w:hAnsiTheme="minorHAnsi" w:cstheme="minorBidi"/>
                <w:noProof/>
                <w:sz w:val="22"/>
                <w:lang w:val="en-IE" w:eastAsia="en-IE"/>
              </w:rPr>
              <w:tab/>
            </w:r>
            <w:r w:rsidR="00C25B9E" w:rsidRPr="00DD2AA9">
              <w:rPr>
                <w:rStyle w:val="Hyperlink"/>
                <w:noProof/>
              </w:rPr>
              <w:t>Mjere za sprečavanje prijevara i nepravilnosti</w:t>
            </w:r>
            <w:r w:rsidR="00C25B9E">
              <w:rPr>
                <w:noProof/>
                <w:webHidden/>
              </w:rPr>
              <w:tab/>
            </w:r>
            <w:r w:rsidR="00C25B9E">
              <w:rPr>
                <w:noProof/>
                <w:webHidden/>
              </w:rPr>
              <w:fldChar w:fldCharType="begin"/>
            </w:r>
            <w:r w:rsidR="00C25B9E">
              <w:rPr>
                <w:noProof/>
                <w:webHidden/>
              </w:rPr>
              <w:instrText xml:space="preserve"> PAGEREF _Toc125125724 \h </w:instrText>
            </w:r>
            <w:r w:rsidR="00C25B9E">
              <w:rPr>
                <w:noProof/>
                <w:webHidden/>
              </w:rPr>
            </w:r>
            <w:r w:rsidR="00C25B9E">
              <w:rPr>
                <w:noProof/>
                <w:webHidden/>
              </w:rPr>
              <w:fldChar w:fldCharType="separate"/>
            </w:r>
            <w:r w:rsidR="00A37E58">
              <w:rPr>
                <w:noProof/>
                <w:webHidden/>
              </w:rPr>
              <w:t>37</w:t>
            </w:r>
            <w:r w:rsidR="00C25B9E">
              <w:rPr>
                <w:noProof/>
                <w:webHidden/>
              </w:rPr>
              <w:fldChar w:fldCharType="end"/>
            </w:r>
          </w:hyperlink>
        </w:p>
        <w:p w14:paraId="4F93614C" w14:textId="56EAE0A1" w:rsidR="00C25B9E" w:rsidRDefault="003237DA">
          <w:pPr>
            <w:pStyle w:val="TOC1"/>
            <w:rPr>
              <w:rFonts w:asciiTheme="minorHAnsi" w:eastAsiaTheme="minorEastAsia" w:hAnsiTheme="minorHAnsi" w:cstheme="minorBidi"/>
              <w:noProof/>
              <w:sz w:val="22"/>
              <w:lang w:val="en-IE" w:eastAsia="en-IE"/>
            </w:rPr>
          </w:pPr>
          <w:hyperlink w:anchor="_Toc125125725" w:history="1">
            <w:r w:rsidR="00C25B9E" w:rsidRPr="00DD2AA9">
              <w:rPr>
                <w:rStyle w:val="Hyperlink"/>
                <w:noProof/>
              </w:rPr>
              <w:t>3.</w:t>
            </w:r>
            <w:r w:rsidR="00C25B9E">
              <w:rPr>
                <w:rFonts w:asciiTheme="minorHAnsi" w:eastAsiaTheme="minorEastAsia" w:hAnsiTheme="minorHAnsi" w:cstheme="minorBidi"/>
                <w:noProof/>
                <w:sz w:val="22"/>
                <w:lang w:val="en-IE" w:eastAsia="en-IE"/>
              </w:rPr>
              <w:tab/>
            </w:r>
            <w:r w:rsidR="00C25B9E" w:rsidRPr="00DD2AA9">
              <w:rPr>
                <w:rStyle w:val="Hyperlink"/>
                <w:noProof/>
              </w:rPr>
              <w:t>PROCIJENJENI FINANCIJSKI UČINAK PRIJEDLOGA/INICIJATIVE</w:t>
            </w:r>
            <w:r w:rsidR="00C25B9E">
              <w:rPr>
                <w:noProof/>
                <w:webHidden/>
              </w:rPr>
              <w:tab/>
            </w:r>
            <w:r w:rsidR="00C25B9E">
              <w:rPr>
                <w:noProof/>
                <w:webHidden/>
              </w:rPr>
              <w:fldChar w:fldCharType="begin"/>
            </w:r>
            <w:r w:rsidR="00C25B9E">
              <w:rPr>
                <w:noProof/>
                <w:webHidden/>
              </w:rPr>
              <w:instrText xml:space="preserve"> PAGEREF _Toc125125725 \h </w:instrText>
            </w:r>
            <w:r w:rsidR="00C25B9E">
              <w:rPr>
                <w:noProof/>
                <w:webHidden/>
              </w:rPr>
            </w:r>
            <w:r w:rsidR="00C25B9E">
              <w:rPr>
                <w:noProof/>
                <w:webHidden/>
              </w:rPr>
              <w:fldChar w:fldCharType="separate"/>
            </w:r>
            <w:r w:rsidR="00A37E58">
              <w:rPr>
                <w:noProof/>
                <w:webHidden/>
              </w:rPr>
              <w:t>38</w:t>
            </w:r>
            <w:r w:rsidR="00C25B9E">
              <w:rPr>
                <w:noProof/>
                <w:webHidden/>
              </w:rPr>
              <w:fldChar w:fldCharType="end"/>
            </w:r>
          </w:hyperlink>
        </w:p>
        <w:p w14:paraId="64086FA8" w14:textId="3A4B9BBD" w:rsidR="00C25B9E" w:rsidRDefault="003237DA">
          <w:pPr>
            <w:pStyle w:val="TOC2"/>
            <w:rPr>
              <w:rFonts w:asciiTheme="minorHAnsi" w:eastAsiaTheme="minorEastAsia" w:hAnsiTheme="minorHAnsi" w:cstheme="minorBidi"/>
              <w:noProof/>
              <w:sz w:val="22"/>
              <w:lang w:val="en-IE" w:eastAsia="en-IE"/>
            </w:rPr>
          </w:pPr>
          <w:hyperlink w:anchor="_Toc125125726" w:history="1">
            <w:r w:rsidR="00C25B9E" w:rsidRPr="00DD2AA9">
              <w:rPr>
                <w:rStyle w:val="Hyperlink"/>
                <w:noProof/>
              </w:rPr>
              <w:t>3.1.</w:t>
            </w:r>
            <w:r w:rsidR="00C25B9E">
              <w:rPr>
                <w:rFonts w:asciiTheme="minorHAnsi" w:eastAsiaTheme="minorEastAsia" w:hAnsiTheme="minorHAnsi" w:cstheme="minorBidi"/>
                <w:noProof/>
                <w:sz w:val="22"/>
                <w:lang w:val="en-IE" w:eastAsia="en-IE"/>
              </w:rPr>
              <w:tab/>
            </w:r>
            <w:r w:rsidR="00C25B9E" w:rsidRPr="00DD2AA9">
              <w:rPr>
                <w:rStyle w:val="Hyperlink"/>
                <w:noProof/>
              </w:rPr>
              <w:t>Naslovi višegodišnjeg financijskog okvira i proračunske linije rashoda na koje prijedlog/inicijativa ima učinak</w:t>
            </w:r>
            <w:r w:rsidR="00C25B9E">
              <w:rPr>
                <w:noProof/>
                <w:webHidden/>
              </w:rPr>
              <w:tab/>
            </w:r>
            <w:r w:rsidR="00C25B9E">
              <w:rPr>
                <w:noProof/>
                <w:webHidden/>
              </w:rPr>
              <w:fldChar w:fldCharType="begin"/>
            </w:r>
            <w:r w:rsidR="00C25B9E">
              <w:rPr>
                <w:noProof/>
                <w:webHidden/>
              </w:rPr>
              <w:instrText xml:space="preserve"> PAGEREF _Toc125125726 \h </w:instrText>
            </w:r>
            <w:r w:rsidR="00C25B9E">
              <w:rPr>
                <w:noProof/>
                <w:webHidden/>
              </w:rPr>
            </w:r>
            <w:r w:rsidR="00C25B9E">
              <w:rPr>
                <w:noProof/>
                <w:webHidden/>
              </w:rPr>
              <w:fldChar w:fldCharType="separate"/>
            </w:r>
            <w:r w:rsidR="00A37E58">
              <w:rPr>
                <w:noProof/>
                <w:webHidden/>
              </w:rPr>
              <w:t>38</w:t>
            </w:r>
            <w:r w:rsidR="00C25B9E">
              <w:rPr>
                <w:noProof/>
                <w:webHidden/>
              </w:rPr>
              <w:fldChar w:fldCharType="end"/>
            </w:r>
          </w:hyperlink>
        </w:p>
        <w:p w14:paraId="32B07213" w14:textId="5300DCCF" w:rsidR="00C25B9E" w:rsidRDefault="003237DA">
          <w:pPr>
            <w:pStyle w:val="TOC2"/>
            <w:rPr>
              <w:rFonts w:asciiTheme="minorHAnsi" w:eastAsiaTheme="minorEastAsia" w:hAnsiTheme="minorHAnsi" w:cstheme="minorBidi"/>
              <w:noProof/>
              <w:sz w:val="22"/>
              <w:lang w:val="en-IE" w:eastAsia="en-IE"/>
            </w:rPr>
          </w:pPr>
          <w:hyperlink w:anchor="_Toc125125727" w:history="1">
            <w:r w:rsidR="00C25B9E" w:rsidRPr="00DD2AA9">
              <w:rPr>
                <w:rStyle w:val="Hyperlink"/>
                <w:noProof/>
              </w:rPr>
              <w:t>3.2.</w:t>
            </w:r>
            <w:r w:rsidR="00C25B9E">
              <w:rPr>
                <w:rFonts w:asciiTheme="minorHAnsi" w:eastAsiaTheme="minorEastAsia" w:hAnsiTheme="minorHAnsi" w:cstheme="minorBidi"/>
                <w:noProof/>
                <w:sz w:val="22"/>
                <w:lang w:val="en-IE" w:eastAsia="en-IE"/>
              </w:rPr>
              <w:tab/>
            </w:r>
            <w:r w:rsidR="00C25B9E" w:rsidRPr="00DD2AA9">
              <w:rPr>
                <w:rStyle w:val="Hyperlink"/>
                <w:noProof/>
              </w:rPr>
              <w:t>Procijenjeni financijski učinak prijedloga na odobrena sredstva</w:t>
            </w:r>
            <w:r w:rsidR="00C25B9E">
              <w:rPr>
                <w:noProof/>
                <w:webHidden/>
              </w:rPr>
              <w:tab/>
            </w:r>
            <w:r w:rsidR="00C25B9E">
              <w:rPr>
                <w:noProof/>
                <w:webHidden/>
              </w:rPr>
              <w:fldChar w:fldCharType="begin"/>
            </w:r>
            <w:r w:rsidR="00C25B9E">
              <w:rPr>
                <w:noProof/>
                <w:webHidden/>
              </w:rPr>
              <w:instrText xml:space="preserve"> PAGEREF _Toc125125727 \h </w:instrText>
            </w:r>
            <w:r w:rsidR="00C25B9E">
              <w:rPr>
                <w:noProof/>
                <w:webHidden/>
              </w:rPr>
            </w:r>
            <w:r w:rsidR="00C25B9E">
              <w:rPr>
                <w:noProof/>
                <w:webHidden/>
              </w:rPr>
              <w:fldChar w:fldCharType="separate"/>
            </w:r>
            <w:r w:rsidR="00A37E58">
              <w:rPr>
                <w:noProof/>
                <w:webHidden/>
              </w:rPr>
              <w:t>39</w:t>
            </w:r>
            <w:r w:rsidR="00C25B9E">
              <w:rPr>
                <w:noProof/>
                <w:webHidden/>
              </w:rPr>
              <w:fldChar w:fldCharType="end"/>
            </w:r>
          </w:hyperlink>
        </w:p>
        <w:p w14:paraId="361507EA" w14:textId="6DAA2D5B" w:rsidR="00C25B9E" w:rsidRDefault="003237DA">
          <w:pPr>
            <w:pStyle w:val="TOC3"/>
            <w:rPr>
              <w:rFonts w:asciiTheme="minorHAnsi" w:eastAsiaTheme="minorEastAsia" w:hAnsiTheme="minorHAnsi" w:cstheme="minorBidi"/>
              <w:noProof/>
              <w:sz w:val="22"/>
              <w:lang w:val="en-IE" w:eastAsia="en-IE"/>
            </w:rPr>
          </w:pPr>
          <w:hyperlink w:anchor="_Toc125125728" w:history="1">
            <w:r w:rsidR="00C25B9E" w:rsidRPr="00DD2AA9">
              <w:rPr>
                <w:rStyle w:val="Hyperlink"/>
                <w:noProof/>
              </w:rPr>
              <w:t>3.2.1.</w:t>
            </w:r>
            <w:r w:rsidR="00C25B9E">
              <w:rPr>
                <w:rFonts w:asciiTheme="minorHAnsi" w:eastAsiaTheme="minorEastAsia" w:hAnsiTheme="minorHAnsi" w:cstheme="minorBidi"/>
                <w:noProof/>
                <w:sz w:val="22"/>
                <w:lang w:val="en-IE" w:eastAsia="en-IE"/>
              </w:rPr>
              <w:tab/>
            </w:r>
            <w:r w:rsidR="00C25B9E" w:rsidRPr="00DD2AA9">
              <w:rPr>
                <w:rStyle w:val="Hyperlink"/>
                <w:noProof/>
              </w:rPr>
              <w:t>Sažetak procijenjenog učinka na odobrena sredstva za poslovanje</w:t>
            </w:r>
            <w:r w:rsidR="00C25B9E">
              <w:rPr>
                <w:noProof/>
                <w:webHidden/>
              </w:rPr>
              <w:tab/>
            </w:r>
            <w:r w:rsidR="00C25B9E">
              <w:rPr>
                <w:noProof/>
                <w:webHidden/>
              </w:rPr>
              <w:fldChar w:fldCharType="begin"/>
            </w:r>
            <w:r w:rsidR="00C25B9E">
              <w:rPr>
                <w:noProof/>
                <w:webHidden/>
              </w:rPr>
              <w:instrText xml:space="preserve"> PAGEREF _Toc125125728 \h </w:instrText>
            </w:r>
            <w:r w:rsidR="00C25B9E">
              <w:rPr>
                <w:noProof/>
                <w:webHidden/>
              </w:rPr>
            </w:r>
            <w:r w:rsidR="00C25B9E">
              <w:rPr>
                <w:noProof/>
                <w:webHidden/>
              </w:rPr>
              <w:fldChar w:fldCharType="separate"/>
            </w:r>
            <w:r w:rsidR="00A37E58">
              <w:rPr>
                <w:noProof/>
                <w:webHidden/>
              </w:rPr>
              <w:t>39</w:t>
            </w:r>
            <w:r w:rsidR="00C25B9E">
              <w:rPr>
                <w:noProof/>
                <w:webHidden/>
              </w:rPr>
              <w:fldChar w:fldCharType="end"/>
            </w:r>
          </w:hyperlink>
        </w:p>
        <w:p w14:paraId="5FDD5AA5" w14:textId="3548B0A4" w:rsidR="00C25B9E" w:rsidRDefault="003237DA">
          <w:pPr>
            <w:pStyle w:val="TOC3"/>
            <w:rPr>
              <w:rFonts w:asciiTheme="minorHAnsi" w:eastAsiaTheme="minorEastAsia" w:hAnsiTheme="minorHAnsi" w:cstheme="minorBidi"/>
              <w:noProof/>
              <w:sz w:val="22"/>
              <w:lang w:val="en-IE" w:eastAsia="en-IE"/>
            </w:rPr>
          </w:pPr>
          <w:hyperlink w:anchor="_Toc125125729" w:history="1">
            <w:r w:rsidR="00C25B9E" w:rsidRPr="00DD2AA9">
              <w:rPr>
                <w:rStyle w:val="Hyperlink"/>
                <w:noProof/>
              </w:rPr>
              <w:t>3.2.2.</w:t>
            </w:r>
            <w:r w:rsidR="00C25B9E">
              <w:rPr>
                <w:rFonts w:asciiTheme="minorHAnsi" w:eastAsiaTheme="minorEastAsia" w:hAnsiTheme="minorHAnsi" w:cstheme="minorBidi"/>
                <w:noProof/>
                <w:sz w:val="22"/>
                <w:lang w:val="en-IE" w:eastAsia="en-IE"/>
              </w:rPr>
              <w:tab/>
            </w:r>
            <w:r w:rsidR="00C25B9E" w:rsidRPr="00DD2AA9">
              <w:rPr>
                <w:rStyle w:val="Hyperlink"/>
                <w:noProof/>
              </w:rPr>
              <w:t>Procijenjeni rezultati financirani odobrenim sredstvima za poslovanje</w:t>
            </w:r>
            <w:r w:rsidR="00C25B9E">
              <w:rPr>
                <w:noProof/>
                <w:webHidden/>
              </w:rPr>
              <w:tab/>
            </w:r>
            <w:r w:rsidR="00C25B9E">
              <w:rPr>
                <w:noProof/>
                <w:webHidden/>
              </w:rPr>
              <w:fldChar w:fldCharType="begin"/>
            </w:r>
            <w:r w:rsidR="00C25B9E">
              <w:rPr>
                <w:noProof/>
                <w:webHidden/>
              </w:rPr>
              <w:instrText xml:space="preserve"> PAGEREF _Toc125125729 \h </w:instrText>
            </w:r>
            <w:r w:rsidR="00C25B9E">
              <w:rPr>
                <w:noProof/>
                <w:webHidden/>
              </w:rPr>
            </w:r>
            <w:r w:rsidR="00C25B9E">
              <w:rPr>
                <w:noProof/>
                <w:webHidden/>
              </w:rPr>
              <w:fldChar w:fldCharType="separate"/>
            </w:r>
            <w:r w:rsidR="00A37E58">
              <w:rPr>
                <w:noProof/>
                <w:webHidden/>
              </w:rPr>
              <w:t>42</w:t>
            </w:r>
            <w:r w:rsidR="00C25B9E">
              <w:rPr>
                <w:noProof/>
                <w:webHidden/>
              </w:rPr>
              <w:fldChar w:fldCharType="end"/>
            </w:r>
          </w:hyperlink>
        </w:p>
        <w:p w14:paraId="49EB6673" w14:textId="55C04539" w:rsidR="00C25B9E" w:rsidRDefault="003237DA">
          <w:pPr>
            <w:pStyle w:val="TOC3"/>
            <w:rPr>
              <w:rFonts w:asciiTheme="minorHAnsi" w:eastAsiaTheme="minorEastAsia" w:hAnsiTheme="minorHAnsi" w:cstheme="minorBidi"/>
              <w:noProof/>
              <w:sz w:val="22"/>
              <w:lang w:val="en-IE" w:eastAsia="en-IE"/>
            </w:rPr>
          </w:pPr>
          <w:hyperlink w:anchor="_Toc125125730" w:history="1">
            <w:r w:rsidR="00C25B9E" w:rsidRPr="00DD2AA9">
              <w:rPr>
                <w:rStyle w:val="Hyperlink"/>
                <w:noProof/>
              </w:rPr>
              <w:t>3.2.3.</w:t>
            </w:r>
            <w:r w:rsidR="00C25B9E">
              <w:rPr>
                <w:rFonts w:asciiTheme="minorHAnsi" w:eastAsiaTheme="minorEastAsia" w:hAnsiTheme="minorHAnsi" w:cstheme="minorBidi"/>
                <w:noProof/>
                <w:sz w:val="22"/>
                <w:lang w:val="en-IE" w:eastAsia="en-IE"/>
              </w:rPr>
              <w:tab/>
            </w:r>
            <w:r w:rsidR="00C25B9E" w:rsidRPr="00DD2AA9">
              <w:rPr>
                <w:rStyle w:val="Hyperlink"/>
                <w:noProof/>
              </w:rPr>
              <w:t>Sažetak procijenjenog učinka na administrativna odobrena sredstva</w:t>
            </w:r>
            <w:r w:rsidR="00C25B9E">
              <w:rPr>
                <w:noProof/>
                <w:webHidden/>
              </w:rPr>
              <w:tab/>
            </w:r>
            <w:r w:rsidR="00C25B9E">
              <w:rPr>
                <w:noProof/>
                <w:webHidden/>
              </w:rPr>
              <w:fldChar w:fldCharType="begin"/>
            </w:r>
            <w:r w:rsidR="00C25B9E">
              <w:rPr>
                <w:noProof/>
                <w:webHidden/>
              </w:rPr>
              <w:instrText xml:space="preserve"> PAGEREF _Toc125125730 \h </w:instrText>
            </w:r>
            <w:r w:rsidR="00C25B9E">
              <w:rPr>
                <w:noProof/>
                <w:webHidden/>
              </w:rPr>
            </w:r>
            <w:r w:rsidR="00C25B9E">
              <w:rPr>
                <w:noProof/>
                <w:webHidden/>
              </w:rPr>
              <w:fldChar w:fldCharType="separate"/>
            </w:r>
            <w:r w:rsidR="00A37E58">
              <w:rPr>
                <w:noProof/>
                <w:webHidden/>
              </w:rPr>
              <w:t>43</w:t>
            </w:r>
            <w:r w:rsidR="00C25B9E">
              <w:rPr>
                <w:noProof/>
                <w:webHidden/>
              </w:rPr>
              <w:fldChar w:fldCharType="end"/>
            </w:r>
          </w:hyperlink>
        </w:p>
        <w:p w14:paraId="66C622F1" w14:textId="62DC940D" w:rsidR="00C25B9E" w:rsidRDefault="003237DA">
          <w:pPr>
            <w:pStyle w:val="TOC3"/>
            <w:rPr>
              <w:rFonts w:asciiTheme="minorHAnsi" w:eastAsiaTheme="minorEastAsia" w:hAnsiTheme="minorHAnsi" w:cstheme="minorBidi"/>
              <w:noProof/>
              <w:sz w:val="22"/>
              <w:lang w:val="en-IE" w:eastAsia="en-IE"/>
            </w:rPr>
          </w:pPr>
          <w:hyperlink w:anchor="_Toc125125731" w:history="1">
            <w:r w:rsidR="00C25B9E" w:rsidRPr="00DD2AA9">
              <w:rPr>
                <w:rStyle w:val="Hyperlink"/>
                <w:noProof/>
              </w:rPr>
              <w:t>3.2.4.</w:t>
            </w:r>
            <w:r w:rsidR="00C25B9E">
              <w:rPr>
                <w:rFonts w:asciiTheme="minorHAnsi" w:eastAsiaTheme="minorEastAsia" w:hAnsiTheme="minorHAnsi" w:cstheme="minorBidi"/>
                <w:noProof/>
                <w:sz w:val="22"/>
                <w:lang w:val="en-IE" w:eastAsia="en-IE"/>
              </w:rPr>
              <w:tab/>
            </w:r>
            <w:r w:rsidR="00C25B9E" w:rsidRPr="00DD2AA9">
              <w:rPr>
                <w:rStyle w:val="Hyperlink"/>
                <w:noProof/>
              </w:rPr>
              <w:t>Usklađenost s aktualnim višegodišnjim financijskim okvirom</w:t>
            </w:r>
            <w:r w:rsidR="00C25B9E">
              <w:rPr>
                <w:noProof/>
                <w:webHidden/>
              </w:rPr>
              <w:tab/>
            </w:r>
            <w:r w:rsidR="00C25B9E">
              <w:rPr>
                <w:noProof/>
                <w:webHidden/>
              </w:rPr>
              <w:fldChar w:fldCharType="begin"/>
            </w:r>
            <w:r w:rsidR="00C25B9E">
              <w:rPr>
                <w:noProof/>
                <w:webHidden/>
              </w:rPr>
              <w:instrText xml:space="preserve"> PAGEREF _Toc125125731 \h </w:instrText>
            </w:r>
            <w:r w:rsidR="00C25B9E">
              <w:rPr>
                <w:noProof/>
                <w:webHidden/>
              </w:rPr>
            </w:r>
            <w:r w:rsidR="00C25B9E">
              <w:rPr>
                <w:noProof/>
                <w:webHidden/>
              </w:rPr>
              <w:fldChar w:fldCharType="separate"/>
            </w:r>
            <w:r w:rsidR="00A37E58">
              <w:rPr>
                <w:noProof/>
                <w:webHidden/>
              </w:rPr>
              <w:t>46</w:t>
            </w:r>
            <w:r w:rsidR="00C25B9E">
              <w:rPr>
                <w:noProof/>
                <w:webHidden/>
              </w:rPr>
              <w:fldChar w:fldCharType="end"/>
            </w:r>
          </w:hyperlink>
        </w:p>
        <w:p w14:paraId="5A37573C" w14:textId="0AFE9F48" w:rsidR="00C25B9E" w:rsidRDefault="003237DA">
          <w:pPr>
            <w:pStyle w:val="TOC3"/>
            <w:rPr>
              <w:rFonts w:asciiTheme="minorHAnsi" w:eastAsiaTheme="minorEastAsia" w:hAnsiTheme="minorHAnsi" w:cstheme="minorBidi"/>
              <w:noProof/>
              <w:sz w:val="22"/>
              <w:lang w:val="en-IE" w:eastAsia="en-IE"/>
            </w:rPr>
          </w:pPr>
          <w:hyperlink w:anchor="_Toc125125732" w:history="1">
            <w:r w:rsidR="00C25B9E" w:rsidRPr="00DD2AA9">
              <w:rPr>
                <w:rStyle w:val="Hyperlink"/>
                <w:noProof/>
              </w:rPr>
              <w:t>3.2.5.</w:t>
            </w:r>
            <w:r w:rsidR="00C25B9E">
              <w:rPr>
                <w:rFonts w:asciiTheme="minorHAnsi" w:eastAsiaTheme="minorEastAsia" w:hAnsiTheme="minorHAnsi" w:cstheme="minorBidi"/>
                <w:noProof/>
                <w:sz w:val="22"/>
                <w:lang w:val="en-IE" w:eastAsia="en-IE"/>
              </w:rPr>
              <w:tab/>
            </w:r>
            <w:r w:rsidR="00C25B9E" w:rsidRPr="00DD2AA9">
              <w:rPr>
                <w:rStyle w:val="Hyperlink"/>
                <w:noProof/>
              </w:rPr>
              <w:t>Doprinos trećih strana</w:t>
            </w:r>
            <w:r w:rsidR="00C25B9E">
              <w:rPr>
                <w:noProof/>
                <w:webHidden/>
              </w:rPr>
              <w:tab/>
            </w:r>
            <w:r w:rsidR="00C25B9E">
              <w:rPr>
                <w:noProof/>
                <w:webHidden/>
              </w:rPr>
              <w:fldChar w:fldCharType="begin"/>
            </w:r>
            <w:r w:rsidR="00C25B9E">
              <w:rPr>
                <w:noProof/>
                <w:webHidden/>
              </w:rPr>
              <w:instrText xml:space="preserve"> PAGEREF _Toc125125732 \h </w:instrText>
            </w:r>
            <w:r w:rsidR="00C25B9E">
              <w:rPr>
                <w:noProof/>
                <w:webHidden/>
              </w:rPr>
            </w:r>
            <w:r w:rsidR="00C25B9E">
              <w:rPr>
                <w:noProof/>
                <w:webHidden/>
              </w:rPr>
              <w:fldChar w:fldCharType="separate"/>
            </w:r>
            <w:r w:rsidR="00A37E58">
              <w:rPr>
                <w:noProof/>
                <w:webHidden/>
              </w:rPr>
              <w:t>46</w:t>
            </w:r>
            <w:r w:rsidR="00C25B9E">
              <w:rPr>
                <w:noProof/>
                <w:webHidden/>
              </w:rPr>
              <w:fldChar w:fldCharType="end"/>
            </w:r>
          </w:hyperlink>
        </w:p>
        <w:p w14:paraId="181A70EA" w14:textId="30B1142F" w:rsidR="00C25B9E" w:rsidRDefault="003237DA">
          <w:pPr>
            <w:pStyle w:val="TOC2"/>
            <w:rPr>
              <w:rFonts w:asciiTheme="minorHAnsi" w:eastAsiaTheme="minorEastAsia" w:hAnsiTheme="minorHAnsi" w:cstheme="minorBidi"/>
              <w:noProof/>
              <w:sz w:val="22"/>
              <w:lang w:val="en-IE" w:eastAsia="en-IE"/>
            </w:rPr>
          </w:pPr>
          <w:hyperlink w:anchor="_Toc125125733" w:history="1">
            <w:r w:rsidR="00C25B9E" w:rsidRPr="00DD2AA9">
              <w:rPr>
                <w:rStyle w:val="Hyperlink"/>
                <w:noProof/>
              </w:rPr>
              <w:t>3.3.</w:t>
            </w:r>
            <w:r w:rsidR="00C25B9E">
              <w:rPr>
                <w:rFonts w:asciiTheme="minorHAnsi" w:eastAsiaTheme="minorEastAsia" w:hAnsiTheme="minorHAnsi" w:cstheme="minorBidi"/>
                <w:noProof/>
                <w:sz w:val="22"/>
                <w:lang w:val="en-IE" w:eastAsia="en-IE"/>
              </w:rPr>
              <w:tab/>
            </w:r>
            <w:r w:rsidR="00C25B9E" w:rsidRPr="00DD2AA9">
              <w:rPr>
                <w:rStyle w:val="Hyperlink"/>
                <w:noProof/>
              </w:rPr>
              <w:t>Procijenjeni učinak na prihode</w:t>
            </w:r>
            <w:r w:rsidR="00C25B9E">
              <w:rPr>
                <w:noProof/>
                <w:webHidden/>
              </w:rPr>
              <w:tab/>
            </w:r>
            <w:r w:rsidR="00C25B9E">
              <w:rPr>
                <w:noProof/>
                <w:webHidden/>
              </w:rPr>
              <w:fldChar w:fldCharType="begin"/>
            </w:r>
            <w:r w:rsidR="00C25B9E">
              <w:rPr>
                <w:noProof/>
                <w:webHidden/>
              </w:rPr>
              <w:instrText xml:space="preserve"> PAGEREF _Toc125125733 \h </w:instrText>
            </w:r>
            <w:r w:rsidR="00C25B9E">
              <w:rPr>
                <w:noProof/>
                <w:webHidden/>
              </w:rPr>
            </w:r>
            <w:r w:rsidR="00C25B9E">
              <w:rPr>
                <w:noProof/>
                <w:webHidden/>
              </w:rPr>
              <w:fldChar w:fldCharType="separate"/>
            </w:r>
            <w:r w:rsidR="00A37E58">
              <w:rPr>
                <w:noProof/>
                <w:webHidden/>
              </w:rPr>
              <w:t>47</w:t>
            </w:r>
            <w:r w:rsidR="00C25B9E">
              <w:rPr>
                <w:noProof/>
                <w:webHidden/>
              </w:rPr>
              <w:fldChar w:fldCharType="end"/>
            </w:r>
          </w:hyperlink>
        </w:p>
        <w:p w14:paraId="7BEFCB51" w14:textId="4E184027" w:rsidR="00C25B9E" w:rsidRDefault="00C25B9E">
          <w:pPr>
            <w:rPr>
              <w:noProof/>
            </w:rPr>
          </w:pPr>
          <w:r>
            <w:rPr>
              <w:b/>
              <w:bCs/>
              <w:noProof/>
            </w:rPr>
            <w:fldChar w:fldCharType="end"/>
          </w:r>
        </w:p>
      </w:sdtContent>
    </w:sdt>
    <w:p w14:paraId="0AE95257" w14:textId="77777777" w:rsidR="00FA7490" w:rsidRDefault="00FA7490" w:rsidP="00FA7490">
      <w:pPr>
        <w:jc w:val="center"/>
        <w:rPr>
          <w:b/>
          <w:noProof/>
          <w:u w:val="single"/>
        </w:rPr>
      </w:pPr>
    </w:p>
    <w:p w14:paraId="58C5DA48" w14:textId="77777777" w:rsidR="00FA7490" w:rsidRDefault="00FA7490" w:rsidP="00FA7490">
      <w:pPr>
        <w:jc w:val="center"/>
        <w:rPr>
          <w:b/>
          <w:noProof/>
          <w:u w:val="single"/>
        </w:rPr>
      </w:pPr>
    </w:p>
    <w:p w14:paraId="56B0ADBD" w14:textId="77777777" w:rsidR="00FA7490" w:rsidRDefault="00FA7490" w:rsidP="00FA7490">
      <w:pPr>
        <w:jc w:val="center"/>
        <w:rPr>
          <w:b/>
          <w:noProof/>
          <w:u w:val="single"/>
        </w:rPr>
      </w:pPr>
    </w:p>
    <w:p w14:paraId="47436728" w14:textId="77777777" w:rsidR="00FA7490" w:rsidRDefault="00FA7490" w:rsidP="00FA7490">
      <w:pPr>
        <w:jc w:val="center"/>
        <w:rPr>
          <w:b/>
          <w:noProof/>
          <w:u w:val="single"/>
        </w:rPr>
      </w:pPr>
    </w:p>
    <w:p w14:paraId="06F8E7F3" w14:textId="77777777" w:rsidR="00FA7490" w:rsidRDefault="00FA7490" w:rsidP="00FA7490">
      <w:pPr>
        <w:jc w:val="center"/>
        <w:rPr>
          <w:b/>
          <w:noProof/>
          <w:u w:val="single"/>
        </w:rPr>
      </w:pPr>
    </w:p>
    <w:p w14:paraId="60EDAFBB" w14:textId="77777777" w:rsidR="00FA7490" w:rsidRDefault="00FA7490" w:rsidP="00FA7490">
      <w:pPr>
        <w:jc w:val="center"/>
        <w:rPr>
          <w:b/>
          <w:noProof/>
          <w:u w:val="single"/>
        </w:rPr>
      </w:pPr>
    </w:p>
    <w:p w14:paraId="2CE45D85" w14:textId="77777777" w:rsidR="00FA7490" w:rsidRDefault="00FA7490" w:rsidP="00FA7490">
      <w:pPr>
        <w:jc w:val="center"/>
        <w:rPr>
          <w:b/>
          <w:noProof/>
          <w:u w:val="single"/>
        </w:rPr>
      </w:pPr>
    </w:p>
    <w:p w14:paraId="7D5D1BC5" w14:textId="77777777" w:rsidR="00FA7490" w:rsidRDefault="00FA7490" w:rsidP="00FA7490">
      <w:pPr>
        <w:jc w:val="center"/>
        <w:rPr>
          <w:b/>
          <w:noProof/>
          <w:u w:val="single"/>
        </w:rPr>
      </w:pPr>
    </w:p>
    <w:p w14:paraId="649A4D43" w14:textId="77777777" w:rsidR="00FA7490" w:rsidRDefault="00FA7490" w:rsidP="00FA7490">
      <w:pPr>
        <w:jc w:val="center"/>
        <w:rPr>
          <w:b/>
          <w:noProof/>
          <w:u w:val="single"/>
        </w:rPr>
      </w:pPr>
    </w:p>
    <w:p w14:paraId="7205A176" w14:textId="77777777" w:rsidR="00FA7490" w:rsidRDefault="00FA7490" w:rsidP="00FA7490">
      <w:pPr>
        <w:jc w:val="center"/>
        <w:rPr>
          <w:b/>
          <w:noProof/>
          <w:u w:val="single"/>
        </w:rPr>
      </w:pPr>
    </w:p>
    <w:p w14:paraId="08892B70" w14:textId="77777777" w:rsidR="00FA7490" w:rsidRDefault="00FA7490" w:rsidP="00FA7490">
      <w:pPr>
        <w:jc w:val="center"/>
        <w:rPr>
          <w:b/>
          <w:noProof/>
          <w:u w:val="single"/>
        </w:rPr>
      </w:pPr>
    </w:p>
    <w:p w14:paraId="163F5B36" w14:textId="77777777" w:rsidR="00FA7490" w:rsidRDefault="00FA7490" w:rsidP="00FA7490">
      <w:pPr>
        <w:jc w:val="center"/>
        <w:rPr>
          <w:b/>
          <w:noProof/>
          <w:u w:val="single"/>
        </w:rPr>
      </w:pPr>
    </w:p>
    <w:p w14:paraId="2C16B185" w14:textId="77777777" w:rsidR="00FA7490" w:rsidRDefault="00FA7490" w:rsidP="00FA7490">
      <w:pPr>
        <w:jc w:val="center"/>
        <w:rPr>
          <w:b/>
          <w:noProof/>
          <w:u w:val="single"/>
        </w:rPr>
      </w:pPr>
    </w:p>
    <w:p w14:paraId="004E505D" w14:textId="77777777" w:rsidR="00FA7490" w:rsidRDefault="00FA7490" w:rsidP="00FA7490">
      <w:pPr>
        <w:jc w:val="center"/>
        <w:rPr>
          <w:b/>
          <w:noProof/>
          <w:u w:val="single"/>
        </w:rPr>
      </w:pPr>
    </w:p>
    <w:p w14:paraId="42592DFE" w14:textId="77777777" w:rsidR="00FA7490" w:rsidRDefault="00FA7490" w:rsidP="00FA7490">
      <w:pPr>
        <w:jc w:val="center"/>
        <w:rPr>
          <w:b/>
          <w:noProof/>
          <w:u w:val="single"/>
        </w:rPr>
      </w:pPr>
    </w:p>
    <w:p w14:paraId="6CF2CA08" w14:textId="77777777" w:rsidR="00FA7490" w:rsidRDefault="00FA7490" w:rsidP="00FA7490">
      <w:pPr>
        <w:jc w:val="center"/>
        <w:rPr>
          <w:b/>
          <w:noProof/>
          <w:u w:val="single"/>
        </w:rPr>
      </w:pPr>
    </w:p>
    <w:p w14:paraId="68092DDE" w14:textId="77777777" w:rsidR="00FA7490" w:rsidRDefault="00FA7490" w:rsidP="00FA7490">
      <w:pPr>
        <w:jc w:val="center"/>
        <w:rPr>
          <w:b/>
          <w:noProof/>
          <w:u w:val="single"/>
        </w:rPr>
      </w:pPr>
    </w:p>
    <w:p w14:paraId="17519FFD" w14:textId="77777777" w:rsidR="00FA7490" w:rsidRDefault="00FA7490" w:rsidP="00FA7490">
      <w:pPr>
        <w:jc w:val="center"/>
        <w:rPr>
          <w:b/>
          <w:noProof/>
          <w:u w:val="single"/>
        </w:rPr>
      </w:pPr>
    </w:p>
    <w:p w14:paraId="244F731D" w14:textId="77777777" w:rsidR="00FA7490" w:rsidRDefault="00FA7490" w:rsidP="00FA7490">
      <w:pPr>
        <w:jc w:val="center"/>
        <w:rPr>
          <w:b/>
          <w:noProof/>
          <w:u w:val="single"/>
        </w:rPr>
      </w:pPr>
    </w:p>
    <w:p w14:paraId="75733BAB" w14:textId="77777777" w:rsidR="00FA7490" w:rsidRDefault="00FA7490" w:rsidP="00FA7490">
      <w:pPr>
        <w:jc w:val="center"/>
        <w:rPr>
          <w:b/>
          <w:noProof/>
          <w:u w:val="single"/>
        </w:rPr>
      </w:pPr>
    </w:p>
    <w:p w14:paraId="5ADDFCF2" w14:textId="77777777" w:rsidR="00FA7490" w:rsidRDefault="00FA7490" w:rsidP="00FA7490">
      <w:pPr>
        <w:jc w:val="center"/>
        <w:rPr>
          <w:b/>
          <w:noProof/>
          <w:u w:val="single"/>
        </w:rPr>
      </w:pPr>
    </w:p>
    <w:p w14:paraId="23B0EDA0" w14:textId="77777777" w:rsidR="00FA7490" w:rsidRDefault="00FA7490" w:rsidP="00FA7490">
      <w:pPr>
        <w:jc w:val="center"/>
        <w:rPr>
          <w:b/>
          <w:noProof/>
          <w:u w:val="single"/>
        </w:rPr>
      </w:pPr>
    </w:p>
    <w:p w14:paraId="2B8918B5" w14:textId="77777777" w:rsidR="00FA7490" w:rsidRDefault="00FA7490" w:rsidP="00FA7490">
      <w:pPr>
        <w:jc w:val="center"/>
        <w:rPr>
          <w:b/>
          <w:noProof/>
          <w:u w:val="single"/>
        </w:rPr>
      </w:pPr>
    </w:p>
    <w:p w14:paraId="4526CCF6" w14:textId="77777777" w:rsidR="00FA7490" w:rsidRDefault="00FA7490" w:rsidP="00FA7490">
      <w:pPr>
        <w:jc w:val="center"/>
        <w:rPr>
          <w:b/>
          <w:noProof/>
          <w:u w:val="single"/>
        </w:rPr>
      </w:pPr>
    </w:p>
    <w:p w14:paraId="6C157724" w14:textId="77777777" w:rsidR="00FA7490" w:rsidRDefault="00FA7490" w:rsidP="00FA7490">
      <w:pPr>
        <w:jc w:val="center"/>
        <w:rPr>
          <w:b/>
          <w:noProof/>
          <w:u w:val="single"/>
        </w:rPr>
      </w:pPr>
    </w:p>
    <w:p w14:paraId="4CD82C61" w14:textId="66E14B5F" w:rsidR="000944F2" w:rsidRPr="00C25B9E" w:rsidRDefault="000944F2" w:rsidP="00FA7490">
      <w:pPr>
        <w:jc w:val="center"/>
        <w:rPr>
          <w:noProof/>
        </w:rPr>
      </w:pPr>
      <w:r w:rsidRPr="008F6730">
        <w:rPr>
          <w:b/>
          <w:noProof/>
          <w:u w:val="single"/>
        </w:rPr>
        <w:t>ZAKONODAVNI FINANCIJSKI IZVJEŠTAJ</w:t>
      </w:r>
    </w:p>
    <w:p w14:paraId="1C2B5D0F" w14:textId="0D592A76" w:rsidR="000944F2" w:rsidRPr="008F6730" w:rsidRDefault="009A61FA" w:rsidP="009A61FA">
      <w:pPr>
        <w:pStyle w:val="ManualHeading1"/>
        <w:rPr>
          <w:noProof/>
        </w:rPr>
      </w:pPr>
      <w:bookmarkStart w:id="81" w:name="_Toc514938007"/>
      <w:bookmarkStart w:id="82" w:name="_Toc520485025"/>
      <w:bookmarkStart w:id="83" w:name="_Toc125124890"/>
      <w:bookmarkStart w:id="84" w:name="_Toc125125348"/>
      <w:bookmarkStart w:id="85" w:name="_Toc125125593"/>
      <w:bookmarkStart w:id="86" w:name="_Toc125125701"/>
      <w:r w:rsidRPr="009A61FA">
        <w:t>1.</w:t>
      </w:r>
      <w:r w:rsidRPr="009A61FA">
        <w:tab/>
      </w:r>
      <w:r w:rsidR="000944F2" w:rsidRPr="008F6730">
        <w:rPr>
          <w:noProof/>
        </w:rPr>
        <w:t>OKVIR PRIJEDLOGA/INICIJATIVE</w:t>
      </w:r>
      <w:bookmarkEnd w:id="81"/>
      <w:bookmarkEnd w:id="82"/>
      <w:bookmarkEnd w:id="83"/>
      <w:bookmarkEnd w:id="84"/>
      <w:bookmarkEnd w:id="85"/>
      <w:bookmarkEnd w:id="86"/>
      <w:r w:rsidR="000944F2" w:rsidRPr="008F6730">
        <w:rPr>
          <w:noProof/>
        </w:rPr>
        <w:t xml:space="preserve"> </w:t>
      </w:r>
    </w:p>
    <w:p w14:paraId="469DB76E" w14:textId="6BAAAA6E" w:rsidR="000944F2" w:rsidRPr="008F6730" w:rsidRDefault="009A61FA" w:rsidP="009A61FA">
      <w:pPr>
        <w:pStyle w:val="ManualHeading2"/>
        <w:rPr>
          <w:noProof/>
        </w:rPr>
      </w:pPr>
      <w:bookmarkStart w:id="87" w:name="_Toc514938008"/>
      <w:bookmarkStart w:id="88" w:name="_Toc520485026"/>
      <w:bookmarkStart w:id="89" w:name="_Toc125124891"/>
      <w:bookmarkStart w:id="90" w:name="_Toc125125349"/>
      <w:bookmarkStart w:id="91" w:name="_Toc125125594"/>
      <w:bookmarkStart w:id="92" w:name="_Toc125125702"/>
      <w:r w:rsidRPr="009A61FA">
        <w:t>1.1.</w:t>
      </w:r>
      <w:r w:rsidRPr="009A61FA">
        <w:tab/>
      </w:r>
      <w:r w:rsidR="000944F2" w:rsidRPr="008F6730">
        <w:rPr>
          <w:noProof/>
        </w:rPr>
        <w:t>Naslov prijedloga/inicijative</w:t>
      </w:r>
      <w:bookmarkEnd w:id="87"/>
      <w:bookmarkEnd w:id="88"/>
      <w:bookmarkEnd w:id="89"/>
      <w:bookmarkEnd w:id="90"/>
      <w:bookmarkEnd w:id="91"/>
      <w:bookmarkEnd w:id="92"/>
    </w:p>
    <w:p w14:paraId="2B92CC88" w14:textId="77777777" w:rsidR="000944F2" w:rsidRPr="008F6730" w:rsidRDefault="000944F2" w:rsidP="000944F2">
      <w:pPr>
        <w:pStyle w:val="Text1"/>
        <w:pBdr>
          <w:top w:val="single" w:sz="4" w:space="1" w:color="auto"/>
          <w:left w:val="single" w:sz="4" w:space="4" w:color="auto"/>
          <w:bottom w:val="single" w:sz="4" w:space="1" w:color="auto"/>
          <w:right w:val="single" w:sz="4" w:space="4" w:color="auto"/>
        </w:pBdr>
        <w:rPr>
          <w:noProof/>
        </w:rPr>
      </w:pPr>
      <w:r w:rsidRPr="008F6730">
        <w:rPr>
          <w:noProof/>
        </w:rPr>
        <w:t>Prijedlog uredbe Europskog parlamenta i Vijeća o uspostavljanju europskog okvira za certifikaciju uklanjanja ugljika</w:t>
      </w:r>
    </w:p>
    <w:p w14:paraId="39BD4184" w14:textId="77777777" w:rsidR="000944F2" w:rsidRPr="008F6730" w:rsidRDefault="000944F2" w:rsidP="000944F2">
      <w:pPr>
        <w:pStyle w:val="Text1"/>
        <w:pBdr>
          <w:top w:val="single" w:sz="4" w:space="1" w:color="auto"/>
          <w:left w:val="single" w:sz="4" w:space="4" w:color="auto"/>
          <w:bottom w:val="single" w:sz="4" w:space="1" w:color="auto"/>
          <w:right w:val="single" w:sz="4" w:space="4" w:color="auto"/>
        </w:pBdr>
        <w:rPr>
          <w:noProof/>
        </w:rPr>
      </w:pPr>
    </w:p>
    <w:p w14:paraId="2C874311" w14:textId="5667EAE1" w:rsidR="000944F2" w:rsidRPr="008F6730" w:rsidRDefault="009A61FA" w:rsidP="009A61FA">
      <w:pPr>
        <w:pStyle w:val="ManualHeading2"/>
        <w:rPr>
          <w:noProof/>
        </w:rPr>
      </w:pPr>
      <w:bookmarkStart w:id="93" w:name="_Toc514938011"/>
      <w:bookmarkStart w:id="94" w:name="_Toc520485027"/>
      <w:bookmarkStart w:id="95" w:name="_Toc125124892"/>
      <w:bookmarkStart w:id="96" w:name="_Toc125125350"/>
      <w:bookmarkStart w:id="97" w:name="_Toc125125595"/>
      <w:bookmarkStart w:id="98" w:name="_Toc125125703"/>
      <w:r w:rsidRPr="009A61FA">
        <w:t>1.2.</w:t>
      </w:r>
      <w:r w:rsidRPr="009A61FA">
        <w:tab/>
      </w:r>
      <w:r w:rsidR="000944F2" w:rsidRPr="008F6730">
        <w:rPr>
          <w:noProof/>
        </w:rPr>
        <w:t>Predmetna područja politike</w:t>
      </w:r>
      <w:bookmarkEnd w:id="93"/>
      <w:bookmarkEnd w:id="94"/>
      <w:bookmarkEnd w:id="95"/>
      <w:bookmarkEnd w:id="96"/>
      <w:bookmarkEnd w:id="97"/>
      <w:bookmarkEnd w:id="98"/>
      <w:r w:rsidR="000944F2" w:rsidRPr="008F6730">
        <w:rPr>
          <w:noProof/>
        </w:rPr>
        <w:t xml:space="preserve"> </w:t>
      </w:r>
    </w:p>
    <w:p w14:paraId="5C249C0C" w14:textId="77777777" w:rsidR="000944F2" w:rsidRPr="008F6730" w:rsidRDefault="000944F2" w:rsidP="000944F2">
      <w:pPr>
        <w:pStyle w:val="Text1"/>
        <w:pBdr>
          <w:top w:val="single" w:sz="4" w:space="1" w:color="auto"/>
          <w:left w:val="single" w:sz="4" w:space="4" w:color="auto"/>
          <w:bottom w:val="single" w:sz="4" w:space="1" w:color="auto"/>
          <w:right w:val="single" w:sz="4" w:space="4" w:color="auto"/>
        </w:pBdr>
        <w:rPr>
          <w:noProof/>
        </w:rPr>
      </w:pPr>
      <w:r w:rsidRPr="008F6730">
        <w:rPr>
          <w:noProof/>
        </w:rPr>
        <w:t>Klimatska politika</w:t>
      </w:r>
    </w:p>
    <w:p w14:paraId="03834D08" w14:textId="77777777" w:rsidR="000944F2" w:rsidRPr="008F6730" w:rsidRDefault="000944F2" w:rsidP="000944F2">
      <w:pPr>
        <w:pStyle w:val="Text1"/>
        <w:pBdr>
          <w:top w:val="single" w:sz="4" w:space="1" w:color="auto"/>
          <w:left w:val="single" w:sz="4" w:space="4" w:color="auto"/>
          <w:bottom w:val="single" w:sz="4" w:space="1" w:color="auto"/>
          <w:right w:val="single" w:sz="4" w:space="4" w:color="auto"/>
        </w:pBdr>
        <w:rPr>
          <w:noProof/>
        </w:rPr>
      </w:pPr>
      <w:r w:rsidRPr="008F6730">
        <w:rPr>
          <w:noProof/>
        </w:rPr>
        <w:t>Naslov 3. Prirodni resursi i okoliš, glava 9. Okoliš i klimatska politika (VFO 2021.–2027.)</w:t>
      </w:r>
    </w:p>
    <w:p w14:paraId="5F2EE91F" w14:textId="77777777" w:rsidR="000944F2" w:rsidRPr="008F6730" w:rsidRDefault="000944F2" w:rsidP="000944F2">
      <w:pPr>
        <w:pStyle w:val="Text1"/>
        <w:pBdr>
          <w:top w:val="single" w:sz="4" w:space="1" w:color="auto"/>
          <w:left w:val="single" w:sz="4" w:space="4" w:color="auto"/>
          <w:bottom w:val="single" w:sz="4" w:space="1" w:color="auto"/>
          <w:right w:val="single" w:sz="4" w:space="4" w:color="auto"/>
        </w:pBdr>
        <w:rPr>
          <w:noProof/>
        </w:rPr>
      </w:pPr>
      <w:r w:rsidRPr="008F6730">
        <w:rPr>
          <w:noProof/>
        </w:rPr>
        <w:t xml:space="preserve"> </w:t>
      </w:r>
    </w:p>
    <w:p w14:paraId="25B23377" w14:textId="017A930C" w:rsidR="000944F2" w:rsidRPr="008F6730" w:rsidRDefault="009A61FA" w:rsidP="009A61FA">
      <w:pPr>
        <w:pStyle w:val="ManualHeading2"/>
        <w:rPr>
          <w:noProof/>
        </w:rPr>
      </w:pPr>
      <w:bookmarkStart w:id="99" w:name="_Toc514938014"/>
      <w:bookmarkStart w:id="100" w:name="_Toc520485028"/>
      <w:bookmarkStart w:id="101" w:name="_Toc125124893"/>
      <w:bookmarkStart w:id="102" w:name="_Toc125125351"/>
      <w:bookmarkStart w:id="103" w:name="_Toc125125596"/>
      <w:bookmarkStart w:id="104" w:name="_Toc125125704"/>
      <w:r w:rsidRPr="009A61FA">
        <w:t>1.3.</w:t>
      </w:r>
      <w:r w:rsidRPr="009A61FA">
        <w:tab/>
      </w:r>
      <w:r w:rsidR="000944F2" w:rsidRPr="008F6730">
        <w:rPr>
          <w:noProof/>
        </w:rPr>
        <w:t>Prijedlog/inicijativa odnosi se na:</w:t>
      </w:r>
      <w:bookmarkEnd w:id="99"/>
      <w:bookmarkEnd w:id="100"/>
      <w:bookmarkEnd w:id="101"/>
      <w:bookmarkEnd w:id="102"/>
      <w:bookmarkEnd w:id="103"/>
      <w:bookmarkEnd w:id="104"/>
      <w:r w:rsidR="000944F2" w:rsidRPr="008F6730">
        <w:rPr>
          <w:noProof/>
        </w:rPr>
        <w:t xml:space="preserve"> </w:t>
      </w:r>
    </w:p>
    <w:p w14:paraId="406D109B" w14:textId="77777777" w:rsidR="000944F2" w:rsidRPr="008F6730" w:rsidRDefault="000944F2" w:rsidP="000944F2">
      <w:pPr>
        <w:pStyle w:val="Text1"/>
        <w:rPr>
          <w:b/>
          <w:noProof/>
          <w:sz w:val="22"/>
        </w:rPr>
      </w:pPr>
      <w:r w:rsidRPr="008F6730">
        <w:rPr>
          <w:noProof/>
        </w:rPr>
        <w:t xml:space="preserve">X </w:t>
      </w:r>
      <w:r w:rsidRPr="008F6730">
        <w:rPr>
          <w:b/>
          <w:noProof/>
        </w:rPr>
        <w:t>novo djelovanje</w:t>
      </w:r>
      <w:r w:rsidRPr="008F6730">
        <w:rPr>
          <w:b/>
          <w:noProof/>
          <w:sz w:val="22"/>
        </w:rPr>
        <w:t xml:space="preserve"> </w:t>
      </w:r>
    </w:p>
    <w:p w14:paraId="3322E2E0" w14:textId="77777777" w:rsidR="000944F2" w:rsidRPr="008F6730" w:rsidRDefault="000944F2" w:rsidP="000944F2">
      <w:pPr>
        <w:pStyle w:val="Text1"/>
        <w:rPr>
          <w:noProof/>
          <w:sz w:val="22"/>
        </w:rPr>
      </w:pPr>
      <w:r w:rsidRPr="008F6730">
        <w:rPr>
          <w:rFonts w:ascii="Wingdings" w:hAnsi="Wingdings"/>
          <w:noProof/>
          <w:sz w:val="22"/>
        </w:rPr>
        <w:t></w:t>
      </w:r>
      <w:r w:rsidRPr="008F6730">
        <w:rPr>
          <w:i/>
          <w:noProof/>
          <w:sz w:val="22"/>
        </w:rPr>
        <w:t xml:space="preserve"> </w:t>
      </w:r>
      <w:r w:rsidRPr="008F6730">
        <w:rPr>
          <w:b/>
          <w:noProof/>
        </w:rPr>
        <w:t>novo djelovanje nakon pilot-projekta/pripremnog djelovanja</w:t>
      </w:r>
      <w:r w:rsidRPr="008F6730">
        <w:rPr>
          <w:rStyle w:val="FootnoteReference"/>
          <w:b/>
          <w:noProof/>
        </w:rPr>
        <w:footnoteReference w:id="39"/>
      </w:r>
      <w:r w:rsidRPr="008F6730">
        <w:rPr>
          <w:noProof/>
          <w:sz w:val="22"/>
        </w:rPr>
        <w:t xml:space="preserve"> </w:t>
      </w:r>
    </w:p>
    <w:p w14:paraId="5C6679AC" w14:textId="77777777" w:rsidR="000944F2" w:rsidRPr="008F6730" w:rsidRDefault="000944F2" w:rsidP="000944F2">
      <w:pPr>
        <w:pStyle w:val="Text1"/>
        <w:rPr>
          <w:noProof/>
          <w:sz w:val="22"/>
        </w:rPr>
      </w:pPr>
      <w:r w:rsidRPr="008F6730">
        <w:rPr>
          <w:rFonts w:ascii="Wingdings" w:hAnsi="Wingdings"/>
          <w:noProof/>
          <w:sz w:val="22"/>
        </w:rPr>
        <w:t></w:t>
      </w:r>
      <w:r w:rsidRPr="008F6730">
        <w:rPr>
          <w:i/>
          <w:noProof/>
          <w:sz w:val="22"/>
        </w:rPr>
        <w:t xml:space="preserve"> </w:t>
      </w:r>
      <w:r w:rsidRPr="008F6730">
        <w:rPr>
          <w:b/>
          <w:noProof/>
        </w:rPr>
        <w:t>produženje postojećeg djelovanja</w:t>
      </w:r>
      <w:r w:rsidRPr="008F6730">
        <w:rPr>
          <w:noProof/>
          <w:sz w:val="22"/>
        </w:rPr>
        <w:t xml:space="preserve"> </w:t>
      </w:r>
    </w:p>
    <w:p w14:paraId="6256B491" w14:textId="77777777" w:rsidR="000944F2" w:rsidRPr="008F6730" w:rsidRDefault="000944F2" w:rsidP="000944F2">
      <w:pPr>
        <w:pStyle w:val="Text1"/>
        <w:rPr>
          <w:noProof/>
        </w:rPr>
      </w:pPr>
      <w:r w:rsidRPr="008F6730">
        <w:rPr>
          <w:rFonts w:ascii="Wingdings" w:hAnsi="Wingdings"/>
          <w:noProof/>
          <w:sz w:val="22"/>
        </w:rPr>
        <w:t></w:t>
      </w:r>
      <w:r w:rsidRPr="008F6730">
        <w:rPr>
          <w:i/>
          <w:noProof/>
          <w:sz w:val="22"/>
        </w:rPr>
        <w:t xml:space="preserve"> </w:t>
      </w:r>
      <w:r w:rsidRPr="008F6730">
        <w:rPr>
          <w:b/>
          <w:noProof/>
        </w:rPr>
        <w:t>spajanje ili preusmjeravanje jednog ili više djelovanja u drugo/novo djelovanje</w:t>
      </w:r>
      <w:r w:rsidRPr="008F6730">
        <w:rPr>
          <w:noProof/>
        </w:rPr>
        <w:t xml:space="preserve"> </w:t>
      </w:r>
    </w:p>
    <w:p w14:paraId="335A0CE5" w14:textId="464C8AED" w:rsidR="000944F2" w:rsidRPr="008F6730" w:rsidRDefault="009A61FA" w:rsidP="009A61FA">
      <w:pPr>
        <w:pStyle w:val="ManualHeading2"/>
        <w:rPr>
          <w:noProof/>
        </w:rPr>
      </w:pPr>
      <w:bookmarkStart w:id="105" w:name="_Toc514938015"/>
      <w:bookmarkStart w:id="106" w:name="_Toc520485029"/>
      <w:bookmarkStart w:id="107" w:name="_Toc125124894"/>
      <w:bookmarkStart w:id="108" w:name="_Toc125125352"/>
      <w:bookmarkStart w:id="109" w:name="_Toc125125597"/>
      <w:bookmarkStart w:id="110" w:name="_Toc125125705"/>
      <w:r w:rsidRPr="009A61FA">
        <w:t>1.4.</w:t>
      </w:r>
      <w:r w:rsidRPr="009A61FA">
        <w:tab/>
      </w:r>
      <w:r w:rsidR="000944F2" w:rsidRPr="008F6730">
        <w:rPr>
          <w:noProof/>
        </w:rPr>
        <w:t>Ciljevi</w:t>
      </w:r>
      <w:bookmarkEnd w:id="105"/>
      <w:bookmarkEnd w:id="106"/>
      <w:bookmarkEnd w:id="107"/>
      <w:bookmarkEnd w:id="108"/>
      <w:bookmarkEnd w:id="109"/>
      <w:bookmarkEnd w:id="110"/>
    </w:p>
    <w:p w14:paraId="20AD8E73" w14:textId="25CD0BDB" w:rsidR="000944F2" w:rsidRPr="008F6730" w:rsidRDefault="009A61FA" w:rsidP="009A61FA">
      <w:pPr>
        <w:pStyle w:val="ManualHeading3"/>
        <w:rPr>
          <w:noProof/>
        </w:rPr>
      </w:pPr>
      <w:bookmarkStart w:id="111" w:name="_Toc514938016"/>
      <w:bookmarkStart w:id="112" w:name="_Toc520485030"/>
      <w:bookmarkStart w:id="113" w:name="_Toc125124895"/>
      <w:bookmarkStart w:id="114" w:name="_Toc125125353"/>
      <w:bookmarkStart w:id="115" w:name="_Toc125125598"/>
      <w:bookmarkStart w:id="116" w:name="_Toc125125706"/>
      <w:r w:rsidRPr="009A61FA">
        <w:t>1.4.1.</w:t>
      </w:r>
      <w:r w:rsidRPr="009A61FA">
        <w:tab/>
      </w:r>
      <w:r w:rsidR="000944F2" w:rsidRPr="008F6730">
        <w:rPr>
          <w:noProof/>
        </w:rPr>
        <w:t>Opći cilj</w:t>
      </w:r>
      <w:bookmarkEnd w:id="111"/>
      <w:bookmarkEnd w:id="112"/>
      <w:bookmarkEnd w:id="113"/>
      <w:bookmarkEnd w:id="114"/>
      <w:bookmarkEnd w:id="115"/>
      <w:bookmarkEnd w:id="116"/>
    </w:p>
    <w:p w14:paraId="3D3EA2C6" w14:textId="77777777" w:rsidR="000944F2" w:rsidRPr="008F6730" w:rsidRDefault="000944F2" w:rsidP="000944F2">
      <w:pPr>
        <w:pStyle w:val="Text1"/>
        <w:pBdr>
          <w:top w:val="single" w:sz="4" w:space="1" w:color="auto"/>
          <w:left w:val="single" w:sz="4" w:space="4" w:color="auto"/>
          <w:bottom w:val="single" w:sz="4" w:space="1" w:color="auto"/>
          <w:right w:val="single" w:sz="4" w:space="4" w:color="auto"/>
        </w:pBdr>
        <w:rPr>
          <w:noProof/>
        </w:rPr>
      </w:pPr>
      <w:r w:rsidRPr="008F6730">
        <w:rPr>
          <w:noProof/>
          <w:sz w:val="23"/>
        </w:rPr>
        <w:t xml:space="preserve">Opći je cilj predložene uredbe o certificiranju uklanjanja ugljika </w:t>
      </w:r>
      <w:r w:rsidRPr="008F6730">
        <w:rPr>
          <w:noProof/>
        </w:rPr>
        <w:t xml:space="preserve">promicati visokokvalitetna uklanjanja ugljika kao potporu postizanju cilja klimatske neutralnosti do 2050. utvrđenog u Europskom zakonu o klimi i drugih okolišnih ciljeva iz europskog zelenog plana. </w:t>
      </w:r>
    </w:p>
    <w:p w14:paraId="26F76D55" w14:textId="3EAD9F82" w:rsidR="000944F2" w:rsidRPr="008F6730" w:rsidRDefault="009A61FA" w:rsidP="009A61FA">
      <w:pPr>
        <w:pStyle w:val="ManualHeading3"/>
        <w:rPr>
          <w:noProof/>
        </w:rPr>
      </w:pPr>
      <w:r w:rsidRPr="009A61FA">
        <w:t>1.4.2.</w:t>
      </w:r>
      <w:r w:rsidRPr="009A61FA">
        <w:tab/>
      </w:r>
      <w:r w:rsidR="000944F2" w:rsidRPr="008F6730">
        <w:rPr>
          <w:noProof/>
        </w:rPr>
        <w:t xml:space="preserve"> </w:t>
      </w:r>
      <w:bookmarkStart w:id="117" w:name="_Toc514938018"/>
      <w:bookmarkStart w:id="118" w:name="_Toc520485031"/>
      <w:bookmarkStart w:id="119" w:name="_Toc125124896"/>
      <w:bookmarkStart w:id="120" w:name="_Toc125125354"/>
      <w:bookmarkStart w:id="121" w:name="_Toc125125599"/>
      <w:bookmarkStart w:id="122" w:name="_Toc125125707"/>
      <w:r w:rsidR="000944F2" w:rsidRPr="008F6730">
        <w:rPr>
          <w:noProof/>
        </w:rPr>
        <w:t>Posebni ciljevi</w:t>
      </w:r>
      <w:bookmarkEnd w:id="117"/>
      <w:bookmarkEnd w:id="118"/>
      <w:bookmarkEnd w:id="119"/>
      <w:bookmarkEnd w:id="120"/>
      <w:bookmarkEnd w:id="121"/>
      <w:bookmarkEnd w:id="122"/>
    </w:p>
    <w:p w14:paraId="7D2A22D4" w14:textId="77777777" w:rsidR="000944F2" w:rsidRPr="008F6730" w:rsidRDefault="000944F2" w:rsidP="000944F2">
      <w:pPr>
        <w:pStyle w:val="Text1"/>
        <w:pBdr>
          <w:top w:val="single" w:sz="4" w:space="1" w:color="auto"/>
          <w:left w:val="single" w:sz="4" w:space="4" w:color="auto"/>
          <w:bottom w:val="single" w:sz="4" w:space="1" w:color="auto"/>
          <w:right w:val="single" w:sz="4" w:space="4" w:color="auto"/>
        </w:pBdr>
        <w:rPr>
          <w:noProof/>
        </w:rPr>
      </w:pPr>
      <w:r w:rsidRPr="008F6730">
        <w:rPr>
          <w:noProof/>
        </w:rPr>
        <w:t xml:space="preserve">Posebni ciljevi predložene uredbe o certificiranju uklanjanja ugljika uključuju: </w:t>
      </w:r>
    </w:p>
    <w:p w14:paraId="54870DC2" w14:textId="77777777" w:rsidR="000944F2" w:rsidRPr="008F6730" w:rsidRDefault="000944F2" w:rsidP="000944F2">
      <w:pPr>
        <w:pStyle w:val="Text1"/>
        <w:pBdr>
          <w:top w:val="single" w:sz="4" w:space="1" w:color="auto"/>
          <w:left w:val="single" w:sz="4" w:space="4" w:color="auto"/>
          <w:bottom w:val="single" w:sz="4" w:space="1" w:color="auto"/>
          <w:right w:val="single" w:sz="4" w:space="4" w:color="auto"/>
        </w:pBdr>
        <w:rPr>
          <w:noProof/>
        </w:rPr>
      </w:pPr>
      <w:r w:rsidRPr="008F6730">
        <w:rPr>
          <w:noProof/>
        </w:rPr>
        <w:t xml:space="preserve">1. utvrđivanje četiriju kriterija kvalitete (obuhvaćenih pokratom </w:t>
      </w:r>
      <w:r w:rsidRPr="008F6730">
        <w:rPr>
          <w:b/>
          <w:noProof/>
        </w:rPr>
        <w:t>QU.A.L.ITY</w:t>
      </w:r>
      <w:r w:rsidRPr="008F6730">
        <w:rPr>
          <w:noProof/>
        </w:rPr>
        <w:t xml:space="preserve">): kvantifikacije (eng. </w:t>
      </w:r>
      <w:r w:rsidRPr="008F6730">
        <w:rPr>
          <w:b/>
          <w:i/>
          <w:iCs/>
          <w:noProof/>
        </w:rPr>
        <w:t>QU</w:t>
      </w:r>
      <w:r w:rsidRPr="008F6730">
        <w:rPr>
          <w:i/>
          <w:iCs/>
          <w:noProof/>
        </w:rPr>
        <w:t>antification</w:t>
      </w:r>
      <w:r w:rsidRPr="008F6730">
        <w:rPr>
          <w:noProof/>
        </w:rPr>
        <w:t xml:space="preserve">), dodatnosti i polaznih vrijednosti (eng. </w:t>
      </w:r>
      <w:r w:rsidRPr="008F6730">
        <w:rPr>
          <w:b/>
          <w:i/>
          <w:iCs/>
          <w:noProof/>
        </w:rPr>
        <w:t>A</w:t>
      </w:r>
      <w:r w:rsidRPr="008F6730">
        <w:rPr>
          <w:i/>
          <w:iCs/>
          <w:noProof/>
        </w:rPr>
        <w:t>dditionality</w:t>
      </w:r>
      <w:r w:rsidRPr="008F6730">
        <w:rPr>
          <w:noProof/>
        </w:rPr>
        <w:t xml:space="preserve">), dugoročnog skladištenja (eng. </w:t>
      </w:r>
      <w:r w:rsidRPr="008F6730">
        <w:rPr>
          <w:b/>
          <w:i/>
          <w:iCs/>
          <w:noProof/>
        </w:rPr>
        <w:t>L</w:t>
      </w:r>
      <w:r w:rsidRPr="008F6730">
        <w:rPr>
          <w:i/>
          <w:iCs/>
          <w:noProof/>
        </w:rPr>
        <w:t>ong-term storage</w:t>
      </w:r>
      <w:r w:rsidRPr="008F6730">
        <w:rPr>
          <w:noProof/>
        </w:rPr>
        <w:t xml:space="preserve">) i održivosti (eng. </w:t>
      </w:r>
      <w:r w:rsidRPr="008F6730">
        <w:rPr>
          <w:i/>
          <w:iCs/>
          <w:noProof/>
        </w:rPr>
        <w:t>sustainabil</w:t>
      </w:r>
      <w:r w:rsidRPr="008F6730">
        <w:rPr>
          <w:b/>
          <w:i/>
          <w:iCs/>
          <w:noProof/>
        </w:rPr>
        <w:t>ITY</w:t>
      </w:r>
      <w:r w:rsidRPr="008F6730">
        <w:rPr>
          <w:noProof/>
        </w:rPr>
        <w:t>) za utvrđivanje i certificiranje visokokvalitetnih uklanjanja ugljika ostvarenih u EU-u;</w:t>
      </w:r>
    </w:p>
    <w:p w14:paraId="5C27B74C" w14:textId="77777777" w:rsidR="000944F2" w:rsidRPr="008F6730" w:rsidRDefault="000944F2" w:rsidP="000944F2">
      <w:pPr>
        <w:pStyle w:val="Text1"/>
        <w:pBdr>
          <w:top w:val="single" w:sz="4" w:space="1" w:color="auto"/>
          <w:left w:val="single" w:sz="4" w:space="4" w:color="auto"/>
          <w:bottom w:val="single" w:sz="4" w:space="1" w:color="auto"/>
          <w:right w:val="single" w:sz="4" w:space="4" w:color="auto"/>
        </w:pBdr>
        <w:rPr>
          <w:noProof/>
        </w:rPr>
      </w:pPr>
      <w:r w:rsidRPr="008F6730">
        <w:rPr>
          <w:noProof/>
        </w:rPr>
        <w:t>2. razvoj metodologija certificiranja prilagođenih svakoj vrsti aktivnosti uklanjanja ugljika kako bi se promicala usklađena i ispravna provedba kriterija QU.A.L.ITY;</w:t>
      </w:r>
    </w:p>
    <w:p w14:paraId="7AAFC70E" w14:textId="77777777" w:rsidR="000944F2" w:rsidRPr="008F6730" w:rsidRDefault="000944F2" w:rsidP="000944F2">
      <w:pPr>
        <w:pStyle w:val="Text1"/>
        <w:pBdr>
          <w:top w:val="single" w:sz="4" w:space="1" w:color="auto"/>
          <w:left w:val="single" w:sz="4" w:space="4" w:color="auto"/>
          <w:bottom w:val="single" w:sz="4" w:space="1" w:color="auto"/>
          <w:right w:val="single" w:sz="4" w:space="4" w:color="auto"/>
        </w:pBdr>
        <w:rPr>
          <w:noProof/>
        </w:rPr>
      </w:pPr>
      <w:r w:rsidRPr="008F6730">
        <w:rPr>
          <w:noProof/>
        </w:rPr>
        <w:t>3. povećanje povjerenja javnosti u uklanjanja ugljika tako što će se osigurati transparentnost i pouzdanost postupka certificiranja, uključujući programe certificiranja koje priznaje Komisija i javne registre uklanjanja ugljika.</w:t>
      </w:r>
    </w:p>
    <w:p w14:paraId="44746C3B" w14:textId="77777777" w:rsidR="000944F2" w:rsidRPr="008F6730" w:rsidRDefault="000944F2" w:rsidP="000944F2">
      <w:pPr>
        <w:pStyle w:val="Text1"/>
        <w:pBdr>
          <w:top w:val="single" w:sz="4" w:space="1" w:color="auto"/>
          <w:left w:val="single" w:sz="4" w:space="4" w:color="auto"/>
          <w:bottom w:val="single" w:sz="4" w:space="1" w:color="auto"/>
          <w:right w:val="single" w:sz="4" w:space="4" w:color="auto"/>
        </w:pBdr>
        <w:rPr>
          <w:noProof/>
        </w:rPr>
      </w:pPr>
    </w:p>
    <w:p w14:paraId="4168EEEC" w14:textId="24F3F93F" w:rsidR="000944F2" w:rsidRPr="008F6730" w:rsidRDefault="009A61FA" w:rsidP="009A61FA">
      <w:pPr>
        <w:pStyle w:val="ManualHeading3"/>
        <w:rPr>
          <w:noProof/>
        </w:rPr>
      </w:pPr>
      <w:bookmarkStart w:id="123" w:name="_Toc514938019"/>
      <w:bookmarkStart w:id="124" w:name="_Toc520485032"/>
      <w:bookmarkStart w:id="125" w:name="_Toc125124897"/>
      <w:bookmarkStart w:id="126" w:name="_Toc125125355"/>
      <w:bookmarkStart w:id="127" w:name="_Toc125125600"/>
      <w:bookmarkStart w:id="128" w:name="_Toc125125708"/>
      <w:r w:rsidRPr="009A61FA">
        <w:t>1.4.3.</w:t>
      </w:r>
      <w:r w:rsidRPr="009A61FA">
        <w:tab/>
      </w:r>
      <w:r w:rsidR="000944F2" w:rsidRPr="008F6730">
        <w:rPr>
          <w:noProof/>
        </w:rPr>
        <w:t>Očekivani rezultati i učinak</w:t>
      </w:r>
      <w:bookmarkEnd w:id="123"/>
      <w:bookmarkEnd w:id="124"/>
      <w:bookmarkEnd w:id="125"/>
      <w:bookmarkEnd w:id="126"/>
      <w:bookmarkEnd w:id="127"/>
      <w:bookmarkEnd w:id="128"/>
    </w:p>
    <w:p w14:paraId="71A2A541" w14:textId="77777777" w:rsidR="000944F2" w:rsidRPr="008F6730" w:rsidRDefault="000944F2" w:rsidP="000944F2">
      <w:pPr>
        <w:pStyle w:val="Text1"/>
        <w:rPr>
          <w:i/>
          <w:noProof/>
          <w:sz w:val="20"/>
        </w:rPr>
      </w:pPr>
      <w:r w:rsidRPr="008F6730">
        <w:rPr>
          <w:i/>
          <w:noProof/>
          <w:sz w:val="20"/>
        </w:rPr>
        <w:t>Navesti očekivane učinke prijedloga/inicijative na ciljane korisnike/skupine.</w:t>
      </w:r>
    </w:p>
    <w:p w14:paraId="07AAA06F" w14:textId="77777777" w:rsidR="000944F2" w:rsidRPr="008F6730" w:rsidRDefault="000944F2" w:rsidP="000944F2">
      <w:pPr>
        <w:pStyle w:val="Text1"/>
        <w:pBdr>
          <w:top w:val="single" w:sz="4" w:space="1" w:color="auto"/>
          <w:left w:val="single" w:sz="4" w:space="4" w:color="auto"/>
          <w:bottom w:val="single" w:sz="4" w:space="1" w:color="auto"/>
          <w:right w:val="single" w:sz="4" w:space="4" w:color="auto"/>
        </w:pBdr>
        <w:rPr>
          <w:noProof/>
        </w:rPr>
      </w:pPr>
      <w:r w:rsidRPr="008F6730">
        <w:rPr>
          <w:noProof/>
        </w:rPr>
        <w:t xml:space="preserve">Najvažniji učinak donošenja predložene uredbe bit će povećanje provedbe aktivnosti uklanjanja ugljika kojima će se ostvarivati visokokvalitetna uklanjanja ugljika i tako doprinositi Unijinu cilju da postigne klimatsku neutralnost do 2050. Predložena uredba utječe na gospodarske subjekte kao što su poljoprivrednici i šumari, ali i industrijska poduzeća koja će razvijati aktivnosti uklanjanja ugljika na terenu te na privatne organizacije i tijela država članica, koji mogu razviti privatne ili javne programe certificiranja za provedbu i kontrolu postupka certificiranja. Općenito, predložena uredba utječe na sve građane Europe i svijeta jer je djelovanje u području klime javno dobro prekogranične prirode. </w:t>
      </w:r>
    </w:p>
    <w:p w14:paraId="37D97281" w14:textId="77777777" w:rsidR="000944F2" w:rsidRPr="008F6730" w:rsidRDefault="000944F2" w:rsidP="000944F2">
      <w:pPr>
        <w:pStyle w:val="Text1"/>
        <w:pBdr>
          <w:top w:val="single" w:sz="4" w:space="1" w:color="auto"/>
          <w:left w:val="single" w:sz="4" w:space="4" w:color="auto"/>
          <w:bottom w:val="single" w:sz="4" w:space="1" w:color="auto"/>
          <w:right w:val="single" w:sz="4" w:space="4" w:color="auto"/>
        </w:pBdr>
        <w:rPr>
          <w:noProof/>
        </w:rPr>
      </w:pPr>
    </w:p>
    <w:p w14:paraId="2C0A90D6" w14:textId="3B1EBAE0" w:rsidR="000944F2" w:rsidRPr="008F6730" w:rsidRDefault="009A61FA" w:rsidP="009A61FA">
      <w:pPr>
        <w:pStyle w:val="ManualHeading3"/>
        <w:rPr>
          <w:noProof/>
        </w:rPr>
      </w:pPr>
      <w:bookmarkStart w:id="129" w:name="_Toc514938023"/>
      <w:bookmarkStart w:id="130" w:name="_Toc520485033"/>
      <w:bookmarkStart w:id="131" w:name="_Toc125124898"/>
      <w:bookmarkStart w:id="132" w:name="_Toc125125356"/>
      <w:bookmarkStart w:id="133" w:name="_Toc125125601"/>
      <w:bookmarkStart w:id="134" w:name="_Toc125125709"/>
      <w:r w:rsidRPr="009A61FA">
        <w:t>1.4.4.</w:t>
      </w:r>
      <w:r w:rsidRPr="009A61FA">
        <w:tab/>
      </w:r>
      <w:r w:rsidR="000944F2" w:rsidRPr="008F6730">
        <w:rPr>
          <w:noProof/>
        </w:rPr>
        <w:t>Pokazatelji uspješnosti</w:t>
      </w:r>
      <w:bookmarkEnd w:id="129"/>
      <w:bookmarkEnd w:id="130"/>
      <w:bookmarkEnd w:id="131"/>
      <w:bookmarkEnd w:id="132"/>
      <w:bookmarkEnd w:id="133"/>
      <w:bookmarkEnd w:id="134"/>
    </w:p>
    <w:p w14:paraId="2C6330A5" w14:textId="77777777" w:rsidR="000944F2" w:rsidRPr="008F6730" w:rsidRDefault="000944F2" w:rsidP="000944F2">
      <w:pPr>
        <w:pStyle w:val="Text1"/>
        <w:rPr>
          <w:i/>
          <w:noProof/>
          <w:sz w:val="20"/>
        </w:rPr>
      </w:pPr>
      <w:r w:rsidRPr="008F6730">
        <w:rPr>
          <w:i/>
          <w:noProof/>
          <w:sz w:val="20"/>
        </w:rPr>
        <w:t>Navesti pokazatelje za praćenje napretka i postignuća.</w:t>
      </w:r>
    </w:p>
    <w:p w14:paraId="744DE7AE" w14:textId="77777777" w:rsidR="000944F2" w:rsidRPr="008F6730" w:rsidRDefault="000944F2" w:rsidP="000944F2">
      <w:pPr>
        <w:pStyle w:val="Text1"/>
        <w:pBdr>
          <w:top w:val="single" w:sz="4" w:space="1" w:color="auto"/>
          <w:left w:val="single" w:sz="4" w:space="4" w:color="auto"/>
          <w:bottom w:val="single" w:sz="4" w:space="1" w:color="auto"/>
          <w:right w:val="single" w:sz="4" w:space="4" w:color="auto"/>
        </w:pBdr>
        <w:rPr>
          <w:noProof/>
          <w:sz w:val="28"/>
        </w:rPr>
      </w:pPr>
      <w:r w:rsidRPr="008F6730">
        <w:rPr>
          <w:noProof/>
        </w:rPr>
        <w:t>Pokazatelj 1.: broj aktivnosti uklanjanja ugljika kojima se ostvaruju visokokvalitetna uklanjanja ugljika certificirana putem EU-ova okvira za certifikaciju, čime se doprinosi cilju klimatske neutralnosti do 2050.</w:t>
      </w:r>
    </w:p>
    <w:p w14:paraId="6BBDF1D3" w14:textId="77777777" w:rsidR="000944F2" w:rsidRPr="008F6730" w:rsidRDefault="000944F2" w:rsidP="000944F2">
      <w:pPr>
        <w:pStyle w:val="Text1"/>
        <w:pBdr>
          <w:top w:val="single" w:sz="4" w:space="1" w:color="auto"/>
          <w:left w:val="single" w:sz="4" w:space="4" w:color="auto"/>
          <w:bottom w:val="single" w:sz="4" w:space="1" w:color="auto"/>
          <w:right w:val="single" w:sz="4" w:space="4" w:color="auto"/>
        </w:pBdr>
        <w:rPr>
          <w:noProof/>
          <w:szCs w:val="23"/>
        </w:rPr>
      </w:pPr>
      <w:r w:rsidRPr="008F6730">
        <w:rPr>
          <w:noProof/>
        </w:rPr>
        <w:t>Pokazatelj 2.: broj detaljnih metodologija certificiranja za aktivnosti uklanjanja ugljika, posebno za sekvestraciju ugljika u poljoprivredi, koje je razvila Komisija.</w:t>
      </w:r>
    </w:p>
    <w:p w14:paraId="70F30FFB" w14:textId="77777777" w:rsidR="000944F2" w:rsidRPr="008F6730" w:rsidRDefault="000944F2" w:rsidP="000944F2">
      <w:pPr>
        <w:pStyle w:val="Text1"/>
        <w:pBdr>
          <w:top w:val="single" w:sz="4" w:space="1" w:color="auto"/>
          <w:left w:val="single" w:sz="4" w:space="4" w:color="auto"/>
          <w:bottom w:val="single" w:sz="4" w:space="1" w:color="auto"/>
          <w:right w:val="single" w:sz="4" w:space="4" w:color="auto"/>
        </w:pBdr>
        <w:rPr>
          <w:noProof/>
          <w:sz w:val="28"/>
        </w:rPr>
      </w:pPr>
      <w:r w:rsidRPr="008F6730">
        <w:rPr>
          <w:noProof/>
        </w:rPr>
        <w:t>Pokazatelj 3.: broj programa certificiranja koje priznaje Komisija i putem kojih operateri dokazuju usklađenost s EU-ovim kriterijima kvalitete za uklanjanja ugljika.</w:t>
      </w:r>
    </w:p>
    <w:p w14:paraId="37B8F26A" w14:textId="77777777" w:rsidR="000944F2" w:rsidRPr="008F6730" w:rsidRDefault="000944F2" w:rsidP="000944F2">
      <w:pPr>
        <w:pStyle w:val="Text1"/>
        <w:pBdr>
          <w:top w:val="single" w:sz="4" w:space="1" w:color="auto"/>
          <w:left w:val="single" w:sz="4" w:space="4" w:color="auto"/>
          <w:bottom w:val="single" w:sz="4" w:space="1" w:color="auto"/>
          <w:right w:val="single" w:sz="4" w:space="4" w:color="auto"/>
        </w:pBdr>
        <w:rPr>
          <w:noProof/>
          <w:sz w:val="28"/>
        </w:rPr>
      </w:pPr>
    </w:p>
    <w:p w14:paraId="4D38AB71" w14:textId="0576D6E5" w:rsidR="000944F2" w:rsidRPr="008F6730" w:rsidRDefault="009A61FA" w:rsidP="009A61FA">
      <w:pPr>
        <w:pStyle w:val="ManualHeading2"/>
        <w:rPr>
          <w:noProof/>
        </w:rPr>
      </w:pPr>
      <w:bookmarkStart w:id="135" w:name="_Toc514938025"/>
      <w:bookmarkStart w:id="136" w:name="_Toc520485034"/>
      <w:bookmarkStart w:id="137" w:name="_Toc125124899"/>
      <w:bookmarkStart w:id="138" w:name="_Toc125125357"/>
      <w:bookmarkStart w:id="139" w:name="_Toc125125602"/>
      <w:bookmarkStart w:id="140" w:name="_Toc125125710"/>
      <w:r w:rsidRPr="009A61FA">
        <w:t>1.5.</w:t>
      </w:r>
      <w:r w:rsidRPr="009A61FA">
        <w:tab/>
      </w:r>
      <w:r w:rsidR="000944F2" w:rsidRPr="008F6730">
        <w:rPr>
          <w:noProof/>
        </w:rPr>
        <w:t>Osnova prijedloga/inicijative</w:t>
      </w:r>
      <w:bookmarkEnd w:id="135"/>
      <w:bookmarkEnd w:id="136"/>
      <w:bookmarkEnd w:id="137"/>
      <w:bookmarkEnd w:id="138"/>
      <w:bookmarkEnd w:id="139"/>
      <w:bookmarkEnd w:id="140"/>
      <w:r w:rsidR="000944F2" w:rsidRPr="008F6730">
        <w:rPr>
          <w:noProof/>
        </w:rPr>
        <w:t xml:space="preserve"> </w:t>
      </w:r>
    </w:p>
    <w:p w14:paraId="1215ED36" w14:textId="26221B1C" w:rsidR="000944F2" w:rsidRPr="008F6730" w:rsidRDefault="009A61FA" w:rsidP="009A61FA">
      <w:pPr>
        <w:pStyle w:val="ManualHeading3"/>
        <w:rPr>
          <w:noProof/>
        </w:rPr>
      </w:pPr>
      <w:bookmarkStart w:id="141" w:name="_Toc514938026"/>
      <w:bookmarkStart w:id="142" w:name="_Toc520485035"/>
      <w:bookmarkStart w:id="143" w:name="_Toc125124900"/>
      <w:bookmarkStart w:id="144" w:name="_Toc125125358"/>
      <w:bookmarkStart w:id="145" w:name="_Toc125125603"/>
      <w:bookmarkStart w:id="146" w:name="_Toc125125711"/>
      <w:r w:rsidRPr="009A61FA">
        <w:t>1.5.1.</w:t>
      </w:r>
      <w:r w:rsidRPr="009A61FA">
        <w:tab/>
      </w:r>
      <w:r w:rsidR="000944F2" w:rsidRPr="008F6730">
        <w:rPr>
          <w:noProof/>
        </w:rPr>
        <w:t>Zahtjevi koje treba ispuniti u kratkoročnom ili dugoročnom razdoblju, uključujući detaljan vremenski plan provedbe inicijative</w:t>
      </w:r>
      <w:bookmarkEnd w:id="141"/>
      <w:bookmarkEnd w:id="142"/>
      <w:bookmarkEnd w:id="143"/>
      <w:bookmarkEnd w:id="144"/>
      <w:bookmarkEnd w:id="145"/>
      <w:bookmarkEnd w:id="146"/>
    </w:p>
    <w:p w14:paraId="6E39FE51" w14:textId="77777777" w:rsidR="000944F2" w:rsidRPr="008F6730" w:rsidRDefault="000944F2" w:rsidP="000944F2">
      <w:pPr>
        <w:pStyle w:val="Text1"/>
        <w:pBdr>
          <w:top w:val="single" w:sz="4" w:space="1" w:color="auto"/>
          <w:left w:val="single" w:sz="4" w:space="4" w:color="auto"/>
          <w:bottom w:val="single" w:sz="4" w:space="1" w:color="auto"/>
          <w:right w:val="single" w:sz="4" w:space="4" w:color="auto"/>
        </w:pBdr>
        <w:rPr>
          <w:rStyle w:val="markedcontent"/>
          <w:noProof/>
          <w:szCs w:val="24"/>
        </w:rPr>
      </w:pPr>
      <w:r w:rsidRPr="008F6730">
        <w:rPr>
          <w:rStyle w:val="markedcontent"/>
          <w:noProof/>
        </w:rPr>
        <w:t xml:space="preserve">EU je 2021. Uredbom (EU) 2021/1119 (Europski zakon o klimi) povećao svoje klimatske ambicije. Tim se zakonom utvrđuju obvezujući cilj ukupnog smanjenja neto emisija stakleničkih plinova do 2030. za barem 55 % u odnosu na razine iz 1990. te cilj klimatske neutralnosti do 2050. </w:t>
      </w:r>
      <w:r w:rsidRPr="008F6730">
        <w:rPr>
          <w:noProof/>
        </w:rPr>
        <w:t>U akcijskom planu za kružno gospodarstvo iz ožujka 2020. najavljeno je da će Komisija razviti djelotvoran regulatorni okvir za certificiranje uklanjanja ugljika kako bi se potaknulo uklanjanje ugljika i povećala kružnost ugljika, uz potpuno poštovanje ciljeva bioraznolikosti</w:t>
      </w:r>
      <w:r w:rsidRPr="008F6730">
        <w:rPr>
          <w:rStyle w:val="Hyperlink1"/>
          <w:rFonts w:eastAsiaTheme="minorHAnsi"/>
          <w:noProof/>
        </w:rPr>
        <w:t>. Ovim se prijedlogom ispunjava navedena obveza politike.</w:t>
      </w:r>
    </w:p>
    <w:p w14:paraId="41DE5120" w14:textId="77777777" w:rsidR="000944F2" w:rsidRPr="008F6730" w:rsidRDefault="000944F2" w:rsidP="000944F2">
      <w:pPr>
        <w:pStyle w:val="Text1"/>
        <w:pBdr>
          <w:top w:val="single" w:sz="4" w:space="1" w:color="auto"/>
          <w:left w:val="single" w:sz="4" w:space="4" w:color="auto"/>
          <w:bottom w:val="single" w:sz="4" w:space="1" w:color="auto"/>
          <w:right w:val="single" w:sz="4" w:space="4" w:color="auto"/>
        </w:pBdr>
        <w:rPr>
          <w:rFonts w:eastAsia="Arial Unicode MS"/>
          <w:noProof/>
          <w:color w:val="000000"/>
          <w:szCs w:val="24"/>
          <w:u w:color="000000"/>
          <w:bdr w:val="nil"/>
          <w14:textOutline w14:w="12700" w14:cap="flat" w14:cmpd="sng" w14:algn="ctr">
            <w14:noFill/>
            <w14:prstDash w14:val="solid"/>
            <w14:miter w14:lim="400000"/>
          </w14:textOutline>
        </w:rPr>
      </w:pPr>
      <w:r w:rsidRPr="008F6730">
        <w:rPr>
          <w:noProof/>
          <w:color w:val="000000"/>
          <w:u w:color="000000"/>
          <w:bdr w:val="nil"/>
          <w14:textOutline w14:w="12700" w14:cap="flat" w14:cmpd="sng" w14:algn="ctr">
            <w14:noFill/>
            <w14:prstDash w14:val="solid"/>
            <w14:miter w14:lim="400000"/>
          </w14:textOutline>
        </w:rPr>
        <w:t xml:space="preserve">Početna faza (2024.–2025.): nakon stupanja uredbe na snagu (pretpostavlja se 2024.) Komisija će u bliskoj suradnji s relevantnom stručnom skupinom pripremiti barem tri delegirana akta u kojima će se utvrditi metodologije certificiranja za aktivnosti uklanjanja ugljika u području trajnog skladištenja, proizvoda za skladištenje ugljika i sekvestracije ugljika u poljoprivredi. Te će metodologije trebati redovito ažurirati. Osim toga, Komisija će za odobrenje relevantnog odbora morati pripremiti dva provedbena akta u kojima se utvrđuju pravila na temelju kojih će se provoditi programi certificiranja i na temelju kojih će Komisija ocjenjivati i priznavati te programe te pravila za uspostavu i rad javnih registara uklanjanja ugljika. </w:t>
      </w:r>
    </w:p>
    <w:p w14:paraId="08DB2174" w14:textId="77777777" w:rsidR="000944F2" w:rsidRPr="008F6730" w:rsidRDefault="000944F2" w:rsidP="000944F2">
      <w:pPr>
        <w:pStyle w:val="Text1"/>
        <w:pBdr>
          <w:top w:val="single" w:sz="4" w:space="1" w:color="auto"/>
          <w:left w:val="single" w:sz="4" w:space="4" w:color="auto"/>
          <w:bottom w:val="single" w:sz="4" w:space="1" w:color="auto"/>
          <w:right w:val="single" w:sz="4" w:space="4" w:color="auto"/>
        </w:pBdr>
        <w:rPr>
          <w:noProof/>
        </w:rPr>
      </w:pPr>
      <w:r w:rsidRPr="008F6730">
        <w:rPr>
          <w:noProof/>
          <w:color w:val="000000"/>
          <w:u w:color="000000"/>
          <w:bdr w:val="nil"/>
          <w14:textOutline w14:w="12700" w14:cap="flat" w14:cmpd="sng" w14:algn="ctr">
            <w14:noFill/>
            <w14:prstDash w14:val="solid"/>
            <w14:miter w14:lim="400000"/>
          </w14:textOutline>
        </w:rPr>
        <w:t xml:space="preserve">Faza potpune operativnosti (2025. i kasnije): </w:t>
      </w:r>
      <w:r w:rsidRPr="008F6730">
        <w:rPr>
          <w:noProof/>
          <w:u w:color="000000"/>
          <w:bdr w:val="nil"/>
          <w14:textOutline w14:w="12700" w14:cap="flat" w14:cmpd="sng" w14:algn="ctr">
            <w14:noFill/>
            <w14:prstDash w14:val="solid"/>
            <w14:miter w14:lim="400000"/>
          </w14:textOutline>
        </w:rPr>
        <w:t>u bliskoj suradnji s dionicima i relevantnim regulatornim odborom Komisija će posebnim odlukama Komisije provesti procjenu niza programa certificiranja i priznati one koji su u skladu s regulatornim okvirom EU-a.</w:t>
      </w:r>
      <w:r w:rsidRPr="008F6730">
        <w:rPr>
          <w:noProof/>
        </w:rPr>
        <w:t xml:space="preserve"> Osim toga, Komisija će morati izraditi politiku uklanjanja ugljika za razdoblje nakon 2030. </w:t>
      </w:r>
    </w:p>
    <w:p w14:paraId="599F1709" w14:textId="1C2DDA72" w:rsidR="000944F2" w:rsidRPr="008F6730" w:rsidRDefault="009A61FA" w:rsidP="009A61FA">
      <w:pPr>
        <w:pStyle w:val="ManualHeading3"/>
        <w:rPr>
          <w:noProof/>
        </w:rPr>
      </w:pPr>
      <w:bookmarkStart w:id="147" w:name="_Toc514938029"/>
      <w:bookmarkStart w:id="148" w:name="_Toc520485036"/>
      <w:bookmarkStart w:id="149" w:name="_Toc125124901"/>
      <w:bookmarkStart w:id="150" w:name="_Toc125125359"/>
      <w:bookmarkStart w:id="151" w:name="_Toc125125604"/>
      <w:bookmarkStart w:id="152" w:name="_Toc125125712"/>
      <w:r w:rsidRPr="009A61FA">
        <w:t>1.5.2.</w:t>
      </w:r>
      <w:r w:rsidRPr="009A61FA">
        <w:tab/>
      </w:r>
      <w:r w:rsidR="000944F2" w:rsidRPr="008F6730">
        <w:rPr>
          <w:noProof/>
        </w:rPr>
        <w:t>Dodana vrijednost sudjelovanja Unije (može proizlaziti iz različitih čimbenika, npr. prednosti koordinacije, pravne sigurnosti, veće djelotvornosti ili komplementarnosti). Za potrebe ove točke „dodana vrijednost sudjelovanja Unije” vrijednost je koja proizlazi iz intervencije Unije i predstavlja dodatnu vrijednost u odnosu na vrijednost koju bi države članice inače ostvarile same.</w:t>
      </w:r>
      <w:bookmarkEnd w:id="147"/>
      <w:bookmarkEnd w:id="148"/>
      <w:bookmarkEnd w:id="149"/>
      <w:bookmarkEnd w:id="150"/>
      <w:bookmarkEnd w:id="151"/>
      <w:bookmarkEnd w:id="152"/>
    </w:p>
    <w:p w14:paraId="4743A171" w14:textId="77777777" w:rsidR="000944F2" w:rsidRPr="008F6730" w:rsidRDefault="000944F2" w:rsidP="000944F2">
      <w:pPr>
        <w:pStyle w:val="Text1"/>
        <w:pBdr>
          <w:top w:val="single" w:sz="4" w:space="1" w:color="auto"/>
          <w:left w:val="single" w:sz="4" w:space="4" w:color="auto"/>
          <w:bottom w:val="single" w:sz="4" w:space="1" w:color="auto"/>
          <w:right w:val="single" w:sz="4" w:space="4" w:color="auto"/>
        </w:pBdr>
        <w:rPr>
          <w:noProof/>
        </w:rPr>
      </w:pPr>
      <w:r w:rsidRPr="008F6730">
        <w:rPr>
          <w:noProof/>
        </w:rPr>
        <w:t xml:space="preserve">Klimatske promjene prekogranični su problem. Njihovi su učinci globalni, neovisno o tome, primjerice, odakle emisije stakleničkih plinova potječu. Stoga se ti izazovi ne mogu riješiti samo nacionalnim ili lokalnim djelovanjem jer pojedinačne mjere vjerojatno neće dovesti do optimalnog ishoda. Koordinacijom na europskoj razini jača se djelovanje u području klime te se može djelotvorno dopuniti i ojačati djelovanje na nacionalnoj i lokalnoj razini. Djelovanje EU-a opravdano je načelom supsidijarnosti, u skladu s člankom 191. Ugovora o funkcioniranju Europske unije. </w:t>
      </w:r>
    </w:p>
    <w:p w14:paraId="0895387B" w14:textId="77777777" w:rsidR="000944F2" w:rsidRPr="008F6730" w:rsidRDefault="000944F2" w:rsidP="000944F2">
      <w:pPr>
        <w:pStyle w:val="Text1"/>
        <w:pBdr>
          <w:top w:val="single" w:sz="4" w:space="1" w:color="auto"/>
          <w:left w:val="single" w:sz="4" w:space="4" w:color="auto"/>
          <w:bottom w:val="single" w:sz="4" w:space="1" w:color="auto"/>
          <w:right w:val="single" w:sz="4" w:space="4" w:color="auto"/>
        </w:pBdr>
        <w:rPr>
          <w:noProof/>
        </w:rPr>
      </w:pPr>
      <w:r w:rsidRPr="008F6730">
        <w:rPr>
          <w:noProof/>
        </w:rPr>
        <w:t>Europski bi okvir bio prikladniji od nacionalnih inicijativa za rješavanje poteškoća u procjeni kvalitete uklanjanja ugljika. Uvođenjem takvog okvira omogućili bi se jednaki uvjeti i pravedno unutarnje tržište za certificiranje uklanjanja ugljika, čime bi se povećala usporedivost i povjerenje. Postojanje raznih nacionalnih inicijativa u tom području ne bi riješilo problem, već bi ga samo pogoršalo.</w:t>
      </w:r>
    </w:p>
    <w:p w14:paraId="5FA484A6" w14:textId="77777777" w:rsidR="000944F2" w:rsidRPr="008F6730" w:rsidRDefault="000944F2" w:rsidP="000944F2">
      <w:pPr>
        <w:pStyle w:val="Text1"/>
        <w:pBdr>
          <w:top w:val="single" w:sz="4" w:space="1" w:color="auto"/>
          <w:left w:val="single" w:sz="4" w:space="4" w:color="auto"/>
          <w:bottom w:val="single" w:sz="4" w:space="1" w:color="auto"/>
          <w:right w:val="single" w:sz="4" w:space="4" w:color="auto"/>
        </w:pBdr>
        <w:rPr>
          <w:noProof/>
        </w:rPr>
      </w:pPr>
      <w:r w:rsidRPr="008F6730">
        <w:rPr>
          <w:noProof/>
        </w:rPr>
        <w:t xml:space="preserve">Predloženu uredbu trebat će poduprijeti pouzdanim i transparentnim metodologijama certificiranja. Kad je riječ o sekvestraciji ugljika u poljoprivredi, bit će potrebno oblikovati i dodatno razviti pristup koji se primjenjuje u postojećoj Uredbi o LULUCF-u. Trebalo bi moći i povezati odluke o upravljanju zemljištem u poljoprivrednom sektoru i sektoru LULUCF-a s učinkom na sekvestraciju ugljika i zaštitu bioraznolikosti. </w:t>
      </w:r>
    </w:p>
    <w:p w14:paraId="4581B676" w14:textId="77777777" w:rsidR="000944F2" w:rsidRPr="008F6730" w:rsidRDefault="000944F2" w:rsidP="000944F2">
      <w:pPr>
        <w:pStyle w:val="Text1"/>
        <w:pBdr>
          <w:top w:val="single" w:sz="4" w:space="1" w:color="auto"/>
          <w:left w:val="single" w:sz="4" w:space="4" w:color="auto"/>
          <w:bottom w:val="single" w:sz="4" w:space="1" w:color="auto"/>
          <w:right w:val="single" w:sz="4" w:space="4" w:color="auto"/>
        </w:pBdr>
        <w:rPr>
          <w:noProof/>
        </w:rPr>
      </w:pPr>
      <w:r w:rsidRPr="008F6730">
        <w:rPr>
          <w:noProof/>
        </w:rPr>
        <w:t xml:space="preserve">Trenutačno su dostupna ograničena sredstva EEA-e za potporu praćenju, izvješćivanju i verifikaciji (MRV) inventara emisija iz LULUCF-a, u skladu sa zahtjevom iz uredaba (EU) 2018/841 (Uredba o LULUCF-u) i EU 2018/1999 (Uredba o upravljanju).   </w:t>
      </w:r>
    </w:p>
    <w:p w14:paraId="1C41A4C3" w14:textId="6D98DB9C" w:rsidR="000944F2" w:rsidRPr="008F6730" w:rsidRDefault="009A61FA" w:rsidP="009A61FA">
      <w:pPr>
        <w:pStyle w:val="ManualHeading3"/>
        <w:rPr>
          <w:noProof/>
        </w:rPr>
      </w:pPr>
      <w:bookmarkStart w:id="153" w:name="_Toc514938030"/>
      <w:bookmarkStart w:id="154" w:name="_Toc520485037"/>
      <w:bookmarkStart w:id="155" w:name="_Toc125124902"/>
      <w:bookmarkStart w:id="156" w:name="_Toc125125360"/>
      <w:bookmarkStart w:id="157" w:name="_Toc125125605"/>
      <w:bookmarkStart w:id="158" w:name="_Toc125125713"/>
      <w:r w:rsidRPr="009A61FA">
        <w:t>1.5.3.</w:t>
      </w:r>
      <w:r w:rsidRPr="009A61FA">
        <w:tab/>
      </w:r>
      <w:r w:rsidR="000944F2" w:rsidRPr="008F6730">
        <w:rPr>
          <w:noProof/>
        </w:rPr>
        <w:t>Pouke iz prijašnjih sličnih iskustava</w:t>
      </w:r>
      <w:bookmarkEnd w:id="153"/>
      <w:bookmarkEnd w:id="154"/>
      <w:bookmarkEnd w:id="155"/>
      <w:bookmarkEnd w:id="156"/>
      <w:bookmarkEnd w:id="157"/>
      <w:bookmarkEnd w:id="158"/>
    </w:p>
    <w:p w14:paraId="1D5A82CA" w14:textId="77777777" w:rsidR="000944F2" w:rsidRPr="008F6730" w:rsidRDefault="000944F2" w:rsidP="000944F2">
      <w:pPr>
        <w:pBdr>
          <w:top w:val="single" w:sz="4" w:space="1" w:color="auto"/>
          <w:left w:val="single" w:sz="4" w:space="1" w:color="auto"/>
          <w:bottom w:val="single" w:sz="4" w:space="1" w:color="auto"/>
          <w:right w:val="single" w:sz="4" w:space="4" w:color="auto"/>
        </w:pBdr>
        <w:ind w:left="720"/>
        <w:rPr>
          <w:noProof/>
        </w:rPr>
      </w:pPr>
      <w:r w:rsidRPr="008F6730">
        <w:rPr>
          <w:noProof/>
        </w:rPr>
        <w:t>Predloženom se uredbom uspostavlja novi okvir za certificiranje visokokvalitetnih uklanjanja ugljika na razini EU-a, a temelji se na sljedećem postojećem iskustvu na razini EU-a:</w:t>
      </w:r>
    </w:p>
    <w:p w14:paraId="345850D5" w14:textId="77777777" w:rsidR="000944F2" w:rsidRPr="008F6730" w:rsidRDefault="000944F2" w:rsidP="000944F2">
      <w:pPr>
        <w:pBdr>
          <w:top w:val="single" w:sz="4" w:space="1" w:color="auto"/>
          <w:left w:val="single" w:sz="4" w:space="1" w:color="auto"/>
          <w:bottom w:val="single" w:sz="4" w:space="1" w:color="auto"/>
          <w:right w:val="single" w:sz="4" w:space="4" w:color="auto"/>
        </w:pBdr>
        <w:ind w:left="720"/>
        <w:rPr>
          <w:noProof/>
        </w:rPr>
      </w:pPr>
      <w:r w:rsidRPr="008F6730">
        <w:rPr>
          <w:noProof/>
        </w:rPr>
        <w:t>– u okviru inovacijskog fonda</w:t>
      </w:r>
      <w:r w:rsidRPr="008F6730">
        <w:rPr>
          <w:rStyle w:val="FootnoteReference"/>
          <w:bCs/>
          <w:noProof/>
        </w:rPr>
        <w:footnoteReference w:id="40"/>
      </w:r>
      <w:r w:rsidRPr="008F6730">
        <w:rPr>
          <w:noProof/>
        </w:rPr>
        <w:t xml:space="preserve"> Komisija</w:t>
      </w:r>
      <w:r w:rsidRPr="008F6730">
        <w:rPr>
          <w:rStyle w:val="FootnoteReference"/>
          <w:noProof/>
        </w:rPr>
        <w:footnoteReference w:id="41"/>
      </w:r>
      <w:r w:rsidRPr="008F6730">
        <w:rPr>
          <w:noProof/>
        </w:rPr>
        <w:t xml:space="preserve"> je razvila niz detaljnih metodologija EU-a za kvantifikaciju izbjegavanja emisija stakleničkih plinova iz industrijskih aktivnosti, uključujući aktivnosti uklanjanja ugljika kao što su projekti hvatanja i skladištenja ugljika u proizvodnji bioenergije (BECCS) i hvatanja i skladištenja ugljika izravno iz zraka (DACCS). Nadalje, u Provedbenoj uredbi (EU) 2018/2066</w:t>
      </w:r>
      <w:r w:rsidRPr="008F6730">
        <w:rPr>
          <w:rStyle w:val="FootnoteReference"/>
          <w:noProof/>
        </w:rPr>
        <w:footnoteReference w:id="42"/>
      </w:r>
      <w:r w:rsidRPr="008F6730">
        <w:rPr>
          <w:noProof/>
        </w:rPr>
        <w:t xml:space="preserve"> utvrđuju se detaljna pravila o praćenju i izvješćivanju o emisijama stakleničkih plinova u okviru ETS-a,</w:t>
      </w:r>
    </w:p>
    <w:p w14:paraId="3B21BFDD" w14:textId="77777777" w:rsidR="000944F2" w:rsidRPr="008F6730" w:rsidRDefault="000944F2" w:rsidP="000944F2">
      <w:pPr>
        <w:pBdr>
          <w:top w:val="single" w:sz="4" w:space="1" w:color="auto"/>
          <w:left w:val="single" w:sz="4" w:space="1" w:color="auto"/>
          <w:bottom w:val="single" w:sz="4" w:space="1" w:color="auto"/>
          <w:right w:val="single" w:sz="4" w:space="4" w:color="auto"/>
        </w:pBdr>
        <w:ind w:left="720"/>
        <w:rPr>
          <w:noProof/>
        </w:rPr>
      </w:pPr>
      <w:r w:rsidRPr="008F6730">
        <w:rPr>
          <w:noProof/>
        </w:rPr>
        <w:t xml:space="preserve">– na temelju Direktive EU-a o energiji iz obnovljivih izvora Komisija je stekla gotovo 15 godina iskustva u certificiranju kriterija održivosti za bioenergiju. Ti kriteriji EU-a provode se putem 15-ak javnih ili privatnih programa certificiranja (tzv. dobrovoljni programi) koje je priznala Komisija. U skladu s Direktivom o energiji iz obnovljivih izvora Komisija je nedavno donijela provedbeni akt kojim se utvrđuju detaljna pravila za postupak certificiranja koji provode tijela za certifikaciju i koji se kontrolira u okviru programâ certificiranja. </w:t>
      </w:r>
    </w:p>
    <w:p w14:paraId="18CA5BE0" w14:textId="4E8C0B43" w:rsidR="000944F2" w:rsidRPr="008F6730" w:rsidRDefault="009A61FA" w:rsidP="009A61FA">
      <w:pPr>
        <w:pStyle w:val="ManualHeading3"/>
        <w:rPr>
          <w:noProof/>
        </w:rPr>
      </w:pPr>
      <w:bookmarkStart w:id="159" w:name="_Toc514938033"/>
      <w:bookmarkStart w:id="160" w:name="_Toc520485038"/>
      <w:bookmarkStart w:id="161" w:name="_Toc125124903"/>
      <w:bookmarkStart w:id="162" w:name="_Toc125125361"/>
      <w:bookmarkStart w:id="163" w:name="_Toc125125606"/>
      <w:bookmarkStart w:id="164" w:name="_Toc125125714"/>
      <w:r w:rsidRPr="009A61FA">
        <w:t>1.5.4.</w:t>
      </w:r>
      <w:r w:rsidRPr="009A61FA">
        <w:tab/>
      </w:r>
      <w:r w:rsidR="000944F2" w:rsidRPr="008F6730">
        <w:rPr>
          <w:noProof/>
        </w:rPr>
        <w:t>Usklađenost s višegodišnjim financijskim okvirom i moguće sinergije s drugim prikladnim instrumentima</w:t>
      </w:r>
      <w:bookmarkEnd w:id="159"/>
      <w:bookmarkEnd w:id="160"/>
      <w:bookmarkEnd w:id="161"/>
      <w:bookmarkEnd w:id="162"/>
      <w:bookmarkEnd w:id="163"/>
      <w:bookmarkEnd w:id="164"/>
    </w:p>
    <w:p w14:paraId="26336B01" w14:textId="77777777" w:rsidR="000944F2" w:rsidRPr="008F6730" w:rsidRDefault="000944F2" w:rsidP="000944F2">
      <w:pPr>
        <w:pStyle w:val="Text1"/>
        <w:pBdr>
          <w:top w:val="single" w:sz="4" w:space="1" w:color="auto"/>
          <w:left w:val="single" w:sz="4" w:space="4" w:color="auto"/>
          <w:bottom w:val="single" w:sz="4" w:space="1" w:color="auto"/>
          <w:right w:val="single" w:sz="4" w:space="4" w:color="auto"/>
        </w:pBdr>
        <w:rPr>
          <w:noProof/>
        </w:rPr>
      </w:pPr>
      <w:r w:rsidRPr="008F6730">
        <w:rPr>
          <w:noProof/>
        </w:rPr>
        <w:t>Ovaj je prijedlog dio europskog zelenog plana. U akcijskom planu za kružno gospodarstvo iz ožujka 2020. najavljeno je da će Komisija razviti djelotvoran regulatorni okvir za certificiranje uklanjanja ugljika kako bi se potaknulo uklanjanje ugljika i povećala kružnost ugljika, uz potpuno poštovanje ciljeva bioraznolikosti</w:t>
      </w:r>
      <w:r w:rsidRPr="008F6730">
        <w:rPr>
          <w:rStyle w:val="Hyperlink1"/>
          <w:rFonts w:eastAsiaTheme="minorHAnsi"/>
          <w:noProof/>
        </w:rPr>
        <w:t>. Osim toga</w:t>
      </w:r>
      <w:r w:rsidRPr="008F6730">
        <w:rPr>
          <w:noProof/>
        </w:rPr>
        <w:t xml:space="preserve">, opći je cilj zelenog plana uskladiti zakonodavstvo Unije s povećanim ambicijama EU-a u području klime i bioraznolikosti. Ovaj je zakonodavni prijedlog dopuna prijedlozima u području klime i energetike iz zakonodavnog paketa „Spremni za 55 %”, posebno Uredbi o LULUCF-u i revidiranoj Direktivi o energiji iz obnovljivih izvora. </w:t>
      </w:r>
    </w:p>
    <w:p w14:paraId="1D9CDBE8" w14:textId="77777777" w:rsidR="000B6CD6" w:rsidRPr="008F6730" w:rsidRDefault="000944F2" w:rsidP="000B6CD6">
      <w:pPr>
        <w:pStyle w:val="Text1"/>
        <w:pBdr>
          <w:top w:val="single" w:sz="4" w:space="1" w:color="auto"/>
          <w:left w:val="single" w:sz="4" w:space="4" w:color="auto"/>
          <w:bottom w:val="single" w:sz="4" w:space="1" w:color="auto"/>
          <w:right w:val="single" w:sz="4" w:space="4" w:color="auto"/>
        </w:pBdr>
        <w:rPr>
          <w:noProof/>
        </w:rPr>
      </w:pPr>
      <w:r w:rsidRPr="008F6730">
        <w:rPr>
          <w:noProof/>
        </w:rPr>
        <w:t>Jednako je snažna međupovezanost i s drugim inicijativama Komisije za povećanje otpornosti šuma u EU-u na klimatske promjene, obnovu degradiranih zemljišta i ekosustava, ponovno natapanje tresetišta i promicanje biogospodarstva, uključujući upotrebu trajnih drvnih proizvoda, uz potpuno poštovanje ekoloških načela kojima se potiče bioraznolikost:</w:t>
      </w:r>
    </w:p>
    <w:p w14:paraId="25AD2541" w14:textId="77777777" w:rsidR="000944F2" w:rsidRPr="008F6730" w:rsidRDefault="000B6CD6" w:rsidP="000B6CD6">
      <w:pPr>
        <w:pStyle w:val="Text1"/>
        <w:pBdr>
          <w:top w:val="single" w:sz="4" w:space="1" w:color="auto"/>
          <w:left w:val="single" w:sz="4" w:space="4" w:color="auto"/>
          <w:bottom w:val="single" w:sz="4" w:space="1" w:color="auto"/>
          <w:right w:val="single" w:sz="4" w:space="4" w:color="auto"/>
        </w:pBdr>
        <w:rPr>
          <w:noProof/>
        </w:rPr>
      </w:pPr>
      <w:r w:rsidRPr="008F6730">
        <w:rPr>
          <w:noProof/>
        </w:rPr>
        <w:t>a) zajedničkom poljoprivrednom politikom;</w:t>
      </w:r>
    </w:p>
    <w:p w14:paraId="7E7AFD82" w14:textId="77777777" w:rsidR="000944F2" w:rsidRPr="008F6730" w:rsidRDefault="000B6CD6" w:rsidP="000B6CD6">
      <w:pPr>
        <w:pStyle w:val="Text1"/>
        <w:pBdr>
          <w:top w:val="single" w:sz="4" w:space="1" w:color="auto"/>
          <w:left w:val="single" w:sz="4" w:space="4" w:color="auto"/>
          <w:bottom w:val="single" w:sz="4" w:space="1" w:color="auto"/>
          <w:right w:val="single" w:sz="4" w:space="4" w:color="auto"/>
        </w:pBdr>
        <w:rPr>
          <w:noProof/>
        </w:rPr>
      </w:pPr>
      <w:r w:rsidRPr="008F6730">
        <w:rPr>
          <w:noProof/>
        </w:rPr>
        <w:t>b) strategijom EU-a za bioraznolikost do 2030.;</w:t>
      </w:r>
    </w:p>
    <w:p w14:paraId="4F5C6EB2" w14:textId="77777777" w:rsidR="000944F2" w:rsidRPr="008F6730" w:rsidRDefault="000944F2" w:rsidP="000944F2">
      <w:pPr>
        <w:pStyle w:val="Text1"/>
        <w:pBdr>
          <w:top w:val="single" w:sz="4" w:space="1" w:color="auto"/>
          <w:left w:val="single" w:sz="4" w:space="4" w:color="auto"/>
          <w:bottom w:val="single" w:sz="4" w:space="1" w:color="auto"/>
          <w:right w:val="single" w:sz="4" w:space="4" w:color="auto"/>
        </w:pBdr>
        <w:rPr>
          <w:noProof/>
        </w:rPr>
      </w:pPr>
      <w:r w:rsidRPr="008F6730">
        <w:rPr>
          <w:noProof/>
        </w:rPr>
        <w:t>c) strategijom „od polja do stola” za pravedan, zdrav i ekološki prihvatljiv prehrambeni sustav;</w:t>
      </w:r>
    </w:p>
    <w:p w14:paraId="280F6FEB" w14:textId="77777777" w:rsidR="000944F2" w:rsidRPr="008F6730" w:rsidRDefault="000944F2" w:rsidP="000944F2">
      <w:pPr>
        <w:pStyle w:val="Text1"/>
        <w:pBdr>
          <w:top w:val="single" w:sz="4" w:space="1" w:color="auto"/>
          <w:left w:val="single" w:sz="4" w:space="4" w:color="auto"/>
          <w:bottom w:val="single" w:sz="4" w:space="1" w:color="auto"/>
          <w:right w:val="single" w:sz="4" w:space="4" w:color="auto"/>
        </w:pBdr>
        <w:rPr>
          <w:noProof/>
          <w:vertAlign w:val="superscript"/>
        </w:rPr>
      </w:pPr>
      <w:r w:rsidRPr="008F6730">
        <w:rPr>
          <w:noProof/>
        </w:rPr>
        <w:t>d) strategijom EU-a za šume;</w:t>
      </w:r>
    </w:p>
    <w:p w14:paraId="73454842" w14:textId="77777777" w:rsidR="000944F2" w:rsidRPr="008F6730" w:rsidRDefault="000944F2" w:rsidP="000944F2">
      <w:pPr>
        <w:pStyle w:val="Text1"/>
        <w:pBdr>
          <w:top w:val="single" w:sz="4" w:space="1" w:color="auto"/>
          <w:left w:val="single" w:sz="4" w:space="4" w:color="auto"/>
          <w:bottom w:val="single" w:sz="4" w:space="1" w:color="auto"/>
          <w:right w:val="single" w:sz="4" w:space="4" w:color="auto"/>
        </w:pBdr>
        <w:rPr>
          <w:noProof/>
        </w:rPr>
      </w:pPr>
      <w:r w:rsidRPr="008F6730">
        <w:rPr>
          <w:noProof/>
        </w:rPr>
        <w:t>e) planom EU-a za obnovu prirode;</w:t>
      </w:r>
    </w:p>
    <w:p w14:paraId="43F20D87" w14:textId="77777777" w:rsidR="000944F2" w:rsidRPr="008F6730" w:rsidRDefault="008864EC" w:rsidP="000944F2">
      <w:pPr>
        <w:pStyle w:val="Text1"/>
        <w:pBdr>
          <w:top w:val="single" w:sz="4" w:space="1" w:color="auto"/>
          <w:left w:val="single" w:sz="4" w:space="4" w:color="auto"/>
          <w:bottom w:val="single" w:sz="4" w:space="1" w:color="auto"/>
          <w:right w:val="single" w:sz="4" w:space="4" w:color="auto"/>
        </w:pBdr>
        <w:rPr>
          <w:noProof/>
        </w:rPr>
      </w:pPr>
      <w:r w:rsidRPr="008F6730">
        <w:rPr>
          <w:noProof/>
        </w:rPr>
        <w:t>f) strategijom EU-a za prilagodbu klimatskim promjenama;</w:t>
      </w:r>
    </w:p>
    <w:p w14:paraId="37FDD021" w14:textId="77777777" w:rsidR="000944F2" w:rsidRPr="008F6730" w:rsidRDefault="008864EC" w:rsidP="000944F2">
      <w:pPr>
        <w:pStyle w:val="Text1"/>
        <w:pBdr>
          <w:top w:val="single" w:sz="4" w:space="1" w:color="auto"/>
          <w:left w:val="single" w:sz="4" w:space="4" w:color="auto"/>
          <w:bottom w:val="single" w:sz="4" w:space="1" w:color="auto"/>
          <w:right w:val="single" w:sz="4" w:space="4" w:color="auto"/>
        </w:pBdr>
        <w:rPr>
          <w:noProof/>
        </w:rPr>
      </w:pPr>
      <w:r w:rsidRPr="008F6730">
        <w:rPr>
          <w:noProof/>
        </w:rPr>
        <w:t>g) dokumentom „Održivo biogospodarstvo za Europu”;</w:t>
      </w:r>
    </w:p>
    <w:p w14:paraId="1F2664E5" w14:textId="77777777" w:rsidR="000944F2" w:rsidRPr="008F6730" w:rsidRDefault="008864EC" w:rsidP="000944F2">
      <w:pPr>
        <w:pStyle w:val="Text1"/>
        <w:pBdr>
          <w:top w:val="single" w:sz="4" w:space="1" w:color="auto"/>
          <w:left w:val="single" w:sz="4" w:space="4" w:color="auto"/>
          <w:bottom w:val="single" w:sz="4" w:space="1" w:color="auto"/>
          <w:right w:val="single" w:sz="4" w:space="4" w:color="auto"/>
        </w:pBdr>
        <w:rPr>
          <w:noProof/>
        </w:rPr>
      </w:pPr>
      <w:r w:rsidRPr="008F6730">
        <w:rPr>
          <w:noProof/>
        </w:rPr>
        <w:t>h) akcijskim planom za kružno gospodarstvo: za čišću i konkurentniju Europu;</w:t>
      </w:r>
    </w:p>
    <w:p w14:paraId="1EF9760B" w14:textId="77777777" w:rsidR="000944F2" w:rsidRPr="008F6730" w:rsidRDefault="008864EC" w:rsidP="000944F2">
      <w:pPr>
        <w:pStyle w:val="Text1"/>
        <w:pBdr>
          <w:top w:val="single" w:sz="4" w:space="1" w:color="auto"/>
          <w:left w:val="single" w:sz="4" w:space="4" w:color="auto"/>
          <w:bottom w:val="single" w:sz="4" w:space="1" w:color="auto"/>
          <w:right w:val="single" w:sz="4" w:space="4" w:color="auto"/>
        </w:pBdr>
        <w:rPr>
          <w:noProof/>
        </w:rPr>
      </w:pPr>
      <w:r w:rsidRPr="008F6730">
        <w:rPr>
          <w:noProof/>
        </w:rPr>
        <w:t>i) akcijskim planom za postizanje nulte stope onečišćenja;</w:t>
      </w:r>
    </w:p>
    <w:p w14:paraId="63323718" w14:textId="77777777" w:rsidR="000944F2" w:rsidRPr="008F6730" w:rsidRDefault="008864EC" w:rsidP="000944F2">
      <w:pPr>
        <w:pStyle w:val="Text1"/>
        <w:pBdr>
          <w:top w:val="single" w:sz="4" w:space="1" w:color="auto"/>
          <w:left w:val="single" w:sz="4" w:space="4" w:color="auto"/>
          <w:bottom w:val="single" w:sz="4" w:space="1" w:color="auto"/>
          <w:right w:val="single" w:sz="4" w:space="4" w:color="auto"/>
        </w:pBdr>
        <w:rPr>
          <w:noProof/>
        </w:rPr>
      </w:pPr>
      <w:r w:rsidRPr="008F6730">
        <w:rPr>
          <w:noProof/>
        </w:rPr>
        <w:t xml:space="preserve">j) dugoročnom vizijom za ruralna područja EU-a. </w:t>
      </w:r>
    </w:p>
    <w:p w14:paraId="18788F47" w14:textId="23A00FD4" w:rsidR="000944F2" w:rsidRPr="008F6730" w:rsidRDefault="009A61FA" w:rsidP="009A61FA">
      <w:pPr>
        <w:pStyle w:val="ManualHeading3"/>
        <w:rPr>
          <w:noProof/>
        </w:rPr>
      </w:pPr>
      <w:bookmarkStart w:id="165" w:name="_Toc514938036"/>
      <w:bookmarkStart w:id="166" w:name="_Toc520485039"/>
      <w:bookmarkStart w:id="167" w:name="_Toc125124904"/>
      <w:bookmarkStart w:id="168" w:name="_Toc125125362"/>
      <w:bookmarkStart w:id="169" w:name="_Toc125125607"/>
      <w:bookmarkStart w:id="170" w:name="_Toc125125715"/>
      <w:r w:rsidRPr="009A61FA">
        <w:t>1.5.5.</w:t>
      </w:r>
      <w:r w:rsidRPr="009A61FA">
        <w:tab/>
      </w:r>
      <w:r w:rsidR="000944F2" w:rsidRPr="008F6730">
        <w:rPr>
          <w:noProof/>
        </w:rPr>
        <w:t>Ocjena različitih dostupnih mogućnosti financiranja, uključujući mogućnost preraspodjele</w:t>
      </w:r>
      <w:bookmarkEnd w:id="165"/>
      <w:bookmarkEnd w:id="166"/>
      <w:bookmarkEnd w:id="167"/>
      <w:bookmarkEnd w:id="168"/>
      <w:bookmarkEnd w:id="169"/>
      <w:bookmarkEnd w:id="170"/>
    </w:p>
    <w:p w14:paraId="641D5E6C" w14:textId="77777777" w:rsidR="000944F2" w:rsidRPr="008F6730" w:rsidRDefault="000944F2" w:rsidP="000944F2">
      <w:pPr>
        <w:pStyle w:val="Text1"/>
        <w:pBdr>
          <w:top w:val="single" w:sz="4" w:space="1" w:color="auto"/>
          <w:left w:val="single" w:sz="4" w:space="4" w:color="auto"/>
          <w:bottom w:val="single" w:sz="4" w:space="1" w:color="auto"/>
          <w:right w:val="single" w:sz="4" w:space="4" w:color="auto"/>
        </w:pBdr>
        <w:rPr>
          <w:noProof/>
          <w:szCs w:val="24"/>
        </w:rPr>
      </w:pPr>
      <w:r w:rsidRPr="008F6730">
        <w:rPr>
          <w:noProof/>
        </w:rPr>
        <w:t>S obzirom na trenutačna kadrovska i financijska ograničenja u Komisiji, GU CLIMA iscrpio je mogućnosti interne preraspodjele i optimizirao svoje resurse koliko god je to bilo moguće zapošljavanjem ugovornog osoblja i internim zapošljavanjem kako bi smanjio nedostatak osoblja. Međutim, iako su mnoge (stručnije i znanstvene) zadaće prebačene na vanjske izvođače, odgovarajući broj osoblja neophodan je da bismo mogli ispunjavati svoje obveze i izvršavati dodatne zadaće utvrđene ovim zakonodavnim prijedlogom uredbe o certificiranju uklanjanja ugljika.</w:t>
      </w:r>
    </w:p>
    <w:p w14:paraId="55BC47F3" w14:textId="77777777" w:rsidR="000944F2" w:rsidRPr="008F6730" w:rsidRDefault="000944F2" w:rsidP="000944F2">
      <w:pPr>
        <w:pStyle w:val="Text1"/>
        <w:rPr>
          <w:noProof/>
          <w:szCs w:val="24"/>
        </w:rPr>
      </w:pPr>
    </w:p>
    <w:p w14:paraId="332112A4" w14:textId="274BD7BC" w:rsidR="000944F2" w:rsidRPr="008F6730" w:rsidRDefault="009A61FA" w:rsidP="009A61FA">
      <w:pPr>
        <w:pStyle w:val="ManualHeading2"/>
        <w:rPr>
          <w:noProof/>
        </w:rPr>
      </w:pPr>
      <w:bookmarkStart w:id="171" w:name="_Toc514938039"/>
      <w:bookmarkStart w:id="172" w:name="_Toc520485040"/>
      <w:bookmarkStart w:id="173" w:name="_Toc125124905"/>
      <w:bookmarkStart w:id="174" w:name="_Toc125125363"/>
      <w:bookmarkStart w:id="175" w:name="_Toc125125608"/>
      <w:bookmarkStart w:id="176" w:name="_Toc125125716"/>
      <w:r w:rsidRPr="009A61FA">
        <w:t>1.6.</w:t>
      </w:r>
      <w:r w:rsidRPr="009A61FA">
        <w:tab/>
      </w:r>
      <w:r w:rsidR="000944F2" w:rsidRPr="008F6730">
        <w:rPr>
          <w:noProof/>
        </w:rPr>
        <w:t>Trajanje i financijski učinak prijedloga/inicijative</w:t>
      </w:r>
      <w:bookmarkEnd w:id="171"/>
      <w:bookmarkEnd w:id="172"/>
      <w:bookmarkEnd w:id="173"/>
      <w:bookmarkEnd w:id="174"/>
      <w:bookmarkEnd w:id="175"/>
      <w:bookmarkEnd w:id="176"/>
    </w:p>
    <w:p w14:paraId="16D4DD7F" w14:textId="77777777" w:rsidR="000944F2" w:rsidRPr="008F6730" w:rsidRDefault="000944F2" w:rsidP="000944F2">
      <w:pPr>
        <w:pStyle w:val="Text1"/>
        <w:rPr>
          <w:noProof/>
        </w:rPr>
      </w:pPr>
      <w:r w:rsidRPr="008F6730">
        <w:rPr>
          <w:rFonts w:ascii="Wingdings" w:hAnsi="Wingdings"/>
          <w:noProof/>
        </w:rPr>
        <w:t></w:t>
      </w:r>
      <w:r w:rsidRPr="008F6730">
        <w:rPr>
          <w:noProof/>
        </w:rPr>
        <w:t xml:space="preserve"> </w:t>
      </w:r>
      <w:r w:rsidRPr="008F6730">
        <w:rPr>
          <w:b/>
          <w:bCs/>
          <w:noProof/>
        </w:rPr>
        <w:t>Ograničeno trajanje</w:t>
      </w:r>
      <w:r w:rsidRPr="008F6730">
        <w:rPr>
          <w:b/>
          <w:noProof/>
        </w:rPr>
        <w:t xml:space="preserve"> </w:t>
      </w:r>
    </w:p>
    <w:p w14:paraId="7F420249" w14:textId="77777777" w:rsidR="000944F2" w:rsidRPr="008F6730" w:rsidRDefault="000944F2" w:rsidP="000944F2">
      <w:pPr>
        <w:pStyle w:val="ListDash2"/>
        <w:rPr>
          <w:noProof/>
        </w:rPr>
      </w:pPr>
      <w:r w:rsidRPr="008F6730">
        <w:rPr>
          <w:rFonts w:ascii="Wingdings" w:hAnsi="Wingdings"/>
          <w:noProof/>
        </w:rPr>
        <w:t></w:t>
      </w:r>
      <w:r w:rsidRPr="008F6730">
        <w:rPr>
          <w:noProof/>
        </w:rPr>
        <w:tab/>
        <w:t xml:space="preserve">na snazi od [DD/MM]GGGG do [DD/MM]GGGG </w:t>
      </w:r>
    </w:p>
    <w:p w14:paraId="225EB0B8" w14:textId="77777777" w:rsidR="000944F2" w:rsidRPr="008F6730" w:rsidRDefault="000944F2" w:rsidP="000944F2">
      <w:pPr>
        <w:pStyle w:val="ListDash2"/>
        <w:rPr>
          <w:noProof/>
        </w:rPr>
      </w:pPr>
      <w:r w:rsidRPr="008F6730">
        <w:rPr>
          <w:rFonts w:ascii="Wingdings" w:hAnsi="Wingdings"/>
          <w:noProof/>
        </w:rPr>
        <w:t></w:t>
      </w:r>
      <w:r w:rsidRPr="008F6730">
        <w:rPr>
          <w:noProof/>
        </w:rPr>
        <w:tab/>
        <w:t xml:space="preserve">financijski učinak od GGGG do GGGG za odobrena sredstva za preuzete obveze i od GGGG do GGGG za odobrena sredstva za plaćanje </w:t>
      </w:r>
    </w:p>
    <w:p w14:paraId="25AE429C" w14:textId="77777777" w:rsidR="000944F2" w:rsidRPr="008F6730" w:rsidRDefault="000944F2" w:rsidP="000944F2">
      <w:pPr>
        <w:pStyle w:val="Text1"/>
        <w:rPr>
          <w:noProof/>
        </w:rPr>
      </w:pPr>
      <w:r w:rsidRPr="008F6730">
        <w:rPr>
          <w:b/>
          <w:noProof/>
        </w:rPr>
        <w:t>X Neograničeno trajanje</w:t>
      </w:r>
    </w:p>
    <w:p w14:paraId="293E2441" w14:textId="77777777" w:rsidR="000944F2" w:rsidRPr="008F6730" w:rsidRDefault="000944F2" w:rsidP="000944F2">
      <w:pPr>
        <w:pStyle w:val="ListDash1"/>
        <w:rPr>
          <w:noProof/>
        </w:rPr>
      </w:pPr>
      <w:r w:rsidRPr="008F6730">
        <w:rPr>
          <w:noProof/>
        </w:rPr>
        <w:t>provedba s početnim razdobljem od sredine 2024. do kraja 2025.,</w:t>
      </w:r>
    </w:p>
    <w:p w14:paraId="50019353" w14:textId="77777777" w:rsidR="000944F2" w:rsidRPr="008F6730" w:rsidRDefault="000944F2" w:rsidP="000944F2">
      <w:pPr>
        <w:pStyle w:val="ListDash1"/>
        <w:rPr>
          <w:noProof/>
        </w:rPr>
      </w:pPr>
      <w:r w:rsidRPr="008F6730">
        <w:rPr>
          <w:noProof/>
        </w:rPr>
        <w:t>nakon čega slijedi redovna provedba.</w:t>
      </w:r>
    </w:p>
    <w:p w14:paraId="677DBC74" w14:textId="3CBFDB46" w:rsidR="000944F2" w:rsidRPr="008F6730" w:rsidRDefault="009A61FA" w:rsidP="009A61FA">
      <w:pPr>
        <w:pStyle w:val="ManualHeading2"/>
        <w:rPr>
          <w:noProof/>
        </w:rPr>
      </w:pPr>
      <w:bookmarkStart w:id="177" w:name="_Toc514938040"/>
      <w:bookmarkStart w:id="178" w:name="_Toc520485041"/>
      <w:bookmarkStart w:id="179" w:name="_Toc125124906"/>
      <w:bookmarkStart w:id="180" w:name="_Toc125125364"/>
      <w:bookmarkStart w:id="181" w:name="_Toc125125609"/>
      <w:bookmarkStart w:id="182" w:name="_Toc125125717"/>
      <w:r w:rsidRPr="009A61FA">
        <w:t>1.7.</w:t>
      </w:r>
      <w:r w:rsidRPr="009A61FA">
        <w:tab/>
      </w:r>
      <w:r w:rsidR="000944F2" w:rsidRPr="008F6730">
        <w:rPr>
          <w:noProof/>
        </w:rPr>
        <w:t>Predviđeni načini upravljanja</w:t>
      </w:r>
      <w:r w:rsidR="000944F2" w:rsidRPr="008F6730">
        <w:rPr>
          <w:rStyle w:val="FootnoteReference"/>
          <w:noProof/>
        </w:rPr>
        <w:footnoteReference w:id="43"/>
      </w:r>
      <w:bookmarkEnd w:id="177"/>
      <w:bookmarkEnd w:id="178"/>
      <w:bookmarkEnd w:id="179"/>
      <w:bookmarkEnd w:id="180"/>
      <w:bookmarkEnd w:id="181"/>
      <w:bookmarkEnd w:id="182"/>
      <w:r w:rsidR="000944F2" w:rsidRPr="008F6730">
        <w:rPr>
          <w:noProof/>
        </w:rPr>
        <w:t xml:space="preserve"> </w:t>
      </w:r>
    </w:p>
    <w:p w14:paraId="5DB39E28" w14:textId="035CA043" w:rsidR="000944F2" w:rsidRPr="008F6730" w:rsidRDefault="00B17DE4" w:rsidP="00F41A56">
      <w:pPr>
        <w:rPr>
          <w:noProof/>
        </w:rPr>
      </w:pPr>
      <w:r w:rsidRPr="008F6730">
        <w:rPr>
          <w:noProof/>
        </w:rPr>
        <w:sym w:font="Wingdings" w:char="F0FE"/>
      </w:r>
      <w:r w:rsidRPr="008F6730">
        <w:rPr>
          <w:noProof/>
        </w:rPr>
        <w:t xml:space="preserve"> Izravno </w:t>
      </w:r>
      <w:r w:rsidRPr="008F6730">
        <w:rPr>
          <w:b/>
          <w:noProof/>
        </w:rPr>
        <w:t>upravljanje</w:t>
      </w:r>
      <w:r w:rsidRPr="008F6730">
        <w:rPr>
          <w:noProof/>
        </w:rPr>
        <w:t xml:space="preserve"> koje provodi Komisija</w:t>
      </w:r>
    </w:p>
    <w:p w14:paraId="4EC75393" w14:textId="3F1E3435" w:rsidR="000944F2" w:rsidRPr="008F6730" w:rsidRDefault="00B17DE4" w:rsidP="00F41A56">
      <w:pPr>
        <w:rPr>
          <w:rFonts w:cs="EUAlbertina"/>
          <w:noProof/>
        </w:rPr>
      </w:pPr>
      <w:r w:rsidRPr="008F6730">
        <w:rPr>
          <w:noProof/>
        </w:rPr>
        <w:sym w:font="Wingdings" w:char="F0FE"/>
      </w:r>
      <w:r w:rsidRPr="008F6730">
        <w:rPr>
          <w:noProof/>
        </w:rPr>
        <w:t xml:space="preserve"> putem svojih službi, uključujući osoblje u delegacijama Unije </w:t>
      </w:r>
    </w:p>
    <w:p w14:paraId="4FDE0F95" w14:textId="04C5B7B7" w:rsidR="000944F2" w:rsidRPr="008F6730" w:rsidRDefault="000944F2" w:rsidP="000944F2">
      <w:pPr>
        <w:pStyle w:val="ListDash2"/>
        <w:ind w:left="-851" w:firstLine="851"/>
        <w:rPr>
          <w:noProof/>
        </w:rPr>
      </w:pPr>
      <w:r w:rsidRPr="008F6730">
        <w:rPr>
          <w:rFonts w:ascii="Wingdings" w:hAnsi="Wingdings"/>
          <w:noProof/>
        </w:rPr>
        <w:t></w:t>
      </w:r>
      <w:r w:rsidRPr="008F6730">
        <w:rPr>
          <w:noProof/>
        </w:rPr>
        <w:t xml:space="preserve"> putem izvršnih agencija </w:t>
      </w:r>
    </w:p>
    <w:p w14:paraId="1508B786" w14:textId="77777777" w:rsidR="000944F2" w:rsidRPr="008F6730" w:rsidRDefault="000944F2" w:rsidP="000944F2">
      <w:pPr>
        <w:pStyle w:val="Text1"/>
        <w:ind w:left="0"/>
        <w:rPr>
          <w:noProof/>
        </w:rPr>
      </w:pPr>
      <w:r w:rsidRPr="008F6730">
        <w:rPr>
          <w:rFonts w:ascii="Wingdings" w:hAnsi="Wingdings"/>
          <w:noProof/>
        </w:rPr>
        <w:t></w:t>
      </w:r>
      <w:r w:rsidRPr="008F6730">
        <w:rPr>
          <w:b/>
          <w:i/>
          <w:noProof/>
        </w:rPr>
        <w:t xml:space="preserve"> </w:t>
      </w:r>
      <w:r w:rsidRPr="008F6730">
        <w:rPr>
          <w:b/>
          <w:noProof/>
        </w:rPr>
        <w:t>Podijeljeno upravljanje</w:t>
      </w:r>
      <w:r w:rsidRPr="008F6730">
        <w:rPr>
          <w:noProof/>
        </w:rPr>
        <w:t xml:space="preserve"> s državama članicama </w:t>
      </w:r>
    </w:p>
    <w:p w14:paraId="0A7554D8" w14:textId="77777777" w:rsidR="000944F2" w:rsidRPr="008F6730" w:rsidRDefault="000944F2" w:rsidP="000944F2">
      <w:pPr>
        <w:pStyle w:val="Text1"/>
        <w:ind w:left="0"/>
        <w:rPr>
          <w:noProof/>
        </w:rPr>
      </w:pPr>
      <w:r w:rsidRPr="008F6730">
        <w:rPr>
          <w:rFonts w:ascii="Wingdings" w:hAnsi="Wingdings"/>
          <w:noProof/>
        </w:rPr>
        <w:t></w:t>
      </w:r>
      <w:r w:rsidRPr="008F6730">
        <w:rPr>
          <w:i/>
          <w:noProof/>
        </w:rPr>
        <w:t xml:space="preserve"> </w:t>
      </w:r>
      <w:r w:rsidRPr="008F6730">
        <w:rPr>
          <w:b/>
          <w:noProof/>
        </w:rPr>
        <w:t>Neizravno upravljanje</w:t>
      </w:r>
      <w:r w:rsidRPr="008F6730">
        <w:rPr>
          <w:noProof/>
        </w:rPr>
        <w:t xml:space="preserve"> povjeravanjem zadaća izvršenja proračuna:</w:t>
      </w:r>
    </w:p>
    <w:p w14:paraId="524488AE" w14:textId="77777777" w:rsidR="000944F2" w:rsidRPr="008F6730" w:rsidRDefault="000944F2" w:rsidP="000944F2">
      <w:pPr>
        <w:pStyle w:val="ListDash2"/>
        <w:rPr>
          <w:noProof/>
        </w:rPr>
      </w:pPr>
      <w:r w:rsidRPr="008F6730">
        <w:rPr>
          <w:rFonts w:ascii="Wingdings" w:hAnsi="Wingdings"/>
          <w:noProof/>
        </w:rPr>
        <w:t></w:t>
      </w:r>
      <w:r w:rsidRPr="008F6730">
        <w:rPr>
          <w:noProof/>
        </w:rPr>
        <w:t xml:space="preserve"> trećim zemljama ili tijelima koja su one odredile</w:t>
      </w:r>
    </w:p>
    <w:p w14:paraId="2A3C6D7A" w14:textId="77777777" w:rsidR="000944F2" w:rsidRPr="008F6730" w:rsidRDefault="000944F2" w:rsidP="000944F2">
      <w:pPr>
        <w:pStyle w:val="ListDash2"/>
        <w:rPr>
          <w:noProof/>
        </w:rPr>
      </w:pPr>
      <w:r w:rsidRPr="008F6730">
        <w:rPr>
          <w:rFonts w:ascii="Wingdings" w:hAnsi="Wingdings"/>
          <w:noProof/>
        </w:rPr>
        <w:t></w:t>
      </w:r>
      <w:r w:rsidRPr="008F6730">
        <w:rPr>
          <w:noProof/>
        </w:rPr>
        <w:t xml:space="preserve"> međunarodnim organizacijama i njihovim agencijama (navesti)</w:t>
      </w:r>
    </w:p>
    <w:p w14:paraId="6B40BB3B" w14:textId="77777777" w:rsidR="000944F2" w:rsidRPr="008F6730" w:rsidRDefault="000944F2" w:rsidP="000944F2">
      <w:pPr>
        <w:pStyle w:val="ListDash2"/>
        <w:rPr>
          <w:noProof/>
        </w:rPr>
      </w:pPr>
      <w:r w:rsidRPr="008F6730">
        <w:rPr>
          <w:rFonts w:ascii="Wingdings" w:hAnsi="Wingdings"/>
          <w:noProof/>
        </w:rPr>
        <w:t></w:t>
      </w:r>
      <w:r w:rsidRPr="008F6730">
        <w:rPr>
          <w:noProof/>
        </w:rPr>
        <w:t xml:space="preserve"> EIB-u i Europskom investicijskom fondu</w:t>
      </w:r>
    </w:p>
    <w:p w14:paraId="2D5BC570" w14:textId="69225D97" w:rsidR="000944F2" w:rsidRPr="008F6730" w:rsidRDefault="00B17DE4" w:rsidP="00F41A56">
      <w:pPr>
        <w:rPr>
          <w:noProof/>
        </w:rPr>
      </w:pPr>
      <w:r w:rsidRPr="008F6730">
        <w:rPr>
          <w:noProof/>
        </w:rPr>
        <w:sym w:font="Wingdings" w:char="F0FE"/>
      </w:r>
      <w:r w:rsidRPr="008F6730">
        <w:rPr>
          <w:noProof/>
        </w:rPr>
        <w:t xml:space="preserve"> tijelima iz članaka 70. i 71. Financijske uredbe</w:t>
      </w:r>
    </w:p>
    <w:p w14:paraId="34B22F08" w14:textId="77777777" w:rsidR="000944F2" w:rsidRPr="008F6730" w:rsidRDefault="000944F2" w:rsidP="000944F2">
      <w:pPr>
        <w:pStyle w:val="ListDash2"/>
        <w:rPr>
          <w:noProof/>
        </w:rPr>
      </w:pPr>
      <w:r w:rsidRPr="008F6730">
        <w:rPr>
          <w:rFonts w:ascii="Wingdings" w:hAnsi="Wingdings"/>
          <w:noProof/>
        </w:rPr>
        <w:t></w:t>
      </w:r>
      <w:r w:rsidRPr="008F6730">
        <w:rPr>
          <w:noProof/>
        </w:rPr>
        <w:t xml:space="preserve"> tijelima javnog prava</w:t>
      </w:r>
    </w:p>
    <w:p w14:paraId="32C31B7A" w14:textId="77777777" w:rsidR="000944F2" w:rsidRPr="008F6730" w:rsidRDefault="000944F2" w:rsidP="000944F2">
      <w:pPr>
        <w:pStyle w:val="ListDash2"/>
        <w:rPr>
          <w:noProof/>
        </w:rPr>
      </w:pPr>
      <w:r w:rsidRPr="008F6730">
        <w:rPr>
          <w:rFonts w:ascii="Wingdings" w:hAnsi="Wingdings"/>
          <w:noProof/>
        </w:rPr>
        <w:t></w:t>
      </w:r>
      <w:r w:rsidRPr="008F6730">
        <w:rPr>
          <w:noProof/>
        </w:rPr>
        <w:t xml:space="preserve"> tijelima uređenima privatnim pravom koja pružaju javne usluge u mjeri u kojoj daju odgovarajuća financijska jamstva</w:t>
      </w:r>
    </w:p>
    <w:p w14:paraId="0201DB6F" w14:textId="2BD95025" w:rsidR="000944F2" w:rsidRPr="008F6730" w:rsidRDefault="000944F2" w:rsidP="000944F2">
      <w:pPr>
        <w:pStyle w:val="ListDash2"/>
        <w:rPr>
          <w:noProof/>
        </w:rPr>
      </w:pPr>
      <w:r w:rsidRPr="008F6730">
        <w:rPr>
          <w:rFonts w:ascii="Wingdings" w:hAnsi="Wingdings"/>
          <w:noProof/>
        </w:rPr>
        <w:t></w:t>
      </w:r>
      <w:r w:rsidRPr="008F6730">
        <w:rPr>
          <w:noProof/>
        </w:rPr>
        <w:t xml:space="preserve"> tijelima uređenima privatnim pravom države članice kojima je povjerena provedba javno-privatnog partnerstva i koja daju odgovarajuća financijska jamstva</w:t>
      </w:r>
    </w:p>
    <w:p w14:paraId="1C4BE913" w14:textId="77777777" w:rsidR="000944F2" w:rsidRPr="008F6730" w:rsidRDefault="000944F2" w:rsidP="000944F2">
      <w:pPr>
        <w:pStyle w:val="ListDash2"/>
        <w:rPr>
          <w:noProof/>
        </w:rPr>
      </w:pPr>
      <w:r w:rsidRPr="008F6730">
        <w:rPr>
          <w:rFonts w:ascii="Wingdings" w:hAnsi="Wingdings"/>
          <w:noProof/>
        </w:rPr>
        <w:t></w:t>
      </w:r>
      <w:r w:rsidRPr="008F6730">
        <w:rPr>
          <w:noProof/>
        </w:rPr>
        <w:t xml:space="preserve"> osobama kojima je povjerena provedba određenih djelovanja u području ZVSP-a u skladu s glavom V. UEU-a i koje su navedene u odgovarajućem temeljnom aktu.</w:t>
      </w:r>
    </w:p>
    <w:p w14:paraId="273936C7" w14:textId="77777777" w:rsidR="000944F2" w:rsidRPr="008F6730" w:rsidRDefault="000944F2" w:rsidP="000944F2">
      <w:pPr>
        <w:pStyle w:val="ListDash2"/>
        <w:rPr>
          <w:i/>
          <w:noProof/>
          <w:sz w:val="18"/>
          <w:u w:val="single"/>
        </w:rPr>
      </w:pPr>
      <w:r w:rsidRPr="008F6730">
        <w:rPr>
          <w:i/>
          <w:noProof/>
          <w:sz w:val="18"/>
        </w:rPr>
        <w:t>Ako je navedeno više načina upravljanja, potrebno je pojasniti u odjeljku „Napomene”.</w:t>
      </w:r>
    </w:p>
    <w:p w14:paraId="58F7359A" w14:textId="77777777" w:rsidR="000944F2" w:rsidRPr="008F6730" w:rsidRDefault="000944F2" w:rsidP="000944F2">
      <w:pPr>
        <w:rPr>
          <w:noProof/>
        </w:rPr>
      </w:pPr>
      <w:r w:rsidRPr="008F6730">
        <w:rPr>
          <w:noProof/>
        </w:rPr>
        <w:t xml:space="preserve">Napomene </w:t>
      </w:r>
    </w:p>
    <w:p w14:paraId="1ED02F76" w14:textId="77777777" w:rsidR="000944F2" w:rsidRPr="008F6730" w:rsidRDefault="000944F2" w:rsidP="000944F2">
      <w:pPr>
        <w:pBdr>
          <w:top w:val="single" w:sz="4" w:space="1" w:color="auto"/>
          <w:left w:val="single" w:sz="4" w:space="4" w:color="auto"/>
          <w:bottom w:val="single" w:sz="4" w:space="1" w:color="auto"/>
          <w:right w:val="single" w:sz="4" w:space="4" w:color="auto"/>
        </w:pBdr>
        <w:jc w:val="left"/>
        <w:rPr>
          <w:noProof/>
        </w:rPr>
        <w:sectPr w:rsidR="000944F2" w:rsidRPr="008F6730" w:rsidSect="00176A4E">
          <w:pgSz w:w="11907" w:h="16840" w:code="9"/>
          <w:pgMar w:top="1134" w:right="1418" w:bottom="1134" w:left="1418" w:header="709" w:footer="709" w:gutter="0"/>
          <w:cols w:space="708"/>
          <w:docGrid w:linePitch="360"/>
        </w:sectPr>
      </w:pPr>
      <w:r w:rsidRPr="008F6730">
        <w:rPr>
          <w:noProof/>
        </w:rPr>
        <w:t xml:space="preserve">Kako je navedeno u članku 8. predložene uredbe, Komisija će razviti niz metodologija certificiranja prilagođenih glavnim vrstama aktivnosti uklanjanja ugljika kako bi se osigurala ispravna, usklađena i troškovno učinkovita provedba EU-ovih kriterija kvalitete za uklanjanja ugljika. </w:t>
      </w:r>
    </w:p>
    <w:p w14:paraId="33B98587" w14:textId="5B2F32E1" w:rsidR="000944F2" w:rsidRPr="008F6730" w:rsidRDefault="009A61FA" w:rsidP="009A61FA">
      <w:pPr>
        <w:pStyle w:val="ManualHeading1"/>
        <w:rPr>
          <w:bCs/>
          <w:noProof/>
          <w:szCs w:val="24"/>
        </w:rPr>
      </w:pPr>
      <w:bookmarkStart w:id="183" w:name="_Toc514938041"/>
      <w:bookmarkStart w:id="184" w:name="_Toc520485042"/>
      <w:bookmarkStart w:id="185" w:name="_Toc125124907"/>
      <w:bookmarkStart w:id="186" w:name="_Toc125125365"/>
      <w:bookmarkStart w:id="187" w:name="_Toc125125610"/>
      <w:bookmarkStart w:id="188" w:name="_Toc125125718"/>
      <w:r w:rsidRPr="009A61FA">
        <w:t>2.</w:t>
      </w:r>
      <w:r w:rsidRPr="009A61FA">
        <w:tab/>
      </w:r>
      <w:r w:rsidR="000944F2" w:rsidRPr="008F6730">
        <w:rPr>
          <w:noProof/>
        </w:rPr>
        <w:t>MJERE UPRAVLJANJA</w:t>
      </w:r>
      <w:bookmarkEnd w:id="183"/>
      <w:bookmarkEnd w:id="184"/>
      <w:bookmarkEnd w:id="185"/>
      <w:bookmarkEnd w:id="186"/>
      <w:bookmarkEnd w:id="187"/>
      <w:bookmarkEnd w:id="188"/>
      <w:r w:rsidR="000944F2" w:rsidRPr="008F6730">
        <w:rPr>
          <w:noProof/>
        </w:rPr>
        <w:t xml:space="preserve"> </w:t>
      </w:r>
    </w:p>
    <w:p w14:paraId="6F4466B4" w14:textId="1AAF8933" w:rsidR="000944F2" w:rsidRPr="008F6730" w:rsidRDefault="009A61FA" w:rsidP="009A61FA">
      <w:pPr>
        <w:pStyle w:val="ManualHeading2"/>
        <w:rPr>
          <w:noProof/>
        </w:rPr>
      </w:pPr>
      <w:bookmarkStart w:id="189" w:name="_Toc514938042"/>
      <w:bookmarkStart w:id="190" w:name="_Toc520485043"/>
      <w:bookmarkStart w:id="191" w:name="_Toc125124908"/>
      <w:bookmarkStart w:id="192" w:name="_Toc125125366"/>
      <w:bookmarkStart w:id="193" w:name="_Toc125125611"/>
      <w:bookmarkStart w:id="194" w:name="_Toc125125719"/>
      <w:r w:rsidRPr="009A61FA">
        <w:t>2.1.</w:t>
      </w:r>
      <w:r w:rsidRPr="009A61FA">
        <w:tab/>
      </w:r>
      <w:r w:rsidR="000944F2" w:rsidRPr="008F6730">
        <w:rPr>
          <w:noProof/>
        </w:rPr>
        <w:t>Pravila praćenja i izvješćivanja</w:t>
      </w:r>
      <w:bookmarkEnd w:id="189"/>
      <w:bookmarkEnd w:id="190"/>
      <w:bookmarkEnd w:id="191"/>
      <w:bookmarkEnd w:id="192"/>
      <w:bookmarkEnd w:id="193"/>
      <w:bookmarkEnd w:id="194"/>
      <w:r w:rsidR="000944F2" w:rsidRPr="008F6730">
        <w:rPr>
          <w:noProof/>
        </w:rPr>
        <w:t xml:space="preserve"> </w:t>
      </w:r>
    </w:p>
    <w:p w14:paraId="2E24FF5A" w14:textId="77777777" w:rsidR="000944F2" w:rsidRPr="008F6730" w:rsidRDefault="000944F2" w:rsidP="000944F2">
      <w:pPr>
        <w:pStyle w:val="Text1"/>
        <w:rPr>
          <w:i/>
          <w:noProof/>
          <w:sz w:val="20"/>
        </w:rPr>
      </w:pPr>
      <w:r w:rsidRPr="008F6730">
        <w:rPr>
          <w:i/>
          <w:noProof/>
          <w:sz w:val="20"/>
        </w:rPr>
        <w:t>Navesti učestalost i uvjete.</w:t>
      </w:r>
    </w:p>
    <w:p w14:paraId="5C64F231" w14:textId="77777777" w:rsidR="000944F2" w:rsidRPr="008F6730" w:rsidRDefault="000944F2" w:rsidP="000944F2">
      <w:pPr>
        <w:pBdr>
          <w:top w:val="single" w:sz="4" w:space="1" w:color="auto"/>
          <w:left w:val="single" w:sz="4" w:space="4" w:color="auto"/>
          <w:bottom w:val="single" w:sz="4" w:space="1" w:color="auto"/>
          <w:right w:val="single" w:sz="4" w:space="4" w:color="auto"/>
        </w:pBdr>
        <w:ind w:left="850"/>
        <w:rPr>
          <w:noProof/>
        </w:rPr>
      </w:pPr>
      <w:bookmarkStart w:id="195" w:name="_Toc514938045"/>
      <w:bookmarkStart w:id="196" w:name="_Toc520485044"/>
      <w:r w:rsidRPr="008F6730">
        <w:rPr>
          <w:noProof/>
        </w:rPr>
        <w:t>Kako je utvrđeno u predloženoj uredbi, tvrdnje koje operateri iznose o uklanjanju ugljika morat će se redovito pratiti, o njima izvješćivati te će ih tijela za certifikaciju morati neovisno provjeravati. Ta će izvješća biti javno dostupna u registrima programâ certificiranja i sadržavat će znatnu količinu informacija o učincima predložene uredbe. Nadalje, podaci o kvantifikaciji uklanjanja ugljika te o praćenju, izvješćivanju i verifikaciji (MRV) koje prikupi EEA bit će jedan od glavnih izvora informacija na temelju kojih će Komisija ocjenjivati napredak u provedbi predložene uredbe. Osim toga, Komisija će provedbu certificiranih aktivnosti uklanjanja ugljika pratiti putem godišnjih izvješća programa certificiranja koje priznaje Komisija. Naposljetku, Komisija redovito provodi studije o raznim relevantnim aspektima klimatske politike EU-a.</w:t>
      </w:r>
    </w:p>
    <w:p w14:paraId="27AC1B1E" w14:textId="6EAC3A48" w:rsidR="000944F2" w:rsidRPr="008F6730" w:rsidRDefault="009A61FA" w:rsidP="009A61FA">
      <w:pPr>
        <w:pStyle w:val="ManualHeading2"/>
        <w:rPr>
          <w:noProof/>
        </w:rPr>
      </w:pPr>
      <w:bookmarkStart w:id="197" w:name="_Toc125124909"/>
      <w:bookmarkStart w:id="198" w:name="_Toc125125367"/>
      <w:bookmarkStart w:id="199" w:name="_Toc125125612"/>
      <w:bookmarkStart w:id="200" w:name="_Toc125125720"/>
      <w:r w:rsidRPr="009A61FA">
        <w:t>2.2.</w:t>
      </w:r>
      <w:r w:rsidRPr="009A61FA">
        <w:tab/>
      </w:r>
      <w:r w:rsidR="000944F2" w:rsidRPr="008F6730">
        <w:rPr>
          <w:noProof/>
        </w:rPr>
        <w:t>Sustavi upravljanja i kontrole</w:t>
      </w:r>
      <w:bookmarkEnd w:id="195"/>
      <w:bookmarkEnd w:id="196"/>
      <w:bookmarkEnd w:id="197"/>
      <w:bookmarkEnd w:id="198"/>
      <w:bookmarkEnd w:id="199"/>
      <w:bookmarkEnd w:id="200"/>
      <w:r w:rsidR="000944F2" w:rsidRPr="008F6730">
        <w:rPr>
          <w:noProof/>
        </w:rPr>
        <w:t xml:space="preserve"> </w:t>
      </w:r>
    </w:p>
    <w:p w14:paraId="10991529" w14:textId="0A836AFE" w:rsidR="000944F2" w:rsidRPr="008F6730" w:rsidRDefault="009A61FA" w:rsidP="009A61FA">
      <w:pPr>
        <w:pStyle w:val="ManualHeading3"/>
        <w:rPr>
          <w:noProof/>
        </w:rPr>
      </w:pPr>
      <w:bookmarkStart w:id="201" w:name="_Toc514938046"/>
      <w:bookmarkStart w:id="202" w:name="_Toc520485045"/>
      <w:bookmarkStart w:id="203" w:name="_Toc125124910"/>
      <w:bookmarkStart w:id="204" w:name="_Toc125125368"/>
      <w:bookmarkStart w:id="205" w:name="_Toc125125613"/>
      <w:bookmarkStart w:id="206" w:name="_Toc125125721"/>
      <w:r w:rsidRPr="009A61FA">
        <w:t>2.2.1.</w:t>
      </w:r>
      <w:r w:rsidRPr="009A61FA">
        <w:tab/>
      </w:r>
      <w:r w:rsidR="000944F2" w:rsidRPr="008F6730">
        <w:rPr>
          <w:noProof/>
        </w:rPr>
        <w:t>Obrazloženje načina upravljanja, mehanizama provedbe financiranja, načina plaćanja i predložene strategije kontrole</w:t>
      </w:r>
      <w:bookmarkEnd w:id="201"/>
      <w:bookmarkEnd w:id="202"/>
      <w:bookmarkEnd w:id="203"/>
      <w:bookmarkEnd w:id="204"/>
      <w:bookmarkEnd w:id="205"/>
      <w:bookmarkEnd w:id="206"/>
    </w:p>
    <w:p w14:paraId="5BCD6F67" w14:textId="77777777" w:rsidR="000944F2" w:rsidRPr="008F6730" w:rsidRDefault="000944F2" w:rsidP="000944F2">
      <w:pPr>
        <w:pStyle w:val="Text1"/>
        <w:pBdr>
          <w:top w:val="single" w:sz="4" w:space="1" w:color="auto"/>
          <w:left w:val="single" w:sz="4" w:space="4" w:color="auto"/>
          <w:bottom w:val="single" w:sz="4" w:space="1" w:color="auto"/>
          <w:right w:val="single" w:sz="4" w:space="4" w:color="auto"/>
        </w:pBdr>
        <w:rPr>
          <w:noProof/>
          <w:szCs w:val="24"/>
        </w:rPr>
      </w:pPr>
      <w:r w:rsidRPr="008F6730">
        <w:rPr>
          <w:noProof/>
        </w:rPr>
        <w:t>Nije primjenjivo – prijedlogom se ne provodi financijski program nego oblikuje dugoročna politika. Način upravljanja, mehanizmi provedbe financiranja, načini plaćanja i strategija kontrole povezana sa stopama pogreške nisu primjenjivi. Za provedbu ovog prijedloga bit će potrebna preraspodjela ljudskih resursa unutar Komisije i za početnu fazu i za fazu potpune operativnosti. Odgovarajući postupci već su uspostavljeni.</w:t>
      </w:r>
    </w:p>
    <w:p w14:paraId="7337B462" w14:textId="60F74E4B" w:rsidR="000944F2" w:rsidRPr="008F6730" w:rsidRDefault="009A61FA" w:rsidP="009A61FA">
      <w:pPr>
        <w:pStyle w:val="ManualHeading3"/>
        <w:rPr>
          <w:noProof/>
        </w:rPr>
      </w:pPr>
      <w:bookmarkStart w:id="207" w:name="_Toc514938047"/>
      <w:bookmarkStart w:id="208" w:name="_Toc520485046"/>
      <w:bookmarkStart w:id="209" w:name="_Toc125124911"/>
      <w:bookmarkStart w:id="210" w:name="_Toc125125369"/>
      <w:bookmarkStart w:id="211" w:name="_Toc125125614"/>
      <w:bookmarkStart w:id="212" w:name="_Toc125125722"/>
      <w:r w:rsidRPr="009A61FA">
        <w:t>2.2.2.</w:t>
      </w:r>
      <w:r w:rsidRPr="009A61FA">
        <w:tab/>
      </w:r>
      <w:r w:rsidR="000944F2" w:rsidRPr="008F6730">
        <w:rPr>
          <w:noProof/>
        </w:rPr>
        <w:t>Informacije o utvrđenim rizicima i uspostavljenim sustavima unutarnje kontrole za ublažavanje rizika</w:t>
      </w:r>
      <w:bookmarkEnd w:id="207"/>
      <w:bookmarkEnd w:id="208"/>
      <w:bookmarkEnd w:id="209"/>
      <w:bookmarkEnd w:id="210"/>
      <w:bookmarkEnd w:id="211"/>
      <w:bookmarkEnd w:id="212"/>
    </w:p>
    <w:p w14:paraId="3B0FF802" w14:textId="77777777" w:rsidR="000944F2" w:rsidRPr="008F6730" w:rsidRDefault="000944F2" w:rsidP="000944F2">
      <w:pPr>
        <w:pStyle w:val="Text1"/>
        <w:pBdr>
          <w:top w:val="single" w:sz="4" w:space="1" w:color="auto"/>
          <w:left w:val="single" w:sz="4" w:space="4" w:color="auto"/>
          <w:bottom w:val="single" w:sz="4" w:space="1" w:color="auto"/>
          <w:right w:val="single" w:sz="4" w:space="4" w:color="auto"/>
        </w:pBdr>
        <w:rPr>
          <w:noProof/>
          <w:color w:val="0000FF"/>
          <w:szCs w:val="24"/>
        </w:rPr>
      </w:pPr>
      <w:r w:rsidRPr="008F6730">
        <w:rPr>
          <w:rStyle w:val="markedcontent"/>
          <w:noProof/>
        </w:rPr>
        <w:t>Ovaj prijedlog ne donosi nove značajne kontrole/rizike koji ne bi bili</w:t>
      </w:r>
      <w:r w:rsidRPr="008F6730">
        <w:rPr>
          <w:noProof/>
        </w:rPr>
        <w:br/>
      </w:r>
      <w:r w:rsidRPr="008F6730">
        <w:rPr>
          <w:rStyle w:val="markedcontent"/>
          <w:noProof/>
        </w:rPr>
        <w:t>obuhvaćeni nekim od postojećih okvira za unutarnju kontrolu. Nisu predviđene posebne mjere osim</w:t>
      </w:r>
      <w:r w:rsidRPr="008F6730">
        <w:rPr>
          <w:noProof/>
        </w:rPr>
        <w:br/>
      </w:r>
      <w:r w:rsidRPr="008F6730">
        <w:rPr>
          <w:rStyle w:val="markedcontent"/>
          <w:noProof/>
        </w:rPr>
        <w:t>primjene Financijske uredbe.</w:t>
      </w:r>
    </w:p>
    <w:p w14:paraId="6EAA277C" w14:textId="77777777" w:rsidR="000944F2" w:rsidRPr="008F6730" w:rsidRDefault="000944F2" w:rsidP="000944F2">
      <w:pPr>
        <w:pStyle w:val="Text1"/>
        <w:ind w:left="0"/>
        <w:rPr>
          <w:noProof/>
        </w:rPr>
      </w:pPr>
    </w:p>
    <w:p w14:paraId="10B9BA2F" w14:textId="6622D2A1" w:rsidR="000944F2" w:rsidRPr="008F6730" w:rsidRDefault="009A61FA" w:rsidP="009A61FA">
      <w:pPr>
        <w:pStyle w:val="ManualHeading3"/>
        <w:rPr>
          <w:noProof/>
        </w:rPr>
      </w:pPr>
      <w:bookmarkStart w:id="213" w:name="_Toc514938048"/>
      <w:bookmarkStart w:id="214" w:name="_Toc520485047"/>
      <w:bookmarkStart w:id="215" w:name="_Toc125124912"/>
      <w:bookmarkStart w:id="216" w:name="_Toc125125370"/>
      <w:bookmarkStart w:id="217" w:name="_Toc125125615"/>
      <w:bookmarkStart w:id="218" w:name="_Toc125125723"/>
      <w:r w:rsidRPr="009A61FA">
        <w:t>2.2.3.</w:t>
      </w:r>
      <w:r w:rsidRPr="009A61FA">
        <w:tab/>
      </w:r>
      <w:r w:rsidR="000944F2" w:rsidRPr="008F6730">
        <w:rPr>
          <w:noProof/>
        </w:rPr>
        <w:t>Procjena i obrazloženje troškovne učinkovitosti kontrola (omjer troškova kontrole i vrijednosti sredstava kojima se upravlja) i procjena očekivane razine rizika od pogreške (pri plaćanju i pri zaključenju)</w:t>
      </w:r>
      <w:bookmarkEnd w:id="213"/>
      <w:bookmarkEnd w:id="214"/>
      <w:bookmarkEnd w:id="215"/>
      <w:bookmarkEnd w:id="216"/>
      <w:bookmarkEnd w:id="217"/>
      <w:bookmarkEnd w:id="218"/>
      <w:r w:rsidR="000944F2" w:rsidRPr="008F6730">
        <w:rPr>
          <w:noProof/>
        </w:rPr>
        <w:t xml:space="preserve"> </w:t>
      </w:r>
    </w:p>
    <w:p w14:paraId="4028538C" w14:textId="38FD3D3B" w:rsidR="000944F2" w:rsidRPr="008F6730" w:rsidRDefault="009A61FA" w:rsidP="009A61FA">
      <w:pPr>
        <w:pStyle w:val="ManualHeading2"/>
        <w:rPr>
          <w:noProof/>
        </w:rPr>
      </w:pPr>
      <w:bookmarkStart w:id="219" w:name="_Toc514938049"/>
      <w:bookmarkStart w:id="220" w:name="_Toc520485048"/>
      <w:bookmarkStart w:id="221" w:name="_Toc125124913"/>
      <w:bookmarkStart w:id="222" w:name="_Toc125125371"/>
      <w:bookmarkStart w:id="223" w:name="_Toc125125616"/>
      <w:bookmarkStart w:id="224" w:name="_Toc125125724"/>
      <w:r w:rsidRPr="009A61FA">
        <w:t>2.3.</w:t>
      </w:r>
      <w:r w:rsidRPr="009A61FA">
        <w:tab/>
      </w:r>
      <w:r w:rsidR="000944F2" w:rsidRPr="008F6730">
        <w:rPr>
          <w:noProof/>
        </w:rPr>
        <w:t>Mjere za sprečavanje prijevara i nepravilnosti</w:t>
      </w:r>
      <w:bookmarkEnd w:id="219"/>
      <w:bookmarkEnd w:id="220"/>
      <w:bookmarkEnd w:id="221"/>
      <w:bookmarkEnd w:id="222"/>
      <w:bookmarkEnd w:id="223"/>
      <w:bookmarkEnd w:id="224"/>
      <w:r w:rsidR="000944F2" w:rsidRPr="008F6730">
        <w:rPr>
          <w:noProof/>
        </w:rPr>
        <w:t xml:space="preserve"> </w:t>
      </w:r>
    </w:p>
    <w:p w14:paraId="6619FDB8" w14:textId="77777777" w:rsidR="000944F2" w:rsidRPr="008F6730" w:rsidRDefault="000944F2" w:rsidP="000944F2">
      <w:pPr>
        <w:pStyle w:val="Text1"/>
        <w:rPr>
          <w:i/>
          <w:noProof/>
          <w:szCs w:val="24"/>
        </w:rPr>
      </w:pPr>
      <w:r w:rsidRPr="008F6730">
        <w:rPr>
          <w:i/>
          <w:noProof/>
        </w:rPr>
        <w:t>Navesti postojeće ili predviđene mjere za sprečavanje i zaštitu, npr. iz strategije za borbu protiv prijevara.</w:t>
      </w:r>
    </w:p>
    <w:p w14:paraId="0E277036" w14:textId="77777777" w:rsidR="000944F2" w:rsidRPr="008F6730" w:rsidRDefault="000944F2" w:rsidP="000944F2">
      <w:pPr>
        <w:pStyle w:val="Text1"/>
        <w:pBdr>
          <w:top w:val="single" w:sz="4" w:space="1" w:color="auto"/>
          <w:left w:val="single" w:sz="4" w:space="4" w:color="auto"/>
          <w:bottom w:val="single" w:sz="4" w:space="1" w:color="auto"/>
          <w:right w:val="single" w:sz="4" w:space="4" w:color="auto"/>
        </w:pBdr>
        <w:rPr>
          <w:noProof/>
          <w:szCs w:val="24"/>
        </w:rPr>
      </w:pPr>
      <w:r w:rsidRPr="008F6730">
        <w:rPr>
          <w:rStyle w:val="markedcontent"/>
          <w:noProof/>
        </w:rPr>
        <w:t>Primjenjivat će se strategija Glavne uprave CLIMA za sprečavanje i otkrivanje prijevara.</w:t>
      </w:r>
    </w:p>
    <w:p w14:paraId="1A087E78" w14:textId="77777777" w:rsidR="000944F2" w:rsidRPr="008F6730" w:rsidRDefault="000944F2" w:rsidP="000944F2">
      <w:pPr>
        <w:pStyle w:val="Text1"/>
        <w:pBdr>
          <w:top w:val="single" w:sz="4" w:space="1" w:color="auto"/>
          <w:left w:val="single" w:sz="4" w:space="4" w:color="auto"/>
          <w:bottom w:val="single" w:sz="4" w:space="1" w:color="auto"/>
          <w:right w:val="single" w:sz="4" w:space="4" w:color="auto"/>
        </w:pBdr>
        <w:ind w:left="0"/>
        <w:rPr>
          <w:noProof/>
        </w:rPr>
        <w:sectPr w:rsidR="000944F2" w:rsidRPr="008F6730" w:rsidSect="00176A4E">
          <w:pgSz w:w="11907" w:h="16840" w:code="9"/>
          <w:pgMar w:top="1134" w:right="1418" w:bottom="1134" w:left="1418" w:header="709" w:footer="709" w:gutter="0"/>
          <w:cols w:space="708"/>
          <w:docGrid w:linePitch="360"/>
        </w:sectPr>
      </w:pPr>
    </w:p>
    <w:p w14:paraId="52E87392" w14:textId="69E6093C" w:rsidR="000944F2" w:rsidRPr="008F6730" w:rsidRDefault="009A61FA" w:rsidP="009A61FA">
      <w:pPr>
        <w:pStyle w:val="ManualHeading1"/>
        <w:rPr>
          <w:bCs/>
          <w:noProof/>
          <w:szCs w:val="24"/>
        </w:rPr>
      </w:pPr>
      <w:bookmarkStart w:id="225" w:name="_Toc514938050"/>
      <w:bookmarkStart w:id="226" w:name="_Toc520485049"/>
      <w:bookmarkStart w:id="227" w:name="_Toc125124914"/>
      <w:bookmarkStart w:id="228" w:name="_Toc125125372"/>
      <w:bookmarkStart w:id="229" w:name="_Toc125125617"/>
      <w:bookmarkStart w:id="230" w:name="_Toc125125725"/>
      <w:r w:rsidRPr="009A61FA">
        <w:t>3.</w:t>
      </w:r>
      <w:r w:rsidRPr="009A61FA">
        <w:tab/>
      </w:r>
      <w:r w:rsidR="000944F2" w:rsidRPr="008F6730">
        <w:rPr>
          <w:noProof/>
        </w:rPr>
        <w:t>PROCIJENJENI FINANCIJSKI UČINAK PRIJEDLOGA/INICIJATIVE</w:t>
      </w:r>
      <w:bookmarkEnd w:id="225"/>
      <w:bookmarkEnd w:id="226"/>
      <w:bookmarkEnd w:id="227"/>
      <w:bookmarkEnd w:id="228"/>
      <w:bookmarkEnd w:id="229"/>
      <w:bookmarkEnd w:id="230"/>
      <w:r w:rsidR="000944F2" w:rsidRPr="008F6730">
        <w:rPr>
          <w:noProof/>
        </w:rPr>
        <w:t xml:space="preserve"> </w:t>
      </w:r>
    </w:p>
    <w:p w14:paraId="3AA687CC" w14:textId="13A9887E" w:rsidR="000944F2" w:rsidRPr="008F6730" w:rsidRDefault="009A61FA" w:rsidP="009A61FA">
      <w:pPr>
        <w:pStyle w:val="ManualHeading2"/>
        <w:rPr>
          <w:noProof/>
        </w:rPr>
      </w:pPr>
      <w:bookmarkStart w:id="231" w:name="_Toc514938051"/>
      <w:bookmarkStart w:id="232" w:name="_Toc520485050"/>
      <w:bookmarkStart w:id="233" w:name="_Toc125124915"/>
      <w:bookmarkStart w:id="234" w:name="_Toc125125373"/>
      <w:bookmarkStart w:id="235" w:name="_Toc125125618"/>
      <w:bookmarkStart w:id="236" w:name="_Toc125125726"/>
      <w:r w:rsidRPr="009A61FA">
        <w:t>3.1.</w:t>
      </w:r>
      <w:r w:rsidRPr="009A61FA">
        <w:tab/>
      </w:r>
      <w:r w:rsidR="000944F2" w:rsidRPr="008F6730">
        <w:rPr>
          <w:noProof/>
        </w:rPr>
        <w:t>Naslovi višegodišnjeg financijskog okvira i proračunske linije rashoda na koje prijedlog/inicijativa ima učinak</w:t>
      </w:r>
      <w:bookmarkEnd w:id="231"/>
      <w:bookmarkEnd w:id="232"/>
      <w:bookmarkEnd w:id="233"/>
      <w:bookmarkEnd w:id="234"/>
      <w:bookmarkEnd w:id="235"/>
      <w:bookmarkEnd w:id="236"/>
      <w:r w:rsidR="000944F2" w:rsidRPr="008F6730">
        <w:rPr>
          <w:noProof/>
        </w:rPr>
        <w:t xml:space="preserve"> </w:t>
      </w:r>
    </w:p>
    <w:p w14:paraId="21B47C32" w14:textId="77777777" w:rsidR="000944F2" w:rsidRPr="008F6730" w:rsidRDefault="000944F2" w:rsidP="000944F2">
      <w:pPr>
        <w:pStyle w:val="ListBullet1"/>
        <w:rPr>
          <w:noProof/>
        </w:rPr>
      </w:pPr>
      <w:r w:rsidRPr="008F6730">
        <w:rPr>
          <w:noProof/>
        </w:rPr>
        <w:t xml:space="preserve">Postojeće proračunske linije </w:t>
      </w:r>
    </w:p>
    <w:p w14:paraId="240D50E6" w14:textId="77777777" w:rsidR="000944F2" w:rsidRPr="008F6730" w:rsidRDefault="000944F2" w:rsidP="000944F2">
      <w:pPr>
        <w:pStyle w:val="Text1"/>
        <w:rPr>
          <w:i/>
          <w:noProof/>
        </w:rPr>
      </w:pPr>
      <w:r w:rsidRPr="008F6730">
        <w:rPr>
          <w:i/>
          <w:noProof/>
          <w:u w:val="single"/>
        </w:rPr>
        <w:t>Prema redoslijedu</w:t>
      </w:r>
      <w:r w:rsidRPr="008F6730">
        <w:rPr>
          <w:i/>
          <w:noProof/>
        </w:rPr>
        <w:t xml:space="preserve"> naslova višegodišnjeg financijskog okvira i proračunskih linija.</w:t>
      </w:r>
    </w:p>
    <w:tbl>
      <w:tblPr>
        <w:tblW w:w="105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11"/>
        <w:gridCol w:w="3829"/>
        <w:gridCol w:w="1080"/>
        <w:gridCol w:w="956"/>
        <w:gridCol w:w="1222"/>
        <w:gridCol w:w="814"/>
        <w:gridCol w:w="1448"/>
      </w:tblGrid>
      <w:tr w:rsidR="000944F2" w:rsidRPr="008F6730" w14:paraId="2F03A0CA" w14:textId="77777777" w:rsidTr="00BA0439">
        <w:tc>
          <w:tcPr>
            <w:tcW w:w="1211" w:type="dxa"/>
            <w:vMerge w:val="restart"/>
            <w:vAlign w:val="center"/>
          </w:tcPr>
          <w:p w14:paraId="2DE54D04" w14:textId="77777777" w:rsidR="000944F2" w:rsidRPr="008F6730" w:rsidRDefault="000944F2" w:rsidP="000944F2">
            <w:pPr>
              <w:spacing w:before="60" w:after="60"/>
              <w:jc w:val="center"/>
              <w:rPr>
                <w:noProof/>
              </w:rPr>
            </w:pPr>
            <w:r w:rsidRPr="008F6730">
              <w:rPr>
                <w:noProof/>
                <w:sz w:val="18"/>
              </w:rPr>
              <w:t>Naslov višegodišnjeg financijskog okvira</w:t>
            </w:r>
          </w:p>
        </w:tc>
        <w:tc>
          <w:tcPr>
            <w:tcW w:w="3829" w:type="dxa"/>
            <w:vAlign w:val="center"/>
          </w:tcPr>
          <w:p w14:paraId="50C8548A" w14:textId="77777777" w:rsidR="000944F2" w:rsidRPr="008F6730" w:rsidRDefault="000944F2" w:rsidP="000944F2">
            <w:pPr>
              <w:spacing w:before="60" w:after="60"/>
              <w:jc w:val="center"/>
              <w:rPr>
                <w:noProof/>
              </w:rPr>
            </w:pPr>
            <w:r w:rsidRPr="008F6730">
              <w:rPr>
                <w:noProof/>
                <w:sz w:val="20"/>
              </w:rPr>
              <w:t>Proračunska linija</w:t>
            </w:r>
          </w:p>
        </w:tc>
        <w:tc>
          <w:tcPr>
            <w:tcW w:w="1080" w:type="dxa"/>
            <w:vAlign w:val="center"/>
          </w:tcPr>
          <w:p w14:paraId="306013EA" w14:textId="77777777" w:rsidR="000944F2" w:rsidRPr="0049010F" w:rsidRDefault="000944F2" w:rsidP="000944F2">
            <w:pPr>
              <w:spacing w:before="60" w:after="60"/>
              <w:jc w:val="center"/>
              <w:rPr>
                <w:noProof/>
                <w:sz w:val="20"/>
                <w:szCs w:val="20"/>
              </w:rPr>
            </w:pPr>
            <w:r w:rsidRPr="0049010F">
              <w:rPr>
                <w:noProof/>
                <w:sz w:val="20"/>
                <w:szCs w:val="20"/>
              </w:rPr>
              <w:t>Vrsta</w:t>
            </w:r>
            <w:r w:rsidRPr="0049010F">
              <w:rPr>
                <w:noProof/>
                <w:sz w:val="20"/>
                <w:szCs w:val="20"/>
              </w:rPr>
              <w:br/>
              <w:t>rashoda</w:t>
            </w:r>
          </w:p>
        </w:tc>
        <w:tc>
          <w:tcPr>
            <w:tcW w:w="4440" w:type="dxa"/>
            <w:gridSpan w:val="4"/>
            <w:vAlign w:val="center"/>
          </w:tcPr>
          <w:p w14:paraId="70E8D36B" w14:textId="77777777" w:rsidR="000944F2" w:rsidRPr="008F6730" w:rsidRDefault="000944F2" w:rsidP="000944F2">
            <w:pPr>
              <w:spacing w:before="60" w:after="60"/>
              <w:jc w:val="center"/>
              <w:rPr>
                <w:noProof/>
              </w:rPr>
            </w:pPr>
            <w:r w:rsidRPr="008F6730">
              <w:rPr>
                <w:noProof/>
                <w:sz w:val="20"/>
              </w:rPr>
              <w:t xml:space="preserve">Doprinos </w:t>
            </w:r>
          </w:p>
        </w:tc>
      </w:tr>
      <w:tr w:rsidR="000944F2" w:rsidRPr="008F6730" w14:paraId="331A0B43" w14:textId="77777777" w:rsidTr="00BA0439">
        <w:tc>
          <w:tcPr>
            <w:tcW w:w="1211" w:type="dxa"/>
            <w:vMerge/>
            <w:vAlign w:val="center"/>
          </w:tcPr>
          <w:p w14:paraId="393C3508" w14:textId="77777777" w:rsidR="000944F2" w:rsidRPr="008F6730" w:rsidRDefault="000944F2" w:rsidP="000944F2">
            <w:pPr>
              <w:jc w:val="center"/>
              <w:rPr>
                <w:noProof/>
              </w:rPr>
            </w:pPr>
          </w:p>
        </w:tc>
        <w:tc>
          <w:tcPr>
            <w:tcW w:w="3829" w:type="dxa"/>
            <w:vAlign w:val="center"/>
          </w:tcPr>
          <w:p w14:paraId="55CB50F7" w14:textId="77777777" w:rsidR="000944F2" w:rsidRPr="008F6730" w:rsidRDefault="000944F2" w:rsidP="000944F2">
            <w:pPr>
              <w:rPr>
                <w:noProof/>
              </w:rPr>
            </w:pPr>
            <w:r w:rsidRPr="008F6730">
              <w:rPr>
                <w:noProof/>
                <w:sz w:val="20"/>
              </w:rPr>
              <w:t xml:space="preserve">Broj </w:t>
            </w:r>
            <w:r w:rsidRPr="008F6730">
              <w:rPr>
                <w:noProof/>
                <w:sz w:val="22"/>
              </w:rPr>
              <w:br/>
            </w:r>
          </w:p>
        </w:tc>
        <w:tc>
          <w:tcPr>
            <w:tcW w:w="1080" w:type="dxa"/>
            <w:vAlign w:val="center"/>
          </w:tcPr>
          <w:p w14:paraId="73EE047F" w14:textId="77777777" w:rsidR="000944F2" w:rsidRPr="008F6730" w:rsidRDefault="000944F2" w:rsidP="000944F2">
            <w:pPr>
              <w:jc w:val="center"/>
              <w:rPr>
                <w:noProof/>
              </w:rPr>
            </w:pPr>
            <w:r w:rsidRPr="008F6730">
              <w:rPr>
                <w:noProof/>
                <w:sz w:val="18"/>
              </w:rPr>
              <w:t>Dif./nedif.</w:t>
            </w:r>
            <w:r w:rsidRPr="008F6730">
              <w:rPr>
                <w:rStyle w:val="FootnoteReference"/>
                <w:noProof/>
                <w:sz w:val="18"/>
              </w:rPr>
              <w:footnoteReference w:id="44"/>
            </w:r>
          </w:p>
        </w:tc>
        <w:tc>
          <w:tcPr>
            <w:tcW w:w="956" w:type="dxa"/>
            <w:vAlign w:val="center"/>
          </w:tcPr>
          <w:p w14:paraId="0D2F6424" w14:textId="77777777" w:rsidR="000944F2" w:rsidRPr="008F6730" w:rsidRDefault="000944F2" w:rsidP="000944F2">
            <w:pPr>
              <w:jc w:val="center"/>
              <w:rPr>
                <w:noProof/>
              </w:rPr>
            </w:pPr>
            <w:r w:rsidRPr="008F6730">
              <w:rPr>
                <w:noProof/>
                <w:sz w:val="18"/>
              </w:rPr>
              <w:t>zemalja EFTA-e</w:t>
            </w:r>
            <w:r w:rsidRPr="008F6730">
              <w:rPr>
                <w:rStyle w:val="FootnoteReference"/>
                <w:noProof/>
                <w:sz w:val="18"/>
              </w:rPr>
              <w:footnoteReference w:id="45"/>
            </w:r>
          </w:p>
          <w:p w14:paraId="6E21710C" w14:textId="77777777" w:rsidR="000944F2" w:rsidRPr="008F6730" w:rsidRDefault="000944F2" w:rsidP="000944F2">
            <w:pPr>
              <w:spacing w:before="0" w:after="0"/>
              <w:jc w:val="center"/>
              <w:rPr>
                <w:b/>
                <w:noProof/>
                <w:sz w:val="18"/>
              </w:rPr>
            </w:pPr>
          </w:p>
        </w:tc>
        <w:tc>
          <w:tcPr>
            <w:tcW w:w="1222" w:type="dxa"/>
            <w:vAlign w:val="center"/>
          </w:tcPr>
          <w:p w14:paraId="13FACD80" w14:textId="77777777" w:rsidR="000944F2" w:rsidRPr="008F6730" w:rsidRDefault="000944F2" w:rsidP="000944F2">
            <w:pPr>
              <w:jc w:val="center"/>
              <w:rPr>
                <w:noProof/>
              </w:rPr>
            </w:pPr>
            <w:r w:rsidRPr="008F6730">
              <w:rPr>
                <w:noProof/>
                <w:sz w:val="18"/>
              </w:rPr>
              <w:t>zemalja kandidatkinja</w:t>
            </w:r>
            <w:r w:rsidRPr="008F6730">
              <w:rPr>
                <w:rStyle w:val="FootnoteReference"/>
                <w:noProof/>
                <w:sz w:val="18"/>
              </w:rPr>
              <w:footnoteReference w:id="46"/>
            </w:r>
          </w:p>
          <w:p w14:paraId="17AA6FF5" w14:textId="77777777" w:rsidR="000944F2" w:rsidRPr="008F6730" w:rsidRDefault="000944F2" w:rsidP="000944F2">
            <w:pPr>
              <w:spacing w:before="0" w:after="0"/>
              <w:jc w:val="center"/>
              <w:rPr>
                <w:noProof/>
                <w:sz w:val="18"/>
              </w:rPr>
            </w:pPr>
          </w:p>
        </w:tc>
        <w:tc>
          <w:tcPr>
            <w:tcW w:w="814" w:type="dxa"/>
            <w:vAlign w:val="center"/>
          </w:tcPr>
          <w:p w14:paraId="0095D649" w14:textId="77777777" w:rsidR="000944F2" w:rsidRPr="008F6730" w:rsidRDefault="000944F2" w:rsidP="000944F2">
            <w:pPr>
              <w:jc w:val="center"/>
              <w:rPr>
                <w:noProof/>
                <w:sz w:val="18"/>
              </w:rPr>
            </w:pPr>
            <w:r w:rsidRPr="008F6730">
              <w:rPr>
                <w:noProof/>
                <w:sz w:val="18"/>
              </w:rPr>
              <w:t>trećih zemalja</w:t>
            </w:r>
          </w:p>
        </w:tc>
        <w:tc>
          <w:tcPr>
            <w:tcW w:w="1448" w:type="dxa"/>
            <w:vAlign w:val="center"/>
          </w:tcPr>
          <w:p w14:paraId="0F4A5E8D" w14:textId="77777777" w:rsidR="000944F2" w:rsidRPr="008F6730" w:rsidRDefault="000944F2" w:rsidP="000944F2">
            <w:pPr>
              <w:jc w:val="center"/>
              <w:rPr>
                <w:noProof/>
              </w:rPr>
            </w:pPr>
            <w:r w:rsidRPr="008F6730">
              <w:rPr>
                <w:noProof/>
                <w:sz w:val="16"/>
              </w:rPr>
              <w:t xml:space="preserve">u smislu članka 21. stavka 2. točke (b) Financijske uredbe </w:t>
            </w:r>
          </w:p>
        </w:tc>
      </w:tr>
      <w:tr w:rsidR="000944F2" w:rsidRPr="008F6730" w14:paraId="1F8C73B4" w14:textId="77777777" w:rsidTr="00BA0439">
        <w:tc>
          <w:tcPr>
            <w:tcW w:w="1211" w:type="dxa"/>
            <w:vAlign w:val="center"/>
          </w:tcPr>
          <w:p w14:paraId="092EC5A0" w14:textId="77777777" w:rsidR="000944F2" w:rsidRPr="008F6730" w:rsidRDefault="000944F2" w:rsidP="000944F2">
            <w:pPr>
              <w:jc w:val="center"/>
              <w:rPr>
                <w:noProof/>
                <w:sz w:val="20"/>
                <w:szCs w:val="20"/>
              </w:rPr>
            </w:pPr>
            <w:r w:rsidRPr="008F6730">
              <w:rPr>
                <w:noProof/>
                <w:sz w:val="20"/>
              </w:rPr>
              <w:t>3.</w:t>
            </w:r>
          </w:p>
        </w:tc>
        <w:tc>
          <w:tcPr>
            <w:tcW w:w="3829" w:type="dxa"/>
            <w:vAlign w:val="center"/>
          </w:tcPr>
          <w:p w14:paraId="62603066" w14:textId="77777777" w:rsidR="000944F2" w:rsidRPr="008F6730" w:rsidRDefault="000944F2" w:rsidP="000944F2">
            <w:pPr>
              <w:spacing w:before="60"/>
              <w:rPr>
                <w:noProof/>
              </w:rPr>
            </w:pPr>
            <w:r w:rsidRPr="008F6730">
              <w:rPr>
                <w:noProof/>
                <w:sz w:val="22"/>
              </w:rPr>
              <w:t>09 02 03</w:t>
            </w:r>
          </w:p>
        </w:tc>
        <w:tc>
          <w:tcPr>
            <w:tcW w:w="1080" w:type="dxa"/>
            <w:vAlign w:val="center"/>
          </w:tcPr>
          <w:p w14:paraId="1F2DB420" w14:textId="77777777" w:rsidR="000944F2" w:rsidRPr="008F6730" w:rsidRDefault="000944F2" w:rsidP="000944F2">
            <w:pPr>
              <w:jc w:val="center"/>
              <w:rPr>
                <w:noProof/>
                <w:color w:val="0000FF"/>
              </w:rPr>
            </w:pPr>
            <w:r w:rsidRPr="008F6730">
              <w:rPr>
                <w:noProof/>
                <w:sz w:val="22"/>
              </w:rPr>
              <w:t>Dif.</w:t>
            </w:r>
          </w:p>
        </w:tc>
        <w:tc>
          <w:tcPr>
            <w:tcW w:w="956" w:type="dxa"/>
            <w:vAlign w:val="center"/>
          </w:tcPr>
          <w:p w14:paraId="3764038C" w14:textId="77777777" w:rsidR="000944F2" w:rsidRPr="008F6730" w:rsidRDefault="000944F2" w:rsidP="000944F2">
            <w:pPr>
              <w:jc w:val="center"/>
              <w:rPr>
                <w:noProof/>
                <w:sz w:val="20"/>
                <w:szCs w:val="20"/>
              </w:rPr>
            </w:pPr>
            <w:r w:rsidRPr="008F6730">
              <w:rPr>
                <w:noProof/>
                <w:sz w:val="20"/>
              </w:rPr>
              <w:t>DA</w:t>
            </w:r>
          </w:p>
        </w:tc>
        <w:tc>
          <w:tcPr>
            <w:tcW w:w="1222" w:type="dxa"/>
            <w:vAlign w:val="center"/>
          </w:tcPr>
          <w:p w14:paraId="12E8D61F" w14:textId="77777777" w:rsidR="000944F2" w:rsidRPr="008F6730" w:rsidRDefault="000944F2" w:rsidP="000944F2">
            <w:pPr>
              <w:jc w:val="center"/>
              <w:rPr>
                <w:noProof/>
                <w:sz w:val="20"/>
                <w:szCs w:val="20"/>
              </w:rPr>
            </w:pPr>
            <w:r w:rsidRPr="008F6730">
              <w:rPr>
                <w:noProof/>
                <w:sz w:val="20"/>
              </w:rPr>
              <w:t>NE</w:t>
            </w:r>
          </w:p>
        </w:tc>
        <w:tc>
          <w:tcPr>
            <w:tcW w:w="814" w:type="dxa"/>
            <w:vAlign w:val="center"/>
          </w:tcPr>
          <w:p w14:paraId="096B28F3" w14:textId="77777777" w:rsidR="000944F2" w:rsidRPr="008F6730" w:rsidRDefault="000944F2" w:rsidP="000944F2">
            <w:pPr>
              <w:jc w:val="center"/>
              <w:rPr>
                <w:noProof/>
                <w:sz w:val="20"/>
                <w:szCs w:val="20"/>
              </w:rPr>
            </w:pPr>
            <w:r w:rsidRPr="008F6730">
              <w:rPr>
                <w:noProof/>
                <w:sz w:val="20"/>
              </w:rPr>
              <w:t>NE</w:t>
            </w:r>
          </w:p>
        </w:tc>
        <w:tc>
          <w:tcPr>
            <w:tcW w:w="1448" w:type="dxa"/>
            <w:vAlign w:val="center"/>
          </w:tcPr>
          <w:p w14:paraId="6F0EA2E7" w14:textId="77777777" w:rsidR="000944F2" w:rsidRPr="008F6730" w:rsidRDefault="000944F2" w:rsidP="000944F2">
            <w:pPr>
              <w:jc w:val="center"/>
              <w:rPr>
                <w:noProof/>
                <w:sz w:val="20"/>
                <w:szCs w:val="20"/>
              </w:rPr>
            </w:pPr>
            <w:r w:rsidRPr="008F6730">
              <w:rPr>
                <w:noProof/>
                <w:sz w:val="20"/>
              </w:rPr>
              <w:t>NE</w:t>
            </w:r>
          </w:p>
        </w:tc>
      </w:tr>
      <w:tr w:rsidR="000944F2" w:rsidRPr="008F6730" w14:paraId="311A81DA" w14:textId="77777777" w:rsidTr="00BA0439">
        <w:tc>
          <w:tcPr>
            <w:tcW w:w="1211" w:type="dxa"/>
            <w:vAlign w:val="center"/>
          </w:tcPr>
          <w:p w14:paraId="6A3F7690" w14:textId="77777777" w:rsidR="000944F2" w:rsidRPr="008F6730" w:rsidDel="00004A97" w:rsidRDefault="000944F2" w:rsidP="000944F2">
            <w:pPr>
              <w:jc w:val="center"/>
              <w:rPr>
                <w:noProof/>
                <w:sz w:val="20"/>
                <w:szCs w:val="20"/>
              </w:rPr>
            </w:pPr>
            <w:r w:rsidRPr="008F6730">
              <w:rPr>
                <w:noProof/>
                <w:sz w:val="20"/>
              </w:rPr>
              <w:t>3.</w:t>
            </w:r>
          </w:p>
        </w:tc>
        <w:tc>
          <w:tcPr>
            <w:tcW w:w="3829" w:type="dxa"/>
            <w:vAlign w:val="center"/>
          </w:tcPr>
          <w:p w14:paraId="1FB458AB" w14:textId="77777777" w:rsidR="000944F2" w:rsidRPr="008F6730" w:rsidRDefault="000944F2" w:rsidP="000944F2">
            <w:pPr>
              <w:jc w:val="left"/>
              <w:rPr>
                <w:noProof/>
                <w:sz w:val="20"/>
                <w:szCs w:val="20"/>
              </w:rPr>
            </w:pPr>
            <w:r w:rsidRPr="008F6730">
              <w:rPr>
                <w:noProof/>
                <w:sz w:val="20"/>
              </w:rPr>
              <w:t>09 10 02</w:t>
            </w:r>
          </w:p>
        </w:tc>
        <w:tc>
          <w:tcPr>
            <w:tcW w:w="1080" w:type="dxa"/>
            <w:vAlign w:val="center"/>
          </w:tcPr>
          <w:p w14:paraId="64BA503E" w14:textId="77777777" w:rsidR="000944F2" w:rsidRPr="008F6730" w:rsidRDefault="000944F2" w:rsidP="000944F2">
            <w:pPr>
              <w:jc w:val="center"/>
              <w:rPr>
                <w:noProof/>
                <w:sz w:val="20"/>
                <w:szCs w:val="20"/>
              </w:rPr>
            </w:pPr>
            <w:r w:rsidRPr="008F6730">
              <w:rPr>
                <w:noProof/>
                <w:sz w:val="20"/>
              </w:rPr>
              <w:t>Dif.</w:t>
            </w:r>
          </w:p>
        </w:tc>
        <w:tc>
          <w:tcPr>
            <w:tcW w:w="956" w:type="dxa"/>
          </w:tcPr>
          <w:p w14:paraId="5AA5363C" w14:textId="77777777" w:rsidR="000944F2" w:rsidRPr="008F6730" w:rsidRDefault="000944F2" w:rsidP="000944F2">
            <w:pPr>
              <w:jc w:val="center"/>
              <w:rPr>
                <w:noProof/>
                <w:sz w:val="20"/>
                <w:szCs w:val="20"/>
              </w:rPr>
            </w:pPr>
            <w:r w:rsidRPr="008F6730">
              <w:rPr>
                <w:noProof/>
                <w:sz w:val="20"/>
              </w:rPr>
              <w:t>DA</w:t>
            </w:r>
          </w:p>
        </w:tc>
        <w:tc>
          <w:tcPr>
            <w:tcW w:w="1222" w:type="dxa"/>
          </w:tcPr>
          <w:p w14:paraId="0F1E823A" w14:textId="77777777" w:rsidR="000944F2" w:rsidRPr="008F6730" w:rsidRDefault="000944F2" w:rsidP="000944F2">
            <w:pPr>
              <w:jc w:val="center"/>
              <w:rPr>
                <w:noProof/>
                <w:sz w:val="20"/>
                <w:szCs w:val="20"/>
              </w:rPr>
            </w:pPr>
            <w:r w:rsidRPr="008F6730">
              <w:rPr>
                <w:noProof/>
                <w:sz w:val="20"/>
              </w:rPr>
              <w:t>DA</w:t>
            </w:r>
          </w:p>
        </w:tc>
        <w:tc>
          <w:tcPr>
            <w:tcW w:w="814" w:type="dxa"/>
          </w:tcPr>
          <w:p w14:paraId="2076AA2A" w14:textId="77777777" w:rsidR="000944F2" w:rsidRPr="008F6730" w:rsidRDefault="000944F2" w:rsidP="000944F2">
            <w:pPr>
              <w:jc w:val="center"/>
              <w:rPr>
                <w:noProof/>
                <w:sz w:val="20"/>
                <w:szCs w:val="20"/>
              </w:rPr>
            </w:pPr>
            <w:r w:rsidRPr="008F6730">
              <w:rPr>
                <w:noProof/>
                <w:sz w:val="20"/>
              </w:rPr>
              <w:t>DA</w:t>
            </w:r>
          </w:p>
        </w:tc>
        <w:tc>
          <w:tcPr>
            <w:tcW w:w="1448" w:type="dxa"/>
          </w:tcPr>
          <w:p w14:paraId="036ABE7D" w14:textId="77777777" w:rsidR="000944F2" w:rsidRPr="008F6730" w:rsidRDefault="000944F2" w:rsidP="000944F2">
            <w:pPr>
              <w:jc w:val="center"/>
              <w:rPr>
                <w:noProof/>
                <w:sz w:val="20"/>
                <w:szCs w:val="20"/>
              </w:rPr>
            </w:pPr>
            <w:r w:rsidRPr="008F6730">
              <w:rPr>
                <w:noProof/>
                <w:sz w:val="20"/>
              </w:rPr>
              <w:t>NE</w:t>
            </w:r>
          </w:p>
        </w:tc>
      </w:tr>
      <w:tr w:rsidR="000944F2" w:rsidRPr="008F6730" w14:paraId="39001A36" w14:textId="77777777" w:rsidTr="00BA0439">
        <w:tc>
          <w:tcPr>
            <w:tcW w:w="1211" w:type="dxa"/>
            <w:vAlign w:val="center"/>
          </w:tcPr>
          <w:p w14:paraId="60F443C3" w14:textId="77777777" w:rsidR="000944F2" w:rsidRPr="008F6730" w:rsidRDefault="000944F2" w:rsidP="000944F2">
            <w:pPr>
              <w:jc w:val="center"/>
              <w:rPr>
                <w:noProof/>
                <w:sz w:val="20"/>
                <w:szCs w:val="20"/>
              </w:rPr>
            </w:pPr>
            <w:r w:rsidRPr="008F6730">
              <w:rPr>
                <w:noProof/>
                <w:sz w:val="20"/>
              </w:rPr>
              <w:t>7.</w:t>
            </w:r>
          </w:p>
        </w:tc>
        <w:tc>
          <w:tcPr>
            <w:tcW w:w="3829" w:type="dxa"/>
            <w:vAlign w:val="center"/>
          </w:tcPr>
          <w:p w14:paraId="15D87931" w14:textId="77777777" w:rsidR="000944F2" w:rsidRPr="008F6730" w:rsidRDefault="000944F2" w:rsidP="000944F2">
            <w:pPr>
              <w:spacing w:before="60"/>
              <w:rPr>
                <w:noProof/>
                <w:sz w:val="22"/>
              </w:rPr>
            </w:pPr>
            <w:r w:rsidRPr="008F6730">
              <w:rPr>
                <w:noProof/>
                <w:sz w:val="22"/>
              </w:rPr>
              <w:t>20 01 02 01</w:t>
            </w:r>
          </w:p>
        </w:tc>
        <w:tc>
          <w:tcPr>
            <w:tcW w:w="1080" w:type="dxa"/>
            <w:vAlign w:val="center"/>
          </w:tcPr>
          <w:p w14:paraId="2CAE0F1D" w14:textId="77777777" w:rsidR="000944F2" w:rsidRPr="008F6730" w:rsidRDefault="000944F2" w:rsidP="000944F2">
            <w:pPr>
              <w:jc w:val="center"/>
              <w:rPr>
                <w:noProof/>
                <w:sz w:val="22"/>
              </w:rPr>
            </w:pPr>
            <w:r w:rsidRPr="008F6730">
              <w:rPr>
                <w:noProof/>
                <w:sz w:val="22"/>
              </w:rPr>
              <w:t>Nedif.</w:t>
            </w:r>
          </w:p>
        </w:tc>
        <w:tc>
          <w:tcPr>
            <w:tcW w:w="956" w:type="dxa"/>
          </w:tcPr>
          <w:p w14:paraId="2C869BDC" w14:textId="77777777" w:rsidR="000944F2" w:rsidRPr="008F6730" w:rsidRDefault="000944F2" w:rsidP="000944F2">
            <w:pPr>
              <w:jc w:val="center"/>
              <w:rPr>
                <w:noProof/>
                <w:sz w:val="20"/>
                <w:szCs w:val="20"/>
              </w:rPr>
            </w:pPr>
            <w:r w:rsidRPr="008F6730">
              <w:rPr>
                <w:noProof/>
                <w:sz w:val="20"/>
              </w:rPr>
              <w:t>NE</w:t>
            </w:r>
          </w:p>
        </w:tc>
        <w:tc>
          <w:tcPr>
            <w:tcW w:w="1222" w:type="dxa"/>
          </w:tcPr>
          <w:p w14:paraId="431615F9" w14:textId="77777777" w:rsidR="000944F2" w:rsidRPr="008F6730" w:rsidRDefault="000944F2" w:rsidP="000944F2">
            <w:pPr>
              <w:jc w:val="center"/>
              <w:rPr>
                <w:noProof/>
                <w:sz w:val="20"/>
                <w:szCs w:val="20"/>
              </w:rPr>
            </w:pPr>
            <w:r w:rsidRPr="008F6730">
              <w:rPr>
                <w:noProof/>
                <w:sz w:val="20"/>
              </w:rPr>
              <w:t>NE</w:t>
            </w:r>
          </w:p>
        </w:tc>
        <w:tc>
          <w:tcPr>
            <w:tcW w:w="814" w:type="dxa"/>
          </w:tcPr>
          <w:p w14:paraId="4155BD23" w14:textId="77777777" w:rsidR="000944F2" w:rsidRPr="008F6730" w:rsidRDefault="000944F2" w:rsidP="000944F2">
            <w:pPr>
              <w:jc w:val="center"/>
              <w:rPr>
                <w:noProof/>
                <w:sz w:val="20"/>
                <w:szCs w:val="20"/>
              </w:rPr>
            </w:pPr>
            <w:r w:rsidRPr="008F6730">
              <w:rPr>
                <w:noProof/>
                <w:sz w:val="20"/>
              </w:rPr>
              <w:t>NE</w:t>
            </w:r>
          </w:p>
        </w:tc>
        <w:tc>
          <w:tcPr>
            <w:tcW w:w="1448" w:type="dxa"/>
          </w:tcPr>
          <w:p w14:paraId="1145ACBA" w14:textId="77777777" w:rsidR="000944F2" w:rsidRPr="008F6730" w:rsidRDefault="000944F2" w:rsidP="000944F2">
            <w:pPr>
              <w:jc w:val="center"/>
              <w:rPr>
                <w:noProof/>
                <w:sz w:val="20"/>
                <w:szCs w:val="20"/>
              </w:rPr>
            </w:pPr>
            <w:r w:rsidRPr="008F6730">
              <w:rPr>
                <w:noProof/>
                <w:sz w:val="20"/>
              </w:rPr>
              <w:t>NE</w:t>
            </w:r>
          </w:p>
        </w:tc>
      </w:tr>
      <w:tr w:rsidR="000944F2" w:rsidRPr="008F6730" w14:paraId="31041AD9" w14:textId="77777777" w:rsidTr="00BA0439">
        <w:tc>
          <w:tcPr>
            <w:tcW w:w="1211" w:type="dxa"/>
            <w:vAlign w:val="center"/>
          </w:tcPr>
          <w:p w14:paraId="53FA5DC3" w14:textId="77777777" w:rsidR="000944F2" w:rsidRPr="008F6730" w:rsidRDefault="000944F2" w:rsidP="000944F2">
            <w:pPr>
              <w:jc w:val="center"/>
              <w:rPr>
                <w:noProof/>
                <w:sz w:val="20"/>
                <w:szCs w:val="20"/>
              </w:rPr>
            </w:pPr>
            <w:r w:rsidRPr="008F6730">
              <w:rPr>
                <w:noProof/>
                <w:sz w:val="20"/>
              </w:rPr>
              <w:t>7.</w:t>
            </w:r>
          </w:p>
        </w:tc>
        <w:tc>
          <w:tcPr>
            <w:tcW w:w="3829" w:type="dxa"/>
            <w:vAlign w:val="center"/>
          </w:tcPr>
          <w:p w14:paraId="46EBDB01" w14:textId="77777777" w:rsidR="000944F2" w:rsidRPr="008F6730" w:rsidRDefault="000944F2" w:rsidP="000944F2">
            <w:pPr>
              <w:spacing w:before="60"/>
              <w:rPr>
                <w:noProof/>
                <w:sz w:val="22"/>
              </w:rPr>
            </w:pPr>
            <w:r w:rsidRPr="008F6730">
              <w:rPr>
                <w:noProof/>
                <w:sz w:val="22"/>
              </w:rPr>
              <w:t>20 02 06 01</w:t>
            </w:r>
          </w:p>
        </w:tc>
        <w:tc>
          <w:tcPr>
            <w:tcW w:w="1080" w:type="dxa"/>
          </w:tcPr>
          <w:p w14:paraId="613D950C" w14:textId="77777777" w:rsidR="000944F2" w:rsidRPr="008F6730" w:rsidRDefault="000944F2" w:rsidP="000944F2">
            <w:pPr>
              <w:jc w:val="center"/>
              <w:rPr>
                <w:noProof/>
                <w:sz w:val="22"/>
              </w:rPr>
            </w:pPr>
            <w:r w:rsidRPr="008F6730">
              <w:rPr>
                <w:noProof/>
                <w:sz w:val="22"/>
              </w:rPr>
              <w:t>Nedif.</w:t>
            </w:r>
          </w:p>
        </w:tc>
        <w:tc>
          <w:tcPr>
            <w:tcW w:w="956" w:type="dxa"/>
          </w:tcPr>
          <w:p w14:paraId="128BC57A" w14:textId="77777777" w:rsidR="000944F2" w:rsidRPr="008F6730" w:rsidRDefault="000944F2" w:rsidP="000944F2">
            <w:pPr>
              <w:jc w:val="center"/>
              <w:rPr>
                <w:noProof/>
                <w:sz w:val="20"/>
                <w:szCs w:val="20"/>
              </w:rPr>
            </w:pPr>
            <w:r w:rsidRPr="008F6730">
              <w:rPr>
                <w:noProof/>
                <w:sz w:val="20"/>
              </w:rPr>
              <w:t>NE</w:t>
            </w:r>
          </w:p>
        </w:tc>
        <w:tc>
          <w:tcPr>
            <w:tcW w:w="1222" w:type="dxa"/>
          </w:tcPr>
          <w:p w14:paraId="1723A42D" w14:textId="77777777" w:rsidR="000944F2" w:rsidRPr="008F6730" w:rsidRDefault="000944F2" w:rsidP="000944F2">
            <w:pPr>
              <w:jc w:val="center"/>
              <w:rPr>
                <w:noProof/>
                <w:sz w:val="20"/>
                <w:szCs w:val="20"/>
              </w:rPr>
            </w:pPr>
            <w:r w:rsidRPr="008F6730">
              <w:rPr>
                <w:noProof/>
                <w:sz w:val="20"/>
              </w:rPr>
              <w:t>NE</w:t>
            </w:r>
          </w:p>
        </w:tc>
        <w:tc>
          <w:tcPr>
            <w:tcW w:w="814" w:type="dxa"/>
          </w:tcPr>
          <w:p w14:paraId="4D5E176E" w14:textId="77777777" w:rsidR="000944F2" w:rsidRPr="008F6730" w:rsidRDefault="000944F2" w:rsidP="000944F2">
            <w:pPr>
              <w:jc w:val="center"/>
              <w:rPr>
                <w:noProof/>
                <w:sz w:val="20"/>
                <w:szCs w:val="20"/>
              </w:rPr>
            </w:pPr>
            <w:r w:rsidRPr="008F6730">
              <w:rPr>
                <w:noProof/>
                <w:sz w:val="20"/>
              </w:rPr>
              <w:t>NE</w:t>
            </w:r>
          </w:p>
        </w:tc>
        <w:tc>
          <w:tcPr>
            <w:tcW w:w="1448" w:type="dxa"/>
          </w:tcPr>
          <w:p w14:paraId="2DB5C2EF" w14:textId="77777777" w:rsidR="000944F2" w:rsidRPr="008F6730" w:rsidRDefault="000944F2" w:rsidP="000944F2">
            <w:pPr>
              <w:jc w:val="center"/>
              <w:rPr>
                <w:noProof/>
                <w:sz w:val="20"/>
                <w:szCs w:val="20"/>
              </w:rPr>
            </w:pPr>
            <w:r w:rsidRPr="008F6730">
              <w:rPr>
                <w:noProof/>
                <w:sz w:val="20"/>
              </w:rPr>
              <w:t>NE</w:t>
            </w:r>
          </w:p>
        </w:tc>
      </w:tr>
      <w:tr w:rsidR="000944F2" w:rsidRPr="008F6730" w14:paraId="1E25ABD3" w14:textId="77777777" w:rsidTr="00BA0439">
        <w:tc>
          <w:tcPr>
            <w:tcW w:w="1211" w:type="dxa"/>
            <w:vAlign w:val="center"/>
          </w:tcPr>
          <w:p w14:paraId="0586D060" w14:textId="77777777" w:rsidR="000944F2" w:rsidRPr="008F6730" w:rsidRDefault="000944F2" w:rsidP="000944F2">
            <w:pPr>
              <w:jc w:val="center"/>
              <w:rPr>
                <w:noProof/>
                <w:sz w:val="20"/>
                <w:szCs w:val="20"/>
              </w:rPr>
            </w:pPr>
            <w:r w:rsidRPr="008F6730">
              <w:rPr>
                <w:noProof/>
                <w:sz w:val="20"/>
              </w:rPr>
              <w:t>7.</w:t>
            </w:r>
          </w:p>
        </w:tc>
        <w:tc>
          <w:tcPr>
            <w:tcW w:w="3829" w:type="dxa"/>
            <w:vAlign w:val="center"/>
          </w:tcPr>
          <w:p w14:paraId="1FF4A8AD" w14:textId="77777777" w:rsidR="000944F2" w:rsidRPr="008F6730" w:rsidRDefault="000944F2" w:rsidP="000944F2">
            <w:pPr>
              <w:spacing w:before="60"/>
              <w:rPr>
                <w:noProof/>
                <w:sz w:val="22"/>
              </w:rPr>
            </w:pPr>
            <w:r w:rsidRPr="008F6730">
              <w:rPr>
                <w:noProof/>
                <w:sz w:val="22"/>
              </w:rPr>
              <w:t>20 02 06 02</w:t>
            </w:r>
          </w:p>
        </w:tc>
        <w:tc>
          <w:tcPr>
            <w:tcW w:w="1080" w:type="dxa"/>
          </w:tcPr>
          <w:p w14:paraId="07F7B85D" w14:textId="77777777" w:rsidR="000944F2" w:rsidRPr="008F6730" w:rsidRDefault="000944F2" w:rsidP="000944F2">
            <w:pPr>
              <w:jc w:val="center"/>
              <w:rPr>
                <w:noProof/>
                <w:sz w:val="22"/>
              </w:rPr>
            </w:pPr>
            <w:r w:rsidRPr="008F6730">
              <w:rPr>
                <w:noProof/>
                <w:sz w:val="22"/>
              </w:rPr>
              <w:t>Nedif.</w:t>
            </w:r>
          </w:p>
        </w:tc>
        <w:tc>
          <w:tcPr>
            <w:tcW w:w="956" w:type="dxa"/>
          </w:tcPr>
          <w:p w14:paraId="45686E26" w14:textId="77777777" w:rsidR="000944F2" w:rsidRPr="008F6730" w:rsidRDefault="000944F2" w:rsidP="000944F2">
            <w:pPr>
              <w:jc w:val="center"/>
              <w:rPr>
                <w:noProof/>
                <w:sz w:val="20"/>
                <w:szCs w:val="20"/>
              </w:rPr>
            </w:pPr>
            <w:r w:rsidRPr="008F6730">
              <w:rPr>
                <w:noProof/>
                <w:sz w:val="20"/>
              </w:rPr>
              <w:t>NE</w:t>
            </w:r>
          </w:p>
        </w:tc>
        <w:tc>
          <w:tcPr>
            <w:tcW w:w="1222" w:type="dxa"/>
          </w:tcPr>
          <w:p w14:paraId="525681A5" w14:textId="77777777" w:rsidR="000944F2" w:rsidRPr="008F6730" w:rsidRDefault="000944F2" w:rsidP="000944F2">
            <w:pPr>
              <w:jc w:val="center"/>
              <w:rPr>
                <w:noProof/>
                <w:sz w:val="20"/>
                <w:szCs w:val="20"/>
              </w:rPr>
            </w:pPr>
            <w:r w:rsidRPr="008F6730">
              <w:rPr>
                <w:noProof/>
                <w:sz w:val="20"/>
              </w:rPr>
              <w:t>NE</w:t>
            </w:r>
          </w:p>
        </w:tc>
        <w:tc>
          <w:tcPr>
            <w:tcW w:w="814" w:type="dxa"/>
          </w:tcPr>
          <w:p w14:paraId="5BB8689D" w14:textId="77777777" w:rsidR="000944F2" w:rsidRPr="008F6730" w:rsidRDefault="000944F2" w:rsidP="000944F2">
            <w:pPr>
              <w:jc w:val="center"/>
              <w:rPr>
                <w:noProof/>
                <w:sz w:val="20"/>
                <w:szCs w:val="20"/>
              </w:rPr>
            </w:pPr>
            <w:r w:rsidRPr="008F6730">
              <w:rPr>
                <w:noProof/>
                <w:sz w:val="20"/>
              </w:rPr>
              <w:t>NE</w:t>
            </w:r>
          </w:p>
        </w:tc>
        <w:tc>
          <w:tcPr>
            <w:tcW w:w="1448" w:type="dxa"/>
          </w:tcPr>
          <w:p w14:paraId="4C92286D" w14:textId="77777777" w:rsidR="000944F2" w:rsidRPr="008F6730" w:rsidRDefault="000944F2" w:rsidP="000944F2">
            <w:pPr>
              <w:jc w:val="center"/>
              <w:rPr>
                <w:noProof/>
                <w:sz w:val="20"/>
                <w:szCs w:val="20"/>
              </w:rPr>
            </w:pPr>
            <w:r w:rsidRPr="008F6730">
              <w:rPr>
                <w:noProof/>
                <w:sz w:val="20"/>
              </w:rPr>
              <w:t>NE</w:t>
            </w:r>
          </w:p>
        </w:tc>
      </w:tr>
      <w:tr w:rsidR="000944F2" w:rsidRPr="008F6730" w14:paraId="4C3A7F33" w14:textId="77777777" w:rsidTr="00BA0439">
        <w:tc>
          <w:tcPr>
            <w:tcW w:w="1211" w:type="dxa"/>
            <w:vAlign w:val="center"/>
          </w:tcPr>
          <w:p w14:paraId="263D8968" w14:textId="77777777" w:rsidR="000944F2" w:rsidRPr="008F6730" w:rsidRDefault="000944F2" w:rsidP="000944F2">
            <w:pPr>
              <w:jc w:val="center"/>
              <w:rPr>
                <w:noProof/>
                <w:sz w:val="20"/>
                <w:szCs w:val="20"/>
              </w:rPr>
            </w:pPr>
            <w:r w:rsidRPr="008F6730">
              <w:rPr>
                <w:noProof/>
                <w:sz w:val="20"/>
              </w:rPr>
              <w:t>7.</w:t>
            </w:r>
          </w:p>
        </w:tc>
        <w:tc>
          <w:tcPr>
            <w:tcW w:w="3829" w:type="dxa"/>
            <w:vAlign w:val="center"/>
          </w:tcPr>
          <w:p w14:paraId="21CD26C3" w14:textId="77777777" w:rsidR="000944F2" w:rsidRPr="008F6730" w:rsidRDefault="000944F2" w:rsidP="000944F2">
            <w:pPr>
              <w:spacing w:before="60"/>
              <w:rPr>
                <w:noProof/>
                <w:sz w:val="22"/>
              </w:rPr>
            </w:pPr>
            <w:r w:rsidRPr="008F6730">
              <w:rPr>
                <w:noProof/>
                <w:sz w:val="22"/>
              </w:rPr>
              <w:t>20 02 06 03</w:t>
            </w:r>
          </w:p>
        </w:tc>
        <w:tc>
          <w:tcPr>
            <w:tcW w:w="1080" w:type="dxa"/>
          </w:tcPr>
          <w:p w14:paraId="5654C15C" w14:textId="77777777" w:rsidR="000944F2" w:rsidRPr="008F6730" w:rsidRDefault="000944F2" w:rsidP="000944F2">
            <w:pPr>
              <w:jc w:val="center"/>
              <w:rPr>
                <w:noProof/>
                <w:sz w:val="22"/>
              </w:rPr>
            </w:pPr>
            <w:r w:rsidRPr="008F6730">
              <w:rPr>
                <w:noProof/>
                <w:sz w:val="22"/>
              </w:rPr>
              <w:t>Nedif.</w:t>
            </w:r>
          </w:p>
        </w:tc>
        <w:tc>
          <w:tcPr>
            <w:tcW w:w="956" w:type="dxa"/>
          </w:tcPr>
          <w:p w14:paraId="0C8ABAF2" w14:textId="77777777" w:rsidR="000944F2" w:rsidRPr="008F6730" w:rsidRDefault="000944F2" w:rsidP="000944F2">
            <w:pPr>
              <w:jc w:val="center"/>
              <w:rPr>
                <w:noProof/>
                <w:sz w:val="20"/>
                <w:szCs w:val="20"/>
              </w:rPr>
            </w:pPr>
            <w:r w:rsidRPr="008F6730">
              <w:rPr>
                <w:noProof/>
                <w:sz w:val="20"/>
              </w:rPr>
              <w:t>NE</w:t>
            </w:r>
          </w:p>
        </w:tc>
        <w:tc>
          <w:tcPr>
            <w:tcW w:w="1222" w:type="dxa"/>
          </w:tcPr>
          <w:p w14:paraId="41328532" w14:textId="77777777" w:rsidR="000944F2" w:rsidRPr="008F6730" w:rsidRDefault="000944F2" w:rsidP="000944F2">
            <w:pPr>
              <w:jc w:val="center"/>
              <w:rPr>
                <w:noProof/>
                <w:sz w:val="20"/>
                <w:szCs w:val="20"/>
              </w:rPr>
            </w:pPr>
            <w:r w:rsidRPr="008F6730">
              <w:rPr>
                <w:noProof/>
                <w:sz w:val="20"/>
              </w:rPr>
              <w:t>NE</w:t>
            </w:r>
          </w:p>
        </w:tc>
        <w:tc>
          <w:tcPr>
            <w:tcW w:w="814" w:type="dxa"/>
          </w:tcPr>
          <w:p w14:paraId="4A2C9A3E" w14:textId="77777777" w:rsidR="000944F2" w:rsidRPr="008F6730" w:rsidRDefault="000944F2" w:rsidP="000944F2">
            <w:pPr>
              <w:jc w:val="center"/>
              <w:rPr>
                <w:noProof/>
                <w:sz w:val="20"/>
                <w:szCs w:val="20"/>
              </w:rPr>
            </w:pPr>
            <w:r w:rsidRPr="008F6730">
              <w:rPr>
                <w:noProof/>
                <w:sz w:val="20"/>
              </w:rPr>
              <w:t>NE</w:t>
            </w:r>
          </w:p>
        </w:tc>
        <w:tc>
          <w:tcPr>
            <w:tcW w:w="1448" w:type="dxa"/>
          </w:tcPr>
          <w:p w14:paraId="2C261684" w14:textId="77777777" w:rsidR="000944F2" w:rsidRPr="008F6730" w:rsidRDefault="000944F2" w:rsidP="000944F2">
            <w:pPr>
              <w:jc w:val="center"/>
              <w:rPr>
                <w:noProof/>
                <w:sz w:val="20"/>
                <w:szCs w:val="20"/>
              </w:rPr>
            </w:pPr>
            <w:r w:rsidRPr="008F6730">
              <w:rPr>
                <w:noProof/>
                <w:sz w:val="20"/>
              </w:rPr>
              <w:t>NE</w:t>
            </w:r>
          </w:p>
        </w:tc>
      </w:tr>
    </w:tbl>
    <w:p w14:paraId="7B2E98AC" w14:textId="77777777" w:rsidR="000944F2" w:rsidRPr="008F6730" w:rsidRDefault="000944F2" w:rsidP="000944F2">
      <w:pPr>
        <w:pStyle w:val="ListBullet1"/>
        <w:rPr>
          <w:noProof/>
        </w:rPr>
      </w:pPr>
      <w:r w:rsidRPr="008F6730">
        <w:rPr>
          <w:noProof/>
        </w:rPr>
        <w:t xml:space="preserve">Zatražene nove proračunske linije </w:t>
      </w:r>
    </w:p>
    <w:p w14:paraId="45A3F3D2" w14:textId="4CD02BA9" w:rsidR="000944F2" w:rsidRPr="008F6730" w:rsidRDefault="000944F2" w:rsidP="000944F2">
      <w:pPr>
        <w:rPr>
          <w:noProof/>
        </w:rPr>
        <w:sectPr w:rsidR="000944F2" w:rsidRPr="008F6730" w:rsidSect="00176A4E">
          <w:pgSz w:w="11907" w:h="16840" w:code="1"/>
          <w:pgMar w:top="1134" w:right="1418" w:bottom="1134" w:left="1418" w:header="709" w:footer="709" w:gutter="0"/>
          <w:cols w:space="708"/>
          <w:docGrid w:linePitch="360"/>
        </w:sectPr>
      </w:pPr>
      <w:r w:rsidRPr="008F6730">
        <w:rPr>
          <w:noProof/>
        </w:rPr>
        <w:t xml:space="preserve"> NIJE </w:t>
      </w:r>
      <w:r w:rsidR="0010571C">
        <w:rPr>
          <w:noProof/>
        </w:rPr>
        <w:t xml:space="preserve"> </w:t>
      </w:r>
      <w:r w:rsidRPr="008F6730">
        <w:rPr>
          <w:noProof/>
        </w:rPr>
        <w:t>PRIMJENJIVO</w:t>
      </w:r>
    </w:p>
    <w:p w14:paraId="3DCDAA83" w14:textId="75B09DFA" w:rsidR="000944F2" w:rsidRPr="008F6730" w:rsidRDefault="009A61FA" w:rsidP="009A61FA">
      <w:pPr>
        <w:pStyle w:val="ManualHeading2"/>
        <w:rPr>
          <w:noProof/>
        </w:rPr>
      </w:pPr>
      <w:bookmarkStart w:id="237" w:name="_Toc514938052"/>
      <w:bookmarkStart w:id="238" w:name="_Toc520485051"/>
      <w:bookmarkStart w:id="239" w:name="_Toc125124916"/>
      <w:bookmarkStart w:id="240" w:name="_Toc125125374"/>
      <w:bookmarkStart w:id="241" w:name="_Toc125125619"/>
      <w:bookmarkStart w:id="242" w:name="_Toc125125727"/>
      <w:r w:rsidRPr="009A61FA">
        <w:t>3.2.</w:t>
      </w:r>
      <w:r w:rsidRPr="009A61FA">
        <w:tab/>
      </w:r>
      <w:r w:rsidR="000944F2" w:rsidRPr="008F6730">
        <w:rPr>
          <w:noProof/>
        </w:rPr>
        <w:t>Procijenjeni financijski učinak prijedloga na odobrena sredstva</w:t>
      </w:r>
      <w:bookmarkEnd w:id="237"/>
      <w:bookmarkEnd w:id="238"/>
      <w:bookmarkEnd w:id="239"/>
      <w:bookmarkEnd w:id="240"/>
      <w:bookmarkEnd w:id="241"/>
      <w:bookmarkEnd w:id="242"/>
      <w:r w:rsidR="000944F2" w:rsidRPr="008F6730">
        <w:rPr>
          <w:noProof/>
        </w:rPr>
        <w:t xml:space="preserve"> </w:t>
      </w:r>
    </w:p>
    <w:p w14:paraId="16133AA9" w14:textId="2D10B9B2" w:rsidR="000944F2" w:rsidRPr="008F6730" w:rsidRDefault="009A61FA" w:rsidP="009A61FA">
      <w:pPr>
        <w:pStyle w:val="ManualHeading3"/>
        <w:rPr>
          <w:noProof/>
        </w:rPr>
      </w:pPr>
      <w:bookmarkStart w:id="243" w:name="_Toc514938053"/>
      <w:bookmarkStart w:id="244" w:name="_Toc520485052"/>
      <w:bookmarkStart w:id="245" w:name="_Toc125124917"/>
      <w:bookmarkStart w:id="246" w:name="_Toc125125375"/>
      <w:bookmarkStart w:id="247" w:name="_Toc125125620"/>
      <w:bookmarkStart w:id="248" w:name="_Toc125125728"/>
      <w:r w:rsidRPr="009A61FA">
        <w:t>3.2.1.</w:t>
      </w:r>
      <w:r w:rsidRPr="009A61FA">
        <w:tab/>
      </w:r>
      <w:r w:rsidR="000944F2" w:rsidRPr="008F6730">
        <w:rPr>
          <w:noProof/>
        </w:rPr>
        <w:t>Sažetak procijenjenog učinka na odobrena sredstva za poslovanje</w:t>
      </w:r>
      <w:bookmarkEnd w:id="243"/>
      <w:bookmarkEnd w:id="244"/>
      <w:bookmarkEnd w:id="245"/>
      <w:bookmarkEnd w:id="246"/>
      <w:bookmarkEnd w:id="247"/>
      <w:bookmarkEnd w:id="248"/>
      <w:r w:rsidR="000944F2" w:rsidRPr="008F6730">
        <w:rPr>
          <w:noProof/>
        </w:rPr>
        <w:t xml:space="preserve"> </w:t>
      </w:r>
    </w:p>
    <w:p w14:paraId="7ABE1B6A" w14:textId="77777777" w:rsidR="000944F2" w:rsidRPr="008F6730" w:rsidRDefault="000944F2" w:rsidP="000944F2">
      <w:pPr>
        <w:pStyle w:val="ListDash1"/>
        <w:rPr>
          <w:noProof/>
        </w:rPr>
      </w:pPr>
      <w:r w:rsidRPr="008F6730">
        <w:rPr>
          <w:rFonts w:ascii="Wingdings" w:hAnsi="Wingdings"/>
          <w:noProof/>
        </w:rPr>
        <w:t></w:t>
      </w:r>
      <w:r w:rsidRPr="008F6730">
        <w:rPr>
          <w:noProof/>
        </w:rPr>
        <w:tab/>
        <w:t xml:space="preserve">Za prijedlog/inicijativu nisu potrebna odobrena sredstva za poslovanje. </w:t>
      </w:r>
    </w:p>
    <w:p w14:paraId="6A2EB049" w14:textId="6AA3BAFD" w:rsidR="000944F2" w:rsidRPr="008F6730" w:rsidRDefault="00B17DE4" w:rsidP="00F41A56">
      <w:pPr>
        <w:rPr>
          <w:noProof/>
        </w:rPr>
      </w:pPr>
      <w:r w:rsidRPr="008F6730">
        <w:rPr>
          <w:noProof/>
        </w:rPr>
        <w:sym w:font="Wingdings" w:char="F0FE"/>
      </w:r>
      <w:r w:rsidRPr="008F6730">
        <w:rPr>
          <w:noProof/>
        </w:rPr>
        <w:tab/>
        <w:t>Za prijedlog/inicijativu potrebna su sljedeća odobrena sredstva za poslovanje:</w:t>
      </w:r>
    </w:p>
    <w:p w14:paraId="1C2DC740" w14:textId="77777777" w:rsidR="000944F2" w:rsidRPr="008F6730" w:rsidRDefault="000944F2" w:rsidP="000944F2">
      <w:pPr>
        <w:jc w:val="right"/>
        <w:rPr>
          <w:noProof/>
          <w:sz w:val="18"/>
          <w:szCs w:val="18"/>
        </w:rPr>
      </w:pPr>
      <w:r w:rsidRPr="008F6730">
        <w:rPr>
          <w:noProof/>
          <w:sz w:val="18"/>
        </w:rPr>
        <w:t>U milijunima EUR (do 3 decimalna mjesta)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4"/>
        <w:gridCol w:w="1080"/>
        <w:gridCol w:w="7817"/>
      </w:tblGrid>
      <w:tr w:rsidR="000944F2" w:rsidRPr="008F6730" w14:paraId="15352B47" w14:textId="77777777" w:rsidTr="000944F2">
        <w:trPr>
          <w:jc w:val="center"/>
        </w:trPr>
        <w:tc>
          <w:tcPr>
            <w:tcW w:w="4744" w:type="dxa"/>
            <w:shd w:val="thinDiagStripe" w:color="C0C0C0" w:fill="auto"/>
            <w:vAlign w:val="center"/>
          </w:tcPr>
          <w:p w14:paraId="234196DA" w14:textId="77777777" w:rsidR="000944F2" w:rsidRPr="008F6730" w:rsidRDefault="000944F2" w:rsidP="000944F2">
            <w:pPr>
              <w:spacing w:before="60" w:after="60"/>
              <w:jc w:val="center"/>
              <w:rPr>
                <w:b/>
                <w:noProof/>
              </w:rPr>
            </w:pPr>
            <w:r w:rsidRPr="008F6730">
              <w:rPr>
                <w:b/>
                <w:noProof/>
                <w:sz w:val="22"/>
              </w:rPr>
              <w:t xml:space="preserve">Naslov višegodišnjeg financijskog </w:t>
            </w:r>
            <w:r w:rsidRPr="008F6730">
              <w:rPr>
                <w:noProof/>
                <w:sz w:val="22"/>
              </w:rPr>
              <w:br/>
            </w:r>
            <w:r w:rsidRPr="008F6730">
              <w:rPr>
                <w:b/>
                <w:noProof/>
                <w:sz w:val="22"/>
              </w:rPr>
              <w:t xml:space="preserve">okvira </w:t>
            </w:r>
          </w:p>
        </w:tc>
        <w:tc>
          <w:tcPr>
            <w:tcW w:w="1080" w:type="dxa"/>
            <w:vAlign w:val="center"/>
          </w:tcPr>
          <w:p w14:paraId="2644F04E" w14:textId="77777777" w:rsidR="000944F2" w:rsidRPr="008F6730" w:rsidRDefault="000944F2" w:rsidP="000944F2">
            <w:pPr>
              <w:spacing w:before="60" w:after="60"/>
              <w:jc w:val="center"/>
              <w:rPr>
                <w:noProof/>
              </w:rPr>
            </w:pPr>
            <w:r w:rsidRPr="008F6730">
              <w:rPr>
                <w:noProof/>
                <w:sz w:val="22"/>
              </w:rPr>
              <w:t>3.</w:t>
            </w:r>
          </w:p>
        </w:tc>
        <w:tc>
          <w:tcPr>
            <w:tcW w:w="7817" w:type="dxa"/>
            <w:vAlign w:val="center"/>
          </w:tcPr>
          <w:p w14:paraId="3DC3A246" w14:textId="77777777" w:rsidR="000944F2" w:rsidRPr="008F6730" w:rsidRDefault="000944F2" w:rsidP="000944F2">
            <w:pPr>
              <w:spacing w:before="60" w:after="60"/>
              <w:rPr>
                <w:noProof/>
              </w:rPr>
            </w:pPr>
            <w:r w:rsidRPr="008F6730">
              <w:rPr>
                <w:noProof/>
              </w:rPr>
              <w:t>Prirodni resursi i okoliš</w:t>
            </w:r>
          </w:p>
        </w:tc>
      </w:tr>
    </w:tbl>
    <w:p w14:paraId="33CA0016" w14:textId="77777777" w:rsidR="000944F2" w:rsidRPr="008F6730" w:rsidRDefault="000944F2" w:rsidP="000944F2">
      <w:pPr>
        <w:rPr>
          <w:noProof/>
          <w:sz w:val="16"/>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440"/>
        <w:gridCol w:w="120"/>
        <w:gridCol w:w="534"/>
        <w:gridCol w:w="868"/>
        <w:gridCol w:w="868"/>
        <w:gridCol w:w="868"/>
        <w:gridCol w:w="868"/>
        <w:gridCol w:w="1777"/>
      </w:tblGrid>
      <w:tr w:rsidR="000944F2" w:rsidRPr="008F6730" w14:paraId="64717ED9" w14:textId="77777777" w:rsidTr="000944F2">
        <w:tc>
          <w:tcPr>
            <w:tcW w:w="3960" w:type="dxa"/>
            <w:vAlign w:val="center"/>
          </w:tcPr>
          <w:p w14:paraId="677215CB" w14:textId="77777777" w:rsidR="000944F2" w:rsidRPr="008F6730" w:rsidRDefault="000944F2" w:rsidP="000944F2">
            <w:pPr>
              <w:jc w:val="center"/>
              <w:rPr>
                <w:noProof/>
              </w:rPr>
            </w:pPr>
            <w:r w:rsidRPr="008F6730">
              <w:rPr>
                <w:noProof/>
                <w:sz w:val="22"/>
              </w:rPr>
              <w:t>GLAVNA UPRAVA: CLIMA</w:t>
            </w:r>
          </w:p>
        </w:tc>
        <w:tc>
          <w:tcPr>
            <w:tcW w:w="1560" w:type="dxa"/>
            <w:gridSpan w:val="2"/>
          </w:tcPr>
          <w:p w14:paraId="1EBB09BB" w14:textId="77777777" w:rsidR="000944F2" w:rsidRPr="008F6730" w:rsidRDefault="000944F2" w:rsidP="000944F2">
            <w:pPr>
              <w:rPr>
                <w:noProof/>
                <w:sz w:val="20"/>
              </w:rPr>
            </w:pPr>
          </w:p>
        </w:tc>
        <w:tc>
          <w:tcPr>
            <w:tcW w:w="534" w:type="dxa"/>
          </w:tcPr>
          <w:p w14:paraId="0870FD84" w14:textId="77777777" w:rsidR="000944F2" w:rsidRPr="008F6730" w:rsidRDefault="000944F2" w:rsidP="000944F2">
            <w:pPr>
              <w:jc w:val="center"/>
              <w:rPr>
                <w:noProof/>
                <w:sz w:val="20"/>
              </w:rPr>
            </w:pPr>
          </w:p>
        </w:tc>
        <w:tc>
          <w:tcPr>
            <w:tcW w:w="868" w:type="dxa"/>
            <w:vAlign w:val="center"/>
          </w:tcPr>
          <w:p w14:paraId="71BA555E" w14:textId="77777777" w:rsidR="000944F2" w:rsidRPr="0036559F" w:rsidRDefault="000944F2" w:rsidP="000944F2">
            <w:pPr>
              <w:jc w:val="center"/>
              <w:rPr>
                <w:noProof/>
                <w:sz w:val="20"/>
                <w:szCs w:val="20"/>
              </w:rPr>
            </w:pPr>
            <w:r w:rsidRPr="0036559F">
              <w:rPr>
                <w:noProof/>
                <w:sz w:val="20"/>
                <w:szCs w:val="20"/>
              </w:rPr>
              <w:t>Godina</w:t>
            </w:r>
            <w:r w:rsidRPr="0036559F">
              <w:rPr>
                <w:noProof/>
                <w:sz w:val="20"/>
                <w:szCs w:val="20"/>
              </w:rPr>
              <w:br/>
            </w:r>
            <w:r w:rsidRPr="0036559F">
              <w:rPr>
                <w:b/>
                <w:noProof/>
                <w:sz w:val="20"/>
                <w:szCs w:val="20"/>
              </w:rPr>
              <w:t>2024.</w:t>
            </w:r>
          </w:p>
        </w:tc>
        <w:tc>
          <w:tcPr>
            <w:tcW w:w="868" w:type="dxa"/>
            <w:vAlign w:val="center"/>
          </w:tcPr>
          <w:p w14:paraId="1469DBA1" w14:textId="77777777" w:rsidR="000944F2" w:rsidRPr="0036559F" w:rsidRDefault="000944F2" w:rsidP="000944F2">
            <w:pPr>
              <w:jc w:val="center"/>
              <w:rPr>
                <w:noProof/>
                <w:sz w:val="20"/>
                <w:szCs w:val="20"/>
              </w:rPr>
            </w:pPr>
            <w:r w:rsidRPr="0036559F">
              <w:rPr>
                <w:noProof/>
                <w:sz w:val="20"/>
                <w:szCs w:val="20"/>
              </w:rPr>
              <w:t>Godina</w:t>
            </w:r>
            <w:r w:rsidRPr="0036559F">
              <w:rPr>
                <w:noProof/>
                <w:sz w:val="20"/>
                <w:szCs w:val="20"/>
              </w:rPr>
              <w:br/>
            </w:r>
            <w:r w:rsidRPr="0036559F">
              <w:rPr>
                <w:b/>
                <w:noProof/>
                <w:sz w:val="20"/>
                <w:szCs w:val="20"/>
              </w:rPr>
              <w:t>2025.</w:t>
            </w:r>
          </w:p>
        </w:tc>
        <w:tc>
          <w:tcPr>
            <w:tcW w:w="868" w:type="dxa"/>
            <w:vAlign w:val="center"/>
          </w:tcPr>
          <w:p w14:paraId="3C1B794B" w14:textId="77777777" w:rsidR="000944F2" w:rsidRPr="0036559F" w:rsidRDefault="000944F2" w:rsidP="000944F2">
            <w:pPr>
              <w:jc w:val="center"/>
              <w:rPr>
                <w:noProof/>
                <w:sz w:val="20"/>
                <w:szCs w:val="20"/>
              </w:rPr>
            </w:pPr>
            <w:r w:rsidRPr="0036559F">
              <w:rPr>
                <w:noProof/>
                <w:sz w:val="20"/>
                <w:szCs w:val="20"/>
              </w:rPr>
              <w:t>Godina</w:t>
            </w:r>
            <w:r w:rsidRPr="0036559F">
              <w:rPr>
                <w:noProof/>
                <w:sz w:val="20"/>
                <w:szCs w:val="20"/>
              </w:rPr>
              <w:br/>
            </w:r>
            <w:r w:rsidRPr="0036559F">
              <w:rPr>
                <w:b/>
                <w:noProof/>
                <w:sz w:val="20"/>
                <w:szCs w:val="20"/>
              </w:rPr>
              <w:t>2026.</w:t>
            </w:r>
          </w:p>
        </w:tc>
        <w:tc>
          <w:tcPr>
            <w:tcW w:w="868" w:type="dxa"/>
            <w:vAlign w:val="center"/>
          </w:tcPr>
          <w:p w14:paraId="050908DE" w14:textId="77777777" w:rsidR="000944F2" w:rsidRPr="0036559F" w:rsidRDefault="000944F2" w:rsidP="000944F2">
            <w:pPr>
              <w:jc w:val="center"/>
              <w:rPr>
                <w:noProof/>
                <w:sz w:val="20"/>
                <w:szCs w:val="20"/>
              </w:rPr>
            </w:pPr>
            <w:r w:rsidRPr="0036559F">
              <w:rPr>
                <w:noProof/>
                <w:sz w:val="20"/>
                <w:szCs w:val="20"/>
              </w:rPr>
              <w:t>Godina</w:t>
            </w:r>
            <w:r w:rsidRPr="0036559F">
              <w:rPr>
                <w:noProof/>
                <w:sz w:val="20"/>
                <w:szCs w:val="20"/>
              </w:rPr>
              <w:br/>
            </w:r>
            <w:r w:rsidRPr="0036559F">
              <w:rPr>
                <w:b/>
                <w:noProof/>
                <w:sz w:val="20"/>
                <w:szCs w:val="20"/>
              </w:rPr>
              <w:t>2027.</w:t>
            </w:r>
          </w:p>
        </w:tc>
        <w:tc>
          <w:tcPr>
            <w:tcW w:w="1777" w:type="dxa"/>
            <w:vAlign w:val="center"/>
          </w:tcPr>
          <w:p w14:paraId="46A5DF3A" w14:textId="77777777" w:rsidR="000944F2" w:rsidRPr="008F6730" w:rsidRDefault="000944F2" w:rsidP="000944F2">
            <w:pPr>
              <w:jc w:val="center"/>
              <w:rPr>
                <w:b/>
                <w:noProof/>
                <w:sz w:val="20"/>
              </w:rPr>
            </w:pPr>
            <w:r w:rsidRPr="008F6730">
              <w:rPr>
                <w:b/>
                <w:noProof/>
                <w:sz w:val="20"/>
              </w:rPr>
              <w:t>UKUPNO</w:t>
            </w:r>
          </w:p>
        </w:tc>
      </w:tr>
      <w:tr w:rsidR="000944F2" w:rsidRPr="008F6730" w14:paraId="783CF2F9" w14:textId="77777777" w:rsidTr="000944F2">
        <w:trPr>
          <w:trHeight w:val="213"/>
        </w:trPr>
        <w:tc>
          <w:tcPr>
            <w:tcW w:w="6054" w:type="dxa"/>
            <w:gridSpan w:val="4"/>
            <w:vAlign w:val="center"/>
          </w:tcPr>
          <w:p w14:paraId="711C2F4F" w14:textId="77777777" w:rsidR="000944F2" w:rsidRPr="008F6730" w:rsidRDefault="000944F2" w:rsidP="000944F2">
            <w:pPr>
              <w:spacing w:before="20" w:after="20"/>
              <w:rPr>
                <w:noProof/>
                <w:sz w:val="21"/>
              </w:rPr>
            </w:pPr>
            <w:r w:rsidRPr="008F6730">
              <w:rPr>
                <w:rFonts w:ascii="Wingdings" w:hAnsi="Wingdings"/>
                <w:noProof/>
                <w:sz w:val="21"/>
              </w:rPr>
              <w:t>□</w:t>
            </w:r>
            <w:r w:rsidRPr="008F6730">
              <w:rPr>
                <w:noProof/>
              </w:rPr>
              <w:t xml:space="preserve"> </w:t>
            </w:r>
            <w:r w:rsidRPr="0036559F">
              <w:rPr>
                <w:noProof/>
                <w:sz w:val="21"/>
                <w:szCs w:val="21"/>
              </w:rPr>
              <w:t>Odobrena sredstva za poslovanje</w:t>
            </w:r>
            <w:r w:rsidRPr="008F6730">
              <w:rPr>
                <w:noProof/>
                <w:sz w:val="21"/>
              </w:rPr>
              <w:t xml:space="preserve"> </w:t>
            </w:r>
          </w:p>
        </w:tc>
        <w:tc>
          <w:tcPr>
            <w:tcW w:w="868" w:type="dxa"/>
            <w:vAlign w:val="center"/>
          </w:tcPr>
          <w:p w14:paraId="614FD9CA" w14:textId="77777777" w:rsidR="000944F2" w:rsidRPr="008F6730" w:rsidRDefault="000944F2" w:rsidP="000944F2">
            <w:pPr>
              <w:rPr>
                <w:noProof/>
                <w:sz w:val="20"/>
              </w:rPr>
            </w:pPr>
          </w:p>
        </w:tc>
        <w:tc>
          <w:tcPr>
            <w:tcW w:w="868" w:type="dxa"/>
            <w:vAlign w:val="center"/>
          </w:tcPr>
          <w:p w14:paraId="4F631065" w14:textId="77777777" w:rsidR="000944F2" w:rsidRPr="008F6730" w:rsidRDefault="000944F2" w:rsidP="000944F2">
            <w:pPr>
              <w:rPr>
                <w:noProof/>
                <w:sz w:val="20"/>
              </w:rPr>
            </w:pPr>
          </w:p>
        </w:tc>
        <w:tc>
          <w:tcPr>
            <w:tcW w:w="868" w:type="dxa"/>
            <w:vAlign w:val="center"/>
          </w:tcPr>
          <w:p w14:paraId="2678CFC1" w14:textId="77777777" w:rsidR="000944F2" w:rsidRPr="008F6730" w:rsidRDefault="000944F2" w:rsidP="000944F2">
            <w:pPr>
              <w:rPr>
                <w:noProof/>
                <w:sz w:val="20"/>
              </w:rPr>
            </w:pPr>
          </w:p>
        </w:tc>
        <w:tc>
          <w:tcPr>
            <w:tcW w:w="868" w:type="dxa"/>
            <w:vAlign w:val="center"/>
          </w:tcPr>
          <w:p w14:paraId="03C6E985" w14:textId="77777777" w:rsidR="000944F2" w:rsidRPr="008F6730" w:rsidRDefault="000944F2" w:rsidP="000944F2">
            <w:pPr>
              <w:rPr>
                <w:noProof/>
                <w:sz w:val="20"/>
              </w:rPr>
            </w:pPr>
          </w:p>
        </w:tc>
        <w:tc>
          <w:tcPr>
            <w:tcW w:w="1777" w:type="dxa"/>
            <w:vAlign w:val="center"/>
          </w:tcPr>
          <w:p w14:paraId="00F954F5" w14:textId="77777777" w:rsidR="000944F2" w:rsidRPr="008F6730" w:rsidRDefault="000944F2" w:rsidP="000944F2">
            <w:pPr>
              <w:rPr>
                <w:b/>
                <w:noProof/>
                <w:sz w:val="20"/>
              </w:rPr>
            </w:pPr>
          </w:p>
        </w:tc>
      </w:tr>
      <w:tr w:rsidR="000944F2" w:rsidRPr="008F6730" w14:paraId="1EF2C16B" w14:textId="77777777" w:rsidTr="000944F2">
        <w:trPr>
          <w:trHeight w:val="277"/>
        </w:trPr>
        <w:tc>
          <w:tcPr>
            <w:tcW w:w="3960" w:type="dxa"/>
            <w:vMerge w:val="restart"/>
            <w:vAlign w:val="center"/>
          </w:tcPr>
          <w:p w14:paraId="55422E99" w14:textId="77777777" w:rsidR="000944F2" w:rsidRPr="008F6730" w:rsidRDefault="000944F2" w:rsidP="000944F2">
            <w:pPr>
              <w:rPr>
                <w:noProof/>
              </w:rPr>
            </w:pPr>
            <w:r w:rsidRPr="008F6730">
              <w:rPr>
                <w:noProof/>
                <w:sz w:val="20"/>
              </w:rPr>
              <w:t>09 02 03</w:t>
            </w:r>
          </w:p>
        </w:tc>
        <w:tc>
          <w:tcPr>
            <w:tcW w:w="1440" w:type="dxa"/>
            <w:vAlign w:val="center"/>
          </w:tcPr>
          <w:p w14:paraId="6702776D" w14:textId="77777777" w:rsidR="000944F2" w:rsidRPr="008F6730" w:rsidRDefault="000944F2" w:rsidP="000944F2">
            <w:pPr>
              <w:spacing w:before="20" w:after="20"/>
              <w:rPr>
                <w:noProof/>
                <w:sz w:val="18"/>
              </w:rPr>
            </w:pPr>
            <w:r w:rsidRPr="008F6730">
              <w:rPr>
                <w:noProof/>
                <w:sz w:val="18"/>
              </w:rPr>
              <w:t>Obveze</w:t>
            </w:r>
          </w:p>
        </w:tc>
        <w:tc>
          <w:tcPr>
            <w:tcW w:w="654" w:type="dxa"/>
            <w:gridSpan w:val="2"/>
            <w:vAlign w:val="center"/>
          </w:tcPr>
          <w:p w14:paraId="64AC7440" w14:textId="77777777" w:rsidR="000944F2" w:rsidRPr="008F6730" w:rsidRDefault="000944F2" w:rsidP="000944F2">
            <w:pPr>
              <w:spacing w:before="20" w:after="20"/>
              <w:jc w:val="center"/>
              <w:rPr>
                <w:noProof/>
                <w:sz w:val="14"/>
              </w:rPr>
            </w:pPr>
            <w:r w:rsidRPr="008F6730">
              <w:rPr>
                <w:noProof/>
                <w:sz w:val="14"/>
              </w:rPr>
              <w:t>(1a)</w:t>
            </w:r>
          </w:p>
        </w:tc>
        <w:tc>
          <w:tcPr>
            <w:tcW w:w="868" w:type="dxa"/>
            <w:vAlign w:val="center"/>
          </w:tcPr>
          <w:p w14:paraId="46F4AB6B" w14:textId="77777777" w:rsidR="000944F2" w:rsidRPr="008F6730" w:rsidRDefault="000944F2" w:rsidP="000944F2">
            <w:pPr>
              <w:spacing w:before="20" w:after="20"/>
              <w:jc w:val="right"/>
              <w:rPr>
                <w:noProof/>
                <w:sz w:val="20"/>
              </w:rPr>
            </w:pPr>
            <w:r w:rsidRPr="008F6730">
              <w:rPr>
                <w:noProof/>
                <w:sz w:val="20"/>
              </w:rPr>
              <w:t>3,000</w:t>
            </w:r>
          </w:p>
        </w:tc>
        <w:tc>
          <w:tcPr>
            <w:tcW w:w="868" w:type="dxa"/>
            <w:vAlign w:val="center"/>
          </w:tcPr>
          <w:p w14:paraId="3360FE7D" w14:textId="77777777" w:rsidR="000944F2" w:rsidRPr="008F6730" w:rsidRDefault="000944F2" w:rsidP="000944F2">
            <w:pPr>
              <w:spacing w:before="20" w:after="20"/>
              <w:jc w:val="right"/>
              <w:rPr>
                <w:noProof/>
                <w:sz w:val="20"/>
              </w:rPr>
            </w:pPr>
            <w:r w:rsidRPr="008F6730">
              <w:rPr>
                <w:noProof/>
                <w:sz w:val="20"/>
              </w:rPr>
              <w:t>2,000</w:t>
            </w:r>
          </w:p>
        </w:tc>
        <w:tc>
          <w:tcPr>
            <w:tcW w:w="868" w:type="dxa"/>
            <w:vAlign w:val="center"/>
          </w:tcPr>
          <w:p w14:paraId="2B0FDA5A" w14:textId="77777777" w:rsidR="000944F2" w:rsidRPr="008F6730" w:rsidRDefault="000944F2" w:rsidP="000944F2">
            <w:pPr>
              <w:spacing w:before="20" w:after="20"/>
              <w:jc w:val="right"/>
              <w:rPr>
                <w:noProof/>
                <w:sz w:val="20"/>
              </w:rPr>
            </w:pPr>
            <w:r w:rsidRPr="008F6730">
              <w:rPr>
                <w:noProof/>
                <w:sz w:val="20"/>
              </w:rPr>
              <w:t>—</w:t>
            </w:r>
          </w:p>
        </w:tc>
        <w:tc>
          <w:tcPr>
            <w:tcW w:w="868" w:type="dxa"/>
            <w:vAlign w:val="center"/>
          </w:tcPr>
          <w:p w14:paraId="1A38797A" w14:textId="77777777" w:rsidR="000944F2" w:rsidRPr="008F6730" w:rsidRDefault="000944F2" w:rsidP="000944F2">
            <w:pPr>
              <w:spacing w:before="20" w:after="20"/>
              <w:jc w:val="right"/>
              <w:rPr>
                <w:noProof/>
                <w:sz w:val="20"/>
              </w:rPr>
            </w:pPr>
            <w:r w:rsidRPr="008F6730">
              <w:rPr>
                <w:noProof/>
                <w:sz w:val="20"/>
              </w:rPr>
              <w:t>—</w:t>
            </w:r>
          </w:p>
        </w:tc>
        <w:tc>
          <w:tcPr>
            <w:tcW w:w="1777" w:type="dxa"/>
            <w:vAlign w:val="center"/>
          </w:tcPr>
          <w:p w14:paraId="0398FB71" w14:textId="77777777" w:rsidR="000944F2" w:rsidRPr="008F6730" w:rsidRDefault="000944F2" w:rsidP="000944F2">
            <w:pPr>
              <w:spacing w:before="20" w:after="20"/>
              <w:jc w:val="right"/>
              <w:rPr>
                <w:b/>
                <w:noProof/>
                <w:sz w:val="20"/>
              </w:rPr>
            </w:pPr>
            <w:r w:rsidRPr="008F6730">
              <w:rPr>
                <w:b/>
                <w:noProof/>
                <w:sz w:val="20"/>
              </w:rPr>
              <w:t>5,000</w:t>
            </w:r>
          </w:p>
        </w:tc>
      </w:tr>
      <w:tr w:rsidR="000944F2" w:rsidRPr="008F6730" w14:paraId="0E8B1162" w14:textId="77777777" w:rsidTr="000944F2">
        <w:tc>
          <w:tcPr>
            <w:tcW w:w="3960" w:type="dxa"/>
            <w:vMerge/>
          </w:tcPr>
          <w:p w14:paraId="61F2F585" w14:textId="77777777" w:rsidR="000944F2" w:rsidRPr="008F6730" w:rsidRDefault="000944F2" w:rsidP="000944F2">
            <w:pPr>
              <w:jc w:val="center"/>
              <w:rPr>
                <w:noProof/>
                <w:sz w:val="20"/>
              </w:rPr>
            </w:pPr>
          </w:p>
        </w:tc>
        <w:tc>
          <w:tcPr>
            <w:tcW w:w="1440" w:type="dxa"/>
            <w:vAlign w:val="center"/>
          </w:tcPr>
          <w:p w14:paraId="40C1CC61" w14:textId="77777777" w:rsidR="000944F2" w:rsidRPr="008F6730" w:rsidRDefault="000944F2" w:rsidP="000944F2">
            <w:pPr>
              <w:spacing w:before="20" w:after="20"/>
              <w:rPr>
                <w:noProof/>
                <w:sz w:val="18"/>
              </w:rPr>
            </w:pPr>
            <w:r w:rsidRPr="008F6730">
              <w:rPr>
                <w:noProof/>
                <w:sz w:val="18"/>
              </w:rPr>
              <w:t>Plaćanja</w:t>
            </w:r>
          </w:p>
        </w:tc>
        <w:tc>
          <w:tcPr>
            <w:tcW w:w="654" w:type="dxa"/>
            <w:gridSpan w:val="2"/>
            <w:vAlign w:val="center"/>
          </w:tcPr>
          <w:p w14:paraId="65CA6FA4" w14:textId="77777777" w:rsidR="000944F2" w:rsidRPr="008F6730" w:rsidRDefault="000944F2" w:rsidP="000944F2">
            <w:pPr>
              <w:spacing w:before="20" w:after="20"/>
              <w:jc w:val="center"/>
              <w:rPr>
                <w:noProof/>
                <w:sz w:val="14"/>
              </w:rPr>
            </w:pPr>
            <w:r w:rsidRPr="008F6730">
              <w:rPr>
                <w:noProof/>
                <w:sz w:val="14"/>
              </w:rPr>
              <w:t>(2a)</w:t>
            </w:r>
          </w:p>
        </w:tc>
        <w:tc>
          <w:tcPr>
            <w:tcW w:w="868" w:type="dxa"/>
            <w:vAlign w:val="center"/>
          </w:tcPr>
          <w:p w14:paraId="2229CE95" w14:textId="77777777" w:rsidR="000944F2" w:rsidRPr="008F6730" w:rsidRDefault="000944F2" w:rsidP="000944F2">
            <w:pPr>
              <w:spacing w:before="20" w:after="20"/>
              <w:jc w:val="right"/>
              <w:rPr>
                <w:noProof/>
                <w:sz w:val="20"/>
              </w:rPr>
            </w:pPr>
            <w:r w:rsidRPr="008F6730">
              <w:rPr>
                <w:noProof/>
                <w:sz w:val="20"/>
              </w:rPr>
              <w:t>1,000</w:t>
            </w:r>
          </w:p>
        </w:tc>
        <w:tc>
          <w:tcPr>
            <w:tcW w:w="868" w:type="dxa"/>
            <w:vAlign w:val="center"/>
          </w:tcPr>
          <w:p w14:paraId="38E6E21A" w14:textId="77777777" w:rsidR="000944F2" w:rsidRPr="008F6730" w:rsidRDefault="000944F2" w:rsidP="000944F2">
            <w:pPr>
              <w:spacing w:before="20" w:after="20"/>
              <w:jc w:val="right"/>
              <w:rPr>
                <w:noProof/>
                <w:sz w:val="20"/>
              </w:rPr>
            </w:pPr>
            <w:r w:rsidRPr="008F6730">
              <w:rPr>
                <w:noProof/>
                <w:sz w:val="20"/>
              </w:rPr>
              <w:t>2,000</w:t>
            </w:r>
          </w:p>
        </w:tc>
        <w:tc>
          <w:tcPr>
            <w:tcW w:w="868" w:type="dxa"/>
            <w:vAlign w:val="center"/>
          </w:tcPr>
          <w:p w14:paraId="0C7CCD39" w14:textId="77777777" w:rsidR="000944F2" w:rsidRPr="008F6730" w:rsidRDefault="000944F2" w:rsidP="000944F2">
            <w:pPr>
              <w:spacing w:before="20" w:after="20"/>
              <w:jc w:val="right"/>
              <w:rPr>
                <w:noProof/>
                <w:sz w:val="20"/>
              </w:rPr>
            </w:pPr>
            <w:r w:rsidRPr="008F6730">
              <w:rPr>
                <w:noProof/>
                <w:sz w:val="20"/>
              </w:rPr>
              <w:t>2,000</w:t>
            </w:r>
          </w:p>
        </w:tc>
        <w:tc>
          <w:tcPr>
            <w:tcW w:w="868" w:type="dxa"/>
            <w:vAlign w:val="center"/>
          </w:tcPr>
          <w:p w14:paraId="2AD9CC04" w14:textId="77777777" w:rsidR="000944F2" w:rsidRPr="008F6730" w:rsidRDefault="000944F2" w:rsidP="000944F2">
            <w:pPr>
              <w:spacing w:before="20" w:after="20"/>
              <w:jc w:val="right"/>
              <w:rPr>
                <w:noProof/>
                <w:sz w:val="20"/>
              </w:rPr>
            </w:pPr>
            <w:r w:rsidRPr="008F6730">
              <w:rPr>
                <w:noProof/>
                <w:sz w:val="20"/>
              </w:rPr>
              <w:t>—</w:t>
            </w:r>
          </w:p>
        </w:tc>
        <w:tc>
          <w:tcPr>
            <w:tcW w:w="1777" w:type="dxa"/>
            <w:vAlign w:val="center"/>
          </w:tcPr>
          <w:p w14:paraId="007473CC" w14:textId="77777777" w:rsidR="000944F2" w:rsidRPr="008F6730" w:rsidRDefault="000944F2" w:rsidP="000944F2">
            <w:pPr>
              <w:spacing w:before="20" w:after="20"/>
              <w:jc w:val="right"/>
              <w:rPr>
                <w:b/>
                <w:noProof/>
                <w:sz w:val="20"/>
              </w:rPr>
            </w:pPr>
            <w:r w:rsidRPr="008F6730">
              <w:rPr>
                <w:b/>
                <w:noProof/>
                <w:sz w:val="20"/>
              </w:rPr>
              <w:t>5,000</w:t>
            </w:r>
          </w:p>
        </w:tc>
      </w:tr>
      <w:tr w:rsidR="000944F2" w:rsidRPr="008F6730" w14:paraId="4CD0B127" w14:textId="77777777" w:rsidTr="000944F2">
        <w:trPr>
          <w:gridAfter w:val="8"/>
          <w:wAfter w:w="7343" w:type="dxa"/>
          <w:trHeight w:val="470"/>
        </w:trPr>
        <w:tc>
          <w:tcPr>
            <w:tcW w:w="3960" w:type="dxa"/>
            <w:vMerge/>
          </w:tcPr>
          <w:p w14:paraId="08269FE4" w14:textId="77777777" w:rsidR="000944F2" w:rsidRPr="008F6730" w:rsidRDefault="000944F2" w:rsidP="000944F2">
            <w:pPr>
              <w:jc w:val="center"/>
              <w:rPr>
                <w:noProof/>
                <w:sz w:val="20"/>
              </w:rPr>
            </w:pPr>
          </w:p>
        </w:tc>
      </w:tr>
      <w:tr w:rsidR="000944F2" w:rsidRPr="008F6730" w14:paraId="2EAD80A5" w14:textId="77777777" w:rsidTr="000944F2">
        <w:trPr>
          <w:trHeight w:val="231"/>
        </w:trPr>
        <w:tc>
          <w:tcPr>
            <w:tcW w:w="6054" w:type="dxa"/>
            <w:gridSpan w:val="4"/>
            <w:vAlign w:val="center"/>
          </w:tcPr>
          <w:p w14:paraId="7D28F3A7" w14:textId="77777777" w:rsidR="000944F2" w:rsidRPr="008F6730" w:rsidRDefault="000944F2" w:rsidP="000944F2">
            <w:pPr>
              <w:spacing w:before="20" w:after="20"/>
              <w:rPr>
                <w:noProof/>
              </w:rPr>
            </w:pPr>
            <w:r w:rsidRPr="008F6730">
              <w:rPr>
                <w:noProof/>
                <w:sz w:val="21"/>
              </w:rPr>
              <w:t>Administrativna odobrena sredstva koja se financiraju iz omotnice za posebne programe</w:t>
            </w:r>
            <w:r w:rsidRPr="008F6730">
              <w:rPr>
                <w:rStyle w:val="FootnoteReference"/>
                <w:noProof/>
                <w:sz w:val="21"/>
              </w:rPr>
              <w:footnoteReference w:id="47"/>
            </w:r>
            <w:r w:rsidRPr="008F6730">
              <w:rPr>
                <w:noProof/>
                <w:sz w:val="21"/>
              </w:rPr>
              <w:t xml:space="preserve"> </w:t>
            </w:r>
          </w:p>
          <w:p w14:paraId="271844F5" w14:textId="77777777" w:rsidR="000944F2" w:rsidRPr="008F6730" w:rsidRDefault="000944F2" w:rsidP="000944F2">
            <w:pPr>
              <w:spacing w:before="0" w:after="0"/>
              <w:rPr>
                <w:noProof/>
              </w:rPr>
            </w:pPr>
          </w:p>
        </w:tc>
        <w:tc>
          <w:tcPr>
            <w:tcW w:w="868" w:type="dxa"/>
            <w:vAlign w:val="center"/>
          </w:tcPr>
          <w:p w14:paraId="691A2512" w14:textId="77777777" w:rsidR="000944F2" w:rsidRPr="008F6730" w:rsidRDefault="000944F2" w:rsidP="000944F2">
            <w:pPr>
              <w:rPr>
                <w:b/>
                <w:noProof/>
                <w:sz w:val="20"/>
              </w:rPr>
            </w:pPr>
          </w:p>
        </w:tc>
        <w:tc>
          <w:tcPr>
            <w:tcW w:w="868" w:type="dxa"/>
            <w:vAlign w:val="center"/>
          </w:tcPr>
          <w:p w14:paraId="2B0D1AFA" w14:textId="77777777" w:rsidR="000944F2" w:rsidRPr="008F6730" w:rsidRDefault="000944F2" w:rsidP="000944F2">
            <w:pPr>
              <w:rPr>
                <w:b/>
                <w:noProof/>
                <w:sz w:val="20"/>
              </w:rPr>
            </w:pPr>
          </w:p>
        </w:tc>
        <w:tc>
          <w:tcPr>
            <w:tcW w:w="868" w:type="dxa"/>
            <w:vAlign w:val="center"/>
          </w:tcPr>
          <w:p w14:paraId="30D0B0D4" w14:textId="77777777" w:rsidR="000944F2" w:rsidRPr="008F6730" w:rsidRDefault="000944F2" w:rsidP="000944F2">
            <w:pPr>
              <w:rPr>
                <w:b/>
                <w:noProof/>
                <w:sz w:val="20"/>
              </w:rPr>
            </w:pPr>
          </w:p>
        </w:tc>
        <w:tc>
          <w:tcPr>
            <w:tcW w:w="868" w:type="dxa"/>
            <w:vAlign w:val="center"/>
          </w:tcPr>
          <w:p w14:paraId="511C7DD8" w14:textId="77777777" w:rsidR="000944F2" w:rsidRPr="008F6730" w:rsidRDefault="000944F2" w:rsidP="000944F2">
            <w:pPr>
              <w:rPr>
                <w:b/>
                <w:noProof/>
                <w:sz w:val="20"/>
              </w:rPr>
            </w:pPr>
          </w:p>
        </w:tc>
        <w:tc>
          <w:tcPr>
            <w:tcW w:w="1777" w:type="dxa"/>
            <w:vAlign w:val="center"/>
          </w:tcPr>
          <w:p w14:paraId="4D14B696" w14:textId="77777777" w:rsidR="000944F2" w:rsidRPr="008F6730" w:rsidRDefault="000944F2" w:rsidP="000944F2">
            <w:pPr>
              <w:rPr>
                <w:b/>
                <w:noProof/>
                <w:sz w:val="20"/>
              </w:rPr>
            </w:pPr>
          </w:p>
        </w:tc>
      </w:tr>
      <w:tr w:rsidR="000944F2" w:rsidRPr="008F6730" w14:paraId="5957DDB8" w14:textId="77777777" w:rsidTr="000944F2">
        <w:trPr>
          <w:trHeight w:val="319"/>
        </w:trPr>
        <w:tc>
          <w:tcPr>
            <w:tcW w:w="3960" w:type="dxa"/>
            <w:vAlign w:val="center"/>
          </w:tcPr>
          <w:p w14:paraId="512CFFD9" w14:textId="77777777" w:rsidR="000944F2" w:rsidRPr="008F6730" w:rsidRDefault="000944F2" w:rsidP="000944F2">
            <w:pPr>
              <w:spacing w:before="60" w:after="60"/>
              <w:rPr>
                <w:noProof/>
              </w:rPr>
            </w:pPr>
            <w:r w:rsidRPr="008F6730">
              <w:rPr>
                <w:noProof/>
                <w:sz w:val="20"/>
              </w:rPr>
              <w:t>XXX</w:t>
            </w:r>
          </w:p>
        </w:tc>
        <w:tc>
          <w:tcPr>
            <w:tcW w:w="1440" w:type="dxa"/>
            <w:vAlign w:val="center"/>
          </w:tcPr>
          <w:p w14:paraId="466013BB" w14:textId="77777777" w:rsidR="000944F2" w:rsidRPr="008F6730" w:rsidRDefault="000944F2" w:rsidP="000944F2">
            <w:pPr>
              <w:spacing w:before="40" w:after="40"/>
              <w:jc w:val="right"/>
              <w:rPr>
                <w:noProof/>
                <w:sz w:val="18"/>
              </w:rPr>
            </w:pPr>
          </w:p>
        </w:tc>
        <w:tc>
          <w:tcPr>
            <w:tcW w:w="654" w:type="dxa"/>
            <w:gridSpan w:val="2"/>
            <w:vAlign w:val="center"/>
          </w:tcPr>
          <w:p w14:paraId="6EE1B5FC" w14:textId="77777777" w:rsidR="000944F2" w:rsidRPr="008F6730" w:rsidRDefault="000944F2" w:rsidP="000944F2">
            <w:pPr>
              <w:spacing w:before="40" w:after="40"/>
              <w:jc w:val="center"/>
              <w:rPr>
                <w:noProof/>
                <w:sz w:val="14"/>
              </w:rPr>
            </w:pPr>
            <w:r w:rsidRPr="008F6730">
              <w:rPr>
                <w:noProof/>
                <w:sz w:val="14"/>
              </w:rPr>
              <w:t>(3)</w:t>
            </w:r>
          </w:p>
        </w:tc>
        <w:tc>
          <w:tcPr>
            <w:tcW w:w="868" w:type="dxa"/>
            <w:vAlign w:val="center"/>
          </w:tcPr>
          <w:p w14:paraId="640F8892" w14:textId="77777777" w:rsidR="000944F2" w:rsidRPr="008F6730" w:rsidRDefault="000944F2" w:rsidP="000944F2">
            <w:pPr>
              <w:spacing w:before="40" w:after="40"/>
              <w:jc w:val="right"/>
              <w:rPr>
                <w:b/>
                <w:noProof/>
                <w:sz w:val="20"/>
              </w:rPr>
            </w:pPr>
          </w:p>
        </w:tc>
        <w:tc>
          <w:tcPr>
            <w:tcW w:w="868" w:type="dxa"/>
            <w:vAlign w:val="center"/>
          </w:tcPr>
          <w:p w14:paraId="42F724FA" w14:textId="77777777" w:rsidR="000944F2" w:rsidRPr="008F6730" w:rsidRDefault="000944F2" w:rsidP="000944F2">
            <w:pPr>
              <w:spacing w:before="40" w:after="40"/>
              <w:jc w:val="right"/>
              <w:rPr>
                <w:b/>
                <w:noProof/>
                <w:sz w:val="20"/>
              </w:rPr>
            </w:pPr>
          </w:p>
        </w:tc>
        <w:tc>
          <w:tcPr>
            <w:tcW w:w="868" w:type="dxa"/>
            <w:vAlign w:val="center"/>
          </w:tcPr>
          <w:p w14:paraId="1E525FCB" w14:textId="77777777" w:rsidR="000944F2" w:rsidRPr="008F6730" w:rsidRDefault="000944F2" w:rsidP="000944F2">
            <w:pPr>
              <w:spacing w:before="40" w:after="40"/>
              <w:jc w:val="right"/>
              <w:rPr>
                <w:b/>
                <w:noProof/>
                <w:sz w:val="20"/>
              </w:rPr>
            </w:pPr>
          </w:p>
        </w:tc>
        <w:tc>
          <w:tcPr>
            <w:tcW w:w="868" w:type="dxa"/>
            <w:vAlign w:val="center"/>
          </w:tcPr>
          <w:p w14:paraId="5931A179" w14:textId="77777777" w:rsidR="000944F2" w:rsidRPr="008F6730" w:rsidRDefault="000944F2" w:rsidP="000944F2">
            <w:pPr>
              <w:spacing w:before="40" w:after="40"/>
              <w:jc w:val="right"/>
              <w:rPr>
                <w:b/>
                <w:noProof/>
                <w:sz w:val="20"/>
              </w:rPr>
            </w:pPr>
          </w:p>
        </w:tc>
        <w:tc>
          <w:tcPr>
            <w:tcW w:w="1777" w:type="dxa"/>
            <w:vAlign w:val="center"/>
          </w:tcPr>
          <w:p w14:paraId="600C77AC" w14:textId="77777777" w:rsidR="000944F2" w:rsidRPr="008F6730" w:rsidRDefault="000944F2" w:rsidP="000944F2">
            <w:pPr>
              <w:spacing w:before="40" w:after="40"/>
              <w:jc w:val="right"/>
              <w:rPr>
                <w:b/>
                <w:noProof/>
                <w:sz w:val="20"/>
              </w:rPr>
            </w:pPr>
          </w:p>
        </w:tc>
      </w:tr>
      <w:tr w:rsidR="000944F2" w:rsidRPr="008F6730" w14:paraId="5988436A" w14:textId="77777777" w:rsidTr="000944F2">
        <w:tc>
          <w:tcPr>
            <w:tcW w:w="3960" w:type="dxa"/>
            <w:vMerge w:val="restart"/>
            <w:vAlign w:val="center"/>
          </w:tcPr>
          <w:p w14:paraId="1AE1CCB0" w14:textId="77777777" w:rsidR="000944F2" w:rsidRPr="008F6730" w:rsidRDefault="000944F2" w:rsidP="000944F2">
            <w:pPr>
              <w:jc w:val="center"/>
              <w:rPr>
                <w:b/>
                <w:noProof/>
              </w:rPr>
            </w:pPr>
            <w:r w:rsidRPr="008F6730">
              <w:rPr>
                <w:b/>
                <w:noProof/>
                <w:sz w:val="22"/>
              </w:rPr>
              <w:t>UKUPNA odobrena sredstva</w:t>
            </w:r>
            <w:r w:rsidRPr="008F6730">
              <w:rPr>
                <w:noProof/>
                <w:sz w:val="22"/>
              </w:rPr>
              <w:br/>
            </w:r>
            <w:r w:rsidRPr="008F6730">
              <w:rPr>
                <w:b/>
                <w:noProof/>
                <w:sz w:val="22"/>
              </w:rPr>
              <w:t>za GU</w:t>
            </w:r>
            <w:r w:rsidRPr="008F6730">
              <w:rPr>
                <w:noProof/>
                <w:sz w:val="22"/>
              </w:rPr>
              <w:t xml:space="preserve"> CLIMA</w:t>
            </w:r>
          </w:p>
        </w:tc>
        <w:tc>
          <w:tcPr>
            <w:tcW w:w="1440" w:type="dxa"/>
            <w:vAlign w:val="center"/>
          </w:tcPr>
          <w:p w14:paraId="6376448B" w14:textId="77777777" w:rsidR="000944F2" w:rsidRPr="008F6730" w:rsidRDefault="000944F2" w:rsidP="000944F2">
            <w:pPr>
              <w:rPr>
                <w:noProof/>
                <w:sz w:val="18"/>
              </w:rPr>
            </w:pPr>
            <w:r w:rsidRPr="008F6730">
              <w:rPr>
                <w:noProof/>
                <w:sz w:val="18"/>
              </w:rPr>
              <w:t>Obveze</w:t>
            </w:r>
          </w:p>
        </w:tc>
        <w:tc>
          <w:tcPr>
            <w:tcW w:w="654" w:type="dxa"/>
            <w:gridSpan w:val="2"/>
            <w:vAlign w:val="center"/>
          </w:tcPr>
          <w:p w14:paraId="4B3062B6" w14:textId="77777777" w:rsidR="000944F2" w:rsidRPr="008F6730" w:rsidRDefault="000944F2" w:rsidP="000944F2">
            <w:pPr>
              <w:jc w:val="center"/>
              <w:rPr>
                <w:noProof/>
                <w:sz w:val="14"/>
              </w:rPr>
            </w:pPr>
            <w:r w:rsidRPr="008F6730">
              <w:rPr>
                <w:noProof/>
                <w:sz w:val="14"/>
              </w:rPr>
              <w:t>=1a+1b+3</w:t>
            </w:r>
          </w:p>
        </w:tc>
        <w:tc>
          <w:tcPr>
            <w:tcW w:w="868" w:type="dxa"/>
            <w:vAlign w:val="center"/>
          </w:tcPr>
          <w:p w14:paraId="1A47AE45" w14:textId="77777777" w:rsidR="000944F2" w:rsidRPr="008F6730" w:rsidRDefault="000944F2" w:rsidP="000944F2">
            <w:pPr>
              <w:spacing w:before="20" w:after="20"/>
              <w:jc w:val="right"/>
              <w:rPr>
                <w:noProof/>
                <w:sz w:val="20"/>
              </w:rPr>
            </w:pPr>
            <w:r w:rsidRPr="008F6730">
              <w:rPr>
                <w:noProof/>
                <w:sz w:val="20"/>
              </w:rPr>
              <w:t>3,000</w:t>
            </w:r>
          </w:p>
        </w:tc>
        <w:tc>
          <w:tcPr>
            <w:tcW w:w="868" w:type="dxa"/>
            <w:vAlign w:val="center"/>
          </w:tcPr>
          <w:p w14:paraId="4AF551DA" w14:textId="77777777" w:rsidR="000944F2" w:rsidRPr="008F6730" w:rsidRDefault="000944F2" w:rsidP="000944F2">
            <w:pPr>
              <w:spacing w:before="20" w:after="20"/>
              <w:jc w:val="right"/>
              <w:rPr>
                <w:noProof/>
                <w:sz w:val="20"/>
              </w:rPr>
            </w:pPr>
            <w:r w:rsidRPr="008F6730">
              <w:rPr>
                <w:noProof/>
                <w:sz w:val="20"/>
              </w:rPr>
              <w:t>2,000</w:t>
            </w:r>
          </w:p>
        </w:tc>
        <w:tc>
          <w:tcPr>
            <w:tcW w:w="868" w:type="dxa"/>
            <w:vAlign w:val="center"/>
          </w:tcPr>
          <w:p w14:paraId="4051E84B" w14:textId="77777777" w:rsidR="000944F2" w:rsidRPr="008F6730" w:rsidRDefault="000944F2" w:rsidP="000944F2">
            <w:pPr>
              <w:spacing w:before="20" w:after="20"/>
              <w:jc w:val="right"/>
              <w:rPr>
                <w:noProof/>
                <w:sz w:val="20"/>
              </w:rPr>
            </w:pPr>
          </w:p>
        </w:tc>
        <w:tc>
          <w:tcPr>
            <w:tcW w:w="868" w:type="dxa"/>
            <w:vAlign w:val="center"/>
          </w:tcPr>
          <w:p w14:paraId="214965C2" w14:textId="77777777" w:rsidR="000944F2" w:rsidRPr="008F6730" w:rsidRDefault="000944F2" w:rsidP="000944F2">
            <w:pPr>
              <w:spacing w:before="20" w:after="20"/>
              <w:jc w:val="right"/>
              <w:rPr>
                <w:noProof/>
                <w:sz w:val="20"/>
              </w:rPr>
            </w:pPr>
          </w:p>
        </w:tc>
        <w:tc>
          <w:tcPr>
            <w:tcW w:w="1777" w:type="dxa"/>
            <w:vAlign w:val="center"/>
          </w:tcPr>
          <w:p w14:paraId="17D17528" w14:textId="77777777" w:rsidR="000944F2" w:rsidRPr="008F6730" w:rsidRDefault="000944F2" w:rsidP="000944F2">
            <w:pPr>
              <w:spacing w:before="20" w:after="20"/>
              <w:jc w:val="right"/>
              <w:rPr>
                <w:b/>
                <w:noProof/>
                <w:sz w:val="20"/>
              </w:rPr>
            </w:pPr>
            <w:r w:rsidRPr="008F6730">
              <w:rPr>
                <w:b/>
                <w:noProof/>
                <w:sz w:val="20"/>
              </w:rPr>
              <w:t>5,000</w:t>
            </w:r>
          </w:p>
        </w:tc>
      </w:tr>
      <w:tr w:rsidR="000944F2" w:rsidRPr="008F6730" w14:paraId="1D1B30B5" w14:textId="77777777" w:rsidTr="000944F2">
        <w:tc>
          <w:tcPr>
            <w:tcW w:w="3960" w:type="dxa"/>
            <w:vMerge/>
          </w:tcPr>
          <w:p w14:paraId="5B8F2913" w14:textId="77777777" w:rsidR="000944F2" w:rsidRPr="008F6730" w:rsidRDefault="000944F2" w:rsidP="000944F2">
            <w:pPr>
              <w:rPr>
                <w:noProof/>
                <w:sz w:val="20"/>
              </w:rPr>
            </w:pPr>
          </w:p>
        </w:tc>
        <w:tc>
          <w:tcPr>
            <w:tcW w:w="1440" w:type="dxa"/>
            <w:vAlign w:val="center"/>
          </w:tcPr>
          <w:p w14:paraId="1E27A980" w14:textId="77777777" w:rsidR="000944F2" w:rsidRPr="008F6730" w:rsidRDefault="000944F2" w:rsidP="000944F2">
            <w:pPr>
              <w:rPr>
                <w:noProof/>
                <w:sz w:val="18"/>
              </w:rPr>
            </w:pPr>
            <w:r w:rsidRPr="008F6730">
              <w:rPr>
                <w:noProof/>
                <w:sz w:val="18"/>
              </w:rPr>
              <w:t>Plaćanja</w:t>
            </w:r>
          </w:p>
        </w:tc>
        <w:tc>
          <w:tcPr>
            <w:tcW w:w="654" w:type="dxa"/>
            <w:gridSpan w:val="2"/>
            <w:vAlign w:val="center"/>
          </w:tcPr>
          <w:p w14:paraId="729E670B" w14:textId="77777777" w:rsidR="000944F2" w:rsidRPr="008F6730" w:rsidRDefault="000944F2" w:rsidP="000944F2">
            <w:pPr>
              <w:jc w:val="center"/>
              <w:rPr>
                <w:noProof/>
                <w:sz w:val="14"/>
              </w:rPr>
            </w:pPr>
            <w:r w:rsidRPr="008F6730">
              <w:rPr>
                <w:noProof/>
                <w:sz w:val="14"/>
              </w:rPr>
              <w:t>=2a+2b</w:t>
            </w:r>
          </w:p>
          <w:p w14:paraId="41E3FF24" w14:textId="77777777" w:rsidR="000944F2" w:rsidRPr="008F6730" w:rsidRDefault="000944F2" w:rsidP="000944F2">
            <w:pPr>
              <w:jc w:val="center"/>
              <w:rPr>
                <w:noProof/>
                <w:sz w:val="14"/>
              </w:rPr>
            </w:pPr>
            <w:r w:rsidRPr="008F6730">
              <w:rPr>
                <w:noProof/>
                <w:sz w:val="14"/>
              </w:rPr>
              <w:t>+3</w:t>
            </w:r>
          </w:p>
        </w:tc>
        <w:tc>
          <w:tcPr>
            <w:tcW w:w="868" w:type="dxa"/>
            <w:vAlign w:val="center"/>
          </w:tcPr>
          <w:p w14:paraId="62BFE284" w14:textId="77777777" w:rsidR="000944F2" w:rsidRPr="008F6730" w:rsidRDefault="000944F2" w:rsidP="000944F2">
            <w:pPr>
              <w:spacing w:before="20" w:after="20"/>
              <w:jc w:val="right"/>
              <w:rPr>
                <w:noProof/>
                <w:sz w:val="20"/>
              </w:rPr>
            </w:pPr>
            <w:r w:rsidRPr="008F6730">
              <w:rPr>
                <w:noProof/>
                <w:sz w:val="20"/>
              </w:rPr>
              <w:t>1,000</w:t>
            </w:r>
          </w:p>
        </w:tc>
        <w:tc>
          <w:tcPr>
            <w:tcW w:w="868" w:type="dxa"/>
            <w:vAlign w:val="center"/>
          </w:tcPr>
          <w:p w14:paraId="7661C501" w14:textId="77777777" w:rsidR="000944F2" w:rsidRPr="008F6730" w:rsidRDefault="000944F2" w:rsidP="000944F2">
            <w:pPr>
              <w:spacing w:before="20" w:after="20"/>
              <w:jc w:val="right"/>
              <w:rPr>
                <w:noProof/>
                <w:sz w:val="20"/>
              </w:rPr>
            </w:pPr>
            <w:r w:rsidRPr="008F6730">
              <w:rPr>
                <w:noProof/>
                <w:sz w:val="20"/>
              </w:rPr>
              <w:t>2,000</w:t>
            </w:r>
          </w:p>
        </w:tc>
        <w:tc>
          <w:tcPr>
            <w:tcW w:w="868" w:type="dxa"/>
            <w:vAlign w:val="center"/>
          </w:tcPr>
          <w:p w14:paraId="1FCFBC83" w14:textId="77777777" w:rsidR="000944F2" w:rsidRPr="008F6730" w:rsidRDefault="000944F2" w:rsidP="000944F2">
            <w:pPr>
              <w:spacing w:before="20" w:after="20"/>
              <w:jc w:val="right"/>
              <w:rPr>
                <w:noProof/>
                <w:sz w:val="20"/>
              </w:rPr>
            </w:pPr>
            <w:r w:rsidRPr="008F6730">
              <w:rPr>
                <w:noProof/>
                <w:sz w:val="20"/>
              </w:rPr>
              <w:t>2,000</w:t>
            </w:r>
          </w:p>
        </w:tc>
        <w:tc>
          <w:tcPr>
            <w:tcW w:w="868" w:type="dxa"/>
            <w:vAlign w:val="center"/>
          </w:tcPr>
          <w:p w14:paraId="7F7FBEE2" w14:textId="77777777" w:rsidR="000944F2" w:rsidRPr="008F6730" w:rsidRDefault="000944F2" w:rsidP="000944F2">
            <w:pPr>
              <w:spacing w:before="20" w:after="20"/>
              <w:jc w:val="right"/>
              <w:rPr>
                <w:noProof/>
                <w:sz w:val="20"/>
              </w:rPr>
            </w:pPr>
            <w:r w:rsidRPr="008F6730">
              <w:rPr>
                <w:noProof/>
                <w:sz w:val="20"/>
              </w:rPr>
              <w:t>—</w:t>
            </w:r>
          </w:p>
        </w:tc>
        <w:tc>
          <w:tcPr>
            <w:tcW w:w="1777" w:type="dxa"/>
            <w:vAlign w:val="center"/>
          </w:tcPr>
          <w:p w14:paraId="62CAE760" w14:textId="77777777" w:rsidR="000944F2" w:rsidRPr="008F6730" w:rsidRDefault="000944F2" w:rsidP="000944F2">
            <w:pPr>
              <w:spacing w:before="20" w:after="20"/>
              <w:jc w:val="right"/>
              <w:rPr>
                <w:b/>
                <w:noProof/>
                <w:sz w:val="20"/>
              </w:rPr>
            </w:pPr>
            <w:r w:rsidRPr="008F6730">
              <w:rPr>
                <w:b/>
                <w:noProof/>
                <w:sz w:val="20"/>
              </w:rPr>
              <w:t>5,000</w:t>
            </w:r>
          </w:p>
        </w:tc>
      </w:tr>
    </w:tbl>
    <w:p w14:paraId="372859A2" w14:textId="77777777" w:rsidR="000944F2" w:rsidRPr="008F6730" w:rsidRDefault="000944F2" w:rsidP="000944F2">
      <w:pPr>
        <w:rPr>
          <w:noProof/>
        </w:rPr>
      </w:pPr>
      <w:r w:rsidRPr="008F6730">
        <w:rPr>
          <w:noProof/>
        </w:rPr>
        <w:br/>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440"/>
        <w:gridCol w:w="654"/>
        <w:gridCol w:w="868"/>
        <w:gridCol w:w="868"/>
        <w:gridCol w:w="868"/>
        <w:gridCol w:w="868"/>
        <w:gridCol w:w="868"/>
      </w:tblGrid>
      <w:tr w:rsidR="000944F2" w:rsidRPr="008F6730" w14:paraId="2199458A" w14:textId="77777777" w:rsidTr="000944F2">
        <w:trPr>
          <w:trHeight w:val="277"/>
        </w:trPr>
        <w:tc>
          <w:tcPr>
            <w:tcW w:w="3960" w:type="dxa"/>
            <w:vMerge w:val="restart"/>
            <w:vAlign w:val="center"/>
          </w:tcPr>
          <w:p w14:paraId="22037970" w14:textId="77777777" w:rsidR="000944F2" w:rsidRPr="0036559F" w:rsidRDefault="000944F2" w:rsidP="000944F2">
            <w:pPr>
              <w:spacing w:before="20" w:after="20"/>
              <w:rPr>
                <w:noProof/>
                <w:sz w:val="21"/>
                <w:szCs w:val="21"/>
              </w:rPr>
            </w:pPr>
            <w:r w:rsidRPr="0036559F">
              <w:rPr>
                <w:noProof/>
                <w:sz w:val="21"/>
                <w:szCs w:val="21"/>
              </w:rPr>
              <w:br w:type="page"/>
            </w:r>
            <w:r w:rsidRPr="0036559F">
              <w:rPr>
                <w:rFonts w:ascii="Wingdings" w:hAnsi="Wingdings"/>
                <w:noProof/>
                <w:sz w:val="21"/>
                <w:szCs w:val="21"/>
              </w:rPr>
              <w:t>□</w:t>
            </w:r>
            <w:r w:rsidRPr="0036559F">
              <w:rPr>
                <w:noProof/>
                <w:sz w:val="21"/>
                <w:szCs w:val="21"/>
              </w:rPr>
              <w:t xml:space="preserve"> UKUPNA odobrena sredstva za poslovanje </w:t>
            </w:r>
          </w:p>
        </w:tc>
        <w:tc>
          <w:tcPr>
            <w:tcW w:w="1440" w:type="dxa"/>
            <w:vAlign w:val="center"/>
          </w:tcPr>
          <w:p w14:paraId="7A569281" w14:textId="77777777" w:rsidR="000944F2" w:rsidRPr="008F6730" w:rsidRDefault="000944F2" w:rsidP="000944F2">
            <w:pPr>
              <w:spacing w:beforeLines="20" w:before="48" w:afterLines="20" w:after="48"/>
              <w:rPr>
                <w:noProof/>
                <w:sz w:val="18"/>
              </w:rPr>
            </w:pPr>
            <w:r w:rsidRPr="008F6730">
              <w:rPr>
                <w:noProof/>
                <w:sz w:val="18"/>
              </w:rPr>
              <w:t>Obveze</w:t>
            </w:r>
          </w:p>
        </w:tc>
        <w:tc>
          <w:tcPr>
            <w:tcW w:w="654" w:type="dxa"/>
            <w:vAlign w:val="center"/>
          </w:tcPr>
          <w:p w14:paraId="663F5061" w14:textId="77777777" w:rsidR="000944F2" w:rsidRPr="008F6730" w:rsidRDefault="000944F2" w:rsidP="000944F2">
            <w:pPr>
              <w:spacing w:beforeLines="20" w:before="48" w:afterLines="20" w:after="48"/>
              <w:jc w:val="center"/>
              <w:rPr>
                <w:noProof/>
                <w:sz w:val="14"/>
              </w:rPr>
            </w:pPr>
            <w:r w:rsidRPr="008F6730">
              <w:rPr>
                <w:noProof/>
                <w:sz w:val="14"/>
              </w:rPr>
              <w:t>(4)</w:t>
            </w:r>
          </w:p>
        </w:tc>
        <w:tc>
          <w:tcPr>
            <w:tcW w:w="868" w:type="dxa"/>
            <w:vAlign w:val="center"/>
          </w:tcPr>
          <w:p w14:paraId="25FB7A46" w14:textId="77777777" w:rsidR="000944F2" w:rsidRPr="008F6730" w:rsidRDefault="000944F2" w:rsidP="000944F2">
            <w:pPr>
              <w:spacing w:before="20" w:after="20"/>
              <w:jc w:val="right"/>
              <w:rPr>
                <w:noProof/>
                <w:sz w:val="20"/>
              </w:rPr>
            </w:pPr>
            <w:r w:rsidRPr="008F6730">
              <w:rPr>
                <w:noProof/>
                <w:sz w:val="20"/>
              </w:rPr>
              <w:t>3,000</w:t>
            </w:r>
          </w:p>
        </w:tc>
        <w:tc>
          <w:tcPr>
            <w:tcW w:w="868" w:type="dxa"/>
            <w:vAlign w:val="center"/>
          </w:tcPr>
          <w:p w14:paraId="3B8E8B86" w14:textId="77777777" w:rsidR="000944F2" w:rsidRPr="008F6730" w:rsidRDefault="000944F2" w:rsidP="000944F2">
            <w:pPr>
              <w:spacing w:before="20" w:after="20"/>
              <w:jc w:val="right"/>
              <w:rPr>
                <w:noProof/>
                <w:sz w:val="20"/>
              </w:rPr>
            </w:pPr>
            <w:r w:rsidRPr="008F6730">
              <w:rPr>
                <w:noProof/>
                <w:sz w:val="20"/>
              </w:rPr>
              <w:t>2,000</w:t>
            </w:r>
          </w:p>
        </w:tc>
        <w:tc>
          <w:tcPr>
            <w:tcW w:w="868" w:type="dxa"/>
            <w:vAlign w:val="center"/>
          </w:tcPr>
          <w:p w14:paraId="668B6114" w14:textId="77777777" w:rsidR="000944F2" w:rsidRPr="008F6730" w:rsidRDefault="000944F2" w:rsidP="000944F2">
            <w:pPr>
              <w:spacing w:before="20" w:after="20"/>
              <w:jc w:val="right"/>
              <w:rPr>
                <w:noProof/>
                <w:sz w:val="20"/>
              </w:rPr>
            </w:pPr>
          </w:p>
        </w:tc>
        <w:tc>
          <w:tcPr>
            <w:tcW w:w="868" w:type="dxa"/>
            <w:vAlign w:val="center"/>
          </w:tcPr>
          <w:p w14:paraId="0C182E76" w14:textId="77777777" w:rsidR="000944F2" w:rsidRPr="008F6730" w:rsidRDefault="000944F2" w:rsidP="000944F2">
            <w:pPr>
              <w:spacing w:before="20" w:after="20"/>
              <w:jc w:val="right"/>
              <w:rPr>
                <w:noProof/>
                <w:sz w:val="20"/>
              </w:rPr>
            </w:pPr>
          </w:p>
        </w:tc>
        <w:tc>
          <w:tcPr>
            <w:tcW w:w="868" w:type="dxa"/>
            <w:vAlign w:val="center"/>
          </w:tcPr>
          <w:p w14:paraId="16BB1174" w14:textId="77777777" w:rsidR="000944F2" w:rsidRPr="008F6730" w:rsidRDefault="000944F2" w:rsidP="000944F2">
            <w:pPr>
              <w:spacing w:before="20" w:after="20"/>
              <w:jc w:val="right"/>
              <w:rPr>
                <w:noProof/>
                <w:sz w:val="20"/>
              </w:rPr>
            </w:pPr>
            <w:r w:rsidRPr="008F6730">
              <w:rPr>
                <w:b/>
                <w:noProof/>
                <w:sz w:val="20"/>
              </w:rPr>
              <w:t>5,000</w:t>
            </w:r>
          </w:p>
        </w:tc>
      </w:tr>
      <w:tr w:rsidR="000944F2" w:rsidRPr="008F6730" w14:paraId="43F47F2A" w14:textId="77777777" w:rsidTr="000944F2">
        <w:tc>
          <w:tcPr>
            <w:tcW w:w="3960" w:type="dxa"/>
            <w:vMerge/>
          </w:tcPr>
          <w:p w14:paraId="100D9408" w14:textId="77777777" w:rsidR="000944F2" w:rsidRPr="0036559F" w:rsidRDefault="000944F2" w:rsidP="000944F2">
            <w:pPr>
              <w:jc w:val="center"/>
              <w:rPr>
                <w:noProof/>
                <w:sz w:val="21"/>
                <w:szCs w:val="21"/>
              </w:rPr>
            </w:pPr>
          </w:p>
        </w:tc>
        <w:tc>
          <w:tcPr>
            <w:tcW w:w="1440" w:type="dxa"/>
            <w:vAlign w:val="center"/>
          </w:tcPr>
          <w:p w14:paraId="73F4A2A9" w14:textId="77777777" w:rsidR="000944F2" w:rsidRPr="008F6730" w:rsidRDefault="000944F2" w:rsidP="000944F2">
            <w:pPr>
              <w:spacing w:beforeLines="20" w:before="48" w:afterLines="20" w:after="48"/>
              <w:rPr>
                <w:noProof/>
                <w:sz w:val="18"/>
              </w:rPr>
            </w:pPr>
            <w:r w:rsidRPr="008F6730">
              <w:rPr>
                <w:noProof/>
                <w:sz w:val="18"/>
              </w:rPr>
              <w:t>Plaćanja</w:t>
            </w:r>
          </w:p>
        </w:tc>
        <w:tc>
          <w:tcPr>
            <w:tcW w:w="654" w:type="dxa"/>
            <w:vAlign w:val="center"/>
          </w:tcPr>
          <w:p w14:paraId="0B113099" w14:textId="77777777" w:rsidR="000944F2" w:rsidRPr="008F6730" w:rsidRDefault="000944F2" w:rsidP="000944F2">
            <w:pPr>
              <w:spacing w:beforeLines="20" w:before="48" w:afterLines="20" w:after="48"/>
              <w:jc w:val="center"/>
              <w:rPr>
                <w:noProof/>
                <w:sz w:val="14"/>
              </w:rPr>
            </w:pPr>
            <w:r w:rsidRPr="008F6730">
              <w:rPr>
                <w:noProof/>
                <w:sz w:val="14"/>
              </w:rPr>
              <w:t>(5)</w:t>
            </w:r>
          </w:p>
        </w:tc>
        <w:tc>
          <w:tcPr>
            <w:tcW w:w="868" w:type="dxa"/>
            <w:vAlign w:val="center"/>
          </w:tcPr>
          <w:p w14:paraId="2D821328" w14:textId="77777777" w:rsidR="000944F2" w:rsidRPr="008F6730" w:rsidRDefault="000944F2" w:rsidP="000944F2">
            <w:pPr>
              <w:spacing w:before="20" w:after="20"/>
              <w:jc w:val="right"/>
              <w:rPr>
                <w:noProof/>
                <w:sz w:val="20"/>
              </w:rPr>
            </w:pPr>
            <w:r w:rsidRPr="008F6730">
              <w:rPr>
                <w:noProof/>
                <w:sz w:val="20"/>
              </w:rPr>
              <w:t>1,000</w:t>
            </w:r>
          </w:p>
        </w:tc>
        <w:tc>
          <w:tcPr>
            <w:tcW w:w="868" w:type="dxa"/>
            <w:vAlign w:val="center"/>
          </w:tcPr>
          <w:p w14:paraId="7225BA7F" w14:textId="77777777" w:rsidR="000944F2" w:rsidRPr="008F6730" w:rsidRDefault="000944F2" w:rsidP="000944F2">
            <w:pPr>
              <w:spacing w:before="20" w:after="20"/>
              <w:jc w:val="right"/>
              <w:rPr>
                <w:noProof/>
                <w:sz w:val="20"/>
              </w:rPr>
            </w:pPr>
            <w:r w:rsidRPr="008F6730">
              <w:rPr>
                <w:noProof/>
                <w:sz w:val="20"/>
              </w:rPr>
              <w:t>2,000</w:t>
            </w:r>
          </w:p>
        </w:tc>
        <w:tc>
          <w:tcPr>
            <w:tcW w:w="868" w:type="dxa"/>
            <w:vAlign w:val="center"/>
          </w:tcPr>
          <w:p w14:paraId="2C709997" w14:textId="77777777" w:rsidR="000944F2" w:rsidRPr="008F6730" w:rsidRDefault="000944F2" w:rsidP="000944F2">
            <w:pPr>
              <w:spacing w:before="20" w:after="20"/>
              <w:jc w:val="right"/>
              <w:rPr>
                <w:noProof/>
                <w:sz w:val="20"/>
              </w:rPr>
            </w:pPr>
            <w:r w:rsidRPr="008F6730">
              <w:rPr>
                <w:noProof/>
                <w:sz w:val="20"/>
              </w:rPr>
              <w:t>2,000</w:t>
            </w:r>
          </w:p>
        </w:tc>
        <w:tc>
          <w:tcPr>
            <w:tcW w:w="868" w:type="dxa"/>
            <w:vAlign w:val="center"/>
          </w:tcPr>
          <w:p w14:paraId="76C10EA4" w14:textId="77777777" w:rsidR="000944F2" w:rsidRPr="008F6730" w:rsidRDefault="000944F2" w:rsidP="000944F2">
            <w:pPr>
              <w:spacing w:before="20" w:after="20"/>
              <w:jc w:val="right"/>
              <w:rPr>
                <w:noProof/>
                <w:sz w:val="20"/>
              </w:rPr>
            </w:pPr>
            <w:r w:rsidRPr="008F6730">
              <w:rPr>
                <w:noProof/>
                <w:sz w:val="20"/>
              </w:rPr>
              <w:t>—</w:t>
            </w:r>
          </w:p>
        </w:tc>
        <w:tc>
          <w:tcPr>
            <w:tcW w:w="868" w:type="dxa"/>
            <w:vAlign w:val="center"/>
          </w:tcPr>
          <w:p w14:paraId="675BB325" w14:textId="77777777" w:rsidR="000944F2" w:rsidRPr="008F6730" w:rsidRDefault="000944F2" w:rsidP="000944F2">
            <w:pPr>
              <w:spacing w:before="20" w:after="20"/>
              <w:jc w:val="right"/>
              <w:rPr>
                <w:noProof/>
                <w:sz w:val="20"/>
              </w:rPr>
            </w:pPr>
            <w:r w:rsidRPr="008F6730">
              <w:rPr>
                <w:b/>
                <w:noProof/>
                <w:sz w:val="20"/>
              </w:rPr>
              <w:t>5,000</w:t>
            </w:r>
          </w:p>
        </w:tc>
      </w:tr>
      <w:tr w:rsidR="000944F2" w:rsidRPr="008F6730" w14:paraId="41EBE2B4" w14:textId="77777777" w:rsidTr="000944F2">
        <w:trPr>
          <w:trHeight w:val="533"/>
        </w:trPr>
        <w:tc>
          <w:tcPr>
            <w:tcW w:w="5400" w:type="dxa"/>
            <w:gridSpan w:val="2"/>
            <w:vAlign w:val="center"/>
          </w:tcPr>
          <w:p w14:paraId="15BF373E" w14:textId="77777777" w:rsidR="000944F2" w:rsidRPr="0036559F" w:rsidRDefault="000944F2" w:rsidP="000944F2">
            <w:pPr>
              <w:spacing w:beforeLines="20" w:before="48" w:afterLines="20" w:after="48"/>
              <w:rPr>
                <w:noProof/>
                <w:sz w:val="21"/>
                <w:szCs w:val="21"/>
              </w:rPr>
            </w:pPr>
            <w:r w:rsidRPr="0036559F">
              <w:rPr>
                <w:rFonts w:ascii="Wingdings" w:hAnsi="Wingdings"/>
                <w:noProof/>
                <w:sz w:val="21"/>
                <w:szCs w:val="21"/>
              </w:rPr>
              <w:t>□</w:t>
            </w:r>
            <w:r w:rsidRPr="0036559F">
              <w:rPr>
                <w:noProof/>
                <w:sz w:val="21"/>
                <w:szCs w:val="21"/>
              </w:rPr>
              <w:t xml:space="preserve"> UKUPNA administrativna odobrena sredstva koja se financiraju iz omotnice za posebne programe </w:t>
            </w:r>
          </w:p>
        </w:tc>
        <w:tc>
          <w:tcPr>
            <w:tcW w:w="654" w:type="dxa"/>
            <w:vAlign w:val="center"/>
          </w:tcPr>
          <w:p w14:paraId="63B6F5DA" w14:textId="77777777" w:rsidR="000944F2" w:rsidRPr="008F6730" w:rsidRDefault="000944F2" w:rsidP="000944F2">
            <w:pPr>
              <w:spacing w:beforeLines="20" w:before="48" w:afterLines="20" w:after="48"/>
              <w:jc w:val="center"/>
              <w:rPr>
                <w:noProof/>
                <w:sz w:val="14"/>
              </w:rPr>
            </w:pPr>
            <w:r w:rsidRPr="008F6730">
              <w:rPr>
                <w:noProof/>
                <w:sz w:val="14"/>
              </w:rPr>
              <w:t>(6)</w:t>
            </w:r>
          </w:p>
        </w:tc>
        <w:tc>
          <w:tcPr>
            <w:tcW w:w="868" w:type="dxa"/>
            <w:vAlign w:val="center"/>
          </w:tcPr>
          <w:p w14:paraId="7D028C1A" w14:textId="77777777" w:rsidR="000944F2" w:rsidRPr="008F6730" w:rsidRDefault="000944F2" w:rsidP="000944F2">
            <w:pPr>
              <w:spacing w:before="20" w:after="20"/>
              <w:jc w:val="right"/>
              <w:rPr>
                <w:b/>
                <w:noProof/>
                <w:sz w:val="20"/>
              </w:rPr>
            </w:pPr>
          </w:p>
        </w:tc>
        <w:tc>
          <w:tcPr>
            <w:tcW w:w="868" w:type="dxa"/>
            <w:vAlign w:val="center"/>
          </w:tcPr>
          <w:p w14:paraId="65C5AE77" w14:textId="77777777" w:rsidR="000944F2" w:rsidRPr="008F6730" w:rsidRDefault="000944F2" w:rsidP="000944F2">
            <w:pPr>
              <w:spacing w:before="20" w:after="20"/>
              <w:jc w:val="right"/>
              <w:rPr>
                <w:b/>
                <w:noProof/>
                <w:sz w:val="20"/>
              </w:rPr>
            </w:pPr>
          </w:p>
        </w:tc>
        <w:tc>
          <w:tcPr>
            <w:tcW w:w="868" w:type="dxa"/>
            <w:vAlign w:val="center"/>
          </w:tcPr>
          <w:p w14:paraId="6BC2F028" w14:textId="77777777" w:rsidR="000944F2" w:rsidRPr="008F6730" w:rsidRDefault="000944F2" w:rsidP="000944F2">
            <w:pPr>
              <w:spacing w:before="20" w:after="20"/>
              <w:jc w:val="right"/>
              <w:rPr>
                <w:b/>
                <w:noProof/>
                <w:sz w:val="20"/>
              </w:rPr>
            </w:pPr>
          </w:p>
        </w:tc>
        <w:tc>
          <w:tcPr>
            <w:tcW w:w="868" w:type="dxa"/>
            <w:vAlign w:val="center"/>
          </w:tcPr>
          <w:p w14:paraId="30842212" w14:textId="77777777" w:rsidR="000944F2" w:rsidRPr="008F6730" w:rsidRDefault="000944F2" w:rsidP="000944F2">
            <w:pPr>
              <w:spacing w:before="20" w:after="20"/>
              <w:jc w:val="right"/>
              <w:rPr>
                <w:b/>
                <w:noProof/>
                <w:sz w:val="20"/>
              </w:rPr>
            </w:pPr>
          </w:p>
        </w:tc>
        <w:tc>
          <w:tcPr>
            <w:tcW w:w="868" w:type="dxa"/>
            <w:vAlign w:val="center"/>
          </w:tcPr>
          <w:p w14:paraId="581BE9F9" w14:textId="77777777" w:rsidR="000944F2" w:rsidRPr="008F6730" w:rsidRDefault="000944F2" w:rsidP="000944F2">
            <w:pPr>
              <w:spacing w:before="20" w:after="20"/>
              <w:jc w:val="right"/>
              <w:rPr>
                <w:b/>
                <w:noProof/>
                <w:sz w:val="20"/>
              </w:rPr>
            </w:pPr>
          </w:p>
        </w:tc>
      </w:tr>
      <w:tr w:rsidR="000944F2" w:rsidRPr="008F6730" w14:paraId="796E0436" w14:textId="77777777" w:rsidTr="000944F2">
        <w:tc>
          <w:tcPr>
            <w:tcW w:w="3960" w:type="dxa"/>
            <w:vMerge w:val="restart"/>
            <w:shd w:val="thinDiagStripe" w:color="C0C0C0" w:fill="auto"/>
            <w:vAlign w:val="center"/>
          </w:tcPr>
          <w:p w14:paraId="1164E6CA" w14:textId="77777777" w:rsidR="000944F2" w:rsidRPr="008F6730" w:rsidRDefault="000944F2" w:rsidP="000944F2">
            <w:pPr>
              <w:jc w:val="center"/>
              <w:rPr>
                <w:b/>
                <w:noProof/>
              </w:rPr>
            </w:pPr>
            <w:r w:rsidRPr="008F6730">
              <w:rPr>
                <w:b/>
                <w:noProof/>
                <w:sz w:val="22"/>
              </w:rPr>
              <w:t xml:space="preserve">UKUPNA odobrena sredstva </w:t>
            </w:r>
            <w:r w:rsidRPr="008F6730">
              <w:rPr>
                <w:noProof/>
                <w:sz w:val="22"/>
              </w:rPr>
              <w:br/>
            </w:r>
            <w:r w:rsidRPr="008F6730">
              <w:rPr>
                <w:b/>
                <w:noProof/>
                <w:sz w:val="22"/>
              </w:rPr>
              <w:t>iz NASLOVA 3</w:t>
            </w:r>
            <w:r w:rsidRPr="008F6730">
              <w:rPr>
                <w:noProof/>
                <w:sz w:val="22"/>
              </w:rPr>
              <w:t>. višegodišnjeg financijskog okvira</w:t>
            </w:r>
          </w:p>
        </w:tc>
        <w:tc>
          <w:tcPr>
            <w:tcW w:w="1440" w:type="dxa"/>
            <w:vAlign w:val="center"/>
          </w:tcPr>
          <w:p w14:paraId="66F68D3A" w14:textId="77777777" w:rsidR="000944F2" w:rsidRPr="008F6730" w:rsidRDefault="000944F2" w:rsidP="000944F2">
            <w:pPr>
              <w:rPr>
                <w:noProof/>
                <w:sz w:val="18"/>
              </w:rPr>
            </w:pPr>
            <w:r w:rsidRPr="008F6730">
              <w:rPr>
                <w:noProof/>
                <w:sz w:val="18"/>
              </w:rPr>
              <w:t>Obveze</w:t>
            </w:r>
          </w:p>
        </w:tc>
        <w:tc>
          <w:tcPr>
            <w:tcW w:w="654" w:type="dxa"/>
            <w:vAlign w:val="center"/>
          </w:tcPr>
          <w:p w14:paraId="1B94CC9B" w14:textId="77777777" w:rsidR="000944F2" w:rsidRPr="008F6730" w:rsidRDefault="000944F2" w:rsidP="000944F2">
            <w:pPr>
              <w:jc w:val="center"/>
              <w:rPr>
                <w:noProof/>
                <w:sz w:val="14"/>
              </w:rPr>
            </w:pPr>
            <w:r w:rsidRPr="008F6730">
              <w:rPr>
                <w:noProof/>
                <w:sz w:val="14"/>
              </w:rPr>
              <w:t>=4+6</w:t>
            </w:r>
          </w:p>
        </w:tc>
        <w:tc>
          <w:tcPr>
            <w:tcW w:w="868" w:type="dxa"/>
            <w:vAlign w:val="center"/>
          </w:tcPr>
          <w:p w14:paraId="367A0451" w14:textId="77777777" w:rsidR="000944F2" w:rsidRPr="008F6730" w:rsidRDefault="000944F2" w:rsidP="000944F2">
            <w:pPr>
              <w:spacing w:before="20" w:after="20"/>
              <w:jc w:val="right"/>
              <w:rPr>
                <w:noProof/>
                <w:sz w:val="20"/>
              </w:rPr>
            </w:pPr>
            <w:r w:rsidRPr="008F6730">
              <w:rPr>
                <w:noProof/>
                <w:sz w:val="20"/>
              </w:rPr>
              <w:t>3,000</w:t>
            </w:r>
          </w:p>
        </w:tc>
        <w:tc>
          <w:tcPr>
            <w:tcW w:w="868" w:type="dxa"/>
            <w:vAlign w:val="center"/>
          </w:tcPr>
          <w:p w14:paraId="02045F23" w14:textId="77777777" w:rsidR="000944F2" w:rsidRPr="008F6730" w:rsidRDefault="000944F2" w:rsidP="000944F2">
            <w:pPr>
              <w:spacing w:before="20" w:after="20"/>
              <w:jc w:val="right"/>
              <w:rPr>
                <w:noProof/>
                <w:sz w:val="20"/>
              </w:rPr>
            </w:pPr>
            <w:r w:rsidRPr="008F6730">
              <w:rPr>
                <w:noProof/>
                <w:sz w:val="20"/>
              </w:rPr>
              <w:t>2,000</w:t>
            </w:r>
          </w:p>
        </w:tc>
        <w:tc>
          <w:tcPr>
            <w:tcW w:w="868" w:type="dxa"/>
            <w:vAlign w:val="center"/>
          </w:tcPr>
          <w:p w14:paraId="7CC26EAB" w14:textId="77777777" w:rsidR="000944F2" w:rsidRPr="008F6730" w:rsidRDefault="000944F2" w:rsidP="000944F2">
            <w:pPr>
              <w:spacing w:before="20" w:after="20"/>
              <w:jc w:val="right"/>
              <w:rPr>
                <w:noProof/>
                <w:sz w:val="20"/>
              </w:rPr>
            </w:pPr>
          </w:p>
        </w:tc>
        <w:tc>
          <w:tcPr>
            <w:tcW w:w="868" w:type="dxa"/>
            <w:vAlign w:val="center"/>
          </w:tcPr>
          <w:p w14:paraId="4A1C95BA" w14:textId="77777777" w:rsidR="000944F2" w:rsidRPr="008F6730" w:rsidRDefault="000944F2" w:rsidP="000944F2">
            <w:pPr>
              <w:spacing w:before="20" w:after="20"/>
              <w:jc w:val="right"/>
              <w:rPr>
                <w:noProof/>
                <w:sz w:val="20"/>
              </w:rPr>
            </w:pPr>
          </w:p>
        </w:tc>
        <w:tc>
          <w:tcPr>
            <w:tcW w:w="868" w:type="dxa"/>
            <w:vAlign w:val="center"/>
          </w:tcPr>
          <w:p w14:paraId="45A8D7DD" w14:textId="77777777" w:rsidR="000944F2" w:rsidRPr="008F6730" w:rsidRDefault="000944F2" w:rsidP="000944F2">
            <w:pPr>
              <w:spacing w:before="20" w:after="20"/>
              <w:jc w:val="right"/>
              <w:rPr>
                <w:noProof/>
                <w:sz w:val="20"/>
              </w:rPr>
            </w:pPr>
            <w:r w:rsidRPr="008F6730">
              <w:rPr>
                <w:b/>
                <w:noProof/>
                <w:sz w:val="20"/>
              </w:rPr>
              <w:t>5,000</w:t>
            </w:r>
          </w:p>
        </w:tc>
      </w:tr>
      <w:tr w:rsidR="000944F2" w:rsidRPr="008F6730" w14:paraId="7812CF81" w14:textId="77777777" w:rsidTr="000944F2">
        <w:tc>
          <w:tcPr>
            <w:tcW w:w="3960" w:type="dxa"/>
            <w:vMerge/>
            <w:shd w:val="thinDiagStripe" w:color="C0C0C0" w:fill="auto"/>
          </w:tcPr>
          <w:p w14:paraId="0CA47E09" w14:textId="77777777" w:rsidR="000944F2" w:rsidRPr="008F6730" w:rsidRDefault="000944F2" w:rsidP="000944F2">
            <w:pPr>
              <w:rPr>
                <w:noProof/>
                <w:sz w:val="20"/>
              </w:rPr>
            </w:pPr>
          </w:p>
        </w:tc>
        <w:tc>
          <w:tcPr>
            <w:tcW w:w="1440" w:type="dxa"/>
            <w:vAlign w:val="center"/>
          </w:tcPr>
          <w:p w14:paraId="1D83E0D6" w14:textId="77777777" w:rsidR="000944F2" w:rsidRPr="008F6730" w:rsidRDefault="000944F2" w:rsidP="000944F2">
            <w:pPr>
              <w:rPr>
                <w:noProof/>
                <w:sz w:val="18"/>
              </w:rPr>
            </w:pPr>
            <w:r w:rsidRPr="008F6730">
              <w:rPr>
                <w:noProof/>
                <w:sz w:val="18"/>
              </w:rPr>
              <w:t>Plaćanja</w:t>
            </w:r>
          </w:p>
        </w:tc>
        <w:tc>
          <w:tcPr>
            <w:tcW w:w="654" w:type="dxa"/>
            <w:vAlign w:val="center"/>
          </w:tcPr>
          <w:p w14:paraId="675522BE" w14:textId="77777777" w:rsidR="000944F2" w:rsidRPr="008F6730" w:rsidRDefault="000944F2" w:rsidP="000944F2">
            <w:pPr>
              <w:jc w:val="center"/>
              <w:rPr>
                <w:noProof/>
                <w:sz w:val="14"/>
              </w:rPr>
            </w:pPr>
            <w:r w:rsidRPr="008F6730">
              <w:rPr>
                <w:noProof/>
                <w:sz w:val="14"/>
              </w:rPr>
              <w:t>=5+6</w:t>
            </w:r>
          </w:p>
        </w:tc>
        <w:tc>
          <w:tcPr>
            <w:tcW w:w="868" w:type="dxa"/>
            <w:vAlign w:val="center"/>
          </w:tcPr>
          <w:p w14:paraId="4822CB48" w14:textId="77777777" w:rsidR="000944F2" w:rsidRPr="008F6730" w:rsidRDefault="000944F2" w:rsidP="000944F2">
            <w:pPr>
              <w:spacing w:before="20" w:after="20"/>
              <w:jc w:val="right"/>
              <w:rPr>
                <w:noProof/>
                <w:sz w:val="20"/>
              </w:rPr>
            </w:pPr>
            <w:r w:rsidRPr="008F6730">
              <w:rPr>
                <w:noProof/>
                <w:sz w:val="20"/>
              </w:rPr>
              <w:t>1,000</w:t>
            </w:r>
          </w:p>
        </w:tc>
        <w:tc>
          <w:tcPr>
            <w:tcW w:w="868" w:type="dxa"/>
            <w:vAlign w:val="center"/>
          </w:tcPr>
          <w:p w14:paraId="79DD7773" w14:textId="77777777" w:rsidR="000944F2" w:rsidRPr="008F6730" w:rsidRDefault="000944F2" w:rsidP="000944F2">
            <w:pPr>
              <w:spacing w:before="20" w:after="20"/>
              <w:jc w:val="right"/>
              <w:rPr>
                <w:noProof/>
                <w:sz w:val="20"/>
              </w:rPr>
            </w:pPr>
            <w:r w:rsidRPr="008F6730">
              <w:rPr>
                <w:noProof/>
                <w:sz w:val="20"/>
              </w:rPr>
              <w:t>2,000</w:t>
            </w:r>
          </w:p>
        </w:tc>
        <w:tc>
          <w:tcPr>
            <w:tcW w:w="868" w:type="dxa"/>
            <w:vAlign w:val="center"/>
          </w:tcPr>
          <w:p w14:paraId="403C5F01" w14:textId="77777777" w:rsidR="000944F2" w:rsidRPr="008F6730" w:rsidRDefault="000944F2" w:rsidP="000944F2">
            <w:pPr>
              <w:spacing w:before="20" w:after="20"/>
              <w:jc w:val="right"/>
              <w:rPr>
                <w:noProof/>
                <w:sz w:val="20"/>
              </w:rPr>
            </w:pPr>
            <w:r w:rsidRPr="008F6730">
              <w:rPr>
                <w:noProof/>
                <w:sz w:val="20"/>
              </w:rPr>
              <w:t>2,000</w:t>
            </w:r>
          </w:p>
        </w:tc>
        <w:tc>
          <w:tcPr>
            <w:tcW w:w="868" w:type="dxa"/>
            <w:vAlign w:val="center"/>
          </w:tcPr>
          <w:p w14:paraId="67157650" w14:textId="77777777" w:rsidR="000944F2" w:rsidRPr="008F6730" w:rsidRDefault="000944F2" w:rsidP="000944F2">
            <w:pPr>
              <w:spacing w:before="20" w:after="20"/>
              <w:jc w:val="right"/>
              <w:rPr>
                <w:noProof/>
                <w:sz w:val="20"/>
              </w:rPr>
            </w:pPr>
            <w:r w:rsidRPr="008F6730">
              <w:rPr>
                <w:noProof/>
                <w:sz w:val="20"/>
              </w:rPr>
              <w:t>—</w:t>
            </w:r>
          </w:p>
        </w:tc>
        <w:tc>
          <w:tcPr>
            <w:tcW w:w="868" w:type="dxa"/>
            <w:vAlign w:val="center"/>
          </w:tcPr>
          <w:p w14:paraId="3D68C9CF" w14:textId="77777777" w:rsidR="000944F2" w:rsidRPr="008F6730" w:rsidRDefault="000944F2" w:rsidP="000944F2">
            <w:pPr>
              <w:spacing w:before="20" w:after="20"/>
              <w:jc w:val="right"/>
              <w:rPr>
                <w:noProof/>
                <w:sz w:val="20"/>
              </w:rPr>
            </w:pPr>
            <w:r w:rsidRPr="008F6730">
              <w:rPr>
                <w:b/>
                <w:noProof/>
                <w:sz w:val="20"/>
              </w:rPr>
              <w:t>5,000</w:t>
            </w:r>
          </w:p>
        </w:tc>
      </w:tr>
    </w:tbl>
    <w:p w14:paraId="04AF88BE" w14:textId="77777777" w:rsidR="000944F2" w:rsidRPr="008F6730" w:rsidRDefault="000944F2" w:rsidP="000944F2">
      <w:pPr>
        <w:spacing w:after="40"/>
        <w:rPr>
          <w:b/>
          <w:noProof/>
          <w:sz w:val="22"/>
          <w:u w:val="single"/>
        </w:rPr>
      </w:pPr>
      <w:r w:rsidRPr="008F6730">
        <w:rPr>
          <w:b/>
          <w:noProof/>
          <w:sz w:val="22"/>
          <w:u w:val="single"/>
        </w:rPr>
        <w:t>Ako prijedlog/inicijativa utječe na više od jednog naslova za poslovanje, ponovite prethodni odjeljak:</w:t>
      </w:r>
    </w:p>
    <w:tbl>
      <w:tblPr>
        <w:tblW w:w="0" w:type="auto"/>
        <w:tblInd w:w="-252" w:type="dxa"/>
        <w:tblBorders>
          <w:top w:val="single" w:sz="4" w:space="0" w:color="FF0000"/>
          <w:left w:val="single" w:sz="4" w:space="0" w:color="FF0000"/>
          <w:bottom w:val="single" w:sz="4" w:space="0" w:color="FF0000"/>
          <w:right w:val="single" w:sz="4" w:space="0" w:color="FF0000"/>
          <w:insideH w:val="single" w:sz="4" w:space="0" w:color="auto"/>
          <w:insideV w:val="single" w:sz="4" w:space="0" w:color="auto"/>
        </w:tblBorders>
        <w:tblLayout w:type="fixed"/>
        <w:tblLook w:val="01E0" w:firstRow="1" w:lastRow="1" w:firstColumn="1" w:lastColumn="1" w:noHBand="0" w:noVBand="0"/>
      </w:tblPr>
      <w:tblGrid>
        <w:gridCol w:w="3960"/>
        <w:gridCol w:w="1440"/>
        <w:gridCol w:w="654"/>
        <w:gridCol w:w="868"/>
        <w:gridCol w:w="868"/>
        <w:gridCol w:w="868"/>
        <w:gridCol w:w="868"/>
        <w:gridCol w:w="868"/>
      </w:tblGrid>
      <w:tr w:rsidR="000944F2" w:rsidRPr="008F6730" w14:paraId="1365C75A" w14:textId="77777777" w:rsidTr="000944F2">
        <w:tc>
          <w:tcPr>
            <w:tcW w:w="3960" w:type="dxa"/>
            <w:vMerge w:val="restart"/>
            <w:tcBorders>
              <w:top w:val="single" w:sz="4" w:space="0" w:color="FF0000"/>
              <w:left w:val="single" w:sz="4" w:space="0" w:color="auto"/>
              <w:bottom w:val="single" w:sz="4" w:space="0" w:color="FF0000"/>
            </w:tcBorders>
            <w:shd w:val="thinDiagStripe" w:color="C0C0C0" w:fill="auto"/>
            <w:vAlign w:val="center"/>
          </w:tcPr>
          <w:p w14:paraId="5D1DA4AF" w14:textId="77777777" w:rsidR="000944F2" w:rsidRPr="008F6730" w:rsidRDefault="000944F2" w:rsidP="000944F2">
            <w:pPr>
              <w:jc w:val="center"/>
              <w:rPr>
                <w:b/>
                <w:noProof/>
              </w:rPr>
            </w:pPr>
            <w:r w:rsidRPr="008F6730">
              <w:rPr>
                <w:b/>
                <w:noProof/>
                <w:sz w:val="22"/>
              </w:rPr>
              <w:t xml:space="preserve">UKUPNA odobrena sredstva </w:t>
            </w:r>
            <w:r w:rsidRPr="008F6730">
              <w:rPr>
                <w:noProof/>
                <w:sz w:val="22"/>
              </w:rPr>
              <w:br/>
            </w:r>
            <w:r w:rsidRPr="008F6730">
              <w:rPr>
                <w:b/>
                <w:noProof/>
                <w:sz w:val="22"/>
              </w:rPr>
              <w:t>iz NASLOVA 1.–6.</w:t>
            </w:r>
            <w:r w:rsidRPr="008F6730">
              <w:rPr>
                <w:noProof/>
                <w:sz w:val="22"/>
              </w:rPr>
              <w:br/>
              <w:t>višegodišnjeg financijskog okvira</w:t>
            </w:r>
            <w:r w:rsidRPr="008F6730">
              <w:rPr>
                <w:noProof/>
                <w:sz w:val="22"/>
              </w:rPr>
              <w:br/>
            </w:r>
            <w:r w:rsidRPr="008F6730">
              <w:rPr>
                <w:noProof/>
                <w:sz w:val="20"/>
              </w:rPr>
              <w:t>(referentni iznos)</w:t>
            </w:r>
          </w:p>
        </w:tc>
        <w:tc>
          <w:tcPr>
            <w:tcW w:w="1440" w:type="dxa"/>
            <w:vAlign w:val="center"/>
          </w:tcPr>
          <w:p w14:paraId="5543A83D" w14:textId="77777777" w:rsidR="000944F2" w:rsidRPr="008F6730" w:rsidRDefault="000944F2" w:rsidP="000944F2">
            <w:pPr>
              <w:rPr>
                <w:noProof/>
                <w:sz w:val="18"/>
              </w:rPr>
            </w:pPr>
            <w:r w:rsidRPr="008F6730">
              <w:rPr>
                <w:noProof/>
                <w:sz w:val="18"/>
              </w:rPr>
              <w:t>Obveze</w:t>
            </w:r>
          </w:p>
        </w:tc>
        <w:tc>
          <w:tcPr>
            <w:tcW w:w="654" w:type="dxa"/>
            <w:vAlign w:val="center"/>
          </w:tcPr>
          <w:p w14:paraId="1F99FDC2" w14:textId="77777777" w:rsidR="000944F2" w:rsidRPr="008F6730" w:rsidRDefault="000944F2" w:rsidP="000944F2">
            <w:pPr>
              <w:jc w:val="center"/>
              <w:rPr>
                <w:noProof/>
                <w:sz w:val="14"/>
              </w:rPr>
            </w:pPr>
            <w:r w:rsidRPr="008F6730">
              <w:rPr>
                <w:noProof/>
                <w:sz w:val="14"/>
              </w:rPr>
              <w:t>=4+6</w:t>
            </w:r>
          </w:p>
        </w:tc>
        <w:tc>
          <w:tcPr>
            <w:tcW w:w="868" w:type="dxa"/>
            <w:vAlign w:val="center"/>
          </w:tcPr>
          <w:p w14:paraId="71A8CDE5" w14:textId="77777777" w:rsidR="000944F2" w:rsidRPr="008F6730" w:rsidRDefault="000944F2" w:rsidP="000944F2">
            <w:pPr>
              <w:spacing w:before="20" w:after="20"/>
              <w:jc w:val="right"/>
              <w:rPr>
                <w:noProof/>
                <w:sz w:val="20"/>
              </w:rPr>
            </w:pPr>
          </w:p>
        </w:tc>
        <w:tc>
          <w:tcPr>
            <w:tcW w:w="868" w:type="dxa"/>
            <w:vAlign w:val="center"/>
          </w:tcPr>
          <w:p w14:paraId="73EFC2E6" w14:textId="77777777" w:rsidR="000944F2" w:rsidRPr="008F6730" w:rsidRDefault="000944F2" w:rsidP="000944F2">
            <w:pPr>
              <w:spacing w:before="20" w:after="20"/>
              <w:jc w:val="right"/>
              <w:rPr>
                <w:noProof/>
                <w:sz w:val="20"/>
              </w:rPr>
            </w:pPr>
          </w:p>
        </w:tc>
        <w:tc>
          <w:tcPr>
            <w:tcW w:w="868" w:type="dxa"/>
            <w:vAlign w:val="center"/>
          </w:tcPr>
          <w:p w14:paraId="5014E35F" w14:textId="77777777" w:rsidR="000944F2" w:rsidRPr="008F6730" w:rsidRDefault="000944F2" w:rsidP="000944F2">
            <w:pPr>
              <w:spacing w:before="20" w:after="20"/>
              <w:jc w:val="right"/>
              <w:rPr>
                <w:noProof/>
                <w:sz w:val="20"/>
              </w:rPr>
            </w:pPr>
          </w:p>
        </w:tc>
        <w:tc>
          <w:tcPr>
            <w:tcW w:w="868" w:type="dxa"/>
            <w:vAlign w:val="center"/>
          </w:tcPr>
          <w:p w14:paraId="4C638A0E" w14:textId="77777777" w:rsidR="000944F2" w:rsidRPr="008F6730" w:rsidRDefault="000944F2" w:rsidP="000944F2">
            <w:pPr>
              <w:spacing w:before="20" w:after="20"/>
              <w:jc w:val="right"/>
              <w:rPr>
                <w:noProof/>
                <w:sz w:val="20"/>
              </w:rPr>
            </w:pPr>
          </w:p>
        </w:tc>
        <w:tc>
          <w:tcPr>
            <w:tcW w:w="868" w:type="dxa"/>
            <w:vAlign w:val="center"/>
          </w:tcPr>
          <w:p w14:paraId="21B40D0F" w14:textId="77777777" w:rsidR="000944F2" w:rsidRPr="008F6730" w:rsidRDefault="000944F2" w:rsidP="000944F2">
            <w:pPr>
              <w:spacing w:before="20" w:after="20"/>
              <w:jc w:val="right"/>
              <w:rPr>
                <w:noProof/>
                <w:sz w:val="20"/>
              </w:rPr>
            </w:pPr>
          </w:p>
        </w:tc>
      </w:tr>
      <w:tr w:rsidR="000944F2" w:rsidRPr="008F6730" w14:paraId="63055566" w14:textId="77777777" w:rsidTr="000944F2">
        <w:tc>
          <w:tcPr>
            <w:tcW w:w="3960" w:type="dxa"/>
            <w:vMerge/>
            <w:tcBorders>
              <w:top w:val="single" w:sz="4" w:space="0" w:color="FF0000"/>
              <w:left w:val="single" w:sz="4" w:space="0" w:color="auto"/>
              <w:bottom w:val="single" w:sz="4" w:space="0" w:color="auto"/>
            </w:tcBorders>
            <w:shd w:val="thinDiagStripe" w:color="C0C0C0" w:fill="auto"/>
          </w:tcPr>
          <w:p w14:paraId="429D8570" w14:textId="77777777" w:rsidR="000944F2" w:rsidRPr="008F6730" w:rsidRDefault="000944F2" w:rsidP="000944F2">
            <w:pPr>
              <w:rPr>
                <w:noProof/>
                <w:sz w:val="20"/>
              </w:rPr>
            </w:pPr>
          </w:p>
        </w:tc>
        <w:tc>
          <w:tcPr>
            <w:tcW w:w="1440" w:type="dxa"/>
            <w:tcBorders>
              <w:bottom w:val="single" w:sz="4" w:space="0" w:color="auto"/>
            </w:tcBorders>
            <w:vAlign w:val="center"/>
          </w:tcPr>
          <w:p w14:paraId="3014E6F1" w14:textId="77777777" w:rsidR="000944F2" w:rsidRPr="008F6730" w:rsidRDefault="000944F2" w:rsidP="000944F2">
            <w:pPr>
              <w:rPr>
                <w:noProof/>
                <w:sz w:val="18"/>
              </w:rPr>
            </w:pPr>
            <w:r w:rsidRPr="008F6730">
              <w:rPr>
                <w:noProof/>
                <w:sz w:val="18"/>
              </w:rPr>
              <w:t>Plaćanja</w:t>
            </w:r>
          </w:p>
        </w:tc>
        <w:tc>
          <w:tcPr>
            <w:tcW w:w="654" w:type="dxa"/>
            <w:tcBorders>
              <w:bottom w:val="single" w:sz="4" w:space="0" w:color="auto"/>
            </w:tcBorders>
            <w:vAlign w:val="center"/>
          </w:tcPr>
          <w:p w14:paraId="2CEC6971" w14:textId="77777777" w:rsidR="000944F2" w:rsidRPr="008F6730" w:rsidRDefault="000944F2" w:rsidP="000944F2">
            <w:pPr>
              <w:jc w:val="center"/>
              <w:rPr>
                <w:noProof/>
                <w:sz w:val="14"/>
              </w:rPr>
            </w:pPr>
            <w:r w:rsidRPr="008F6730">
              <w:rPr>
                <w:noProof/>
                <w:sz w:val="14"/>
              </w:rPr>
              <w:t>=5+6</w:t>
            </w:r>
          </w:p>
        </w:tc>
        <w:tc>
          <w:tcPr>
            <w:tcW w:w="868" w:type="dxa"/>
            <w:tcBorders>
              <w:bottom w:val="single" w:sz="4" w:space="0" w:color="auto"/>
            </w:tcBorders>
            <w:vAlign w:val="center"/>
          </w:tcPr>
          <w:p w14:paraId="0495EF3E" w14:textId="77777777" w:rsidR="000944F2" w:rsidRPr="008F6730" w:rsidRDefault="000944F2" w:rsidP="000944F2">
            <w:pPr>
              <w:spacing w:before="20" w:after="20"/>
              <w:jc w:val="right"/>
              <w:rPr>
                <w:noProof/>
                <w:sz w:val="20"/>
              </w:rPr>
            </w:pPr>
          </w:p>
        </w:tc>
        <w:tc>
          <w:tcPr>
            <w:tcW w:w="868" w:type="dxa"/>
            <w:tcBorders>
              <w:bottom w:val="single" w:sz="4" w:space="0" w:color="auto"/>
            </w:tcBorders>
            <w:vAlign w:val="center"/>
          </w:tcPr>
          <w:p w14:paraId="0707D32D" w14:textId="77777777" w:rsidR="000944F2" w:rsidRPr="008F6730" w:rsidRDefault="000944F2" w:rsidP="000944F2">
            <w:pPr>
              <w:spacing w:before="20" w:after="20"/>
              <w:jc w:val="right"/>
              <w:rPr>
                <w:noProof/>
                <w:sz w:val="20"/>
              </w:rPr>
            </w:pPr>
          </w:p>
        </w:tc>
        <w:tc>
          <w:tcPr>
            <w:tcW w:w="868" w:type="dxa"/>
            <w:tcBorders>
              <w:bottom w:val="single" w:sz="4" w:space="0" w:color="auto"/>
            </w:tcBorders>
            <w:vAlign w:val="center"/>
          </w:tcPr>
          <w:p w14:paraId="523D1AEC" w14:textId="77777777" w:rsidR="000944F2" w:rsidRPr="008F6730" w:rsidRDefault="000944F2" w:rsidP="000944F2">
            <w:pPr>
              <w:spacing w:before="20" w:after="20"/>
              <w:jc w:val="right"/>
              <w:rPr>
                <w:noProof/>
                <w:sz w:val="20"/>
              </w:rPr>
            </w:pPr>
          </w:p>
        </w:tc>
        <w:tc>
          <w:tcPr>
            <w:tcW w:w="868" w:type="dxa"/>
            <w:tcBorders>
              <w:bottom w:val="single" w:sz="4" w:space="0" w:color="auto"/>
            </w:tcBorders>
            <w:vAlign w:val="center"/>
          </w:tcPr>
          <w:p w14:paraId="0D3EA4B5" w14:textId="77777777" w:rsidR="000944F2" w:rsidRPr="008F6730" w:rsidRDefault="000944F2" w:rsidP="000944F2">
            <w:pPr>
              <w:spacing w:before="20" w:after="20"/>
              <w:jc w:val="right"/>
              <w:rPr>
                <w:noProof/>
                <w:sz w:val="20"/>
              </w:rPr>
            </w:pPr>
          </w:p>
        </w:tc>
        <w:tc>
          <w:tcPr>
            <w:tcW w:w="868" w:type="dxa"/>
            <w:tcBorders>
              <w:bottom w:val="single" w:sz="4" w:space="0" w:color="auto"/>
            </w:tcBorders>
            <w:vAlign w:val="center"/>
          </w:tcPr>
          <w:p w14:paraId="3741667B" w14:textId="77777777" w:rsidR="000944F2" w:rsidRPr="008F6730" w:rsidRDefault="000944F2" w:rsidP="000944F2">
            <w:pPr>
              <w:spacing w:before="20" w:after="20"/>
              <w:jc w:val="right"/>
              <w:rPr>
                <w:noProof/>
                <w:sz w:val="20"/>
              </w:rPr>
            </w:pPr>
          </w:p>
        </w:tc>
      </w:tr>
    </w:tbl>
    <w:p w14:paraId="5EAA064A" w14:textId="77777777" w:rsidR="000944F2" w:rsidRPr="008F6730" w:rsidRDefault="000944F2" w:rsidP="000944F2">
      <w:pPr>
        <w:rPr>
          <w:noProof/>
        </w:rPr>
      </w:pPr>
    </w:p>
    <w:p w14:paraId="3BC035BA" w14:textId="77777777" w:rsidR="000944F2" w:rsidRPr="008F6730" w:rsidRDefault="000944F2" w:rsidP="000944F2">
      <w:pPr>
        <w:spacing w:before="0" w:after="0"/>
        <w:jc w:val="left"/>
        <w:rPr>
          <w:noProof/>
        </w:rPr>
      </w:pPr>
      <w:r w:rsidRPr="008F6730">
        <w:rPr>
          <w:noProof/>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4"/>
        <w:gridCol w:w="1080"/>
        <w:gridCol w:w="7817"/>
      </w:tblGrid>
      <w:tr w:rsidR="000944F2" w:rsidRPr="008F6730" w14:paraId="330C1904" w14:textId="77777777" w:rsidTr="000944F2">
        <w:trPr>
          <w:jc w:val="center"/>
        </w:trPr>
        <w:tc>
          <w:tcPr>
            <w:tcW w:w="4744" w:type="dxa"/>
            <w:shd w:val="thinDiagStripe" w:color="C0C0C0" w:fill="auto"/>
            <w:vAlign w:val="center"/>
          </w:tcPr>
          <w:p w14:paraId="57D9E92D" w14:textId="77777777" w:rsidR="000944F2" w:rsidRPr="008F6730" w:rsidRDefault="000944F2" w:rsidP="000944F2">
            <w:pPr>
              <w:spacing w:before="60" w:after="60"/>
              <w:jc w:val="center"/>
              <w:rPr>
                <w:b/>
                <w:noProof/>
              </w:rPr>
            </w:pPr>
            <w:r w:rsidRPr="008F6730">
              <w:rPr>
                <w:noProof/>
              </w:rPr>
              <w:br w:type="page"/>
            </w:r>
            <w:r w:rsidRPr="008F6730">
              <w:rPr>
                <w:b/>
                <w:noProof/>
                <w:sz w:val="22"/>
              </w:rPr>
              <w:t xml:space="preserve">Naslov višegodišnjeg financijskog </w:t>
            </w:r>
            <w:r w:rsidRPr="008F6730">
              <w:rPr>
                <w:noProof/>
                <w:sz w:val="22"/>
              </w:rPr>
              <w:br/>
            </w:r>
            <w:r w:rsidRPr="008F6730">
              <w:rPr>
                <w:b/>
                <w:noProof/>
                <w:sz w:val="22"/>
              </w:rPr>
              <w:t xml:space="preserve">okvira </w:t>
            </w:r>
          </w:p>
        </w:tc>
        <w:tc>
          <w:tcPr>
            <w:tcW w:w="1080" w:type="dxa"/>
            <w:shd w:val="thinDiagStripe" w:color="C0C0C0" w:fill="auto"/>
            <w:vAlign w:val="center"/>
          </w:tcPr>
          <w:p w14:paraId="5DD33D8F" w14:textId="77777777" w:rsidR="000944F2" w:rsidRPr="008F6730" w:rsidRDefault="000944F2" w:rsidP="000944F2">
            <w:pPr>
              <w:spacing w:before="60" w:after="60"/>
              <w:jc w:val="center"/>
              <w:rPr>
                <w:noProof/>
              </w:rPr>
            </w:pPr>
            <w:r w:rsidRPr="008F6730">
              <w:rPr>
                <w:b/>
                <w:noProof/>
                <w:sz w:val="22"/>
              </w:rPr>
              <w:t>7.</w:t>
            </w:r>
          </w:p>
        </w:tc>
        <w:tc>
          <w:tcPr>
            <w:tcW w:w="7817" w:type="dxa"/>
            <w:vAlign w:val="center"/>
          </w:tcPr>
          <w:p w14:paraId="0BED8B77" w14:textId="77777777" w:rsidR="000944F2" w:rsidRPr="008F6730" w:rsidRDefault="000944F2" w:rsidP="000944F2">
            <w:pPr>
              <w:spacing w:before="60" w:after="60"/>
              <w:rPr>
                <w:noProof/>
              </w:rPr>
            </w:pPr>
            <w:r w:rsidRPr="008F6730">
              <w:rPr>
                <w:noProof/>
                <w:sz w:val="22"/>
              </w:rPr>
              <w:t>Administrativni rashodi</w:t>
            </w:r>
          </w:p>
        </w:tc>
      </w:tr>
    </w:tbl>
    <w:p w14:paraId="72287E8C" w14:textId="77777777" w:rsidR="000944F2" w:rsidRPr="008F6730" w:rsidRDefault="000944F2" w:rsidP="000944F2">
      <w:pPr>
        <w:jc w:val="left"/>
        <w:rPr>
          <w:noProof/>
          <w:sz w:val="20"/>
        </w:rPr>
      </w:pPr>
      <w:r w:rsidRPr="008F6730">
        <w:rPr>
          <w:noProof/>
        </w:rPr>
        <w:t xml:space="preserve">U ovaj se dio unose „administrativni proračunski podaci”, koji se najprije unose u </w:t>
      </w:r>
      <w:hyperlink r:id="rId15" w:history="1">
        <w:r w:rsidRPr="008F6730">
          <w:rPr>
            <w:rStyle w:val="Hyperlink"/>
            <w:noProof/>
          </w:rPr>
          <w:t>prilog zakonodavnom financijskom izvještaju</w:t>
        </w:r>
      </w:hyperlink>
      <w:r w:rsidRPr="008F6730">
        <w:rPr>
          <w:noProof/>
        </w:rPr>
        <w:t xml:space="preserve"> (Prilog V. internim pravilima), koji se učitava u sustav DECIDE za potrebe savjetovanja među službama.</w:t>
      </w:r>
    </w:p>
    <w:p w14:paraId="168BC7BC" w14:textId="77777777" w:rsidR="000944F2" w:rsidRPr="008F6730" w:rsidRDefault="000944F2" w:rsidP="000944F2">
      <w:pPr>
        <w:jc w:val="right"/>
        <w:rPr>
          <w:noProof/>
          <w:sz w:val="20"/>
        </w:rPr>
      </w:pPr>
      <w:r w:rsidRPr="008F6730">
        <w:rPr>
          <w:noProof/>
          <w:sz w:val="20"/>
        </w:rPr>
        <w:t>U milijunima EUR (do 3 decimalna mjesta)</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560"/>
        <w:gridCol w:w="534"/>
        <w:gridCol w:w="868"/>
        <w:gridCol w:w="868"/>
        <w:gridCol w:w="868"/>
        <w:gridCol w:w="868"/>
        <w:gridCol w:w="1777"/>
      </w:tblGrid>
      <w:tr w:rsidR="000944F2" w:rsidRPr="008F6730" w14:paraId="4A172FCD" w14:textId="77777777" w:rsidTr="000944F2">
        <w:tc>
          <w:tcPr>
            <w:tcW w:w="3960" w:type="dxa"/>
            <w:tcBorders>
              <w:top w:val="nil"/>
              <w:left w:val="nil"/>
              <w:right w:val="nil"/>
            </w:tcBorders>
            <w:vAlign w:val="center"/>
          </w:tcPr>
          <w:p w14:paraId="0B7A28FA" w14:textId="77777777" w:rsidR="000944F2" w:rsidRPr="008F6730" w:rsidRDefault="000944F2" w:rsidP="000944F2">
            <w:pPr>
              <w:jc w:val="center"/>
              <w:rPr>
                <w:noProof/>
              </w:rPr>
            </w:pPr>
          </w:p>
        </w:tc>
        <w:tc>
          <w:tcPr>
            <w:tcW w:w="1560" w:type="dxa"/>
            <w:tcBorders>
              <w:top w:val="nil"/>
              <w:left w:val="nil"/>
              <w:right w:val="nil"/>
            </w:tcBorders>
          </w:tcPr>
          <w:p w14:paraId="6882C2B4" w14:textId="77777777" w:rsidR="000944F2" w:rsidRPr="008F6730" w:rsidRDefault="000944F2" w:rsidP="000944F2">
            <w:pPr>
              <w:rPr>
                <w:noProof/>
                <w:sz w:val="20"/>
              </w:rPr>
            </w:pPr>
          </w:p>
        </w:tc>
        <w:tc>
          <w:tcPr>
            <w:tcW w:w="534" w:type="dxa"/>
            <w:tcBorders>
              <w:top w:val="nil"/>
              <w:left w:val="nil"/>
            </w:tcBorders>
          </w:tcPr>
          <w:p w14:paraId="7B7462F5" w14:textId="77777777" w:rsidR="000944F2" w:rsidRPr="008F6730" w:rsidRDefault="000944F2" w:rsidP="000944F2">
            <w:pPr>
              <w:jc w:val="center"/>
              <w:rPr>
                <w:noProof/>
                <w:sz w:val="20"/>
              </w:rPr>
            </w:pPr>
          </w:p>
        </w:tc>
        <w:tc>
          <w:tcPr>
            <w:tcW w:w="868" w:type="dxa"/>
            <w:vAlign w:val="center"/>
          </w:tcPr>
          <w:p w14:paraId="3B053C9A" w14:textId="77777777" w:rsidR="000944F2" w:rsidRPr="0069712A" w:rsidRDefault="000944F2" w:rsidP="000944F2">
            <w:pPr>
              <w:jc w:val="center"/>
              <w:rPr>
                <w:noProof/>
                <w:sz w:val="20"/>
                <w:szCs w:val="20"/>
              </w:rPr>
            </w:pPr>
            <w:r w:rsidRPr="0069712A">
              <w:rPr>
                <w:noProof/>
                <w:sz w:val="20"/>
                <w:szCs w:val="20"/>
              </w:rPr>
              <w:t>Godina</w:t>
            </w:r>
            <w:r w:rsidRPr="0069712A">
              <w:rPr>
                <w:noProof/>
                <w:sz w:val="20"/>
                <w:szCs w:val="20"/>
              </w:rPr>
              <w:br/>
            </w:r>
            <w:r w:rsidRPr="0069712A">
              <w:rPr>
                <w:b/>
                <w:noProof/>
                <w:sz w:val="20"/>
                <w:szCs w:val="20"/>
              </w:rPr>
              <w:t>2024.</w:t>
            </w:r>
          </w:p>
        </w:tc>
        <w:tc>
          <w:tcPr>
            <w:tcW w:w="868" w:type="dxa"/>
            <w:vAlign w:val="center"/>
          </w:tcPr>
          <w:p w14:paraId="52F2B37D" w14:textId="77777777" w:rsidR="000944F2" w:rsidRPr="0069712A" w:rsidRDefault="000944F2" w:rsidP="000944F2">
            <w:pPr>
              <w:jc w:val="center"/>
              <w:rPr>
                <w:noProof/>
                <w:sz w:val="20"/>
                <w:szCs w:val="20"/>
              </w:rPr>
            </w:pPr>
            <w:r w:rsidRPr="0069712A">
              <w:rPr>
                <w:noProof/>
                <w:sz w:val="20"/>
                <w:szCs w:val="20"/>
              </w:rPr>
              <w:t>Godina</w:t>
            </w:r>
            <w:r w:rsidRPr="0069712A">
              <w:rPr>
                <w:noProof/>
                <w:sz w:val="20"/>
                <w:szCs w:val="20"/>
              </w:rPr>
              <w:br/>
            </w:r>
            <w:r w:rsidRPr="0069712A">
              <w:rPr>
                <w:b/>
                <w:noProof/>
                <w:sz w:val="20"/>
                <w:szCs w:val="20"/>
              </w:rPr>
              <w:t>2025.</w:t>
            </w:r>
          </w:p>
        </w:tc>
        <w:tc>
          <w:tcPr>
            <w:tcW w:w="868" w:type="dxa"/>
            <w:vAlign w:val="center"/>
          </w:tcPr>
          <w:p w14:paraId="43DCB08E" w14:textId="77777777" w:rsidR="000944F2" w:rsidRPr="0069712A" w:rsidRDefault="000944F2" w:rsidP="000944F2">
            <w:pPr>
              <w:jc w:val="center"/>
              <w:rPr>
                <w:noProof/>
                <w:sz w:val="20"/>
                <w:szCs w:val="20"/>
              </w:rPr>
            </w:pPr>
            <w:r w:rsidRPr="0069712A">
              <w:rPr>
                <w:noProof/>
                <w:sz w:val="20"/>
                <w:szCs w:val="20"/>
              </w:rPr>
              <w:t>Godina</w:t>
            </w:r>
            <w:r w:rsidRPr="0069712A">
              <w:rPr>
                <w:noProof/>
                <w:sz w:val="20"/>
                <w:szCs w:val="20"/>
              </w:rPr>
              <w:br/>
            </w:r>
            <w:r w:rsidRPr="0069712A">
              <w:rPr>
                <w:b/>
                <w:noProof/>
                <w:sz w:val="20"/>
                <w:szCs w:val="20"/>
              </w:rPr>
              <w:t>2026.</w:t>
            </w:r>
          </w:p>
        </w:tc>
        <w:tc>
          <w:tcPr>
            <w:tcW w:w="868" w:type="dxa"/>
            <w:vAlign w:val="center"/>
          </w:tcPr>
          <w:p w14:paraId="046E11E1" w14:textId="77777777" w:rsidR="000944F2" w:rsidRPr="0069712A" w:rsidRDefault="000944F2" w:rsidP="000944F2">
            <w:pPr>
              <w:jc w:val="center"/>
              <w:rPr>
                <w:noProof/>
                <w:sz w:val="20"/>
                <w:szCs w:val="20"/>
              </w:rPr>
            </w:pPr>
            <w:r w:rsidRPr="0069712A">
              <w:rPr>
                <w:noProof/>
                <w:sz w:val="20"/>
                <w:szCs w:val="20"/>
              </w:rPr>
              <w:t>Godina</w:t>
            </w:r>
            <w:r w:rsidRPr="0069712A">
              <w:rPr>
                <w:noProof/>
                <w:sz w:val="20"/>
                <w:szCs w:val="20"/>
              </w:rPr>
              <w:br/>
            </w:r>
            <w:r w:rsidRPr="0069712A">
              <w:rPr>
                <w:b/>
                <w:noProof/>
                <w:sz w:val="20"/>
                <w:szCs w:val="20"/>
              </w:rPr>
              <w:t>2027.</w:t>
            </w:r>
          </w:p>
        </w:tc>
        <w:tc>
          <w:tcPr>
            <w:tcW w:w="1777" w:type="dxa"/>
            <w:vAlign w:val="center"/>
          </w:tcPr>
          <w:p w14:paraId="0DB0937F" w14:textId="77777777" w:rsidR="000944F2" w:rsidRPr="008F6730" w:rsidRDefault="000944F2" w:rsidP="000944F2">
            <w:pPr>
              <w:jc w:val="center"/>
              <w:rPr>
                <w:b/>
                <w:noProof/>
                <w:sz w:val="20"/>
              </w:rPr>
            </w:pPr>
            <w:r w:rsidRPr="008F6730">
              <w:rPr>
                <w:b/>
                <w:noProof/>
                <w:sz w:val="20"/>
              </w:rPr>
              <w:t>UKUPNO</w:t>
            </w:r>
          </w:p>
        </w:tc>
      </w:tr>
      <w:tr w:rsidR="000944F2" w:rsidRPr="008F6730" w14:paraId="4B186FE6" w14:textId="77777777" w:rsidTr="000944F2">
        <w:trPr>
          <w:gridAfter w:val="7"/>
          <w:wAfter w:w="7343" w:type="dxa"/>
        </w:trPr>
        <w:tc>
          <w:tcPr>
            <w:tcW w:w="3960" w:type="dxa"/>
            <w:vAlign w:val="center"/>
          </w:tcPr>
          <w:p w14:paraId="76919BF1" w14:textId="77777777" w:rsidR="000944F2" w:rsidRPr="008F6730" w:rsidRDefault="000944F2" w:rsidP="000944F2">
            <w:pPr>
              <w:spacing w:before="60" w:after="60"/>
              <w:jc w:val="center"/>
              <w:rPr>
                <w:noProof/>
              </w:rPr>
            </w:pPr>
            <w:r w:rsidRPr="008F6730">
              <w:rPr>
                <w:noProof/>
                <w:sz w:val="22"/>
              </w:rPr>
              <w:t>GLAVNA UPRAVA: CLIMA</w:t>
            </w:r>
          </w:p>
        </w:tc>
      </w:tr>
      <w:tr w:rsidR="000944F2" w:rsidRPr="008F6730" w14:paraId="21AAA709" w14:textId="77777777" w:rsidTr="000944F2">
        <w:trPr>
          <w:trHeight w:val="313"/>
        </w:trPr>
        <w:tc>
          <w:tcPr>
            <w:tcW w:w="6054" w:type="dxa"/>
            <w:gridSpan w:val="3"/>
            <w:vAlign w:val="center"/>
          </w:tcPr>
          <w:p w14:paraId="0389B46F" w14:textId="77777777" w:rsidR="000944F2" w:rsidRPr="0069712A" w:rsidRDefault="000944F2" w:rsidP="000944F2">
            <w:pPr>
              <w:spacing w:before="20" w:after="20"/>
              <w:rPr>
                <w:noProof/>
                <w:sz w:val="22"/>
              </w:rPr>
            </w:pPr>
            <w:r w:rsidRPr="0069712A">
              <w:rPr>
                <w:rFonts w:ascii="Wingdings" w:hAnsi="Wingdings"/>
                <w:noProof/>
                <w:sz w:val="22"/>
              </w:rPr>
              <w:t>□</w:t>
            </w:r>
            <w:r w:rsidRPr="0069712A">
              <w:rPr>
                <w:noProof/>
                <w:sz w:val="22"/>
              </w:rPr>
              <w:t xml:space="preserve"> Ljudski resursi </w:t>
            </w:r>
          </w:p>
        </w:tc>
        <w:tc>
          <w:tcPr>
            <w:tcW w:w="868" w:type="dxa"/>
            <w:vAlign w:val="bottom"/>
          </w:tcPr>
          <w:p w14:paraId="54DBACB0" w14:textId="77777777" w:rsidR="000944F2" w:rsidRPr="008F6730" w:rsidRDefault="000944F2" w:rsidP="000944F2">
            <w:pPr>
              <w:spacing w:before="20" w:after="20"/>
              <w:jc w:val="right"/>
              <w:rPr>
                <w:noProof/>
                <w:sz w:val="20"/>
              </w:rPr>
            </w:pPr>
            <w:r w:rsidRPr="008F6730">
              <w:rPr>
                <w:noProof/>
                <w:sz w:val="20"/>
              </w:rPr>
              <w:t>0,785</w:t>
            </w:r>
          </w:p>
        </w:tc>
        <w:tc>
          <w:tcPr>
            <w:tcW w:w="868" w:type="dxa"/>
            <w:vAlign w:val="bottom"/>
          </w:tcPr>
          <w:p w14:paraId="0A7CB5C8" w14:textId="77777777" w:rsidR="000944F2" w:rsidRPr="008F6730" w:rsidRDefault="000944F2" w:rsidP="000944F2">
            <w:pPr>
              <w:spacing w:before="20" w:after="20"/>
              <w:jc w:val="right"/>
              <w:rPr>
                <w:noProof/>
                <w:sz w:val="20"/>
              </w:rPr>
            </w:pPr>
            <w:r w:rsidRPr="008F6730">
              <w:rPr>
                <w:noProof/>
                <w:sz w:val="20"/>
              </w:rPr>
              <w:t>1,099</w:t>
            </w:r>
          </w:p>
        </w:tc>
        <w:tc>
          <w:tcPr>
            <w:tcW w:w="868" w:type="dxa"/>
            <w:vAlign w:val="bottom"/>
          </w:tcPr>
          <w:p w14:paraId="6D5664F6" w14:textId="77777777" w:rsidR="000944F2" w:rsidRPr="008F6730" w:rsidRDefault="000944F2" w:rsidP="000944F2">
            <w:pPr>
              <w:spacing w:before="20" w:after="20"/>
              <w:jc w:val="right"/>
              <w:rPr>
                <w:noProof/>
                <w:sz w:val="20"/>
              </w:rPr>
            </w:pPr>
            <w:r w:rsidRPr="008F6730">
              <w:rPr>
                <w:noProof/>
                <w:sz w:val="20"/>
              </w:rPr>
              <w:t>1,099</w:t>
            </w:r>
          </w:p>
        </w:tc>
        <w:tc>
          <w:tcPr>
            <w:tcW w:w="868" w:type="dxa"/>
            <w:vAlign w:val="bottom"/>
          </w:tcPr>
          <w:p w14:paraId="266C311F" w14:textId="77777777" w:rsidR="000944F2" w:rsidRPr="008F6730" w:rsidRDefault="000944F2" w:rsidP="000944F2">
            <w:pPr>
              <w:spacing w:before="20" w:after="20"/>
              <w:jc w:val="right"/>
              <w:rPr>
                <w:noProof/>
                <w:sz w:val="20"/>
              </w:rPr>
            </w:pPr>
            <w:r w:rsidRPr="008F6730">
              <w:rPr>
                <w:noProof/>
                <w:sz w:val="20"/>
              </w:rPr>
              <w:t>1,099</w:t>
            </w:r>
          </w:p>
        </w:tc>
        <w:tc>
          <w:tcPr>
            <w:tcW w:w="1777" w:type="dxa"/>
            <w:vAlign w:val="bottom"/>
          </w:tcPr>
          <w:p w14:paraId="1FA54090" w14:textId="77777777" w:rsidR="000944F2" w:rsidRPr="008F6730" w:rsidRDefault="000944F2" w:rsidP="000944F2">
            <w:pPr>
              <w:spacing w:before="20" w:after="20"/>
              <w:jc w:val="right"/>
              <w:rPr>
                <w:noProof/>
                <w:sz w:val="20"/>
              </w:rPr>
            </w:pPr>
            <w:r w:rsidRPr="008F6730">
              <w:rPr>
                <w:noProof/>
                <w:sz w:val="20"/>
              </w:rPr>
              <w:t>4,082</w:t>
            </w:r>
          </w:p>
        </w:tc>
      </w:tr>
      <w:tr w:rsidR="000944F2" w:rsidRPr="008F6730" w14:paraId="5768EC28" w14:textId="77777777" w:rsidTr="000944F2">
        <w:tc>
          <w:tcPr>
            <w:tcW w:w="3960" w:type="dxa"/>
            <w:vAlign w:val="center"/>
          </w:tcPr>
          <w:p w14:paraId="2AD6CC21" w14:textId="77777777" w:rsidR="000944F2" w:rsidRPr="0069712A" w:rsidRDefault="000944F2" w:rsidP="000944F2">
            <w:pPr>
              <w:jc w:val="left"/>
              <w:rPr>
                <w:b/>
                <w:noProof/>
                <w:sz w:val="22"/>
              </w:rPr>
            </w:pPr>
            <w:r w:rsidRPr="0069712A">
              <w:rPr>
                <w:rFonts w:ascii="Wingdings" w:hAnsi="Wingdings"/>
                <w:noProof/>
                <w:sz w:val="22"/>
              </w:rPr>
              <w:t>□</w:t>
            </w:r>
            <w:r w:rsidRPr="0069712A">
              <w:rPr>
                <w:noProof/>
                <w:sz w:val="22"/>
              </w:rPr>
              <w:t xml:space="preserve"> Ostali administrativni rashodi</w:t>
            </w:r>
          </w:p>
        </w:tc>
        <w:tc>
          <w:tcPr>
            <w:tcW w:w="2094" w:type="dxa"/>
            <w:gridSpan w:val="2"/>
            <w:vAlign w:val="center"/>
          </w:tcPr>
          <w:p w14:paraId="0D61C8E3" w14:textId="77777777" w:rsidR="000944F2" w:rsidRPr="0069712A" w:rsidRDefault="000944F2" w:rsidP="000944F2">
            <w:pPr>
              <w:rPr>
                <w:noProof/>
                <w:sz w:val="22"/>
              </w:rPr>
            </w:pPr>
          </w:p>
        </w:tc>
        <w:tc>
          <w:tcPr>
            <w:tcW w:w="868" w:type="dxa"/>
            <w:vAlign w:val="bottom"/>
          </w:tcPr>
          <w:p w14:paraId="7B645719" w14:textId="77777777" w:rsidR="000944F2" w:rsidRPr="008F6730" w:rsidRDefault="000944F2" w:rsidP="000944F2">
            <w:pPr>
              <w:spacing w:before="60" w:after="60"/>
              <w:jc w:val="right"/>
              <w:rPr>
                <w:noProof/>
                <w:sz w:val="20"/>
              </w:rPr>
            </w:pPr>
            <w:r w:rsidRPr="008F6730">
              <w:rPr>
                <w:noProof/>
                <w:sz w:val="20"/>
              </w:rPr>
              <w:t>0,070</w:t>
            </w:r>
          </w:p>
        </w:tc>
        <w:tc>
          <w:tcPr>
            <w:tcW w:w="868" w:type="dxa"/>
            <w:vAlign w:val="bottom"/>
          </w:tcPr>
          <w:p w14:paraId="536E417B" w14:textId="77777777" w:rsidR="000944F2" w:rsidRPr="008F6730" w:rsidRDefault="000944F2" w:rsidP="000944F2">
            <w:pPr>
              <w:spacing w:before="20" w:after="20"/>
              <w:jc w:val="right"/>
              <w:rPr>
                <w:noProof/>
                <w:sz w:val="20"/>
              </w:rPr>
            </w:pPr>
            <w:r w:rsidRPr="008F6730">
              <w:rPr>
                <w:noProof/>
                <w:sz w:val="20"/>
              </w:rPr>
              <w:t>0,070</w:t>
            </w:r>
          </w:p>
        </w:tc>
        <w:tc>
          <w:tcPr>
            <w:tcW w:w="868" w:type="dxa"/>
            <w:vAlign w:val="bottom"/>
          </w:tcPr>
          <w:p w14:paraId="47D2FF00" w14:textId="77777777" w:rsidR="000944F2" w:rsidRPr="008F6730" w:rsidRDefault="000944F2" w:rsidP="000944F2">
            <w:pPr>
              <w:spacing w:before="20" w:after="20"/>
              <w:jc w:val="right"/>
              <w:rPr>
                <w:noProof/>
                <w:sz w:val="20"/>
              </w:rPr>
            </w:pPr>
            <w:r w:rsidRPr="008F6730">
              <w:rPr>
                <w:noProof/>
                <w:sz w:val="20"/>
              </w:rPr>
              <w:t>0,070</w:t>
            </w:r>
          </w:p>
        </w:tc>
        <w:tc>
          <w:tcPr>
            <w:tcW w:w="868" w:type="dxa"/>
            <w:vAlign w:val="bottom"/>
          </w:tcPr>
          <w:p w14:paraId="048D6B62" w14:textId="77777777" w:rsidR="000944F2" w:rsidRPr="008F6730" w:rsidRDefault="000944F2" w:rsidP="000944F2">
            <w:pPr>
              <w:spacing w:before="20" w:after="20"/>
              <w:jc w:val="right"/>
              <w:rPr>
                <w:noProof/>
                <w:sz w:val="20"/>
              </w:rPr>
            </w:pPr>
            <w:r w:rsidRPr="008F6730">
              <w:rPr>
                <w:noProof/>
                <w:sz w:val="20"/>
              </w:rPr>
              <w:t>0,070</w:t>
            </w:r>
          </w:p>
        </w:tc>
        <w:tc>
          <w:tcPr>
            <w:tcW w:w="1777" w:type="dxa"/>
            <w:vAlign w:val="bottom"/>
          </w:tcPr>
          <w:p w14:paraId="405D53E9" w14:textId="77777777" w:rsidR="000944F2" w:rsidRPr="008F6730" w:rsidRDefault="000944F2" w:rsidP="000944F2">
            <w:pPr>
              <w:spacing w:before="20" w:after="20"/>
              <w:jc w:val="right"/>
              <w:rPr>
                <w:b/>
                <w:noProof/>
                <w:sz w:val="20"/>
              </w:rPr>
            </w:pPr>
            <w:r w:rsidRPr="008F6730">
              <w:rPr>
                <w:b/>
                <w:noProof/>
                <w:sz w:val="20"/>
              </w:rPr>
              <w:t>0,280</w:t>
            </w:r>
          </w:p>
        </w:tc>
      </w:tr>
      <w:tr w:rsidR="000944F2" w:rsidRPr="008F6730" w14:paraId="4284EEC5" w14:textId="77777777" w:rsidTr="000944F2">
        <w:tc>
          <w:tcPr>
            <w:tcW w:w="3960" w:type="dxa"/>
            <w:vAlign w:val="center"/>
          </w:tcPr>
          <w:p w14:paraId="6F38A48D" w14:textId="77777777" w:rsidR="000944F2" w:rsidRPr="008F6730" w:rsidRDefault="000944F2" w:rsidP="000944F2">
            <w:pPr>
              <w:jc w:val="center"/>
              <w:rPr>
                <w:b/>
                <w:noProof/>
              </w:rPr>
            </w:pPr>
            <w:r w:rsidRPr="008F6730">
              <w:rPr>
                <w:b/>
                <w:noProof/>
                <w:sz w:val="22"/>
              </w:rPr>
              <w:t>UKUPNO GU CLIMA</w:t>
            </w:r>
          </w:p>
        </w:tc>
        <w:tc>
          <w:tcPr>
            <w:tcW w:w="2094" w:type="dxa"/>
            <w:gridSpan w:val="2"/>
            <w:vAlign w:val="center"/>
          </w:tcPr>
          <w:p w14:paraId="6B0DB63F" w14:textId="77777777" w:rsidR="000944F2" w:rsidRPr="008F6730" w:rsidRDefault="000944F2" w:rsidP="000944F2">
            <w:pPr>
              <w:rPr>
                <w:noProof/>
                <w:sz w:val="14"/>
              </w:rPr>
            </w:pPr>
            <w:r w:rsidRPr="008F6730">
              <w:rPr>
                <w:noProof/>
                <w:sz w:val="18"/>
              </w:rPr>
              <w:t xml:space="preserve">Odobrena sredstva </w:t>
            </w:r>
          </w:p>
        </w:tc>
        <w:tc>
          <w:tcPr>
            <w:tcW w:w="868" w:type="dxa"/>
            <w:vAlign w:val="bottom"/>
          </w:tcPr>
          <w:p w14:paraId="08158700" w14:textId="77777777" w:rsidR="000944F2" w:rsidRPr="008F6730" w:rsidRDefault="000944F2" w:rsidP="000944F2">
            <w:pPr>
              <w:spacing w:before="60" w:after="60"/>
              <w:jc w:val="right"/>
              <w:rPr>
                <w:noProof/>
                <w:sz w:val="20"/>
              </w:rPr>
            </w:pPr>
            <w:r w:rsidRPr="008F6730">
              <w:rPr>
                <w:b/>
                <w:noProof/>
                <w:sz w:val="20"/>
              </w:rPr>
              <w:t>0,855</w:t>
            </w:r>
          </w:p>
        </w:tc>
        <w:tc>
          <w:tcPr>
            <w:tcW w:w="868" w:type="dxa"/>
            <w:vAlign w:val="bottom"/>
          </w:tcPr>
          <w:p w14:paraId="3CE8C512" w14:textId="77777777" w:rsidR="000944F2" w:rsidRPr="008F6730" w:rsidRDefault="000944F2" w:rsidP="000944F2">
            <w:pPr>
              <w:spacing w:before="20" w:after="20"/>
              <w:jc w:val="right"/>
              <w:rPr>
                <w:noProof/>
                <w:sz w:val="20"/>
              </w:rPr>
            </w:pPr>
            <w:r w:rsidRPr="008F6730">
              <w:rPr>
                <w:b/>
                <w:noProof/>
                <w:sz w:val="20"/>
              </w:rPr>
              <w:t>1,169</w:t>
            </w:r>
          </w:p>
        </w:tc>
        <w:tc>
          <w:tcPr>
            <w:tcW w:w="868" w:type="dxa"/>
            <w:vAlign w:val="bottom"/>
          </w:tcPr>
          <w:p w14:paraId="48DD149C" w14:textId="77777777" w:rsidR="000944F2" w:rsidRPr="008F6730" w:rsidRDefault="000944F2" w:rsidP="000944F2">
            <w:pPr>
              <w:spacing w:before="20" w:after="20"/>
              <w:jc w:val="right"/>
              <w:rPr>
                <w:noProof/>
                <w:sz w:val="20"/>
              </w:rPr>
            </w:pPr>
            <w:r w:rsidRPr="008F6730">
              <w:rPr>
                <w:b/>
                <w:noProof/>
                <w:sz w:val="20"/>
              </w:rPr>
              <w:t>1,169</w:t>
            </w:r>
          </w:p>
        </w:tc>
        <w:tc>
          <w:tcPr>
            <w:tcW w:w="868" w:type="dxa"/>
            <w:vAlign w:val="bottom"/>
          </w:tcPr>
          <w:p w14:paraId="646C930A" w14:textId="77777777" w:rsidR="000944F2" w:rsidRPr="008F6730" w:rsidRDefault="000944F2" w:rsidP="000944F2">
            <w:pPr>
              <w:spacing w:before="20" w:after="20"/>
              <w:jc w:val="right"/>
              <w:rPr>
                <w:noProof/>
                <w:sz w:val="20"/>
              </w:rPr>
            </w:pPr>
            <w:r w:rsidRPr="008F6730">
              <w:rPr>
                <w:b/>
                <w:noProof/>
                <w:sz w:val="20"/>
              </w:rPr>
              <w:t>1,169</w:t>
            </w:r>
          </w:p>
        </w:tc>
        <w:tc>
          <w:tcPr>
            <w:tcW w:w="1777" w:type="dxa"/>
            <w:vAlign w:val="bottom"/>
          </w:tcPr>
          <w:p w14:paraId="3451D5D4" w14:textId="77777777" w:rsidR="000944F2" w:rsidRPr="008F6730" w:rsidRDefault="000944F2" w:rsidP="000944F2">
            <w:pPr>
              <w:spacing w:before="20" w:after="20"/>
              <w:jc w:val="right"/>
              <w:rPr>
                <w:b/>
                <w:noProof/>
                <w:sz w:val="20"/>
              </w:rPr>
            </w:pPr>
            <w:r w:rsidRPr="008F6730">
              <w:rPr>
                <w:b/>
                <w:noProof/>
                <w:sz w:val="20"/>
              </w:rPr>
              <w:t>4,362</w:t>
            </w:r>
          </w:p>
        </w:tc>
      </w:tr>
    </w:tbl>
    <w:p w14:paraId="00C8E3B9" w14:textId="77777777" w:rsidR="000944F2" w:rsidRPr="008F6730" w:rsidRDefault="000944F2" w:rsidP="000944F2">
      <w:pPr>
        <w:rPr>
          <w:noProof/>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2094"/>
        <w:gridCol w:w="868"/>
        <w:gridCol w:w="868"/>
        <w:gridCol w:w="868"/>
        <w:gridCol w:w="868"/>
        <w:gridCol w:w="1777"/>
      </w:tblGrid>
      <w:tr w:rsidR="000944F2" w:rsidRPr="008F6730" w14:paraId="1F503AEC" w14:textId="77777777" w:rsidTr="000944F2">
        <w:tc>
          <w:tcPr>
            <w:tcW w:w="3960" w:type="dxa"/>
            <w:shd w:val="thinDiagStripe" w:color="C0C0C0" w:fill="auto"/>
            <w:vAlign w:val="center"/>
          </w:tcPr>
          <w:p w14:paraId="35D4CFC1" w14:textId="77777777" w:rsidR="000944F2" w:rsidRPr="008F6730" w:rsidRDefault="000944F2" w:rsidP="000944F2">
            <w:pPr>
              <w:jc w:val="center"/>
              <w:rPr>
                <w:b/>
                <w:noProof/>
              </w:rPr>
            </w:pPr>
            <w:r w:rsidRPr="008F6730">
              <w:rPr>
                <w:b/>
                <w:noProof/>
                <w:sz w:val="22"/>
              </w:rPr>
              <w:t>UKUPNA odobrena sredstva</w:t>
            </w:r>
            <w:r w:rsidRPr="008F6730">
              <w:rPr>
                <w:noProof/>
                <w:sz w:val="22"/>
              </w:rPr>
              <w:br/>
            </w:r>
            <w:r w:rsidRPr="008F6730">
              <w:rPr>
                <w:b/>
                <w:noProof/>
                <w:sz w:val="22"/>
              </w:rPr>
              <w:t>iz NASLOVA 7.</w:t>
            </w:r>
            <w:r w:rsidRPr="008F6730">
              <w:rPr>
                <w:noProof/>
                <w:sz w:val="22"/>
              </w:rPr>
              <w:br/>
              <w:t>višegodišnjeg financijskog okvira</w:t>
            </w:r>
            <w:r w:rsidRPr="008F6730">
              <w:rPr>
                <w:b/>
                <w:noProof/>
                <w:sz w:val="22"/>
              </w:rPr>
              <w:t xml:space="preserve"> </w:t>
            </w:r>
          </w:p>
        </w:tc>
        <w:tc>
          <w:tcPr>
            <w:tcW w:w="2094" w:type="dxa"/>
            <w:vAlign w:val="center"/>
          </w:tcPr>
          <w:p w14:paraId="4032E4A6" w14:textId="77777777" w:rsidR="000944F2" w:rsidRPr="008F6730" w:rsidRDefault="000944F2" w:rsidP="000944F2">
            <w:pPr>
              <w:spacing w:before="40" w:after="40"/>
              <w:rPr>
                <w:noProof/>
              </w:rPr>
            </w:pPr>
            <w:r w:rsidRPr="008F6730">
              <w:rPr>
                <w:noProof/>
                <w:sz w:val="18"/>
              </w:rPr>
              <w:t>(ukupne obveze = ukupna plaćanja)</w:t>
            </w:r>
          </w:p>
        </w:tc>
        <w:tc>
          <w:tcPr>
            <w:tcW w:w="868" w:type="dxa"/>
            <w:vAlign w:val="bottom"/>
          </w:tcPr>
          <w:p w14:paraId="7B7A88D2" w14:textId="77777777" w:rsidR="000944F2" w:rsidRPr="008F6730" w:rsidRDefault="000944F2" w:rsidP="000944F2">
            <w:pPr>
              <w:spacing w:before="20" w:after="20"/>
              <w:jc w:val="right"/>
              <w:rPr>
                <w:noProof/>
                <w:sz w:val="20"/>
              </w:rPr>
            </w:pPr>
            <w:r w:rsidRPr="008F6730">
              <w:rPr>
                <w:b/>
                <w:noProof/>
                <w:sz w:val="20"/>
              </w:rPr>
              <w:t>0,855</w:t>
            </w:r>
          </w:p>
        </w:tc>
        <w:tc>
          <w:tcPr>
            <w:tcW w:w="868" w:type="dxa"/>
            <w:vAlign w:val="bottom"/>
          </w:tcPr>
          <w:p w14:paraId="26DFDC4C" w14:textId="77777777" w:rsidR="000944F2" w:rsidRPr="008F6730" w:rsidRDefault="000944F2" w:rsidP="000944F2">
            <w:pPr>
              <w:spacing w:before="20" w:after="20"/>
              <w:jc w:val="right"/>
              <w:rPr>
                <w:noProof/>
                <w:sz w:val="20"/>
              </w:rPr>
            </w:pPr>
            <w:r w:rsidRPr="008F6730">
              <w:rPr>
                <w:b/>
                <w:noProof/>
                <w:sz w:val="20"/>
              </w:rPr>
              <w:t>1,169</w:t>
            </w:r>
          </w:p>
        </w:tc>
        <w:tc>
          <w:tcPr>
            <w:tcW w:w="868" w:type="dxa"/>
            <w:vAlign w:val="bottom"/>
          </w:tcPr>
          <w:p w14:paraId="75131AC2" w14:textId="77777777" w:rsidR="000944F2" w:rsidRPr="008F6730" w:rsidRDefault="000944F2" w:rsidP="000944F2">
            <w:pPr>
              <w:spacing w:before="20" w:after="20"/>
              <w:jc w:val="right"/>
              <w:rPr>
                <w:noProof/>
                <w:sz w:val="20"/>
              </w:rPr>
            </w:pPr>
            <w:r w:rsidRPr="008F6730">
              <w:rPr>
                <w:b/>
                <w:noProof/>
                <w:sz w:val="20"/>
              </w:rPr>
              <w:t>1,169</w:t>
            </w:r>
          </w:p>
        </w:tc>
        <w:tc>
          <w:tcPr>
            <w:tcW w:w="868" w:type="dxa"/>
            <w:vAlign w:val="bottom"/>
          </w:tcPr>
          <w:p w14:paraId="78F68BCB" w14:textId="77777777" w:rsidR="000944F2" w:rsidRPr="008F6730" w:rsidRDefault="000944F2" w:rsidP="000944F2">
            <w:pPr>
              <w:spacing w:before="20" w:after="20"/>
              <w:jc w:val="right"/>
              <w:rPr>
                <w:noProof/>
                <w:sz w:val="20"/>
              </w:rPr>
            </w:pPr>
            <w:r w:rsidRPr="008F6730">
              <w:rPr>
                <w:b/>
                <w:noProof/>
                <w:sz w:val="20"/>
              </w:rPr>
              <w:t>1,169</w:t>
            </w:r>
          </w:p>
        </w:tc>
        <w:tc>
          <w:tcPr>
            <w:tcW w:w="1777" w:type="dxa"/>
            <w:vAlign w:val="bottom"/>
          </w:tcPr>
          <w:p w14:paraId="255DECC0" w14:textId="77777777" w:rsidR="000944F2" w:rsidRPr="008F6730" w:rsidRDefault="000944F2" w:rsidP="000944F2">
            <w:pPr>
              <w:spacing w:before="20" w:after="20"/>
              <w:jc w:val="right"/>
              <w:rPr>
                <w:b/>
                <w:noProof/>
                <w:sz w:val="20"/>
              </w:rPr>
            </w:pPr>
            <w:r w:rsidRPr="008F6730">
              <w:rPr>
                <w:b/>
                <w:noProof/>
                <w:sz w:val="20"/>
              </w:rPr>
              <w:t>4,362</w:t>
            </w:r>
          </w:p>
        </w:tc>
      </w:tr>
    </w:tbl>
    <w:p w14:paraId="63F139E9" w14:textId="77777777" w:rsidR="000944F2" w:rsidRPr="008F6730" w:rsidRDefault="000944F2" w:rsidP="000944F2">
      <w:pPr>
        <w:jc w:val="right"/>
        <w:rPr>
          <w:noProof/>
          <w:sz w:val="20"/>
        </w:rPr>
      </w:pPr>
      <w:r w:rsidRPr="008F6730">
        <w:rPr>
          <w:noProof/>
          <w:sz w:val="20"/>
        </w:rPr>
        <w:t>U milijunima EUR (do 3 decimalna mjesta)</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560"/>
        <w:gridCol w:w="534"/>
        <w:gridCol w:w="868"/>
        <w:gridCol w:w="868"/>
        <w:gridCol w:w="868"/>
        <w:gridCol w:w="868"/>
        <w:gridCol w:w="1777"/>
      </w:tblGrid>
      <w:tr w:rsidR="000944F2" w:rsidRPr="008F6730" w14:paraId="0ABD9A19" w14:textId="77777777" w:rsidTr="000944F2">
        <w:tc>
          <w:tcPr>
            <w:tcW w:w="3960" w:type="dxa"/>
            <w:tcBorders>
              <w:top w:val="nil"/>
              <w:left w:val="nil"/>
              <w:right w:val="nil"/>
            </w:tcBorders>
            <w:vAlign w:val="center"/>
          </w:tcPr>
          <w:p w14:paraId="3847991B" w14:textId="77777777" w:rsidR="000944F2" w:rsidRPr="008F6730" w:rsidRDefault="000944F2" w:rsidP="000944F2">
            <w:pPr>
              <w:jc w:val="center"/>
              <w:rPr>
                <w:noProof/>
              </w:rPr>
            </w:pPr>
          </w:p>
        </w:tc>
        <w:tc>
          <w:tcPr>
            <w:tcW w:w="1560" w:type="dxa"/>
            <w:tcBorders>
              <w:top w:val="nil"/>
              <w:left w:val="nil"/>
              <w:right w:val="nil"/>
            </w:tcBorders>
          </w:tcPr>
          <w:p w14:paraId="2DC96525" w14:textId="77777777" w:rsidR="000944F2" w:rsidRPr="008F6730" w:rsidRDefault="000944F2" w:rsidP="000944F2">
            <w:pPr>
              <w:rPr>
                <w:noProof/>
                <w:sz w:val="20"/>
              </w:rPr>
            </w:pPr>
          </w:p>
        </w:tc>
        <w:tc>
          <w:tcPr>
            <w:tcW w:w="534" w:type="dxa"/>
            <w:tcBorders>
              <w:top w:val="nil"/>
              <w:left w:val="nil"/>
            </w:tcBorders>
          </w:tcPr>
          <w:p w14:paraId="223A0918" w14:textId="77777777" w:rsidR="000944F2" w:rsidRPr="008F6730" w:rsidRDefault="000944F2" w:rsidP="000944F2">
            <w:pPr>
              <w:jc w:val="center"/>
              <w:rPr>
                <w:noProof/>
                <w:sz w:val="20"/>
              </w:rPr>
            </w:pPr>
          </w:p>
        </w:tc>
        <w:tc>
          <w:tcPr>
            <w:tcW w:w="868" w:type="dxa"/>
            <w:vAlign w:val="center"/>
          </w:tcPr>
          <w:p w14:paraId="277BB097" w14:textId="77777777" w:rsidR="000944F2" w:rsidRPr="0069712A" w:rsidRDefault="000944F2" w:rsidP="000944F2">
            <w:pPr>
              <w:jc w:val="center"/>
              <w:rPr>
                <w:noProof/>
                <w:sz w:val="20"/>
                <w:szCs w:val="20"/>
              </w:rPr>
            </w:pPr>
            <w:r w:rsidRPr="0069712A">
              <w:rPr>
                <w:noProof/>
                <w:sz w:val="20"/>
                <w:szCs w:val="20"/>
              </w:rPr>
              <w:t>Godina</w:t>
            </w:r>
            <w:r w:rsidRPr="0069712A">
              <w:rPr>
                <w:noProof/>
                <w:sz w:val="20"/>
                <w:szCs w:val="20"/>
              </w:rPr>
              <w:br/>
            </w:r>
            <w:r w:rsidRPr="0069712A">
              <w:rPr>
                <w:b/>
                <w:noProof/>
                <w:sz w:val="20"/>
                <w:szCs w:val="20"/>
              </w:rPr>
              <w:t>2024.</w:t>
            </w:r>
          </w:p>
        </w:tc>
        <w:tc>
          <w:tcPr>
            <w:tcW w:w="868" w:type="dxa"/>
            <w:vAlign w:val="center"/>
          </w:tcPr>
          <w:p w14:paraId="4F3266A6" w14:textId="77777777" w:rsidR="000944F2" w:rsidRPr="0069712A" w:rsidRDefault="000944F2" w:rsidP="000944F2">
            <w:pPr>
              <w:jc w:val="center"/>
              <w:rPr>
                <w:noProof/>
                <w:sz w:val="20"/>
                <w:szCs w:val="20"/>
              </w:rPr>
            </w:pPr>
            <w:r w:rsidRPr="0069712A">
              <w:rPr>
                <w:noProof/>
                <w:sz w:val="20"/>
                <w:szCs w:val="20"/>
              </w:rPr>
              <w:t>Godina</w:t>
            </w:r>
            <w:r w:rsidRPr="0069712A">
              <w:rPr>
                <w:noProof/>
                <w:sz w:val="20"/>
                <w:szCs w:val="20"/>
              </w:rPr>
              <w:br/>
            </w:r>
            <w:r w:rsidRPr="0069712A">
              <w:rPr>
                <w:b/>
                <w:noProof/>
                <w:sz w:val="20"/>
                <w:szCs w:val="20"/>
              </w:rPr>
              <w:t>2025.</w:t>
            </w:r>
          </w:p>
        </w:tc>
        <w:tc>
          <w:tcPr>
            <w:tcW w:w="868" w:type="dxa"/>
            <w:vAlign w:val="center"/>
          </w:tcPr>
          <w:p w14:paraId="5B98C751" w14:textId="77777777" w:rsidR="000944F2" w:rsidRPr="0069712A" w:rsidRDefault="000944F2" w:rsidP="000944F2">
            <w:pPr>
              <w:jc w:val="center"/>
              <w:rPr>
                <w:noProof/>
                <w:sz w:val="20"/>
                <w:szCs w:val="20"/>
              </w:rPr>
            </w:pPr>
            <w:r w:rsidRPr="0069712A">
              <w:rPr>
                <w:noProof/>
                <w:sz w:val="20"/>
                <w:szCs w:val="20"/>
              </w:rPr>
              <w:t>Godina</w:t>
            </w:r>
            <w:r w:rsidRPr="0069712A">
              <w:rPr>
                <w:noProof/>
                <w:sz w:val="20"/>
                <w:szCs w:val="20"/>
              </w:rPr>
              <w:br/>
            </w:r>
            <w:r w:rsidRPr="0069712A">
              <w:rPr>
                <w:b/>
                <w:noProof/>
                <w:sz w:val="20"/>
                <w:szCs w:val="20"/>
              </w:rPr>
              <w:t>2026.</w:t>
            </w:r>
          </w:p>
        </w:tc>
        <w:tc>
          <w:tcPr>
            <w:tcW w:w="868" w:type="dxa"/>
            <w:vAlign w:val="center"/>
          </w:tcPr>
          <w:p w14:paraId="0F23668A" w14:textId="77777777" w:rsidR="000944F2" w:rsidRPr="0069712A" w:rsidRDefault="000944F2" w:rsidP="000944F2">
            <w:pPr>
              <w:jc w:val="center"/>
              <w:rPr>
                <w:noProof/>
                <w:sz w:val="20"/>
                <w:szCs w:val="20"/>
              </w:rPr>
            </w:pPr>
            <w:r w:rsidRPr="0069712A">
              <w:rPr>
                <w:noProof/>
                <w:sz w:val="20"/>
                <w:szCs w:val="20"/>
              </w:rPr>
              <w:t>Godina</w:t>
            </w:r>
            <w:r w:rsidRPr="0069712A">
              <w:rPr>
                <w:noProof/>
                <w:sz w:val="20"/>
                <w:szCs w:val="20"/>
              </w:rPr>
              <w:br/>
            </w:r>
            <w:r w:rsidRPr="0069712A">
              <w:rPr>
                <w:b/>
                <w:noProof/>
                <w:sz w:val="20"/>
                <w:szCs w:val="20"/>
              </w:rPr>
              <w:t>2027.</w:t>
            </w:r>
          </w:p>
        </w:tc>
        <w:tc>
          <w:tcPr>
            <w:tcW w:w="1777" w:type="dxa"/>
            <w:vAlign w:val="center"/>
          </w:tcPr>
          <w:p w14:paraId="5C217620" w14:textId="77777777" w:rsidR="000944F2" w:rsidRPr="0069712A" w:rsidRDefault="000944F2" w:rsidP="000944F2">
            <w:pPr>
              <w:jc w:val="center"/>
              <w:rPr>
                <w:b/>
                <w:noProof/>
                <w:sz w:val="20"/>
                <w:szCs w:val="20"/>
              </w:rPr>
            </w:pPr>
            <w:r w:rsidRPr="0069712A">
              <w:rPr>
                <w:b/>
                <w:noProof/>
                <w:sz w:val="20"/>
                <w:szCs w:val="20"/>
              </w:rPr>
              <w:t>UKUPNO</w:t>
            </w:r>
          </w:p>
        </w:tc>
      </w:tr>
      <w:tr w:rsidR="000944F2" w:rsidRPr="008F6730" w14:paraId="74694169" w14:textId="77777777" w:rsidTr="000944F2">
        <w:tc>
          <w:tcPr>
            <w:tcW w:w="3960" w:type="dxa"/>
            <w:vMerge w:val="restart"/>
            <w:shd w:val="clear" w:color="auto" w:fill="C0C0C0"/>
            <w:vAlign w:val="center"/>
          </w:tcPr>
          <w:p w14:paraId="26CD56D9" w14:textId="77777777" w:rsidR="000944F2" w:rsidRPr="008F6730" w:rsidRDefault="000944F2" w:rsidP="000944F2">
            <w:pPr>
              <w:jc w:val="center"/>
              <w:rPr>
                <w:b/>
                <w:noProof/>
              </w:rPr>
            </w:pPr>
            <w:r w:rsidRPr="008F6730">
              <w:rPr>
                <w:b/>
                <w:noProof/>
                <w:sz w:val="22"/>
              </w:rPr>
              <w:t xml:space="preserve">UKUPNA odobrena sredstva </w:t>
            </w:r>
            <w:r w:rsidRPr="008F6730">
              <w:rPr>
                <w:noProof/>
                <w:sz w:val="22"/>
              </w:rPr>
              <w:br/>
            </w:r>
            <w:r w:rsidRPr="008F6730">
              <w:rPr>
                <w:b/>
                <w:noProof/>
                <w:sz w:val="22"/>
              </w:rPr>
              <w:t>iz NASLOVA 1.–7.</w:t>
            </w:r>
            <w:r w:rsidRPr="008F6730">
              <w:rPr>
                <w:noProof/>
                <w:sz w:val="22"/>
              </w:rPr>
              <w:br/>
              <w:t>višegodišnjeg financijskog okvira</w:t>
            </w:r>
            <w:r w:rsidRPr="008F6730">
              <w:rPr>
                <w:b/>
                <w:noProof/>
                <w:sz w:val="22"/>
              </w:rPr>
              <w:t xml:space="preserve"> </w:t>
            </w:r>
          </w:p>
        </w:tc>
        <w:tc>
          <w:tcPr>
            <w:tcW w:w="2094" w:type="dxa"/>
            <w:gridSpan w:val="2"/>
            <w:vAlign w:val="center"/>
          </w:tcPr>
          <w:p w14:paraId="2E898B4A" w14:textId="77777777" w:rsidR="000944F2" w:rsidRPr="008F6730" w:rsidRDefault="000944F2" w:rsidP="000944F2">
            <w:pPr>
              <w:rPr>
                <w:noProof/>
                <w:sz w:val="14"/>
              </w:rPr>
            </w:pPr>
            <w:r w:rsidRPr="008F6730">
              <w:rPr>
                <w:noProof/>
                <w:sz w:val="18"/>
              </w:rPr>
              <w:t>Obveze</w:t>
            </w:r>
          </w:p>
        </w:tc>
        <w:tc>
          <w:tcPr>
            <w:tcW w:w="868" w:type="dxa"/>
            <w:vAlign w:val="bottom"/>
          </w:tcPr>
          <w:p w14:paraId="6DB16228" w14:textId="77777777" w:rsidR="000944F2" w:rsidRPr="008F6730" w:rsidRDefault="000944F2" w:rsidP="000944F2">
            <w:pPr>
              <w:spacing w:before="60" w:after="60"/>
              <w:jc w:val="right"/>
              <w:rPr>
                <w:noProof/>
                <w:sz w:val="20"/>
              </w:rPr>
            </w:pPr>
            <w:r w:rsidRPr="008F6730">
              <w:rPr>
                <w:noProof/>
                <w:sz w:val="20"/>
              </w:rPr>
              <w:t>3,855</w:t>
            </w:r>
          </w:p>
        </w:tc>
        <w:tc>
          <w:tcPr>
            <w:tcW w:w="868" w:type="dxa"/>
            <w:vAlign w:val="bottom"/>
          </w:tcPr>
          <w:p w14:paraId="490F9549" w14:textId="77777777" w:rsidR="000944F2" w:rsidRPr="008F6730" w:rsidRDefault="000944F2" w:rsidP="000944F2">
            <w:pPr>
              <w:spacing w:before="60" w:after="60"/>
              <w:jc w:val="right"/>
              <w:rPr>
                <w:noProof/>
                <w:sz w:val="20"/>
              </w:rPr>
            </w:pPr>
            <w:r w:rsidRPr="008F6730">
              <w:rPr>
                <w:noProof/>
                <w:sz w:val="20"/>
              </w:rPr>
              <w:t>3,169</w:t>
            </w:r>
          </w:p>
        </w:tc>
        <w:tc>
          <w:tcPr>
            <w:tcW w:w="868" w:type="dxa"/>
            <w:vAlign w:val="bottom"/>
          </w:tcPr>
          <w:p w14:paraId="75DEFBFD" w14:textId="77777777" w:rsidR="000944F2" w:rsidRPr="008F6730" w:rsidRDefault="000944F2" w:rsidP="000944F2">
            <w:pPr>
              <w:spacing w:before="60" w:after="60"/>
              <w:jc w:val="right"/>
              <w:rPr>
                <w:noProof/>
                <w:sz w:val="20"/>
              </w:rPr>
            </w:pPr>
            <w:r w:rsidRPr="008F6730">
              <w:rPr>
                <w:noProof/>
                <w:sz w:val="20"/>
              </w:rPr>
              <w:t>1,169</w:t>
            </w:r>
          </w:p>
        </w:tc>
        <w:tc>
          <w:tcPr>
            <w:tcW w:w="868" w:type="dxa"/>
            <w:vAlign w:val="bottom"/>
          </w:tcPr>
          <w:p w14:paraId="06761D63" w14:textId="77777777" w:rsidR="000944F2" w:rsidRPr="008F6730" w:rsidRDefault="000944F2" w:rsidP="000944F2">
            <w:pPr>
              <w:spacing w:before="60" w:after="60"/>
              <w:jc w:val="right"/>
              <w:rPr>
                <w:noProof/>
                <w:sz w:val="20"/>
              </w:rPr>
            </w:pPr>
            <w:r w:rsidRPr="008F6730">
              <w:rPr>
                <w:noProof/>
                <w:sz w:val="20"/>
              </w:rPr>
              <w:t>1,169</w:t>
            </w:r>
          </w:p>
        </w:tc>
        <w:tc>
          <w:tcPr>
            <w:tcW w:w="1777" w:type="dxa"/>
            <w:vAlign w:val="bottom"/>
          </w:tcPr>
          <w:p w14:paraId="7C5217D5" w14:textId="77777777" w:rsidR="000944F2" w:rsidRPr="008F6730" w:rsidRDefault="000944F2" w:rsidP="000944F2">
            <w:pPr>
              <w:spacing w:before="60" w:after="60"/>
              <w:jc w:val="right"/>
              <w:rPr>
                <w:noProof/>
                <w:sz w:val="20"/>
              </w:rPr>
            </w:pPr>
            <w:r w:rsidRPr="008F6730">
              <w:rPr>
                <w:noProof/>
                <w:sz w:val="20"/>
              </w:rPr>
              <w:t>9,362</w:t>
            </w:r>
          </w:p>
        </w:tc>
      </w:tr>
      <w:tr w:rsidR="000944F2" w:rsidRPr="008F6730" w14:paraId="10115A4A" w14:textId="77777777" w:rsidTr="000944F2">
        <w:tc>
          <w:tcPr>
            <w:tcW w:w="3960" w:type="dxa"/>
            <w:vMerge/>
            <w:shd w:val="clear" w:color="auto" w:fill="C0C0C0"/>
          </w:tcPr>
          <w:p w14:paraId="04FF3CE1" w14:textId="77777777" w:rsidR="000944F2" w:rsidRPr="008F6730" w:rsidRDefault="000944F2" w:rsidP="000944F2">
            <w:pPr>
              <w:rPr>
                <w:noProof/>
                <w:sz w:val="20"/>
              </w:rPr>
            </w:pPr>
          </w:p>
        </w:tc>
        <w:tc>
          <w:tcPr>
            <w:tcW w:w="2094" w:type="dxa"/>
            <w:gridSpan w:val="2"/>
            <w:vAlign w:val="center"/>
          </w:tcPr>
          <w:p w14:paraId="4ECF2E39" w14:textId="77777777" w:rsidR="000944F2" w:rsidRPr="008F6730" w:rsidRDefault="000944F2" w:rsidP="000944F2">
            <w:pPr>
              <w:rPr>
                <w:noProof/>
                <w:sz w:val="14"/>
              </w:rPr>
            </w:pPr>
            <w:r w:rsidRPr="008F6730">
              <w:rPr>
                <w:noProof/>
                <w:sz w:val="18"/>
              </w:rPr>
              <w:t>Plaćanja</w:t>
            </w:r>
          </w:p>
        </w:tc>
        <w:tc>
          <w:tcPr>
            <w:tcW w:w="868" w:type="dxa"/>
            <w:vAlign w:val="bottom"/>
          </w:tcPr>
          <w:p w14:paraId="7D2D1A2B" w14:textId="77777777" w:rsidR="000944F2" w:rsidRPr="008F6730" w:rsidRDefault="000944F2" w:rsidP="000944F2">
            <w:pPr>
              <w:spacing w:before="60" w:after="60"/>
              <w:jc w:val="right"/>
              <w:rPr>
                <w:noProof/>
                <w:sz w:val="20"/>
              </w:rPr>
            </w:pPr>
            <w:r w:rsidRPr="008F6730">
              <w:rPr>
                <w:noProof/>
                <w:sz w:val="20"/>
              </w:rPr>
              <w:t>1,855</w:t>
            </w:r>
          </w:p>
        </w:tc>
        <w:tc>
          <w:tcPr>
            <w:tcW w:w="868" w:type="dxa"/>
            <w:vAlign w:val="bottom"/>
          </w:tcPr>
          <w:p w14:paraId="4651DF2E" w14:textId="77777777" w:rsidR="000944F2" w:rsidRPr="008F6730" w:rsidRDefault="000944F2" w:rsidP="000944F2">
            <w:pPr>
              <w:spacing w:before="60" w:after="60"/>
              <w:jc w:val="right"/>
              <w:rPr>
                <w:noProof/>
                <w:sz w:val="20"/>
              </w:rPr>
            </w:pPr>
            <w:r w:rsidRPr="008F6730">
              <w:rPr>
                <w:noProof/>
                <w:sz w:val="20"/>
              </w:rPr>
              <w:t>3,169</w:t>
            </w:r>
          </w:p>
        </w:tc>
        <w:tc>
          <w:tcPr>
            <w:tcW w:w="868" w:type="dxa"/>
            <w:vAlign w:val="bottom"/>
          </w:tcPr>
          <w:p w14:paraId="4DEBAF6B" w14:textId="77777777" w:rsidR="000944F2" w:rsidRPr="008F6730" w:rsidRDefault="000944F2" w:rsidP="000944F2">
            <w:pPr>
              <w:spacing w:before="60" w:after="60"/>
              <w:jc w:val="right"/>
              <w:rPr>
                <w:noProof/>
                <w:sz w:val="20"/>
              </w:rPr>
            </w:pPr>
            <w:r w:rsidRPr="008F6730">
              <w:rPr>
                <w:noProof/>
                <w:sz w:val="20"/>
              </w:rPr>
              <w:t>3,169</w:t>
            </w:r>
          </w:p>
        </w:tc>
        <w:tc>
          <w:tcPr>
            <w:tcW w:w="868" w:type="dxa"/>
            <w:vAlign w:val="bottom"/>
          </w:tcPr>
          <w:p w14:paraId="65B56F30" w14:textId="77777777" w:rsidR="000944F2" w:rsidRPr="008F6730" w:rsidRDefault="000944F2" w:rsidP="000944F2">
            <w:pPr>
              <w:spacing w:before="60" w:after="60"/>
              <w:jc w:val="right"/>
              <w:rPr>
                <w:noProof/>
                <w:sz w:val="20"/>
              </w:rPr>
            </w:pPr>
            <w:r w:rsidRPr="008F6730">
              <w:rPr>
                <w:noProof/>
                <w:sz w:val="20"/>
              </w:rPr>
              <w:t>1,169</w:t>
            </w:r>
          </w:p>
        </w:tc>
        <w:tc>
          <w:tcPr>
            <w:tcW w:w="1777" w:type="dxa"/>
            <w:vAlign w:val="bottom"/>
          </w:tcPr>
          <w:p w14:paraId="7C778409" w14:textId="77777777" w:rsidR="000944F2" w:rsidRPr="008F6730" w:rsidRDefault="000944F2" w:rsidP="000944F2">
            <w:pPr>
              <w:spacing w:before="60" w:after="60"/>
              <w:jc w:val="right"/>
              <w:rPr>
                <w:noProof/>
                <w:sz w:val="20"/>
              </w:rPr>
            </w:pPr>
            <w:r w:rsidRPr="008F6730">
              <w:rPr>
                <w:noProof/>
                <w:sz w:val="20"/>
              </w:rPr>
              <w:t>9,362</w:t>
            </w:r>
          </w:p>
        </w:tc>
      </w:tr>
    </w:tbl>
    <w:p w14:paraId="04C176AB" w14:textId="77777777" w:rsidR="000944F2" w:rsidRPr="008F6730" w:rsidRDefault="000944F2" w:rsidP="000944F2">
      <w:pPr>
        <w:rPr>
          <w:noProof/>
        </w:rPr>
      </w:pPr>
    </w:p>
    <w:p w14:paraId="0CF230ED" w14:textId="30BF118A" w:rsidR="000944F2" w:rsidRPr="008F6730" w:rsidRDefault="009A61FA" w:rsidP="009A61FA">
      <w:pPr>
        <w:pStyle w:val="ManualHeading3"/>
        <w:rPr>
          <w:noProof/>
        </w:rPr>
      </w:pPr>
      <w:bookmarkStart w:id="249" w:name="_Toc514938054"/>
      <w:bookmarkStart w:id="250" w:name="_Toc520485053"/>
      <w:bookmarkStart w:id="251" w:name="_Toc125124918"/>
      <w:bookmarkStart w:id="252" w:name="_Toc125125376"/>
      <w:bookmarkStart w:id="253" w:name="_Toc125125621"/>
      <w:bookmarkStart w:id="254" w:name="_Toc125125729"/>
      <w:r w:rsidRPr="009A61FA">
        <w:t>3.2.2.</w:t>
      </w:r>
      <w:r w:rsidRPr="009A61FA">
        <w:tab/>
      </w:r>
      <w:r w:rsidR="000944F2" w:rsidRPr="008F6730">
        <w:rPr>
          <w:noProof/>
        </w:rPr>
        <w:t>Procijenjeni rezultati financirani odobrenim sredstvima za poslovanje</w:t>
      </w:r>
      <w:bookmarkEnd w:id="249"/>
      <w:bookmarkEnd w:id="250"/>
      <w:bookmarkEnd w:id="251"/>
      <w:bookmarkEnd w:id="252"/>
      <w:bookmarkEnd w:id="253"/>
      <w:bookmarkEnd w:id="254"/>
      <w:r w:rsidR="000944F2" w:rsidRPr="008F6730">
        <w:rPr>
          <w:noProof/>
        </w:rPr>
        <w:t xml:space="preserve"> </w:t>
      </w:r>
    </w:p>
    <w:p w14:paraId="424BAD6B" w14:textId="77777777" w:rsidR="000944F2" w:rsidRPr="008F6730" w:rsidRDefault="000944F2" w:rsidP="000944F2">
      <w:pPr>
        <w:jc w:val="right"/>
        <w:rPr>
          <w:noProof/>
          <w:sz w:val="20"/>
        </w:rPr>
      </w:pPr>
      <w:r w:rsidRPr="008F6730">
        <w:rPr>
          <w:noProof/>
          <w:sz w:val="20"/>
        </w:rPr>
        <w:t>Odobrena sredstva za preuzimanje obveza u milijunima EUR (do 3 decimalna mjesta)</w:t>
      </w:r>
    </w:p>
    <w:tbl>
      <w:tblPr>
        <w:tblW w:w="136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23"/>
        <w:gridCol w:w="720"/>
        <w:gridCol w:w="701"/>
        <w:gridCol w:w="504"/>
        <w:gridCol w:w="720"/>
        <w:gridCol w:w="540"/>
        <w:gridCol w:w="720"/>
        <w:gridCol w:w="720"/>
        <w:gridCol w:w="720"/>
        <w:gridCol w:w="900"/>
        <w:gridCol w:w="51"/>
        <w:gridCol w:w="669"/>
        <w:gridCol w:w="540"/>
        <w:gridCol w:w="648"/>
        <w:gridCol w:w="432"/>
        <w:gridCol w:w="720"/>
        <w:gridCol w:w="540"/>
        <w:gridCol w:w="720"/>
        <w:gridCol w:w="720"/>
        <w:gridCol w:w="900"/>
      </w:tblGrid>
      <w:tr w:rsidR="000944F2" w:rsidRPr="008F6730" w14:paraId="479326A7" w14:textId="77777777" w:rsidTr="000944F2">
        <w:trPr>
          <w:jc w:val="center"/>
        </w:trPr>
        <w:tc>
          <w:tcPr>
            <w:tcW w:w="1423" w:type="dxa"/>
            <w:vMerge w:val="restart"/>
            <w:vAlign w:val="center"/>
          </w:tcPr>
          <w:p w14:paraId="6C48B9FC" w14:textId="77777777" w:rsidR="000944F2" w:rsidRPr="008F6730" w:rsidRDefault="000944F2" w:rsidP="000944F2">
            <w:pPr>
              <w:ind w:right="-29"/>
              <w:jc w:val="center"/>
              <w:rPr>
                <w:b/>
                <w:noProof/>
                <w:sz w:val="18"/>
                <w:szCs w:val="18"/>
              </w:rPr>
            </w:pPr>
            <w:r w:rsidRPr="008F6730">
              <w:rPr>
                <w:b/>
                <w:noProof/>
                <w:sz w:val="18"/>
              </w:rPr>
              <w:t xml:space="preserve">Navesti ciljeve i rezultate </w:t>
            </w:r>
          </w:p>
          <w:p w14:paraId="3D13E9C4" w14:textId="77777777" w:rsidR="000944F2" w:rsidRPr="008F6730" w:rsidRDefault="000944F2" w:rsidP="000944F2">
            <w:pPr>
              <w:ind w:right="-29"/>
              <w:jc w:val="center"/>
              <w:rPr>
                <w:b/>
                <w:noProof/>
                <w:sz w:val="18"/>
                <w:szCs w:val="18"/>
              </w:rPr>
            </w:pPr>
          </w:p>
          <w:p w14:paraId="3FFBC95D" w14:textId="77777777" w:rsidR="000944F2" w:rsidRPr="008F6730" w:rsidRDefault="000944F2" w:rsidP="000944F2">
            <w:pPr>
              <w:ind w:right="-29"/>
              <w:jc w:val="center"/>
              <w:rPr>
                <w:noProof/>
                <w:sz w:val="18"/>
                <w:szCs w:val="18"/>
              </w:rPr>
            </w:pPr>
            <w:r w:rsidRPr="008F6730">
              <w:rPr>
                <w:rFonts w:ascii="Wingdings" w:hAnsi="Wingdings"/>
                <w:noProof/>
                <w:sz w:val="18"/>
              </w:rPr>
              <w:t></w:t>
            </w:r>
          </w:p>
        </w:tc>
        <w:tc>
          <w:tcPr>
            <w:tcW w:w="720" w:type="dxa"/>
            <w:vAlign w:val="center"/>
          </w:tcPr>
          <w:p w14:paraId="3968C15D" w14:textId="77777777" w:rsidR="000944F2" w:rsidRPr="008F6730" w:rsidRDefault="000944F2" w:rsidP="000944F2">
            <w:pPr>
              <w:ind w:right="-29"/>
              <w:jc w:val="center"/>
              <w:rPr>
                <w:noProof/>
                <w:sz w:val="18"/>
                <w:szCs w:val="18"/>
              </w:rPr>
            </w:pPr>
          </w:p>
        </w:tc>
        <w:tc>
          <w:tcPr>
            <w:tcW w:w="701" w:type="dxa"/>
            <w:vAlign w:val="center"/>
          </w:tcPr>
          <w:p w14:paraId="02CED8B1" w14:textId="77777777" w:rsidR="000944F2" w:rsidRPr="008F6730" w:rsidRDefault="000944F2" w:rsidP="000944F2">
            <w:pPr>
              <w:ind w:right="-29"/>
              <w:jc w:val="center"/>
              <w:rPr>
                <w:noProof/>
                <w:sz w:val="18"/>
                <w:szCs w:val="18"/>
              </w:rPr>
            </w:pPr>
          </w:p>
        </w:tc>
        <w:tc>
          <w:tcPr>
            <w:tcW w:w="1224" w:type="dxa"/>
            <w:gridSpan w:val="2"/>
            <w:tcBorders>
              <w:left w:val="nil"/>
            </w:tcBorders>
            <w:vAlign w:val="center"/>
          </w:tcPr>
          <w:p w14:paraId="545BB1DA" w14:textId="77777777" w:rsidR="000944F2" w:rsidRPr="0028747D" w:rsidRDefault="000944F2" w:rsidP="000944F2">
            <w:pPr>
              <w:ind w:right="-29"/>
              <w:jc w:val="center"/>
              <w:rPr>
                <w:noProof/>
                <w:sz w:val="18"/>
                <w:szCs w:val="18"/>
              </w:rPr>
            </w:pPr>
            <w:r w:rsidRPr="0028747D">
              <w:rPr>
                <w:noProof/>
                <w:sz w:val="18"/>
                <w:szCs w:val="18"/>
              </w:rPr>
              <w:t>Godina</w:t>
            </w:r>
            <w:r w:rsidRPr="0028747D">
              <w:rPr>
                <w:noProof/>
                <w:sz w:val="18"/>
                <w:szCs w:val="18"/>
              </w:rPr>
              <w:br/>
            </w:r>
            <w:r w:rsidRPr="0028747D">
              <w:rPr>
                <w:b/>
                <w:noProof/>
                <w:sz w:val="18"/>
                <w:szCs w:val="18"/>
              </w:rPr>
              <w:t>N</w:t>
            </w:r>
          </w:p>
        </w:tc>
        <w:tc>
          <w:tcPr>
            <w:tcW w:w="1260" w:type="dxa"/>
            <w:gridSpan w:val="2"/>
            <w:vAlign w:val="center"/>
          </w:tcPr>
          <w:p w14:paraId="5CC2D0D6" w14:textId="77777777" w:rsidR="000944F2" w:rsidRPr="0028747D" w:rsidRDefault="000944F2" w:rsidP="000944F2">
            <w:pPr>
              <w:ind w:right="-29"/>
              <w:jc w:val="center"/>
              <w:rPr>
                <w:noProof/>
                <w:sz w:val="18"/>
                <w:szCs w:val="18"/>
              </w:rPr>
            </w:pPr>
            <w:r w:rsidRPr="0028747D">
              <w:rPr>
                <w:noProof/>
                <w:sz w:val="18"/>
                <w:szCs w:val="18"/>
              </w:rPr>
              <w:t>Godina</w:t>
            </w:r>
            <w:r w:rsidRPr="0028747D">
              <w:rPr>
                <w:noProof/>
                <w:sz w:val="18"/>
                <w:szCs w:val="18"/>
              </w:rPr>
              <w:br/>
            </w:r>
            <w:r w:rsidRPr="0028747D">
              <w:rPr>
                <w:b/>
                <w:noProof/>
                <w:sz w:val="18"/>
                <w:szCs w:val="18"/>
              </w:rPr>
              <w:t>N+1</w:t>
            </w:r>
          </w:p>
        </w:tc>
        <w:tc>
          <w:tcPr>
            <w:tcW w:w="1440" w:type="dxa"/>
            <w:gridSpan w:val="2"/>
            <w:vAlign w:val="center"/>
          </w:tcPr>
          <w:p w14:paraId="38D28E04" w14:textId="77777777" w:rsidR="000944F2" w:rsidRPr="0028747D" w:rsidRDefault="000944F2" w:rsidP="000944F2">
            <w:pPr>
              <w:ind w:right="-29"/>
              <w:jc w:val="center"/>
              <w:rPr>
                <w:noProof/>
                <w:sz w:val="18"/>
                <w:szCs w:val="18"/>
              </w:rPr>
            </w:pPr>
            <w:r w:rsidRPr="0028747D">
              <w:rPr>
                <w:noProof/>
                <w:sz w:val="18"/>
                <w:szCs w:val="18"/>
              </w:rPr>
              <w:t>Godina</w:t>
            </w:r>
            <w:r w:rsidRPr="0028747D">
              <w:rPr>
                <w:noProof/>
                <w:sz w:val="18"/>
                <w:szCs w:val="18"/>
              </w:rPr>
              <w:br/>
            </w:r>
            <w:r w:rsidRPr="0028747D">
              <w:rPr>
                <w:b/>
                <w:noProof/>
                <w:sz w:val="18"/>
                <w:szCs w:val="18"/>
              </w:rPr>
              <w:t>N+2</w:t>
            </w:r>
          </w:p>
        </w:tc>
        <w:tc>
          <w:tcPr>
            <w:tcW w:w="1620" w:type="dxa"/>
            <w:gridSpan w:val="3"/>
            <w:vAlign w:val="center"/>
          </w:tcPr>
          <w:p w14:paraId="009EF4FE" w14:textId="77777777" w:rsidR="000944F2" w:rsidRPr="0028747D" w:rsidRDefault="000944F2" w:rsidP="000944F2">
            <w:pPr>
              <w:ind w:right="-29"/>
              <w:jc w:val="center"/>
              <w:rPr>
                <w:noProof/>
                <w:sz w:val="18"/>
                <w:szCs w:val="18"/>
              </w:rPr>
            </w:pPr>
            <w:r w:rsidRPr="0028747D">
              <w:rPr>
                <w:noProof/>
                <w:sz w:val="18"/>
                <w:szCs w:val="18"/>
              </w:rPr>
              <w:t>Godina</w:t>
            </w:r>
            <w:r w:rsidRPr="0028747D">
              <w:rPr>
                <w:noProof/>
                <w:sz w:val="18"/>
                <w:szCs w:val="18"/>
              </w:rPr>
              <w:br/>
            </w:r>
            <w:r w:rsidRPr="0028747D">
              <w:rPr>
                <w:b/>
                <w:noProof/>
                <w:sz w:val="18"/>
                <w:szCs w:val="18"/>
              </w:rPr>
              <w:t>N+3</w:t>
            </w:r>
          </w:p>
        </w:tc>
        <w:tc>
          <w:tcPr>
            <w:tcW w:w="3600" w:type="dxa"/>
            <w:gridSpan w:val="6"/>
            <w:vAlign w:val="center"/>
          </w:tcPr>
          <w:p w14:paraId="6D2956F6" w14:textId="77777777" w:rsidR="000944F2" w:rsidRPr="008F6730" w:rsidRDefault="000944F2" w:rsidP="000944F2">
            <w:pPr>
              <w:jc w:val="center"/>
              <w:rPr>
                <w:noProof/>
                <w:sz w:val="18"/>
                <w:szCs w:val="18"/>
              </w:rPr>
            </w:pPr>
            <w:r w:rsidRPr="008F6730">
              <w:rPr>
                <w:noProof/>
                <w:sz w:val="18"/>
              </w:rPr>
              <w:t>Unijeti onoliko godina koliko je potrebno za prikaz trajanja učinka (vidjeti točku 1.6.)</w:t>
            </w:r>
          </w:p>
        </w:tc>
        <w:tc>
          <w:tcPr>
            <w:tcW w:w="1620" w:type="dxa"/>
            <w:gridSpan w:val="2"/>
            <w:tcBorders>
              <w:left w:val="nil"/>
              <w:bottom w:val="nil"/>
            </w:tcBorders>
            <w:vAlign w:val="center"/>
          </w:tcPr>
          <w:p w14:paraId="65FA1F64" w14:textId="77777777" w:rsidR="000944F2" w:rsidRPr="008F6730" w:rsidRDefault="000944F2" w:rsidP="000944F2">
            <w:pPr>
              <w:ind w:right="-29"/>
              <w:jc w:val="center"/>
              <w:rPr>
                <w:noProof/>
                <w:sz w:val="18"/>
                <w:szCs w:val="18"/>
              </w:rPr>
            </w:pPr>
            <w:r w:rsidRPr="008F6730">
              <w:rPr>
                <w:b/>
                <w:noProof/>
                <w:sz w:val="18"/>
              </w:rPr>
              <w:t>UKUPNO</w:t>
            </w:r>
          </w:p>
        </w:tc>
      </w:tr>
      <w:tr w:rsidR="000944F2" w:rsidRPr="008F6730" w14:paraId="3BCFB603" w14:textId="77777777" w:rsidTr="000944F2">
        <w:trPr>
          <w:jc w:val="center"/>
        </w:trPr>
        <w:tc>
          <w:tcPr>
            <w:tcW w:w="1423" w:type="dxa"/>
            <w:vMerge/>
            <w:vAlign w:val="center"/>
          </w:tcPr>
          <w:p w14:paraId="733EC103" w14:textId="77777777" w:rsidR="000944F2" w:rsidRPr="008F6730" w:rsidRDefault="000944F2" w:rsidP="000944F2">
            <w:pPr>
              <w:ind w:right="-29"/>
              <w:jc w:val="center"/>
              <w:rPr>
                <w:noProof/>
                <w:sz w:val="18"/>
                <w:szCs w:val="18"/>
              </w:rPr>
            </w:pPr>
          </w:p>
        </w:tc>
        <w:tc>
          <w:tcPr>
            <w:tcW w:w="12185" w:type="dxa"/>
            <w:gridSpan w:val="19"/>
            <w:vAlign w:val="center"/>
          </w:tcPr>
          <w:p w14:paraId="497F82F4" w14:textId="77777777" w:rsidR="000944F2" w:rsidRPr="008F6730" w:rsidRDefault="000944F2" w:rsidP="000944F2">
            <w:pPr>
              <w:spacing w:before="60" w:after="60"/>
              <w:ind w:right="-29"/>
              <w:jc w:val="center"/>
              <w:rPr>
                <w:noProof/>
                <w:sz w:val="18"/>
                <w:szCs w:val="18"/>
              </w:rPr>
            </w:pPr>
            <w:r w:rsidRPr="008F6730">
              <w:rPr>
                <w:b/>
                <w:noProof/>
                <w:sz w:val="18"/>
              </w:rPr>
              <w:t>REZULTATI</w:t>
            </w:r>
          </w:p>
        </w:tc>
      </w:tr>
      <w:tr w:rsidR="000944F2" w:rsidRPr="008F6730" w14:paraId="77925FA6" w14:textId="77777777" w:rsidTr="000944F2">
        <w:trPr>
          <w:cantSplit/>
          <w:trHeight w:val="1134"/>
          <w:jc w:val="center"/>
        </w:trPr>
        <w:tc>
          <w:tcPr>
            <w:tcW w:w="1423" w:type="dxa"/>
            <w:vMerge/>
            <w:vAlign w:val="center"/>
          </w:tcPr>
          <w:p w14:paraId="2A867618" w14:textId="77777777" w:rsidR="000944F2" w:rsidRPr="008F6730" w:rsidRDefault="000944F2" w:rsidP="000944F2">
            <w:pPr>
              <w:rPr>
                <w:noProof/>
                <w:sz w:val="18"/>
                <w:szCs w:val="18"/>
              </w:rPr>
            </w:pPr>
          </w:p>
        </w:tc>
        <w:tc>
          <w:tcPr>
            <w:tcW w:w="720" w:type="dxa"/>
            <w:vAlign w:val="center"/>
          </w:tcPr>
          <w:p w14:paraId="036D4ADE" w14:textId="77777777" w:rsidR="000944F2" w:rsidRPr="008F6730" w:rsidRDefault="000944F2" w:rsidP="000944F2">
            <w:pPr>
              <w:jc w:val="center"/>
              <w:rPr>
                <w:noProof/>
                <w:sz w:val="18"/>
                <w:szCs w:val="18"/>
              </w:rPr>
            </w:pPr>
            <w:r w:rsidRPr="008F6730">
              <w:rPr>
                <w:noProof/>
                <w:sz w:val="18"/>
              </w:rPr>
              <w:t>Vrsta</w:t>
            </w:r>
            <w:r w:rsidRPr="008F6730">
              <w:rPr>
                <w:rStyle w:val="FootnoteReference"/>
                <w:noProof/>
                <w:sz w:val="18"/>
              </w:rPr>
              <w:footnoteReference w:id="48"/>
            </w:r>
          </w:p>
          <w:p w14:paraId="12DDD974" w14:textId="77777777" w:rsidR="000944F2" w:rsidRPr="008F6730" w:rsidRDefault="000944F2" w:rsidP="000944F2">
            <w:pPr>
              <w:spacing w:before="0" w:after="0"/>
              <w:jc w:val="center"/>
              <w:rPr>
                <w:noProof/>
                <w:sz w:val="18"/>
                <w:szCs w:val="18"/>
              </w:rPr>
            </w:pPr>
          </w:p>
        </w:tc>
        <w:tc>
          <w:tcPr>
            <w:tcW w:w="701" w:type="dxa"/>
            <w:vAlign w:val="center"/>
          </w:tcPr>
          <w:p w14:paraId="63EBF075" w14:textId="77777777" w:rsidR="000944F2" w:rsidRPr="008F6730" w:rsidRDefault="000944F2" w:rsidP="000944F2">
            <w:pPr>
              <w:jc w:val="center"/>
              <w:rPr>
                <w:noProof/>
                <w:sz w:val="18"/>
                <w:szCs w:val="18"/>
              </w:rPr>
            </w:pPr>
            <w:r w:rsidRPr="008F6730">
              <w:rPr>
                <w:noProof/>
                <w:sz w:val="18"/>
              </w:rPr>
              <w:t>Prosječni trošak</w:t>
            </w:r>
          </w:p>
        </w:tc>
        <w:tc>
          <w:tcPr>
            <w:tcW w:w="504" w:type="dxa"/>
            <w:tcBorders>
              <w:left w:val="nil"/>
              <w:right w:val="dashSmallGap" w:sz="4" w:space="0" w:color="auto"/>
            </w:tcBorders>
            <w:shd w:val="pct10" w:color="auto" w:fill="auto"/>
            <w:textDirection w:val="btLr"/>
            <w:vAlign w:val="center"/>
          </w:tcPr>
          <w:p w14:paraId="6D74B6FB" w14:textId="77777777" w:rsidR="000944F2" w:rsidRPr="008F6730" w:rsidRDefault="000944F2" w:rsidP="000944F2">
            <w:pPr>
              <w:ind w:left="113" w:right="113"/>
              <w:jc w:val="center"/>
              <w:rPr>
                <w:noProof/>
                <w:sz w:val="18"/>
                <w:szCs w:val="18"/>
              </w:rPr>
            </w:pPr>
            <w:r w:rsidRPr="008F6730">
              <w:rPr>
                <w:noProof/>
                <w:sz w:val="18"/>
              </w:rPr>
              <w:t>Br.</w:t>
            </w:r>
          </w:p>
        </w:tc>
        <w:tc>
          <w:tcPr>
            <w:tcW w:w="720" w:type="dxa"/>
            <w:tcBorders>
              <w:left w:val="dashSmallGap" w:sz="4" w:space="0" w:color="auto"/>
            </w:tcBorders>
            <w:shd w:val="pct10" w:color="auto" w:fill="auto"/>
            <w:vAlign w:val="center"/>
          </w:tcPr>
          <w:p w14:paraId="319CAC67" w14:textId="77777777" w:rsidR="000944F2" w:rsidRPr="008F6730" w:rsidRDefault="000944F2" w:rsidP="000944F2">
            <w:pPr>
              <w:jc w:val="center"/>
              <w:rPr>
                <w:noProof/>
                <w:sz w:val="18"/>
                <w:szCs w:val="18"/>
              </w:rPr>
            </w:pPr>
            <w:r w:rsidRPr="008F6730">
              <w:rPr>
                <w:noProof/>
                <w:sz w:val="18"/>
              </w:rPr>
              <w:t>Trošak</w:t>
            </w:r>
          </w:p>
        </w:tc>
        <w:tc>
          <w:tcPr>
            <w:tcW w:w="540" w:type="dxa"/>
            <w:tcBorders>
              <w:right w:val="dashSmallGap" w:sz="4" w:space="0" w:color="auto"/>
            </w:tcBorders>
            <w:shd w:val="pct10" w:color="auto" w:fill="auto"/>
            <w:textDirection w:val="btLr"/>
            <w:vAlign w:val="center"/>
          </w:tcPr>
          <w:p w14:paraId="628EB093" w14:textId="77777777" w:rsidR="000944F2" w:rsidRPr="008F6730" w:rsidRDefault="000944F2" w:rsidP="000944F2">
            <w:pPr>
              <w:ind w:left="113" w:right="113"/>
              <w:jc w:val="center"/>
              <w:rPr>
                <w:noProof/>
                <w:sz w:val="18"/>
                <w:szCs w:val="18"/>
              </w:rPr>
            </w:pPr>
            <w:r w:rsidRPr="008F6730">
              <w:rPr>
                <w:noProof/>
                <w:sz w:val="18"/>
              </w:rPr>
              <w:t>Br.</w:t>
            </w:r>
          </w:p>
        </w:tc>
        <w:tc>
          <w:tcPr>
            <w:tcW w:w="720" w:type="dxa"/>
            <w:tcBorders>
              <w:left w:val="dashSmallGap" w:sz="4" w:space="0" w:color="auto"/>
            </w:tcBorders>
            <w:shd w:val="pct10" w:color="auto" w:fill="auto"/>
            <w:vAlign w:val="center"/>
          </w:tcPr>
          <w:p w14:paraId="1718EA58" w14:textId="77777777" w:rsidR="000944F2" w:rsidRPr="008F6730" w:rsidRDefault="000944F2" w:rsidP="000944F2">
            <w:pPr>
              <w:jc w:val="center"/>
              <w:rPr>
                <w:noProof/>
                <w:sz w:val="18"/>
                <w:szCs w:val="18"/>
              </w:rPr>
            </w:pPr>
            <w:r w:rsidRPr="008F6730">
              <w:rPr>
                <w:noProof/>
                <w:sz w:val="18"/>
              </w:rPr>
              <w:t>Trošak</w:t>
            </w:r>
          </w:p>
        </w:tc>
        <w:tc>
          <w:tcPr>
            <w:tcW w:w="720" w:type="dxa"/>
            <w:tcBorders>
              <w:right w:val="dashSmallGap" w:sz="4" w:space="0" w:color="auto"/>
            </w:tcBorders>
            <w:shd w:val="pct10" w:color="auto" w:fill="auto"/>
            <w:textDirection w:val="btLr"/>
            <w:vAlign w:val="center"/>
          </w:tcPr>
          <w:p w14:paraId="31E2FDDF" w14:textId="77777777" w:rsidR="000944F2" w:rsidRPr="008F6730" w:rsidRDefault="000944F2" w:rsidP="000944F2">
            <w:pPr>
              <w:ind w:left="113" w:right="113"/>
              <w:jc w:val="center"/>
              <w:rPr>
                <w:noProof/>
                <w:sz w:val="18"/>
                <w:szCs w:val="18"/>
              </w:rPr>
            </w:pPr>
            <w:r w:rsidRPr="008F6730">
              <w:rPr>
                <w:noProof/>
                <w:sz w:val="18"/>
              </w:rPr>
              <w:t>Br.</w:t>
            </w:r>
          </w:p>
        </w:tc>
        <w:tc>
          <w:tcPr>
            <w:tcW w:w="720" w:type="dxa"/>
            <w:tcBorders>
              <w:left w:val="dashSmallGap" w:sz="4" w:space="0" w:color="auto"/>
            </w:tcBorders>
            <w:shd w:val="pct10" w:color="auto" w:fill="auto"/>
            <w:vAlign w:val="center"/>
          </w:tcPr>
          <w:p w14:paraId="6C322DEC" w14:textId="77777777" w:rsidR="000944F2" w:rsidRPr="008F6730" w:rsidRDefault="000944F2" w:rsidP="000944F2">
            <w:pPr>
              <w:jc w:val="center"/>
              <w:rPr>
                <w:noProof/>
                <w:sz w:val="18"/>
                <w:szCs w:val="18"/>
              </w:rPr>
            </w:pPr>
            <w:r w:rsidRPr="008F6730">
              <w:rPr>
                <w:noProof/>
                <w:sz w:val="18"/>
              </w:rPr>
              <w:t>Trošak</w:t>
            </w:r>
          </w:p>
        </w:tc>
        <w:tc>
          <w:tcPr>
            <w:tcW w:w="900" w:type="dxa"/>
            <w:tcBorders>
              <w:right w:val="dashSmallGap" w:sz="4" w:space="0" w:color="auto"/>
            </w:tcBorders>
            <w:shd w:val="pct10" w:color="auto" w:fill="auto"/>
            <w:textDirection w:val="btLr"/>
            <w:vAlign w:val="center"/>
          </w:tcPr>
          <w:p w14:paraId="5C18B5BD" w14:textId="77777777" w:rsidR="000944F2" w:rsidRPr="008F6730" w:rsidRDefault="000944F2" w:rsidP="000944F2">
            <w:pPr>
              <w:ind w:left="113" w:right="113"/>
              <w:jc w:val="center"/>
              <w:rPr>
                <w:noProof/>
                <w:sz w:val="18"/>
                <w:szCs w:val="18"/>
              </w:rPr>
            </w:pPr>
            <w:r w:rsidRPr="008F6730">
              <w:rPr>
                <w:noProof/>
                <w:sz w:val="18"/>
              </w:rPr>
              <w:t>Br.</w:t>
            </w:r>
          </w:p>
        </w:tc>
        <w:tc>
          <w:tcPr>
            <w:tcW w:w="720" w:type="dxa"/>
            <w:gridSpan w:val="2"/>
            <w:tcBorders>
              <w:left w:val="dashSmallGap" w:sz="4" w:space="0" w:color="auto"/>
            </w:tcBorders>
            <w:shd w:val="pct10" w:color="auto" w:fill="auto"/>
            <w:vAlign w:val="center"/>
          </w:tcPr>
          <w:p w14:paraId="3B00E901" w14:textId="77777777" w:rsidR="000944F2" w:rsidRPr="008F6730" w:rsidRDefault="000944F2" w:rsidP="000944F2">
            <w:pPr>
              <w:jc w:val="center"/>
              <w:rPr>
                <w:noProof/>
                <w:sz w:val="18"/>
                <w:szCs w:val="18"/>
              </w:rPr>
            </w:pPr>
            <w:r w:rsidRPr="008F6730">
              <w:rPr>
                <w:noProof/>
                <w:sz w:val="18"/>
              </w:rPr>
              <w:t>Trošak</w:t>
            </w:r>
          </w:p>
        </w:tc>
        <w:tc>
          <w:tcPr>
            <w:tcW w:w="540" w:type="dxa"/>
            <w:tcBorders>
              <w:right w:val="dashSmallGap" w:sz="4" w:space="0" w:color="auto"/>
            </w:tcBorders>
            <w:shd w:val="pct10" w:color="auto" w:fill="auto"/>
            <w:textDirection w:val="btLr"/>
            <w:vAlign w:val="center"/>
          </w:tcPr>
          <w:p w14:paraId="2CF7A0EF" w14:textId="77777777" w:rsidR="000944F2" w:rsidRPr="008F6730" w:rsidRDefault="000944F2" w:rsidP="000944F2">
            <w:pPr>
              <w:ind w:left="113" w:right="113"/>
              <w:jc w:val="center"/>
              <w:rPr>
                <w:noProof/>
                <w:sz w:val="18"/>
                <w:szCs w:val="18"/>
              </w:rPr>
            </w:pPr>
            <w:r w:rsidRPr="008F6730">
              <w:rPr>
                <w:noProof/>
                <w:sz w:val="18"/>
              </w:rPr>
              <w:t>Br.</w:t>
            </w:r>
          </w:p>
        </w:tc>
        <w:tc>
          <w:tcPr>
            <w:tcW w:w="648" w:type="dxa"/>
            <w:tcBorders>
              <w:left w:val="dashSmallGap" w:sz="4" w:space="0" w:color="auto"/>
            </w:tcBorders>
            <w:shd w:val="pct10" w:color="auto" w:fill="auto"/>
            <w:vAlign w:val="center"/>
          </w:tcPr>
          <w:p w14:paraId="32E5B4EF" w14:textId="77777777" w:rsidR="000944F2" w:rsidRPr="008F6730" w:rsidRDefault="000944F2" w:rsidP="000944F2">
            <w:pPr>
              <w:jc w:val="center"/>
              <w:rPr>
                <w:noProof/>
                <w:sz w:val="18"/>
                <w:szCs w:val="18"/>
              </w:rPr>
            </w:pPr>
            <w:r w:rsidRPr="008F6730">
              <w:rPr>
                <w:noProof/>
                <w:sz w:val="18"/>
              </w:rPr>
              <w:t>Trošak</w:t>
            </w:r>
          </w:p>
        </w:tc>
        <w:tc>
          <w:tcPr>
            <w:tcW w:w="432" w:type="dxa"/>
            <w:tcBorders>
              <w:right w:val="dashSmallGap" w:sz="4" w:space="0" w:color="auto"/>
            </w:tcBorders>
            <w:shd w:val="pct10" w:color="auto" w:fill="auto"/>
            <w:textDirection w:val="btLr"/>
            <w:vAlign w:val="center"/>
          </w:tcPr>
          <w:p w14:paraId="315B12EF" w14:textId="77777777" w:rsidR="000944F2" w:rsidRPr="008F6730" w:rsidRDefault="000944F2" w:rsidP="000944F2">
            <w:pPr>
              <w:ind w:left="113" w:right="113"/>
              <w:jc w:val="center"/>
              <w:rPr>
                <w:noProof/>
                <w:sz w:val="18"/>
                <w:szCs w:val="18"/>
              </w:rPr>
            </w:pPr>
            <w:r w:rsidRPr="008F6730">
              <w:rPr>
                <w:noProof/>
                <w:sz w:val="18"/>
              </w:rPr>
              <w:t>Br.</w:t>
            </w:r>
          </w:p>
        </w:tc>
        <w:tc>
          <w:tcPr>
            <w:tcW w:w="720" w:type="dxa"/>
            <w:tcBorders>
              <w:left w:val="dashSmallGap" w:sz="4" w:space="0" w:color="auto"/>
            </w:tcBorders>
            <w:shd w:val="pct10" w:color="auto" w:fill="auto"/>
            <w:vAlign w:val="center"/>
          </w:tcPr>
          <w:p w14:paraId="0DF23A10" w14:textId="77777777" w:rsidR="000944F2" w:rsidRPr="008F6730" w:rsidRDefault="000944F2" w:rsidP="000944F2">
            <w:pPr>
              <w:jc w:val="center"/>
              <w:rPr>
                <w:noProof/>
                <w:sz w:val="18"/>
                <w:szCs w:val="18"/>
              </w:rPr>
            </w:pPr>
            <w:r w:rsidRPr="008F6730">
              <w:rPr>
                <w:noProof/>
                <w:sz w:val="18"/>
              </w:rPr>
              <w:t>Trošak</w:t>
            </w:r>
          </w:p>
        </w:tc>
        <w:tc>
          <w:tcPr>
            <w:tcW w:w="540" w:type="dxa"/>
            <w:tcBorders>
              <w:right w:val="dashSmallGap" w:sz="4" w:space="0" w:color="auto"/>
            </w:tcBorders>
            <w:shd w:val="pct10" w:color="auto" w:fill="auto"/>
            <w:textDirection w:val="btLr"/>
            <w:vAlign w:val="center"/>
          </w:tcPr>
          <w:p w14:paraId="20AA261F" w14:textId="77777777" w:rsidR="000944F2" w:rsidRPr="008F6730" w:rsidRDefault="000944F2" w:rsidP="000944F2">
            <w:pPr>
              <w:ind w:left="113" w:right="113"/>
              <w:jc w:val="center"/>
              <w:rPr>
                <w:noProof/>
                <w:sz w:val="18"/>
                <w:szCs w:val="18"/>
              </w:rPr>
            </w:pPr>
            <w:r w:rsidRPr="008F6730">
              <w:rPr>
                <w:noProof/>
                <w:sz w:val="18"/>
              </w:rPr>
              <w:t>Br.</w:t>
            </w:r>
          </w:p>
        </w:tc>
        <w:tc>
          <w:tcPr>
            <w:tcW w:w="720" w:type="dxa"/>
            <w:tcBorders>
              <w:left w:val="dashSmallGap" w:sz="4" w:space="0" w:color="auto"/>
            </w:tcBorders>
            <w:shd w:val="pct10" w:color="auto" w:fill="auto"/>
            <w:vAlign w:val="center"/>
          </w:tcPr>
          <w:p w14:paraId="3A85307B" w14:textId="77777777" w:rsidR="000944F2" w:rsidRPr="008F6730" w:rsidRDefault="000944F2" w:rsidP="000944F2">
            <w:pPr>
              <w:jc w:val="center"/>
              <w:rPr>
                <w:noProof/>
                <w:sz w:val="18"/>
                <w:szCs w:val="18"/>
              </w:rPr>
            </w:pPr>
            <w:r w:rsidRPr="008F6730">
              <w:rPr>
                <w:noProof/>
                <w:sz w:val="18"/>
              </w:rPr>
              <w:t>Trošak</w:t>
            </w:r>
          </w:p>
        </w:tc>
        <w:tc>
          <w:tcPr>
            <w:tcW w:w="720" w:type="dxa"/>
            <w:tcBorders>
              <w:right w:val="dashSmallGap" w:sz="4" w:space="0" w:color="auto"/>
            </w:tcBorders>
            <w:shd w:val="pct10" w:color="auto" w:fill="auto"/>
            <w:vAlign w:val="center"/>
          </w:tcPr>
          <w:p w14:paraId="22A1A186" w14:textId="77777777" w:rsidR="000944F2" w:rsidRPr="008F6730" w:rsidRDefault="000944F2" w:rsidP="000944F2">
            <w:pPr>
              <w:jc w:val="center"/>
              <w:rPr>
                <w:noProof/>
                <w:sz w:val="18"/>
                <w:szCs w:val="18"/>
              </w:rPr>
            </w:pPr>
            <w:r w:rsidRPr="008F6730">
              <w:rPr>
                <w:noProof/>
                <w:sz w:val="18"/>
              </w:rPr>
              <w:t>Ukupni broj</w:t>
            </w:r>
          </w:p>
        </w:tc>
        <w:tc>
          <w:tcPr>
            <w:tcW w:w="900" w:type="dxa"/>
            <w:tcBorders>
              <w:left w:val="dashSmallGap" w:sz="4" w:space="0" w:color="auto"/>
            </w:tcBorders>
            <w:shd w:val="pct10" w:color="auto" w:fill="auto"/>
            <w:vAlign w:val="center"/>
          </w:tcPr>
          <w:p w14:paraId="2DBE460E" w14:textId="77777777" w:rsidR="000944F2" w:rsidRPr="008F6730" w:rsidRDefault="000944F2" w:rsidP="000944F2">
            <w:pPr>
              <w:jc w:val="center"/>
              <w:rPr>
                <w:noProof/>
                <w:sz w:val="18"/>
                <w:szCs w:val="18"/>
              </w:rPr>
            </w:pPr>
            <w:r w:rsidRPr="008F6730">
              <w:rPr>
                <w:noProof/>
                <w:sz w:val="18"/>
              </w:rPr>
              <w:t>Ukupni trošak</w:t>
            </w:r>
          </w:p>
        </w:tc>
      </w:tr>
      <w:tr w:rsidR="000944F2" w:rsidRPr="008F6730" w14:paraId="2374E2D8" w14:textId="77777777" w:rsidTr="000944F2">
        <w:trPr>
          <w:jc w:val="center"/>
        </w:trPr>
        <w:tc>
          <w:tcPr>
            <w:tcW w:w="2844" w:type="dxa"/>
            <w:gridSpan w:val="3"/>
            <w:vAlign w:val="center"/>
          </w:tcPr>
          <w:p w14:paraId="456C57F8" w14:textId="77777777" w:rsidR="000944F2" w:rsidRPr="008F6730" w:rsidRDefault="000944F2" w:rsidP="000944F2">
            <w:pPr>
              <w:spacing w:before="60" w:after="60"/>
              <w:ind w:right="-29"/>
              <w:jc w:val="center"/>
              <w:rPr>
                <w:noProof/>
                <w:sz w:val="18"/>
                <w:szCs w:val="18"/>
              </w:rPr>
            </w:pPr>
            <w:r w:rsidRPr="008F6730">
              <w:rPr>
                <w:noProof/>
                <w:sz w:val="18"/>
              </w:rPr>
              <w:t>POSEBNI CILJ br. 1</w:t>
            </w:r>
            <w:r w:rsidRPr="008F6730">
              <w:rPr>
                <w:rStyle w:val="FootnoteReference"/>
                <w:noProof/>
                <w:sz w:val="18"/>
              </w:rPr>
              <w:footnoteReference w:id="49"/>
            </w:r>
            <w:r w:rsidRPr="008F6730">
              <w:rPr>
                <w:noProof/>
                <w:sz w:val="18"/>
              </w:rPr>
              <w:t>…</w:t>
            </w:r>
          </w:p>
        </w:tc>
        <w:tc>
          <w:tcPr>
            <w:tcW w:w="504" w:type="dxa"/>
            <w:tcBorders>
              <w:top w:val="nil"/>
              <w:left w:val="nil"/>
              <w:bottom w:val="nil"/>
              <w:right w:val="nil"/>
            </w:tcBorders>
          </w:tcPr>
          <w:p w14:paraId="687797E3" w14:textId="77777777" w:rsidR="000944F2" w:rsidRPr="008F6730" w:rsidRDefault="000944F2" w:rsidP="000944F2">
            <w:pPr>
              <w:spacing w:before="60" w:after="60"/>
              <w:ind w:right="-29"/>
              <w:jc w:val="center"/>
              <w:rPr>
                <w:noProof/>
                <w:sz w:val="18"/>
                <w:szCs w:val="18"/>
                <w:highlight w:val="yellow"/>
              </w:rPr>
            </w:pPr>
          </w:p>
        </w:tc>
        <w:tc>
          <w:tcPr>
            <w:tcW w:w="720" w:type="dxa"/>
            <w:tcBorders>
              <w:top w:val="nil"/>
              <w:left w:val="nil"/>
              <w:bottom w:val="nil"/>
              <w:right w:val="nil"/>
            </w:tcBorders>
          </w:tcPr>
          <w:p w14:paraId="4F0AD4A7" w14:textId="77777777" w:rsidR="000944F2" w:rsidRPr="008F6730" w:rsidRDefault="000944F2" w:rsidP="000944F2">
            <w:pPr>
              <w:spacing w:before="60" w:after="60"/>
              <w:ind w:right="-29"/>
              <w:jc w:val="center"/>
              <w:rPr>
                <w:noProof/>
                <w:sz w:val="18"/>
                <w:szCs w:val="18"/>
                <w:highlight w:val="yellow"/>
              </w:rPr>
            </w:pPr>
          </w:p>
        </w:tc>
        <w:tc>
          <w:tcPr>
            <w:tcW w:w="540" w:type="dxa"/>
            <w:tcBorders>
              <w:top w:val="nil"/>
              <w:left w:val="nil"/>
              <w:bottom w:val="nil"/>
              <w:right w:val="nil"/>
            </w:tcBorders>
          </w:tcPr>
          <w:p w14:paraId="6D8CE7CD" w14:textId="77777777" w:rsidR="000944F2" w:rsidRPr="008F6730" w:rsidRDefault="000944F2" w:rsidP="000944F2">
            <w:pPr>
              <w:spacing w:before="60" w:after="60"/>
              <w:ind w:right="-29"/>
              <w:jc w:val="center"/>
              <w:rPr>
                <w:noProof/>
                <w:sz w:val="18"/>
                <w:szCs w:val="18"/>
                <w:highlight w:val="yellow"/>
              </w:rPr>
            </w:pPr>
          </w:p>
        </w:tc>
        <w:tc>
          <w:tcPr>
            <w:tcW w:w="720" w:type="dxa"/>
            <w:tcBorders>
              <w:top w:val="nil"/>
              <w:left w:val="nil"/>
              <w:bottom w:val="nil"/>
              <w:right w:val="nil"/>
            </w:tcBorders>
          </w:tcPr>
          <w:p w14:paraId="51A59B35" w14:textId="77777777" w:rsidR="000944F2" w:rsidRPr="008F6730" w:rsidRDefault="000944F2" w:rsidP="000944F2">
            <w:pPr>
              <w:spacing w:before="60" w:after="60"/>
              <w:ind w:right="-29"/>
              <w:jc w:val="center"/>
              <w:rPr>
                <w:noProof/>
                <w:sz w:val="18"/>
                <w:szCs w:val="18"/>
                <w:highlight w:val="yellow"/>
              </w:rPr>
            </w:pPr>
          </w:p>
        </w:tc>
        <w:tc>
          <w:tcPr>
            <w:tcW w:w="720" w:type="dxa"/>
            <w:tcBorders>
              <w:top w:val="nil"/>
              <w:left w:val="nil"/>
              <w:bottom w:val="nil"/>
              <w:right w:val="nil"/>
            </w:tcBorders>
          </w:tcPr>
          <w:p w14:paraId="59402448" w14:textId="77777777" w:rsidR="000944F2" w:rsidRPr="008F6730" w:rsidRDefault="000944F2" w:rsidP="000944F2">
            <w:pPr>
              <w:spacing w:before="60" w:after="60"/>
              <w:ind w:right="-29"/>
              <w:jc w:val="center"/>
              <w:rPr>
                <w:noProof/>
                <w:sz w:val="18"/>
                <w:szCs w:val="18"/>
                <w:highlight w:val="yellow"/>
              </w:rPr>
            </w:pPr>
          </w:p>
        </w:tc>
        <w:tc>
          <w:tcPr>
            <w:tcW w:w="720" w:type="dxa"/>
            <w:tcBorders>
              <w:top w:val="nil"/>
              <w:left w:val="nil"/>
              <w:bottom w:val="nil"/>
              <w:right w:val="nil"/>
            </w:tcBorders>
          </w:tcPr>
          <w:p w14:paraId="0CBCCACE" w14:textId="77777777" w:rsidR="000944F2" w:rsidRPr="008F6730" w:rsidRDefault="000944F2" w:rsidP="000944F2">
            <w:pPr>
              <w:spacing w:before="60" w:after="60"/>
              <w:ind w:right="-29"/>
              <w:jc w:val="center"/>
              <w:rPr>
                <w:noProof/>
                <w:sz w:val="18"/>
                <w:szCs w:val="18"/>
                <w:highlight w:val="yellow"/>
              </w:rPr>
            </w:pPr>
          </w:p>
        </w:tc>
        <w:tc>
          <w:tcPr>
            <w:tcW w:w="900" w:type="dxa"/>
            <w:tcBorders>
              <w:top w:val="nil"/>
              <w:left w:val="nil"/>
              <w:bottom w:val="nil"/>
              <w:right w:val="nil"/>
            </w:tcBorders>
          </w:tcPr>
          <w:p w14:paraId="41BD02D9" w14:textId="77777777" w:rsidR="000944F2" w:rsidRPr="008F6730" w:rsidRDefault="000944F2" w:rsidP="000944F2">
            <w:pPr>
              <w:spacing w:before="60" w:after="60"/>
              <w:ind w:right="-29"/>
              <w:jc w:val="center"/>
              <w:rPr>
                <w:noProof/>
                <w:sz w:val="18"/>
                <w:szCs w:val="18"/>
                <w:highlight w:val="yellow"/>
              </w:rPr>
            </w:pPr>
          </w:p>
        </w:tc>
        <w:tc>
          <w:tcPr>
            <w:tcW w:w="720" w:type="dxa"/>
            <w:gridSpan w:val="2"/>
            <w:tcBorders>
              <w:top w:val="nil"/>
              <w:left w:val="nil"/>
              <w:bottom w:val="nil"/>
              <w:right w:val="nil"/>
            </w:tcBorders>
          </w:tcPr>
          <w:p w14:paraId="0B2319A6" w14:textId="77777777" w:rsidR="000944F2" w:rsidRPr="008F6730" w:rsidRDefault="000944F2" w:rsidP="000944F2">
            <w:pPr>
              <w:spacing w:before="60" w:after="60"/>
              <w:ind w:right="-29"/>
              <w:jc w:val="center"/>
              <w:rPr>
                <w:noProof/>
                <w:sz w:val="18"/>
                <w:szCs w:val="18"/>
                <w:highlight w:val="yellow"/>
              </w:rPr>
            </w:pPr>
          </w:p>
        </w:tc>
        <w:tc>
          <w:tcPr>
            <w:tcW w:w="540" w:type="dxa"/>
            <w:tcBorders>
              <w:top w:val="nil"/>
              <w:left w:val="nil"/>
              <w:bottom w:val="nil"/>
              <w:right w:val="nil"/>
            </w:tcBorders>
          </w:tcPr>
          <w:p w14:paraId="5C9BAE79" w14:textId="77777777" w:rsidR="000944F2" w:rsidRPr="008F6730" w:rsidRDefault="000944F2" w:rsidP="000944F2">
            <w:pPr>
              <w:spacing w:before="60" w:after="60"/>
              <w:ind w:right="-29"/>
              <w:jc w:val="center"/>
              <w:rPr>
                <w:noProof/>
                <w:sz w:val="18"/>
                <w:szCs w:val="18"/>
                <w:highlight w:val="yellow"/>
              </w:rPr>
            </w:pPr>
          </w:p>
        </w:tc>
        <w:tc>
          <w:tcPr>
            <w:tcW w:w="648" w:type="dxa"/>
            <w:tcBorders>
              <w:top w:val="nil"/>
              <w:left w:val="nil"/>
              <w:bottom w:val="nil"/>
              <w:right w:val="nil"/>
            </w:tcBorders>
          </w:tcPr>
          <w:p w14:paraId="5B81487F" w14:textId="77777777" w:rsidR="000944F2" w:rsidRPr="008F6730" w:rsidRDefault="000944F2" w:rsidP="000944F2">
            <w:pPr>
              <w:spacing w:before="60" w:after="60"/>
              <w:ind w:right="-29"/>
              <w:jc w:val="center"/>
              <w:rPr>
                <w:noProof/>
                <w:sz w:val="18"/>
                <w:szCs w:val="18"/>
                <w:highlight w:val="yellow"/>
              </w:rPr>
            </w:pPr>
          </w:p>
        </w:tc>
        <w:tc>
          <w:tcPr>
            <w:tcW w:w="432" w:type="dxa"/>
            <w:tcBorders>
              <w:top w:val="nil"/>
              <w:left w:val="nil"/>
              <w:bottom w:val="nil"/>
              <w:right w:val="nil"/>
            </w:tcBorders>
          </w:tcPr>
          <w:p w14:paraId="09C72999" w14:textId="77777777" w:rsidR="000944F2" w:rsidRPr="008F6730" w:rsidRDefault="000944F2" w:rsidP="000944F2">
            <w:pPr>
              <w:spacing w:before="60" w:after="60"/>
              <w:ind w:right="-29"/>
              <w:jc w:val="center"/>
              <w:rPr>
                <w:noProof/>
                <w:sz w:val="18"/>
                <w:szCs w:val="18"/>
                <w:highlight w:val="yellow"/>
              </w:rPr>
            </w:pPr>
          </w:p>
        </w:tc>
        <w:tc>
          <w:tcPr>
            <w:tcW w:w="720" w:type="dxa"/>
            <w:tcBorders>
              <w:top w:val="nil"/>
              <w:left w:val="nil"/>
              <w:bottom w:val="nil"/>
              <w:right w:val="nil"/>
            </w:tcBorders>
          </w:tcPr>
          <w:p w14:paraId="389396EB" w14:textId="77777777" w:rsidR="000944F2" w:rsidRPr="008F6730" w:rsidRDefault="000944F2" w:rsidP="000944F2">
            <w:pPr>
              <w:spacing w:before="60" w:after="60"/>
              <w:ind w:right="-29"/>
              <w:jc w:val="center"/>
              <w:rPr>
                <w:noProof/>
                <w:sz w:val="18"/>
                <w:szCs w:val="18"/>
                <w:highlight w:val="yellow"/>
              </w:rPr>
            </w:pPr>
          </w:p>
        </w:tc>
        <w:tc>
          <w:tcPr>
            <w:tcW w:w="540" w:type="dxa"/>
            <w:tcBorders>
              <w:top w:val="nil"/>
              <w:left w:val="nil"/>
              <w:bottom w:val="nil"/>
              <w:right w:val="nil"/>
            </w:tcBorders>
          </w:tcPr>
          <w:p w14:paraId="11118207" w14:textId="77777777" w:rsidR="000944F2" w:rsidRPr="008F6730" w:rsidRDefault="000944F2" w:rsidP="000944F2">
            <w:pPr>
              <w:spacing w:before="60" w:after="60"/>
              <w:ind w:right="-29"/>
              <w:jc w:val="center"/>
              <w:rPr>
                <w:noProof/>
                <w:sz w:val="18"/>
                <w:szCs w:val="18"/>
                <w:highlight w:val="yellow"/>
              </w:rPr>
            </w:pPr>
          </w:p>
        </w:tc>
        <w:tc>
          <w:tcPr>
            <w:tcW w:w="720" w:type="dxa"/>
            <w:tcBorders>
              <w:top w:val="nil"/>
              <w:left w:val="nil"/>
              <w:bottom w:val="nil"/>
              <w:right w:val="nil"/>
            </w:tcBorders>
          </w:tcPr>
          <w:p w14:paraId="67B5F30C" w14:textId="77777777" w:rsidR="000944F2" w:rsidRPr="008F6730" w:rsidRDefault="000944F2" w:rsidP="000944F2">
            <w:pPr>
              <w:spacing w:before="60" w:after="60"/>
              <w:ind w:right="-29"/>
              <w:jc w:val="center"/>
              <w:rPr>
                <w:noProof/>
                <w:sz w:val="18"/>
                <w:szCs w:val="18"/>
                <w:highlight w:val="yellow"/>
              </w:rPr>
            </w:pPr>
          </w:p>
        </w:tc>
        <w:tc>
          <w:tcPr>
            <w:tcW w:w="720" w:type="dxa"/>
            <w:tcBorders>
              <w:top w:val="nil"/>
              <w:left w:val="nil"/>
              <w:bottom w:val="nil"/>
              <w:right w:val="nil"/>
            </w:tcBorders>
          </w:tcPr>
          <w:p w14:paraId="4A3A0F84" w14:textId="77777777" w:rsidR="000944F2" w:rsidRPr="008F6730" w:rsidRDefault="000944F2" w:rsidP="000944F2">
            <w:pPr>
              <w:spacing w:before="60" w:after="60"/>
              <w:ind w:right="-29"/>
              <w:jc w:val="center"/>
              <w:rPr>
                <w:noProof/>
                <w:sz w:val="18"/>
                <w:szCs w:val="18"/>
                <w:highlight w:val="yellow"/>
              </w:rPr>
            </w:pPr>
          </w:p>
        </w:tc>
        <w:tc>
          <w:tcPr>
            <w:tcW w:w="900" w:type="dxa"/>
            <w:tcBorders>
              <w:top w:val="nil"/>
              <w:left w:val="nil"/>
              <w:bottom w:val="nil"/>
              <w:right w:val="nil"/>
            </w:tcBorders>
          </w:tcPr>
          <w:p w14:paraId="307213F8" w14:textId="77777777" w:rsidR="000944F2" w:rsidRPr="008F6730" w:rsidRDefault="000944F2" w:rsidP="000944F2">
            <w:pPr>
              <w:spacing w:before="60" w:after="60"/>
              <w:ind w:right="-29"/>
              <w:jc w:val="center"/>
              <w:rPr>
                <w:noProof/>
                <w:sz w:val="18"/>
                <w:szCs w:val="18"/>
                <w:highlight w:val="yellow"/>
              </w:rPr>
            </w:pPr>
          </w:p>
        </w:tc>
      </w:tr>
      <w:tr w:rsidR="000944F2" w:rsidRPr="008F6730" w14:paraId="36CBD05B" w14:textId="77777777" w:rsidTr="000944F2">
        <w:trPr>
          <w:trHeight w:hRule="exact" w:val="369"/>
          <w:jc w:val="center"/>
        </w:trPr>
        <w:tc>
          <w:tcPr>
            <w:tcW w:w="1423" w:type="dxa"/>
          </w:tcPr>
          <w:p w14:paraId="562F3276" w14:textId="77777777" w:rsidR="000944F2" w:rsidRPr="008F6730" w:rsidRDefault="000944F2" w:rsidP="000944F2">
            <w:pPr>
              <w:ind w:right="-29"/>
              <w:jc w:val="center"/>
              <w:rPr>
                <w:noProof/>
                <w:sz w:val="18"/>
                <w:szCs w:val="18"/>
              </w:rPr>
            </w:pPr>
            <w:r w:rsidRPr="008F6730">
              <w:rPr>
                <w:noProof/>
                <w:sz w:val="18"/>
              </w:rPr>
              <w:t>– Rezultat</w:t>
            </w:r>
          </w:p>
        </w:tc>
        <w:tc>
          <w:tcPr>
            <w:tcW w:w="720" w:type="dxa"/>
          </w:tcPr>
          <w:p w14:paraId="6BAFC955" w14:textId="77777777" w:rsidR="000944F2" w:rsidRPr="008F6730" w:rsidRDefault="000944F2" w:rsidP="000944F2">
            <w:pPr>
              <w:ind w:right="-29"/>
              <w:jc w:val="center"/>
              <w:rPr>
                <w:noProof/>
                <w:sz w:val="18"/>
                <w:szCs w:val="18"/>
              </w:rPr>
            </w:pPr>
          </w:p>
        </w:tc>
        <w:tc>
          <w:tcPr>
            <w:tcW w:w="701" w:type="dxa"/>
          </w:tcPr>
          <w:p w14:paraId="51CBB45E" w14:textId="77777777" w:rsidR="000944F2" w:rsidRPr="008F6730" w:rsidRDefault="000944F2" w:rsidP="000944F2">
            <w:pPr>
              <w:ind w:right="-29"/>
              <w:jc w:val="center"/>
              <w:rPr>
                <w:noProof/>
                <w:sz w:val="18"/>
                <w:szCs w:val="18"/>
              </w:rPr>
            </w:pPr>
          </w:p>
        </w:tc>
        <w:tc>
          <w:tcPr>
            <w:tcW w:w="504" w:type="dxa"/>
            <w:tcBorders>
              <w:right w:val="dashSmallGap" w:sz="4" w:space="0" w:color="auto"/>
            </w:tcBorders>
          </w:tcPr>
          <w:p w14:paraId="0ED368F9" w14:textId="77777777" w:rsidR="000944F2" w:rsidRPr="008F6730" w:rsidRDefault="000944F2" w:rsidP="000944F2">
            <w:pPr>
              <w:ind w:right="-29"/>
              <w:jc w:val="center"/>
              <w:rPr>
                <w:noProof/>
                <w:sz w:val="18"/>
                <w:szCs w:val="18"/>
                <w:highlight w:val="yellow"/>
              </w:rPr>
            </w:pPr>
          </w:p>
        </w:tc>
        <w:tc>
          <w:tcPr>
            <w:tcW w:w="720" w:type="dxa"/>
            <w:tcBorders>
              <w:left w:val="dashSmallGap" w:sz="4" w:space="0" w:color="auto"/>
            </w:tcBorders>
          </w:tcPr>
          <w:p w14:paraId="5F6EBE5F" w14:textId="77777777" w:rsidR="000944F2" w:rsidRPr="008F6730" w:rsidRDefault="000944F2" w:rsidP="000944F2">
            <w:pPr>
              <w:ind w:right="-29"/>
              <w:jc w:val="center"/>
              <w:rPr>
                <w:noProof/>
                <w:sz w:val="18"/>
                <w:szCs w:val="18"/>
                <w:highlight w:val="yellow"/>
              </w:rPr>
            </w:pPr>
          </w:p>
        </w:tc>
        <w:tc>
          <w:tcPr>
            <w:tcW w:w="540" w:type="dxa"/>
            <w:tcBorders>
              <w:right w:val="dashSmallGap" w:sz="4" w:space="0" w:color="auto"/>
            </w:tcBorders>
          </w:tcPr>
          <w:p w14:paraId="368A18E8" w14:textId="77777777" w:rsidR="000944F2" w:rsidRPr="008F6730" w:rsidRDefault="000944F2" w:rsidP="000944F2">
            <w:pPr>
              <w:ind w:right="-29"/>
              <w:jc w:val="center"/>
              <w:rPr>
                <w:noProof/>
                <w:sz w:val="18"/>
                <w:szCs w:val="18"/>
                <w:highlight w:val="yellow"/>
              </w:rPr>
            </w:pPr>
          </w:p>
        </w:tc>
        <w:tc>
          <w:tcPr>
            <w:tcW w:w="720" w:type="dxa"/>
            <w:tcBorders>
              <w:left w:val="dashSmallGap" w:sz="4" w:space="0" w:color="auto"/>
            </w:tcBorders>
          </w:tcPr>
          <w:p w14:paraId="6AEA4050" w14:textId="77777777" w:rsidR="000944F2" w:rsidRPr="008F6730" w:rsidRDefault="000944F2" w:rsidP="000944F2">
            <w:pPr>
              <w:ind w:right="-29"/>
              <w:jc w:val="center"/>
              <w:rPr>
                <w:noProof/>
                <w:sz w:val="18"/>
                <w:szCs w:val="18"/>
                <w:highlight w:val="yellow"/>
              </w:rPr>
            </w:pPr>
          </w:p>
        </w:tc>
        <w:tc>
          <w:tcPr>
            <w:tcW w:w="720" w:type="dxa"/>
            <w:tcBorders>
              <w:right w:val="dashSmallGap" w:sz="4" w:space="0" w:color="auto"/>
            </w:tcBorders>
          </w:tcPr>
          <w:p w14:paraId="37B23A91" w14:textId="77777777" w:rsidR="000944F2" w:rsidRPr="008F6730" w:rsidRDefault="000944F2" w:rsidP="000944F2">
            <w:pPr>
              <w:ind w:right="-29"/>
              <w:jc w:val="center"/>
              <w:rPr>
                <w:noProof/>
                <w:sz w:val="18"/>
                <w:szCs w:val="18"/>
                <w:highlight w:val="yellow"/>
              </w:rPr>
            </w:pPr>
          </w:p>
        </w:tc>
        <w:tc>
          <w:tcPr>
            <w:tcW w:w="720" w:type="dxa"/>
            <w:tcBorders>
              <w:left w:val="dashSmallGap" w:sz="4" w:space="0" w:color="auto"/>
            </w:tcBorders>
          </w:tcPr>
          <w:p w14:paraId="4B7DB01B" w14:textId="77777777" w:rsidR="000944F2" w:rsidRPr="008F6730" w:rsidRDefault="000944F2" w:rsidP="000944F2">
            <w:pPr>
              <w:ind w:right="-29"/>
              <w:jc w:val="center"/>
              <w:rPr>
                <w:noProof/>
                <w:sz w:val="18"/>
                <w:szCs w:val="18"/>
                <w:highlight w:val="yellow"/>
              </w:rPr>
            </w:pPr>
          </w:p>
        </w:tc>
        <w:tc>
          <w:tcPr>
            <w:tcW w:w="900" w:type="dxa"/>
            <w:tcBorders>
              <w:right w:val="dashSmallGap" w:sz="4" w:space="0" w:color="auto"/>
            </w:tcBorders>
          </w:tcPr>
          <w:p w14:paraId="2FD9D713" w14:textId="77777777" w:rsidR="000944F2" w:rsidRPr="008F6730" w:rsidRDefault="000944F2" w:rsidP="000944F2">
            <w:pPr>
              <w:ind w:right="-29"/>
              <w:jc w:val="center"/>
              <w:rPr>
                <w:noProof/>
                <w:sz w:val="18"/>
                <w:szCs w:val="18"/>
                <w:highlight w:val="yellow"/>
              </w:rPr>
            </w:pPr>
          </w:p>
        </w:tc>
        <w:tc>
          <w:tcPr>
            <w:tcW w:w="720" w:type="dxa"/>
            <w:gridSpan w:val="2"/>
            <w:tcBorders>
              <w:left w:val="dashSmallGap" w:sz="4" w:space="0" w:color="auto"/>
            </w:tcBorders>
          </w:tcPr>
          <w:p w14:paraId="531CB085" w14:textId="77777777" w:rsidR="000944F2" w:rsidRPr="008F6730" w:rsidRDefault="000944F2" w:rsidP="000944F2">
            <w:pPr>
              <w:ind w:right="-29"/>
              <w:jc w:val="center"/>
              <w:rPr>
                <w:noProof/>
                <w:sz w:val="18"/>
                <w:szCs w:val="18"/>
                <w:highlight w:val="yellow"/>
              </w:rPr>
            </w:pPr>
          </w:p>
        </w:tc>
        <w:tc>
          <w:tcPr>
            <w:tcW w:w="540" w:type="dxa"/>
            <w:tcBorders>
              <w:right w:val="dashSmallGap" w:sz="4" w:space="0" w:color="auto"/>
            </w:tcBorders>
          </w:tcPr>
          <w:p w14:paraId="0EACB623" w14:textId="77777777" w:rsidR="000944F2" w:rsidRPr="008F6730" w:rsidRDefault="000944F2" w:rsidP="000944F2">
            <w:pPr>
              <w:ind w:right="-29"/>
              <w:jc w:val="center"/>
              <w:rPr>
                <w:noProof/>
                <w:sz w:val="18"/>
                <w:szCs w:val="18"/>
                <w:highlight w:val="yellow"/>
              </w:rPr>
            </w:pPr>
          </w:p>
        </w:tc>
        <w:tc>
          <w:tcPr>
            <w:tcW w:w="648" w:type="dxa"/>
            <w:tcBorders>
              <w:left w:val="dashSmallGap" w:sz="4" w:space="0" w:color="auto"/>
            </w:tcBorders>
          </w:tcPr>
          <w:p w14:paraId="12D40BB3" w14:textId="77777777" w:rsidR="000944F2" w:rsidRPr="008F6730" w:rsidRDefault="000944F2" w:rsidP="000944F2">
            <w:pPr>
              <w:ind w:right="-29"/>
              <w:jc w:val="center"/>
              <w:rPr>
                <w:noProof/>
                <w:sz w:val="18"/>
                <w:szCs w:val="18"/>
                <w:highlight w:val="yellow"/>
              </w:rPr>
            </w:pPr>
          </w:p>
        </w:tc>
        <w:tc>
          <w:tcPr>
            <w:tcW w:w="432" w:type="dxa"/>
            <w:tcBorders>
              <w:right w:val="dashSmallGap" w:sz="4" w:space="0" w:color="auto"/>
            </w:tcBorders>
          </w:tcPr>
          <w:p w14:paraId="6BD1813B" w14:textId="77777777" w:rsidR="000944F2" w:rsidRPr="008F6730" w:rsidRDefault="000944F2" w:rsidP="000944F2">
            <w:pPr>
              <w:ind w:right="-29"/>
              <w:jc w:val="center"/>
              <w:rPr>
                <w:noProof/>
                <w:sz w:val="18"/>
                <w:szCs w:val="18"/>
                <w:highlight w:val="yellow"/>
              </w:rPr>
            </w:pPr>
          </w:p>
        </w:tc>
        <w:tc>
          <w:tcPr>
            <w:tcW w:w="720" w:type="dxa"/>
            <w:tcBorders>
              <w:left w:val="dashSmallGap" w:sz="4" w:space="0" w:color="auto"/>
            </w:tcBorders>
          </w:tcPr>
          <w:p w14:paraId="5F579EE8" w14:textId="77777777" w:rsidR="000944F2" w:rsidRPr="008F6730" w:rsidRDefault="000944F2" w:rsidP="000944F2">
            <w:pPr>
              <w:ind w:right="-29"/>
              <w:jc w:val="center"/>
              <w:rPr>
                <w:noProof/>
                <w:sz w:val="18"/>
                <w:szCs w:val="18"/>
                <w:highlight w:val="yellow"/>
              </w:rPr>
            </w:pPr>
          </w:p>
        </w:tc>
        <w:tc>
          <w:tcPr>
            <w:tcW w:w="540" w:type="dxa"/>
            <w:tcBorders>
              <w:right w:val="dashSmallGap" w:sz="4" w:space="0" w:color="auto"/>
            </w:tcBorders>
          </w:tcPr>
          <w:p w14:paraId="3F780877" w14:textId="77777777" w:rsidR="000944F2" w:rsidRPr="008F6730" w:rsidRDefault="000944F2" w:rsidP="000944F2">
            <w:pPr>
              <w:ind w:right="-29"/>
              <w:jc w:val="center"/>
              <w:rPr>
                <w:noProof/>
                <w:sz w:val="18"/>
                <w:szCs w:val="18"/>
                <w:highlight w:val="yellow"/>
              </w:rPr>
            </w:pPr>
          </w:p>
        </w:tc>
        <w:tc>
          <w:tcPr>
            <w:tcW w:w="720" w:type="dxa"/>
            <w:tcBorders>
              <w:left w:val="dashSmallGap" w:sz="4" w:space="0" w:color="auto"/>
            </w:tcBorders>
          </w:tcPr>
          <w:p w14:paraId="7AE9A36E" w14:textId="77777777" w:rsidR="000944F2" w:rsidRPr="008F6730" w:rsidRDefault="000944F2" w:rsidP="000944F2">
            <w:pPr>
              <w:ind w:right="-29"/>
              <w:jc w:val="center"/>
              <w:rPr>
                <w:noProof/>
                <w:sz w:val="18"/>
                <w:szCs w:val="18"/>
                <w:highlight w:val="yellow"/>
              </w:rPr>
            </w:pPr>
          </w:p>
        </w:tc>
        <w:tc>
          <w:tcPr>
            <w:tcW w:w="720" w:type="dxa"/>
          </w:tcPr>
          <w:p w14:paraId="702FA9DF" w14:textId="77777777" w:rsidR="000944F2" w:rsidRPr="008F6730" w:rsidRDefault="000944F2" w:rsidP="000944F2">
            <w:pPr>
              <w:ind w:right="-29"/>
              <w:jc w:val="center"/>
              <w:rPr>
                <w:noProof/>
                <w:sz w:val="18"/>
                <w:szCs w:val="18"/>
                <w:highlight w:val="yellow"/>
              </w:rPr>
            </w:pPr>
          </w:p>
        </w:tc>
        <w:tc>
          <w:tcPr>
            <w:tcW w:w="900" w:type="dxa"/>
          </w:tcPr>
          <w:p w14:paraId="6F94B40A" w14:textId="77777777" w:rsidR="000944F2" w:rsidRPr="008F6730" w:rsidRDefault="000944F2" w:rsidP="000944F2">
            <w:pPr>
              <w:ind w:right="-29"/>
              <w:jc w:val="center"/>
              <w:rPr>
                <w:noProof/>
                <w:sz w:val="18"/>
                <w:szCs w:val="18"/>
                <w:highlight w:val="yellow"/>
              </w:rPr>
            </w:pPr>
          </w:p>
        </w:tc>
      </w:tr>
      <w:tr w:rsidR="000944F2" w:rsidRPr="008F6730" w14:paraId="075471B6" w14:textId="77777777" w:rsidTr="000944F2">
        <w:trPr>
          <w:trHeight w:hRule="exact" w:val="369"/>
          <w:jc w:val="center"/>
        </w:trPr>
        <w:tc>
          <w:tcPr>
            <w:tcW w:w="1423" w:type="dxa"/>
          </w:tcPr>
          <w:p w14:paraId="4404FC1D" w14:textId="77777777" w:rsidR="000944F2" w:rsidRPr="008F6730" w:rsidRDefault="000944F2" w:rsidP="000944F2">
            <w:pPr>
              <w:ind w:right="-29"/>
              <w:jc w:val="center"/>
              <w:rPr>
                <w:noProof/>
                <w:sz w:val="18"/>
                <w:szCs w:val="18"/>
              </w:rPr>
            </w:pPr>
            <w:r w:rsidRPr="008F6730">
              <w:rPr>
                <w:noProof/>
                <w:sz w:val="18"/>
              </w:rPr>
              <w:t>– Rezultat</w:t>
            </w:r>
          </w:p>
        </w:tc>
        <w:tc>
          <w:tcPr>
            <w:tcW w:w="720" w:type="dxa"/>
          </w:tcPr>
          <w:p w14:paraId="0E48C233" w14:textId="77777777" w:rsidR="000944F2" w:rsidRPr="008F6730" w:rsidRDefault="000944F2" w:rsidP="000944F2">
            <w:pPr>
              <w:ind w:right="-29"/>
              <w:jc w:val="center"/>
              <w:rPr>
                <w:noProof/>
                <w:sz w:val="18"/>
                <w:szCs w:val="18"/>
              </w:rPr>
            </w:pPr>
          </w:p>
        </w:tc>
        <w:tc>
          <w:tcPr>
            <w:tcW w:w="701" w:type="dxa"/>
          </w:tcPr>
          <w:p w14:paraId="184ED3F4" w14:textId="77777777" w:rsidR="000944F2" w:rsidRPr="008F6730" w:rsidRDefault="000944F2" w:rsidP="000944F2">
            <w:pPr>
              <w:ind w:right="-29"/>
              <w:jc w:val="center"/>
              <w:rPr>
                <w:noProof/>
                <w:sz w:val="18"/>
                <w:szCs w:val="18"/>
              </w:rPr>
            </w:pPr>
          </w:p>
        </w:tc>
        <w:tc>
          <w:tcPr>
            <w:tcW w:w="504" w:type="dxa"/>
            <w:tcBorders>
              <w:right w:val="dashSmallGap" w:sz="4" w:space="0" w:color="auto"/>
            </w:tcBorders>
          </w:tcPr>
          <w:p w14:paraId="2325FEAD" w14:textId="77777777" w:rsidR="000944F2" w:rsidRPr="008F6730" w:rsidRDefault="000944F2" w:rsidP="000944F2">
            <w:pPr>
              <w:ind w:right="-29"/>
              <w:jc w:val="center"/>
              <w:rPr>
                <w:noProof/>
                <w:sz w:val="18"/>
                <w:szCs w:val="18"/>
                <w:highlight w:val="yellow"/>
              </w:rPr>
            </w:pPr>
          </w:p>
        </w:tc>
        <w:tc>
          <w:tcPr>
            <w:tcW w:w="720" w:type="dxa"/>
            <w:tcBorders>
              <w:left w:val="dashSmallGap" w:sz="4" w:space="0" w:color="auto"/>
            </w:tcBorders>
          </w:tcPr>
          <w:p w14:paraId="03A7EDD2" w14:textId="77777777" w:rsidR="000944F2" w:rsidRPr="008F6730" w:rsidRDefault="000944F2" w:rsidP="000944F2">
            <w:pPr>
              <w:ind w:right="-29"/>
              <w:jc w:val="center"/>
              <w:rPr>
                <w:noProof/>
                <w:sz w:val="18"/>
                <w:szCs w:val="18"/>
                <w:highlight w:val="yellow"/>
              </w:rPr>
            </w:pPr>
          </w:p>
        </w:tc>
        <w:tc>
          <w:tcPr>
            <w:tcW w:w="540" w:type="dxa"/>
            <w:tcBorders>
              <w:right w:val="dashSmallGap" w:sz="4" w:space="0" w:color="auto"/>
            </w:tcBorders>
          </w:tcPr>
          <w:p w14:paraId="5C5B42E4" w14:textId="77777777" w:rsidR="000944F2" w:rsidRPr="008F6730" w:rsidRDefault="000944F2" w:rsidP="000944F2">
            <w:pPr>
              <w:ind w:right="-29"/>
              <w:jc w:val="center"/>
              <w:rPr>
                <w:noProof/>
                <w:sz w:val="18"/>
                <w:szCs w:val="18"/>
                <w:highlight w:val="yellow"/>
              </w:rPr>
            </w:pPr>
          </w:p>
        </w:tc>
        <w:tc>
          <w:tcPr>
            <w:tcW w:w="720" w:type="dxa"/>
            <w:tcBorders>
              <w:left w:val="dashSmallGap" w:sz="4" w:space="0" w:color="auto"/>
            </w:tcBorders>
          </w:tcPr>
          <w:p w14:paraId="3422081C" w14:textId="77777777" w:rsidR="000944F2" w:rsidRPr="008F6730" w:rsidRDefault="000944F2" w:rsidP="000944F2">
            <w:pPr>
              <w:ind w:right="-29"/>
              <w:jc w:val="center"/>
              <w:rPr>
                <w:noProof/>
                <w:sz w:val="18"/>
                <w:szCs w:val="18"/>
                <w:highlight w:val="yellow"/>
              </w:rPr>
            </w:pPr>
          </w:p>
        </w:tc>
        <w:tc>
          <w:tcPr>
            <w:tcW w:w="720" w:type="dxa"/>
            <w:tcBorders>
              <w:right w:val="dashSmallGap" w:sz="4" w:space="0" w:color="auto"/>
            </w:tcBorders>
          </w:tcPr>
          <w:p w14:paraId="189DE780" w14:textId="77777777" w:rsidR="000944F2" w:rsidRPr="008F6730" w:rsidRDefault="000944F2" w:rsidP="000944F2">
            <w:pPr>
              <w:ind w:right="-29"/>
              <w:jc w:val="center"/>
              <w:rPr>
                <w:noProof/>
                <w:sz w:val="18"/>
                <w:szCs w:val="18"/>
                <w:highlight w:val="yellow"/>
              </w:rPr>
            </w:pPr>
          </w:p>
        </w:tc>
        <w:tc>
          <w:tcPr>
            <w:tcW w:w="720" w:type="dxa"/>
            <w:tcBorders>
              <w:left w:val="dashSmallGap" w:sz="4" w:space="0" w:color="auto"/>
            </w:tcBorders>
          </w:tcPr>
          <w:p w14:paraId="7CC6DE5B" w14:textId="77777777" w:rsidR="000944F2" w:rsidRPr="008F6730" w:rsidRDefault="000944F2" w:rsidP="000944F2">
            <w:pPr>
              <w:ind w:right="-29"/>
              <w:jc w:val="center"/>
              <w:rPr>
                <w:noProof/>
                <w:sz w:val="18"/>
                <w:szCs w:val="18"/>
                <w:highlight w:val="yellow"/>
              </w:rPr>
            </w:pPr>
          </w:p>
        </w:tc>
        <w:tc>
          <w:tcPr>
            <w:tcW w:w="900" w:type="dxa"/>
            <w:tcBorders>
              <w:right w:val="dashSmallGap" w:sz="4" w:space="0" w:color="auto"/>
            </w:tcBorders>
          </w:tcPr>
          <w:p w14:paraId="744D467C" w14:textId="77777777" w:rsidR="000944F2" w:rsidRPr="008F6730" w:rsidRDefault="000944F2" w:rsidP="000944F2">
            <w:pPr>
              <w:ind w:right="-29"/>
              <w:jc w:val="center"/>
              <w:rPr>
                <w:noProof/>
                <w:sz w:val="18"/>
                <w:szCs w:val="18"/>
                <w:highlight w:val="yellow"/>
              </w:rPr>
            </w:pPr>
          </w:p>
        </w:tc>
        <w:tc>
          <w:tcPr>
            <w:tcW w:w="720" w:type="dxa"/>
            <w:gridSpan w:val="2"/>
            <w:tcBorders>
              <w:left w:val="dashSmallGap" w:sz="4" w:space="0" w:color="auto"/>
            </w:tcBorders>
          </w:tcPr>
          <w:p w14:paraId="539605F2" w14:textId="77777777" w:rsidR="000944F2" w:rsidRPr="008F6730" w:rsidRDefault="000944F2" w:rsidP="000944F2">
            <w:pPr>
              <w:ind w:right="-29"/>
              <w:jc w:val="center"/>
              <w:rPr>
                <w:noProof/>
                <w:sz w:val="18"/>
                <w:szCs w:val="18"/>
                <w:highlight w:val="yellow"/>
              </w:rPr>
            </w:pPr>
          </w:p>
        </w:tc>
        <w:tc>
          <w:tcPr>
            <w:tcW w:w="540" w:type="dxa"/>
            <w:tcBorders>
              <w:right w:val="dashSmallGap" w:sz="4" w:space="0" w:color="auto"/>
            </w:tcBorders>
          </w:tcPr>
          <w:p w14:paraId="3D6EFB57" w14:textId="77777777" w:rsidR="000944F2" w:rsidRPr="008F6730" w:rsidRDefault="000944F2" w:rsidP="000944F2">
            <w:pPr>
              <w:ind w:right="-29"/>
              <w:jc w:val="center"/>
              <w:rPr>
                <w:noProof/>
                <w:sz w:val="18"/>
                <w:szCs w:val="18"/>
                <w:highlight w:val="yellow"/>
              </w:rPr>
            </w:pPr>
          </w:p>
        </w:tc>
        <w:tc>
          <w:tcPr>
            <w:tcW w:w="648" w:type="dxa"/>
            <w:tcBorders>
              <w:left w:val="dashSmallGap" w:sz="4" w:space="0" w:color="auto"/>
            </w:tcBorders>
          </w:tcPr>
          <w:p w14:paraId="65AD1E0E" w14:textId="77777777" w:rsidR="000944F2" w:rsidRPr="008F6730" w:rsidRDefault="000944F2" w:rsidP="000944F2">
            <w:pPr>
              <w:ind w:right="-29"/>
              <w:jc w:val="center"/>
              <w:rPr>
                <w:noProof/>
                <w:sz w:val="18"/>
                <w:szCs w:val="18"/>
                <w:highlight w:val="yellow"/>
              </w:rPr>
            </w:pPr>
          </w:p>
        </w:tc>
        <w:tc>
          <w:tcPr>
            <w:tcW w:w="432" w:type="dxa"/>
            <w:tcBorders>
              <w:right w:val="dashSmallGap" w:sz="4" w:space="0" w:color="auto"/>
            </w:tcBorders>
          </w:tcPr>
          <w:p w14:paraId="3D66FD0A" w14:textId="77777777" w:rsidR="000944F2" w:rsidRPr="008F6730" w:rsidRDefault="000944F2" w:rsidP="000944F2">
            <w:pPr>
              <w:ind w:right="-29"/>
              <w:jc w:val="center"/>
              <w:rPr>
                <w:noProof/>
                <w:sz w:val="18"/>
                <w:szCs w:val="18"/>
                <w:highlight w:val="yellow"/>
              </w:rPr>
            </w:pPr>
          </w:p>
        </w:tc>
        <w:tc>
          <w:tcPr>
            <w:tcW w:w="720" w:type="dxa"/>
            <w:tcBorders>
              <w:left w:val="dashSmallGap" w:sz="4" w:space="0" w:color="auto"/>
            </w:tcBorders>
          </w:tcPr>
          <w:p w14:paraId="33064F6F" w14:textId="77777777" w:rsidR="000944F2" w:rsidRPr="008F6730" w:rsidRDefault="000944F2" w:rsidP="000944F2">
            <w:pPr>
              <w:ind w:right="-29"/>
              <w:jc w:val="center"/>
              <w:rPr>
                <w:noProof/>
                <w:sz w:val="18"/>
                <w:szCs w:val="18"/>
                <w:highlight w:val="yellow"/>
              </w:rPr>
            </w:pPr>
          </w:p>
        </w:tc>
        <w:tc>
          <w:tcPr>
            <w:tcW w:w="540" w:type="dxa"/>
            <w:tcBorders>
              <w:right w:val="dashSmallGap" w:sz="4" w:space="0" w:color="auto"/>
            </w:tcBorders>
          </w:tcPr>
          <w:p w14:paraId="14223742" w14:textId="77777777" w:rsidR="000944F2" w:rsidRPr="008F6730" w:rsidRDefault="000944F2" w:rsidP="000944F2">
            <w:pPr>
              <w:ind w:right="-29"/>
              <w:jc w:val="center"/>
              <w:rPr>
                <w:noProof/>
                <w:sz w:val="18"/>
                <w:szCs w:val="18"/>
                <w:highlight w:val="yellow"/>
              </w:rPr>
            </w:pPr>
          </w:p>
        </w:tc>
        <w:tc>
          <w:tcPr>
            <w:tcW w:w="720" w:type="dxa"/>
            <w:tcBorders>
              <w:left w:val="dashSmallGap" w:sz="4" w:space="0" w:color="auto"/>
            </w:tcBorders>
          </w:tcPr>
          <w:p w14:paraId="7FAEA1F5" w14:textId="77777777" w:rsidR="000944F2" w:rsidRPr="008F6730" w:rsidRDefault="000944F2" w:rsidP="000944F2">
            <w:pPr>
              <w:ind w:right="-29"/>
              <w:jc w:val="center"/>
              <w:rPr>
                <w:noProof/>
                <w:sz w:val="18"/>
                <w:szCs w:val="18"/>
                <w:highlight w:val="yellow"/>
              </w:rPr>
            </w:pPr>
          </w:p>
        </w:tc>
        <w:tc>
          <w:tcPr>
            <w:tcW w:w="720" w:type="dxa"/>
          </w:tcPr>
          <w:p w14:paraId="6988430A" w14:textId="77777777" w:rsidR="000944F2" w:rsidRPr="008F6730" w:rsidRDefault="000944F2" w:rsidP="000944F2">
            <w:pPr>
              <w:ind w:right="-29"/>
              <w:jc w:val="center"/>
              <w:rPr>
                <w:noProof/>
                <w:sz w:val="18"/>
                <w:szCs w:val="18"/>
                <w:highlight w:val="yellow"/>
              </w:rPr>
            </w:pPr>
          </w:p>
        </w:tc>
        <w:tc>
          <w:tcPr>
            <w:tcW w:w="900" w:type="dxa"/>
          </w:tcPr>
          <w:p w14:paraId="2B80CD65" w14:textId="77777777" w:rsidR="000944F2" w:rsidRPr="008F6730" w:rsidRDefault="000944F2" w:rsidP="000944F2">
            <w:pPr>
              <w:ind w:right="-29"/>
              <w:jc w:val="center"/>
              <w:rPr>
                <w:noProof/>
                <w:sz w:val="18"/>
                <w:szCs w:val="18"/>
                <w:highlight w:val="yellow"/>
              </w:rPr>
            </w:pPr>
          </w:p>
        </w:tc>
      </w:tr>
      <w:tr w:rsidR="000944F2" w:rsidRPr="008F6730" w14:paraId="09484E49" w14:textId="77777777" w:rsidTr="000944F2">
        <w:trPr>
          <w:trHeight w:hRule="exact" w:val="369"/>
          <w:jc w:val="center"/>
        </w:trPr>
        <w:tc>
          <w:tcPr>
            <w:tcW w:w="1423" w:type="dxa"/>
          </w:tcPr>
          <w:p w14:paraId="4D9B1AAC" w14:textId="77777777" w:rsidR="000944F2" w:rsidRPr="008F6730" w:rsidRDefault="000944F2" w:rsidP="000944F2">
            <w:pPr>
              <w:ind w:right="-29"/>
              <w:jc w:val="center"/>
              <w:rPr>
                <w:noProof/>
                <w:sz w:val="18"/>
                <w:szCs w:val="18"/>
              </w:rPr>
            </w:pPr>
            <w:r w:rsidRPr="008F6730">
              <w:rPr>
                <w:noProof/>
                <w:sz w:val="18"/>
              </w:rPr>
              <w:t>– Rezultat</w:t>
            </w:r>
          </w:p>
        </w:tc>
        <w:tc>
          <w:tcPr>
            <w:tcW w:w="720" w:type="dxa"/>
          </w:tcPr>
          <w:p w14:paraId="525B243B" w14:textId="77777777" w:rsidR="000944F2" w:rsidRPr="008F6730" w:rsidRDefault="000944F2" w:rsidP="000944F2">
            <w:pPr>
              <w:ind w:right="-29"/>
              <w:jc w:val="center"/>
              <w:rPr>
                <w:noProof/>
                <w:sz w:val="18"/>
                <w:szCs w:val="18"/>
              </w:rPr>
            </w:pPr>
          </w:p>
        </w:tc>
        <w:tc>
          <w:tcPr>
            <w:tcW w:w="701" w:type="dxa"/>
          </w:tcPr>
          <w:p w14:paraId="0D89CCEB" w14:textId="77777777" w:rsidR="000944F2" w:rsidRPr="008F6730" w:rsidRDefault="000944F2" w:rsidP="000944F2">
            <w:pPr>
              <w:ind w:right="-29"/>
              <w:jc w:val="center"/>
              <w:rPr>
                <w:noProof/>
                <w:sz w:val="18"/>
                <w:szCs w:val="18"/>
              </w:rPr>
            </w:pPr>
          </w:p>
        </w:tc>
        <w:tc>
          <w:tcPr>
            <w:tcW w:w="504" w:type="dxa"/>
          </w:tcPr>
          <w:p w14:paraId="7A8712E8" w14:textId="77777777" w:rsidR="000944F2" w:rsidRPr="008F6730" w:rsidRDefault="000944F2" w:rsidP="000944F2">
            <w:pPr>
              <w:ind w:right="-29"/>
              <w:jc w:val="center"/>
              <w:rPr>
                <w:noProof/>
                <w:sz w:val="18"/>
                <w:szCs w:val="18"/>
                <w:highlight w:val="yellow"/>
              </w:rPr>
            </w:pPr>
          </w:p>
        </w:tc>
        <w:tc>
          <w:tcPr>
            <w:tcW w:w="720" w:type="dxa"/>
          </w:tcPr>
          <w:p w14:paraId="2AED4FAF" w14:textId="77777777" w:rsidR="000944F2" w:rsidRPr="008F6730" w:rsidRDefault="000944F2" w:rsidP="000944F2">
            <w:pPr>
              <w:ind w:right="-29"/>
              <w:jc w:val="center"/>
              <w:rPr>
                <w:noProof/>
                <w:sz w:val="18"/>
                <w:szCs w:val="18"/>
                <w:highlight w:val="yellow"/>
              </w:rPr>
            </w:pPr>
          </w:p>
        </w:tc>
        <w:tc>
          <w:tcPr>
            <w:tcW w:w="540" w:type="dxa"/>
          </w:tcPr>
          <w:p w14:paraId="6D16BAB9" w14:textId="77777777" w:rsidR="000944F2" w:rsidRPr="008F6730" w:rsidRDefault="000944F2" w:rsidP="000944F2">
            <w:pPr>
              <w:ind w:right="-29"/>
              <w:jc w:val="center"/>
              <w:rPr>
                <w:noProof/>
                <w:sz w:val="18"/>
                <w:szCs w:val="18"/>
                <w:highlight w:val="yellow"/>
              </w:rPr>
            </w:pPr>
          </w:p>
        </w:tc>
        <w:tc>
          <w:tcPr>
            <w:tcW w:w="720" w:type="dxa"/>
          </w:tcPr>
          <w:p w14:paraId="1C06365B" w14:textId="77777777" w:rsidR="000944F2" w:rsidRPr="008F6730" w:rsidRDefault="000944F2" w:rsidP="000944F2">
            <w:pPr>
              <w:ind w:right="-29"/>
              <w:jc w:val="center"/>
              <w:rPr>
                <w:noProof/>
                <w:sz w:val="18"/>
                <w:szCs w:val="18"/>
                <w:highlight w:val="yellow"/>
              </w:rPr>
            </w:pPr>
          </w:p>
        </w:tc>
        <w:tc>
          <w:tcPr>
            <w:tcW w:w="720" w:type="dxa"/>
          </w:tcPr>
          <w:p w14:paraId="3560114F" w14:textId="77777777" w:rsidR="000944F2" w:rsidRPr="008F6730" w:rsidRDefault="000944F2" w:rsidP="000944F2">
            <w:pPr>
              <w:ind w:right="-29"/>
              <w:jc w:val="center"/>
              <w:rPr>
                <w:noProof/>
                <w:sz w:val="18"/>
                <w:szCs w:val="18"/>
                <w:highlight w:val="yellow"/>
              </w:rPr>
            </w:pPr>
          </w:p>
        </w:tc>
        <w:tc>
          <w:tcPr>
            <w:tcW w:w="720" w:type="dxa"/>
          </w:tcPr>
          <w:p w14:paraId="4184CBC8" w14:textId="77777777" w:rsidR="000944F2" w:rsidRPr="008F6730" w:rsidRDefault="000944F2" w:rsidP="000944F2">
            <w:pPr>
              <w:ind w:right="-29"/>
              <w:jc w:val="center"/>
              <w:rPr>
                <w:noProof/>
                <w:sz w:val="18"/>
                <w:szCs w:val="18"/>
                <w:highlight w:val="yellow"/>
              </w:rPr>
            </w:pPr>
          </w:p>
        </w:tc>
        <w:tc>
          <w:tcPr>
            <w:tcW w:w="900" w:type="dxa"/>
          </w:tcPr>
          <w:p w14:paraId="1E8A8775" w14:textId="77777777" w:rsidR="000944F2" w:rsidRPr="008F6730" w:rsidRDefault="000944F2" w:rsidP="000944F2">
            <w:pPr>
              <w:ind w:right="-29"/>
              <w:jc w:val="center"/>
              <w:rPr>
                <w:noProof/>
                <w:sz w:val="18"/>
                <w:szCs w:val="18"/>
                <w:highlight w:val="yellow"/>
              </w:rPr>
            </w:pPr>
          </w:p>
        </w:tc>
        <w:tc>
          <w:tcPr>
            <w:tcW w:w="720" w:type="dxa"/>
            <w:gridSpan w:val="2"/>
          </w:tcPr>
          <w:p w14:paraId="437B5823" w14:textId="77777777" w:rsidR="000944F2" w:rsidRPr="008F6730" w:rsidRDefault="000944F2" w:rsidP="000944F2">
            <w:pPr>
              <w:ind w:right="-29"/>
              <w:jc w:val="center"/>
              <w:rPr>
                <w:noProof/>
                <w:sz w:val="18"/>
                <w:szCs w:val="18"/>
                <w:highlight w:val="yellow"/>
              </w:rPr>
            </w:pPr>
          </w:p>
        </w:tc>
        <w:tc>
          <w:tcPr>
            <w:tcW w:w="540" w:type="dxa"/>
          </w:tcPr>
          <w:p w14:paraId="6DF11F3D" w14:textId="77777777" w:rsidR="000944F2" w:rsidRPr="008F6730" w:rsidRDefault="000944F2" w:rsidP="000944F2">
            <w:pPr>
              <w:ind w:right="-29"/>
              <w:jc w:val="center"/>
              <w:rPr>
                <w:noProof/>
                <w:sz w:val="18"/>
                <w:szCs w:val="18"/>
                <w:highlight w:val="yellow"/>
              </w:rPr>
            </w:pPr>
          </w:p>
        </w:tc>
        <w:tc>
          <w:tcPr>
            <w:tcW w:w="648" w:type="dxa"/>
          </w:tcPr>
          <w:p w14:paraId="56484FE9" w14:textId="77777777" w:rsidR="000944F2" w:rsidRPr="008F6730" w:rsidRDefault="000944F2" w:rsidP="000944F2">
            <w:pPr>
              <w:ind w:right="-29"/>
              <w:jc w:val="center"/>
              <w:rPr>
                <w:noProof/>
                <w:sz w:val="18"/>
                <w:szCs w:val="18"/>
                <w:highlight w:val="yellow"/>
              </w:rPr>
            </w:pPr>
          </w:p>
        </w:tc>
        <w:tc>
          <w:tcPr>
            <w:tcW w:w="432" w:type="dxa"/>
          </w:tcPr>
          <w:p w14:paraId="2F2E7516" w14:textId="77777777" w:rsidR="000944F2" w:rsidRPr="008F6730" w:rsidRDefault="000944F2" w:rsidP="000944F2">
            <w:pPr>
              <w:ind w:right="-29"/>
              <w:jc w:val="center"/>
              <w:rPr>
                <w:noProof/>
                <w:sz w:val="18"/>
                <w:szCs w:val="18"/>
                <w:highlight w:val="yellow"/>
              </w:rPr>
            </w:pPr>
          </w:p>
        </w:tc>
        <w:tc>
          <w:tcPr>
            <w:tcW w:w="720" w:type="dxa"/>
          </w:tcPr>
          <w:p w14:paraId="244EA5DC" w14:textId="77777777" w:rsidR="000944F2" w:rsidRPr="008F6730" w:rsidRDefault="000944F2" w:rsidP="000944F2">
            <w:pPr>
              <w:ind w:right="-29"/>
              <w:jc w:val="center"/>
              <w:rPr>
                <w:noProof/>
                <w:sz w:val="18"/>
                <w:szCs w:val="18"/>
                <w:highlight w:val="yellow"/>
              </w:rPr>
            </w:pPr>
          </w:p>
        </w:tc>
        <w:tc>
          <w:tcPr>
            <w:tcW w:w="540" w:type="dxa"/>
          </w:tcPr>
          <w:p w14:paraId="783DACBB" w14:textId="77777777" w:rsidR="000944F2" w:rsidRPr="008F6730" w:rsidRDefault="000944F2" w:rsidP="000944F2">
            <w:pPr>
              <w:ind w:right="-29"/>
              <w:jc w:val="center"/>
              <w:rPr>
                <w:noProof/>
                <w:sz w:val="18"/>
                <w:szCs w:val="18"/>
                <w:highlight w:val="yellow"/>
              </w:rPr>
            </w:pPr>
          </w:p>
        </w:tc>
        <w:tc>
          <w:tcPr>
            <w:tcW w:w="720" w:type="dxa"/>
          </w:tcPr>
          <w:p w14:paraId="71186A88" w14:textId="77777777" w:rsidR="000944F2" w:rsidRPr="008F6730" w:rsidRDefault="000944F2" w:rsidP="000944F2">
            <w:pPr>
              <w:ind w:right="-29"/>
              <w:jc w:val="center"/>
              <w:rPr>
                <w:noProof/>
                <w:sz w:val="18"/>
                <w:szCs w:val="18"/>
                <w:highlight w:val="yellow"/>
              </w:rPr>
            </w:pPr>
          </w:p>
        </w:tc>
        <w:tc>
          <w:tcPr>
            <w:tcW w:w="720" w:type="dxa"/>
          </w:tcPr>
          <w:p w14:paraId="50BBD320" w14:textId="77777777" w:rsidR="000944F2" w:rsidRPr="008F6730" w:rsidRDefault="000944F2" w:rsidP="000944F2">
            <w:pPr>
              <w:ind w:right="-29"/>
              <w:jc w:val="center"/>
              <w:rPr>
                <w:noProof/>
                <w:sz w:val="18"/>
                <w:szCs w:val="18"/>
                <w:highlight w:val="yellow"/>
              </w:rPr>
            </w:pPr>
          </w:p>
        </w:tc>
        <w:tc>
          <w:tcPr>
            <w:tcW w:w="900" w:type="dxa"/>
          </w:tcPr>
          <w:p w14:paraId="509F45DF" w14:textId="77777777" w:rsidR="000944F2" w:rsidRPr="008F6730" w:rsidRDefault="000944F2" w:rsidP="000944F2">
            <w:pPr>
              <w:ind w:right="-29"/>
              <w:jc w:val="center"/>
              <w:rPr>
                <w:noProof/>
                <w:sz w:val="18"/>
                <w:szCs w:val="18"/>
                <w:highlight w:val="yellow"/>
              </w:rPr>
            </w:pPr>
          </w:p>
        </w:tc>
      </w:tr>
      <w:tr w:rsidR="000944F2" w:rsidRPr="008F6730" w14:paraId="0B3171A5" w14:textId="77777777" w:rsidTr="000944F2">
        <w:trPr>
          <w:trHeight w:val="77"/>
          <w:jc w:val="center"/>
        </w:trPr>
        <w:tc>
          <w:tcPr>
            <w:tcW w:w="2844" w:type="dxa"/>
            <w:gridSpan w:val="3"/>
            <w:tcBorders>
              <w:bottom w:val="single" w:sz="12" w:space="0" w:color="auto"/>
            </w:tcBorders>
            <w:vAlign w:val="center"/>
          </w:tcPr>
          <w:p w14:paraId="35F00AEE" w14:textId="77777777" w:rsidR="000944F2" w:rsidRPr="008F6730" w:rsidRDefault="000944F2" w:rsidP="000944F2">
            <w:pPr>
              <w:ind w:right="-29"/>
              <w:jc w:val="center"/>
              <w:rPr>
                <w:noProof/>
                <w:sz w:val="18"/>
                <w:szCs w:val="18"/>
              </w:rPr>
            </w:pPr>
            <w:r w:rsidRPr="008F6730">
              <w:rPr>
                <w:noProof/>
                <w:sz w:val="18"/>
              </w:rPr>
              <w:t>Međuzbroj za posebni cilj br. 1</w:t>
            </w:r>
          </w:p>
        </w:tc>
        <w:tc>
          <w:tcPr>
            <w:tcW w:w="504" w:type="dxa"/>
            <w:tcBorders>
              <w:bottom w:val="single" w:sz="12" w:space="0" w:color="auto"/>
            </w:tcBorders>
          </w:tcPr>
          <w:p w14:paraId="54E02014" w14:textId="77777777" w:rsidR="000944F2" w:rsidRPr="008F6730" w:rsidRDefault="000944F2" w:rsidP="000944F2">
            <w:pPr>
              <w:ind w:right="-29"/>
              <w:jc w:val="center"/>
              <w:rPr>
                <w:noProof/>
                <w:sz w:val="18"/>
                <w:szCs w:val="18"/>
                <w:highlight w:val="yellow"/>
              </w:rPr>
            </w:pPr>
          </w:p>
        </w:tc>
        <w:tc>
          <w:tcPr>
            <w:tcW w:w="720" w:type="dxa"/>
            <w:tcBorders>
              <w:bottom w:val="single" w:sz="12" w:space="0" w:color="auto"/>
            </w:tcBorders>
          </w:tcPr>
          <w:p w14:paraId="353B9461" w14:textId="77777777" w:rsidR="000944F2" w:rsidRPr="008F6730" w:rsidRDefault="000944F2" w:rsidP="000944F2">
            <w:pPr>
              <w:ind w:right="-29"/>
              <w:jc w:val="center"/>
              <w:rPr>
                <w:noProof/>
                <w:sz w:val="18"/>
                <w:szCs w:val="18"/>
                <w:highlight w:val="yellow"/>
              </w:rPr>
            </w:pPr>
          </w:p>
        </w:tc>
        <w:tc>
          <w:tcPr>
            <w:tcW w:w="540" w:type="dxa"/>
            <w:tcBorders>
              <w:bottom w:val="single" w:sz="12" w:space="0" w:color="auto"/>
            </w:tcBorders>
          </w:tcPr>
          <w:p w14:paraId="49B82368" w14:textId="77777777" w:rsidR="000944F2" w:rsidRPr="008F6730" w:rsidRDefault="000944F2" w:rsidP="000944F2">
            <w:pPr>
              <w:ind w:right="-29"/>
              <w:jc w:val="center"/>
              <w:rPr>
                <w:noProof/>
                <w:sz w:val="18"/>
                <w:szCs w:val="18"/>
                <w:highlight w:val="yellow"/>
              </w:rPr>
            </w:pPr>
          </w:p>
        </w:tc>
        <w:tc>
          <w:tcPr>
            <w:tcW w:w="720" w:type="dxa"/>
            <w:tcBorders>
              <w:bottom w:val="single" w:sz="12" w:space="0" w:color="auto"/>
            </w:tcBorders>
          </w:tcPr>
          <w:p w14:paraId="38332246" w14:textId="77777777" w:rsidR="000944F2" w:rsidRPr="008F6730" w:rsidRDefault="000944F2" w:rsidP="000944F2">
            <w:pPr>
              <w:ind w:right="-29"/>
              <w:jc w:val="center"/>
              <w:rPr>
                <w:noProof/>
                <w:sz w:val="18"/>
                <w:szCs w:val="18"/>
                <w:highlight w:val="yellow"/>
              </w:rPr>
            </w:pPr>
          </w:p>
        </w:tc>
        <w:tc>
          <w:tcPr>
            <w:tcW w:w="720" w:type="dxa"/>
            <w:tcBorders>
              <w:bottom w:val="single" w:sz="12" w:space="0" w:color="auto"/>
            </w:tcBorders>
          </w:tcPr>
          <w:p w14:paraId="1CB6BAF0" w14:textId="77777777" w:rsidR="000944F2" w:rsidRPr="008F6730" w:rsidRDefault="000944F2" w:rsidP="000944F2">
            <w:pPr>
              <w:ind w:right="-29"/>
              <w:jc w:val="center"/>
              <w:rPr>
                <w:noProof/>
                <w:sz w:val="18"/>
                <w:szCs w:val="18"/>
                <w:highlight w:val="yellow"/>
              </w:rPr>
            </w:pPr>
          </w:p>
        </w:tc>
        <w:tc>
          <w:tcPr>
            <w:tcW w:w="720" w:type="dxa"/>
            <w:tcBorders>
              <w:bottom w:val="single" w:sz="12" w:space="0" w:color="auto"/>
            </w:tcBorders>
          </w:tcPr>
          <w:p w14:paraId="292E450F" w14:textId="77777777" w:rsidR="000944F2" w:rsidRPr="008F6730" w:rsidRDefault="000944F2" w:rsidP="000944F2">
            <w:pPr>
              <w:ind w:right="-29"/>
              <w:jc w:val="center"/>
              <w:rPr>
                <w:noProof/>
                <w:sz w:val="18"/>
                <w:szCs w:val="18"/>
                <w:highlight w:val="yellow"/>
              </w:rPr>
            </w:pPr>
          </w:p>
        </w:tc>
        <w:tc>
          <w:tcPr>
            <w:tcW w:w="900" w:type="dxa"/>
            <w:tcBorders>
              <w:bottom w:val="single" w:sz="12" w:space="0" w:color="auto"/>
            </w:tcBorders>
          </w:tcPr>
          <w:p w14:paraId="6F1C08F1" w14:textId="77777777" w:rsidR="000944F2" w:rsidRPr="008F6730" w:rsidRDefault="000944F2" w:rsidP="000944F2">
            <w:pPr>
              <w:ind w:right="-29"/>
              <w:jc w:val="center"/>
              <w:rPr>
                <w:noProof/>
                <w:sz w:val="18"/>
                <w:szCs w:val="18"/>
                <w:highlight w:val="yellow"/>
              </w:rPr>
            </w:pPr>
          </w:p>
        </w:tc>
        <w:tc>
          <w:tcPr>
            <w:tcW w:w="720" w:type="dxa"/>
            <w:gridSpan w:val="2"/>
            <w:tcBorders>
              <w:bottom w:val="single" w:sz="12" w:space="0" w:color="auto"/>
            </w:tcBorders>
          </w:tcPr>
          <w:p w14:paraId="2190041B" w14:textId="77777777" w:rsidR="000944F2" w:rsidRPr="008F6730" w:rsidRDefault="000944F2" w:rsidP="000944F2">
            <w:pPr>
              <w:ind w:right="-29"/>
              <w:jc w:val="center"/>
              <w:rPr>
                <w:noProof/>
                <w:sz w:val="18"/>
                <w:szCs w:val="18"/>
                <w:highlight w:val="yellow"/>
              </w:rPr>
            </w:pPr>
          </w:p>
        </w:tc>
        <w:tc>
          <w:tcPr>
            <w:tcW w:w="540" w:type="dxa"/>
            <w:tcBorders>
              <w:bottom w:val="single" w:sz="12" w:space="0" w:color="auto"/>
            </w:tcBorders>
          </w:tcPr>
          <w:p w14:paraId="2CFA51B5" w14:textId="77777777" w:rsidR="000944F2" w:rsidRPr="008F6730" w:rsidRDefault="000944F2" w:rsidP="000944F2">
            <w:pPr>
              <w:ind w:right="-29"/>
              <w:jc w:val="center"/>
              <w:rPr>
                <w:noProof/>
                <w:sz w:val="18"/>
                <w:szCs w:val="18"/>
                <w:highlight w:val="yellow"/>
              </w:rPr>
            </w:pPr>
          </w:p>
        </w:tc>
        <w:tc>
          <w:tcPr>
            <w:tcW w:w="648" w:type="dxa"/>
            <w:tcBorders>
              <w:bottom w:val="single" w:sz="12" w:space="0" w:color="auto"/>
            </w:tcBorders>
          </w:tcPr>
          <w:p w14:paraId="1A1D54B0" w14:textId="77777777" w:rsidR="000944F2" w:rsidRPr="008F6730" w:rsidRDefault="000944F2" w:rsidP="000944F2">
            <w:pPr>
              <w:ind w:right="-29"/>
              <w:jc w:val="center"/>
              <w:rPr>
                <w:noProof/>
                <w:sz w:val="18"/>
                <w:szCs w:val="18"/>
                <w:highlight w:val="yellow"/>
              </w:rPr>
            </w:pPr>
          </w:p>
        </w:tc>
        <w:tc>
          <w:tcPr>
            <w:tcW w:w="432" w:type="dxa"/>
            <w:tcBorders>
              <w:bottom w:val="single" w:sz="12" w:space="0" w:color="auto"/>
            </w:tcBorders>
          </w:tcPr>
          <w:p w14:paraId="7246A5CC" w14:textId="77777777" w:rsidR="000944F2" w:rsidRPr="008F6730" w:rsidRDefault="000944F2" w:rsidP="000944F2">
            <w:pPr>
              <w:ind w:right="-29"/>
              <w:jc w:val="center"/>
              <w:rPr>
                <w:noProof/>
                <w:sz w:val="18"/>
                <w:szCs w:val="18"/>
                <w:highlight w:val="yellow"/>
              </w:rPr>
            </w:pPr>
          </w:p>
        </w:tc>
        <w:tc>
          <w:tcPr>
            <w:tcW w:w="720" w:type="dxa"/>
            <w:tcBorders>
              <w:bottom w:val="single" w:sz="12" w:space="0" w:color="auto"/>
            </w:tcBorders>
          </w:tcPr>
          <w:p w14:paraId="1B53765A" w14:textId="77777777" w:rsidR="000944F2" w:rsidRPr="008F6730" w:rsidRDefault="000944F2" w:rsidP="000944F2">
            <w:pPr>
              <w:ind w:right="-29"/>
              <w:jc w:val="center"/>
              <w:rPr>
                <w:noProof/>
                <w:sz w:val="18"/>
                <w:szCs w:val="18"/>
                <w:highlight w:val="yellow"/>
              </w:rPr>
            </w:pPr>
          </w:p>
        </w:tc>
        <w:tc>
          <w:tcPr>
            <w:tcW w:w="540" w:type="dxa"/>
            <w:tcBorders>
              <w:bottom w:val="single" w:sz="12" w:space="0" w:color="auto"/>
            </w:tcBorders>
          </w:tcPr>
          <w:p w14:paraId="6BF01C41" w14:textId="77777777" w:rsidR="000944F2" w:rsidRPr="008F6730" w:rsidRDefault="000944F2" w:rsidP="000944F2">
            <w:pPr>
              <w:ind w:right="-29"/>
              <w:jc w:val="center"/>
              <w:rPr>
                <w:noProof/>
                <w:sz w:val="18"/>
                <w:szCs w:val="18"/>
                <w:highlight w:val="yellow"/>
              </w:rPr>
            </w:pPr>
          </w:p>
        </w:tc>
        <w:tc>
          <w:tcPr>
            <w:tcW w:w="720" w:type="dxa"/>
            <w:tcBorders>
              <w:bottom w:val="single" w:sz="12" w:space="0" w:color="auto"/>
            </w:tcBorders>
          </w:tcPr>
          <w:p w14:paraId="7578E757" w14:textId="77777777" w:rsidR="000944F2" w:rsidRPr="008F6730" w:rsidRDefault="000944F2" w:rsidP="000944F2">
            <w:pPr>
              <w:ind w:right="-29"/>
              <w:jc w:val="center"/>
              <w:rPr>
                <w:noProof/>
                <w:sz w:val="18"/>
                <w:szCs w:val="18"/>
                <w:highlight w:val="yellow"/>
              </w:rPr>
            </w:pPr>
          </w:p>
        </w:tc>
        <w:tc>
          <w:tcPr>
            <w:tcW w:w="720" w:type="dxa"/>
            <w:tcBorders>
              <w:bottom w:val="single" w:sz="12" w:space="0" w:color="auto"/>
            </w:tcBorders>
          </w:tcPr>
          <w:p w14:paraId="3A4FED04" w14:textId="77777777" w:rsidR="000944F2" w:rsidRPr="008F6730" w:rsidRDefault="000944F2" w:rsidP="000944F2">
            <w:pPr>
              <w:ind w:right="-29"/>
              <w:jc w:val="center"/>
              <w:rPr>
                <w:noProof/>
                <w:sz w:val="18"/>
                <w:szCs w:val="18"/>
                <w:highlight w:val="yellow"/>
              </w:rPr>
            </w:pPr>
          </w:p>
        </w:tc>
        <w:tc>
          <w:tcPr>
            <w:tcW w:w="900" w:type="dxa"/>
            <w:tcBorders>
              <w:bottom w:val="single" w:sz="12" w:space="0" w:color="auto"/>
            </w:tcBorders>
          </w:tcPr>
          <w:p w14:paraId="27448866" w14:textId="77777777" w:rsidR="000944F2" w:rsidRPr="008F6730" w:rsidRDefault="000944F2" w:rsidP="000944F2">
            <w:pPr>
              <w:ind w:right="-29"/>
              <w:jc w:val="center"/>
              <w:rPr>
                <w:noProof/>
                <w:sz w:val="18"/>
                <w:szCs w:val="18"/>
                <w:highlight w:val="yellow"/>
              </w:rPr>
            </w:pPr>
          </w:p>
        </w:tc>
      </w:tr>
      <w:tr w:rsidR="000944F2" w:rsidRPr="008F6730" w14:paraId="0129285B" w14:textId="77777777" w:rsidTr="000944F2">
        <w:trPr>
          <w:jc w:val="center"/>
        </w:trPr>
        <w:tc>
          <w:tcPr>
            <w:tcW w:w="2844" w:type="dxa"/>
            <w:gridSpan w:val="3"/>
            <w:vAlign w:val="center"/>
          </w:tcPr>
          <w:p w14:paraId="02E19073" w14:textId="77777777" w:rsidR="000944F2" w:rsidRPr="008F6730" w:rsidRDefault="000944F2" w:rsidP="000944F2">
            <w:pPr>
              <w:spacing w:before="60" w:after="60"/>
              <w:ind w:right="-29"/>
              <w:jc w:val="center"/>
              <w:rPr>
                <w:noProof/>
                <w:sz w:val="18"/>
                <w:szCs w:val="18"/>
              </w:rPr>
            </w:pPr>
            <w:r w:rsidRPr="008F6730">
              <w:rPr>
                <w:noProof/>
                <w:sz w:val="18"/>
              </w:rPr>
              <w:t>POSEBNI CILJ br. 2...</w:t>
            </w:r>
          </w:p>
        </w:tc>
        <w:tc>
          <w:tcPr>
            <w:tcW w:w="504" w:type="dxa"/>
            <w:tcBorders>
              <w:top w:val="nil"/>
              <w:left w:val="nil"/>
              <w:bottom w:val="nil"/>
              <w:right w:val="nil"/>
            </w:tcBorders>
          </w:tcPr>
          <w:p w14:paraId="226F4686" w14:textId="77777777" w:rsidR="000944F2" w:rsidRPr="008F6730" w:rsidRDefault="000944F2" w:rsidP="000944F2">
            <w:pPr>
              <w:spacing w:before="60" w:after="60"/>
              <w:ind w:right="-29"/>
              <w:jc w:val="center"/>
              <w:rPr>
                <w:noProof/>
                <w:sz w:val="18"/>
                <w:szCs w:val="18"/>
                <w:highlight w:val="yellow"/>
              </w:rPr>
            </w:pPr>
          </w:p>
        </w:tc>
        <w:tc>
          <w:tcPr>
            <w:tcW w:w="720" w:type="dxa"/>
            <w:tcBorders>
              <w:top w:val="nil"/>
              <w:left w:val="nil"/>
              <w:bottom w:val="nil"/>
              <w:right w:val="nil"/>
            </w:tcBorders>
          </w:tcPr>
          <w:p w14:paraId="21F145BF" w14:textId="77777777" w:rsidR="000944F2" w:rsidRPr="008F6730" w:rsidRDefault="000944F2" w:rsidP="000944F2">
            <w:pPr>
              <w:spacing w:before="60" w:after="60"/>
              <w:ind w:right="-29"/>
              <w:jc w:val="center"/>
              <w:rPr>
                <w:noProof/>
                <w:sz w:val="18"/>
                <w:szCs w:val="18"/>
                <w:highlight w:val="yellow"/>
              </w:rPr>
            </w:pPr>
          </w:p>
        </w:tc>
        <w:tc>
          <w:tcPr>
            <w:tcW w:w="540" w:type="dxa"/>
            <w:tcBorders>
              <w:top w:val="nil"/>
              <w:left w:val="nil"/>
              <w:bottom w:val="nil"/>
              <w:right w:val="nil"/>
            </w:tcBorders>
          </w:tcPr>
          <w:p w14:paraId="400D6A4E" w14:textId="77777777" w:rsidR="000944F2" w:rsidRPr="008F6730" w:rsidRDefault="000944F2" w:rsidP="000944F2">
            <w:pPr>
              <w:spacing w:before="60" w:after="60"/>
              <w:ind w:right="-29"/>
              <w:jc w:val="center"/>
              <w:rPr>
                <w:noProof/>
                <w:sz w:val="18"/>
                <w:szCs w:val="18"/>
                <w:highlight w:val="yellow"/>
              </w:rPr>
            </w:pPr>
          </w:p>
        </w:tc>
        <w:tc>
          <w:tcPr>
            <w:tcW w:w="720" w:type="dxa"/>
            <w:tcBorders>
              <w:top w:val="nil"/>
              <w:left w:val="nil"/>
              <w:bottom w:val="nil"/>
              <w:right w:val="nil"/>
            </w:tcBorders>
          </w:tcPr>
          <w:p w14:paraId="5DB41BD5" w14:textId="77777777" w:rsidR="000944F2" w:rsidRPr="008F6730" w:rsidRDefault="000944F2" w:rsidP="000944F2">
            <w:pPr>
              <w:spacing w:before="60" w:after="60"/>
              <w:ind w:right="-29"/>
              <w:jc w:val="center"/>
              <w:rPr>
                <w:noProof/>
                <w:sz w:val="18"/>
                <w:szCs w:val="18"/>
                <w:highlight w:val="yellow"/>
              </w:rPr>
            </w:pPr>
          </w:p>
        </w:tc>
        <w:tc>
          <w:tcPr>
            <w:tcW w:w="720" w:type="dxa"/>
            <w:tcBorders>
              <w:top w:val="nil"/>
              <w:left w:val="nil"/>
              <w:bottom w:val="nil"/>
              <w:right w:val="nil"/>
            </w:tcBorders>
          </w:tcPr>
          <w:p w14:paraId="619CB0FD" w14:textId="77777777" w:rsidR="000944F2" w:rsidRPr="008F6730" w:rsidRDefault="000944F2" w:rsidP="000944F2">
            <w:pPr>
              <w:spacing w:before="60" w:after="60"/>
              <w:ind w:right="-29"/>
              <w:jc w:val="center"/>
              <w:rPr>
                <w:noProof/>
                <w:sz w:val="18"/>
                <w:szCs w:val="18"/>
                <w:highlight w:val="yellow"/>
              </w:rPr>
            </w:pPr>
          </w:p>
        </w:tc>
        <w:tc>
          <w:tcPr>
            <w:tcW w:w="720" w:type="dxa"/>
            <w:tcBorders>
              <w:top w:val="nil"/>
              <w:left w:val="nil"/>
              <w:bottom w:val="nil"/>
              <w:right w:val="nil"/>
            </w:tcBorders>
          </w:tcPr>
          <w:p w14:paraId="533EC85B" w14:textId="77777777" w:rsidR="000944F2" w:rsidRPr="008F6730" w:rsidRDefault="000944F2" w:rsidP="000944F2">
            <w:pPr>
              <w:spacing w:before="60" w:after="60"/>
              <w:ind w:right="-29"/>
              <w:jc w:val="center"/>
              <w:rPr>
                <w:noProof/>
                <w:sz w:val="18"/>
                <w:szCs w:val="18"/>
                <w:highlight w:val="yellow"/>
              </w:rPr>
            </w:pPr>
          </w:p>
        </w:tc>
        <w:tc>
          <w:tcPr>
            <w:tcW w:w="900" w:type="dxa"/>
            <w:tcBorders>
              <w:top w:val="nil"/>
              <w:left w:val="nil"/>
              <w:bottom w:val="nil"/>
              <w:right w:val="nil"/>
            </w:tcBorders>
          </w:tcPr>
          <w:p w14:paraId="2A991ADC" w14:textId="77777777" w:rsidR="000944F2" w:rsidRPr="008F6730" w:rsidRDefault="000944F2" w:rsidP="000944F2">
            <w:pPr>
              <w:spacing w:before="60" w:after="60"/>
              <w:ind w:right="-29"/>
              <w:jc w:val="center"/>
              <w:rPr>
                <w:noProof/>
                <w:sz w:val="18"/>
                <w:szCs w:val="18"/>
                <w:highlight w:val="yellow"/>
              </w:rPr>
            </w:pPr>
          </w:p>
        </w:tc>
        <w:tc>
          <w:tcPr>
            <w:tcW w:w="720" w:type="dxa"/>
            <w:gridSpan w:val="2"/>
            <w:tcBorders>
              <w:top w:val="nil"/>
              <w:left w:val="nil"/>
              <w:bottom w:val="nil"/>
              <w:right w:val="nil"/>
            </w:tcBorders>
          </w:tcPr>
          <w:p w14:paraId="4EA82E8E" w14:textId="77777777" w:rsidR="000944F2" w:rsidRPr="008F6730" w:rsidRDefault="000944F2" w:rsidP="000944F2">
            <w:pPr>
              <w:spacing w:before="60" w:after="60"/>
              <w:ind w:right="-29"/>
              <w:jc w:val="center"/>
              <w:rPr>
                <w:noProof/>
                <w:sz w:val="18"/>
                <w:szCs w:val="18"/>
                <w:highlight w:val="yellow"/>
              </w:rPr>
            </w:pPr>
          </w:p>
        </w:tc>
        <w:tc>
          <w:tcPr>
            <w:tcW w:w="540" w:type="dxa"/>
            <w:tcBorders>
              <w:top w:val="nil"/>
              <w:left w:val="nil"/>
              <w:bottom w:val="nil"/>
              <w:right w:val="nil"/>
            </w:tcBorders>
          </w:tcPr>
          <w:p w14:paraId="250EE61D" w14:textId="77777777" w:rsidR="000944F2" w:rsidRPr="008F6730" w:rsidRDefault="000944F2" w:rsidP="000944F2">
            <w:pPr>
              <w:spacing w:before="60" w:after="60"/>
              <w:ind w:right="-29"/>
              <w:jc w:val="center"/>
              <w:rPr>
                <w:noProof/>
                <w:sz w:val="18"/>
                <w:szCs w:val="18"/>
                <w:highlight w:val="yellow"/>
              </w:rPr>
            </w:pPr>
          </w:p>
        </w:tc>
        <w:tc>
          <w:tcPr>
            <w:tcW w:w="648" w:type="dxa"/>
            <w:tcBorders>
              <w:top w:val="nil"/>
              <w:left w:val="nil"/>
              <w:bottom w:val="nil"/>
              <w:right w:val="nil"/>
            </w:tcBorders>
          </w:tcPr>
          <w:p w14:paraId="479EA8EC" w14:textId="77777777" w:rsidR="000944F2" w:rsidRPr="008F6730" w:rsidRDefault="000944F2" w:rsidP="000944F2">
            <w:pPr>
              <w:spacing w:before="60" w:after="60"/>
              <w:ind w:right="-29"/>
              <w:jc w:val="center"/>
              <w:rPr>
                <w:noProof/>
                <w:sz w:val="18"/>
                <w:szCs w:val="18"/>
                <w:highlight w:val="yellow"/>
              </w:rPr>
            </w:pPr>
          </w:p>
        </w:tc>
        <w:tc>
          <w:tcPr>
            <w:tcW w:w="432" w:type="dxa"/>
            <w:tcBorders>
              <w:top w:val="nil"/>
              <w:left w:val="nil"/>
              <w:bottom w:val="nil"/>
              <w:right w:val="nil"/>
            </w:tcBorders>
          </w:tcPr>
          <w:p w14:paraId="2CC33D07" w14:textId="77777777" w:rsidR="000944F2" w:rsidRPr="008F6730" w:rsidRDefault="000944F2" w:rsidP="000944F2">
            <w:pPr>
              <w:spacing w:before="60" w:after="60"/>
              <w:ind w:right="-29"/>
              <w:jc w:val="center"/>
              <w:rPr>
                <w:noProof/>
                <w:sz w:val="18"/>
                <w:szCs w:val="18"/>
                <w:highlight w:val="yellow"/>
              </w:rPr>
            </w:pPr>
          </w:p>
        </w:tc>
        <w:tc>
          <w:tcPr>
            <w:tcW w:w="720" w:type="dxa"/>
            <w:tcBorders>
              <w:top w:val="nil"/>
              <w:left w:val="nil"/>
              <w:bottom w:val="nil"/>
              <w:right w:val="nil"/>
            </w:tcBorders>
          </w:tcPr>
          <w:p w14:paraId="59090078" w14:textId="77777777" w:rsidR="000944F2" w:rsidRPr="008F6730" w:rsidRDefault="000944F2" w:rsidP="000944F2">
            <w:pPr>
              <w:spacing w:before="60" w:after="60"/>
              <w:ind w:right="-29"/>
              <w:jc w:val="center"/>
              <w:rPr>
                <w:noProof/>
                <w:sz w:val="18"/>
                <w:szCs w:val="18"/>
                <w:highlight w:val="yellow"/>
              </w:rPr>
            </w:pPr>
          </w:p>
        </w:tc>
        <w:tc>
          <w:tcPr>
            <w:tcW w:w="540" w:type="dxa"/>
            <w:tcBorders>
              <w:top w:val="nil"/>
              <w:left w:val="nil"/>
              <w:bottom w:val="nil"/>
              <w:right w:val="nil"/>
            </w:tcBorders>
          </w:tcPr>
          <w:p w14:paraId="4963EE02" w14:textId="77777777" w:rsidR="000944F2" w:rsidRPr="008F6730" w:rsidRDefault="000944F2" w:rsidP="000944F2">
            <w:pPr>
              <w:spacing w:before="60" w:after="60"/>
              <w:ind w:right="-29"/>
              <w:jc w:val="center"/>
              <w:rPr>
                <w:noProof/>
                <w:sz w:val="18"/>
                <w:szCs w:val="18"/>
                <w:highlight w:val="yellow"/>
              </w:rPr>
            </w:pPr>
          </w:p>
        </w:tc>
        <w:tc>
          <w:tcPr>
            <w:tcW w:w="720" w:type="dxa"/>
            <w:tcBorders>
              <w:top w:val="nil"/>
              <w:left w:val="nil"/>
              <w:bottom w:val="nil"/>
              <w:right w:val="nil"/>
            </w:tcBorders>
          </w:tcPr>
          <w:p w14:paraId="19AEAA94" w14:textId="77777777" w:rsidR="000944F2" w:rsidRPr="008F6730" w:rsidRDefault="000944F2" w:rsidP="000944F2">
            <w:pPr>
              <w:spacing w:before="60" w:after="60"/>
              <w:ind w:right="-29"/>
              <w:jc w:val="center"/>
              <w:rPr>
                <w:noProof/>
                <w:sz w:val="18"/>
                <w:szCs w:val="18"/>
                <w:highlight w:val="yellow"/>
              </w:rPr>
            </w:pPr>
          </w:p>
        </w:tc>
        <w:tc>
          <w:tcPr>
            <w:tcW w:w="720" w:type="dxa"/>
            <w:tcBorders>
              <w:top w:val="nil"/>
              <w:left w:val="nil"/>
              <w:bottom w:val="nil"/>
              <w:right w:val="nil"/>
            </w:tcBorders>
          </w:tcPr>
          <w:p w14:paraId="5CD2C02A" w14:textId="77777777" w:rsidR="000944F2" w:rsidRPr="008F6730" w:rsidRDefault="000944F2" w:rsidP="000944F2">
            <w:pPr>
              <w:spacing w:before="60" w:after="60"/>
              <w:ind w:right="-29"/>
              <w:jc w:val="center"/>
              <w:rPr>
                <w:noProof/>
                <w:sz w:val="18"/>
                <w:szCs w:val="18"/>
                <w:highlight w:val="yellow"/>
              </w:rPr>
            </w:pPr>
          </w:p>
        </w:tc>
        <w:tc>
          <w:tcPr>
            <w:tcW w:w="900" w:type="dxa"/>
            <w:tcBorders>
              <w:top w:val="nil"/>
              <w:left w:val="nil"/>
              <w:bottom w:val="nil"/>
              <w:right w:val="nil"/>
            </w:tcBorders>
          </w:tcPr>
          <w:p w14:paraId="1C22E147" w14:textId="77777777" w:rsidR="000944F2" w:rsidRPr="008F6730" w:rsidRDefault="000944F2" w:rsidP="000944F2">
            <w:pPr>
              <w:spacing w:before="60" w:after="60"/>
              <w:ind w:right="-29"/>
              <w:jc w:val="center"/>
              <w:rPr>
                <w:noProof/>
                <w:sz w:val="18"/>
                <w:szCs w:val="18"/>
                <w:highlight w:val="yellow"/>
              </w:rPr>
            </w:pPr>
          </w:p>
        </w:tc>
      </w:tr>
      <w:tr w:rsidR="000944F2" w:rsidRPr="008F6730" w14:paraId="508974CC" w14:textId="77777777" w:rsidTr="000944F2">
        <w:trPr>
          <w:trHeight w:hRule="exact" w:val="369"/>
          <w:jc w:val="center"/>
        </w:trPr>
        <w:tc>
          <w:tcPr>
            <w:tcW w:w="1423" w:type="dxa"/>
          </w:tcPr>
          <w:p w14:paraId="22FDCA15" w14:textId="77777777" w:rsidR="000944F2" w:rsidRPr="008F6730" w:rsidRDefault="000944F2" w:rsidP="000944F2">
            <w:pPr>
              <w:ind w:right="-29"/>
              <w:jc w:val="center"/>
              <w:rPr>
                <w:noProof/>
                <w:sz w:val="18"/>
                <w:szCs w:val="18"/>
              </w:rPr>
            </w:pPr>
            <w:r w:rsidRPr="008F6730">
              <w:rPr>
                <w:noProof/>
                <w:sz w:val="18"/>
              </w:rPr>
              <w:t>– Rezultat</w:t>
            </w:r>
          </w:p>
        </w:tc>
        <w:tc>
          <w:tcPr>
            <w:tcW w:w="720" w:type="dxa"/>
          </w:tcPr>
          <w:p w14:paraId="7D3E42BF" w14:textId="77777777" w:rsidR="000944F2" w:rsidRPr="008F6730" w:rsidRDefault="000944F2" w:rsidP="000944F2">
            <w:pPr>
              <w:ind w:right="-29"/>
              <w:jc w:val="center"/>
              <w:rPr>
                <w:noProof/>
                <w:sz w:val="18"/>
                <w:szCs w:val="18"/>
              </w:rPr>
            </w:pPr>
          </w:p>
        </w:tc>
        <w:tc>
          <w:tcPr>
            <w:tcW w:w="701" w:type="dxa"/>
          </w:tcPr>
          <w:p w14:paraId="58938ACA" w14:textId="77777777" w:rsidR="000944F2" w:rsidRPr="008F6730" w:rsidRDefault="000944F2" w:rsidP="000944F2">
            <w:pPr>
              <w:ind w:right="-29"/>
              <w:jc w:val="center"/>
              <w:rPr>
                <w:noProof/>
                <w:sz w:val="18"/>
                <w:szCs w:val="18"/>
              </w:rPr>
            </w:pPr>
          </w:p>
        </w:tc>
        <w:tc>
          <w:tcPr>
            <w:tcW w:w="504" w:type="dxa"/>
          </w:tcPr>
          <w:p w14:paraId="2F40511C" w14:textId="77777777" w:rsidR="000944F2" w:rsidRPr="008F6730" w:rsidRDefault="000944F2" w:rsidP="000944F2">
            <w:pPr>
              <w:ind w:right="-29"/>
              <w:jc w:val="center"/>
              <w:rPr>
                <w:noProof/>
                <w:sz w:val="18"/>
                <w:szCs w:val="18"/>
                <w:highlight w:val="yellow"/>
              </w:rPr>
            </w:pPr>
          </w:p>
        </w:tc>
        <w:tc>
          <w:tcPr>
            <w:tcW w:w="720" w:type="dxa"/>
          </w:tcPr>
          <w:p w14:paraId="51745DF6" w14:textId="77777777" w:rsidR="000944F2" w:rsidRPr="008F6730" w:rsidRDefault="000944F2" w:rsidP="000944F2">
            <w:pPr>
              <w:ind w:right="-29"/>
              <w:jc w:val="center"/>
              <w:rPr>
                <w:noProof/>
                <w:sz w:val="18"/>
                <w:szCs w:val="18"/>
                <w:highlight w:val="yellow"/>
              </w:rPr>
            </w:pPr>
          </w:p>
        </w:tc>
        <w:tc>
          <w:tcPr>
            <w:tcW w:w="540" w:type="dxa"/>
          </w:tcPr>
          <w:p w14:paraId="78458872" w14:textId="77777777" w:rsidR="000944F2" w:rsidRPr="008F6730" w:rsidRDefault="000944F2" w:rsidP="000944F2">
            <w:pPr>
              <w:ind w:right="-29"/>
              <w:jc w:val="center"/>
              <w:rPr>
                <w:noProof/>
                <w:sz w:val="18"/>
                <w:szCs w:val="18"/>
                <w:highlight w:val="yellow"/>
              </w:rPr>
            </w:pPr>
          </w:p>
        </w:tc>
        <w:tc>
          <w:tcPr>
            <w:tcW w:w="720" w:type="dxa"/>
          </w:tcPr>
          <w:p w14:paraId="1E9074B4" w14:textId="77777777" w:rsidR="000944F2" w:rsidRPr="008F6730" w:rsidRDefault="000944F2" w:rsidP="000944F2">
            <w:pPr>
              <w:ind w:right="-29"/>
              <w:jc w:val="center"/>
              <w:rPr>
                <w:noProof/>
                <w:sz w:val="18"/>
                <w:szCs w:val="18"/>
                <w:highlight w:val="yellow"/>
              </w:rPr>
            </w:pPr>
          </w:p>
        </w:tc>
        <w:tc>
          <w:tcPr>
            <w:tcW w:w="720" w:type="dxa"/>
          </w:tcPr>
          <w:p w14:paraId="26D9D776" w14:textId="77777777" w:rsidR="000944F2" w:rsidRPr="008F6730" w:rsidRDefault="000944F2" w:rsidP="000944F2">
            <w:pPr>
              <w:ind w:right="-29"/>
              <w:jc w:val="center"/>
              <w:rPr>
                <w:noProof/>
                <w:sz w:val="18"/>
                <w:szCs w:val="18"/>
                <w:highlight w:val="yellow"/>
              </w:rPr>
            </w:pPr>
          </w:p>
        </w:tc>
        <w:tc>
          <w:tcPr>
            <w:tcW w:w="720" w:type="dxa"/>
          </w:tcPr>
          <w:p w14:paraId="0E2B9AF1" w14:textId="77777777" w:rsidR="000944F2" w:rsidRPr="008F6730" w:rsidRDefault="000944F2" w:rsidP="000944F2">
            <w:pPr>
              <w:ind w:right="-29"/>
              <w:jc w:val="center"/>
              <w:rPr>
                <w:noProof/>
                <w:sz w:val="18"/>
                <w:szCs w:val="18"/>
                <w:highlight w:val="yellow"/>
              </w:rPr>
            </w:pPr>
          </w:p>
        </w:tc>
        <w:tc>
          <w:tcPr>
            <w:tcW w:w="900" w:type="dxa"/>
          </w:tcPr>
          <w:p w14:paraId="39E3D78F" w14:textId="77777777" w:rsidR="000944F2" w:rsidRPr="008F6730" w:rsidRDefault="000944F2" w:rsidP="000944F2">
            <w:pPr>
              <w:ind w:right="-29"/>
              <w:jc w:val="center"/>
              <w:rPr>
                <w:noProof/>
                <w:sz w:val="18"/>
                <w:szCs w:val="18"/>
                <w:highlight w:val="yellow"/>
              </w:rPr>
            </w:pPr>
          </w:p>
        </w:tc>
        <w:tc>
          <w:tcPr>
            <w:tcW w:w="720" w:type="dxa"/>
            <w:gridSpan w:val="2"/>
          </w:tcPr>
          <w:p w14:paraId="74D151C7" w14:textId="77777777" w:rsidR="000944F2" w:rsidRPr="008F6730" w:rsidRDefault="000944F2" w:rsidP="000944F2">
            <w:pPr>
              <w:ind w:right="-29"/>
              <w:jc w:val="center"/>
              <w:rPr>
                <w:noProof/>
                <w:sz w:val="18"/>
                <w:szCs w:val="18"/>
                <w:highlight w:val="yellow"/>
              </w:rPr>
            </w:pPr>
          </w:p>
        </w:tc>
        <w:tc>
          <w:tcPr>
            <w:tcW w:w="540" w:type="dxa"/>
          </w:tcPr>
          <w:p w14:paraId="1D3B2E6A" w14:textId="77777777" w:rsidR="000944F2" w:rsidRPr="008F6730" w:rsidRDefault="000944F2" w:rsidP="000944F2">
            <w:pPr>
              <w:ind w:right="-29"/>
              <w:jc w:val="center"/>
              <w:rPr>
                <w:noProof/>
                <w:sz w:val="18"/>
                <w:szCs w:val="18"/>
                <w:highlight w:val="yellow"/>
              </w:rPr>
            </w:pPr>
          </w:p>
        </w:tc>
        <w:tc>
          <w:tcPr>
            <w:tcW w:w="648" w:type="dxa"/>
          </w:tcPr>
          <w:p w14:paraId="02705A60" w14:textId="77777777" w:rsidR="000944F2" w:rsidRPr="008F6730" w:rsidRDefault="000944F2" w:rsidP="000944F2">
            <w:pPr>
              <w:ind w:right="-29"/>
              <w:jc w:val="center"/>
              <w:rPr>
                <w:noProof/>
                <w:sz w:val="18"/>
                <w:szCs w:val="18"/>
                <w:highlight w:val="yellow"/>
              </w:rPr>
            </w:pPr>
          </w:p>
        </w:tc>
        <w:tc>
          <w:tcPr>
            <w:tcW w:w="432" w:type="dxa"/>
          </w:tcPr>
          <w:p w14:paraId="2B47BB64" w14:textId="77777777" w:rsidR="000944F2" w:rsidRPr="008F6730" w:rsidRDefault="000944F2" w:rsidP="000944F2">
            <w:pPr>
              <w:ind w:right="-29"/>
              <w:jc w:val="center"/>
              <w:rPr>
                <w:noProof/>
                <w:sz w:val="18"/>
                <w:szCs w:val="18"/>
                <w:highlight w:val="yellow"/>
              </w:rPr>
            </w:pPr>
          </w:p>
        </w:tc>
        <w:tc>
          <w:tcPr>
            <w:tcW w:w="720" w:type="dxa"/>
          </w:tcPr>
          <w:p w14:paraId="79ECACBD" w14:textId="77777777" w:rsidR="000944F2" w:rsidRPr="008F6730" w:rsidRDefault="000944F2" w:rsidP="000944F2">
            <w:pPr>
              <w:ind w:right="-29"/>
              <w:jc w:val="center"/>
              <w:rPr>
                <w:noProof/>
                <w:sz w:val="18"/>
                <w:szCs w:val="18"/>
                <w:highlight w:val="yellow"/>
              </w:rPr>
            </w:pPr>
          </w:p>
        </w:tc>
        <w:tc>
          <w:tcPr>
            <w:tcW w:w="540" w:type="dxa"/>
          </w:tcPr>
          <w:p w14:paraId="07ABD576" w14:textId="77777777" w:rsidR="000944F2" w:rsidRPr="008F6730" w:rsidRDefault="000944F2" w:rsidP="000944F2">
            <w:pPr>
              <w:ind w:right="-29"/>
              <w:jc w:val="center"/>
              <w:rPr>
                <w:noProof/>
                <w:sz w:val="18"/>
                <w:szCs w:val="18"/>
                <w:highlight w:val="yellow"/>
              </w:rPr>
            </w:pPr>
          </w:p>
        </w:tc>
        <w:tc>
          <w:tcPr>
            <w:tcW w:w="720" w:type="dxa"/>
          </w:tcPr>
          <w:p w14:paraId="6628BAA6" w14:textId="77777777" w:rsidR="000944F2" w:rsidRPr="008F6730" w:rsidRDefault="000944F2" w:rsidP="000944F2">
            <w:pPr>
              <w:ind w:right="-29"/>
              <w:jc w:val="center"/>
              <w:rPr>
                <w:noProof/>
                <w:sz w:val="18"/>
                <w:szCs w:val="18"/>
                <w:highlight w:val="yellow"/>
              </w:rPr>
            </w:pPr>
          </w:p>
        </w:tc>
        <w:tc>
          <w:tcPr>
            <w:tcW w:w="720" w:type="dxa"/>
          </w:tcPr>
          <w:p w14:paraId="438D67A4" w14:textId="77777777" w:rsidR="000944F2" w:rsidRPr="008F6730" w:rsidRDefault="000944F2" w:rsidP="000944F2">
            <w:pPr>
              <w:ind w:right="-29"/>
              <w:jc w:val="center"/>
              <w:rPr>
                <w:noProof/>
                <w:sz w:val="18"/>
                <w:szCs w:val="18"/>
                <w:highlight w:val="yellow"/>
              </w:rPr>
            </w:pPr>
          </w:p>
        </w:tc>
        <w:tc>
          <w:tcPr>
            <w:tcW w:w="900" w:type="dxa"/>
          </w:tcPr>
          <w:p w14:paraId="22CDE9A7" w14:textId="77777777" w:rsidR="000944F2" w:rsidRPr="008F6730" w:rsidRDefault="000944F2" w:rsidP="000944F2">
            <w:pPr>
              <w:ind w:right="-29"/>
              <w:jc w:val="center"/>
              <w:rPr>
                <w:noProof/>
                <w:sz w:val="18"/>
                <w:szCs w:val="18"/>
                <w:highlight w:val="yellow"/>
              </w:rPr>
            </w:pPr>
          </w:p>
        </w:tc>
      </w:tr>
      <w:tr w:rsidR="000944F2" w:rsidRPr="008F6730" w14:paraId="165E9F13" w14:textId="77777777" w:rsidTr="000944F2">
        <w:trPr>
          <w:jc w:val="center"/>
        </w:trPr>
        <w:tc>
          <w:tcPr>
            <w:tcW w:w="2844" w:type="dxa"/>
            <w:gridSpan w:val="3"/>
            <w:tcBorders>
              <w:bottom w:val="single" w:sz="12" w:space="0" w:color="auto"/>
            </w:tcBorders>
            <w:vAlign w:val="center"/>
          </w:tcPr>
          <w:p w14:paraId="44529ABD" w14:textId="77777777" w:rsidR="000944F2" w:rsidRPr="008F6730" w:rsidRDefault="000944F2" w:rsidP="000944F2">
            <w:pPr>
              <w:jc w:val="center"/>
              <w:rPr>
                <w:noProof/>
                <w:sz w:val="18"/>
                <w:szCs w:val="18"/>
              </w:rPr>
            </w:pPr>
            <w:r w:rsidRPr="008F6730">
              <w:rPr>
                <w:noProof/>
                <w:sz w:val="18"/>
              </w:rPr>
              <w:t>Međuzbroj za posebni cilj br. 2</w:t>
            </w:r>
          </w:p>
        </w:tc>
        <w:tc>
          <w:tcPr>
            <w:tcW w:w="504" w:type="dxa"/>
            <w:tcBorders>
              <w:bottom w:val="single" w:sz="12" w:space="0" w:color="auto"/>
            </w:tcBorders>
          </w:tcPr>
          <w:p w14:paraId="30071C54" w14:textId="77777777" w:rsidR="000944F2" w:rsidRPr="008F6730" w:rsidRDefault="000944F2" w:rsidP="000944F2">
            <w:pPr>
              <w:ind w:right="-29"/>
              <w:jc w:val="center"/>
              <w:rPr>
                <w:noProof/>
                <w:sz w:val="18"/>
                <w:szCs w:val="18"/>
                <w:highlight w:val="yellow"/>
              </w:rPr>
            </w:pPr>
          </w:p>
        </w:tc>
        <w:tc>
          <w:tcPr>
            <w:tcW w:w="720" w:type="dxa"/>
            <w:tcBorders>
              <w:bottom w:val="single" w:sz="12" w:space="0" w:color="auto"/>
            </w:tcBorders>
          </w:tcPr>
          <w:p w14:paraId="1BD689ED" w14:textId="77777777" w:rsidR="000944F2" w:rsidRPr="008F6730" w:rsidRDefault="000944F2" w:rsidP="000944F2">
            <w:pPr>
              <w:ind w:right="-29"/>
              <w:jc w:val="center"/>
              <w:rPr>
                <w:noProof/>
                <w:sz w:val="18"/>
                <w:szCs w:val="18"/>
                <w:highlight w:val="yellow"/>
              </w:rPr>
            </w:pPr>
          </w:p>
        </w:tc>
        <w:tc>
          <w:tcPr>
            <w:tcW w:w="540" w:type="dxa"/>
            <w:tcBorders>
              <w:bottom w:val="single" w:sz="12" w:space="0" w:color="auto"/>
            </w:tcBorders>
          </w:tcPr>
          <w:p w14:paraId="1076008C" w14:textId="77777777" w:rsidR="000944F2" w:rsidRPr="008F6730" w:rsidRDefault="000944F2" w:rsidP="000944F2">
            <w:pPr>
              <w:ind w:right="-29"/>
              <w:jc w:val="center"/>
              <w:rPr>
                <w:noProof/>
                <w:sz w:val="18"/>
                <w:szCs w:val="18"/>
                <w:highlight w:val="yellow"/>
              </w:rPr>
            </w:pPr>
          </w:p>
        </w:tc>
        <w:tc>
          <w:tcPr>
            <w:tcW w:w="720" w:type="dxa"/>
            <w:tcBorders>
              <w:bottom w:val="single" w:sz="12" w:space="0" w:color="auto"/>
            </w:tcBorders>
          </w:tcPr>
          <w:p w14:paraId="19FFBE39" w14:textId="77777777" w:rsidR="000944F2" w:rsidRPr="008F6730" w:rsidRDefault="000944F2" w:rsidP="000944F2">
            <w:pPr>
              <w:ind w:right="-29"/>
              <w:jc w:val="center"/>
              <w:rPr>
                <w:noProof/>
                <w:sz w:val="18"/>
                <w:szCs w:val="18"/>
                <w:highlight w:val="yellow"/>
              </w:rPr>
            </w:pPr>
          </w:p>
        </w:tc>
        <w:tc>
          <w:tcPr>
            <w:tcW w:w="720" w:type="dxa"/>
            <w:tcBorders>
              <w:bottom w:val="single" w:sz="12" w:space="0" w:color="auto"/>
            </w:tcBorders>
          </w:tcPr>
          <w:p w14:paraId="03314F80" w14:textId="77777777" w:rsidR="000944F2" w:rsidRPr="008F6730" w:rsidRDefault="000944F2" w:rsidP="000944F2">
            <w:pPr>
              <w:ind w:right="-29"/>
              <w:jc w:val="center"/>
              <w:rPr>
                <w:noProof/>
                <w:sz w:val="18"/>
                <w:szCs w:val="18"/>
                <w:highlight w:val="yellow"/>
              </w:rPr>
            </w:pPr>
          </w:p>
        </w:tc>
        <w:tc>
          <w:tcPr>
            <w:tcW w:w="720" w:type="dxa"/>
            <w:tcBorders>
              <w:bottom w:val="single" w:sz="12" w:space="0" w:color="auto"/>
            </w:tcBorders>
          </w:tcPr>
          <w:p w14:paraId="15C39D39" w14:textId="77777777" w:rsidR="000944F2" w:rsidRPr="008F6730" w:rsidRDefault="000944F2" w:rsidP="000944F2">
            <w:pPr>
              <w:ind w:right="-29"/>
              <w:jc w:val="center"/>
              <w:rPr>
                <w:noProof/>
                <w:sz w:val="18"/>
                <w:szCs w:val="18"/>
                <w:highlight w:val="yellow"/>
              </w:rPr>
            </w:pPr>
          </w:p>
        </w:tc>
        <w:tc>
          <w:tcPr>
            <w:tcW w:w="951" w:type="dxa"/>
            <w:gridSpan w:val="2"/>
            <w:tcBorders>
              <w:bottom w:val="single" w:sz="12" w:space="0" w:color="auto"/>
            </w:tcBorders>
          </w:tcPr>
          <w:p w14:paraId="0C733E46" w14:textId="77777777" w:rsidR="000944F2" w:rsidRPr="008F6730" w:rsidRDefault="000944F2" w:rsidP="000944F2">
            <w:pPr>
              <w:ind w:right="-29"/>
              <w:jc w:val="center"/>
              <w:rPr>
                <w:noProof/>
                <w:sz w:val="18"/>
                <w:szCs w:val="18"/>
                <w:highlight w:val="yellow"/>
              </w:rPr>
            </w:pPr>
          </w:p>
        </w:tc>
        <w:tc>
          <w:tcPr>
            <w:tcW w:w="669" w:type="dxa"/>
            <w:tcBorders>
              <w:bottom w:val="single" w:sz="12" w:space="0" w:color="auto"/>
            </w:tcBorders>
          </w:tcPr>
          <w:p w14:paraId="3C28AE24" w14:textId="77777777" w:rsidR="000944F2" w:rsidRPr="008F6730" w:rsidRDefault="000944F2" w:rsidP="000944F2">
            <w:pPr>
              <w:ind w:right="-29"/>
              <w:jc w:val="center"/>
              <w:rPr>
                <w:noProof/>
                <w:sz w:val="18"/>
                <w:szCs w:val="18"/>
                <w:highlight w:val="yellow"/>
              </w:rPr>
            </w:pPr>
          </w:p>
        </w:tc>
        <w:tc>
          <w:tcPr>
            <w:tcW w:w="540" w:type="dxa"/>
            <w:tcBorders>
              <w:bottom w:val="single" w:sz="12" w:space="0" w:color="auto"/>
            </w:tcBorders>
          </w:tcPr>
          <w:p w14:paraId="7FAD6315" w14:textId="77777777" w:rsidR="000944F2" w:rsidRPr="008F6730" w:rsidRDefault="000944F2" w:rsidP="000944F2">
            <w:pPr>
              <w:ind w:right="-29"/>
              <w:jc w:val="center"/>
              <w:rPr>
                <w:noProof/>
                <w:sz w:val="18"/>
                <w:szCs w:val="18"/>
                <w:highlight w:val="yellow"/>
              </w:rPr>
            </w:pPr>
          </w:p>
        </w:tc>
        <w:tc>
          <w:tcPr>
            <w:tcW w:w="648" w:type="dxa"/>
            <w:tcBorders>
              <w:bottom w:val="single" w:sz="12" w:space="0" w:color="auto"/>
            </w:tcBorders>
          </w:tcPr>
          <w:p w14:paraId="39BF0BD3" w14:textId="77777777" w:rsidR="000944F2" w:rsidRPr="008F6730" w:rsidRDefault="000944F2" w:rsidP="000944F2">
            <w:pPr>
              <w:ind w:right="-29"/>
              <w:jc w:val="center"/>
              <w:rPr>
                <w:noProof/>
                <w:sz w:val="18"/>
                <w:szCs w:val="18"/>
                <w:highlight w:val="yellow"/>
              </w:rPr>
            </w:pPr>
          </w:p>
        </w:tc>
        <w:tc>
          <w:tcPr>
            <w:tcW w:w="432" w:type="dxa"/>
            <w:tcBorders>
              <w:bottom w:val="single" w:sz="12" w:space="0" w:color="auto"/>
            </w:tcBorders>
          </w:tcPr>
          <w:p w14:paraId="71356668" w14:textId="77777777" w:rsidR="000944F2" w:rsidRPr="008F6730" w:rsidRDefault="000944F2" w:rsidP="000944F2">
            <w:pPr>
              <w:ind w:right="-29"/>
              <w:jc w:val="center"/>
              <w:rPr>
                <w:noProof/>
                <w:sz w:val="18"/>
                <w:szCs w:val="18"/>
                <w:highlight w:val="yellow"/>
              </w:rPr>
            </w:pPr>
          </w:p>
        </w:tc>
        <w:tc>
          <w:tcPr>
            <w:tcW w:w="720" w:type="dxa"/>
            <w:tcBorders>
              <w:bottom w:val="single" w:sz="12" w:space="0" w:color="auto"/>
            </w:tcBorders>
          </w:tcPr>
          <w:p w14:paraId="28A68BEF" w14:textId="77777777" w:rsidR="000944F2" w:rsidRPr="008F6730" w:rsidRDefault="000944F2" w:rsidP="000944F2">
            <w:pPr>
              <w:ind w:right="-29"/>
              <w:jc w:val="center"/>
              <w:rPr>
                <w:noProof/>
                <w:sz w:val="18"/>
                <w:szCs w:val="18"/>
                <w:highlight w:val="yellow"/>
              </w:rPr>
            </w:pPr>
          </w:p>
        </w:tc>
        <w:tc>
          <w:tcPr>
            <w:tcW w:w="540" w:type="dxa"/>
            <w:tcBorders>
              <w:bottom w:val="single" w:sz="12" w:space="0" w:color="auto"/>
            </w:tcBorders>
          </w:tcPr>
          <w:p w14:paraId="185315E3" w14:textId="77777777" w:rsidR="000944F2" w:rsidRPr="008F6730" w:rsidRDefault="000944F2" w:rsidP="000944F2">
            <w:pPr>
              <w:ind w:right="-29"/>
              <w:jc w:val="center"/>
              <w:rPr>
                <w:noProof/>
                <w:sz w:val="18"/>
                <w:szCs w:val="18"/>
                <w:highlight w:val="yellow"/>
              </w:rPr>
            </w:pPr>
          </w:p>
        </w:tc>
        <w:tc>
          <w:tcPr>
            <w:tcW w:w="720" w:type="dxa"/>
            <w:tcBorders>
              <w:bottom w:val="single" w:sz="12" w:space="0" w:color="auto"/>
            </w:tcBorders>
          </w:tcPr>
          <w:p w14:paraId="467B5292" w14:textId="77777777" w:rsidR="000944F2" w:rsidRPr="008F6730" w:rsidRDefault="000944F2" w:rsidP="000944F2">
            <w:pPr>
              <w:ind w:right="-29"/>
              <w:jc w:val="center"/>
              <w:rPr>
                <w:noProof/>
                <w:sz w:val="18"/>
                <w:szCs w:val="18"/>
                <w:highlight w:val="yellow"/>
              </w:rPr>
            </w:pPr>
          </w:p>
        </w:tc>
        <w:tc>
          <w:tcPr>
            <w:tcW w:w="720" w:type="dxa"/>
            <w:tcBorders>
              <w:bottom w:val="single" w:sz="12" w:space="0" w:color="auto"/>
            </w:tcBorders>
          </w:tcPr>
          <w:p w14:paraId="041B9238" w14:textId="77777777" w:rsidR="000944F2" w:rsidRPr="008F6730" w:rsidRDefault="000944F2" w:rsidP="000944F2">
            <w:pPr>
              <w:ind w:right="-29"/>
              <w:jc w:val="center"/>
              <w:rPr>
                <w:noProof/>
                <w:sz w:val="18"/>
                <w:szCs w:val="18"/>
                <w:highlight w:val="yellow"/>
              </w:rPr>
            </w:pPr>
          </w:p>
        </w:tc>
        <w:tc>
          <w:tcPr>
            <w:tcW w:w="900" w:type="dxa"/>
            <w:tcBorders>
              <w:bottom w:val="single" w:sz="12" w:space="0" w:color="auto"/>
            </w:tcBorders>
          </w:tcPr>
          <w:p w14:paraId="30C52664" w14:textId="77777777" w:rsidR="000944F2" w:rsidRPr="008F6730" w:rsidRDefault="000944F2" w:rsidP="000944F2">
            <w:pPr>
              <w:ind w:right="-29"/>
              <w:jc w:val="center"/>
              <w:rPr>
                <w:noProof/>
                <w:sz w:val="18"/>
                <w:szCs w:val="18"/>
                <w:highlight w:val="yellow"/>
              </w:rPr>
            </w:pPr>
          </w:p>
        </w:tc>
      </w:tr>
      <w:tr w:rsidR="000944F2" w:rsidRPr="008F6730" w14:paraId="6BABB304" w14:textId="77777777" w:rsidTr="000944F2">
        <w:trPr>
          <w:jc w:val="center"/>
        </w:trPr>
        <w:tc>
          <w:tcPr>
            <w:tcW w:w="2844" w:type="dxa"/>
            <w:gridSpan w:val="3"/>
            <w:tcBorders>
              <w:top w:val="single" w:sz="12" w:space="0" w:color="auto"/>
              <w:left w:val="single" w:sz="12" w:space="0" w:color="auto"/>
              <w:bottom w:val="single" w:sz="12" w:space="0" w:color="auto"/>
            </w:tcBorders>
            <w:vAlign w:val="center"/>
          </w:tcPr>
          <w:p w14:paraId="47096016" w14:textId="77777777" w:rsidR="000944F2" w:rsidRPr="008F6730" w:rsidRDefault="000944F2" w:rsidP="000944F2">
            <w:pPr>
              <w:ind w:right="-29"/>
              <w:jc w:val="center"/>
              <w:rPr>
                <w:noProof/>
                <w:sz w:val="18"/>
                <w:szCs w:val="18"/>
              </w:rPr>
            </w:pPr>
            <w:r w:rsidRPr="008F6730">
              <w:rPr>
                <w:b/>
                <w:noProof/>
                <w:sz w:val="18"/>
              </w:rPr>
              <w:t>UKUPNO</w:t>
            </w:r>
          </w:p>
        </w:tc>
        <w:tc>
          <w:tcPr>
            <w:tcW w:w="504" w:type="dxa"/>
            <w:tcBorders>
              <w:top w:val="single" w:sz="12" w:space="0" w:color="auto"/>
              <w:bottom w:val="single" w:sz="12" w:space="0" w:color="auto"/>
            </w:tcBorders>
          </w:tcPr>
          <w:p w14:paraId="4DB81112" w14:textId="77777777" w:rsidR="000944F2" w:rsidRPr="008F6730" w:rsidRDefault="000944F2" w:rsidP="000944F2">
            <w:pPr>
              <w:spacing w:before="180" w:after="180"/>
              <w:ind w:right="-29"/>
              <w:jc w:val="center"/>
              <w:rPr>
                <w:noProof/>
                <w:sz w:val="18"/>
                <w:szCs w:val="18"/>
              </w:rPr>
            </w:pPr>
          </w:p>
        </w:tc>
        <w:tc>
          <w:tcPr>
            <w:tcW w:w="720" w:type="dxa"/>
            <w:tcBorders>
              <w:top w:val="single" w:sz="12" w:space="0" w:color="auto"/>
              <w:bottom w:val="single" w:sz="12" w:space="0" w:color="auto"/>
            </w:tcBorders>
          </w:tcPr>
          <w:p w14:paraId="2973BAA7" w14:textId="77777777" w:rsidR="000944F2" w:rsidRPr="008F6730" w:rsidRDefault="000944F2" w:rsidP="000944F2">
            <w:pPr>
              <w:spacing w:before="180" w:after="180"/>
              <w:ind w:right="-29"/>
              <w:jc w:val="center"/>
              <w:rPr>
                <w:noProof/>
                <w:sz w:val="18"/>
                <w:szCs w:val="18"/>
              </w:rPr>
            </w:pPr>
          </w:p>
        </w:tc>
        <w:tc>
          <w:tcPr>
            <w:tcW w:w="540" w:type="dxa"/>
            <w:tcBorders>
              <w:top w:val="single" w:sz="12" w:space="0" w:color="auto"/>
              <w:bottom w:val="single" w:sz="12" w:space="0" w:color="auto"/>
            </w:tcBorders>
          </w:tcPr>
          <w:p w14:paraId="57CC6DB6" w14:textId="77777777" w:rsidR="000944F2" w:rsidRPr="008F6730" w:rsidRDefault="000944F2" w:rsidP="000944F2">
            <w:pPr>
              <w:spacing w:before="180" w:after="180"/>
              <w:ind w:right="-29"/>
              <w:jc w:val="center"/>
              <w:rPr>
                <w:noProof/>
                <w:sz w:val="18"/>
                <w:szCs w:val="18"/>
              </w:rPr>
            </w:pPr>
          </w:p>
        </w:tc>
        <w:tc>
          <w:tcPr>
            <w:tcW w:w="720" w:type="dxa"/>
            <w:tcBorders>
              <w:top w:val="single" w:sz="12" w:space="0" w:color="auto"/>
              <w:bottom w:val="single" w:sz="12" w:space="0" w:color="auto"/>
            </w:tcBorders>
          </w:tcPr>
          <w:p w14:paraId="5899BF2D" w14:textId="77777777" w:rsidR="000944F2" w:rsidRPr="008F6730" w:rsidRDefault="000944F2" w:rsidP="000944F2">
            <w:pPr>
              <w:spacing w:before="180" w:after="180"/>
              <w:ind w:right="-29"/>
              <w:jc w:val="center"/>
              <w:rPr>
                <w:noProof/>
                <w:sz w:val="18"/>
                <w:szCs w:val="18"/>
              </w:rPr>
            </w:pPr>
          </w:p>
        </w:tc>
        <w:tc>
          <w:tcPr>
            <w:tcW w:w="720" w:type="dxa"/>
            <w:tcBorders>
              <w:top w:val="single" w:sz="12" w:space="0" w:color="auto"/>
              <w:bottom w:val="single" w:sz="12" w:space="0" w:color="auto"/>
            </w:tcBorders>
          </w:tcPr>
          <w:p w14:paraId="1D47F5F2" w14:textId="77777777" w:rsidR="000944F2" w:rsidRPr="008F6730" w:rsidRDefault="000944F2" w:rsidP="000944F2">
            <w:pPr>
              <w:spacing w:before="180" w:after="180"/>
              <w:ind w:right="-29"/>
              <w:jc w:val="center"/>
              <w:rPr>
                <w:noProof/>
                <w:sz w:val="18"/>
                <w:szCs w:val="18"/>
              </w:rPr>
            </w:pPr>
          </w:p>
        </w:tc>
        <w:tc>
          <w:tcPr>
            <w:tcW w:w="720" w:type="dxa"/>
            <w:tcBorders>
              <w:top w:val="single" w:sz="12" w:space="0" w:color="auto"/>
              <w:bottom w:val="single" w:sz="12" w:space="0" w:color="auto"/>
            </w:tcBorders>
          </w:tcPr>
          <w:p w14:paraId="6CB2FB29" w14:textId="77777777" w:rsidR="000944F2" w:rsidRPr="008F6730" w:rsidRDefault="000944F2" w:rsidP="000944F2">
            <w:pPr>
              <w:spacing w:before="180" w:after="180"/>
              <w:ind w:right="-29"/>
              <w:jc w:val="center"/>
              <w:rPr>
                <w:noProof/>
                <w:sz w:val="18"/>
                <w:szCs w:val="18"/>
              </w:rPr>
            </w:pPr>
          </w:p>
        </w:tc>
        <w:tc>
          <w:tcPr>
            <w:tcW w:w="900" w:type="dxa"/>
            <w:tcBorders>
              <w:top w:val="single" w:sz="12" w:space="0" w:color="auto"/>
              <w:bottom w:val="single" w:sz="12" w:space="0" w:color="auto"/>
            </w:tcBorders>
          </w:tcPr>
          <w:p w14:paraId="295A4137" w14:textId="77777777" w:rsidR="000944F2" w:rsidRPr="008F6730" w:rsidRDefault="000944F2" w:rsidP="000944F2">
            <w:pPr>
              <w:spacing w:before="180" w:after="180"/>
              <w:ind w:right="-29"/>
              <w:jc w:val="center"/>
              <w:rPr>
                <w:noProof/>
                <w:sz w:val="18"/>
                <w:szCs w:val="18"/>
              </w:rPr>
            </w:pPr>
          </w:p>
        </w:tc>
        <w:tc>
          <w:tcPr>
            <w:tcW w:w="720" w:type="dxa"/>
            <w:gridSpan w:val="2"/>
            <w:tcBorders>
              <w:top w:val="single" w:sz="12" w:space="0" w:color="auto"/>
              <w:bottom w:val="single" w:sz="12" w:space="0" w:color="auto"/>
            </w:tcBorders>
          </w:tcPr>
          <w:p w14:paraId="0684B56C" w14:textId="77777777" w:rsidR="000944F2" w:rsidRPr="008F6730" w:rsidRDefault="000944F2" w:rsidP="000944F2">
            <w:pPr>
              <w:spacing w:before="180" w:after="180"/>
              <w:ind w:right="-29"/>
              <w:jc w:val="center"/>
              <w:rPr>
                <w:noProof/>
                <w:sz w:val="18"/>
                <w:szCs w:val="18"/>
              </w:rPr>
            </w:pPr>
          </w:p>
        </w:tc>
        <w:tc>
          <w:tcPr>
            <w:tcW w:w="540" w:type="dxa"/>
            <w:tcBorders>
              <w:top w:val="single" w:sz="12" w:space="0" w:color="auto"/>
              <w:bottom w:val="single" w:sz="12" w:space="0" w:color="auto"/>
            </w:tcBorders>
          </w:tcPr>
          <w:p w14:paraId="2C30ACEE" w14:textId="77777777" w:rsidR="000944F2" w:rsidRPr="008F6730" w:rsidRDefault="000944F2" w:rsidP="000944F2">
            <w:pPr>
              <w:spacing w:before="180" w:after="180"/>
              <w:ind w:right="-29"/>
              <w:jc w:val="center"/>
              <w:rPr>
                <w:noProof/>
                <w:sz w:val="18"/>
                <w:szCs w:val="18"/>
              </w:rPr>
            </w:pPr>
          </w:p>
        </w:tc>
        <w:tc>
          <w:tcPr>
            <w:tcW w:w="648" w:type="dxa"/>
            <w:tcBorders>
              <w:top w:val="single" w:sz="12" w:space="0" w:color="auto"/>
              <w:bottom w:val="single" w:sz="12" w:space="0" w:color="auto"/>
            </w:tcBorders>
          </w:tcPr>
          <w:p w14:paraId="6266DEE1" w14:textId="77777777" w:rsidR="000944F2" w:rsidRPr="008F6730" w:rsidRDefault="000944F2" w:rsidP="000944F2">
            <w:pPr>
              <w:spacing w:before="180" w:after="180"/>
              <w:ind w:right="-29"/>
              <w:jc w:val="center"/>
              <w:rPr>
                <w:noProof/>
                <w:sz w:val="18"/>
                <w:szCs w:val="18"/>
              </w:rPr>
            </w:pPr>
          </w:p>
        </w:tc>
        <w:tc>
          <w:tcPr>
            <w:tcW w:w="432" w:type="dxa"/>
            <w:tcBorders>
              <w:top w:val="single" w:sz="12" w:space="0" w:color="auto"/>
              <w:bottom w:val="single" w:sz="12" w:space="0" w:color="auto"/>
            </w:tcBorders>
          </w:tcPr>
          <w:p w14:paraId="1F815553" w14:textId="77777777" w:rsidR="000944F2" w:rsidRPr="008F6730" w:rsidRDefault="000944F2" w:rsidP="000944F2">
            <w:pPr>
              <w:spacing w:before="180" w:after="180"/>
              <w:ind w:right="-29"/>
              <w:jc w:val="center"/>
              <w:rPr>
                <w:noProof/>
                <w:sz w:val="18"/>
                <w:szCs w:val="18"/>
              </w:rPr>
            </w:pPr>
          </w:p>
        </w:tc>
        <w:tc>
          <w:tcPr>
            <w:tcW w:w="720" w:type="dxa"/>
            <w:tcBorders>
              <w:top w:val="single" w:sz="12" w:space="0" w:color="auto"/>
              <w:bottom w:val="single" w:sz="12" w:space="0" w:color="auto"/>
            </w:tcBorders>
          </w:tcPr>
          <w:p w14:paraId="3FB32718" w14:textId="77777777" w:rsidR="000944F2" w:rsidRPr="008F6730" w:rsidRDefault="000944F2" w:rsidP="000944F2">
            <w:pPr>
              <w:spacing w:before="180" w:after="180"/>
              <w:ind w:right="-29"/>
              <w:jc w:val="center"/>
              <w:rPr>
                <w:noProof/>
                <w:sz w:val="18"/>
                <w:szCs w:val="18"/>
              </w:rPr>
            </w:pPr>
          </w:p>
        </w:tc>
        <w:tc>
          <w:tcPr>
            <w:tcW w:w="540" w:type="dxa"/>
            <w:tcBorders>
              <w:top w:val="single" w:sz="12" w:space="0" w:color="auto"/>
              <w:bottom w:val="single" w:sz="12" w:space="0" w:color="auto"/>
            </w:tcBorders>
          </w:tcPr>
          <w:p w14:paraId="56EFAAAB" w14:textId="77777777" w:rsidR="000944F2" w:rsidRPr="008F6730" w:rsidRDefault="000944F2" w:rsidP="000944F2">
            <w:pPr>
              <w:spacing w:before="180" w:after="180"/>
              <w:ind w:right="-29"/>
              <w:jc w:val="center"/>
              <w:rPr>
                <w:noProof/>
                <w:sz w:val="18"/>
                <w:szCs w:val="18"/>
              </w:rPr>
            </w:pPr>
          </w:p>
        </w:tc>
        <w:tc>
          <w:tcPr>
            <w:tcW w:w="720" w:type="dxa"/>
            <w:tcBorders>
              <w:top w:val="single" w:sz="12" w:space="0" w:color="auto"/>
              <w:bottom w:val="single" w:sz="12" w:space="0" w:color="auto"/>
            </w:tcBorders>
          </w:tcPr>
          <w:p w14:paraId="437351FD" w14:textId="77777777" w:rsidR="000944F2" w:rsidRPr="008F6730" w:rsidRDefault="000944F2" w:rsidP="000944F2">
            <w:pPr>
              <w:spacing w:before="180" w:after="180"/>
              <w:ind w:right="-29"/>
              <w:jc w:val="center"/>
              <w:rPr>
                <w:noProof/>
                <w:sz w:val="18"/>
                <w:szCs w:val="18"/>
              </w:rPr>
            </w:pPr>
          </w:p>
        </w:tc>
        <w:tc>
          <w:tcPr>
            <w:tcW w:w="720" w:type="dxa"/>
            <w:tcBorders>
              <w:top w:val="single" w:sz="12" w:space="0" w:color="auto"/>
              <w:bottom w:val="single" w:sz="12" w:space="0" w:color="auto"/>
            </w:tcBorders>
          </w:tcPr>
          <w:p w14:paraId="3A1D3805" w14:textId="77777777" w:rsidR="000944F2" w:rsidRPr="008F6730" w:rsidRDefault="000944F2" w:rsidP="000944F2">
            <w:pPr>
              <w:spacing w:before="180" w:after="180"/>
              <w:ind w:right="-29"/>
              <w:jc w:val="center"/>
              <w:rPr>
                <w:noProof/>
                <w:sz w:val="18"/>
                <w:szCs w:val="18"/>
              </w:rPr>
            </w:pPr>
          </w:p>
        </w:tc>
        <w:tc>
          <w:tcPr>
            <w:tcW w:w="900" w:type="dxa"/>
            <w:tcBorders>
              <w:top w:val="single" w:sz="12" w:space="0" w:color="auto"/>
              <w:bottom w:val="single" w:sz="12" w:space="0" w:color="auto"/>
              <w:right w:val="single" w:sz="12" w:space="0" w:color="auto"/>
            </w:tcBorders>
          </w:tcPr>
          <w:p w14:paraId="0DFADAE1" w14:textId="77777777" w:rsidR="000944F2" w:rsidRPr="008F6730" w:rsidRDefault="000944F2" w:rsidP="000944F2">
            <w:pPr>
              <w:spacing w:before="180" w:after="180"/>
              <w:ind w:right="-29"/>
              <w:jc w:val="center"/>
              <w:rPr>
                <w:noProof/>
                <w:sz w:val="18"/>
                <w:szCs w:val="18"/>
              </w:rPr>
            </w:pPr>
          </w:p>
        </w:tc>
      </w:tr>
    </w:tbl>
    <w:p w14:paraId="34FF9305" w14:textId="77777777" w:rsidR="000944F2" w:rsidRPr="008F6730" w:rsidRDefault="000944F2" w:rsidP="000944F2">
      <w:pPr>
        <w:rPr>
          <w:noProof/>
        </w:rPr>
        <w:sectPr w:rsidR="000944F2" w:rsidRPr="008F6730" w:rsidSect="00176A4E">
          <w:headerReference w:type="default" r:id="rId16"/>
          <w:footerReference w:type="default" r:id="rId17"/>
          <w:headerReference w:type="first" r:id="rId18"/>
          <w:footerReference w:type="first" r:id="rId19"/>
          <w:pgSz w:w="16840" w:h="11907" w:orient="landscape" w:code="9"/>
          <w:pgMar w:top="1134" w:right="1418" w:bottom="567" w:left="1418" w:header="709" w:footer="709" w:gutter="0"/>
          <w:cols w:space="708"/>
          <w:docGrid w:linePitch="360"/>
        </w:sectPr>
      </w:pPr>
    </w:p>
    <w:p w14:paraId="4BB7F651" w14:textId="3B25B5DF" w:rsidR="000944F2" w:rsidRPr="008F6730" w:rsidRDefault="009A61FA" w:rsidP="009A61FA">
      <w:pPr>
        <w:pStyle w:val="ManualHeading3"/>
        <w:rPr>
          <w:bCs/>
          <w:noProof/>
          <w:szCs w:val="24"/>
        </w:rPr>
      </w:pPr>
      <w:bookmarkStart w:id="255" w:name="_Toc514938055"/>
      <w:bookmarkStart w:id="256" w:name="_Toc520485054"/>
      <w:bookmarkStart w:id="257" w:name="_Toc125124919"/>
      <w:bookmarkStart w:id="258" w:name="_Toc125125377"/>
      <w:bookmarkStart w:id="259" w:name="_Toc125125622"/>
      <w:bookmarkStart w:id="260" w:name="_Toc125125730"/>
      <w:r w:rsidRPr="009A61FA">
        <w:t>3.2.3.</w:t>
      </w:r>
      <w:r w:rsidRPr="009A61FA">
        <w:tab/>
      </w:r>
      <w:r w:rsidR="000944F2" w:rsidRPr="008F6730">
        <w:rPr>
          <w:noProof/>
        </w:rPr>
        <w:t>Sažetak procijenjenog učinka na administrativna odobrena sredstva</w:t>
      </w:r>
      <w:bookmarkEnd w:id="255"/>
      <w:bookmarkEnd w:id="256"/>
      <w:bookmarkEnd w:id="257"/>
      <w:bookmarkEnd w:id="258"/>
      <w:bookmarkEnd w:id="259"/>
      <w:bookmarkEnd w:id="260"/>
      <w:r w:rsidR="000944F2" w:rsidRPr="008F6730">
        <w:rPr>
          <w:noProof/>
        </w:rPr>
        <w:t xml:space="preserve"> </w:t>
      </w:r>
    </w:p>
    <w:p w14:paraId="6B71508C" w14:textId="77777777" w:rsidR="000944F2" w:rsidRPr="008F6730" w:rsidRDefault="000944F2" w:rsidP="00205ACD">
      <w:pPr>
        <w:pStyle w:val="ListDash1"/>
        <w:ind w:left="720" w:hanging="720"/>
        <w:rPr>
          <w:noProof/>
        </w:rPr>
      </w:pPr>
      <w:r w:rsidRPr="008F6730">
        <w:rPr>
          <w:rFonts w:ascii="Wingdings" w:hAnsi="Wingdings"/>
          <w:noProof/>
        </w:rPr>
        <w:t></w:t>
      </w:r>
      <w:r w:rsidRPr="008F6730">
        <w:rPr>
          <w:noProof/>
        </w:rPr>
        <w:tab/>
        <w:t xml:space="preserve">Za prijedlog/inicijativu nisu potrebna administrativna odobrena sredstva. </w:t>
      </w:r>
    </w:p>
    <w:p w14:paraId="752C03DE" w14:textId="7E96EF58" w:rsidR="000944F2" w:rsidRPr="008F6730" w:rsidRDefault="00B17DE4" w:rsidP="00205ACD">
      <w:pPr>
        <w:ind w:left="720" w:hanging="720"/>
        <w:rPr>
          <w:noProof/>
        </w:rPr>
      </w:pPr>
      <w:r w:rsidRPr="008F6730">
        <w:rPr>
          <w:noProof/>
        </w:rPr>
        <w:sym w:font="Wingdings" w:char="F0FE"/>
      </w:r>
      <w:r w:rsidRPr="008F6730">
        <w:rPr>
          <w:noProof/>
        </w:rPr>
        <w:tab/>
        <w:t>Za prijedlog/inicijativu potrebna su sljedeća administrativna odobrena sredstva:</w:t>
      </w:r>
    </w:p>
    <w:p w14:paraId="349D42FA" w14:textId="77777777" w:rsidR="000944F2" w:rsidRPr="008F6730" w:rsidRDefault="000944F2" w:rsidP="000944F2">
      <w:pPr>
        <w:jc w:val="right"/>
        <w:rPr>
          <w:noProof/>
          <w:sz w:val="20"/>
        </w:rPr>
      </w:pPr>
      <w:r w:rsidRPr="008F6730">
        <w:rPr>
          <w:noProof/>
          <w:sz w:val="20"/>
        </w:rPr>
        <w:t>U milijunima EUR (do 3 decimalna mjesta)</w:t>
      </w:r>
    </w:p>
    <w:tbl>
      <w:tblPr>
        <w:tblW w:w="738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1080"/>
      </w:tblGrid>
      <w:tr w:rsidR="000944F2" w:rsidRPr="008F6730" w14:paraId="33F179F9" w14:textId="77777777" w:rsidTr="000944F2">
        <w:trPr>
          <w:trHeight w:val="585"/>
        </w:trPr>
        <w:tc>
          <w:tcPr>
            <w:tcW w:w="1980" w:type="dxa"/>
          </w:tcPr>
          <w:p w14:paraId="101F36E2" w14:textId="77777777" w:rsidR="000944F2" w:rsidRPr="008F6730" w:rsidRDefault="000944F2" w:rsidP="000944F2">
            <w:pPr>
              <w:spacing w:before="60" w:after="60" w:line="200" w:lineRule="exact"/>
              <w:rPr>
                <w:noProof/>
                <w:sz w:val="16"/>
                <w:szCs w:val="16"/>
              </w:rPr>
            </w:pPr>
          </w:p>
        </w:tc>
        <w:tc>
          <w:tcPr>
            <w:tcW w:w="1080" w:type="dxa"/>
            <w:vAlign w:val="center"/>
          </w:tcPr>
          <w:p w14:paraId="18892936" w14:textId="77777777" w:rsidR="000944F2" w:rsidRPr="008F6730" w:rsidRDefault="000944F2" w:rsidP="000944F2">
            <w:pPr>
              <w:spacing w:before="60" w:after="60" w:line="200" w:lineRule="exact"/>
              <w:jc w:val="center"/>
              <w:rPr>
                <w:noProof/>
                <w:sz w:val="16"/>
                <w:szCs w:val="16"/>
              </w:rPr>
            </w:pPr>
            <w:r w:rsidRPr="008F6730">
              <w:rPr>
                <w:noProof/>
                <w:sz w:val="16"/>
              </w:rPr>
              <w:t>2024.</w:t>
            </w:r>
          </w:p>
        </w:tc>
        <w:tc>
          <w:tcPr>
            <w:tcW w:w="1080" w:type="dxa"/>
            <w:vAlign w:val="center"/>
          </w:tcPr>
          <w:p w14:paraId="60FEBD6E" w14:textId="77777777" w:rsidR="000944F2" w:rsidRPr="008F6730" w:rsidRDefault="000944F2" w:rsidP="000944F2">
            <w:pPr>
              <w:spacing w:before="60" w:after="60" w:line="200" w:lineRule="exact"/>
              <w:jc w:val="center"/>
              <w:rPr>
                <w:noProof/>
                <w:sz w:val="16"/>
                <w:szCs w:val="16"/>
              </w:rPr>
            </w:pPr>
            <w:r w:rsidRPr="008F6730">
              <w:rPr>
                <w:noProof/>
                <w:sz w:val="16"/>
              </w:rPr>
              <w:t>2025.</w:t>
            </w:r>
          </w:p>
        </w:tc>
        <w:tc>
          <w:tcPr>
            <w:tcW w:w="1080" w:type="dxa"/>
            <w:vAlign w:val="center"/>
          </w:tcPr>
          <w:p w14:paraId="27B6035F" w14:textId="77777777" w:rsidR="000944F2" w:rsidRPr="008F6730" w:rsidRDefault="000944F2" w:rsidP="000944F2">
            <w:pPr>
              <w:spacing w:before="60" w:after="60" w:line="200" w:lineRule="exact"/>
              <w:jc w:val="center"/>
              <w:rPr>
                <w:noProof/>
                <w:sz w:val="16"/>
                <w:szCs w:val="16"/>
              </w:rPr>
            </w:pPr>
            <w:r w:rsidRPr="008F6730">
              <w:rPr>
                <w:noProof/>
                <w:sz w:val="16"/>
              </w:rPr>
              <w:t>2026.</w:t>
            </w:r>
          </w:p>
        </w:tc>
        <w:tc>
          <w:tcPr>
            <w:tcW w:w="1080" w:type="dxa"/>
            <w:vAlign w:val="center"/>
          </w:tcPr>
          <w:p w14:paraId="0CAC2842" w14:textId="77777777" w:rsidR="000944F2" w:rsidRPr="008F6730" w:rsidRDefault="000944F2" w:rsidP="000944F2">
            <w:pPr>
              <w:spacing w:before="60" w:after="60" w:line="200" w:lineRule="exact"/>
              <w:jc w:val="center"/>
              <w:rPr>
                <w:noProof/>
                <w:sz w:val="16"/>
                <w:szCs w:val="16"/>
              </w:rPr>
            </w:pPr>
            <w:r w:rsidRPr="008F6730">
              <w:rPr>
                <w:noProof/>
                <w:sz w:val="16"/>
              </w:rPr>
              <w:t>2027.</w:t>
            </w:r>
          </w:p>
        </w:tc>
        <w:tc>
          <w:tcPr>
            <w:tcW w:w="1080" w:type="dxa"/>
            <w:vAlign w:val="center"/>
          </w:tcPr>
          <w:p w14:paraId="43913029" w14:textId="77777777" w:rsidR="000944F2" w:rsidRPr="008F6730" w:rsidRDefault="000944F2" w:rsidP="000944F2">
            <w:pPr>
              <w:spacing w:before="60" w:after="60" w:line="200" w:lineRule="exact"/>
              <w:jc w:val="center"/>
              <w:rPr>
                <w:b/>
                <w:noProof/>
                <w:sz w:val="16"/>
                <w:szCs w:val="16"/>
              </w:rPr>
            </w:pPr>
            <w:r w:rsidRPr="008F6730">
              <w:rPr>
                <w:b/>
                <w:noProof/>
                <w:sz w:val="16"/>
              </w:rPr>
              <w:t>UKUPNO</w:t>
            </w:r>
          </w:p>
        </w:tc>
      </w:tr>
    </w:tbl>
    <w:p w14:paraId="51E12092" w14:textId="77777777" w:rsidR="000944F2" w:rsidRPr="008F6730" w:rsidRDefault="000944F2" w:rsidP="000944F2">
      <w:pPr>
        <w:spacing w:line="200" w:lineRule="exact"/>
        <w:rPr>
          <w:noProof/>
          <w:sz w:val="16"/>
          <w:szCs w:val="16"/>
        </w:rPr>
      </w:pPr>
    </w:p>
    <w:tbl>
      <w:tblPr>
        <w:tblW w:w="738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1080"/>
      </w:tblGrid>
      <w:tr w:rsidR="000944F2" w:rsidRPr="008F6730" w14:paraId="5B66FE89" w14:textId="77777777" w:rsidTr="000944F2">
        <w:trPr>
          <w:trHeight w:val="585"/>
        </w:trPr>
        <w:tc>
          <w:tcPr>
            <w:tcW w:w="1980" w:type="dxa"/>
            <w:shd w:val="clear" w:color="auto" w:fill="CCCCCC"/>
            <w:vAlign w:val="center"/>
          </w:tcPr>
          <w:p w14:paraId="44AB5615" w14:textId="77777777" w:rsidR="000944F2" w:rsidRPr="008F6730" w:rsidRDefault="000944F2" w:rsidP="000944F2">
            <w:pPr>
              <w:spacing w:before="60" w:after="60" w:line="200" w:lineRule="exact"/>
              <w:jc w:val="center"/>
              <w:rPr>
                <w:b/>
                <w:noProof/>
                <w:sz w:val="16"/>
                <w:szCs w:val="16"/>
              </w:rPr>
            </w:pPr>
            <w:r w:rsidRPr="008F6730">
              <w:rPr>
                <w:b/>
                <w:noProof/>
                <w:sz w:val="16"/>
              </w:rPr>
              <w:t>NASLOV 7.</w:t>
            </w:r>
            <w:r w:rsidRPr="008F6730">
              <w:rPr>
                <w:noProof/>
                <w:sz w:val="22"/>
              </w:rPr>
              <w:br/>
            </w:r>
            <w:r w:rsidRPr="008F6730">
              <w:rPr>
                <w:b/>
                <w:noProof/>
                <w:sz w:val="16"/>
              </w:rPr>
              <w:t>višegodišnjeg financijskog okvira</w:t>
            </w:r>
          </w:p>
        </w:tc>
        <w:tc>
          <w:tcPr>
            <w:tcW w:w="1080" w:type="dxa"/>
            <w:vAlign w:val="center"/>
          </w:tcPr>
          <w:p w14:paraId="7C1243AF" w14:textId="77777777" w:rsidR="000944F2" w:rsidRPr="008F6730" w:rsidRDefault="000944F2" w:rsidP="000944F2">
            <w:pPr>
              <w:spacing w:before="60" w:after="60" w:line="200" w:lineRule="exact"/>
              <w:jc w:val="right"/>
              <w:rPr>
                <w:noProof/>
                <w:sz w:val="16"/>
                <w:szCs w:val="16"/>
              </w:rPr>
            </w:pPr>
          </w:p>
        </w:tc>
        <w:tc>
          <w:tcPr>
            <w:tcW w:w="1080" w:type="dxa"/>
            <w:vAlign w:val="center"/>
          </w:tcPr>
          <w:p w14:paraId="63BB8B88" w14:textId="77777777" w:rsidR="000944F2" w:rsidRPr="008F6730" w:rsidRDefault="000944F2" w:rsidP="000944F2">
            <w:pPr>
              <w:spacing w:before="60" w:after="60" w:line="200" w:lineRule="exact"/>
              <w:jc w:val="right"/>
              <w:rPr>
                <w:noProof/>
                <w:sz w:val="16"/>
                <w:szCs w:val="16"/>
              </w:rPr>
            </w:pPr>
          </w:p>
        </w:tc>
        <w:tc>
          <w:tcPr>
            <w:tcW w:w="1080" w:type="dxa"/>
            <w:vAlign w:val="center"/>
          </w:tcPr>
          <w:p w14:paraId="2CE4BD18" w14:textId="77777777" w:rsidR="000944F2" w:rsidRPr="008F6730" w:rsidRDefault="000944F2" w:rsidP="000944F2">
            <w:pPr>
              <w:spacing w:before="60" w:after="60" w:line="200" w:lineRule="exact"/>
              <w:jc w:val="right"/>
              <w:rPr>
                <w:noProof/>
                <w:sz w:val="16"/>
                <w:szCs w:val="16"/>
              </w:rPr>
            </w:pPr>
          </w:p>
        </w:tc>
        <w:tc>
          <w:tcPr>
            <w:tcW w:w="1080" w:type="dxa"/>
            <w:vAlign w:val="center"/>
          </w:tcPr>
          <w:p w14:paraId="5E370FA5" w14:textId="77777777" w:rsidR="000944F2" w:rsidRPr="008F6730" w:rsidRDefault="000944F2" w:rsidP="000944F2">
            <w:pPr>
              <w:spacing w:before="60" w:after="60" w:line="200" w:lineRule="exact"/>
              <w:jc w:val="right"/>
              <w:rPr>
                <w:noProof/>
                <w:sz w:val="16"/>
                <w:szCs w:val="16"/>
              </w:rPr>
            </w:pPr>
          </w:p>
        </w:tc>
        <w:tc>
          <w:tcPr>
            <w:tcW w:w="1080" w:type="dxa"/>
            <w:vAlign w:val="center"/>
          </w:tcPr>
          <w:p w14:paraId="01600330" w14:textId="77777777" w:rsidR="000944F2" w:rsidRPr="008F6730" w:rsidRDefault="000944F2" w:rsidP="000944F2">
            <w:pPr>
              <w:spacing w:before="60" w:after="60" w:line="200" w:lineRule="exact"/>
              <w:jc w:val="right"/>
              <w:rPr>
                <w:b/>
                <w:noProof/>
                <w:sz w:val="16"/>
                <w:szCs w:val="16"/>
              </w:rPr>
            </w:pPr>
          </w:p>
        </w:tc>
      </w:tr>
      <w:tr w:rsidR="000944F2" w:rsidRPr="008F6730" w14:paraId="1862AE99" w14:textId="77777777" w:rsidTr="000944F2">
        <w:trPr>
          <w:trHeight w:val="585"/>
        </w:trPr>
        <w:tc>
          <w:tcPr>
            <w:tcW w:w="1980" w:type="dxa"/>
            <w:vAlign w:val="center"/>
          </w:tcPr>
          <w:p w14:paraId="193FAD28" w14:textId="77777777" w:rsidR="000944F2" w:rsidRPr="008F6730" w:rsidRDefault="000944F2" w:rsidP="000944F2">
            <w:pPr>
              <w:spacing w:before="60" w:after="60" w:line="200" w:lineRule="exact"/>
              <w:ind w:left="72"/>
              <w:jc w:val="left"/>
              <w:rPr>
                <w:noProof/>
                <w:sz w:val="16"/>
                <w:szCs w:val="16"/>
              </w:rPr>
            </w:pPr>
            <w:r w:rsidRPr="008F6730">
              <w:rPr>
                <w:noProof/>
                <w:sz w:val="16"/>
              </w:rPr>
              <w:t xml:space="preserve">Ljudski resursi </w:t>
            </w:r>
          </w:p>
        </w:tc>
        <w:tc>
          <w:tcPr>
            <w:tcW w:w="1080" w:type="dxa"/>
            <w:vAlign w:val="bottom"/>
          </w:tcPr>
          <w:p w14:paraId="3AE29F3D" w14:textId="77777777" w:rsidR="000944F2" w:rsidRPr="008F6730" w:rsidRDefault="000944F2" w:rsidP="000944F2">
            <w:pPr>
              <w:spacing w:before="20" w:after="20"/>
              <w:jc w:val="right"/>
              <w:rPr>
                <w:noProof/>
                <w:sz w:val="20"/>
              </w:rPr>
            </w:pPr>
            <w:r w:rsidRPr="008F6730">
              <w:rPr>
                <w:noProof/>
                <w:sz w:val="20"/>
              </w:rPr>
              <w:t>0,785</w:t>
            </w:r>
          </w:p>
        </w:tc>
        <w:tc>
          <w:tcPr>
            <w:tcW w:w="1080" w:type="dxa"/>
            <w:vAlign w:val="bottom"/>
          </w:tcPr>
          <w:p w14:paraId="2303BA7C" w14:textId="77777777" w:rsidR="000944F2" w:rsidRPr="008F6730" w:rsidRDefault="000944F2" w:rsidP="000944F2">
            <w:pPr>
              <w:spacing w:before="20" w:after="20"/>
              <w:jc w:val="right"/>
              <w:rPr>
                <w:noProof/>
                <w:sz w:val="20"/>
              </w:rPr>
            </w:pPr>
            <w:r w:rsidRPr="008F6730">
              <w:rPr>
                <w:noProof/>
                <w:sz w:val="20"/>
              </w:rPr>
              <w:t>1,099</w:t>
            </w:r>
          </w:p>
        </w:tc>
        <w:tc>
          <w:tcPr>
            <w:tcW w:w="1080" w:type="dxa"/>
            <w:vAlign w:val="bottom"/>
          </w:tcPr>
          <w:p w14:paraId="6115D9EC" w14:textId="77777777" w:rsidR="000944F2" w:rsidRPr="008F6730" w:rsidRDefault="000944F2" w:rsidP="000944F2">
            <w:pPr>
              <w:spacing w:before="20" w:after="20"/>
              <w:jc w:val="right"/>
              <w:rPr>
                <w:noProof/>
                <w:sz w:val="20"/>
              </w:rPr>
            </w:pPr>
            <w:r w:rsidRPr="008F6730">
              <w:rPr>
                <w:noProof/>
                <w:sz w:val="20"/>
              </w:rPr>
              <w:t>1,099</w:t>
            </w:r>
          </w:p>
        </w:tc>
        <w:tc>
          <w:tcPr>
            <w:tcW w:w="1080" w:type="dxa"/>
            <w:vAlign w:val="bottom"/>
          </w:tcPr>
          <w:p w14:paraId="1E561963" w14:textId="77777777" w:rsidR="000944F2" w:rsidRPr="008F6730" w:rsidRDefault="000944F2" w:rsidP="000944F2">
            <w:pPr>
              <w:spacing w:before="20" w:after="20"/>
              <w:jc w:val="right"/>
              <w:rPr>
                <w:noProof/>
                <w:sz w:val="20"/>
              </w:rPr>
            </w:pPr>
            <w:r w:rsidRPr="008F6730">
              <w:rPr>
                <w:noProof/>
                <w:sz w:val="20"/>
              </w:rPr>
              <w:t>1,099</w:t>
            </w:r>
          </w:p>
        </w:tc>
        <w:tc>
          <w:tcPr>
            <w:tcW w:w="1080" w:type="dxa"/>
            <w:vAlign w:val="bottom"/>
          </w:tcPr>
          <w:p w14:paraId="6818BEF5" w14:textId="77777777" w:rsidR="000944F2" w:rsidRPr="008F6730" w:rsidRDefault="000944F2" w:rsidP="000944F2">
            <w:pPr>
              <w:spacing w:before="20" w:after="20"/>
              <w:jc w:val="right"/>
              <w:rPr>
                <w:b/>
                <w:noProof/>
                <w:sz w:val="20"/>
              </w:rPr>
            </w:pPr>
            <w:r w:rsidRPr="008F6730">
              <w:rPr>
                <w:b/>
                <w:noProof/>
                <w:sz w:val="20"/>
              </w:rPr>
              <w:t>4,082</w:t>
            </w:r>
          </w:p>
        </w:tc>
      </w:tr>
      <w:tr w:rsidR="000944F2" w:rsidRPr="008F6730" w14:paraId="3CFF359F" w14:textId="77777777" w:rsidTr="000944F2">
        <w:trPr>
          <w:trHeight w:val="585"/>
        </w:trPr>
        <w:tc>
          <w:tcPr>
            <w:tcW w:w="1980" w:type="dxa"/>
            <w:vAlign w:val="center"/>
          </w:tcPr>
          <w:p w14:paraId="1CD0E526" w14:textId="77777777" w:rsidR="000944F2" w:rsidRPr="008F6730" w:rsidRDefault="000944F2" w:rsidP="000944F2">
            <w:pPr>
              <w:spacing w:before="60" w:after="60" w:line="200" w:lineRule="exact"/>
              <w:ind w:left="72"/>
              <w:jc w:val="left"/>
              <w:rPr>
                <w:noProof/>
                <w:sz w:val="16"/>
              </w:rPr>
            </w:pPr>
            <w:r w:rsidRPr="008F6730">
              <w:rPr>
                <w:noProof/>
                <w:sz w:val="16"/>
              </w:rPr>
              <w:t>Ostali administrativni rashodi</w:t>
            </w:r>
          </w:p>
        </w:tc>
        <w:tc>
          <w:tcPr>
            <w:tcW w:w="1080" w:type="dxa"/>
            <w:vAlign w:val="bottom"/>
          </w:tcPr>
          <w:p w14:paraId="14F393D0" w14:textId="77777777" w:rsidR="000944F2" w:rsidRPr="008F6730" w:rsidRDefault="000944F2" w:rsidP="000944F2">
            <w:pPr>
              <w:spacing w:before="20" w:after="20"/>
              <w:jc w:val="right"/>
              <w:rPr>
                <w:noProof/>
                <w:sz w:val="20"/>
              </w:rPr>
            </w:pPr>
            <w:r w:rsidRPr="008F6730">
              <w:rPr>
                <w:noProof/>
                <w:sz w:val="20"/>
              </w:rPr>
              <w:t>0,070</w:t>
            </w:r>
          </w:p>
        </w:tc>
        <w:tc>
          <w:tcPr>
            <w:tcW w:w="1080" w:type="dxa"/>
            <w:vAlign w:val="bottom"/>
          </w:tcPr>
          <w:p w14:paraId="5F7A3E18" w14:textId="77777777" w:rsidR="000944F2" w:rsidRPr="008F6730" w:rsidRDefault="000944F2" w:rsidP="000944F2">
            <w:pPr>
              <w:spacing w:before="20" w:after="20"/>
              <w:jc w:val="right"/>
              <w:rPr>
                <w:noProof/>
                <w:sz w:val="20"/>
              </w:rPr>
            </w:pPr>
            <w:r w:rsidRPr="008F6730">
              <w:rPr>
                <w:noProof/>
                <w:sz w:val="20"/>
              </w:rPr>
              <w:t>0,070</w:t>
            </w:r>
          </w:p>
        </w:tc>
        <w:tc>
          <w:tcPr>
            <w:tcW w:w="1080" w:type="dxa"/>
            <w:vAlign w:val="bottom"/>
          </w:tcPr>
          <w:p w14:paraId="6FAD0D03" w14:textId="77777777" w:rsidR="000944F2" w:rsidRPr="008F6730" w:rsidRDefault="000944F2" w:rsidP="000944F2">
            <w:pPr>
              <w:spacing w:before="20" w:after="20"/>
              <w:jc w:val="right"/>
              <w:rPr>
                <w:noProof/>
                <w:sz w:val="20"/>
              </w:rPr>
            </w:pPr>
            <w:r w:rsidRPr="008F6730">
              <w:rPr>
                <w:noProof/>
                <w:sz w:val="20"/>
              </w:rPr>
              <w:t>0,070</w:t>
            </w:r>
          </w:p>
        </w:tc>
        <w:tc>
          <w:tcPr>
            <w:tcW w:w="1080" w:type="dxa"/>
            <w:vAlign w:val="bottom"/>
          </w:tcPr>
          <w:p w14:paraId="5CD91450" w14:textId="77777777" w:rsidR="000944F2" w:rsidRPr="008F6730" w:rsidRDefault="000944F2" w:rsidP="000944F2">
            <w:pPr>
              <w:spacing w:before="20" w:after="20"/>
              <w:jc w:val="right"/>
              <w:rPr>
                <w:noProof/>
                <w:sz w:val="20"/>
              </w:rPr>
            </w:pPr>
            <w:r w:rsidRPr="008F6730">
              <w:rPr>
                <w:noProof/>
                <w:sz w:val="20"/>
              </w:rPr>
              <w:t>0,070</w:t>
            </w:r>
          </w:p>
        </w:tc>
        <w:tc>
          <w:tcPr>
            <w:tcW w:w="1080" w:type="dxa"/>
            <w:vAlign w:val="bottom"/>
          </w:tcPr>
          <w:p w14:paraId="0EED3461" w14:textId="77777777" w:rsidR="000944F2" w:rsidRPr="008F6730" w:rsidRDefault="000944F2" w:rsidP="000944F2">
            <w:pPr>
              <w:spacing w:before="20" w:after="20"/>
              <w:jc w:val="right"/>
              <w:rPr>
                <w:b/>
                <w:noProof/>
                <w:sz w:val="20"/>
              </w:rPr>
            </w:pPr>
            <w:r w:rsidRPr="008F6730">
              <w:rPr>
                <w:b/>
                <w:noProof/>
                <w:sz w:val="20"/>
              </w:rPr>
              <w:t>0,280</w:t>
            </w:r>
          </w:p>
        </w:tc>
      </w:tr>
      <w:tr w:rsidR="000944F2" w:rsidRPr="008F6730" w14:paraId="6B189EBE" w14:textId="77777777" w:rsidTr="000944F2">
        <w:trPr>
          <w:trHeight w:val="585"/>
        </w:trPr>
        <w:tc>
          <w:tcPr>
            <w:tcW w:w="1980" w:type="dxa"/>
            <w:shd w:val="clear" w:color="auto" w:fill="CCCCCC"/>
            <w:vAlign w:val="center"/>
          </w:tcPr>
          <w:p w14:paraId="25B8DA13" w14:textId="77777777" w:rsidR="000944F2" w:rsidRPr="008F6730" w:rsidRDefault="000944F2" w:rsidP="000944F2">
            <w:pPr>
              <w:spacing w:before="60" w:after="60" w:line="200" w:lineRule="exact"/>
              <w:jc w:val="center"/>
              <w:rPr>
                <w:b/>
                <w:noProof/>
                <w:sz w:val="16"/>
                <w:szCs w:val="16"/>
              </w:rPr>
            </w:pPr>
            <w:r w:rsidRPr="008F6730">
              <w:rPr>
                <w:b/>
                <w:noProof/>
                <w:sz w:val="16"/>
              </w:rPr>
              <w:t>Međuzbroj za NASLOV 7.</w:t>
            </w:r>
            <w:r w:rsidRPr="008F6730">
              <w:rPr>
                <w:noProof/>
                <w:sz w:val="22"/>
              </w:rPr>
              <w:br/>
            </w:r>
            <w:r w:rsidRPr="008F6730">
              <w:rPr>
                <w:b/>
                <w:noProof/>
                <w:sz w:val="16"/>
              </w:rPr>
              <w:t xml:space="preserve">višegodišnjeg financijskog okvira </w:t>
            </w:r>
          </w:p>
        </w:tc>
        <w:tc>
          <w:tcPr>
            <w:tcW w:w="1080" w:type="dxa"/>
            <w:vAlign w:val="bottom"/>
          </w:tcPr>
          <w:p w14:paraId="3F92BF0E" w14:textId="77777777" w:rsidR="000944F2" w:rsidRPr="008F6730" w:rsidRDefault="000944F2" w:rsidP="000944F2">
            <w:pPr>
              <w:spacing w:before="60" w:after="60" w:line="200" w:lineRule="exact"/>
              <w:jc w:val="right"/>
              <w:rPr>
                <w:b/>
                <w:noProof/>
                <w:sz w:val="20"/>
                <w:szCs w:val="20"/>
              </w:rPr>
            </w:pPr>
            <w:r w:rsidRPr="008F6730">
              <w:rPr>
                <w:b/>
                <w:noProof/>
                <w:sz w:val="20"/>
              </w:rPr>
              <w:t>0,855</w:t>
            </w:r>
          </w:p>
        </w:tc>
        <w:tc>
          <w:tcPr>
            <w:tcW w:w="1080" w:type="dxa"/>
            <w:vAlign w:val="bottom"/>
          </w:tcPr>
          <w:p w14:paraId="7BB83FBE" w14:textId="77777777" w:rsidR="000944F2" w:rsidRPr="008F6730" w:rsidRDefault="000944F2" w:rsidP="000944F2">
            <w:pPr>
              <w:spacing w:before="60" w:after="60" w:line="200" w:lineRule="exact"/>
              <w:jc w:val="right"/>
              <w:rPr>
                <w:b/>
                <w:noProof/>
                <w:sz w:val="20"/>
                <w:szCs w:val="20"/>
              </w:rPr>
            </w:pPr>
            <w:r w:rsidRPr="008F6730">
              <w:rPr>
                <w:b/>
                <w:noProof/>
                <w:sz w:val="20"/>
              </w:rPr>
              <w:t>1,169</w:t>
            </w:r>
          </w:p>
        </w:tc>
        <w:tc>
          <w:tcPr>
            <w:tcW w:w="1080" w:type="dxa"/>
            <w:vAlign w:val="bottom"/>
          </w:tcPr>
          <w:p w14:paraId="66725D0C" w14:textId="77777777" w:rsidR="000944F2" w:rsidRPr="008F6730" w:rsidRDefault="000944F2" w:rsidP="000944F2">
            <w:pPr>
              <w:spacing w:before="60" w:after="60" w:line="200" w:lineRule="exact"/>
              <w:jc w:val="right"/>
              <w:rPr>
                <w:b/>
                <w:noProof/>
                <w:sz w:val="20"/>
                <w:szCs w:val="20"/>
              </w:rPr>
            </w:pPr>
            <w:r w:rsidRPr="008F6730">
              <w:rPr>
                <w:b/>
                <w:noProof/>
                <w:sz w:val="20"/>
              </w:rPr>
              <w:t>1,169</w:t>
            </w:r>
          </w:p>
        </w:tc>
        <w:tc>
          <w:tcPr>
            <w:tcW w:w="1080" w:type="dxa"/>
            <w:vAlign w:val="bottom"/>
          </w:tcPr>
          <w:p w14:paraId="4C688D78" w14:textId="77777777" w:rsidR="000944F2" w:rsidRPr="008F6730" w:rsidRDefault="000944F2" w:rsidP="000944F2">
            <w:pPr>
              <w:spacing w:before="60" w:after="60" w:line="200" w:lineRule="exact"/>
              <w:jc w:val="right"/>
              <w:rPr>
                <w:b/>
                <w:noProof/>
                <w:sz w:val="20"/>
                <w:szCs w:val="20"/>
              </w:rPr>
            </w:pPr>
            <w:r w:rsidRPr="008F6730">
              <w:rPr>
                <w:b/>
                <w:noProof/>
                <w:sz w:val="20"/>
              </w:rPr>
              <w:t>1,169</w:t>
            </w:r>
          </w:p>
        </w:tc>
        <w:tc>
          <w:tcPr>
            <w:tcW w:w="1080" w:type="dxa"/>
            <w:vAlign w:val="bottom"/>
          </w:tcPr>
          <w:p w14:paraId="620814F3" w14:textId="77777777" w:rsidR="000944F2" w:rsidRPr="008F6730" w:rsidRDefault="000944F2" w:rsidP="000944F2">
            <w:pPr>
              <w:spacing w:before="60" w:after="60" w:line="200" w:lineRule="exact"/>
              <w:jc w:val="right"/>
              <w:rPr>
                <w:b/>
                <w:noProof/>
                <w:sz w:val="20"/>
                <w:szCs w:val="20"/>
              </w:rPr>
            </w:pPr>
            <w:r w:rsidRPr="008F6730">
              <w:rPr>
                <w:b/>
                <w:noProof/>
                <w:sz w:val="20"/>
              </w:rPr>
              <w:t>4,362</w:t>
            </w:r>
          </w:p>
        </w:tc>
      </w:tr>
    </w:tbl>
    <w:p w14:paraId="2A8ED184" w14:textId="77777777" w:rsidR="000944F2" w:rsidRPr="008F6730" w:rsidRDefault="000944F2" w:rsidP="000944F2">
      <w:pPr>
        <w:spacing w:line="200" w:lineRule="exact"/>
        <w:rPr>
          <w:noProof/>
          <w:sz w:val="16"/>
          <w:szCs w:val="16"/>
        </w:rPr>
      </w:pPr>
    </w:p>
    <w:tbl>
      <w:tblPr>
        <w:tblW w:w="738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1080"/>
      </w:tblGrid>
      <w:tr w:rsidR="000944F2" w:rsidRPr="008F6730" w14:paraId="74FFD2E5" w14:textId="77777777" w:rsidTr="000944F2">
        <w:trPr>
          <w:trHeight w:val="585"/>
        </w:trPr>
        <w:tc>
          <w:tcPr>
            <w:tcW w:w="1980" w:type="dxa"/>
            <w:shd w:val="clear" w:color="auto" w:fill="CCCCCC"/>
            <w:vAlign w:val="center"/>
          </w:tcPr>
          <w:p w14:paraId="44087D69" w14:textId="77777777" w:rsidR="000944F2" w:rsidRPr="008F6730" w:rsidRDefault="000944F2" w:rsidP="000944F2">
            <w:pPr>
              <w:spacing w:before="60" w:after="60" w:line="200" w:lineRule="exact"/>
              <w:jc w:val="center"/>
              <w:rPr>
                <w:noProof/>
                <w:sz w:val="16"/>
                <w:szCs w:val="16"/>
              </w:rPr>
            </w:pPr>
            <w:r w:rsidRPr="008F6730">
              <w:rPr>
                <w:b/>
                <w:noProof/>
                <w:sz w:val="16"/>
              </w:rPr>
              <w:t>Izvan NASLOVA 7.</w:t>
            </w:r>
            <w:r w:rsidRPr="008F6730">
              <w:rPr>
                <w:rStyle w:val="FootnoteReference"/>
                <w:b/>
                <w:noProof/>
                <w:sz w:val="16"/>
              </w:rPr>
              <w:footnoteReference w:id="50"/>
            </w:r>
            <w:r w:rsidRPr="008F6730">
              <w:rPr>
                <w:noProof/>
                <w:sz w:val="22"/>
              </w:rPr>
              <w:br/>
            </w:r>
            <w:r w:rsidRPr="008F6730">
              <w:rPr>
                <w:b/>
                <w:noProof/>
                <w:sz w:val="16"/>
              </w:rPr>
              <w:t xml:space="preserve">višegodišnjeg financijskog okvira </w:t>
            </w:r>
          </w:p>
          <w:p w14:paraId="14BFF16D" w14:textId="77777777" w:rsidR="000944F2" w:rsidRPr="008F6730" w:rsidRDefault="000944F2" w:rsidP="000944F2">
            <w:pPr>
              <w:spacing w:before="0" w:after="0" w:line="200" w:lineRule="exact"/>
              <w:jc w:val="center"/>
              <w:rPr>
                <w:b/>
                <w:noProof/>
                <w:sz w:val="16"/>
                <w:szCs w:val="16"/>
              </w:rPr>
            </w:pPr>
          </w:p>
        </w:tc>
        <w:tc>
          <w:tcPr>
            <w:tcW w:w="1080" w:type="dxa"/>
            <w:vAlign w:val="center"/>
          </w:tcPr>
          <w:p w14:paraId="229D92A1" w14:textId="77777777" w:rsidR="000944F2" w:rsidRPr="008F6730" w:rsidRDefault="000944F2" w:rsidP="000944F2">
            <w:pPr>
              <w:spacing w:before="60" w:after="60" w:line="200" w:lineRule="exact"/>
              <w:jc w:val="right"/>
              <w:rPr>
                <w:noProof/>
                <w:sz w:val="16"/>
                <w:szCs w:val="16"/>
              </w:rPr>
            </w:pPr>
          </w:p>
        </w:tc>
        <w:tc>
          <w:tcPr>
            <w:tcW w:w="1080" w:type="dxa"/>
            <w:vAlign w:val="center"/>
          </w:tcPr>
          <w:p w14:paraId="120EEE87" w14:textId="77777777" w:rsidR="000944F2" w:rsidRPr="008F6730" w:rsidRDefault="000944F2" w:rsidP="000944F2">
            <w:pPr>
              <w:spacing w:before="60" w:after="60" w:line="200" w:lineRule="exact"/>
              <w:jc w:val="right"/>
              <w:rPr>
                <w:noProof/>
                <w:sz w:val="16"/>
                <w:szCs w:val="16"/>
              </w:rPr>
            </w:pPr>
          </w:p>
        </w:tc>
        <w:tc>
          <w:tcPr>
            <w:tcW w:w="1080" w:type="dxa"/>
            <w:vAlign w:val="center"/>
          </w:tcPr>
          <w:p w14:paraId="61E161D2" w14:textId="77777777" w:rsidR="000944F2" w:rsidRPr="008F6730" w:rsidRDefault="000944F2" w:rsidP="000944F2">
            <w:pPr>
              <w:spacing w:before="60" w:after="60" w:line="200" w:lineRule="exact"/>
              <w:jc w:val="right"/>
              <w:rPr>
                <w:noProof/>
                <w:sz w:val="16"/>
                <w:szCs w:val="16"/>
              </w:rPr>
            </w:pPr>
          </w:p>
        </w:tc>
        <w:tc>
          <w:tcPr>
            <w:tcW w:w="1080" w:type="dxa"/>
            <w:vAlign w:val="center"/>
          </w:tcPr>
          <w:p w14:paraId="1E7298A5" w14:textId="77777777" w:rsidR="000944F2" w:rsidRPr="008F6730" w:rsidRDefault="000944F2" w:rsidP="000944F2">
            <w:pPr>
              <w:spacing w:before="60" w:after="60" w:line="200" w:lineRule="exact"/>
              <w:jc w:val="right"/>
              <w:rPr>
                <w:noProof/>
                <w:sz w:val="16"/>
                <w:szCs w:val="16"/>
              </w:rPr>
            </w:pPr>
          </w:p>
        </w:tc>
        <w:tc>
          <w:tcPr>
            <w:tcW w:w="1080" w:type="dxa"/>
            <w:vAlign w:val="center"/>
          </w:tcPr>
          <w:p w14:paraId="2D56C63D" w14:textId="77777777" w:rsidR="000944F2" w:rsidRPr="008F6730" w:rsidRDefault="000944F2" w:rsidP="000944F2">
            <w:pPr>
              <w:spacing w:before="60" w:after="60" w:line="200" w:lineRule="exact"/>
              <w:jc w:val="right"/>
              <w:rPr>
                <w:noProof/>
                <w:sz w:val="16"/>
                <w:szCs w:val="16"/>
              </w:rPr>
            </w:pPr>
          </w:p>
        </w:tc>
      </w:tr>
      <w:tr w:rsidR="000944F2" w:rsidRPr="008F6730" w14:paraId="7BA58312" w14:textId="77777777" w:rsidTr="000944F2">
        <w:trPr>
          <w:trHeight w:val="585"/>
        </w:trPr>
        <w:tc>
          <w:tcPr>
            <w:tcW w:w="1980" w:type="dxa"/>
            <w:vAlign w:val="center"/>
          </w:tcPr>
          <w:p w14:paraId="154A9900" w14:textId="77777777" w:rsidR="000944F2" w:rsidRPr="008F6730" w:rsidRDefault="000944F2" w:rsidP="000944F2">
            <w:pPr>
              <w:spacing w:before="60" w:after="60" w:line="200" w:lineRule="exact"/>
              <w:ind w:left="72"/>
              <w:jc w:val="left"/>
              <w:rPr>
                <w:noProof/>
                <w:sz w:val="16"/>
                <w:szCs w:val="16"/>
              </w:rPr>
            </w:pPr>
            <w:r w:rsidRPr="008F6730">
              <w:rPr>
                <w:noProof/>
                <w:sz w:val="16"/>
              </w:rPr>
              <w:t xml:space="preserve">Ljudski resursi </w:t>
            </w:r>
          </w:p>
        </w:tc>
        <w:tc>
          <w:tcPr>
            <w:tcW w:w="1080" w:type="dxa"/>
            <w:vAlign w:val="center"/>
          </w:tcPr>
          <w:p w14:paraId="69DC4793" w14:textId="77777777" w:rsidR="000944F2" w:rsidRPr="008F6730" w:rsidRDefault="000944F2" w:rsidP="000944F2">
            <w:pPr>
              <w:spacing w:before="60" w:after="60" w:line="200" w:lineRule="exact"/>
              <w:jc w:val="right"/>
              <w:rPr>
                <w:noProof/>
                <w:sz w:val="16"/>
                <w:szCs w:val="16"/>
              </w:rPr>
            </w:pPr>
          </w:p>
        </w:tc>
        <w:tc>
          <w:tcPr>
            <w:tcW w:w="1080" w:type="dxa"/>
            <w:vAlign w:val="center"/>
          </w:tcPr>
          <w:p w14:paraId="42B2C38B" w14:textId="77777777" w:rsidR="000944F2" w:rsidRPr="008F6730" w:rsidRDefault="000944F2" w:rsidP="000944F2">
            <w:pPr>
              <w:spacing w:before="60" w:after="60" w:line="200" w:lineRule="exact"/>
              <w:jc w:val="right"/>
              <w:rPr>
                <w:noProof/>
                <w:sz w:val="16"/>
                <w:szCs w:val="16"/>
              </w:rPr>
            </w:pPr>
          </w:p>
        </w:tc>
        <w:tc>
          <w:tcPr>
            <w:tcW w:w="1080" w:type="dxa"/>
            <w:vAlign w:val="center"/>
          </w:tcPr>
          <w:p w14:paraId="5F048FF9" w14:textId="77777777" w:rsidR="000944F2" w:rsidRPr="008F6730" w:rsidRDefault="000944F2" w:rsidP="000944F2">
            <w:pPr>
              <w:spacing w:before="60" w:after="60" w:line="200" w:lineRule="exact"/>
              <w:jc w:val="right"/>
              <w:rPr>
                <w:noProof/>
                <w:sz w:val="16"/>
                <w:szCs w:val="16"/>
              </w:rPr>
            </w:pPr>
          </w:p>
        </w:tc>
        <w:tc>
          <w:tcPr>
            <w:tcW w:w="1080" w:type="dxa"/>
            <w:vAlign w:val="center"/>
          </w:tcPr>
          <w:p w14:paraId="4D14338D" w14:textId="77777777" w:rsidR="000944F2" w:rsidRPr="008F6730" w:rsidRDefault="000944F2" w:rsidP="000944F2">
            <w:pPr>
              <w:spacing w:before="60" w:after="60" w:line="200" w:lineRule="exact"/>
              <w:jc w:val="right"/>
              <w:rPr>
                <w:noProof/>
                <w:sz w:val="16"/>
                <w:szCs w:val="16"/>
              </w:rPr>
            </w:pPr>
          </w:p>
        </w:tc>
        <w:tc>
          <w:tcPr>
            <w:tcW w:w="1080" w:type="dxa"/>
            <w:vAlign w:val="center"/>
          </w:tcPr>
          <w:p w14:paraId="1B0A77E0" w14:textId="77777777" w:rsidR="000944F2" w:rsidRPr="008F6730" w:rsidRDefault="000944F2" w:rsidP="000944F2">
            <w:pPr>
              <w:spacing w:before="60" w:after="60" w:line="200" w:lineRule="exact"/>
              <w:jc w:val="right"/>
              <w:rPr>
                <w:noProof/>
                <w:sz w:val="16"/>
                <w:szCs w:val="16"/>
              </w:rPr>
            </w:pPr>
          </w:p>
        </w:tc>
      </w:tr>
      <w:tr w:rsidR="000944F2" w:rsidRPr="008F6730" w14:paraId="4C003EE3" w14:textId="77777777" w:rsidTr="000944F2">
        <w:trPr>
          <w:trHeight w:val="585"/>
        </w:trPr>
        <w:tc>
          <w:tcPr>
            <w:tcW w:w="1980" w:type="dxa"/>
            <w:vAlign w:val="center"/>
          </w:tcPr>
          <w:p w14:paraId="17A23A4F" w14:textId="77777777" w:rsidR="000944F2" w:rsidRPr="0028747D" w:rsidRDefault="000944F2" w:rsidP="000944F2">
            <w:pPr>
              <w:spacing w:before="60" w:after="60" w:line="200" w:lineRule="exact"/>
              <w:ind w:left="72"/>
              <w:jc w:val="left"/>
              <w:rPr>
                <w:noProof/>
                <w:sz w:val="16"/>
                <w:szCs w:val="16"/>
              </w:rPr>
            </w:pPr>
            <w:r w:rsidRPr="0028747D">
              <w:rPr>
                <w:noProof/>
                <w:sz w:val="16"/>
                <w:szCs w:val="16"/>
              </w:rPr>
              <w:t>Ostali administrativni</w:t>
            </w:r>
            <w:r w:rsidRPr="0028747D">
              <w:rPr>
                <w:noProof/>
                <w:sz w:val="16"/>
                <w:szCs w:val="16"/>
              </w:rPr>
              <w:br/>
              <w:t>rashodi</w:t>
            </w:r>
          </w:p>
        </w:tc>
        <w:tc>
          <w:tcPr>
            <w:tcW w:w="1080" w:type="dxa"/>
            <w:vAlign w:val="center"/>
          </w:tcPr>
          <w:p w14:paraId="45A3AA69" w14:textId="77777777" w:rsidR="000944F2" w:rsidRPr="008F6730" w:rsidRDefault="000944F2" w:rsidP="000944F2">
            <w:pPr>
              <w:spacing w:before="60" w:after="60" w:line="200" w:lineRule="exact"/>
              <w:jc w:val="right"/>
              <w:rPr>
                <w:noProof/>
                <w:sz w:val="16"/>
                <w:szCs w:val="16"/>
              </w:rPr>
            </w:pPr>
          </w:p>
        </w:tc>
        <w:tc>
          <w:tcPr>
            <w:tcW w:w="1080" w:type="dxa"/>
            <w:vAlign w:val="center"/>
          </w:tcPr>
          <w:p w14:paraId="32CD6373" w14:textId="77777777" w:rsidR="000944F2" w:rsidRPr="008F6730" w:rsidRDefault="000944F2" w:rsidP="000944F2">
            <w:pPr>
              <w:spacing w:before="60" w:after="60" w:line="200" w:lineRule="exact"/>
              <w:jc w:val="right"/>
              <w:rPr>
                <w:noProof/>
                <w:sz w:val="16"/>
                <w:szCs w:val="16"/>
              </w:rPr>
            </w:pPr>
          </w:p>
        </w:tc>
        <w:tc>
          <w:tcPr>
            <w:tcW w:w="1080" w:type="dxa"/>
            <w:vAlign w:val="center"/>
          </w:tcPr>
          <w:p w14:paraId="0C6CFC6F" w14:textId="77777777" w:rsidR="000944F2" w:rsidRPr="008F6730" w:rsidRDefault="000944F2" w:rsidP="000944F2">
            <w:pPr>
              <w:spacing w:before="60" w:after="60" w:line="200" w:lineRule="exact"/>
              <w:jc w:val="right"/>
              <w:rPr>
                <w:noProof/>
                <w:sz w:val="16"/>
                <w:szCs w:val="16"/>
              </w:rPr>
            </w:pPr>
          </w:p>
        </w:tc>
        <w:tc>
          <w:tcPr>
            <w:tcW w:w="1080" w:type="dxa"/>
            <w:vAlign w:val="center"/>
          </w:tcPr>
          <w:p w14:paraId="4C1CF701" w14:textId="77777777" w:rsidR="000944F2" w:rsidRPr="008F6730" w:rsidRDefault="000944F2" w:rsidP="000944F2">
            <w:pPr>
              <w:spacing w:before="60" w:after="60" w:line="200" w:lineRule="exact"/>
              <w:jc w:val="right"/>
              <w:rPr>
                <w:noProof/>
                <w:sz w:val="16"/>
                <w:szCs w:val="16"/>
              </w:rPr>
            </w:pPr>
          </w:p>
        </w:tc>
        <w:tc>
          <w:tcPr>
            <w:tcW w:w="1080" w:type="dxa"/>
            <w:vAlign w:val="center"/>
          </w:tcPr>
          <w:p w14:paraId="0E3CC28C" w14:textId="77777777" w:rsidR="000944F2" w:rsidRPr="008F6730" w:rsidRDefault="000944F2" w:rsidP="000944F2">
            <w:pPr>
              <w:spacing w:before="60" w:after="60" w:line="200" w:lineRule="exact"/>
              <w:jc w:val="right"/>
              <w:rPr>
                <w:noProof/>
                <w:sz w:val="16"/>
                <w:szCs w:val="16"/>
              </w:rPr>
            </w:pPr>
          </w:p>
        </w:tc>
      </w:tr>
      <w:tr w:rsidR="000944F2" w:rsidRPr="008F6730" w14:paraId="54D45850" w14:textId="77777777" w:rsidTr="000944F2">
        <w:trPr>
          <w:trHeight w:val="585"/>
        </w:trPr>
        <w:tc>
          <w:tcPr>
            <w:tcW w:w="1980" w:type="dxa"/>
            <w:shd w:val="clear" w:color="auto" w:fill="CCCCCC"/>
            <w:vAlign w:val="center"/>
          </w:tcPr>
          <w:p w14:paraId="407975FD" w14:textId="77777777" w:rsidR="000944F2" w:rsidRPr="008F6730" w:rsidRDefault="000944F2" w:rsidP="000944F2">
            <w:pPr>
              <w:spacing w:before="60" w:after="60" w:line="200" w:lineRule="exact"/>
              <w:jc w:val="center"/>
              <w:rPr>
                <w:b/>
                <w:noProof/>
                <w:sz w:val="16"/>
                <w:szCs w:val="16"/>
              </w:rPr>
            </w:pPr>
            <w:r w:rsidRPr="008F6730">
              <w:rPr>
                <w:b/>
                <w:noProof/>
                <w:sz w:val="16"/>
              </w:rPr>
              <w:t>Međuzbroj</w:t>
            </w:r>
            <w:r w:rsidRPr="008F6730">
              <w:rPr>
                <w:noProof/>
                <w:sz w:val="22"/>
              </w:rPr>
              <w:br/>
            </w:r>
            <w:r w:rsidRPr="008F6730">
              <w:rPr>
                <w:b/>
                <w:noProof/>
                <w:sz w:val="16"/>
              </w:rPr>
              <w:t>izvan NASLOVA 7.</w:t>
            </w:r>
            <w:r w:rsidRPr="008F6730">
              <w:rPr>
                <w:noProof/>
                <w:sz w:val="22"/>
              </w:rPr>
              <w:br/>
            </w:r>
            <w:r w:rsidRPr="008F6730">
              <w:rPr>
                <w:b/>
                <w:noProof/>
                <w:sz w:val="16"/>
              </w:rPr>
              <w:t xml:space="preserve">višegodišnjeg financijskog okvira </w:t>
            </w:r>
          </w:p>
        </w:tc>
        <w:tc>
          <w:tcPr>
            <w:tcW w:w="1080" w:type="dxa"/>
            <w:vAlign w:val="center"/>
          </w:tcPr>
          <w:p w14:paraId="0EB0377D" w14:textId="77777777" w:rsidR="000944F2" w:rsidRPr="008F6730" w:rsidRDefault="000944F2" w:rsidP="000944F2">
            <w:pPr>
              <w:spacing w:before="60" w:after="60" w:line="200" w:lineRule="exact"/>
              <w:jc w:val="right"/>
              <w:rPr>
                <w:noProof/>
                <w:sz w:val="16"/>
                <w:szCs w:val="16"/>
              </w:rPr>
            </w:pPr>
          </w:p>
        </w:tc>
        <w:tc>
          <w:tcPr>
            <w:tcW w:w="1080" w:type="dxa"/>
            <w:vAlign w:val="center"/>
          </w:tcPr>
          <w:p w14:paraId="194D8251" w14:textId="77777777" w:rsidR="000944F2" w:rsidRPr="008F6730" w:rsidRDefault="000944F2" w:rsidP="000944F2">
            <w:pPr>
              <w:spacing w:before="60" w:after="60" w:line="200" w:lineRule="exact"/>
              <w:jc w:val="right"/>
              <w:rPr>
                <w:noProof/>
                <w:sz w:val="16"/>
                <w:szCs w:val="16"/>
              </w:rPr>
            </w:pPr>
          </w:p>
        </w:tc>
        <w:tc>
          <w:tcPr>
            <w:tcW w:w="1080" w:type="dxa"/>
            <w:vAlign w:val="center"/>
          </w:tcPr>
          <w:p w14:paraId="4D8D10FA" w14:textId="77777777" w:rsidR="000944F2" w:rsidRPr="008F6730" w:rsidRDefault="000944F2" w:rsidP="000944F2">
            <w:pPr>
              <w:spacing w:before="60" w:after="60" w:line="200" w:lineRule="exact"/>
              <w:jc w:val="right"/>
              <w:rPr>
                <w:noProof/>
                <w:sz w:val="16"/>
                <w:szCs w:val="16"/>
              </w:rPr>
            </w:pPr>
          </w:p>
        </w:tc>
        <w:tc>
          <w:tcPr>
            <w:tcW w:w="1080" w:type="dxa"/>
            <w:vAlign w:val="center"/>
          </w:tcPr>
          <w:p w14:paraId="37D11F76" w14:textId="77777777" w:rsidR="000944F2" w:rsidRPr="008F6730" w:rsidRDefault="000944F2" w:rsidP="000944F2">
            <w:pPr>
              <w:spacing w:before="60" w:after="60" w:line="200" w:lineRule="exact"/>
              <w:jc w:val="right"/>
              <w:rPr>
                <w:noProof/>
                <w:sz w:val="16"/>
                <w:szCs w:val="16"/>
              </w:rPr>
            </w:pPr>
          </w:p>
        </w:tc>
        <w:tc>
          <w:tcPr>
            <w:tcW w:w="1080" w:type="dxa"/>
            <w:vAlign w:val="center"/>
          </w:tcPr>
          <w:p w14:paraId="6CB0C722" w14:textId="77777777" w:rsidR="000944F2" w:rsidRPr="008F6730" w:rsidRDefault="000944F2" w:rsidP="000944F2">
            <w:pPr>
              <w:spacing w:before="60" w:after="60" w:line="200" w:lineRule="exact"/>
              <w:jc w:val="right"/>
              <w:rPr>
                <w:noProof/>
                <w:sz w:val="16"/>
                <w:szCs w:val="16"/>
              </w:rPr>
            </w:pPr>
          </w:p>
        </w:tc>
      </w:tr>
    </w:tbl>
    <w:p w14:paraId="714CE3BB" w14:textId="77777777" w:rsidR="000944F2" w:rsidRPr="008F6730" w:rsidRDefault="000944F2" w:rsidP="000944F2">
      <w:pPr>
        <w:spacing w:line="200" w:lineRule="exact"/>
        <w:rPr>
          <w:noProof/>
          <w:sz w:val="16"/>
          <w:szCs w:val="16"/>
        </w:rPr>
      </w:pPr>
    </w:p>
    <w:tbl>
      <w:tblPr>
        <w:tblW w:w="7380" w:type="dxa"/>
        <w:tblInd w:w="-612" w:type="dxa"/>
        <w:tblLayout w:type="fixed"/>
        <w:tblLook w:val="01E0" w:firstRow="1" w:lastRow="1" w:firstColumn="1" w:lastColumn="1" w:noHBand="0" w:noVBand="0"/>
      </w:tblPr>
      <w:tblGrid>
        <w:gridCol w:w="1980"/>
        <w:gridCol w:w="1080"/>
        <w:gridCol w:w="1080"/>
        <w:gridCol w:w="1080"/>
        <w:gridCol w:w="1080"/>
        <w:gridCol w:w="1080"/>
      </w:tblGrid>
      <w:tr w:rsidR="000944F2" w:rsidRPr="008F6730" w14:paraId="3CE2A1DE" w14:textId="77777777" w:rsidTr="000944F2">
        <w:trPr>
          <w:trHeight w:val="585"/>
        </w:trPr>
        <w:tc>
          <w:tcPr>
            <w:tcW w:w="1980" w:type="dxa"/>
            <w:tcBorders>
              <w:top w:val="single" w:sz="12" w:space="0" w:color="auto"/>
              <w:left w:val="single" w:sz="12" w:space="0" w:color="auto"/>
              <w:bottom w:val="single" w:sz="12" w:space="0" w:color="auto"/>
              <w:right w:val="single" w:sz="2" w:space="0" w:color="auto"/>
            </w:tcBorders>
            <w:vAlign w:val="center"/>
          </w:tcPr>
          <w:p w14:paraId="2DC961A3" w14:textId="77777777" w:rsidR="000944F2" w:rsidRPr="008F6730" w:rsidRDefault="000944F2" w:rsidP="000944F2">
            <w:pPr>
              <w:spacing w:before="60" w:after="60" w:line="200" w:lineRule="exact"/>
              <w:jc w:val="center"/>
              <w:rPr>
                <w:noProof/>
                <w:sz w:val="16"/>
                <w:szCs w:val="16"/>
              </w:rPr>
            </w:pPr>
            <w:r w:rsidRPr="008F6730">
              <w:rPr>
                <w:b/>
                <w:noProof/>
                <w:sz w:val="16"/>
              </w:rPr>
              <w:t>UKUPNO</w:t>
            </w:r>
          </w:p>
        </w:tc>
        <w:tc>
          <w:tcPr>
            <w:tcW w:w="1080" w:type="dxa"/>
            <w:tcBorders>
              <w:top w:val="single" w:sz="12" w:space="0" w:color="auto"/>
              <w:left w:val="single" w:sz="2" w:space="0" w:color="auto"/>
              <w:bottom w:val="single" w:sz="12" w:space="0" w:color="auto"/>
              <w:right w:val="single" w:sz="2" w:space="0" w:color="auto"/>
            </w:tcBorders>
            <w:vAlign w:val="bottom"/>
          </w:tcPr>
          <w:p w14:paraId="21B388DA" w14:textId="77777777" w:rsidR="000944F2" w:rsidRPr="008F6730" w:rsidRDefault="000944F2" w:rsidP="000944F2">
            <w:pPr>
              <w:spacing w:before="60" w:after="60" w:line="200" w:lineRule="exact"/>
              <w:jc w:val="right"/>
              <w:rPr>
                <w:b/>
                <w:noProof/>
                <w:sz w:val="16"/>
                <w:szCs w:val="16"/>
              </w:rPr>
            </w:pPr>
            <w:r w:rsidRPr="008F6730">
              <w:rPr>
                <w:b/>
                <w:noProof/>
                <w:sz w:val="20"/>
              </w:rPr>
              <w:t>0,855</w:t>
            </w:r>
          </w:p>
        </w:tc>
        <w:tc>
          <w:tcPr>
            <w:tcW w:w="1080" w:type="dxa"/>
            <w:tcBorders>
              <w:top w:val="single" w:sz="12" w:space="0" w:color="auto"/>
              <w:left w:val="single" w:sz="2" w:space="0" w:color="auto"/>
              <w:bottom w:val="single" w:sz="12" w:space="0" w:color="auto"/>
              <w:right w:val="single" w:sz="2" w:space="0" w:color="auto"/>
            </w:tcBorders>
            <w:vAlign w:val="bottom"/>
          </w:tcPr>
          <w:p w14:paraId="7F95D67A" w14:textId="77777777" w:rsidR="000944F2" w:rsidRPr="008F6730" w:rsidRDefault="000944F2" w:rsidP="000944F2">
            <w:pPr>
              <w:spacing w:before="60" w:after="60" w:line="200" w:lineRule="exact"/>
              <w:jc w:val="right"/>
              <w:rPr>
                <w:b/>
                <w:noProof/>
                <w:sz w:val="16"/>
                <w:szCs w:val="16"/>
              </w:rPr>
            </w:pPr>
            <w:r w:rsidRPr="008F6730">
              <w:rPr>
                <w:b/>
                <w:noProof/>
                <w:sz w:val="20"/>
              </w:rPr>
              <w:t>1,169</w:t>
            </w:r>
          </w:p>
        </w:tc>
        <w:tc>
          <w:tcPr>
            <w:tcW w:w="1080" w:type="dxa"/>
            <w:tcBorders>
              <w:top w:val="single" w:sz="12" w:space="0" w:color="auto"/>
              <w:left w:val="single" w:sz="2" w:space="0" w:color="auto"/>
              <w:bottom w:val="single" w:sz="12" w:space="0" w:color="auto"/>
              <w:right w:val="single" w:sz="2" w:space="0" w:color="auto"/>
            </w:tcBorders>
            <w:vAlign w:val="bottom"/>
          </w:tcPr>
          <w:p w14:paraId="32520ADF" w14:textId="77777777" w:rsidR="000944F2" w:rsidRPr="008F6730" w:rsidRDefault="000944F2" w:rsidP="000944F2">
            <w:pPr>
              <w:spacing w:before="60" w:after="60" w:line="200" w:lineRule="exact"/>
              <w:jc w:val="right"/>
              <w:rPr>
                <w:b/>
                <w:noProof/>
                <w:sz w:val="16"/>
                <w:szCs w:val="16"/>
              </w:rPr>
            </w:pPr>
            <w:r w:rsidRPr="008F6730">
              <w:rPr>
                <w:b/>
                <w:noProof/>
                <w:sz w:val="20"/>
              </w:rPr>
              <w:t>1,169</w:t>
            </w:r>
          </w:p>
        </w:tc>
        <w:tc>
          <w:tcPr>
            <w:tcW w:w="1080" w:type="dxa"/>
            <w:tcBorders>
              <w:top w:val="single" w:sz="12" w:space="0" w:color="auto"/>
              <w:left w:val="single" w:sz="2" w:space="0" w:color="auto"/>
              <w:bottom w:val="single" w:sz="12" w:space="0" w:color="auto"/>
              <w:right w:val="single" w:sz="2" w:space="0" w:color="auto"/>
            </w:tcBorders>
            <w:vAlign w:val="bottom"/>
          </w:tcPr>
          <w:p w14:paraId="1077CCEE" w14:textId="77777777" w:rsidR="000944F2" w:rsidRPr="008F6730" w:rsidRDefault="000944F2" w:rsidP="000944F2">
            <w:pPr>
              <w:spacing w:before="60" w:after="60" w:line="200" w:lineRule="exact"/>
              <w:jc w:val="right"/>
              <w:rPr>
                <w:b/>
                <w:noProof/>
                <w:sz w:val="16"/>
                <w:szCs w:val="16"/>
              </w:rPr>
            </w:pPr>
            <w:r w:rsidRPr="008F6730">
              <w:rPr>
                <w:b/>
                <w:noProof/>
                <w:sz w:val="20"/>
              </w:rPr>
              <w:t>1,169</w:t>
            </w:r>
          </w:p>
        </w:tc>
        <w:tc>
          <w:tcPr>
            <w:tcW w:w="1080" w:type="dxa"/>
            <w:tcBorders>
              <w:top w:val="single" w:sz="12" w:space="0" w:color="auto"/>
              <w:left w:val="single" w:sz="2" w:space="0" w:color="auto"/>
              <w:bottom w:val="single" w:sz="12" w:space="0" w:color="auto"/>
              <w:right w:val="single" w:sz="2" w:space="0" w:color="auto"/>
            </w:tcBorders>
            <w:vAlign w:val="bottom"/>
          </w:tcPr>
          <w:p w14:paraId="5EFD779D" w14:textId="77777777" w:rsidR="000944F2" w:rsidRPr="008F6730" w:rsidRDefault="000944F2" w:rsidP="000944F2">
            <w:pPr>
              <w:spacing w:before="60" w:after="60" w:line="200" w:lineRule="exact"/>
              <w:jc w:val="right"/>
              <w:rPr>
                <w:b/>
                <w:noProof/>
                <w:sz w:val="16"/>
                <w:szCs w:val="16"/>
              </w:rPr>
            </w:pPr>
            <w:r w:rsidRPr="008F6730">
              <w:rPr>
                <w:b/>
                <w:noProof/>
                <w:sz w:val="20"/>
              </w:rPr>
              <w:t>4,362</w:t>
            </w:r>
          </w:p>
        </w:tc>
      </w:tr>
    </w:tbl>
    <w:p w14:paraId="5D68A7B3" w14:textId="77777777" w:rsidR="000944F2" w:rsidRPr="008F6730" w:rsidRDefault="000944F2" w:rsidP="000944F2">
      <w:pPr>
        <w:rPr>
          <w:noProof/>
          <w:sz w:val="18"/>
        </w:rPr>
      </w:pPr>
      <w:r w:rsidRPr="008F6730">
        <w:rPr>
          <w:noProof/>
          <w:sz w:val="18"/>
        </w:rPr>
        <w:t>Potrebna odobrena sredstva za ljudske resurse i ostale administrativne rashode pokrit će se odobrenim sredstvima glavne uprave koja su već dodijeljena za upravljanje djelovanjem i/ili su preraspodijeljena unutar glavne uprave te, prema potrebi, dodatnim sredstvima koja se mogu dodijeliti nadležnoj glavnoj upravi u okviru godišnjeg postupka dodjele sredstava uzimajući u obzir proračunska ograničenja.</w:t>
      </w:r>
    </w:p>
    <w:p w14:paraId="12F66701" w14:textId="77777777" w:rsidR="000944F2" w:rsidRPr="008F6730" w:rsidRDefault="000944F2" w:rsidP="000944F2">
      <w:pPr>
        <w:rPr>
          <w:noProof/>
          <w:sz w:val="18"/>
        </w:rPr>
        <w:sectPr w:rsidR="000944F2" w:rsidRPr="008F6730" w:rsidSect="00176A4E">
          <w:headerReference w:type="default" r:id="rId20"/>
          <w:footerReference w:type="default" r:id="rId21"/>
          <w:headerReference w:type="first" r:id="rId22"/>
          <w:footerReference w:type="first" r:id="rId23"/>
          <w:pgSz w:w="11907" w:h="16840"/>
          <w:pgMar w:top="1134" w:right="1418" w:bottom="1134" w:left="1418" w:header="709" w:footer="709" w:gutter="0"/>
          <w:cols w:space="708"/>
          <w:docGrid w:linePitch="360"/>
        </w:sectPr>
      </w:pPr>
    </w:p>
    <w:p w14:paraId="11DA5733" w14:textId="77777777" w:rsidR="000944F2" w:rsidRPr="008F6730" w:rsidRDefault="000944F2" w:rsidP="00D23B5F">
      <w:pPr>
        <w:pStyle w:val="ManualHeading4"/>
        <w:rPr>
          <w:noProof/>
        </w:rPr>
      </w:pPr>
      <w:r w:rsidRPr="008F6730">
        <w:rPr>
          <w:noProof/>
        </w:rPr>
        <w:t xml:space="preserve">Procijenjene potrebe u pogledu ljudskih resursa </w:t>
      </w:r>
    </w:p>
    <w:p w14:paraId="004FFE19" w14:textId="3F903DAE" w:rsidR="000944F2" w:rsidRPr="008F6730" w:rsidRDefault="000944F2" w:rsidP="000944F2">
      <w:pPr>
        <w:pStyle w:val="ListDash1"/>
        <w:rPr>
          <w:noProof/>
        </w:rPr>
      </w:pPr>
      <w:r w:rsidRPr="008F6730">
        <w:rPr>
          <w:rFonts w:ascii="Wingdings" w:hAnsi="Wingdings"/>
          <w:noProof/>
        </w:rPr>
        <w:t></w:t>
      </w:r>
      <w:r w:rsidRPr="008F6730">
        <w:rPr>
          <w:noProof/>
        </w:rPr>
        <w:t xml:space="preserve"> Za prijedlog/inicijativu nisu potrebni ljudski resursi. </w:t>
      </w:r>
    </w:p>
    <w:p w14:paraId="17D3ABE6" w14:textId="4383927E" w:rsidR="000944F2" w:rsidRPr="008F6730" w:rsidRDefault="00B17DE4" w:rsidP="00F41A56">
      <w:pPr>
        <w:rPr>
          <w:noProof/>
        </w:rPr>
      </w:pPr>
      <w:r w:rsidRPr="008F6730">
        <w:rPr>
          <w:noProof/>
        </w:rPr>
        <w:sym w:font="Wingdings" w:char="F0FE"/>
      </w:r>
      <w:r w:rsidRPr="008F6730">
        <w:rPr>
          <w:noProof/>
        </w:rPr>
        <w:t xml:space="preserve"> Za prijedlog/inicijativu potrebni su sljedeći ljudski resursi:</w:t>
      </w:r>
    </w:p>
    <w:p w14:paraId="2E764D7B" w14:textId="77777777" w:rsidR="000944F2" w:rsidRPr="008F6730" w:rsidRDefault="000944F2" w:rsidP="000944F2">
      <w:pPr>
        <w:spacing w:after="60"/>
        <w:jc w:val="right"/>
        <w:rPr>
          <w:i/>
          <w:noProof/>
          <w:sz w:val="20"/>
        </w:rPr>
      </w:pPr>
      <w:r w:rsidRPr="008F6730">
        <w:rPr>
          <w:i/>
          <w:noProof/>
          <w:sz w:val="20"/>
        </w:rPr>
        <w:t>Procjenu navesti u ekvivalentima punog radnog vremena</w:t>
      </w:r>
    </w:p>
    <w:tbl>
      <w:tblPr>
        <w:tblW w:w="988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5"/>
        <w:gridCol w:w="2376"/>
        <w:gridCol w:w="2378"/>
        <w:gridCol w:w="731"/>
        <w:gridCol w:w="731"/>
        <w:gridCol w:w="731"/>
        <w:gridCol w:w="731"/>
        <w:gridCol w:w="2193"/>
      </w:tblGrid>
      <w:tr w:rsidR="000944F2" w:rsidRPr="008F6730" w14:paraId="01AA1D4A" w14:textId="77777777" w:rsidTr="000944F2">
        <w:trPr>
          <w:gridBefore w:val="1"/>
          <w:gridAfter w:val="1"/>
          <w:wBefore w:w="15" w:type="dxa"/>
          <w:wAfter w:w="2193" w:type="dxa"/>
          <w:trHeight w:val="289"/>
          <w:jc w:val="center"/>
        </w:trPr>
        <w:tc>
          <w:tcPr>
            <w:tcW w:w="4754" w:type="dxa"/>
            <w:gridSpan w:val="2"/>
            <w:shd w:val="clear" w:color="auto" w:fill="auto"/>
          </w:tcPr>
          <w:p w14:paraId="0B872F00" w14:textId="77777777" w:rsidR="000944F2" w:rsidRPr="008F6730" w:rsidRDefault="000944F2" w:rsidP="000944F2">
            <w:pPr>
              <w:pStyle w:val="Text1"/>
              <w:spacing w:before="40" w:after="40"/>
              <w:ind w:left="0"/>
              <w:jc w:val="center"/>
              <w:rPr>
                <w:i/>
                <w:noProof/>
                <w:sz w:val="16"/>
                <w:szCs w:val="16"/>
              </w:rPr>
            </w:pPr>
          </w:p>
        </w:tc>
        <w:tc>
          <w:tcPr>
            <w:tcW w:w="731" w:type="dxa"/>
            <w:shd w:val="clear" w:color="auto" w:fill="auto"/>
            <w:vAlign w:val="center"/>
          </w:tcPr>
          <w:p w14:paraId="5C22CB58" w14:textId="77777777" w:rsidR="000944F2" w:rsidRPr="008F6730" w:rsidRDefault="000944F2" w:rsidP="000944F2">
            <w:pPr>
              <w:spacing w:before="20" w:after="20"/>
              <w:jc w:val="center"/>
              <w:rPr>
                <w:noProof/>
                <w:sz w:val="16"/>
                <w:szCs w:val="16"/>
              </w:rPr>
            </w:pPr>
            <w:r w:rsidRPr="008F6730">
              <w:rPr>
                <w:noProof/>
                <w:sz w:val="16"/>
              </w:rPr>
              <w:t>2024.</w:t>
            </w:r>
          </w:p>
        </w:tc>
        <w:tc>
          <w:tcPr>
            <w:tcW w:w="731" w:type="dxa"/>
            <w:shd w:val="clear" w:color="auto" w:fill="auto"/>
            <w:vAlign w:val="center"/>
          </w:tcPr>
          <w:p w14:paraId="3DDFDF96" w14:textId="77777777" w:rsidR="000944F2" w:rsidRPr="008F6730" w:rsidRDefault="000944F2" w:rsidP="000944F2">
            <w:pPr>
              <w:spacing w:before="20" w:after="20"/>
              <w:jc w:val="center"/>
              <w:rPr>
                <w:noProof/>
                <w:sz w:val="16"/>
                <w:szCs w:val="16"/>
              </w:rPr>
            </w:pPr>
            <w:r w:rsidRPr="008F6730">
              <w:rPr>
                <w:noProof/>
                <w:sz w:val="16"/>
              </w:rPr>
              <w:t>2025.</w:t>
            </w:r>
          </w:p>
        </w:tc>
        <w:tc>
          <w:tcPr>
            <w:tcW w:w="731" w:type="dxa"/>
            <w:shd w:val="clear" w:color="auto" w:fill="auto"/>
            <w:vAlign w:val="center"/>
          </w:tcPr>
          <w:p w14:paraId="5091578E" w14:textId="77777777" w:rsidR="000944F2" w:rsidRPr="008F6730" w:rsidRDefault="000944F2" w:rsidP="000944F2">
            <w:pPr>
              <w:spacing w:before="20" w:after="20"/>
              <w:jc w:val="center"/>
              <w:rPr>
                <w:noProof/>
                <w:sz w:val="16"/>
                <w:szCs w:val="16"/>
              </w:rPr>
            </w:pPr>
            <w:r w:rsidRPr="008F6730">
              <w:rPr>
                <w:noProof/>
                <w:sz w:val="16"/>
              </w:rPr>
              <w:t>2026.</w:t>
            </w:r>
          </w:p>
        </w:tc>
        <w:tc>
          <w:tcPr>
            <w:tcW w:w="731" w:type="dxa"/>
            <w:shd w:val="clear" w:color="auto" w:fill="auto"/>
            <w:vAlign w:val="center"/>
          </w:tcPr>
          <w:p w14:paraId="72D8C929" w14:textId="77777777" w:rsidR="000944F2" w:rsidRPr="008F6730" w:rsidRDefault="000944F2" w:rsidP="000944F2">
            <w:pPr>
              <w:spacing w:before="20" w:after="20"/>
              <w:jc w:val="center"/>
              <w:rPr>
                <w:noProof/>
                <w:sz w:val="16"/>
                <w:szCs w:val="16"/>
              </w:rPr>
            </w:pPr>
            <w:r w:rsidRPr="008F6730">
              <w:rPr>
                <w:noProof/>
                <w:sz w:val="16"/>
              </w:rPr>
              <w:t>2027.</w:t>
            </w:r>
          </w:p>
        </w:tc>
      </w:tr>
      <w:tr w:rsidR="000944F2" w:rsidRPr="008F6730" w14:paraId="02225434" w14:textId="77777777" w:rsidTr="000944F2">
        <w:trPr>
          <w:gridBefore w:val="1"/>
          <w:wBefore w:w="15" w:type="dxa"/>
          <w:trHeight w:val="289"/>
          <w:jc w:val="center"/>
        </w:trPr>
        <w:tc>
          <w:tcPr>
            <w:tcW w:w="9871" w:type="dxa"/>
            <w:gridSpan w:val="7"/>
            <w:shd w:val="clear" w:color="auto" w:fill="auto"/>
          </w:tcPr>
          <w:p w14:paraId="763248DE" w14:textId="77777777" w:rsidR="000944F2" w:rsidRPr="008F6730" w:rsidRDefault="000944F2" w:rsidP="000944F2">
            <w:pPr>
              <w:jc w:val="left"/>
              <w:rPr>
                <w:noProof/>
                <w:sz w:val="16"/>
                <w:szCs w:val="16"/>
              </w:rPr>
            </w:pPr>
            <w:r w:rsidRPr="008F6730">
              <w:rPr>
                <w:rFonts w:ascii="Wingdings" w:hAnsi="Wingdings"/>
                <w:b/>
                <w:noProof/>
                <w:sz w:val="16"/>
              </w:rPr>
              <w:t>□</w:t>
            </w:r>
            <w:r w:rsidRPr="008F6730">
              <w:rPr>
                <w:noProof/>
              </w:rPr>
              <w:t xml:space="preserve"> </w:t>
            </w:r>
            <w:r w:rsidRPr="008F6730">
              <w:rPr>
                <w:b/>
                <w:noProof/>
                <w:sz w:val="16"/>
              </w:rPr>
              <w:t>Radna mjesta prema planu radnih mjesta (dužnosnici i privremeno osoblje)</w:t>
            </w:r>
          </w:p>
        </w:tc>
      </w:tr>
      <w:tr w:rsidR="000944F2" w:rsidRPr="008F6730" w14:paraId="768C94C2" w14:textId="77777777" w:rsidTr="000944F2">
        <w:trPr>
          <w:gridBefore w:val="1"/>
          <w:gridAfter w:val="1"/>
          <w:wBefore w:w="15" w:type="dxa"/>
          <w:wAfter w:w="2193" w:type="dxa"/>
          <w:trHeight w:val="289"/>
          <w:jc w:val="center"/>
        </w:trPr>
        <w:tc>
          <w:tcPr>
            <w:tcW w:w="4754" w:type="dxa"/>
            <w:gridSpan w:val="2"/>
            <w:shd w:val="clear" w:color="auto" w:fill="auto"/>
            <w:vAlign w:val="center"/>
          </w:tcPr>
          <w:p w14:paraId="7A050EF3" w14:textId="77777777" w:rsidR="000944F2" w:rsidRPr="002D00E8" w:rsidRDefault="000944F2" w:rsidP="000944F2">
            <w:pPr>
              <w:pStyle w:val="Text1"/>
              <w:spacing w:beforeLines="20" w:before="48" w:afterLines="20" w:after="48"/>
              <w:ind w:left="134"/>
              <w:jc w:val="left"/>
              <w:rPr>
                <w:b/>
                <w:noProof/>
                <w:sz w:val="16"/>
                <w:szCs w:val="16"/>
              </w:rPr>
            </w:pPr>
            <w:r w:rsidRPr="002D00E8">
              <w:rPr>
                <w:noProof/>
                <w:sz w:val="16"/>
                <w:szCs w:val="16"/>
              </w:rPr>
              <w:t>20 01 02 01 (sjedište i predstavništva Komisije)</w:t>
            </w:r>
          </w:p>
        </w:tc>
        <w:tc>
          <w:tcPr>
            <w:tcW w:w="731" w:type="dxa"/>
            <w:shd w:val="clear" w:color="auto" w:fill="auto"/>
            <w:vAlign w:val="center"/>
          </w:tcPr>
          <w:p w14:paraId="2F1B8C19" w14:textId="77777777" w:rsidR="000944F2" w:rsidRPr="008F6730" w:rsidRDefault="000944F2" w:rsidP="000944F2">
            <w:pPr>
              <w:spacing w:beforeLines="20" w:before="48" w:afterLines="20" w:after="48"/>
              <w:jc w:val="center"/>
              <w:rPr>
                <w:noProof/>
                <w:sz w:val="16"/>
                <w:szCs w:val="16"/>
              </w:rPr>
            </w:pPr>
            <w:r w:rsidRPr="008F6730">
              <w:rPr>
                <w:noProof/>
                <w:sz w:val="16"/>
              </w:rPr>
              <w:t>5</w:t>
            </w:r>
          </w:p>
        </w:tc>
        <w:tc>
          <w:tcPr>
            <w:tcW w:w="731" w:type="dxa"/>
            <w:shd w:val="clear" w:color="auto" w:fill="auto"/>
            <w:vAlign w:val="center"/>
          </w:tcPr>
          <w:p w14:paraId="4EDA6363" w14:textId="77777777" w:rsidR="000944F2" w:rsidRPr="008F6730" w:rsidRDefault="000944F2" w:rsidP="000944F2">
            <w:pPr>
              <w:spacing w:beforeLines="20" w:before="48" w:afterLines="20" w:after="48"/>
              <w:jc w:val="center"/>
              <w:rPr>
                <w:noProof/>
                <w:sz w:val="16"/>
                <w:szCs w:val="16"/>
              </w:rPr>
            </w:pPr>
            <w:r w:rsidRPr="008F6730">
              <w:rPr>
                <w:noProof/>
                <w:sz w:val="16"/>
              </w:rPr>
              <w:t>7</w:t>
            </w:r>
          </w:p>
        </w:tc>
        <w:tc>
          <w:tcPr>
            <w:tcW w:w="731" w:type="dxa"/>
            <w:shd w:val="clear" w:color="auto" w:fill="auto"/>
            <w:vAlign w:val="center"/>
          </w:tcPr>
          <w:p w14:paraId="2B23B1AC" w14:textId="77777777" w:rsidR="000944F2" w:rsidRPr="008F6730" w:rsidRDefault="000944F2" w:rsidP="000944F2">
            <w:pPr>
              <w:spacing w:beforeLines="20" w:before="48" w:afterLines="20" w:after="48"/>
              <w:jc w:val="center"/>
              <w:rPr>
                <w:noProof/>
                <w:sz w:val="16"/>
                <w:szCs w:val="16"/>
              </w:rPr>
            </w:pPr>
            <w:r w:rsidRPr="008F6730">
              <w:rPr>
                <w:noProof/>
                <w:sz w:val="16"/>
              </w:rPr>
              <w:t>7</w:t>
            </w:r>
          </w:p>
        </w:tc>
        <w:tc>
          <w:tcPr>
            <w:tcW w:w="731" w:type="dxa"/>
            <w:shd w:val="clear" w:color="auto" w:fill="auto"/>
            <w:vAlign w:val="center"/>
          </w:tcPr>
          <w:p w14:paraId="1363CBC2" w14:textId="77777777" w:rsidR="000944F2" w:rsidRPr="008F6730" w:rsidRDefault="000944F2" w:rsidP="000944F2">
            <w:pPr>
              <w:spacing w:beforeLines="20" w:before="48" w:afterLines="20" w:after="48"/>
              <w:jc w:val="center"/>
              <w:rPr>
                <w:noProof/>
                <w:sz w:val="16"/>
                <w:szCs w:val="16"/>
              </w:rPr>
            </w:pPr>
            <w:r w:rsidRPr="008F6730">
              <w:rPr>
                <w:noProof/>
                <w:sz w:val="16"/>
              </w:rPr>
              <w:t>7</w:t>
            </w:r>
          </w:p>
        </w:tc>
      </w:tr>
      <w:tr w:rsidR="000944F2" w:rsidRPr="008F6730" w14:paraId="6A83F454" w14:textId="77777777" w:rsidTr="000944F2">
        <w:trPr>
          <w:gridBefore w:val="1"/>
          <w:gridAfter w:val="1"/>
          <w:wBefore w:w="15" w:type="dxa"/>
          <w:wAfter w:w="2193" w:type="dxa"/>
          <w:trHeight w:val="289"/>
          <w:jc w:val="center"/>
        </w:trPr>
        <w:tc>
          <w:tcPr>
            <w:tcW w:w="4754" w:type="dxa"/>
            <w:gridSpan w:val="2"/>
            <w:shd w:val="clear" w:color="auto" w:fill="auto"/>
            <w:vAlign w:val="center"/>
          </w:tcPr>
          <w:p w14:paraId="0A33DB07" w14:textId="77777777" w:rsidR="000944F2" w:rsidRPr="002D00E8" w:rsidRDefault="000944F2" w:rsidP="000944F2">
            <w:pPr>
              <w:pStyle w:val="Text1"/>
              <w:spacing w:beforeLines="20" w:before="48" w:afterLines="20" w:after="48"/>
              <w:ind w:left="134"/>
              <w:jc w:val="left"/>
              <w:rPr>
                <w:noProof/>
                <w:sz w:val="16"/>
                <w:szCs w:val="16"/>
              </w:rPr>
            </w:pPr>
            <w:r w:rsidRPr="002D00E8">
              <w:rPr>
                <w:noProof/>
                <w:sz w:val="16"/>
                <w:szCs w:val="16"/>
              </w:rPr>
              <w:t>20 01 02 03 (delegacije)</w:t>
            </w:r>
          </w:p>
        </w:tc>
        <w:tc>
          <w:tcPr>
            <w:tcW w:w="731" w:type="dxa"/>
            <w:shd w:val="clear" w:color="auto" w:fill="auto"/>
            <w:vAlign w:val="center"/>
          </w:tcPr>
          <w:p w14:paraId="02665B76" w14:textId="77777777" w:rsidR="000944F2" w:rsidRPr="008F6730" w:rsidRDefault="000944F2" w:rsidP="000944F2">
            <w:pPr>
              <w:spacing w:beforeLines="20" w:before="48" w:afterLines="20" w:after="48"/>
              <w:jc w:val="center"/>
              <w:rPr>
                <w:noProof/>
                <w:sz w:val="16"/>
                <w:szCs w:val="16"/>
              </w:rPr>
            </w:pPr>
          </w:p>
        </w:tc>
        <w:tc>
          <w:tcPr>
            <w:tcW w:w="731" w:type="dxa"/>
            <w:shd w:val="clear" w:color="auto" w:fill="auto"/>
            <w:vAlign w:val="center"/>
          </w:tcPr>
          <w:p w14:paraId="2BCF6F06" w14:textId="77777777" w:rsidR="000944F2" w:rsidRPr="008F6730" w:rsidRDefault="000944F2" w:rsidP="000944F2">
            <w:pPr>
              <w:spacing w:beforeLines="20" w:before="48" w:afterLines="20" w:after="48"/>
              <w:jc w:val="center"/>
              <w:rPr>
                <w:noProof/>
                <w:sz w:val="16"/>
                <w:szCs w:val="16"/>
              </w:rPr>
            </w:pPr>
          </w:p>
        </w:tc>
        <w:tc>
          <w:tcPr>
            <w:tcW w:w="731" w:type="dxa"/>
            <w:shd w:val="clear" w:color="auto" w:fill="auto"/>
            <w:vAlign w:val="center"/>
          </w:tcPr>
          <w:p w14:paraId="4FE2F2A7" w14:textId="77777777" w:rsidR="000944F2" w:rsidRPr="008F6730" w:rsidRDefault="000944F2" w:rsidP="000944F2">
            <w:pPr>
              <w:spacing w:beforeLines="20" w:before="48" w:afterLines="20" w:after="48"/>
              <w:jc w:val="center"/>
              <w:rPr>
                <w:noProof/>
                <w:sz w:val="16"/>
                <w:szCs w:val="16"/>
              </w:rPr>
            </w:pPr>
          </w:p>
        </w:tc>
        <w:tc>
          <w:tcPr>
            <w:tcW w:w="731" w:type="dxa"/>
            <w:shd w:val="clear" w:color="auto" w:fill="auto"/>
            <w:vAlign w:val="center"/>
          </w:tcPr>
          <w:p w14:paraId="5083C75C" w14:textId="77777777" w:rsidR="000944F2" w:rsidRPr="008F6730" w:rsidRDefault="000944F2" w:rsidP="000944F2">
            <w:pPr>
              <w:spacing w:beforeLines="20" w:before="48" w:afterLines="20" w:after="48"/>
              <w:jc w:val="center"/>
              <w:rPr>
                <w:noProof/>
                <w:sz w:val="16"/>
                <w:szCs w:val="16"/>
              </w:rPr>
            </w:pPr>
          </w:p>
        </w:tc>
      </w:tr>
      <w:tr w:rsidR="000944F2" w:rsidRPr="008F6730" w14:paraId="62AB895F" w14:textId="77777777" w:rsidTr="000944F2">
        <w:trPr>
          <w:gridBefore w:val="1"/>
          <w:gridAfter w:val="1"/>
          <w:wBefore w:w="15" w:type="dxa"/>
          <w:wAfter w:w="2193" w:type="dxa"/>
          <w:trHeight w:val="289"/>
          <w:jc w:val="center"/>
        </w:trPr>
        <w:tc>
          <w:tcPr>
            <w:tcW w:w="4754" w:type="dxa"/>
            <w:gridSpan w:val="2"/>
            <w:shd w:val="clear" w:color="auto" w:fill="auto"/>
            <w:vAlign w:val="center"/>
          </w:tcPr>
          <w:p w14:paraId="63412789" w14:textId="77777777" w:rsidR="000944F2" w:rsidRPr="002D00E8" w:rsidRDefault="000944F2" w:rsidP="000944F2">
            <w:pPr>
              <w:pStyle w:val="Text1"/>
              <w:spacing w:beforeLines="20" w:before="48" w:afterLines="20" w:after="48"/>
              <w:ind w:left="134"/>
              <w:jc w:val="left"/>
              <w:rPr>
                <w:noProof/>
                <w:sz w:val="16"/>
                <w:szCs w:val="16"/>
              </w:rPr>
            </w:pPr>
            <w:r w:rsidRPr="002D00E8">
              <w:rPr>
                <w:noProof/>
                <w:sz w:val="16"/>
                <w:szCs w:val="16"/>
              </w:rPr>
              <w:t>01 01 01 01 (neizravno istraživanje)</w:t>
            </w:r>
          </w:p>
        </w:tc>
        <w:tc>
          <w:tcPr>
            <w:tcW w:w="731" w:type="dxa"/>
            <w:shd w:val="clear" w:color="auto" w:fill="auto"/>
            <w:vAlign w:val="center"/>
          </w:tcPr>
          <w:p w14:paraId="5596979F" w14:textId="77777777" w:rsidR="000944F2" w:rsidRPr="008F6730" w:rsidRDefault="000944F2" w:rsidP="000944F2">
            <w:pPr>
              <w:spacing w:beforeLines="20" w:before="48" w:afterLines="20" w:after="48"/>
              <w:jc w:val="center"/>
              <w:rPr>
                <w:noProof/>
                <w:sz w:val="16"/>
                <w:szCs w:val="16"/>
              </w:rPr>
            </w:pPr>
          </w:p>
        </w:tc>
        <w:tc>
          <w:tcPr>
            <w:tcW w:w="731" w:type="dxa"/>
            <w:shd w:val="clear" w:color="auto" w:fill="auto"/>
            <w:vAlign w:val="center"/>
          </w:tcPr>
          <w:p w14:paraId="0D439B56" w14:textId="77777777" w:rsidR="000944F2" w:rsidRPr="008F6730" w:rsidRDefault="000944F2" w:rsidP="000944F2">
            <w:pPr>
              <w:spacing w:beforeLines="20" w:before="48" w:afterLines="20" w:after="48"/>
              <w:jc w:val="center"/>
              <w:rPr>
                <w:noProof/>
                <w:sz w:val="16"/>
                <w:szCs w:val="16"/>
              </w:rPr>
            </w:pPr>
          </w:p>
        </w:tc>
        <w:tc>
          <w:tcPr>
            <w:tcW w:w="731" w:type="dxa"/>
            <w:shd w:val="clear" w:color="auto" w:fill="auto"/>
            <w:vAlign w:val="center"/>
          </w:tcPr>
          <w:p w14:paraId="75AAED48" w14:textId="77777777" w:rsidR="000944F2" w:rsidRPr="008F6730" w:rsidRDefault="000944F2" w:rsidP="000944F2">
            <w:pPr>
              <w:spacing w:beforeLines="20" w:before="48" w:afterLines="20" w:after="48"/>
              <w:jc w:val="center"/>
              <w:rPr>
                <w:noProof/>
                <w:sz w:val="16"/>
                <w:szCs w:val="16"/>
              </w:rPr>
            </w:pPr>
          </w:p>
        </w:tc>
        <w:tc>
          <w:tcPr>
            <w:tcW w:w="731" w:type="dxa"/>
            <w:shd w:val="clear" w:color="auto" w:fill="auto"/>
            <w:vAlign w:val="center"/>
          </w:tcPr>
          <w:p w14:paraId="395DE874" w14:textId="77777777" w:rsidR="000944F2" w:rsidRPr="008F6730" w:rsidRDefault="000944F2" w:rsidP="000944F2">
            <w:pPr>
              <w:spacing w:beforeLines="20" w:before="48" w:afterLines="20" w:after="48"/>
              <w:jc w:val="center"/>
              <w:rPr>
                <w:noProof/>
                <w:sz w:val="16"/>
                <w:szCs w:val="16"/>
              </w:rPr>
            </w:pPr>
          </w:p>
        </w:tc>
      </w:tr>
      <w:tr w:rsidR="000944F2" w:rsidRPr="008F6730" w14:paraId="5D0BE6E0" w14:textId="77777777" w:rsidTr="000944F2">
        <w:trPr>
          <w:gridBefore w:val="1"/>
          <w:gridAfter w:val="1"/>
          <w:wBefore w:w="15" w:type="dxa"/>
          <w:wAfter w:w="2193" w:type="dxa"/>
          <w:trHeight w:val="289"/>
          <w:jc w:val="center"/>
        </w:trPr>
        <w:tc>
          <w:tcPr>
            <w:tcW w:w="4754" w:type="dxa"/>
            <w:gridSpan w:val="2"/>
            <w:shd w:val="clear" w:color="auto" w:fill="auto"/>
            <w:vAlign w:val="center"/>
          </w:tcPr>
          <w:p w14:paraId="69C1FC8B" w14:textId="3A009BE5" w:rsidR="000944F2" w:rsidRPr="002D00E8" w:rsidRDefault="000944F2" w:rsidP="000944F2">
            <w:pPr>
              <w:pStyle w:val="Text1"/>
              <w:spacing w:beforeLines="20" w:before="48" w:afterLines="20" w:after="48"/>
              <w:ind w:left="134"/>
              <w:jc w:val="left"/>
              <w:rPr>
                <w:noProof/>
                <w:sz w:val="16"/>
                <w:szCs w:val="16"/>
              </w:rPr>
            </w:pPr>
            <w:r w:rsidRPr="002D00E8">
              <w:rPr>
                <w:noProof/>
                <w:sz w:val="16"/>
                <w:szCs w:val="16"/>
              </w:rPr>
              <w:t>01 01 01 11 (izravno istraživanje)</w:t>
            </w:r>
          </w:p>
        </w:tc>
        <w:tc>
          <w:tcPr>
            <w:tcW w:w="731" w:type="dxa"/>
            <w:shd w:val="clear" w:color="auto" w:fill="auto"/>
            <w:vAlign w:val="center"/>
          </w:tcPr>
          <w:p w14:paraId="52024413" w14:textId="77777777" w:rsidR="000944F2" w:rsidRPr="008F6730" w:rsidRDefault="000944F2" w:rsidP="000944F2">
            <w:pPr>
              <w:spacing w:beforeLines="20" w:before="48" w:afterLines="20" w:after="48"/>
              <w:jc w:val="center"/>
              <w:rPr>
                <w:noProof/>
                <w:sz w:val="16"/>
                <w:szCs w:val="16"/>
              </w:rPr>
            </w:pPr>
          </w:p>
        </w:tc>
        <w:tc>
          <w:tcPr>
            <w:tcW w:w="731" w:type="dxa"/>
            <w:shd w:val="clear" w:color="auto" w:fill="auto"/>
            <w:vAlign w:val="center"/>
          </w:tcPr>
          <w:p w14:paraId="3BFA761A" w14:textId="77777777" w:rsidR="000944F2" w:rsidRPr="008F6730" w:rsidRDefault="000944F2" w:rsidP="000944F2">
            <w:pPr>
              <w:spacing w:beforeLines="20" w:before="48" w:afterLines="20" w:after="48"/>
              <w:jc w:val="center"/>
              <w:rPr>
                <w:noProof/>
                <w:sz w:val="16"/>
                <w:szCs w:val="16"/>
              </w:rPr>
            </w:pPr>
          </w:p>
        </w:tc>
        <w:tc>
          <w:tcPr>
            <w:tcW w:w="731" w:type="dxa"/>
            <w:shd w:val="clear" w:color="auto" w:fill="auto"/>
            <w:vAlign w:val="center"/>
          </w:tcPr>
          <w:p w14:paraId="12919E30" w14:textId="77777777" w:rsidR="000944F2" w:rsidRPr="008F6730" w:rsidRDefault="000944F2" w:rsidP="000944F2">
            <w:pPr>
              <w:spacing w:beforeLines="20" w:before="48" w:afterLines="20" w:after="48"/>
              <w:jc w:val="center"/>
              <w:rPr>
                <w:noProof/>
                <w:sz w:val="16"/>
                <w:szCs w:val="16"/>
              </w:rPr>
            </w:pPr>
          </w:p>
        </w:tc>
        <w:tc>
          <w:tcPr>
            <w:tcW w:w="731" w:type="dxa"/>
            <w:shd w:val="clear" w:color="auto" w:fill="auto"/>
            <w:vAlign w:val="center"/>
          </w:tcPr>
          <w:p w14:paraId="776E49A3" w14:textId="77777777" w:rsidR="000944F2" w:rsidRPr="008F6730" w:rsidRDefault="000944F2" w:rsidP="000944F2">
            <w:pPr>
              <w:spacing w:beforeLines="20" w:before="48" w:afterLines="20" w:after="48"/>
              <w:jc w:val="center"/>
              <w:rPr>
                <w:noProof/>
                <w:sz w:val="16"/>
                <w:szCs w:val="16"/>
              </w:rPr>
            </w:pPr>
          </w:p>
        </w:tc>
      </w:tr>
      <w:tr w:rsidR="000944F2" w:rsidRPr="008F6730" w14:paraId="6A764FE3" w14:textId="77777777" w:rsidTr="000944F2">
        <w:trPr>
          <w:gridBefore w:val="1"/>
          <w:gridAfter w:val="1"/>
          <w:wBefore w:w="15" w:type="dxa"/>
          <w:wAfter w:w="2193" w:type="dxa"/>
          <w:trHeight w:val="289"/>
          <w:jc w:val="center"/>
        </w:trPr>
        <w:tc>
          <w:tcPr>
            <w:tcW w:w="4754" w:type="dxa"/>
            <w:gridSpan w:val="2"/>
            <w:shd w:val="clear" w:color="auto" w:fill="auto"/>
            <w:vAlign w:val="center"/>
          </w:tcPr>
          <w:p w14:paraId="2CA51889" w14:textId="77777777" w:rsidR="000944F2" w:rsidRPr="002D00E8" w:rsidRDefault="000944F2" w:rsidP="000944F2">
            <w:pPr>
              <w:pStyle w:val="Text1"/>
              <w:spacing w:beforeLines="20" w:before="48" w:afterLines="20" w:after="48"/>
              <w:ind w:left="134"/>
              <w:jc w:val="left"/>
              <w:rPr>
                <w:noProof/>
                <w:sz w:val="16"/>
                <w:szCs w:val="16"/>
              </w:rPr>
            </w:pPr>
            <w:r w:rsidRPr="002D00E8">
              <w:rPr>
                <w:noProof/>
                <w:sz w:val="16"/>
                <w:szCs w:val="16"/>
              </w:rPr>
              <w:t>Druge proračunske linije (navesti)</w:t>
            </w:r>
          </w:p>
        </w:tc>
        <w:tc>
          <w:tcPr>
            <w:tcW w:w="731" w:type="dxa"/>
            <w:shd w:val="clear" w:color="auto" w:fill="auto"/>
            <w:vAlign w:val="center"/>
          </w:tcPr>
          <w:p w14:paraId="54AB0E98" w14:textId="77777777" w:rsidR="000944F2" w:rsidRPr="008F6730" w:rsidRDefault="000944F2" w:rsidP="000944F2">
            <w:pPr>
              <w:spacing w:beforeLines="20" w:before="48" w:afterLines="20" w:after="48"/>
              <w:jc w:val="center"/>
              <w:rPr>
                <w:noProof/>
                <w:sz w:val="16"/>
                <w:szCs w:val="16"/>
              </w:rPr>
            </w:pPr>
          </w:p>
        </w:tc>
        <w:tc>
          <w:tcPr>
            <w:tcW w:w="731" w:type="dxa"/>
            <w:shd w:val="clear" w:color="auto" w:fill="auto"/>
            <w:vAlign w:val="center"/>
          </w:tcPr>
          <w:p w14:paraId="415BBA5B" w14:textId="77777777" w:rsidR="000944F2" w:rsidRPr="008F6730" w:rsidRDefault="000944F2" w:rsidP="000944F2">
            <w:pPr>
              <w:spacing w:beforeLines="20" w:before="48" w:afterLines="20" w:after="48"/>
              <w:jc w:val="center"/>
              <w:rPr>
                <w:noProof/>
                <w:sz w:val="16"/>
                <w:szCs w:val="16"/>
              </w:rPr>
            </w:pPr>
          </w:p>
        </w:tc>
        <w:tc>
          <w:tcPr>
            <w:tcW w:w="731" w:type="dxa"/>
            <w:shd w:val="clear" w:color="auto" w:fill="auto"/>
            <w:vAlign w:val="center"/>
          </w:tcPr>
          <w:p w14:paraId="7709066D" w14:textId="77777777" w:rsidR="000944F2" w:rsidRPr="008F6730" w:rsidRDefault="000944F2" w:rsidP="000944F2">
            <w:pPr>
              <w:spacing w:beforeLines="20" w:before="48" w:afterLines="20" w:after="48"/>
              <w:jc w:val="center"/>
              <w:rPr>
                <w:noProof/>
                <w:sz w:val="16"/>
                <w:szCs w:val="16"/>
              </w:rPr>
            </w:pPr>
          </w:p>
        </w:tc>
        <w:tc>
          <w:tcPr>
            <w:tcW w:w="731" w:type="dxa"/>
            <w:shd w:val="clear" w:color="auto" w:fill="auto"/>
            <w:vAlign w:val="center"/>
          </w:tcPr>
          <w:p w14:paraId="30488DD7" w14:textId="77777777" w:rsidR="000944F2" w:rsidRPr="008F6730" w:rsidRDefault="000944F2" w:rsidP="000944F2">
            <w:pPr>
              <w:spacing w:beforeLines="20" w:before="48" w:afterLines="20" w:after="48"/>
              <w:jc w:val="center"/>
              <w:rPr>
                <w:noProof/>
                <w:sz w:val="16"/>
                <w:szCs w:val="16"/>
              </w:rPr>
            </w:pPr>
          </w:p>
        </w:tc>
      </w:tr>
      <w:tr w:rsidR="000944F2" w:rsidRPr="008F6730" w14:paraId="4C2C6FB5" w14:textId="77777777" w:rsidTr="000944F2">
        <w:trPr>
          <w:trHeight w:val="248"/>
          <w:jc w:val="center"/>
        </w:trPr>
        <w:tc>
          <w:tcPr>
            <w:tcW w:w="9886" w:type="dxa"/>
            <w:gridSpan w:val="8"/>
            <w:shd w:val="clear" w:color="auto" w:fill="auto"/>
            <w:vAlign w:val="center"/>
          </w:tcPr>
          <w:p w14:paraId="57E3AF0D" w14:textId="77777777" w:rsidR="000944F2" w:rsidRPr="008F6730" w:rsidRDefault="000944F2" w:rsidP="000944F2">
            <w:pPr>
              <w:pStyle w:val="Text1"/>
              <w:spacing w:before="60" w:after="60"/>
              <w:ind w:left="0"/>
              <w:jc w:val="left"/>
              <w:rPr>
                <w:b/>
                <w:noProof/>
                <w:sz w:val="16"/>
                <w:szCs w:val="16"/>
              </w:rPr>
            </w:pPr>
            <w:r w:rsidRPr="008F6730">
              <w:rPr>
                <w:rFonts w:ascii="Wingdings" w:hAnsi="Wingdings"/>
                <w:b/>
                <w:noProof/>
                <w:sz w:val="16"/>
              </w:rPr>
              <w:t>□</w:t>
            </w:r>
            <w:r w:rsidRPr="008F6730">
              <w:rPr>
                <w:noProof/>
              </w:rPr>
              <w:t xml:space="preserve"> </w:t>
            </w:r>
            <w:r w:rsidRPr="008F6730">
              <w:rPr>
                <w:b/>
                <w:noProof/>
                <w:sz w:val="16"/>
              </w:rPr>
              <w:t>Vanjsko osoblje (u ekvivalentu punog radnog vremena: EPRV)</w:t>
            </w:r>
            <w:r w:rsidRPr="008F6730">
              <w:rPr>
                <w:rStyle w:val="FootnoteReference"/>
                <w:b/>
                <w:noProof/>
                <w:sz w:val="16"/>
              </w:rPr>
              <w:footnoteReference w:id="51"/>
            </w:r>
          </w:p>
          <w:p w14:paraId="54BF5BAA" w14:textId="77777777" w:rsidR="000944F2" w:rsidRPr="008F6730" w:rsidRDefault="000944F2" w:rsidP="000944F2">
            <w:pPr>
              <w:pStyle w:val="Text1"/>
              <w:spacing w:before="0" w:after="0"/>
              <w:ind w:left="0"/>
              <w:jc w:val="left"/>
              <w:rPr>
                <w:noProof/>
                <w:sz w:val="16"/>
                <w:szCs w:val="16"/>
              </w:rPr>
            </w:pPr>
          </w:p>
        </w:tc>
      </w:tr>
      <w:tr w:rsidR="000944F2" w:rsidRPr="008F6730" w14:paraId="74F15437" w14:textId="77777777" w:rsidTr="000944F2">
        <w:trPr>
          <w:gridBefore w:val="1"/>
          <w:gridAfter w:val="1"/>
          <w:wBefore w:w="15" w:type="dxa"/>
          <w:wAfter w:w="2193" w:type="dxa"/>
          <w:trHeight w:val="289"/>
          <w:jc w:val="center"/>
        </w:trPr>
        <w:tc>
          <w:tcPr>
            <w:tcW w:w="4754" w:type="dxa"/>
            <w:gridSpan w:val="2"/>
            <w:shd w:val="clear" w:color="auto" w:fill="auto"/>
            <w:vAlign w:val="center"/>
          </w:tcPr>
          <w:p w14:paraId="5FC6629F" w14:textId="77777777" w:rsidR="000944F2" w:rsidRPr="002D00E8" w:rsidRDefault="000944F2" w:rsidP="000944F2">
            <w:pPr>
              <w:pStyle w:val="Text1"/>
              <w:spacing w:beforeLines="20" w:before="48" w:afterLines="20" w:after="48"/>
              <w:ind w:left="136"/>
              <w:jc w:val="left"/>
              <w:rPr>
                <w:b/>
                <w:noProof/>
                <w:sz w:val="16"/>
                <w:szCs w:val="16"/>
              </w:rPr>
            </w:pPr>
            <w:r w:rsidRPr="002D00E8">
              <w:rPr>
                <w:noProof/>
                <w:sz w:val="16"/>
                <w:szCs w:val="16"/>
              </w:rPr>
              <w:t>20 02 01 (UO, UNS, UsO iz „globalne omotnice”)</w:t>
            </w:r>
          </w:p>
        </w:tc>
        <w:tc>
          <w:tcPr>
            <w:tcW w:w="731" w:type="dxa"/>
            <w:shd w:val="clear" w:color="auto" w:fill="auto"/>
            <w:vAlign w:val="center"/>
          </w:tcPr>
          <w:p w14:paraId="58C24EDE" w14:textId="77777777" w:rsidR="000944F2" w:rsidRPr="008F6730" w:rsidRDefault="000944F2" w:rsidP="000944F2">
            <w:pPr>
              <w:spacing w:beforeLines="20" w:before="48" w:afterLines="20" w:after="48"/>
              <w:jc w:val="center"/>
              <w:rPr>
                <w:noProof/>
                <w:sz w:val="16"/>
                <w:szCs w:val="16"/>
              </w:rPr>
            </w:pPr>
          </w:p>
        </w:tc>
        <w:tc>
          <w:tcPr>
            <w:tcW w:w="731" w:type="dxa"/>
            <w:shd w:val="clear" w:color="auto" w:fill="auto"/>
            <w:vAlign w:val="center"/>
          </w:tcPr>
          <w:p w14:paraId="31588413" w14:textId="77777777" w:rsidR="000944F2" w:rsidRPr="008F6730" w:rsidRDefault="000944F2" w:rsidP="000944F2">
            <w:pPr>
              <w:spacing w:beforeLines="20" w:before="48" w:afterLines="20" w:after="48"/>
              <w:jc w:val="center"/>
              <w:rPr>
                <w:noProof/>
                <w:sz w:val="16"/>
                <w:szCs w:val="16"/>
              </w:rPr>
            </w:pPr>
          </w:p>
        </w:tc>
        <w:tc>
          <w:tcPr>
            <w:tcW w:w="731" w:type="dxa"/>
            <w:shd w:val="clear" w:color="auto" w:fill="auto"/>
            <w:vAlign w:val="center"/>
          </w:tcPr>
          <w:p w14:paraId="2BCF962F" w14:textId="77777777" w:rsidR="000944F2" w:rsidRPr="008F6730" w:rsidRDefault="000944F2" w:rsidP="000944F2">
            <w:pPr>
              <w:spacing w:beforeLines="20" w:before="48" w:afterLines="20" w:after="48"/>
              <w:jc w:val="center"/>
              <w:rPr>
                <w:noProof/>
                <w:sz w:val="16"/>
                <w:szCs w:val="16"/>
              </w:rPr>
            </w:pPr>
          </w:p>
        </w:tc>
        <w:tc>
          <w:tcPr>
            <w:tcW w:w="731" w:type="dxa"/>
            <w:shd w:val="clear" w:color="auto" w:fill="auto"/>
            <w:vAlign w:val="center"/>
          </w:tcPr>
          <w:p w14:paraId="55C15546" w14:textId="77777777" w:rsidR="000944F2" w:rsidRPr="008F6730" w:rsidRDefault="000944F2" w:rsidP="000944F2">
            <w:pPr>
              <w:spacing w:beforeLines="20" w:before="48" w:afterLines="20" w:after="48"/>
              <w:jc w:val="center"/>
              <w:rPr>
                <w:noProof/>
                <w:sz w:val="16"/>
                <w:szCs w:val="16"/>
              </w:rPr>
            </w:pPr>
          </w:p>
        </w:tc>
      </w:tr>
      <w:tr w:rsidR="000944F2" w:rsidRPr="008F6730" w14:paraId="28D247D6" w14:textId="77777777" w:rsidTr="000944F2">
        <w:trPr>
          <w:gridBefore w:val="1"/>
          <w:gridAfter w:val="1"/>
          <w:wBefore w:w="15" w:type="dxa"/>
          <w:wAfter w:w="2193" w:type="dxa"/>
          <w:trHeight w:val="289"/>
          <w:jc w:val="center"/>
        </w:trPr>
        <w:tc>
          <w:tcPr>
            <w:tcW w:w="4754" w:type="dxa"/>
            <w:gridSpan w:val="2"/>
            <w:shd w:val="clear" w:color="auto" w:fill="auto"/>
            <w:vAlign w:val="center"/>
          </w:tcPr>
          <w:p w14:paraId="6938B07F" w14:textId="77777777" w:rsidR="000944F2" w:rsidRPr="008F6730" w:rsidRDefault="000944F2" w:rsidP="000944F2">
            <w:pPr>
              <w:pStyle w:val="Text1"/>
              <w:spacing w:beforeLines="20" w:before="48" w:afterLines="20" w:after="48"/>
              <w:ind w:left="136"/>
              <w:jc w:val="left"/>
              <w:rPr>
                <w:noProof/>
                <w:sz w:val="16"/>
              </w:rPr>
            </w:pPr>
            <w:r w:rsidRPr="008F6730">
              <w:rPr>
                <w:noProof/>
                <w:sz w:val="16"/>
              </w:rPr>
              <w:t>20 02 03 (UO, LO, UNS, UsO i MSD u delegacijama)</w:t>
            </w:r>
          </w:p>
        </w:tc>
        <w:tc>
          <w:tcPr>
            <w:tcW w:w="731" w:type="dxa"/>
            <w:shd w:val="clear" w:color="auto" w:fill="auto"/>
            <w:vAlign w:val="center"/>
          </w:tcPr>
          <w:p w14:paraId="3ED7F558" w14:textId="77777777" w:rsidR="000944F2" w:rsidRPr="008F6730" w:rsidRDefault="000944F2" w:rsidP="000944F2">
            <w:pPr>
              <w:spacing w:beforeLines="20" w:before="48" w:afterLines="20" w:after="48"/>
              <w:jc w:val="center"/>
              <w:rPr>
                <w:noProof/>
                <w:sz w:val="16"/>
                <w:szCs w:val="16"/>
              </w:rPr>
            </w:pPr>
          </w:p>
        </w:tc>
        <w:tc>
          <w:tcPr>
            <w:tcW w:w="731" w:type="dxa"/>
            <w:shd w:val="clear" w:color="auto" w:fill="auto"/>
            <w:vAlign w:val="center"/>
          </w:tcPr>
          <w:p w14:paraId="7DEBF872" w14:textId="77777777" w:rsidR="000944F2" w:rsidRPr="008F6730" w:rsidRDefault="000944F2" w:rsidP="000944F2">
            <w:pPr>
              <w:spacing w:beforeLines="20" w:before="48" w:afterLines="20" w:after="48"/>
              <w:jc w:val="center"/>
              <w:rPr>
                <w:noProof/>
                <w:sz w:val="16"/>
                <w:szCs w:val="16"/>
              </w:rPr>
            </w:pPr>
          </w:p>
        </w:tc>
        <w:tc>
          <w:tcPr>
            <w:tcW w:w="731" w:type="dxa"/>
            <w:shd w:val="clear" w:color="auto" w:fill="auto"/>
            <w:vAlign w:val="center"/>
          </w:tcPr>
          <w:p w14:paraId="60A7388E" w14:textId="77777777" w:rsidR="000944F2" w:rsidRPr="008F6730" w:rsidRDefault="000944F2" w:rsidP="000944F2">
            <w:pPr>
              <w:spacing w:beforeLines="20" w:before="48" w:afterLines="20" w:after="48"/>
              <w:jc w:val="center"/>
              <w:rPr>
                <w:noProof/>
                <w:sz w:val="16"/>
                <w:szCs w:val="16"/>
              </w:rPr>
            </w:pPr>
          </w:p>
        </w:tc>
        <w:tc>
          <w:tcPr>
            <w:tcW w:w="731" w:type="dxa"/>
            <w:shd w:val="clear" w:color="auto" w:fill="auto"/>
            <w:vAlign w:val="center"/>
          </w:tcPr>
          <w:p w14:paraId="0A318544" w14:textId="77777777" w:rsidR="000944F2" w:rsidRPr="008F6730" w:rsidRDefault="000944F2" w:rsidP="000944F2">
            <w:pPr>
              <w:spacing w:beforeLines="20" w:before="48" w:afterLines="20" w:after="48"/>
              <w:jc w:val="center"/>
              <w:rPr>
                <w:noProof/>
                <w:sz w:val="16"/>
                <w:szCs w:val="16"/>
              </w:rPr>
            </w:pPr>
          </w:p>
        </w:tc>
      </w:tr>
      <w:tr w:rsidR="000944F2" w:rsidRPr="008F6730" w14:paraId="369C5E63" w14:textId="77777777" w:rsidTr="000944F2">
        <w:trPr>
          <w:gridBefore w:val="1"/>
          <w:gridAfter w:val="1"/>
          <w:wBefore w:w="15" w:type="dxa"/>
          <w:wAfter w:w="2193" w:type="dxa"/>
          <w:trHeight w:val="289"/>
          <w:jc w:val="center"/>
        </w:trPr>
        <w:tc>
          <w:tcPr>
            <w:tcW w:w="2376" w:type="dxa"/>
            <w:vMerge w:val="restart"/>
            <w:shd w:val="clear" w:color="auto" w:fill="auto"/>
            <w:vAlign w:val="center"/>
          </w:tcPr>
          <w:p w14:paraId="261AB72F" w14:textId="77777777" w:rsidR="000944F2" w:rsidRPr="008F6730" w:rsidRDefault="000944F2" w:rsidP="000944F2">
            <w:pPr>
              <w:pStyle w:val="Text1"/>
              <w:spacing w:beforeLines="20" w:before="48" w:afterLines="20" w:after="48"/>
              <w:ind w:left="136"/>
              <w:jc w:val="left"/>
              <w:rPr>
                <w:b/>
                <w:noProof/>
                <w:sz w:val="16"/>
                <w:szCs w:val="16"/>
              </w:rPr>
            </w:pPr>
            <w:r w:rsidRPr="008F6730">
              <w:rPr>
                <w:b/>
                <w:noProof/>
                <w:sz w:val="16"/>
              </w:rPr>
              <w:t>XX</w:t>
            </w:r>
            <w:r w:rsidRPr="008F6730">
              <w:rPr>
                <w:noProof/>
                <w:sz w:val="16"/>
              </w:rPr>
              <w:t xml:space="preserve"> 01 xx </w:t>
            </w:r>
            <w:r w:rsidRPr="008F6730">
              <w:rPr>
                <w:b/>
                <w:noProof/>
                <w:sz w:val="16"/>
              </w:rPr>
              <w:t xml:space="preserve">yy zz </w:t>
            </w:r>
            <w:r w:rsidRPr="008F6730">
              <w:rPr>
                <w:b/>
                <w:i/>
                <w:noProof/>
                <w:sz w:val="16"/>
              </w:rPr>
              <w:t xml:space="preserve"> </w:t>
            </w:r>
            <w:r w:rsidRPr="008F6730">
              <w:rPr>
                <w:rStyle w:val="FootnoteReference"/>
                <w:b/>
                <w:i/>
                <w:noProof/>
                <w:sz w:val="16"/>
              </w:rPr>
              <w:footnoteReference w:id="52"/>
            </w:r>
          </w:p>
          <w:p w14:paraId="69F242C4" w14:textId="77777777" w:rsidR="000944F2" w:rsidRPr="008F6730" w:rsidRDefault="000944F2" w:rsidP="000944F2">
            <w:pPr>
              <w:pStyle w:val="Text1"/>
              <w:spacing w:beforeLines="20" w:before="48" w:afterLines="20" w:after="48"/>
              <w:ind w:left="136"/>
              <w:jc w:val="left"/>
              <w:rPr>
                <w:b/>
                <w:noProof/>
                <w:sz w:val="16"/>
                <w:szCs w:val="16"/>
              </w:rPr>
            </w:pPr>
          </w:p>
        </w:tc>
        <w:tc>
          <w:tcPr>
            <w:tcW w:w="2378" w:type="dxa"/>
            <w:shd w:val="clear" w:color="auto" w:fill="auto"/>
            <w:vAlign w:val="center"/>
          </w:tcPr>
          <w:p w14:paraId="0DF837FE" w14:textId="77777777" w:rsidR="000944F2" w:rsidRPr="008F6730" w:rsidRDefault="000944F2" w:rsidP="000944F2">
            <w:pPr>
              <w:pStyle w:val="Text1"/>
              <w:spacing w:beforeLines="20" w:before="48" w:afterLines="20" w:after="48"/>
              <w:ind w:left="136"/>
              <w:jc w:val="left"/>
              <w:rPr>
                <w:b/>
                <w:noProof/>
                <w:sz w:val="16"/>
                <w:szCs w:val="16"/>
              </w:rPr>
            </w:pPr>
            <w:r w:rsidRPr="008F6730">
              <w:rPr>
                <w:noProof/>
                <w:sz w:val="16"/>
              </w:rPr>
              <w:t>– u sjedištu</w:t>
            </w:r>
          </w:p>
          <w:p w14:paraId="0688B623" w14:textId="77777777" w:rsidR="000944F2" w:rsidRPr="008F6730" w:rsidRDefault="000944F2" w:rsidP="000944F2">
            <w:pPr>
              <w:pStyle w:val="Text1"/>
              <w:spacing w:beforeLines="20" w:before="48" w:afterLines="20" w:after="48"/>
              <w:ind w:left="136"/>
              <w:jc w:val="left"/>
              <w:rPr>
                <w:b/>
                <w:noProof/>
                <w:sz w:val="16"/>
                <w:szCs w:val="16"/>
              </w:rPr>
            </w:pPr>
          </w:p>
        </w:tc>
        <w:tc>
          <w:tcPr>
            <w:tcW w:w="731" w:type="dxa"/>
            <w:shd w:val="clear" w:color="auto" w:fill="auto"/>
            <w:vAlign w:val="center"/>
          </w:tcPr>
          <w:p w14:paraId="45C00C4B" w14:textId="77777777" w:rsidR="000944F2" w:rsidRPr="008F6730" w:rsidRDefault="000944F2" w:rsidP="000944F2">
            <w:pPr>
              <w:pStyle w:val="Text1"/>
              <w:spacing w:beforeLines="20" w:before="48" w:afterLines="20" w:after="48"/>
              <w:ind w:left="0"/>
              <w:rPr>
                <w:noProof/>
                <w:sz w:val="16"/>
                <w:szCs w:val="16"/>
              </w:rPr>
            </w:pPr>
          </w:p>
        </w:tc>
        <w:tc>
          <w:tcPr>
            <w:tcW w:w="731" w:type="dxa"/>
            <w:shd w:val="clear" w:color="auto" w:fill="auto"/>
            <w:vAlign w:val="center"/>
          </w:tcPr>
          <w:p w14:paraId="73A48032" w14:textId="77777777" w:rsidR="000944F2" w:rsidRPr="008F6730" w:rsidRDefault="000944F2" w:rsidP="000944F2">
            <w:pPr>
              <w:spacing w:beforeLines="20" w:before="48" w:afterLines="20" w:after="48"/>
              <w:jc w:val="center"/>
              <w:rPr>
                <w:noProof/>
                <w:sz w:val="16"/>
                <w:szCs w:val="16"/>
              </w:rPr>
            </w:pPr>
          </w:p>
        </w:tc>
        <w:tc>
          <w:tcPr>
            <w:tcW w:w="731" w:type="dxa"/>
            <w:shd w:val="clear" w:color="auto" w:fill="auto"/>
            <w:vAlign w:val="center"/>
          </w:tcPr>
          <w:p w14:paraId="08D6EE09" w14:textId="77777777" w:rsidR="000944F2" w:rsidRPr="008F6730" w:rsidRDefault="000944F2" w:rsidP="000944F2">
            <w:pPr>
              <w:spacing w:beforeLines="20" w:before="48" w:afterLines="20" w:after="48"/>
              <w:jc w:val="center"/>
              <w:rPr>
                <w:noProof/>
                <w:sz w:val="16"/>
                <w:szCs w:val="16"/>
              </w:rPr>
            </w:pPr>
          </w:p>
        </w:tc>
        <w:tc>
          <w:tcPr>
            <w:tcW w:w="731" w:type="dxa"/>
            <w:shd w:val="clear" w:color="auto" w:fill="auto"/>
            <w:vAlign w:val="center"/>
          </w:tcPr>
          <w:p w14:paraId="38768A17" w14:textId="77777777" w:rsidR="000944F2" w:rsidRPr="008F6730" w:rsidRDefault="000944F2" w:rsidP="000944F2">
            <w:pPr>
              <w:spacing w:beforeLines="20" w:before="48" w:afterLines="20" w:after="48"/>
              <w:jc w:val="center"/>
              <w:rPr>
                <w:noProof/>
                <w:sz w:val="16"/>
                <w:szCs w:val="16"/>
              </w:rPr>
            </w:pPr>
          </w:p>
        </w:tc>
      </w:tr>
      <w:tr w:rsidR="000944F2" w:rsidRPr="008F6730" w14:paraId="77150CE2" w14:textId="77777777" w:rsidTr="000944F2">
        <w:trPr>
          <w:gridBefore w:val="1"/>
          <w:gridAfter w:val="1"/>
          <w:wBefore w:w="15" w:type="dxa"/>
          <w:wAfter w:w="2193" w:type="dxa"/>
          <w:trHeight w:val="289"/>
          <w:jc w:val="center"/>
        </w:trPr>
        <w:tc>
          <w:tcPr>
            <w:tcW w:w="2376" w:type="dxa"/>
            <w:vMerge/>
            <w:shd w:val="clear" w:color="auto" w:fill="auto"/>
            <w:vAlign w:val="center"/>
          </w:tcPr>
          <w:p w14:paraId="27DDC120" w14:textId="77777777" w:rsidR="000944F2" w:rsidRPr="008F6730" w:rsidRDefault="000944F2" w:rsidP="000944F2">
            <w:pPr>
              <w:pStyle w:val="Text1"/>
              <w:spacing w:beforeLines="20" w:before="48" w:afterLines="20" w:after="48"/>
              <w:ind w:left="136"/>
              <w:jc w:val="left"/>
              <w:rPr>
                <w:b/>
                <w:noProof/>
                <w:sz w:val="16"/>
                <w:szCs w:val="16"/>
              </w:rPr>
            </w:pPr>
          </w:p>
        </w:tc>
        <w:tc>
          <w:tcPr>
            <w:tcW w:w="2378" w:type="dxa"/>
            <w:shd w:val="clear" w:color="auto" w:fill="auto"/>
            <w:vAlign w:val="center"/>
          </w:tcPr>
          <w:p w14:paraId="0146B535" w14:textId="77777777" w:rsidR="000944F2" w:rsidRPr="008F6730" w:rsidRDefault="000944F2" w:rsidP="000944F2">
            <w:pPr>
              <w:pStyle w:val="Text1"/>
              <w:spacing w:beforeLines="20" w:before="48" w:afterLines="20" w:after="48"/>
              <w:ind w:left="136"/>
              <w:jc w:val="left"/>
              <w:rPr>
                <w:b/>
                <w:noProof/>
                <w:sz w:val="16"/>
                <w:szCs w:val="16"/>
              </w:rPr>
            </w:pPr>
            <w:r w:rsidRPr="008F6730">
              <w:rPr>
                <w:noProof/>
                <w:sz w:val="16"/>
              </w:rPr>
              <w:t xml:space="preserve">– u delegacijama </w:t>
            </w:r>
          </w:p>
        </w:tc>
        <w:tc>
          <w:tcPr>
            <w:tcW w:w="731" w:type="dxa"/>
            <w:shd w:val="clear" w:color="auto" w:fill="auto"/>
            <w:vAlign w:val="center"/>
          </w:tcPr>
          <w:p w14:paraId="10A257CC" w14:textId="77777777" w:rsidR="000944F2" w:rsidRPr="008F6730" w:rsidRDefault="000944F2" w:rsidP="000944F2">
            <w:pPr>
              <w:pStyle w:val="Text1"/>
              <w:spacing w:beforeLines="20" w:before="48" w:afterLines="20" w:after="48"/>
              <w:ind w:left="0"/>
              <w:rPr>
                <w:noProof/>
                <w:sz w:val="16"/>
                <w:szCs w:val="16"/>
              </w:rPr>
            </w:pPr>
          </w:p>
        </w:tc>
        <w:tc>
          <w:tcPr>
            <w:tcW w:w="731" w:type="dxa"/>
            <w:shd w:val="clear" w:color="auto" w:fill="auto"/>
            <w:vAlign w:val="center"/>
          </w:tcPr>
          <w:p w14:paraId="3F0EE0A9" w14:textId="77777777" w:rsidR="000944F2" w:rsidRPr="008F6730" w:rsidRDefault="000944F2" w:rsidP="000944F2">
            <w:pPr>
              <w:spacing w:beforeLines="20" w:before="48" w:afterLines="20" w:after="48"/>
              <w:jc w:val="center"/>
              <w:rPr>
                <w:noProof/>
                <w:sz w:val="16"/>
                <w:szCs w:val="16"/>
              </w:rPr>
            </w:pPr>
          </w:p>
        </w:tc>
        <w:tc>
          <w:tcPr>
            <w:tcW w:w="731" w:type="dxa"/>
            <w:shd w:val="clear" w:color="auto" w:fill="auto"/>
            <w:vAlign w:val="center"/>
          </w:tcPr>
          <w:p w14:paraId="38CD9789" w14:textId="77777777" w:rsidR="000944F2" w:rsidRPr="008F6730" w:rsidRDefault="000944F2" w:rsidP="000944F2">
            <w:pPr>
              <w:spacing w:beforeLines="20" w:before="48" w:afterLines="20" w:after="48"/>
              <w:jc w:val="center"/>
              <w:rPr>
                <w:noProof/>
                <w:sz w:val="16"/>
                <w:szCs w:val="16"/>
              </w:rPr>
            </w:pPr>
          </w:p>
        </w:tc>
        <w:tc>
          <w:tcPr>
            <w:tcW w:w="731" w:type="dxa"/>
            <w:shd w:val="clear" w:color="auto" w:fill="auto"/>
            <w:vAlign w:val="center"/>
          </w:tcPr>
          <w:p w14:paraId="423B46B9" w14:textId="77777777" w:rsidR="000944F2" w:rsidRPr="008F6730" w:rsidRDefault="000944F2" w:rsidP="000944F2">
            <w:pPr>
              <w:spacing w:beforeLines="20" w:before="48" w:afterLines="20" w:after="48"/>
              <w:jc w:val="center"/>
              <w:rPr>
                <w:noProof/>
                <w:sz w:val="16"/>
                <w:szCs w:val="16"/>
              </w:rPr>
            </w:pPr>
          </w:p>
        </w:tc>
      </w:tr>
      <w:tr w:rsidR="000944F2" w:rsidRPr="008F6730" w14:paraId="7310CB06" w14:textId="77777777" w:rsidTr="000944F2">
        <w:trPr>
          <w:gridBefore w:val="1"/>
          <w:gridAfter w:val="1"/>
          <w:wBefore w:w="15" w:type="dxa"/>
          <w:wAfter w:w="2193" w:type="dxa"/>
          <w:trHeight w:val="289"/>
          <w:jc w:val="center"/>
        </w:trPr>
        <w:tc>
          <w:tcPr>
            <w:tcW w:w="4754" w:type="dxa"/>
            <w:gridSpan w:val="2"/>
            <w:shd w:val="clear" w:color="auto" w:fill="auto"/>
            <w:vAlign w:val="center"/>
          </w:tcPr>
          <w:p w14:paraId="7D9C2698" w14:textId="77777777" w:rsidR="000944F2" w:rsidRPr="002D00E8" w:rsidRDefault="000944F2" w:rsidP="000944F2">
            <w:pPr>
              <w:pStyle w:val="Text1"/>
              <w:spacing w:beforeLines="20" w:before="48" w:afterLines="20" w:after="48"/>
              <w:ind w:left="136"/>
              <w:jc w:val="left"/>
              <w:rPr>
                <w:noProof/>
                <w:sz w:val="16"/>
                <w:szCs w:val="16"/>
              </w:rPr>
            </w:pPr>
            <w:r w:rsidRPr="002D00E8">
              <w:rPr>
                <w:noProof/>
                <w:sz w:val="16"/>
                <w:szCs w:val="16"/>
              </w:rPr>
              <w:t>01 01 01 02 (UO, UNS, UsO – neizravno istraživanje)</w:t>
            </w:r>
          </w:p>
        </w:tc>
        <w:tc>
          <w:tcPr>
            <w:tcW w:w="731" w:type="dxa"/>
            <w:shd w:val="clear" w:color="auto" w:fill="auto"/>
            <w:vAlign w:val="center"/>
          </w:tcPr>
          <w:p w14:paraId="6A819605" w14:textId="77777777" w:rsidR="000944F2" w:rsidRPr="008F6730" w:rsidRDefault="000944F2" w:rsidP="000944F2">
            <w:pPr>
              <w:spacing w:beforeLines="20" w:before="48" w:afterLines="20" w:after="48"/>
              <w:jc w:val="center"/>
              <w:rPr>
                <w:noProof/>
                <w:sz w:val="16"/>
                <w:szCs w:val="16"/>
              </w:rPr>
            </w:pPr>
          </w:p>
        </w:tc>
        <w:tc>
          <w:tcPr>
            <w:tcW w:w="731" w:type="dxa"/>
            <w:shd w:val="clear" w:color="auto" w:fill="auto"/>
            <w:vAlign w:val="center"/>
          </w:tcPr>
          <w:p w14:paraId="086520F3" w14:textId="77777777" w:rsidR="000944F2" w:rsidRPr="008F6730" w:rsidRDefault="000944F2" w:rsidP="000944F2">
            <w:pPr>
              <w:spacing w:beforeLines="20" w:before="48" w:afterLines="20" w:after="48"/>
              <w:jc w:val="center"/>
              <w:rPr>
                <w:noProof/>
                <w:sz w:val="16"/>
                <w:szCs w:val="16"/>
              </w:rPr>
            </w:pPr>
          </w:p>
        </w:tc>
        <w:tc>
          <w:tcPr>
            <w:tcW w:w="731" w:type="dxa"/>
            <w:shd w:val="clear" w:color="auto" w:fill="auto"/>
            <w:vAlign w:val="center"/>
          </w:tcPr>
          <w:p w14:paraId="2AADC9AB" w14:textId="77777777" w:rsidR="000944F2" w:rsidRPr="008F6730" w:rsidRDefault="000944F2" w:rsidP="000944F2">
            <w:pPr>
              <w:spacing w:beforeLines="20" w:before="48" w:afterLines="20" w:after="48"/>
              <w:jc w:val="center"/>
              <w:rPr>
                <w:noProof/>
                <w:sz w:val="16"/>
                <w:szCs w:val="16"/>
              </w:rPr>
            </w:pPr>
          </w:p>
        </w:tc>
        <w:tc>
          <w:tcPr>
            <w:tcW w:w="731" w:type="dxa"/>
            <w:shd w:val="clear" w:color="auto" w:fill="auto"/>
            <w:vAlign w:val="center"/>
          </w:tcPr>
          <w:p w14:paraId="681E7238" w14:textId="77777777" w:rsidR="000944F2" w:rsidRPr="008F6730" w:rsidRDefault="000944F2" w:rsidP="000944F2">
            <w:pPr>
              <w:spacing w:beforeLines="20" w:before="48" w:afterLines="20" w:after="48"/>
              <w:jc w:val="center"/>
              <w:rPr>
                <w:noProof/>
                <w:sz w:val="16"/>
                <w:szCs w:val="16"/>
              </w:rPr>
            </w:pPr>
          </w:p>
        </w:tc>
      </w:tr>
      <w:tr w:rsidR="000944F2" w:rsidRPr="008F6730" w14:paraId="5CD68407" w14:textId="77777777" w:rsidTr="000944F2">
        <w:trPr>
          <w:gridBefore w:val="1"/>
          <w:gridAfter w:val="1"/>
          <w:wBefore w:w="15" w:type="dxa"/>
          <w:wAfter w:w="2193" w:type="dxa"/>
          <w:trHeight w:val="289"/>
          <w:jc w:val="center"/>
        </w:trPr>
        <w:tc>
          <w:tcPr>
            <w:tcW w:w="4754" w:type="dxa"/>
            <w:gridSpan w:val="2"/>
            <w:shd w:val="clear" w:color="auto" w:fill="auto"/>
            <w:vAlign w:val="center"/>
          </w:tcPr>
          <w:p w14:paraId="6649889C" w14:textId="77777777" w:rsidR="000944F2" w:rsidRPr="002D00E8" w:rsidRDefault="000944F2" w:rsidP="000944F2">
            <w:pPr>
              <w:pStyle w:val="Text1"/>
              <w:spacing w:beforeLines="20" w:before="48" w:afterLines="20" w:after="48"/>
              <w:ind w:left="136"/>
              <w:jc w:val="left"/>
              <w:rPr>
                <w:noProof/>
                <w:color w:val="FF0000"/>
                <w:sz w:val="16"/>
                <w:szCs w:val="16"/>
              </w:rPr>
            </w:pPr>
            <w:r w:rsidRPr="002D00E8">
              <w:rPr>
                <w:noProof/>
                <w:sz w:val="16"/>
                <w:szCs w:val="16"/>
              </w:rPr>
              <w:t xml:space="preserve"> 01 01 01 12 (UO, UNS, UsO – izravno istraživanje)</w:t>
            </w:r>
          </w:p>
        </w:tc>
        <w:tc>
          <w:tcPr>
            <w:tcW w:w="731" w:type="dxa"/>
            <w:shd w:val="clear" w:color="auto" w:fill="auto"/>
            <w:vAlign w:val="center"/>
          </w:tcPr>
          <w:p w14:paraId="2E0AA403" w14:textId="77777777" w:rsidR="000944F2" w:rsidRPr="008F6730" w:rsidRDefault="000944F2" w:rsidP="000944F2">
            <w:pPr>
              <w:spacing w:beforeLines="20" w:before="48" w:afterLines="20" w:after="48"/>
              <w:jc w:val="center"/>
              <w:rPr>
                <w:noProof/>
                <w:sz w:val="16"/>
                <w:szCs w:val="16"/>
              </w:rPr>
            </w:pPr>
          </w:p>
        </w:tc>
        <w:tc>
          <w:tcPr>
            <w:tcW w:w="731" w:type="dxa"/>
            <w:shd w:val="clear" w:color="auto" w:fill="auto"/>
            <w:vAlign w:val="center"/>
          </w:tcPr>
          <w:p w14:paraId="6942CAAC" w14:textId="77777777" w:rsidR="000944F2" w:rsidRPr="008F6730" w:rsidRDefault="000944F2" w:rsidP="000944F2">
            <w:pPr>
              <w:spacing w:beforeLines="20" w:before="48" w:afterLines="20" w:after="48"/>
              <w:jc w:val="center"/>
              <w:rPr>
                <w:noProof/>
                <w:sz w:val="16"/>
                <w:szCs w:val="16"/>
              </w:rPr>
            </w:pPr>
          </w:p>
        </w:tc>
        <w:tc>
          <w:tcPr>
            <w:tcW w:w="731" w:type="dxa"/>
            <w:shd w:val="clear" w:color="auto" w:fill="auto"/>
            <w:vAlign w:val="center"/>
          </w:tcPr>
          <w:p w14:paraId="4266228B" w14:textId="77777777" w:rsidR="000944F2" w:rsidRPr="008F6730" w:rsidRDefault="000944F2" w:rsidP="000944F2">
            <w:pPr>
              <w:spacing w:beforeLines="20" w:before="48" w:afterLines="20" w:after="48"/>
              <w:jc w:val="center"/>
              <w:rPr>
                <w:noProof/>
                <w:sz w:val="16"/>
                <w:szCs w:val="16"/>
              </w:rPr>
            </w:pPr>
          </w:p>
        </w:tc>
        <w:tc>
          <w:tcPr>
            <w:tcW w:w="731" w:type="dxa"/>
            <w:shd w:val="clear" w:color="auto" w:fill="auto"/>
            <w:vAlign w:val="center"/>
          </w:tcPr>
          <w:p w14:paraId="63480436" w14:textId="77777777" w:rsidR="000944F2" w:rsidRPr="008F6730" w:rsidRDefault="000944F2" w:rsidP="000944F2">
            <w:pPr>
              <w:spacing w:beforeLines="20" w:before="48" w:afterLines="20" w:after="48"/>
              <w:jc w:val="center"/>
              <w:rPr>
                <w:noProof/>
                <w:sz w:val="16"/>
                <w:szCs w:val="16"/>
              </w:rPr>
            </w:pPr>
          </w:p>
        </w:tc>
      </w:tr>
      <w:tr w:rsidR="000944F2" w:rsidRPr="008F6730" w14:paraId="0A0D56B2" w14:textId="77777777" w:rsidTr="000944F2">
        <w:trPr>
          <w:gridBefore w:val="1"/>
          <w:gridAfter w:val="1"/>
          <w:wBefore w:w="15" w:type="dxa"/>
          <w:wAfter w:w="2193" w:type="dxa"/>
          <w:trHeight w:val="289"/>
          <w:jc w:val="center"/>
        </w:trPr>
        <w:tc>
          <w:tcPr>
            <w:tcW w:w="4754" w:type="dxa"/>
            <w:gridSpan w:val="2"/>
            <w:shd w:val="clear" w:color="auto" w:fill="auto"/>
            <w:vAlign w:val="center"/>
          </w:tcPr>
          <w:p w14:paraId="2C93D66A" w14:textId="77777777" w:rsidR="000944F2" w:rsidRPr="008F6730" w:rsidRDefault="000944F2" w:rsidP="000944F2">
            <w:pPr>
              <w:pStyle w:val="Text1"/>
              <w:spacing w:beforeLines="20" w:before="48" w:afterLines="20" w:after="48"/>
              <w:ind w:left="136"/>
              <w:jc w:val="left"/>
              <w:rPr>
                <w:noProof/>
                <w:sz w:val="16"/>
              </w:rPr>
            </w:pPr>
            <w:r w:rsidRPr="008F6730">
              <w:rPr>
                <w:noProof/>
                <w:sz w:val="16"/>
              </w:rPr>
              <w:t>Druge proračunske linije (navesti)</w:t>
            </w:r>
          </w:p>
        </w:tc>
        <w:tc>
          <w:tcPr>
            <w:tcW w:w="731" w:type="dxa"/>
            <w:shd w:val="clear" w:color="auto" w:fill="auto"/>
            <w:vAlign w:val="center"/>
          </w:tcPr>
          <w:p w14:paraId="3E955A21" w14:textId="77777777" w:rsidR="000944F2" w:rsidRPr="008F6730" w:rsidRDefault="000944F2" w:rsidP="000944F2">
            <w:pPr>
              <w:spacing w:beforeLines="20" w:before="48" w:afterLines="20" w:after="48"/>
              <w:jc w:val="center"/>
              <w:rPr>
                <w:noProof/>
                <w:sz w:val="16"/>
                <w:szCs w:val="16"/>
              </w:rPr>
            </w:pPr>
          </w:p>
        </w:tc>
        <w:tc>
          <w:tcPr>
            <w:tcW w:w="731" w:type="dxa"/>
            <w:shd w:val="clear" w:color="auto" w:fill="auto"/>
            <w:vAlign w:val="center"/>
          </w:tcPr>
          <w:p w14:paraId="02AF719E" w14:textId="77777777" w:rsidR="000944F2" w:rsidRPr="008F6730" w:rsidRDefault="000944F2" w:rsidP="000944F2">
            <w:pPr>
              <w:spacing w:beforeLines="20" w:before="48" w:afterLines="20" w:after="48"/>
              <w:jc w:val="center"/>
              <w:rPr>
                <w:noProof/>
                <w:sz w:val="16"/>
                <w:szCs w:val="16"/>
              </w:rPr>
            </w:pPr>
          </w:p>
        </w:tc>
        <w:tc>
          <w:tcPr>
            <w:tcW w:w="731" w:type="dxa"/>
            <w:shd w:val="clear" w:color="auto" w:fill="auto"/>
            <w:vAlign w:val="center"/>
          </w:tcPr>
          <w:p w14:paraId="1FA674C5" w14:textId="77777777" w:rsidR="000944F2" w:rsidRPr="008F6730" w:rsidRDefault="000944F2" w:rsidP="000944F2">
            <w:pPr>
              <w:spacing w:beforeLines="20" w:before="48" w:afterLines="20" w:after="48"/>
              <w:jc w:val="center"/>
              <w:rPr>
                <w:noProof/>
                <w:sz w:val="16"/>
                <w:szCs w:val="16"/>
              </w:rPr>
            </w:pPr>
          </w:p>
        </w:tc>
        <w:tc>
          <w:tcPr>
            <w:tcW w:w="731" w:type="dxa"/>
            <w:shd w:val="clear" w:color="auto" w:fill="auto"/>
            <w:vAlign w:val="center"/>
          </w:tcPr>
          <w:p w14:paraId="4FDA7027" w14:textId="77777777" w:rsidR="000944F2" w:rsidRPr="008F6730" w:rsidRDefault="000944F2" w:rsidP="000944F2">
            <w:pPr>
              <w:spacing w:beforeLines="20" w:before="48" w:afterLines="20" w:after="48"/>
              <w:jc w:val="center"/>
              <w:rPr>
                <w:noProof/>
                <w:sz w:val="16"/>
                <w:szCs w:val="16"/>
              </w:rPr>
            </w:pPr>
          </w:p>
        </w:tc>
      </w:tr>
      <w:tr w:rsidR="000944F2" w:rsidRPr="008F6730" w14:paraId="708FE31D" w14:textId="77777777" w:rsidTr="000944F2">
        <w:trPr>
          <w:gridBefore w:val="1"/>
          <w:gridAfter w:val="1"/>
          <w:wBefore w:w="15" w:type="dxa"/>
          <w:wAfter w:w="2193" w:type="dxa"/>
          <w:trHeight w:val="289"/>
          <w:jc w:val="center"/>
        </w:trPr>
        <w:tc>
          <w:tcPr>
            <w:tcW w:w="4754" w:type="dxa"/>
            <w:gridSpan w:val="2"/>
            <w:tcBorders>
              <w:top w:val="double" w:sz="4" w:space="0" w:color="auto"/>
            </w:tcBorders>
            <w:shd w:val="clear" w:color="auto" w:fill="auto"/>
            <w:vAlign w:val="center"/>
          </w:tcPr>
          <w:p w14:paraId="3CC3ABED" w14:textId="77777777" w:rsidR="000944F2" w:rsidRPr="008F6730" w:rsidRDefault="000944F2" w:rsidP="000944F2">
            <w:pPr>
              <w:pStyle w:val="Text1"/>
              <w:spacing w:beforeLines="20" w:before="48" w:afterLines="20" w:after="48"/>
              <w:ind w:left="136"/>
              <w:jc w:val="left"/>
              <w:rPr>
                <w:noProof/>
                <w:sz w:val="16"/>
                <w:szCs w:val="16"/>
              </w:rPr>
            </w:pPr>
            <w:r w:rsidRPr="008F6730">
              <w:rPr>
                <w:b/>
                <w:noProof/>
                <w:sz w:val="16"/>
              </w:rPr>
              <w:t>UKUPNO</w:t>
            </w:r>
          </w:p>
        </w:tc>
        <w:tc>
          <w:tcPr>
            <w:tcW w:w="731" w:type="dxa"/>
            <w:tcBorders>
              <w:top w:val="double" w:sz="4" w:space="0" w:color="auto"/>
            </w:tcBorders>
            <w:shd w:val="clear" w:color="auto" w:fill="auto"/>
            <w:vAlign w:val="center"/>
          </w:tcPr>
          <w:p w14:paraId="39A784F4" w14:textId="77777777" w:rsidR="000944F2" w:rsidRPr="008F6730" w:rsidRDefault="000944F2" w:rsidP="000944F2">
            <w:pPr>
              <w:spacing w:beforeLines="20" w:before="48" w:afterLines="20" w:after="48"/>
              <w:jc w:val="center"/>
              <w:rPr>
                <w:b/>
                <w:noProof/>
                <w:sz w:val="16"/>
                <w:szCs w:val="16"/>
              </w:rPr>
            </w:pPr>
            <w:r w:rsidRPr="008F6730">
              <w:rPr>
                <w:b/>
                <w:noProof/>
                <w:sz w:val="16"/>
              </w:rPr>
              <w:t>5</w:t>
            </w:r>
          </w:p>
        </w:tc>
        <w:tc>
          <w:tcPr>
            <w:tcW w:w="731" w:type="dxa"/>
            <w:tcBorders>
              <w:top w:val="double" w:sz="4" w:space="0" w:color="auto"/>
            </w:tcBorders>
            <w:shd w:val="clear" w:color="auto" w:fill="auto"/>
            <w:vAlign w:val="center"/>
          </w:tcPr>
          <w:p w14:paraId="6AA46705" w14:textId="77777777" w:rsidR="000944F2" w:rsidRPr="008F6730" w:rsidRDefault="000944F2" w:rsidP="000944F2">
            <w:pPr>
              <w:spacing w:beforeLines="20" w:before="48" w:afterLines="20" w:after="48"/>
              <w:jc w:val="center"/>
              <w:rPr>
                <w:b/>
                <w:noProof/>
                <w:sz w:val="16"/>
                <w:szCs w:val="16"/>
              </w:rPr>
            </w:pPr>
            <w:r w:rsidRPr="008F6730">
              <w:rPr>
                <w:b/>
                <w:noProof/>
                <w:sz w:val="16"/>
              </w:rPr>
              <w:t>7</w:t>
            </w:r>
          </w:p>
        </w:tc>
        <w:tc>
          <w:tcPr>
            <w:tcW w:w="731" w:type="dxa"/>
            <w:tcBorders>
              <w:top w:val="double" w:sz="4" w:space="0" w:color="auto"/>
            </w:tcBorders>
            <w:shd w:val="clear" w:color="auto" w:fill="auto"/>
            <w:vAlign w:val="center"/>
          </w:tcPr>
          <w:p w14:paraId="4011179D" w14:textId="77777777" w:rsidR="000944F2" w:rsidRPr="008F6730" w:rsidRDefault="000944F2" w:rsidP="000944F2">
            <w:pPr>
              <w:spacing w:beforeLines="20" w:before="48" w:afterLines="20" w:after="48"/>
              <w:jc w:val="center"/>
              <w:rPr>
                <w:b/>
                <w:noProof/>
                <w:sz w:val="16"/>
                <w:szCs w:val="16"/>
              </w:rPr>
            </w:pPr>
            <w:r w:rsidRPr="008F6730">
              <w:rPr>
                <w:b/>
                <w:noProof/>
                <w:sz w:val="16"/>
              </w:rPr>
              <w:t>7</w:t>
            </w:r>
          </w:p>
        </w:tc>
        <w:tc>
          <w:tcPr>
            <w:tcW w:w="731" w:type="dxa"/>
            <w:tcBorders>
              <w:top w:val="double" w:sz="4" w:space="0" w:color="auto"/>
            </w:tcBorders>
            <w:shd w:val="clear" w:color="auto" w:fill="auto"/>
            <w:vAlign w:val="center"/>
          </w:tcPr>
          <w:p w14:paraId="6AC3B1FB" w14:textId="77777777" w:rsidR="000944F2" w:rsidRPr="008F6730" w:rsidRDefault="000944F2" w:rsidP="000944F2">
            <w:pPr>
              <w:spacing w:beforeLines="20" w:before="48" w:afterLines="20" w:after="48"/>
              <w:jc w:val="center"/>
              <w:rPr>
                <w:b/>
                <w:noProof/>
                <w:sz w:val="16"/>
                <w:szCs w:val="16"/>
              </w:rPr>
            </w:pPr>
            <w:r w:rsidRPr="008F6730">
              <w:rPr>
                <w:b/>
                <w:noProof/>
                <w:sz w:val="16"/>
              </w:rPr>
              <w:t>7</w:t>
            </w:r>
          </w:p>
        </w:tc>
      </w:tr>
    </w:tbl>
    <w:p w14:paraId="5B08D62E" w14:textId="77777777" w:rsidR="000944F2" w:rsidRPr="008F6730" w:rsidRDefault="000944F2" w:rsidP="000944F2">
      <w:pPr>
        <w:pStyle w:val="Text1"/>
        <w:spacing w:before="60" w:after="60"/>
        <w:ind w:left="851"/>
        <w:rPr>
          <w:noProof/>
          <w:sz w:val="18"/>
          <w:szCs w:val="18"/>
        </w:rPr>
      </w:pPr>
      <w:r w:rsidRPr="008F6730">
        <w:rPr>
          <w:b/>
          <w:noProof/>
          <w:sz w:val="18"/>
        </w:rPr>
        <w:t>XX</w:t>
      </w:r>
      <w:r w:rsidRPr="008F6730">
        <w:rPr>
          <w:noProof/>
          <w:sz w:val="18"/>
        </w:rPr>
        <w:t xml:space="preserve"> se odnosi na odgovarajuće područje politike ili glavu proračuna.</w:t>
      </w:r>
    </w:p>
    <w:p w14:paraId="7D0D8C48" w14:textId="77777777" w:rsidR="000944F2" w:rsidRPr="008F6730" w:rsidRDefault="000944F2" w:rsidP="000944F2">
      <w:pPr>
        <w:pStyle w:val="Text1"/>
        <w:rPr>
          <w:noProof/>
          <w:sz w:val="18"/>
          <w:szCs w:val="18"/>
        </w:rPr>
      </w:pPr>
      <w:r w:rsidRPr="008F6730">
        <w:rPr>
          <w:noProof/>
          <w:sz w:val="18"/>
        </w:rPr>
        <w:t>Potrebe za ljudskim resursima pokrit će se osobljem glavne uprave kojemu je već povjereno upravljanje djelovanjem i/ili koje je preraspoređeno unutar glavne uprave te, prema potrebi, resursima koji se mogu dodijeliti nadležnoj glavnoj upravi u okviru godišnjeg postupka dodjele sredstava uzimajući u obzir proračunska ograničenja.</w:t>
      </w:r>
    </w:p>
    <w:p w14:paraId="0BCBA3BD" w14:textId="77777777" w:rsidR="000944F2" w:rsidRPr="008F6730" w:rsidRDefault="000944F2" w:rsidP="000944F2">
      <w:pPr>
        <w:rPr>
          <w:noProof/>
          <w:sz w:val="20"/>
        </w:rPr>
      </w:pPr>
      <w:r w:rsidRPr="008F6730">
        <w:rPr>
          <w:noProof/>
          <w:sz w:val="20"/>
        </w:rPr>
        <w:t>Opis zadaća:</w:t>
      </w:r>
    </w:p>
    <w:tbl>
      <w:tblPr>
        <w:tblW w:w="10440" w:type="dxa"/>
        <w:tblInd w:w="-4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3240"/>
        <w:gridCol w:w="7200"/>
      </w:tblGrid>
      <w:tr w:rsidR="000944F2" w:rsidRPr="008F6730" w14:paraId="52C4995C" w14:textId="77777777" w:rsidTr="000944F2">
        <w:tc>
          <w:tcPr>
            <w:tcW w:w="3240" w:type="dxa"/>
          </w:tcPr>
          <w:p w14:paraId="1E554D9F" w14:textId="77777777" w:rsidR="000944F2" w:rsidRPr="008F6730" w:rsidRDefault="000944F2" w:rsidP="000944F2">
            <w:pPr>
              <w:rPr>
                <w:noProof/>
                <w:sz w:val="20"/>
              </w:rPr>
            </w:pPr>
            <w:r w:rsidRPr="008F6730">
              <w:rPr>
                <w:noProof/>
                <w:sz w:val="20"/>
              </w:rPr>
              <w:t>Dužnosnici i privremeno osoblje</w:t>
            </w:r>
          </w:p>
        </w:tc>
        <w:tc>
          <w:tcPr>
            <w:tcW w:w="7200" w:type="dxa"/>
          </w:tcPr>
          <w:p w14:paraId="498F9CEF" w14:textId="77CA6521" w:rsidR="000944F2" w:rsidRPr="008F6730" w:rsidRDefault="000944F2" w:rsidP="000944F2">
            <w:pPr>
              <w:rPr>
                <w:noProof/>
                <w:sz w:val="20"/>
              </w:rPr>
            </w:pPr>
            <w:r w:rsidRPr="008F6730">
              <w:rPr>
                <w:noProof/>
                <w:sz w:val="20"/>
              </w:rPr>
              <w:t>Osoblje na radnim mjestima AST podu</w:t>
            </w:r>
            <w:r w:rsidR="0038311B">
              <w:rPr>
                <w:noProof/>
                <w:sz w:val="20"/>
              </w:rPr>
              <w:t>pirat će upravljanje relevantne</w:t>
            </w:r>
            <w:r w:rsidRPr="008F6730">
              <w:rPr>
                <w:noProof/>
                <w:sz w:val="20"/>
              </w:rPr>
              <w:t xml:space="preserve"> st</w:t>
            </w:r>
            <w:r w:rsidR="0038311B">
              <w:rPr>
                <w:noProof/>
                <w:sz w:val="20"/>
              </w:rPr>
              <w:t>ručne skupine i regulatornog odbora</w:t>
            </w:r>
            <w:r w:rsidRPr="008F6730">
              <w:rPr>
                <w:noProof/>
                <w:sz w:val="20"/>
              </w:rPr>
              <w:t xml:space="preserve">. </w:t>
            </w:r>
          </w:p>
          <w:p w14:paraId="2584644D" w14:textId="77777777" w:rsidR="000944F2" w:rsidRPr="008F6730" w:rsidRDefault="000944F2" w:rsidP="000944F2">
            <w:pPr>
              <w:rPr>
                <w:noProof/>
                <w:sz w:val="20"/>
              </w:rPr>
            </w:pPr>
            <w:r w:rsidRPr="008F6730">
              <w:rPr>
                <w:noProof/>
                <w:sz w:val="20"/>
              </w:rPr>
              <w:t>Osoblje na radnim mjestima AD:</w:t>
            </w:r>
          </w:p>
          <w:p w14:paraId="6308B1E4" w14:textId="77777777" w:rsidR="000944F2" w:rsidRPr="008F6730" w:rsidRDefault="000944F2" w:rsidP="000944F2">
            <w:pPr>
              <w:rPr>
                <w:noProof/>
                <w:sz w:val="20"/>
              </w:rPr>
            </w:pPr>
            <w:r w:rsidRPr="008F6730">
              <w:rPr>
                <w:noProof/>
                <w:sz w:val="20"/>
              </w:rPr>
              <w:t xml:space="preserve">– pripremat će niz delegiranih akata u kojima se utvrđuju detaljne metodologije certificiranja za dokazivanje usklađenosti s EU-ovim kriterijima kvalitete za uklanjanje ugljika, </w:t>
            </w:r>
          </w:p>
          <w:p w14:paraId="5F9D6273" w14:textId="77777777" w:rsidR="000944F2" w:rsidRPr="008F6730" w:rsidRDefault="000944F2" w:rsidP="000944F2">
            <w:pPr>
              <w:rPr>
                <w:noProof/>
                <w:sz w:val="20"/>
              </w:rPr>
            </w:pPr>
            <w:r w:rsidRPr="008F6730">
              <w:rPr>
                <w:noProof/>
                <w:sz w:val="20"/>
              </w:rPr>
              <w:t xml:space="preserve">– pripremat će niz provedbenih akata u kojima će se utvrđivati pravila za certificiranje aktivnosti uklanjanja ugljika, za upravljanje programima certificiranja te za uspostavu i upravljanje javnim registrima uklanjanja ugljika, </w:t>
            </w:r>
          </w:p>
          <w:p w14:paraId="33D6C1D3" w14:textId="77777777" w:rsidR="000944F2" w:rsidRPr="008F6730" w:rsidRDefault="000944F2" w:rsidP="000944F2">
            <w:pPr>
              <w:rPr>
                <w:noProof/>
                <w:sz w:val="20"/>
              </w:rPr>
            </w:pPr>
            <w:r w:rsidRPr="008F6730">
              <w:rPr>
                <w:noProof/>
                <w:sz w:val="20"/>
              </w:rPr>
              <w:t xml:space="preserve">– provodit će procjene programâ certificiranja koji Komisiji podnesu zahtjev za priznavanje i pripremati povezane odluke Komisije, </w:t>
            </w:r>
          </w:p>
          <w:p w14:paraId="50D692A5" w14:textId="77777777" w:rsidR="000944F2" w:rsidRPr="008F6730" w:rsidRDefault="000944F2" w:rsidP="000944F2">
            <w:pPr>
              <w:rPr>
                <w:noProof/>
                <w:sz w:val="20"/>
              </w:rPr>
            </w:pPr>
            <w:r w:rsidRPr="008F6730">
              <w:rPr>
                <w:noProof/>
                <w:sz w:val="20"/>
              </w:rPr>
              <w:t>– pripremat će prijedloge politika u područjima uklanjanja ugljika za razdoblje nakon 2030.</w:t>
            </w:r>
          </w:p>
        </w:tc>
      </w:tr>
      <w:tr w:rsidR="000944F2" w:rsidRPr="008F6730" w14:paraId="388A148B" w14:textId="77777777" w:rsidTr="000944F2">
        <w:tc>
          <w:tcPr>
            <w:tcW w:w="3240" w:type="dxa"/>
          </w:tcPr>
          <w:p w14:paraId="5B3C3AF5" w14:textId="77777777" w:rsidR="000944F2" w:rsidRPr="008F6730" w:rsidRDefault="000944F2" w:rsidP="000944F2">
            <w:pPr>
              <w:spacing w:before="60" w:after="60"/>
              <w:rPr>
                <w:noProof/>
                <w:sz w:val="20"/>
              </w:rPr>
            </w:pPr>
            <w:r w:rsidRPr="008F6730">
              <w:rPr>
                <w:noProof/>
                <w:sz w:val="20"/>
              </w:rPr>
              <w:t>Vanjsko osoblje</w:t>
            </w:r>
          </w:p>
        </w:tc>
        <w:tc>
          <w:tcPr>
            <w:tcW w:w="7200" w:type="dxa"/>
          </w:tcPr>
          <w:p w14:paraId="30AEAF5B" w14:textId="77777777" w:rsidR="000944F2" w:rsidRPr="008F6730" w:rsidRDefault="000944F2" w:rsidP="000944F2">
            <w:pPr>
              <w:rPr>
                <w:noProof/>
                <w:sz w:val="20"/>
              </w:rPr>
            </w:pPr>
          </w:p>
        </w:tc>
      </w:tr>
    </w:tbl>
    <w:p w14:paraId="2442F436" w14:textId="77777777" w:rsidR="000944F2" w:rsidRPr="008F6730" w:rsidRDefault="000944F2" w:rsidP="000944F2">
      <w:pPr>
        <w:rPr>
          <w:noProof/>
        </w:rPr>
        <w:sectPr w:rsidR="000944F2" w:rsidRPr="008F6730" w:rsidSect="00176A4E">
          <w:pgSz w:w="11907" w:h="16840"/>
          <w:pgMar w:top="1134" w:right="1418" w:bottom="1134" w:left="1418" w:header="709" w:footer="709" w:gutter="0"/>
          <w:cols w:space="708"/>
          <w:docGrid w:linePitch="360"/>
        </w:sectPr>
      </w:pPr>
    </w:p>
    <w:p w14:paraId="379F7BAF" w14:textId="6C05F21A" w:rsidR="000944F2" w:rsidRPr="008F6730" w:rsidRDefault="009A61FA" w:rsidP="009A61FA">
      <w:pPr>
        <w:pStyle w:val="ManualHeading3"/>
        <w:rPr>
          <w:noProof/>
        </w:rPr>
      </w:pPr>
      <w:bookmarkStart w:id="261" w:name="_Toc514938056"/>
      <w:bookmarkStart w:id="262" w:name="_Toc520485055"/>
      <w:bookmarkStart w:id="263" w:name="_Toc125124920"/>
      <w:bookmarkStart w:id="264" w:name="_Toc125125378"/>
      <w:bookmarkStart w:id="265" w:name="_Toc125125623"/>
      <w:bookmarkStart w:id="266" w:name="_Toc125125731"/>
      <w:r w:rsidRPr="009A61FA">
        <w:t>3.2.4.</w:t>
      </w:r>
      <w:r w:rsidRPr="009A61FA">
        <w:tab/>
      </w:r>
      <w:r w:rsidR="000944F2" w:rsidRPr="008F6730">
        <w:rPr>
          <w:noProof/>
        </w:rPr>
        <w:t>Usklađenost s aktualnim višegodišnjim financijskim okvirom</w:t>
      </w:r>
      <w:bookmarkEnd w:id="261"/>
      <w:bookmarkEnd w:id="262"/>
      <w:bookmarkEnd w:id="263"/>
      <w:bookmarkEnd w:id="264"/>
      <w:bookmarkEnd w:id="265"/>
      <w:bookmarkEnd w:id="266"/>
      <w:r w:rsidR="000944F2" w:rsidRPr="008F6730">
        <w:rPr>
          <w:noProof/>
        </w:rPr>
        <w:t xml:space="preserve"> </w:t>
      </w:r>
    </w:p>
    <w:p w14:paraId="7C58A7A9" w14:textId="77777777" w:rsidR="000944F2" w:rsidRPr="008F6730" w:rsidRDefault="000944F2" w:rsidP="000944F2">
      <w:pPr>
        <w:pStyle w:val="Text1"/>
        <w:rPr>
          <w:noProof/>
        </w:rPr>
      </w:pPr>
      <w:r w:rsidRPr="008F6730">
        <w:rPr>
          <w:noProof/>
        </w:rPr>
        <w:t>Prijedlog/inicijativa:</w:t>
      </w:r>
    </w:p>
    <w:p w14:paraId="7024FC59" w14:textId="40C530C6" w:rsidR="000944F2" w:rsidRPr="008F6730" w:rsidRDefault="00205ACD" w:rsidP="00205ACD">
      <w:pPr>
        <w:ind w:left="720" w:hanging="720"/>
        <w:rPr>
          <w:noProof/>
        </w:rPr>
      </w:pPr>
      <w:r w:rsidRPr="008F6730">
        <w:rPr>
          <w:noProof/>
        </w:rPr>
        <w:sym w:font="Wingdings" w:char="F0FE"/>
      </w:r>
      <w:r w:rsidRPr="008F6730">
        <w:rPr>
          <w:noProof/>
        </w:rPr>
        <w:tab/>
        <w:t>može se u potpunosti financirati preraspodjelom unutar relevantnog naslova višegodišnjeg financijskog okvira (VFO).</w:t>
      </w:r>
    </w:p>
    <w:p w14:paraId="55F1C935" w14:textId="77777777" w:rsidR="000944F2" w:rsidRPr="008F6730" w:rsidRDefault="000944F2" w:rsidP="000944F2">
      <w:pPr>
        <w:pStyle w:val="Text1"/>
        <w:pBdr>
          <w:top w:val="single" w:sz="4" w:space="1" w:color="auto"/>
          <w:left w:val="single" w:sz="4" w:space="4" w:color="auto"/>
          <w:bottom w:val="single" w:sz="4" w:space="0" w:color="auto"/>
          <w:right w:val="single" w:sz="4" w:space="4" w:color="auto"/>
        </w:pBdr>
        <w:rPr>
          <w:noProof/>
          <w:sz w:val="20"/>
        </w:rPr>
      </w:pPr>
      <w:r w:rsidRPr="008F6730">
        <w:rPr>
          <w:noProof/>
          <w:sz w:val="20"/>
        </w:rPr>
        <w:t>Rashodi će nastati u okviru omotnice za LIFE.</w:t>
      </w:r>
    </w:p>
    <w:p w14:paraId="37C0DF3B" w14:textId="77777777" w:rsidR="000944F2" w:rsidRPr="008F6730" w:rsidRDefault="000944F2" w:rsidP="00205ACD">
      <w:pPr>
        <w:pStyle w:val="ListDash1"/>
        <w:ind w:left="720" w:hanging="720"/>
        <w:rPr>
          <w:noProof/>
        </w:rPr>
      </w:pPr>
      <w:r w:rsidRPr="008F6730">
        <w:rPr>
          <w:rFonts w:ascii="Wingdings" w:hAnsi="Wingdings"/>
          <w:noProof/>
        </w:rPr>
        <w:t></w:t>
      </w:r>
      <w:r w:rsidRPr="008F6730">
        <w:rPr>
          <w:noProof/>
        </w:rPr>
        <w:tab/>
        <w:t>zahtijeva upotrebu nedodijeljene razlike u okviru relevantnog naslova VFO-a i/ili upotrebu posebnih instrumenata kako su definirani u Uredbi o VFO-u.</w:t>
      </w:r>
    </w:p>
    <w:p w14:paraId="7D40A043" w14:textId="77777777" w:rsidR="000944F2" w:rsidRPr="008F6730" w:rsidRDefault="000944F2" w:rsidP="000944F2">
      <w:pPr>
        <w:pStyle w:val="ListDash1"/>
        <w:rPr>
          <w:noProof/>
        </w:rPr>
      </w:pPr>
      <w:r w:rsidRPr="008F6730">
        <w:rPr>
          <w:rFonts w:ascii="Wingdings" w:hAnsi="Wingdings"/>
          <w:noProof/>
        </w:rPr>
        <w:t></w:t>
      </w:r>
      <w:r w:rsidRPr="008F6730">
        <w:rPr>
          <w:noProof/>
        </w:rPr>
        <w:tab/>
        <w:t>zahtijeva reviziju VFO-a.</w:t>
      </w:r>
    </w:p>
    <w:p w14:paraId="335135A2" w14:textId="7D70D0C4" w:rsidR="000944F2" w:rsidRPr="008F6730" w:rsidRDefault="009A61FA" w:rsidP="009A61FA">
      <w:pPr>
        <w:pStyle w:val="ManualHeading3"/>
        <w:rPr>
          <w:noProof/>
        </w:rPr>
      </w:pPr>
      <w:bookmarkStart w:id="267" w:name="_Toc514938058"/>
      <w:bookmarkStart w:id="268" w:name="_Toc520485056"/>
      <w:bookmarkStart w:id="269" w:name="_Toc125124921"/>
      <w:bookmarkStart w:id="270" w:name="_Toc125125379"/>
      <w:bookmarkStart w:id="271" w:name="_Toc125125624"/>
      <w:bookmarkStart w:id="272" w:name="_Toc125125732"/>
      <w:r w:rsidRPr="009A61FA">
        <w:t>3.2.5.</w:t>
      </w:r>
      <w:r w:rsidRPr="009A61FA">
        <w:tab/>
      </w:r>
      <w:r w:rsidR="000944F2" w:rsidRPr="008F6730">
        <w:rPr>
          <w:noProof/>
        </w:rPr>
        <w:t>Doprinos trećih strana</w:t>
      </w:r>
      <w:bookmarkEnd w:id="267"/>
      <w:bookmarkEnd w:id="268"/>
      <w:bookmarkEnd w:id="269"/>
      <w:bookmarkEnd w:id="270"/>
      <w:bookmarkEnd w:id="271"/>
      <w:bookmarkEnd w:id="272"/>
      <w:r w:rsidR="000944F2" w:rsidRPr="008F6730">
        <w:rPr>
          <w:noProof/>
        </w:rPr>
        <w:t xml:space="preserve"> </w:t>
      </w:r>
    </w:p>
    <w:p w14:paraId="4D83551A" w14:textId="77777777" w:rsidR="000944F2" w:rsidRPr="008F6730" w:rsidRDefault="000944F2" w:rsidP="00205ACD">
      <w:pPr>
        <w:pStyle w:val="Text1"/>
        <w:ind w:left="0" w:firstLine="720"/>
        <w:rPr>
          <w:noProof/>
        </w:rPr>
      </w:pPr>
      <w:r w:rsidRPr="008F6730">
        <w:rPr>
          <w:noProof/>
        </w:rPr>
        <w:t>U prijedlogu/inicijativi:</w:t>
      </w:r>
    </w:p>
    <w:p w14:paraId="4264AAB3" w14:textId="72A4B5F1" w:rsidR="000944F2" w:rsidRPr="008F6730" w:rsidRDefault="00B17DE4" w:rsidP="00F41A56">
      <w:pPr>
        <w:rPr>
          <w:noProof/>
        </w:rPr>
      </w:pPr>
      <w:r w:rsidRPr="008F6730">
        <w:rPr>
          <w:noProof/>
        </w:rPr>
        <w:sym w:font="Wingdings" w:char="F0FE"/>
      </w:r>
      <w:r w:rsidRPr="008F6730">
        <w:rPr>
          <w:noProof/>
        </w:rPr>
        <w:tab/>
        <w:t>ne predviđa se sudjelovanje trećih strana u sufinanciranju</w:t>
      </w:r>
    </w:p>
    <w:p w14:paraId="2AF57037" w14:textId="77777777" w:rsidR="000944F2" w:rsidRPr="008F6730" w:rsidRDefault="000944F2" w:rsidP="000944F2">
      <w:pPr>
        <w:pStyle w:val="ListDash1"/>
        <w:rPr>
          <w:noProof/>
        </w:rPr>
      </w:pPr>
      <w:r w:rsidRPr="008F6730">
        <w:rPr>
          <w:rFonts w:ascii="Wingdings" w:hAnsi="Wingdings"/>
          <w:noProof/>
        </w:rPr>
        <w:t></w:t>
      </w:r>
      <w:r w:rsidRPr="008F6730">
        <w:rPr>
          <w:noProof/>
        </w:rPr>
        <w:tab/>
        <w:t>predviđa se sudjelovanje trećih strana u sufinanciranju prema sljedećoj procjeni:</w:t>
      </w:r>
    </w:p>
    <w:p w14:paraId="24DEC9FF" w14:textId="77777777" w:rsidR="000944F2" w:rsidRPr="008F6730" w:rsidRDefault="000944F2" w:rsidP="000944F2">
      <w:pPr>
        <w:jc w:val="right"/>
        <w:rPr>
          <w:noProof/>
          <w:sz w:val="20"/>
        </w:rPr>
      </w:pPr>
      <w:r w:rsidRPr="008F6730">
        <w:rPr>
          <w:noProof/>
          <w:sz w:val="20"/>
        </w:rPr>
        <w:t>Odobrena sredstva u milijunima EUR (do 3 decimalna mjesta)</w:t>
      </w:r>
    </w:p>
    <w:tbl>
      <w:tblPr>
        <w:tblW w:w="10246" w:type="dxa"/>
        <w:tblInd w:w="-43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340"/>
        <w:gridCol w:w="964"/>
        <w:gridCol w:w="964"/>
        <w:gridCol w:w="964"/>
        <w:gridCol w:w="964"/>
        <w:gridCol w:w="964"/>
        <w:gridCol w:w="964"/>
        <w:gridCol w:w="964"/>
        <w:gridCol w:w="1158"/>
      </w:tblGrid>
      <w:tr w:rsidR="000944F2" w:rsidRPr="008F6730" w14:paraId="45EB5EDF" w14:textId="77777777" w:rsidTr="000944F2">
        <w:trPr>
          <w:cantSplit/>
        </w:trPr>
        <w:tc>
          <w:tcPr>
            <w:tcW w:w="2340" w:type="dxa"/>
          </w:tcPr>
          <w:p w14:paraId="11F7F137" w14:textId="77777777" w:rsidR="000944F2" w:rsidRPr="008F6730" w:rsidRDefault="000944F2" w:rsidP="000944F2">
            <w:pPr>
              <w:spacing w:before="60" w:after="60"/>
              <w:rPr>
                <w:noProof/>
                <w:sz w:val="20"/>
              </w:rPr>
            </w:pPr>
          </w:p>
        </w:tc>
        <w:tc>
          <w:tcPr>
            <w:tcW w:w="964" w:type="dxa"/>
            <w:vAlign w:val="center"/>
          </w:tcPr>
          <w:p w14:paraId="6FED7995" w14:textId="77777777" w:rsidR="000944F2" w:rsidRPr="00096CC5" w:rsidRDefault="000944F2" w:rsidP="000944F2">
            <w:pPr>
              <w:jc w:val="center"/>
              <w:rPr>
                <w:noProof/>
                <w:sz w:val="20"/>
                <w:szCs w:val="20"/>
              </w:rPr>
            </w:pPr>
            <w:r w:rsidRPr="00096CC5">
              <w:rPr>
                <w:noProof/>
                <w:sz w:val="20"/>
                <w:szCs w:val="20"/>
              </w:rPr>
              <w:t>Godina</w:t>
            </w:r>
            <w:r w:rsidRPr="00096CC5">
              <w:rPr>
                <w:noProof/>
                <w:sz w:val="20"/>
                <w:szCs w:val="20"/>
              </w:rPr>
              <w:br/>
            </w:r>
            <w:r w:rsidRPr="00096CC5">
              <w:rPr>
                <w:b/>
                <w:noProof/>
                <w:sz w:val="20"/>
                <w:szCs w:val="20"/>
              </w:rPr>
              <w:t>N</w:t>
            </w:r>
            <w:r w:rsidRPr="00096CC5">
              <w:rPr>
                <w:rStyle w:val="FootnoteReference"/>
                <w:b/>
                <w:noProof/>
                <w:sz w:val="20"/>
                <w:szCs w:val="20"/>
              </w:rPr>
              <w:footnoteReference w:id="53"/>
            </w:r>
          </w:p>
        </w:tc>
        <w:tc>
          <w:tcPr>
            <w:tcW w:w="964" w:type="dxa"/>
            <w:vAlign w:val="center"/>
          </w:tcPr>
          <w:p w14:paraId="045E4896" w14:textId="77777777" w:rsidR="000944F2" w:rsidRPr="00096CC5" w:rsidRDefault="000944F2" w:rsidP="000944F2">
            <w:pPr>
              <w:jc w:val="center"/>
              <w:rPr>
                <w:noProof/>
                <w:sz w:val="20"/>
                <w:szCs w:val="20"/>
              </w:rPr>
            </w:pPr>
            <w:r w:rsidRPr="00096CC5">
              <w:rPr>
                <w:noProof/>
                <w:sz w:val="20"/>
                <w:szCs w:val="20"/>
              </w:rPr>
              <w:t>Godina</w:t>
            </w:r>
            <w:r w:rsidRPr="00096CC5">
              <w:rPr>
                <w:noProof/>
                <w:sz w:val="20"/>
                <w:szCs w:val="20"/>
              </w:rPr>
              <w:br/>
            </w:r>
            <w:r w:rsidRPr="00096CC5">
              <w:rPr>
                <w:b/>
                <w:noProof/>
                <w:sz w:val="20"/>
                <w:szCs w:val="20"/>
              </w:rPr>
              <w:t>N+1</w:t>
            </w:r>
          </w:p>
        </w:tc>
        <w:tc>
          <w:tcPr>
            <w:tcW w:w="964" w:type="dxa"/>
            <w:vAlign w:val="center"/>
          </w:tcPr>
          <w:p w14:paraId="301354EC" w14:textId="77777777" w:rsidR="000944F2" w:rsidRPr="00096CC5" w:rsidRDefault="000944F2" w:rsidP="000944F2">
            <w:pPr>
              <w:jc w:val="center"/>
              <w:rPr>
                <w:noProof/>
                <w:sz w:val="20"/>
                <w:szCs w:val="20"/>
              </w:rPr>
            </w:pPr>
            <w:r w:rsidRPr="00096CC5">
              <w:rPr>
                <w:noProof/>
                <w:sz w:val="20"/>
                <w:szCs w:val="20"/>
              </w:rPr>
              <w:t>Godina</w:t>
            </w:r>
            <w:r w:rsidRPr="00096CC5">
              <w:rPr>
                <w:noProof/>
                <w:sz w:val="20"/>
                <w:szCs w:val="20"/>
              </w:rPr>
              <w:br/>
            </w:r>
            <w:r w:rsidRPr="00096CC5">
              <w:rPr>
                <w:b/>
                <w:noProof/>
                <w:sz w:val="20"/>
                <w:szCs w:val="20"/>
              </w:rPr>
              <w:t>N+2</w:t>
            </w:r>
          </w:p>
        </w:tc>
        <w:tc>
          <w:tcPr>
            <w:tcW w:w="964" w:type="dxa"/>
            <w:vAlign w:val="center"/>
          </w:tcPr>
          <w:p w14:paraId="70AD9E93" w14:textId="77777777" w:rsidR="000944F2" w:rsidRPr="00096CC5" w:rsidRDefault="000944F2" w:rsidP="000944F2">
            <w:pPr>
              <w:jc w:val="center"/>
              <w:rPr>
                <w:noProof/>
                <w:sz w:val="20"/>
                <w:szCs w:val="20"/>
              </w:rPr>
            </w:pPr>
            <w:r w:rsidRPr="00096CC5">
              <w:rPr>
                <w:noProof/>
                <w:sz w:val="20"/>
                <w:szCs w:val="20"/>
              </w:rPr>
              <w:t>Godina</w:t>
            </w:r>
            <w:r w:rsidRPr="00096CC5">
              <w:rPr>
                <w:noProof/>
                <w:sz w:val="20"/>
                <w:szCs w:val="20"/>
              </w:rPr>
              <w:br/>
            </w:r>
            <w:r w:rsidRPr="00096CC5">
              <w:rPr>
                <w:b/>
                <w:noProof/>
                <w:sz w:val="20"/>
                <w:szCs w:val="20"/>
              </w:rPr>
              <w:t>N+3</w:t>
            </w:r>
          </w:p>
        </w:tc>
        <w:tc>
          <w:tcPr>
            <w:tcW w:w="2892" w:type="dxa"/>
            <w:gridSpan w:val="3"/>
            <w:vAlign w:val="center"/>
          </w:tcPr>
          <w:p w14:paraId="4FA95A1F" w14:textId="77777777" w:rsidR="000944F2" w:rsidRPr="008F6730" w:rsidRDefault="000944F2" w:rsidP="000944F2">
            <w:pPr>
              <w:jc w:val="center"/>
              <w:rPr>
                <w:b/>
                <w:noProof/>
                <w:sz w:val="20"/>
              </w:rPr>
            </w:pPr>
            <w:r w:rsidRPr="008F6730">
              <w:rPr>
                <w:noProof/>
                <w:sz w:val="20"/>
              </w:rPr>
              <w:t>Unijeti onoliko godina koliko je potrebno za prikaz trajanja učinka (vidjeti točku 1.6.)</w:t>
            </w:r>
          </w:p>
        </w:tc>
        <w:tc>
          <w:tcPr>
            <w:tcW w:w="1158" w:type="dxa"/>
            <w:vAlign w:val="center"/>
          </w:tcPr>
          <w:p w14:paraId="2EF346AE" w14:textId="77777777" w:rsidR="000944F2" w:rsidRPr="008F6730" w:rsidRDefault="000944F2" w:rsidP="000944F2">
            <w:pPr>
              <w:spacing w:before="60" w:after="60"/>
              <w:jc w:val="center"/>
              <w:rPr>
                <w:noProof/>
                <w:sz w:val="20"/>
              </w:rPr>
            </w:pPr>
            <w:r w:rsidRPr="008F6730">
              <w:rPr>
                <w:noProof/>
                <w:sz w:val="20"/>
              </w:rPr>
              <w:t>Ukupno</w:t>
            </w:r>
          </w:p>
        </w:tc>
      </w:tr>
      <w:tr w:rsidR="000944F2" w:rsidRPr="008F6730" w14:paraId="1B8BB57C" w14:textId="77777777" w:rsidTr="000944F2">
        <w:trPr>
          <w:cantSplit/>
        </w:trPr>
        <w:tc>
          <w:tcPr>
            <w:tcW w:w="2340" w:type="dxa"/>
          </w:tcPr>
          <w:p w14:paraId="71A36CCC" w14:textId="77777777" w:rsidR="000944F2" w:rsidRPr="008F6730" w:rsidRDefault="000944F2" w:rsidP="000944F2">
            <w:pPr>
              <w:rPr>
                <w:noProof/>
              </w:rPr>
            </w:pPr>
            <w:r w:rsidRPr="008F6730">
              <w:rPr>
                <w:noProof/>
                <w:sz w:val="20"/>
              </w:rPr>
              <w:t>Navesti tijelo koje sudjeluje u financiranju</w:t>
            </w:r>
            <w:r w:rsidRPr="008F6730">
              <w:rPr>
                <w:i/>
                <w:noProof/>
                <w:sz w:val="20"/>
              </w:rPr>
              <w:t xml:space="preserve"> </w:t>
            </w:r>
          </w:p>
        </w:tc>
        <w:tc>
          <w:tcPr>
            <w:tcW w:w="964" w:type="dxa"/>
            <w:vAlign w:val="center"/>
          </w:tcPr>
          <w:p w14:paraId="2591BB82" w14:textId="77777777" w:rsidR="000944F2" w:rsidRPr="008F6730" w:rsidRDefault="000944F2" w:rsidP="000944F2">
            <w:pPr>
              <w:spacing w:before="60" w:after="60"/>
              <w:jc w:val="center"/>
              <w:rPr>
                <w:noProof/>
                <w:sz w:val="20"/>
              </w:rPr>
            </w:pPr>
          </w:p>
        </w:tc>
        <w:tc>
          <w:tcPr>
            <w:tcW w:w="964" w:type="dxa"/>
            <w:vAlign w:val="center"/>
          </w:tcPr>
          <w:p w14:paraId="62D32531" w14:textId="77777777" w:rsidR="000944F2" w:rsidRPr="008F6730" w:rsidRDefault="000944F2" w:rsidP="000944F2">
            <w:pPr>
              <w:spacing w:before="60" w:after="60"/>
              <w:jc w:val="center"/>
              <w:rPr>
                <w:noProof/>
                <w:sz w:val="20"/>
              </w:rPr>
            </w:pPr>
          </w:p>
        </w:tc>
        <w:tc>
          <w:tcPr>
            <w:tcW w:w="964" w:type="dxa"/>
            <w:vAlign w:val="center"/>
          </w:tcPr>
          <w:p w14:paraId="5946C721" w14:textId="77777777" w:rsidR="000944F2" w:rsidRPr="008F6730" w:rsidRDefault="000944F2" w:rsidP="000944F2">
            <w:pPr>
              <w:spacing w:before="60" w:after="60"/>
              <w:jc w:val="center"/>
              <w:rPr>
                <w:noProof/>
                <w:sz w:val="20"/>
              </w:rPr>
            </w:pPr>
          </w:p>
        </w:tc>
        <w:tc>
          <w:tcPr>
            <w:tcW w:w="964" w:type="dxa"/>
            <w:vAlign w:val="center"/>
          </w:tcPr>
          <w:p w14:paraId="0B522046" w14:textId="77777777" w:rsidR="000944F2" w:rsidRPr="008F6730" w:rsidRDefault="000944F2" w:rsidP="000944F2">
            <w:pPr>
              <w:spacing w:before="60" w:after="60"/>
              <w:jc w:val="center"/>
              <w:rPr>
                <w:noProof/>
                <w:sz w:val="20"/>
              </w:rPr>
            </w:pPr>
          </w:p>
        </w:tc>
        <w:tc>
          <w:tcPr>
            <w:tcW w:w="964" w:type="dxa"/>
            <w:vAlign w:val="center"/>
          </w:tcPr>
          <w:p w14:paraId="68ACC464" w14:textId="77777777" w:rsidR="000944F2" w:rsidRPr="008F6730" w:rsidRDefault="000944F2" w:rsidP="000944F2">
            <w:pPr>
              <w:spacing w:before="60" w:after="60"/>
              <w:jc w:val="center"/>
              <w:rPr>
                <w:noProof/>
                <w:sz w:val="20"/>
              </w:rPr>
            </w:pPr>
          </w:p>
        </w:tc>
        <w:tc>
          <w:tcPr>
            <w:tcW w:w="964" w:type="dxa"/>
            <w:vAlign w:val="center"/>
          </w:tcPr>
          <w:p w14:paraId="46F71B8D" w14:textId="77777777" w:rsidR="000944F2" w:rsidRPr="008F6730" w:rsidRDefault="000944F2" w:rsidP="000944F2">
            <w:pPr>
              <w:spacing w:before="60" w:after="60"/>
              <w:jc w:val="center"/>
              <w:rPr>
                <w:noProof/>
                <w:sz w:val="20"/>
              </w:rPr>
            </w:pPr>
          </w:p>
        </w:tc>
        <w:tc>
          <w:tcPr>
            <w:tcW w:w="964" w:type="dxa"/>
            <w:vAlign w:val="center"/>
          </w:tcPr>
          <w:p w14:paraId="10E8C74B" w14:textId="77777777" w:rsidR="000944F2" w:rsidRPr="008F6730" w:rsidRDefault="000944F2" w:rsidP="000944F2">
            <w:pPr>
              <w:spacing w:before="60" w:after="60"/>
              <w:jc w:val="center"/>
              <w:rPr>
                <w:noProof/>
                <w:sz w:val="20"/>
              </w:rPr>
            </w:pPr>
          </w:p>
        </w:tc>
        <w:tc>
          <w:tcPr>
            <w:tcW w:w="1158" w:type="dxa"/>
            <w:vAlign w:val="center"/>
          </w:tcPr>
          <w:p w14:paraId="4D323E45" w14:textId="77777777" w:rsidR="000944F2" w:rsidRPr="008F6730" w:rsidRDefault="000944F2" w:rsidP="000944F2">
            <w:pPr>
              <w:spacing w:before="60" w:after="60"/>
              <w:jc w:val="center"/>
              <w:rPr>
                <w:noProof/>
                <w:sz w:val="20"/>
              </w:rPr>
            </w:pPr>
          </w:p>
        </w:tc>
      </w:tr>
      <w:tr w:rsidR="000944F2" w:rsidRPr="008F6730" w14:paraId="4B94AD08" w14:textId="77777777" w:rsidTr="000944F2">
        <w:trPr>
          <w:cantSplit/>
        </w:trPr>
        <w:tc>
          <w:tcPr>
            <w:tcW w:w="2340" w:type="dxa"/>
          </w:tcPr>
          <w:p w14:paraId="59BE1669" w14:textId="77777777" w:rsidR="000944F2" w:rsidRPr="008F6730" w:rsidRDefault="000944F2" w:rsidP="000944F2">
            <w:pPr>
              <w:spacing w:before="60" w:after="60"/>
              <w:jc w:val="left"/>
              <w:rPr>
                <w:noProof/>
                <w:sz w:val="20"/>
              </w:rPr>
            </w:pPr>
            <w:r w:rsidRPr="008F6730">
              <w:rPr>
                <w:noProof/>
                <w:sz w:val="20"/>
              </w:rPr>
              <w:t xml:space="preserve">UKUPNO sufinancirana odobrena sredstva </w:t>
            </w:r>
          </w:p>
        </w:tc>
        <w:tc>
          <w:tcPr>
            <w:tcW w:w="964" w:type="dxa"/>
            <w:vAlign w:val="center"/>
          </w:tcPr>
          <w:p w14:paraId="6C6E951B" w14:textId="77777777" w:rsidR="000944F2" w:rsidRPr="008F6730" w:rsidRDefault="000944F2" w:rsidP="000944F2">
            <w:pPr>
              <w:spacing w:before="60" w:after="60"/>
              <w:jc w:val="center"/>
              <w:rPr>
                <w:noProof/>
                <w:sz w:val="20"/>
              </w:rPr>
            </w:pPr>
          </w:p>
        </w:tc>
        <w:tc>
          <w:tcPr>
            <w:tcW w:w="964" w:type="dxa"/>
            <w:vAlign w:val="center"/>
          </w:tcPr>
          <w:p w14:paraId="695B1A47" w14:textId="77777777" w:rsidR="000944F2" w:rsidRPr="008F6730" w:rsidRDefault="000944F2" w:rsidP="000944F2">
            <w:pPr>
              <w:spacing w:before="60" w:after="60"/>
              <w:jc w:val="center"/>
              <w:rPr>
                <w:noProof/>
                <w:sz w:val="20"/>
              </w:rPr>
            </w:pPr>
          </w:p>
        </w:tc>
        <w:tc>
          <w:tcPr>
            <w:tcW w:w="964" w:type="dxa"/>
            <w:vAlign w:val="center"/>
          </w:tcPr>
          <w:p w14:paraId="670BFE2B" w14:textId="77777777" w:rsidR="000944F2" w:rsidRPr="008F6730" w:rsidRDefault="000944F2" w:rsidP="000944F2">
            <w:pPr>
              <w:spacing w:before="60" w:after="60"/>
              <w:jc w:val="center"/>
              <w:rPr>
                <w:noProof/>
                <w:sz w:val="20"/>
              </w:rPr>
            </w:pPr>
          </w:p>
        </w:tc>
        <w:tc>
          <w:tcPr>
            <w:tcW w:w="964" w:type="dxa"/>
            <w:vAlign w:val="center"/>
          </w:tcPr>
          <w:p w14:paraId="5222926F" w14:textId="77777777" w:rsidR="000944F2" w:rsidRPr="008F6730" w:rsidRDefault="000944F2" w:rsidP="000944F2">
            <w:pPr>
              <w:spacing w:before="60" w:after="60"/>
              <w:jc w:val="center"/>
              <w:rPr>
                <w:noProof/>
                <w:sz w:val="20"/>
              </w:rPr>
            </w:pPr>
          </w:p>
        </w:tc>
        <w:tc>
          <w:tcPr>
            <w:tcW w:w="964" w:type="dxa"/>
            <w:vAlign w:val="center"/>
          </w:tcPr>
          <w:p w14:paraId="13588BDC" w14:textId="77777777" w:rsidR="000944F2" w:rsidRPr="008F6730" w:rsidRDefault="000944F2" w:rsidP="000944F2">
            <w:pPr>
              <w:spacing w:before="60" w:after="60"/>
              <w:jc w:val="center"/>
              <w:rPr>
                <w:noProof/>
                <w:sz w:val="20"/>
              </w:rPr>
            </w:pPr>
          </w:p>
        </w:tc>
        <w:tc>
          <w:tcPr>
            <w:tcW w:w="964" w:type="dxa"/>
            <w:vAlign w:val="center"/>
          </w:tcPr>
          <w:p w14:paraId="46FA411A" w14:textId="77777777" w:rsidR="000944F2" w:rsidRPr="008F6730" w:rsidRDefault="000944F2" w:rsidP="000944F2">
            <w:pPr>
              <w:spacing w:before="60" w:after="60"/>
              <w:jc w:val="center"/>
              <w:rPr>
                <w:noProof/>
                <w:sz w:val="20"/>
              </w:rPr>
            </w:pPr>
          </w:p>
        </w:tc>
        <w:tc>
          <w:tcPr>
            <w:tcW w:w="964" w:type="dxa"/>
            <w:vAlign w:val="center"/>
          </w:tcPr>
          <w:p w14:paraId="09A0558B" w14:textId="77777777" w:rsidR="000944F2" w:rsidRPr="008F6730" w:rsidRDefault="000944F2" w:rsidP="000944F2">
            <w:pPr>
              <w:spacing w:before="60" w:after="60"/>
              <w:jc w:val="center"/>
              <w:rPr>
                <w:noProof/>
                <w:sz w:val="20"/>
              </w:rPr>
            </w:pPr>
          </w:p>
        </w:tc>
        <w:tc>
          <w:tcPr>
            <w:tcW w:w="1158" w:type="dxa"/>
            <w:vAlign w:val="center"/>
          </w:tcPr>
          <w:p w14:paraId="66FE79D4" w14:textId="77777777" w:rsidR="000944F2" w:rsidRPr="008F6730" w:rsidRDefault="000944F2" w:rsidP="000944F2">
            <w:pPr>
              <w:spacing w:before="60" w:after="60"/>
              <w:jc w:val="center"/>
              <w:rPr>
                <w:noProof/>
                <w:sz w:val="20"/>
              </w:rPr>
            </w:pPr>
          </w:p>
        </w:tc>
      </w:tr>
    </w:tbl>
    <w:p w14:paraId="21BEDEC7" w14:textId="77777777" w:rsidR="000944F2" w:rsidRPr="008F6730" w:rsidRDefault="000944F2" w:rsidP="000944F2">
      <w:pPr>
        <w:rPr>
          <w:noProof/>
        </w:rPr>
      </w:pPr>
      <w:r w:rsidRPr="008F6730">
        <w:rPr>
          <w:noProof/>
        </w:rPr>
        <w:br/>
      </w:r>
    </w:p>
    <w:p w14:paraId="32754E16" w14:textId="11C63F23" w:rsidR="000944F2" w:rsidRPr="008F6730" w:rsidRDefault="000944F2" w:rsidP="009A61FA">
      <w:pPr>
        <w:pStyle w:val="ManualHeading2"/>
        <w:rPr>
          <w:bCs/>
          <w:noProof/>
          <w:szCs w:val="24"/>
        </w:rPr>
      </w:pPr>
      <w:r w:rsidRPr="008F6730">
        <w:rPr>
          <w:noProof/>
        </w:rPr>
        <w:br w:type="page"/>
      </w:r>
      <w:bookmarkStart w:id="273" w:name="_Toc514938059"/>
      <w:bookmarkStart w:id="274" w:name="_Toc520485057"/>
      <w:bookmarkStart w:id="275" w:name="_Toc125124922"/>
      <w:bookmarkStart w:id="276" w:name="_Toc125125380"/>
      <w:bookmarkStart w:id="277" w:name="_Toc125125625"/>
      <w:bookmarkStart w:id="278" w:name="_Toc125125733"/>
      <w:r w:rsidR="009A61FA" w:rsidRPr="009A61FA">
        <w:t>3.3.</w:t>
      </w:r>
      <w:r w:rsidR="009A61FA" w:rsidRPr="009A61FA">
        <w:tab/>
      </w:r>
      <w:r w:rsidRPr="008F6730">
        <w:rPr>
          <w:noProof/>
        </w:rPr>
        <w:t>Procijenjeni učinak na prihode</w:t>
      </w:r>
      <w:bookmarkEnd w:id="273"/>
      <w:bookmarkEnd w:id="274"/>
      <w:bookmarkEnd w:id="275"/>
      <w:bookmarkEnd w:id="276"/>
      <w:bookmarkEnd w:id="277"/>
      <w:bookmarkEnd w:id="278"/>
      <w:r w:rsidRPr="008F6730">
        <w:rPr>
          <w:noProof/>
        </w:rPr>
        <w:t xml:space="preserve"> </w:t>
      </w:r>
    </w:p>
    <w:p w14:paraId="59417B01" w14:textId="521980E1" w:rsidR="000944F2" w:rsidRPr="008F6730" w:rsidRDefault="00205ACD" w:rsidP="00205ACD">
      <w:pPr>
        <w:rPr>
          <w:noProof/>
        </w:rPr>
      </w:pPr>
      <w:r w:rsidRPr="008F6730">
        <w:rPr>
          <w:noProof/>
        </w:rPr>
        <w:sym w:font="Wingdings" w:char="F0FE"/>
      </w:r>
      <w:r w:rsidRPr="008F6730">
        <w:rPr>
          <w:noProof/>
        </w:rPr>
        <w:tab/>
        <w:t>Prijedlog/inicijativa nema financijski učinak na prihode.</w:t>
      </w:r>
    </w:p>
    <w:p w14:paraId="4018CD79" w14:textId="7FB20833" w:rsidR="000944F2" w:rsidRPr="008F6730" w:rsidRDefault="000944F2" w:rsidP="000944F2">
      <w:pPr>
        <w:pStyle w:val="ListDash1"/>
        <w:rPr>
          <w:noProof/>
        </w:rPr>
      </w:pPr>
      <w:r w:rsidRPr="008F6730">
        <w:rPr>
          <w:rFonts w:ascii="Wingdings" w:hAnsi="Wingdings"/>
          <w:noProof/>
        </w:rPr>
        <w:t></w:t>
      </w:r>
      <w:r w:rsidRPr="008F6730">
        <w:rPr>
          <w:noProof/>
        </w:rPr>
        <w:tab/>
        <w:t>Prijedlog/inicijativa ima sljedeći financijski učinak:</w:t>
      </w:r>
    </w:p>
    <w:p w14:paraId="128F7B51" w14:textId="77777777" w:rsidR="000944F2" w:rsidRPr="008F6730" w:rsidRDefault="000944F2" w:rsidP="00F250ED">
      <w:pPr>
        <w:pStyle w:val="ListNumberLevel3"/>
        <w:tabs>
          <w:tab w:val="clear" w:pos="2126"/>
          <w:tab w:val="num" w:pos="1843"/>
        </w:tabs>
        <w:rPr>
          <w:noProof/>
        </w:rPr>
      </w:pPr>
      <w:r w:rsidRPr="008F6730">
        <w:rPr>
          <w:rFonts w:ascii="Wingdings" w:hAnsi="Wingdings"/>
          <w:noProof/>
        </w:rPr>
        <w:t></w:t>
      </w:r>
      <w:r w:rsidRPr="008F6730">
        <w:rPr>
          <w:noProof/>
        </w:rPr>
        <w:tab/>
        <w:t xml:space="preserve">na vlastita sredstva </w:t>
      </w:r>
    </w:p>
    <w:p w14:paraId="257A9C88" w14:textId="77777777" w:rsidR="000944F2" w:rsidRPr="008F6730" w:rsidRDefault="000944F2" w:rsidP="00F250ED">
      <w:pPr>
        <w:pStyle w:val="ListNumberLevel3"/>
        <w:tabs>
          <w:tab w:val="clear" w:pos="2126"/>
          <w:tab w:val="num" w:pos="1843"/>
        </w:tabs>
        <w:rPr>
          <w:noProof/>
        </w:rPr>
      </w:pPr>
      <w:r w:rsidRPr="008F6730">
        <w:rPr>
          <w:rFonts w:ascii="Wingdings" w:hAnsi="Wingdings"/>
          <w:noProof/>
        </w:rPr>
        <w:t></w:t>
      </w:r>
      <w:r w:rsidRPr="008F6730">
        <w:rPr>
          <w:noProof/>
        </w:rPr>
        <w:tab/>
        <w:t>na ostale prihode</w:t>
      </w:r>
    </w:p>
    <w:p w14:paraId="6BD3D988" w14:textId="77777777" w:rsidR="000944F2" w:rsidRPr="008F6730" w:rsidRDefault="000944F2" w:rsidP="00F250ED">
      <w:pPr>
        <w:pStyle w:val="ListNumberLevel3"/>
        <w:tabs>
          <w:tab w:val="clear" w:pos="2126"/>
        </w:tabs>
        <w:rPr>
          <w:noProof/>
        </w:rPr>
      </w:pPr>
      <w:r w:rsidRPr="008F6730">
        <w:rPr>
          <w:noProof/>
        </w:rPr>
        <w:t xml:space="preserve">navesti jesu li prihodi namijenjeni proračunskim linijama rashoda </w:t>
      </w:r>
      <w:r w:rsidRPr="008F6730">
        <w:rPr>
          <w:rFonts w:ascii="Wingdings" w:hAnsi="Wingdings"/>
          <w:noProof/>
        </w:rPr>
        <w:t></w:t>
      </w:r>
      <w:r w:rsidRPr="008F6730">
        <w:rPr>
          <w:noProof/>
        </w:rPr>
        <w:tab/>
      </w:r>
    </w:p>
    <w:p w14:paraId="394D253A" w14:textId="77777777" w:rsidR="000944F2" w:rsidRPr="008F6730" w:rsidRDefault="000944F2" w:rsidP="000944F2">
      <w:pPr>
        <w:ind w:left="4320"/>
        <w:rPr>
          <w:i/>
          <w:noProof/>
          <w:sz w:val="20"/>
        </w:rPr>
      </w:pPr>
      <w:r w:rsidRPr="008F6730">
        <w:rPr>
          <w:noProof/>
        </w:rPr>
        <w:t xml:space="preserve">     U milijunima EUR (do 3 decimalna mjesta)</w:t>
      </w:r>
    </w:p>
    <w:tbl>
      <w:tblPr>
        <w:tblW w:w="1062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44"/>
        <w:gridCol w:w="1325"/>
        <w:gridCol w:w="1031"/>
        <w:gridCol w:w="900"/>
        <w:gridCol w:w="900"/>
        <w:gridCol w:w="1080"/>
        <w:gridCol w:w="1080"/>
        <w:gridCol w:w="1080"/>
        <w:gridCol w:w="1080"/>
      </w:tblGrid>
      <w:tr w:rsidR="000944F2" w:rsidRPr="008F6730" w14:paraId="3C5FCAA7" w14:textId="77777777" w:rsidTr="000944F2">
        <w:trPr>
          <w:trHeight w:val="388"/>
        </w:trPr>
        <w:tc>
          <w:tcPr>
            <w:tcW w:w="2144" w:type="dxa"/>
            <w:vMerge w:val="restart"/>
            <w:vAlign w:val="center"/>
          </w:tcPr>
          <w:p w14:paraId="5F99EE6C" w14:textId="77777777" w:rsidR="000944F2" w:rsidRPr="008F6730" w:rsidRDefault="000944F2" w:rsidP="000944F2">
            <w:pPr>
              <w:spacing w:before="40" w:after="40"/>
              <w:rPr>
                <w:noProof/>
                <w:sz w:val="18"/>
              </w:rPr>
            </w:pPr>
            <w:r w:rsidRPr="008F6730">
              <w:rPr>
                <w:noProof/>
                <w:sz w:val="18"/>
              </w:rPr>
              <w:t>Proračunska linija prihoda:</w:t>
            </w:r>
          </w:p>
        </w:tc>
        <w:tc>
          <w:tcPr>
            <w:tcW w:w="1325" w:type="dxa"/>
            <w:vMerge w:val="restart"/>
            <w:vAlign w:val="center"/>
          </w:tcPr>
          <w:p w14:paraId="2F5C8299" w14:textId="77777777" w:rsidR="000944F2" w:rsidRPr="008F6730" w:rsidRDefault="000944F2" w:rsidP="000944F2">
            <w:pPr>
              <w:jc w:val="center"/>
              <w:rPr>
                <w:noProof/>
                <w:sz w:val="18"/>
              </w:rPr>
            </w:pPr>
            <w:r w:rsidRPr="008F6730">
              <w:rPr>
                <w:noProof/>
                <w:sz w:val="18"/>
              </w:rPr>
              <w:t>Odobrena sredstva dostupna za tekuću financijsku godinu</w:t>
            </w:r>
          </w:p>
        </w:tc>
        <w:tc>
          <w:tcPr>
            <w:tcW w:w="7151" w:type="dxa"/>
            <w:gridSpan w:val="7"/>
            <w:vAlign w:val="center"/>
          </w:tcPr>
          <w:p w14:paraId="0B0AE780" w14:textId="77777777" w:rsidR="000944F2" w:rsidRPr="008F6730" w:rsidRDefault="000944F2" w:rsidP="000944F2">
            <w:pPr>
              <w:jc w:val="center"/>
              <w:rPr>
                <w:noProof/>
                <w:sz w:val="18"/>
              </w:rPr>
            </w:pPr>
            <w:r w:rsidRPr="008F6730">
              <w:rPr>
                <w:noProof/>
                <w:sz w:val="18"/>
              </w:rPr>
              <w:t>Učinak prijedloga/inicijative</w:t>
            </w:r>
            <w:r w:rsidRPr="008F6730">
              <w:rPr>
                <w:rStyle w:val="FootnoteReference"/>
                <w:noProof/>
                <w:sz w:val="18"/>
              </w:rPr>
              <w:footnoteReference w:id="54"/>
            </w:r>
          </w:p>
        </w:tc>
      </w:tr>
      <w:tr w:rsidR="000944F2" w:rsidRPr="008F6730" w14:paraId="5788A149" w14:textId="77777777" w:rsidTr="000944F2">
        <w:trPr>
          <w:trHeight w:val="388"/>
        </w:trPr>
        <w:tc>
          <w:tcPr>
            <w:tcW w:w="2144" w:type="dxa"/>
            <w:vMerge/>
          </w:tcPr>
          <w:p w14:paraId="41EE4880" w14:textId="77777777" w:rsidR="000944F2" w:rsidRPr="008F6730" w:rsidRDefault="000944F2" w:rsidP="000944F2">
            <w:pPr>
              <w:spacing w:before="40" w:after="40"/>
              <w:rPr>
                <w:noProof/>
                <w:sz w:val="18"/>
              </w:rPr>
            </w:pPr>
          </w:p>
        </w:tc>
        <w:tc>
          <w:tcPr>
            <w:tcW w:w="1325" w:type="dxa"/>
            <w:vMerge/>
          </w:tcPr>
          <w:p w14:paraId="6D603C8D" w14:textId="77777777" w:rsidR="000944F2" w:rsidRPr="008F6730" w:rsidRDefault="000944F2" w:rsidP="000944F2">
            <w:pPr>
              <w:spacing w:beforeLines="40" w:before="96" w:afterLines="40" w:after="96"/>
              <w:rPr>
                <w:i/>
                <w:noProof/>
                <w:sz w:val="18"/>
              </w:rPr>
            </w:pPr>
          </w:p>
        </w:tc>
        <w:tc>
          <w:tcPr>
            <w:tcW w:w="1031" w:type="dxa"/>
            <w:vAlign w:val="center"/>
          </w:tcPr>
          <w:p w14:paraId="1FFFD633" w14:textId="77777777" w:rsidR="000944F2" w:rsidRPr="00096CC5" w:rsidRDefault="000944F2" w:rsidP="000944F2">
            <w:pPr>
              <w:jc w:val="center"/>
              <w:rPr>
                <w:noProof/>
                <w:sz w:val="18"/>
                <w:szCs w:val="18"/>
              </w:rPr>
            </w:pPr>
            <w:r w:rsidRPr="00096CC5">
              <w:rPr>
                <w:noProof/>
                <w:sz w:val="18"/>
                <w:szCs w:val="18"/>
              </w:rPr>
              <w:t>Godina</w:t>
            </w:r>
            <w:r w:rsidRPr="00096CC5">
              <w:rPr>
                <w:noProof/>
                <w:sz w:val="18"/>
                <w:szCs w:val="18"/>
              </w:rPr>
              <w:br/>
            </w:r>
            <w:r w:rsidRPr="00096CC5">
              <w:rPr>
                <w:b/>
                <w:noProof/>
                <w:sz w:val="18"/>
                <w:szCs w:val="18"/>
              </w:rPr>
              <w:t>N</w:t>
            </w:r>
          </w:p>
        </w:tc>
        <w:tc>
          <w:tcPr>
            <w:tcW w:w="900" w:type="dxa"/>
            <w:vAlign w:val="center"/>
          </w:tcPr>
          <w:p w14:paraId="34C92870" w14:textId="77777777" w:rsidR="000944F2" w:rsidRPr="00096CC5" w:rsidRDefault="000944F2" w:rsidP="000944F2">
            <w:pPr>
              <w:jc w:val="center"/>
              <w:rPr>
                <w:noProof/>
                <w:sz w:val="18"/>
                <w:szCs w:val="18"/>
              </w:rPr>
            </w:pPr>
            <w:r w:rsidRPr="00096CC5">
              <w:rPr>
                <w:noProof/>
                <w:sz w:val="18"/>
                <w:szCs w:val="18"/>
              </w:rPr>
              <w:t>Godina</w:t>
            </w:r>
            <w:r w:rsidRPr="00096CC5">
              <w:rPr>
                <w:noProof/>
                <w:sz w:val="18"/>
                <w:szCs w:val="18"/>
              </w:rPr>
              <w:br/>
            </w:r>
            <w:r w:rsidRPr="00096CC5">
              <w:rPr>
                <w:b/>
                <w:noProof/>
                <w:sz w:val="18"/>
                <w:szCs w:val="18"/>
              </w:rPr>
              <w:t>N+1</w:t>
            </w:r>
          </w:p>
        </w:tc>
        <w:tc>
          <w:tcPr>
            <w:tcW w:w="900" w:type="dxa"/>
            <w:vAlign w:val="center"/>
          </w:tcPr>
          <w:p w14:paraId="24211639" w14:textId="77777777" w:rsidR="000944F2" w:rsidRPr="00096CC5" w:rsidRDefault="000944F2" w:rsidP="000944F2">
            <w:pPr>
              <w:jc w:val="center"/>
              <w:rPr>
                <w:noProof/>
                <w:sz w:val="18"/>
                <w:szCs w:val="18"/>
              </w:rPr>
            </w:pPr>
            <w:r w:rsidRPr="00096CC5">
              <w:rPr>
                <w:noProof/>
                <w:sz w:val="18"/>
                <w:szCs w:val="18"/>
              </w:rPr>
              <w:t>Godina</w:t>
            </w:r>
            <w:r w:rsidRPr="00096CC5">
              <w:rPr>
                <w:noProof/>
                <w:sz w:val="18"/>
                <w:szCs w:val="18"/>
              </w:rPr>
              <w:br/>
            </w:r>
            <w:r w:rsidRPr="00096CC5">
              <w:rPr>
                <w:b/>
                <w:noProof/>
                <w:sz w:val="18"/>
                <w:szCs w:val="18"/>
              </w:rPr>
              <w:t>N+2</w:t>
            </w:r>
          </w:p>
        </w:tc>
        <w:tc>
          <w:tcPr>
            <w:tcW w:w="1080" w:type="dxa"/>
            <w:vAlign w:val="center"/>
          </w:tcPr>
          <w:p w14:paraId="245E51C4" w14:textId="77777777" w:rsidR="000944F2" w:rsidRPr="00096CC5" w:rsidRDefault="000944F2" w:rsidP="000944F2">
            <w:pPr>
              <w:jc w:val="center"/>
              <w:rPr>
                <w:noProof/>
                <w:sz w:val="18"/>
                <w:szCs w:val="18"/>
              </w:rPr>
            </w:pPr>
            <w:r w:rsidRPr="00096CC5">
              <w:rPr>
                <w:noProof/>
                <w:sz w:val="18"/>
                <w:szCs w:val="18"/>
              </w:rPr>
              <w:t>Godina</w:t>
            </w:r>
            <w:r w:rsidRPr="00096CC5">
              <w:rPr>
                <w:noProof/>
                <w:sz w:val="18"/>
                <w:szCs w:val="18"/>
              </w:rPr>
              <w:br/>
            </w:r>
            <w:r w:rsidRPr="00096CC5">
              <w:rPr>
                <w:b/>
                <w:noProof/>
                <w:sz w:val="18"/>
                <w:szCs w:val="18"/>
              </w:rPr>
              <w:t>N+3</w:t>
            </w:r>
          </w:p>
        </w:tc>
        <w:tc>
          <w:tcPr>
            <w:tcW w:w="3240" w:type="dxa"/>
            <w:gridSpan w:val="3"/>
            <w:vAlign w:val="center"/>
          </w:tcPr>
          <w:p w14:paraId="51738380" w14:textId="77777777" w:rsidR="000944F2" w:rsidRPr="008F6730" w:rsidRDefault="000944F2" w:rsidP="000944F2">
            <w:pPr>
              <w:jc w:val="center"/>
              <w:rPr>
                <w:b/>
                <w:noProof/>
                <w:sz w:val="18"/>
              </w:rPr>
            </w:pPr>
            <w:r w:rsidRPr="008F6730">
              <w:rPr>
                <w:noProof/>
                <w:sz w:val="18"/>
              </w:rPr>
              <w:t>Unijeti onoliko godina koliko je potrebno za prikaz trajanja učinka (vidjeti točku 1.6.)</w:t>
            </w:r>
          </w:p>
        </w:tc>
      </w:tr>
      <w:tr w:rsidR="000944F2" w:rsidRPr="008F6730" w14:paraId="3E1D54A0" w14:textId="77777777" w:rsidTr="000944F2">
        <w:trPr>
          <w:trHeight w:val="388"/>
        </w:trPr>
        <w:tc>
          <w:tcPr>
            <w:tcW w:w="2144" w:type="dxa"/>
            <w:vAlign w:val="center"/>
          </w:tcPr>
          <w:p w14:paraId="2FA05AEB" w14:textId="77777777" w:rsidR="000944F2" w:rsidRPr="008F6730" w:rsidRDefault="000944F2" w:rsidP="000944F2">
            <w:pPr>
              <w:spacing w:before="40" w:after="40"/>
              <w:rPr>
                <w:noProof/>
                <w:sz w:val="18"/>
              </w:rPr>
            </w:pPr>
            <w:r w:rsidRPr="008F6730">
              <w:rPr>
                <w:noProof/>
                <w:sz w:val="18"/>
              </w:rPr>
              <w:t>Članak ….</w:t>
            </w:r>
          </w:p>
        </w:tc>
        <w:tc>
          <w:tcPr>
            <w:tcW w:w="1325" w:type="dxa"/>
          </w:tcPr>
          <w:p w14:paraId="35CCA457" w14:textId="77777777" w:rsidR="000944F2" w:rsidRPr="008F6730" w:rsidRDefault="000944F2" w:rsidP="000944F2">
            <w:pPr>
              <w:spacing w:beforeLines="40" w:before="96" w:afterLines="40" w:after="96"/>
              <w:jc w:val="center"/>
              <w:rPr>
                <w:i/>
                <w:noProof/>
                <w:sz w:val="18"/>
              </w:rPr>
            </w:pPr>
          </w:p>
        </w:tc>
        <w:tc>
          <w:tcPr>
            <w:tcW w:w="1031" w:type="dxa"/>
          </w:tcPr>
          <w:p w14:paraId="06C97593" w14:textId="77777777" w:rsidR="000944F2" w:rsidRPr="008F6730" w:rsidRDefault="000944F2" w:rsidP="000944F2">
            <w:pPr>
              <w:spacing w:beforeLines="40" w:before="96" w:afterLines="40" w:after="96"/>
              <w:jc w:val="center"/>
              <w:rPr>
                <w:noProof/>
                <w:sz w:val="18"/>
              </w:rPr>
            </w:pPr>
          </w:p>
        </w:tc>
        <w:tc>
          <w:tcPr>
            <w:tcW w:w="900" w:type="dxa"/>
          </w:tcPr>
          <w:p w14:paraId="79B04551" w14:textId="77777777" w:rsidR="000944F2" w:rsidRPr="008F6730" w:rsidRDefault="000944F2" w:rsidP="000944F2">
            <w:pPr>
              <w:spacing w:beforeLines="40" w:before="96" w:afterLines="40" w:after="96"/>
              <w:jc w:val="center"/>
              <w:rPr>
                <w:noProof/>
                <w:sz w:val="18"/>
              </w:rPr>
            </w:pPr>
          </w:p>
        </w:tc>
        <w:tc>
          <w:tcPr>
            <w:tcW w:w="900" w:type="dxa"/>
          </w:tcPr>
          <w:p w14:paraId="7A60281D" w14:textId="77777777" w:rsidR="000944F2" w:rsidRPr="008F6730" w:rsidRDefault="000944F2" w:rsidP="000944F2">
            <w:pPr>
              <w:spacing w:beforeLines="40" w:before="96" w:afterLines="40" w:after="96"/>
              <w:jc w:val="center"/>
              <w:rPr>
                <w:noProof/>
                <w:sz w:val="18"/>
              </w:rPr>
            </w:pPr>
          </w:p>
        </w:tc>
        <w:tc>
          <w:tcPr>
            <w:tcW w:w="1080" w:type="dxa"/>
          </w:tcPr>
          <w:p w14:paraId="55EFCBC2" w14:textId="77777777" w:rsidR="000944F2" w:rsidRPr="008F6730" w:rsidRDefault="000944F2" w:rsidP="000944F2">
            <w:pPr>
              <w:spacing w:beforeLines="40" w:before="96" w:afterLines="40" w:after="96"/>
              <w:jc w:val="center"/>
              <w:rPr>
                <w:noProof/>
                <w:sz w:val="18"/>
              </w:rPr>
            </w:pPr>
          </w:p>
        </w:tc>
        <w:tc>
          <w:tcPr>
            <w:tcW w:w="1080" w:type="dxa"/>
          </w:tcPr>
          <w:p w14:paraId="6B68A89E" w14:textId="77777777" w:rsidR="000944F2" w:rsidRPr="008F6730" w:rsidRDefault="000944F2" w:rsidP="000944F2">
            <w:pPr>
              <w:spacing w:beforeLines="40" w:before="96" w:afterLines="40" w:after="96"/>
              <w:jc w:val="center"/>
              <w:rPr>
                <w:noProof/>
                <w:sz w:val="18"/>
              </w:rPr>
            </w:pPr>
          </w:p>
        </w:tc>
        <w:tc>
          <w:tcPr>
            <w:tcW w:w="1080" w:type="dxa"/>
          </w:tcPr>
          <w:p w14:paraId="291998C1" w14:textId="77777777" w:rsidR="000944F2" w:rsidRPr="008F6730" w:rsidRDefault="000944F2" w:rsidP="000944F2">
            <w:pPr>
              <w:spacing w:beforeLines="40" w:before="96" w:afterLines="40" w:after="96"/>
              <w:jc w:val="center"/>
              <w:rPr>
                <w:noProof/>
                <w:sz w:val="18"/>
              </w:rPr>
            </w:pPr>
          </w:p>
        </w:tc>
        <w:tc>
          <w:tcPr>
            <w:tcW w:w="1080" w:type="dxa"/>
          </w:tcPr>
          <w:p w14:paraId="5605F88E" w14:textId="77777777" w:rsidR="000944F2" w:rsidRPr="008F6730" w:rsidRDefault="000944F2" w:rsidP="000944F2">
            <w:pPr>
              <w:spacing w:beforeLines="40" w:before="96" w:afterLines="40" w:after="96"/>
              <w:jc w:val="center"/>
              <w:rPr>
                <w:noProof/>
                <w:sz w:val="18"/>
              </w:rPr>
            </w:pPr>
          </w:p>
        </w:tc>
      </w:tr>
    </w:tbl>
    <w:p w14:paraId="06444D54" w14:textId="77777777" w:rsidR="000944F2" w:rsidRPr="008F6730" w:rsidRDefault="000944F2" w:rsidP="000944F2">
      <w:pPr>
        <w:pStyle w:val="Text1"/>
        <w:rPr>
          <w:noProof/>
          <w:sz w:val="20"/>
        </w:rPr>
      </w:pPr>
      <w:r w:rsidRPr="008F6730">
        <w:rPr>
          <w:noProof/>
          <w:sz w:val="20"/>
        </w:rPr>
        <w:t>Za namjenske prihode navesti odgovarajuće proračunske linije rashoda.</w:t>
      </w:r>
    </w:p>
    <w:p w14:paraId="055742C5" w14:textId="77777777" w:rsidR="000944F2" w:rsidRPr="008F6730" w:rsidRDefault="000944F2" w:rsidP="000944F2">
      <w:pPr>
        <w:pStyle w:val="Text1"/>
        <w:pBdr>
          <w:top w:val="single" w:sz="4" w:space="1" w:color="auto"/>
          <w:left w:val="single" w:sz="4" w:space="4" w:color="auto"/>
          <w:bottom w:val="single" w:sz="4" w:space="1" w:color="auto"/>
          <w:right w:val="single" w:sz="4" w:space="4" w:color="auto"/>
        </w:pBdr>
        <w:rPr>
          <w:noProof/>
        </w:rPr>
      </w:pPr>
    </w:p>
    <w:p w14:paraId="7FA93C54" w14:textId="77777777" w:rsidR="000944F2" w:rsidRPr="008F6730" w:rsidRDefault="000944F2" w:rsidP="000944F2">
      <w:pPr>
        <w:pStyle w:val="Text1"/>
        <w:rPr>
          <w:noProof/>
          <w:sz w:val="20"/>
        </w:rPr>
      </w:pPr>
      <w:r w:rsidRPr="008F6730">
        <w:rPr>
          <w:noProof/>
          <w:sz w:val="20"/>
        </w:rPr>
        <w:t>Ostale napomene (npr. metoda/formula za izračun učinka na prihode ili druge informacije)</w:t>
      </w:r>
    </w:p>
    <w:p w14:paraId="1A7C6EA2" w14:textId="77777777" w:rsidR="000944F2" w:rsidRPr="008F6730" w:rsidRDefault="000944F2" w:rsidP="000944F2">
      <w:pPr>
        <w:pStyle w:val="Text1"/>
        <w:pBdr>
          <w:top w:val="single" w:sz="4" w:space="1" w:color="auto"/>
          <w:left w:val="single" w:sz="4" w:space="4" w:color="auto"/>
          <w:bottom w:val="single" w:sz="4" w:space="1" w:color="auto"/>
          <w:right w:val="single" w:sz="4" w:space="4" w:color="auto"/>
        </w:pBdr>
        <w:rPr>
          <w:noProof/>
        </w:rPr>
      </w:pPr>
    </w:p>
    <w:sectPr w:rsidR="000944F2" w:rsidRPr="008F6730" w:rsidSect="00176A4E">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D188A4" w14:textId="77777777" w:rsidR="00C25B9E" w:rsidRDefault="00C25B9E" w:rsidP="00E06DBA">
      <w:pPr>
        <w:spacing w:before="0" w:after="0"/>
      </w:pPr>
      <w:r>
        <w:separator/>
      </w:r>
    </w:p>
  </w:endnote>
  <w:endnote w:type="continuationSeparator" w:id="0">
    <w:p w14:paraId="4985016F" w14:textId="77777777" w:rsidR="00C25B9E" w:rsidRDefault="00C25B9E" w:rsidP="00E06DBA">
      <w:pPr>
        <w:spacing w:before="0" w:after="0"/>
      </w:pPr>
      <w:r>
        <w:continuationSeparator/>
      </w:r>
    </w:p>
  </w:endnote>
  <w:endnote w:type="continuationNotice" w:id="1">
    <w:p w14:paraId="02053349" w14:textId="77777777" w:rsidR="00C25B9E" w:rsidRDefault="00C25B9E">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venir Book">
    <w:altName w:val="Times New Roman"/>
    <w:charset w:val="00"/>
    <w:family w:val="auto"/>
    <w:pitch w:val="variable"/>
    <w:sig w:usb0="800000AF" w:usb1="5000204A" w:usb2="00000000" w:usb3="00000000" w:csb0="0000009B"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EUAlbertina">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55BF6B" w14:textId="58BA4902" w:rsidR="00C25B9E" w:rsidRPr="00176A4E" w:rsidRDefault="00176A4E" w:rsidP="00176A4E">
    <w:pPr>
      <w:pStyle w:val="Footer"/>
      <w:rPr>
        <w:rFonts w:ascii="Arial" w:hAnsi="Arial" w:cs="Arial"/>
        <w:b/>
        <w:sz w:val="48"/>
      </w:rPr>
    </w:pPr>
    <w:r w:rsidRPr="00176A4E">
      <w:rPr>
        <w:rFonts w:ascii="Arial" w:hAnsi="Arial" w:cs="Arial"/>
        <w:b/>
        <w:sz w:val="48"/>
      </w:rPr>
      <w:t>HR</w:t>
    </w:r>
    <w:r w:rsidRPr="00176A4E">
      <w:rPr>
        <w:rFonts w:ascii="Arial" w:hAnsi="Arial" w:cs="Arial"/>
        <w:b/>
        <w:sz w:val="48"/>
      </w:rPr>
      <w:tab/>
    </w:r>
    <w:r w:rsidRPr="00176A4E">
      <w:rPr>
        <w:rFonts w:ascii="Arial" w:hAnsi="Arial" w:cs="Arial"/>
        <w:b/>
        <w:sz w:val="48"/>
      </w:rPr>
      <w:tab/>
    </w:r>
    <w:r w:rsidRPr="00176A4E">
      <w:tab/>
    </w:r>
    <w:r w:rsidRPr="00176A4E">
      <w:rPr>
        <w:rFonts w:ascii="Arial" w:hAnsi="Arial" w:cs="Arial"/>
        <w:b/>
        <w:sz w:val="48"/>
      </w:rPr>
      <w:t>HR</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0530A9" w14:textId="79B7987C" w:rsidR="00176A4E" w:rsidRPr="00176A4E" w:rsidRDefault="00176A4E" w:rsidP="00176A4E">
    <w:pPr>
      <w:pStyle w:val="Footer"/>
      <w:rPr>
        <w:rFonts w:ascii="Arial" w:hAnsi="Arial" w:cs="Arial"/>
        <w:b/>
        <w:sz w:val="48"/>
      </w:rPr>
    </w:pPr>
    <w:r w:rsidRPr="00176A4E">
      <w:rPr>
        <w:rFonts w:ascii="Arial" w:hAnsi="Arial" w:cs="Arial"/>
        <w:b/>
        <w:sz w:val="48"/>
      </w:rPr>
      <w:t>HR</w:t>
    </w:r>
    <w:r w:rsidRPr="00176A4E">
      <w:rPr>
        <w:rFonts w:ascii="Arial" w:hAnsi="Arial" w:cs="Arial"/>
        <w:b/>
        <w:sz w:val="48"/>
      </w:rPr>
      <w:tab/>
    </w:r>
    <w:r>
      <w:fldChar w:fldCharType="begin"/>
    </w:r>
    <w:r>
      <w:instrText xml:space="preserve"> PAGE  \* MERGEFORMAT </w:instrText>
    </w:r>
    <w:r>
      <w:fldChar w:fldCharType="separate"/>
    </w:r>
    <w:r w:rsidR="001F62C4">
      <w:rPr>
        <w:noProof/>
      </w:rPr>
      <w:t>29</w:t>
    </w:r>
    <w:r>
      <w:fldChar w:fldCharType="end"/>
    </w:r>
    <w:r>
      <w:tab/>
    </w:r>
    <w:r w:rsidRPr="00176A4E">
      <w:tab/>
    </w:r>
    <w:r w:rsidRPr="00176A4E">
      <w:rPr>
        <w:rFonts w:ascii="Arial" w:hAnsi="Arial" w:cs="Arial"/>
        <w:b/>
        <w:sz w:val="48"/>
      </w:rPr>
      <w:t>HR</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E7EE38" w14:textId="77777777" w:rsidR="00176A4E" w:rsidRPr="00176A4E" w:rsidRDefault="00176A4E" w:rsidP="00176A4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A59F5E" w14:textId="39576B89" w:rsidR="00176A4E" w:rsidRPr="00176A4E" w:rsidRDefault="00176A4E" w:rsidP="00176A4E">
    <w:pPr>
      <w:pStyle w:val="FooterLandscape"/>
      <w:rPr>
        <w:rFonts w:ascii="Arial" w:hAnsi="Arial" w:cs="Arial"/>
        <w:b/>
        <w:sz w:val="48"/>
      </w:rPr>
    </w:pPr>
    <w:r w:rsidRPr="00176A4E">
      <w:rPr>
        <w:rFonts w:ascii="Arial" w:hAnsi="Arial" w:cs="Arial"/>
        <w:b/>
        <w:sz w:val="48"/>
      </w:rPr>
      <w:t>HR</w:t>
    </w:r>
    <w:r w:rsidRPr="00176A4E">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rsidRPr="00176A4E">
      <w:tab/>
    </w:r>
    <w:r w:rsidRPr="00176A4E">
      <w:rPr>
        <w:rFonts w:ascii="Arial" w:hAnsi="Arial" w:cs="Arial"/>
        <w:b/>
        <w:sz w:val="48"/>
      </w:rPr>
      <w:t>HR</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9635D7" w14:textId="77777777" w:rsidR="00176A4E" w:rsidRPr="00176A4E" w:rsidRDefault="00176A4E" w:rsidP="00176A4E">
    <w:pPr>
      <w:pStyle w:val="FooterLandscape"/>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F18A03" w14:textId="66DA11E9" w:rsidR="00C25B9E" w:rsidRPr="00176A4E" w:rsidRDefault="00176A4E" w:rsidP="00176A4E">
    <w:pPr>
      <w:pStyle w:val="Footer"/>
      <w:rPr>
        <w:rFonts w:ascii="Arial" w:hAnsi="Arial" w:cs="Arial"/>
        <w:b/>
        <w:sz w:val="48"/>
      </w:rPr>
    </w:pPr>
    <w:r w:rsidRPr="00176A4E">
      <w:rPr>
        <w:rFonts w:ascii="Arial" w:hAnsi="Arial" w:cs="Arial"/>
        <w:b/>
        <w:sz w:val="48"/>
      </w:rPr>
      <w:t>HR</w:t>
    </w:r>
    <w:r w:rsidRPr="00176A4E">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rsidRPr="00176A4E">
      <w:tab/>
    </w:r>
    <w:r w:rsidRPr="00176A4E">
      <w:rPr>
        <w:rFonts w:ascii="Arial" w:hAnsi="Arial" w:cs="Arial"/>
        <w:b/>
        <w:sz w:val="48"/>
      </w:rPr>
      <w:t>HR</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8F1037" w14:textId="77777777" w:rsidR="00176A4E" w:rsidRPr="00176A4E" w:rsidRDefault="00176A4E" w:rsidP="00176A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913367" w14:textId="77777777" w:rsidR="00C25B9E" w:rsidRDefault="00C25B9E" w:rsidP="00E06DBA">
      <w:pPr>
        <w:spacing w:before="0" w:after="0"/>
      </w:pPr>
      <w:r>
        <w:separator/>
      </w:r>
    </w:p>
  </w:footnote>
  <w:footnote w:type="continuationSeparator" w:id="0">
    <w:p w14:paraId="50E9A500" w14:textId="77777777" w:rsidR="00C25B9E" w:rsidRDefault="00C25B9E" w:rsidP="00E06DBA">
      <w:pPr>
        <w:spacing w:before="0" w:after="0"/>
      </w:pPr>
      <w:r>
        <w:continuationSeparator/>
      </w:r>
    </w:p>
  </w:footnote>
  <w:footnote w:type="continuationNotice" w:id="1">
    <w:p w14:paraId="7AE96DE6" w14:textId="77777777" w:rsidR="00C25B9E" w:rsidRDefault="00C25B9E">
      <w:pPr>
        <w:spacing w:before="0" w:after="0"/>
      </w:pPr>
    </w:p>
  </w:footnote>
  <w:footnote w:id="2">
    <w:p w14:paraId="34431BDF" w14:textId="77777777" w:rsidR="00C25B9E" w:rsidRDefault="00C25B9E">
      <w:pPr>
        <w:pStyle w:val="FootnoteText"/>
      </w:pPr>
      <w:r>
        <w:rPr>
          <w:rStyle w:val="FootnoteReference"/>
        </w:rPr>
        <w:footnoteRef/>
      </w:r>
      <w:r>
        <w:tab/>
        <w:t xml:space="preserve">Radna skupina III. Međuvladina panela o klimatskim promjenama (IPCC) (2022.), </w:t>
      </w:r>
      <w:r>
        <w:rPr>
          <w:i/>
          <w:iCs/>
        </w:rPr>
        <w:t>Technical Summary</w:t>
      </w:r>
      <w:r>
        <w:t xml:space="preserve">. U: </w:t>
      </w:r>
      <w:r>
        <w:rPr>
          <w:i/>
          <w:iCs/>
        </w:rPr>
        <w:t>Climate Change 2022:</w:t>
      </w:r>
      <w:r>
        <w:t xml:space="preserve"> </w:t>
      </w:r>
      <w:r>
        <w:rPr>
          <w:i/>
          <w:iCs/>
        </w:rPr>
        <w:t>Mitigation of Climate Change.</w:t>
      </w:r>
      <w:r>
        <w:t xml:space="preserve"> </w:t>
      </w:r>
      <w:r>
        <w:rPr>
          <w:i/>
          <w:iCs/>
        </w:rPr>
        <w:t>Sixth Assessment Report</w:t>
      </w:r>
      <w:r>
        <w:t>. (Tehnički sažetak. U: Klimatske promjene 2022.: Ublažavanje klimatskih promjena. Šesto izvješće o procjeni.).</w:t>
      </w:r>
    </w:p>
  </w:footnote>
  <w:footnote w:id="3">
    <w:p w14:paraId="0D911474" w14:textId="77777777" w:rsidR="00C25B9E" w:rsidRDefault="00C25B9E">
      <w:pPr>
        <w:pStyle w:val="FootnoteText"/>
      </w:pPr>
      <w:r>
        <w:rPr>
          <w:rStyle w:val="FootnoteReference"/>
        </w:rPr>
        <w:footnoteRef/>
      </w:r>
      <w:r>
        <w:tab/>
        <w:t>Uredba (EU) 2021/1119 Europskog parlamenta i Vijeća od 30. lipnja 2021. o uspostavi okvira za postizanje klimatske neutralnosti i o izmjeni uredaba (EZ) br. 401/2009 i (EU) 2018/1999 (SL L 243, 9.7.2021., str. 1.).</w:t>
      </w:r>
    </w:p>
  </w:footnote>
  <w:footnote w:id="4">
    <w:p w14:paraId="11CA62D6" w14:textId="77777777" w:rsidR="00C25B9E" w:rsidRPr="00A37024" w:rsidRDefault="00C25B9E">
      <w:pPr>
        <w:pStyle w:val="FootnoteText"/>
      </w:pPr>
      <w:r>
        <w:rPr>
          <w:rStyle w:val="FootnoteReference"/>
        </w:rPr>
        <w:footnoteRef/>
      </w:r>
      <w:r>
        <w:tab/>
        <w:t xml:space="preserve"> COM(2020) 98 final.</w:t>
      </w:r>
    </w:p>
  </w:footnote>
  <w:footnote w:id="5">
    <w:p w14:paraId="1C3E642A" w14:textId="77777777" w:rsidR="00C25B9E" w:rsidRPr="00A37024" w:rsidRDefault="00C25B9E">
      <w:pPr>
        <w:pStyle w:val="FootnoteText"/>
      </w:pPr>
      <w:r>
        <w:rPr>
          <w:rStyle w:val="FootnoteReference"/>
        </w:rPr>
        <w:footnoteRef/>
      </w:r>
      <w:r>
        <w:tab/>
        <w:t>COM(2019) 640 final</w:t>
      </w:r>
    </w:p>
  </w:footnote>
  <w:footnote w:id="6">
    <w:p w14:paraId="2095707B" w14:textId="77777777" w:rsidR="00C25B9E" w:rsidRPr="00A37024" w:rsidRDefault="00C25B9E">
      <w:pPr>
        <w:pStyle w:val="FootnoteText"/>
      </w:pPr>
      <w:r>
        <w:rPr>
          <w:rStyle w:val="FootnoteReference"/>
        </w:rPr>
        <w:footnoteRef/>
      </w:r>
      <w:r>
        <w:tab/>
        <w:t>COM(2021) 554 final.</w:t>
      </w:r>
    </w:p>
  </w:footnote>
  <w:footnote w:id="7">
    <w:p w14:paraId="2008F4A1" w14:textId="77777777" w:rsidR="00C25B9E" w:rsidRPr="003037D4" w:rsidRDefault="00C25B9E">
      <w:pPr>
        <w:pStyle w:val="FootnoteText"/>
      </w:pPr>
      <w:r>
        <w:rPr>
          <w:rStyle w:val="FootnoteReference"/>
        </w:rPr>
        <w:footnoteRef/>
      </w:r>
      <w:r>
        <w:tab/>
        <w:t>C(2019) 1492 final.</w:t>
      </w:r>
    </w:p>
  </w:footnote>
  <w:footnote w:id="8">
    <w:p w14:paraId="129D8514" w14:textId="77777777" w:rsidR="00C25B9E" w:rsidRDefault="00C25B9E">
      <w:pPr>
        <w:pStyle w:val="FootnoteText"/>
      </w:pPr>
      <w:r>
        <w:rPr>
          <w:rStyle w:val="FootnoteReference"/>
        </w:rPr>
        <w:footnoteRef/>
      </w:r>
      <w:r>
        <w:tab/>
        <w:t>Direktiva 2003/87/EZ Europskog parlamenta i Vijeća od 13. listopada 2003. o uspostavi sustava trgovanja emisijskim jedinicama stakleničkih plinova unutar Zajednice i o izmjeni Direktive Vijeća 96/61/EZ (SL L 275, 25.10.2003., str. 32.).</w:t>
      </w:r>
    </w:p>
  </w:footnote>
  <w:footnote w:id="9">
    <w:p w14:paraId="400719C5" w14:textId="77777777" w:rsidR="00C25B9E" w:rsidRDefault="00C25B9E">
      <w:pPr>
        <w:pStyle w:val="FootnoteText"/>
      </w:pPr>
      <w:r>
        <w:rPr>
          <w:rStyle w:val="FootnoteReference"/>
        </w:rPr>
        <w:footnoteRef/>
      </w:r>
      <w:r>
        <w:tab/>
        <w:t xml:space="preserve"> COM(2021) 800 final.</w:t>
      </w:r>
    </w:p>
  </w:footnote>
  <w:footnote w:id="10">
    <w:p w14:paraId="6B747BAC" w14:textId="77777777" w:rsidR="00C25B9E" w:rsidRPr="00EA1D0D" w:rsidRDefault="00C25B9E" w:rsidP="006910F7">
      <w:pPr>
        <w:pStyle w:val="FootnoteText"/>
      </w:pPr>
      <w:r>
        <w:rPr>
          <w:rStyle w:val="FootnoteReference"/>
        </w:rPr>
        <w:footnoteRef/>
      </w:r>
      <w:r>
        <w:tab/>
      </w:r>
      <w:r>
        <w:rPr>
          <w:rStyle w:val="markedcontent"/>
        </w:rPr>
        <w:t>Konferencija o budućnosti Europe, Izvješće o konačnom ishodu, svibanj 2022.</w:t>
      </w:r>
    </w:p>
  </w:footnote>
  <w:footnote w:id="11">
    <w:p w14:paraId="6EB95EE8" w14:textId="77777777" w:rsidR="00C25B9E" w:rsidRPr="00510784" w:rsidRDefault="00C25B9E" w:rsidP="006910F7">
      <w:pPr>
        <w:pStyle w:val="FootnoteText"/>
      </w:pPr>
      <w:r>
        <w:rPr>
          <w:rStyle w:val="FootnoteReference"/>
        </w:rPr>
        <w:footnoteRef/>
      </w:r>
      <w:r>
        <w:tab/>
      </w:r>
      <w:r>
        <w:rPr>
          <w:rStyle w:val="markedcontent"/>
        </w:rPr>
        <w:t>C(2022) 2230 final</w:t>
      </w:r>
    </w:p>
  </w:footnote>
  <w:footnote w:id="12">
    <w:p w14:paraId="587ADA00" w14:textId="77777777" w:rsidR="00C25B9E" w:rsidRDefault="00C25B9E">
      <w:pPr>
        <w:pStyle w:val="FootnoteText"/>
      </w:pPr>
      <w:r>
        <w:rPr>
          <w:rStyle w:val="FootnoteReference"/>
        </w:rPr>
        <w:footnoteRef/>
      </w:r>
      <w:r>
        <w:tab/>
        <w:t>Direktiva 2009/31/EZ Europskog parlamenta i Vijeća od 23. travnja 2009. o geološkom skladištenju ugljikova dioksida i o izmjeni Direktive Vijeća 85/337/EEZ, Direktiva Europskog parlamenta i Vijeća 2000/60/EZ, 2001/80/EZ, 2004/35/EZ, 2006/12/EZ, 2008/1/EZ i Uredbe (EZ) br. 1013/2006 (SL L 140, 5.6.2009., str. 114.).</w:t>
      </w:r>
    </w:p>
  </w:footnote>
  <w:footnote w:id="13">
    <w:p w14:paraId="7C0A053E" w14:textId="77777777" w:rsidR="00C25B9E" w:rsidRDefault="00C25B9E">
      <w:pPr>
        <w:pStyle w:val="FootnoteText"/>
      </w:pPr>
      <w:r>
        <w:rPr>
          <w:rStyle w:val="FootnoteReference"/>
        </w:rPr>
        <w:footnoteRef/>
      </w:r>
      <w:r>
        <w:tab/>
        <w:t>Za uvođenje BECCS-a potrebne su zaštitne mjere kako bi se uzela u obzir ograničenja i dostupnost održive biomase i tako izbjegla prekomjerna potražnja za biomasom za energiju s negativnim učincima na ponore i zalihe ugljika, bioraznolikost, kvalitetu zraka i biogospodarstvo.</w:t>
      </w:r>
    </w:p>
  </w:footnote>
  <w:footnote w:id="14">
    <w:p w14:paraId="27781429" w14:textId="77777777" w:rsidR="00C25B9E" w:rsidRDefault="00C25B9E">
      <w:pPr>
        <w:pStyle w:val="FootnoteText"/>
      </w:pPr>
      <w:r>
        <w:rPr>
          <w:rStyle w:val="FootnoteReference"/>
        </w:rPr>
        <w:footnoteRef/>
      </w:r>
      <w:r>
        <w:tab/>
        <w:t>Provedbena uredba Komisije (EU) 2018/2066 оd 19. prosinca 2018. o praćenju i izvješćivanju o emisijama stakleničkih plinova u skladu s Direktivom 2003/87/EZ Europskog parlamenta i Vijeća i o izmjeni Uredbe Komisije (EU) br. 601/2012 (SL L 334, 31.12.2018., str. 1.).</w:t>
      </w:r>
    </w:p>
  </w:footnote>
  <w:footnote w:id="15">
    <w:p w14:paraId="44AA2D74" w14:textId="77777777" w:rsidR="00C25B9E" w:rsidRDefault="00C25B9E">
      <w:pPr>
        <w:pStyle w:val="FootnoteText"/>
      </w:pPr>
      <w:r>
        <w:rPr>
          <w:rStyle w:val="FootnoteReference"/>
        </w:rPr>
        <w:footnoteRef/>
      </w:r>
      <w:r>
        <w:tab/>
        <w:t>Prilog C Pozivu na podnošenje prijedloga: Metodologija za izračun izbjegavanja emisija stakleničkih plinova.</w:t>
      </w:r>
    </w:p>
  </w:footnote>
  <w:footnote w:id="16">
    <w:p w14:paraId="4F9E9CB2" w14:textId="77777777" w:rsidR="00C25B9E" w:rsidRDefault="00C25B9E">
      <w:pPr>
        <w:pStyle w:val="FootnoteText"/>
      </w:pPr>
      <w:r>
        <w:rPr>
          <w:rStyle w:val="FootnoteReference"/>
        </w:rPr>
        <w:footnoteRef/>
      </w:r>
      <w:r>
        <w:tab/>
        <w:t>https://climate.ec.europa.eu/eu-action/funding-climate-action/innovation-fund_en</w:t>
      </w:r>
    </w:p>
  </w:footnote>
  <w:footnote w:id="17">
    <w:p w14:paraId="12EE458A" w14:textId="77777777" w:rsidR="00C25B9E" w:rsidRDefault="00C25B9E">
      <w:pPr>
        <w:pStyle w:val="FootnoteText"/>
      </w:pPr>
      <w:r>
        <w:rPr>
          <w:rStyle w:val="FootnoteReference"/>
        </w:rPr>
        <w:footnoteRef/>
      </w:r>
      <w:r>
        <w:tab/>
        <w:t>Uredba (EU) 2018/841 Europskog parlamenta i Vijeća od 30. svibnja 2018. o uključivanju emisija i uklanjanja stakleničkih plinova iz korištenja zemljišta, prenamjene zemljišta i šumarstva u okvir za klimatsku i energetsku politiku do 2030. te o izmjeni Uredbe (EU) br. 525/2013 i Odluke br. 529/2013/EU (SL L 156, 19.6.2018., str. 1.).</w:t>
      </w:r>
    </w:p>
  </w:footnote>
  <w:footnote w:id="18">
    <w:p w14:paraId="59EE6FAF" w14:textId="77777777" w:rsidR="00C25B9E" w:rsidRPr="00A37024" w:rsidRDefault="00C25B9E">
      <w:pPr>
        <w:pStyle w:val="FootnoteText"/>
      </w:pPr>
      <w:r>
        <w:rPr>
          <w:rStyle w:val="FootnoteReference"/>
        </w:rPr>
        <w:footnoteRef/>
      </w:r>
      <w:r>
        <w:tab/>
        <w:t>COM(2022) 304 final.</w:t>
      </w:r>
    </w:p>
  </w:footnote>
  <w:footnote w:id="19">
    <w:p w14:paraId="2B3F8164" w14:textId="77777777" w:rsidR="00C25B9E" w:rsidRPr="00A37024" w:rsidRDefault="00C25B9E">
      <w:pPr>
        <w:pStyle w:val="FootnoteText"/>
      </w:pPr>
      <w:r>
        <w:rPr>
          <w:rStyle w:val="FootnoteReference"/>
        </w:rPr>
        <w:footnoteRef/>
      </w:r>
      <w:r>
        <w:tab/>
        <w:t>Direktiva 2018/2001/EU.</w:t>
      </w:r>
    </w:p>
  </w:footnote>
  <w:footnote w:id="20">
    <w:p w14:paraId="3E53939F" w14:textId="77777777" w:rsidR="00C25B9E" w:rsidRPr="00A37024" w:rsidRDefault="00C25B9E">
      <w:pPr>
        <w:pStyle w:val="FootnoteText"/>
      </w:pPr>
      <w:r>
        <w:rPr>
          <w:rStyle w:val="FootnoteReference"/>
        </w:rPr>
        <w:footnoteRef/>
      </w:r>
      <w:r>
        <w:tab/>
        <w:t>COM(2021) 572 final.</w:t>
      </w:r>
    </w:p>
  </w:footnote>
  <w:footnote w:id="21">
    <w:p w14:paraId="275320BE" w14:textId="77777777" w:rsidR="00C25B9E" w:rsidRPr="0044688A" w:rsidRDefault="00C25B9E">
      <w:pPr>
        <w:pStyle w:val="FootnoteText"/>
      </w:pPr>
      <w:r>
        <w:rPr>
          <w:rStyle w:val="FootnoteReference"/>
        </w:rPr>
        <w:footnoteRef/>
      </w:r>
      <w:r>
        <w:tab/>
        <w:t>SL C [...], [...], str. [...].</w:t>
      </w:r>
    </w:p>
  </w:footnote>
  <w:footnote w:id="22">
    <w:p w14:paraId="3B1BD4AB" w14:textId="77777777" w:rsidR="00C25B9E" w:rsidRDefault="00C25B9E">
      <w:pPr>
        <w:pStyle w:val="FootnoteText"/>
      </w:pPr>
      <w:r>
        <w:rPr>
          <w:rStyle w:val="FootnoteReference"/>
        </w:rPr>
        <w:footnoteRef/>
      </w:r>
      <w:r>
        <w:tab/>
        <w:t>SL C [...], [...], str. [...].</w:t>
      </w:r>
    </w:p>
  </w:footnote>
  <w:footnote w:id="23">
    <w:p w14:paraId="35BA6E14" w14:textId="77777777" w:rsidR="00C25B9E" w:rsidRDefault="00C25B9E">
      <w:pPr>
        <w:pStyle w:val="FootnoteText"/>
      </w:pPr>
      <w:r>
        <w:rPr>
          <w:rStyle w:val="FootnoteReference"/>
        </w:rPr>
        <w:footnoteRef/>
      </w:r>
      <w:r>
        <w:tab/>
        <w:t>Odobren Odlukom Vijeća (EU) 2016/1841 od 5. listopada 2016. o sklapanju, u ime Europske unije, Pariškog sporazuma donesenoga u sklopu Okvirne konvencije Ujedinjenih naroda o klimatskim promjenama (SL L 282, 19.10.2016., str. 1.).</w:t>
      </w:r>
    </w:p>
  </w:footnote>
  <w:footnote w:id="24">
    <w:p w14:paraId="4C1DB375" w14:textId="77777777" w:rsidR="00C25B9E" w:rsidRDefault="00C25B9E">
      <w:pPr>
        <w:pStyle w:val="FootnoteText"/>
      </w:pPr>
      <w:r>
        <w:rPr>
          <w:rStyle w:val="FootnoteReference"/>
        </w:rPr>
        <w:footnoteRef/>
      </w:r>
      <w:r>
        <w:tab/>
        <w:t xml:space="preserve">Radna skupina III. Međuvladina panela o klimatskim promjenama (IPCC) (2022.), </w:t>
      </w:r>
      <w:r>
        <w:rPr>
          <w:i/>
          <w:iCs/>
        </w:rPr>
        <w:t>Technical Summary</w:t>
      </w:r>
      <w:r>
        <w:t xml:space="preserve">. U: </w:t>
      </w:r>
      <w:r>
        <w:rPr>
          <w:i/>
          <w:iCs/>
        </w:rPr>
        <w:t>Climate Change 2022:</w:t>
      </w:r>
      <w:r>
        <w:t xml:space="preserve"> </w:t>
      </w:r>
      <w:r>
        <w:rPr>
          <w:i/>
          <w:iCs/>
        </w:rPr>
        <w:t>Mitigation of Climate Change.</w:t>
      </w:r>
      <w:r>
        <w:t xml:space="preserve"> </w:t>
      </w:r>
      <w:r>
        <w:rPr>
          <w:i/>
          <w:iCs/>
        </w:rPr>
        <w:t>Sixth Assessment Report</w:t>
      </w:r>
      <w:r>
        <w:t>. (Tehnički sažetak. U: Klimatske promjene 2022.: Ublažavanje klimatskih promjena. Šesto izvješće o procjeni.) (poveznica).</w:t>
      </w:r>
    </w:p>
  </w:footnote>
  <w:footnote w:id="25">
    <w:p w14:paraId="2A7A6034" w14:textId="77777777" w:rsidR="00C25B9E" w:rsidRDefault="00C25B9E">
      <w:pPr>
        <w:pStyle w:val="FootnoteText"/>
      </w:pPr>
      <w:r>
        <w:rPr>
          <w:rStyle w:val="FootnoteReference"/>
        </w:rPr>
        <w:footnoteRef/>
      </w:r>
      <w:r>
        <w:tab/>
        <w:t>Uredba (EU) 2021/1119 Europskog parlamenta i Vijeća od 30. lipnja 2021. o uspostavi okvira za postizanje klimatske neutralnosti i o izmjeni uredaba (EZ) br. 401/2009 i (EU) 2018/1999 („Europski zakon o klimi”) (SL L 243, 9.7.2021., str. 1.).</w:t>
      </w:r>
    </w:p>
  </w:footnote>
  <w:footnote w:id="26">
    <w:p w14:paraId="33C9766B" w14:textId="77777777" w:rsidR="00C25B9E" w:rsidRDefault="00C25B9E">
      <w:pPr>
        <w:pStyle w:val="FootnoteText"/>
      </w:pPr>
      <w:r>
        <w:rPr>
          <w:rStyle w:val="FootnoteReference"/>
        </w:rPr>
        <w:footnoteRef/>
      </w:r>
      <w:r>
        <w:tab/>
        <w:t>Uredba (EU) 2018/841 Europskog parlamenta i Vijeća od 30. svibnja 2018. o uključivanju emisija i uklanjanja stakleničkih plinova iz korištenja zemljišta, prenamjene zemljišta i šumarstva u okvir za klimatsku i energetsku politiku do 2030. te o izmjeni Uredbe (EU) br. 525/2013 i Odluke br. 529/2013/EU (SL L 156, 19.6.2018., str. 1.).</w:t>
      </w:r>
    </w:p>
  </w:footnote>
  <w:footnote w:id="27">
    <w:p w14:paraId="52D0C44E" w14:textId="77777777" w:rsidR="00C25B9E" w:rsidRDefault="00C25B9E">
      <w:pPr>
        <w:pStyle w:val="FootnoteText"/>
      </w:pPr>
      <w:r>
        <w:rPr>
          <w:rStyle w:val="FootnoteReference"/>
        </w:rPr>
        <w:footnoteRef/>
      </w:r>
      <w:r>
        <w:tab/>
        <w:t>Direktiva 2003/87/EZ Europskog parlamenta i Vijeća od 13. listopada 2003. o uspostavi sustava trgovanja emisijskim jedinicama stakleničkih plinova unutar Zajednice i o izmjeni Direktive Vijeća 96/61/EZ (SL L 275, 25.10.2003., str. 32.).</w:t>
      </w:r>
    </w:p>
  </w:footnote>
  <w:footnote w:id="28">
    <w:p w14:paraId="2E07D195" w14:textId="77777777" w:rsidR="00C25B9E" w:rsidRDefault="00C25B9E">
      <w:pPr>
        <w:pStyle w:val="FootnoteText"/>
      </w:pPr>
      <w:r>
        <w:rPr>
          <w:rStyle w:val="FootnoteReference"/>
        </w:rPr>
        <w:footnoteRef/>
      </w:r>
      <w:r>
        <w:tab/>
        <w:t>Direktiva 2009/31/EZ Europskog parlamenta i Vijeća od 23. travnja 2009. o geološkom skladištenju ugljikova dioksida i o izmjeni Direktive Vijeća 85/337/EEZ, Direktiva Europskog parlamenta i Vijeća 2000/60/EZ, 2001/80/EZ, 2004/35/EZ, 2006/12/EZ, 2008/1/EZ i Uredbe (EZ) br. 1013/2006 (SL L 140, 5.6.2009., str. 114.).</w:t>
      </w:r>
    </w:p>
  </w:footnote>
  <w:footnote w:id="29">
    <w:p w14:paraId="7D001485" w14:textId="77777777" w:rsidR="00C25B9E" w:rsidRDefault="00C25B9E">
      <w:pPr>
        <w:pStyle w:val="FootnoteText"/>
      </w:pPr>
      <w:r>
        <w:rPr>
          <w:rStyle w:val="FootnoteReference"/>
        </w:rPr>
        <w:footnoteRef/>
      </w:r>
      <w:r>
        <w:tab/>
        <w:t>Delegirana uredba Komisije (EU) 2021/2139 od 4. lipnja 2021. o dopuni Uredbe (EU) 2020/852 Europskog parlamenta i Vijeća utvrđivanjem kriterija tehničke provjere na temelju kojih se određuje pod kojim se uvjetima smatra da ekonomska djelatnost znatno doprinosi ublažavanju klimatskih promjena ili prilagodbi klimatskim promjenama i nanosi li ta ekonomska djelatnost bitnu štetu kojem drugom okolišnom cilju (SL L 442, 9.12.2021., str. 1.).</w:t>
      </w:r>
    </w:p>
  </w:footnote>
  <w:footnote w:id="30">
    <w:p w14:paraId="072038E4" w14:textId="77777777" w:rsidR="00C25B9E" w:rsidRDefault="00C25B9E">
      <w:pPr>
        <w:pStyle w:val="FootnoteText"/>
      </w:pPr>
      <w:r>
        <w:rPr>
          <w:rStyle w:val="FootnoteReference"/>
        </w:rPr>
        <w:footnoteRef/>
      </w:r>
      <w:r>
        <w:tab/>
        <w:t>Direktiva (EU) 2018/2001 Europskog parlamenta i Vijeća od 11. prosinca 2018. o promicanju uporabe energije iz obnovljivih izvora (SL L 328, 21.12.2018., str. 82.).</w:t>
      </w:r>
    </w:p>
  </w:footnote>
  <w:footnote w:id="31">
    <w:p w14:paraId="7A333EFE" w14:textId="77777777" w:rsidR="00C25B9E" w:rsidRPr="00CE633B" w:rsidRDefault="00C25B9E">
      <w:pPr>
        <w:pStyle w:val="FootnoteText"/>
      </w:pPr>
      <w:r>
        <w:rPr>
          <w:rStyle w:val="FootnoteReference"/>
        </w:rPr>
        <w:footnoteRef/>
      </w:r>
      <w:r>
        <w:tab/>
        <w:t>Komunikacija Komisije, Održivi ciklusi ugljika, COM(2021) 800.</w:t>
      </w:r>
    </w:p>
  </w:footnote>
  <w:footnote w:id="32">
    <w:p w14:paraId="1B049102" w14:textId="77777777" w:rsidR="00C25B9E" w:rsidRDefault="00C25B9E">
      <w:pPr>
        <w:pStyle w:val="FootnoteText"/>
      </w:pPr>
      <w:r>
        <w:rPr>
          <w:rStyle w:val="FootnoteReference"/>
        </w:rPr>
        <w:footnoteRef/>
      </w:r>
      <w:r>
        <w:tab/>
        <w:t>Uredba (EU) 2018/841 Europskog parlamenta i Vijeća od 30. svibnja 2018. o uključivanju emisija i uklanjanja stakleničkih plinova iz korištenja zemljišta, prenamjene zemljišta i šumarstva u okvir za klimatsku i energetsku politiku do 2030. te o izmjeni Uredbe (EU) br. 525/2013 i Odluke br. 529/2013/EU (SL L 156, 19.6.2018., str. 1.).</w:t>
      </w:r>
    </w:p>
  </w:footnote>
  <w:footnote w:id="33">
    <w:p w14:paraId="193BC196" w14:textId="77777777" w:rsidR="00C25B9E" w:rsidRDefault="00C25B9E">
      <w:pPr>
        <w:pStyle w:val="FootnoteText"/>
      </w:pPr>
      <w:r>
        <w:rPr>
          <w:rStyle w:val="FootnoteReference"/>
        </w:rPr>
        <w:footnoteRef/>
      </w:r>
      <w:r>
        <w:tab/>
        <w:t>Uredba (EZ) br. 765/2008 Europskog parlamenta i Vijeća od 9. srpnja 2008. o utvrđivanju zahtjeva za akreditaciju i za nadzor tržišta u odnosu na stavljanje proizvoda na tržište i o stavljanju izvan snage Uredbe (EEZ) br. 339/93 (SL L 218, 13.8.2008., str. 30.).</w:t>
      </w:r>
    </w:p>
  </w:footnote>
  <w:footnote w:id="34">
    <w:p w14:paraId="247E5263" w14:textId="77777777" w:rsidR="00C25B9E" w:rsidRPr="00F16D64" w:rsidRDefault="00C25B9E" w:rsidP="00970063">
      <w:pPr>
        <w:pStyle w:val="FootnoteText"/>
      </w:pPr>
      <w:r>
        <w:rPr>
          <w:rStyle w:val="FootnoteReference"/>
        </w:rPr>
        <w:footnoteRef/>
      </w:r>
      <w:r>
        <w:tab/>
        <w:t xml:space="preserve">Odluka Vijeća 2005/370/EZ od 17. veljače 2005. o zaključivanju, u ime Europske zajednice, Konvencije o pristupu informacijama, sudjelovanju javnosti u odlučivanju i pristupu pravosuđu u pitanjima okoliša (SL L 124, 17.5.2005., str. 1.).  </w:t>
      </w:r>
    </w:p>
  </w:footnote>
  <w:footnote w:id="35">
    <w:p w14:paraId="1D2B70F7" w14:textId="77777777" w:rsidR="00C25B9E" w:rsidRDefault="00C25B9E">
      <w:pPr>
        <w:pStyle w:val="FootnoteText"/>
      </w:pPr>
      <w:r>
        <w:rPr>
          <w:rStyle w:val="FootnoteReference"/>
        </w:rPr>
        <w:footnoteRef/>
      </w:r>
      <w:r>
        <w:tab/>
        <w:t>SL L 123, 12.5.2016., str. 1.</w:t>
      </w:r>
    </w:p>
  </w:footnote>
  <w:footnote w:id="36">
    <w:p w14:paraId="269974C5" w14:textId="77777777" w:rsidR="00C25B9E" w:rsidRDefault="00C25B9E">
      <w:pPr>
        <w:pStyle w:val="FootnoteText"/>
      </w:pPr>
      <w:r>
        <w:rPr>
          <w:rStyle w:val="FootnoteReference"/>
        </w:rPr>
        <w:footnoteRef/>
      </w:r>
      <w:r>
        <w:tab/>
        <w:t>Uredba (EU) br. 182/2011 Europskog parlamenta i Vijeća od 16. veljače 2011. o utvrđivanju pravila i općih načela u vezi s mehanizmima nadzora država članica nad izvršavanjem provedbenih ovlasti Komisije (SL L 55, 28.2.2011., str. 13.).</w:t>
      </w:r>
    </w:p>
  </w:footnote>
  <w:footnote w:id="37">
    <w:p w14:paraId="68217684" w14:textId="77777777" w:rsidR="00C25B9E" w:rsidRDefault="00C25B9E">
      <w:pPr>
        <w:pStyle w:val="FootnoteText"/>
      </w:pPr>
      <w:r>
        <w:rPr>
          <w:rStyle w:val="FootnoteReference"/>
        </w:rPr>
        <w:footnoteRef/>
      </w:r>
      <w:r>
        <w:tab/>
        <w:t>Uredba (EU) 2018/1999 Europskog parlamenta i Vijeća od 11. prosinca 2018. o upravljanju energetskom unijom i djelovanjem u području klime, izmjeni uredaba (EZ) br. 663/2009 i (EZ) br. 715/2009 Europskog parlamenta i Vijeća, direktiva 94/22/EZ, 98/70/EZ, 2009/31/EZ, 2009/73/EZ, 2010/31/EU, 2012/27/EU i 2013/30/EU Europskog parlamenta i Vijeća, direktiva Vijeća 2009/119/EZ i (EU) 2015/652 te stavljanju izvan snage Uredbe (EU) br. 525/2013 Europskog parlamenta i Vijeća (SL L 328, 21.12.2018., str. 1.).</w:t>
      </w:r>
    </w:p>
  </w:footnote>
  <w:footnote w:id="38">
    <w:p w14:paraId="66CC94B2" w14:textId="77777777" w:rsidR="00C25B9E" w:rsidRDefault="00C25B9E">
      <w:pPr>
        <w:pStyle w:val="FootnoteText"/>
      </w:pPr>
      <w:r>
        <w:rPr>
          <w:rStyle w:val="FootnoteReference"/>
        </w:rPr>
        <w:footnoteRef/>
      </w:r>
      <w:r>
        <w:tab/>
        <w:t>Uredba (EZ) br. 765/2008 Europskog parlamenta i Vijeća od 9. srpnja 2008. o utvrđivanju zahtjeva za akreditaciju i za nadzor tržišta u odnosu na stavljanje proizvoda na tržište i o stavljanju izvan snage Uredbe (EEZ) br. 339/93 (SL L 218, 13.8.2008., str. 30.).</w:t>
      </w:r>
    </w:p>
  </w:footnote>
  <w:footnote w:id="39">
    <w:p w14:paraId="51715C56" w14:textId="77777777" w:rsidR="00C25B9E" w:rsidRDefault="00C25B9E" w:rsidP="000944F2">
      <w:pPr>
        <w:pStyle w:val="FootnoteText"/>
        <w:rPr>
          <w:szCs w:val="24"/>
        </w:rPr>
      </w:pPr>
      <w:r>
        <w:rPr>
          <w:rStyle w:val="FootnoteReference"/>
        </w:rPr>
        <w:footnoteRef/>
      </w:r>
      <w:r>
        <w:tab/>
        <w:t>Kako je navedeno u članku 58. stavku 2. točkama (a) ili (b) Financijske uredbe.</w:t>
      </w:r>
    </w:p>
  </w:footnote>
  <w:footnote w:id="40">
    <w:p w14:paraId="04F029C2" w14:textId="77777777" w:rsidR="00C25B9E" w:rsidRPr="00D65E83" w:rsidRDefault="00C25B9E" w:rsidP="000944F2">
      <w:pPr>
        <w:pStyle w:val="FootnoteText"/>
      </w:pPr>
      <w:r>
        <w:rPr>
          <w:rStyle w:val="FootnoteReference"/>
        </w:rPr>
        <w:footnoteRef/>
      </w:r>
      <w:r>
        <w:tab/>
        <w:t xml:space="preserve">Inovacijski fond, </w:t>
      </w:r>
      <w:hyperlink r:id="rId1" w:history="1">
        <w:r>
          <w:rPr>
            <w:rStyle w:val="Hyperlink"/>
          </w:rPr>
          <w:t>https://climate.ec.europa.eu/eu-action/funding-climate-action/innovation-fund_en</w:t>
        </w:r>
      </w:hyperlink>
      <w:r>
        <w:t xml:space="preserve"> </w:t>
      </w:r>
    </w:p>
  </w:footnote>
  <w:footnote w:id="41">
    <w:p w14:paraId="0C7EBB24" w14:textId="77777777" w:rsidR="00C25B9E" w:rsidRPr="004D7A7E" w:rsidRDefault="00C25B9E" w:rsidP="000944F2">
      <w:pPr>
        <w:pStyle w:val="FootnoteText"/>
      </w:pPr>
      <w:r>
        <w:rPr>
          <w:rStyle w:val="FootnoteReference"/>
        </w:rPr>
        <w:footnoteRef/>
      </w:r>
      <w:r>
        <w:tab/>
        <w:t xml:space="preserve">Prilog C Pozivu na podnošenje prijedloga: Metodologija za izračun izbjegavanja emisija stakleničkih plinova, </w:t>
      </w:r>
      <w:hyperlink r:id="rId2" w:history="1">
        <w:r>
          <w:rPr>
            <w:rStyle w:val="Hyperlink"/>
          </w:rPr>
          <w:t>https://ec.europa.eu/info/funding-tenders/opportunities/docs/2021-2027/innovfund/wp-call/call-annex_c_innovfund-lsc-2020-two-stage_en.pdf</w:t>
        </w:r>
      </w:hyperlink>
      <w:r>
        <w:t xml:space="preserve"> </w:t>
      </w:r>
    </w:p>
  </w:footnote>
  <w:footnote w:id="42">
    <w:p w14:paraId="74DE0860" w14:textId="77777777" w:rsidR="00C25B9E" w:rsidRPr="00E348BE" w:rsidRDefault="00C25B9E" w:rsidP="000944F2">
      <w:pPr>
        <w:pStyle w:val="FootnoteText"/>
      </w:pPr>
      <w:r>
        <w:rPr>
          <w:rStyle w:val="FootnoteReference"/>
        </w:rPr>
        <w:footnoteRef/>
      </w:r>
      <w:r>
        <w:tab/>
        <w:t xml:space="preserve">Provedbena uredba Komisije (EU) 2018/2066,  </w:t>
      </w:r>
    </w:p>
    <w:p w14:paraId="04F442D7" w14:textId="77777777" w:rsidR="00C25B9E" w:rsidRPr="00E348BE" w:rsidRDefault="003237DA" w:rsidP="000944F2">
      <w:pPr>
        <w:pStyle w:val="FootnoteText"/>
        <w:ind w:hanging="12"/>
      </w:pPr>
      <w:hyperlink r:id="rId3" w:history="1">
        <w:r w:rsidR="00C25B9E">
          <w:rPr>
            <w:rStyle w:val="Hyperlink"/>
          </w:rPr>
          <w:t>https://eur-lex.europa.eu/eli/reg_impl/2018/2066/oj?locale=hr#</w:t>
        </w:r>
      </w:hyperlink>
      <w:r w:rsidR="00C25B9E">
        <w:t xml:space="preserve"> </w:t>
      </w:r>
    </w:p>
  </w:footnote>
  <w:footnote w:id="43">
    <w:p w14:paraId="29B4DE3D" w14:textId="77777777" w:rsidR="00C25B9E" w:rsidRDefault="00C25B9E" w:rsidP="000944F2">
      <w:pPr>
        <w:pStyle w:val="FootnoteText"/>
        <w:jc w:val="left"/>
        <w:rPr>
          <w:szCs w:val="24"/>
        </w:rPr>
      </w:pPr>
      <w:r>
        <w:rPr>
          <w:rStyle w:val="FootnoteReference"/>
        </w:rPr>
        <w:footnoteRef/>
      </w:r>
      <w:r>
        <w:tab/>
        <w:t xml:space="preserve">Informacije o načinima upravljanja i upućivanja na Financijsku uredbu dostupni su na internetskim stranicama BudgWeb: </w:t>
      </w:r>
      <w:hyperlink r:id="rId4" w:history="1">
        <w:r>
          <w:rPr>
            <w:rStyle w:val="Hyperlink"/>
          </w:rPr>
          <w:t>https://myintracomm.ec.europa.eu/budgweb/EN/man/budgmanag/Pages/budgmanag.aspx</w:t>
        </w:r>
      </w:hyperlink>
      <w:r>
        <w:t xml:space="preserve"> </w:t>
      </w:r>
    </w:p>
  </w:footnote>
  <w:footnote w:id="44">
    <w:p w14:paraId="1ABEA37A" w14:textId="77777777" w:rsidR="00C25B9E" w:rsidRDefault="00C25B9E" w:rsidP="000944F2">
      <w:pPr>
        <w:pStyle w:val="FootnoteText"/>
        <w:rPr>
          <w:szCs w:val="24"/>
        </w:rPr>
      </w:pPr>
      <w:r>
        <w:rPr>
          <w:rStyle w:val="FootnoteReference"/>
        </w:rPr>
        <w:footnoteRef/>
      </w:r>
      <w:r>
        <w:tab/>
        <w:t>Dif. = diferencirana odobrena sredstva; nedif. = nediferencirana odobrena sredstva.</w:t>
      </w:r>
    </w:p>
  </w:footnote>
  <w:footnote w:id="45">
    <w:p w14:paraId="1E924694" w14:textId="77777777" w:rsidR="00C25B9E" w:rsidRDefault="00C25B9E" w:rsidP="000944F2">
      <w:pPr>
        <w:pStyle w:val="FootnoteText"/>
        <w:rPr>
          <w:szCs w:val="24"/>
        </w:rPr>
      </w:pPr>
      <w:r>
        <w:rPr>
          <w:rStyle w:val="FootnoteReference"/>
        </w:rPr>
        <w:footnoteRef/>
      </w:r>
      <w:r>
        <w:tab/>
        <w:t xml:space="preserve">EFTA: Europsko udruženje slobodne trgovine. </w:t>
      </w:r>
    </w:p>
  </w:footnote>
  <w:footnote w:id="46">
    <w:p w14:paraId="6CAA6BA3" w14:textId="77777777" w:rsidR="00C25B9E" w:rsidRDefault="00C25B9E" w:rsidP="000944F2">
      <w:pPr>
        <w:pStyle w:val="FootnoteText"/>
        <w:rPr>
          <w:szCs w:val="24"/>
        </w:rPr>
      </w:pPr>
      <w:r>
        <w:rPr>
          <w:rStyle w:val="FootnoteReference"/>
        </w:rPr>
        <w:footnoteRef/>
      </w:r>
      <w:r>
        <w:tab/>
        <w:t>Zemlje kandidatkinje i, ako je primjenjivo, potencijalni kandidati sa zapadnog Balkana.</w:t>
      </w:r>
    </w:p>
  </w:footnote>
  <w:footnote w:id="47">
    <w:p w14:paraId="60F03E2E" w14:textId="77777777" w:rsidR="00C25B9E" w:rsidRDefault="00C25B9E" w:rsidP="000944F2">
      <w:pPr>
        <w:pStyle w:val="FootnoteText"/>
        <w:rPr>
          <w:szCs w:val="24"/>
        </w:rPr>
      </w:pPr>
      <w:r>
        <w:rPr>
          <w:rStyle w:val="FootnoteReference"/>
        </w:rPr>
        <w:footnoteRef/>
      </w:r>
      <w:r>
        <w:tab/>
        <w:t>Tehnička i/ili administrativna pomoć i rashodi za potporu provedbi programa i/ili djelovanja EU-a (prijašnje linije „BA”), neizravno istraživanje, izravno istraživanje.</w:t>
      </w:r>
    </w:p>
  </w:footnote>
  <w:footnote w:id="48">
    <w:p w14:paraId="7B8E4F30" w14:textId="77777777" w:rsidR="00C25B9E" w:rsidRDefault="00C25B9E" w:rsidP="000944F2">
      <w:pPr>
        <w:pStyle w:val="FootnoteText"/>
        <w:rPr>
          <w:szCs w:val="24"/>
        </w:rPr>
      </w:pPr>
      <w:r>
        <w:rPr>
          <w:rStyle w:val="FootnoteReference"/>
        </w:rPr>
        <w:footnoteRef/>
      </w:r>
      <w:r>
        <w:tab/>
        <w:t>Rezultati se odnose na proizvode i usluge koji se isporučuju (npr.: broj financiranih studentskih razmjena, kilometri izgrađenih prometnica itd.).</w:t>
      </w:r>
    </w:p>
  </w:footnote>
  <w:footnote w:id="49">
    <w:p w14:paraId="1D80D488" w14:textId="77777777" w:rsidR="00C25B9E" w:rsidRDefault="00C25B9E" w:rsidP="000944F2">
      <w:pPr>
        <w:pStyle w:val="FootnoteText"/>
        <w:rPr>
          <w:szCs w:val="24"/>
        </w:rPr>
      </w:pPr>
      <w:r>
        <w:rPr>
          <w:rStyle w:val="FootnoteReference"/>
        </w:rPr>
        <w:footnoteRef/>
      </w:r>
      <w:r>
        <w:tab/>
        <w:t xml:space="preserve">Kako je opisan u odjeljku 1.4.2. „Posebni ciljevi…”. </w:t>
      </w:r>
    </w:p>
  </w:footnote>
  <w:footnote w:id="50">
    <w:p w14:paraId="7266350D" w14:textId="77777777" w:rsidR="00C25B9E" w:rsidRDefault="00C25B9E" w:rsidP="000944F2">
      <w:pPr>
        <w:pStyle w:val="FootnoteText"/>
        <w:rPr>
          <w:szCs w:val="24"/>
        </w:rPr>
      </w:pPr>
      <w:r>
        <w:rPr>
          <w:rStyle w:val="FootnoteReference"/>
        </w:rPr>
        <w:footnoteRef/>
      </w:r>
      <w:r>
        <w:tab/>
        <w:t>Tehnička i/ili administrativna pomoć i rashodi za potporu provedbi programa i/ili djelovanja EU-a (prijašnje linije „BA”), neizravno istraživanje, izravno istraživanje.</w:t>
      </w:r>
    </w:p>
  </w:footnote>
  <w:footnote w:id="51">
    <w:p w14:paraId="560E3725" w14:textId="77777777" w:rsidR="00C25B9E" w:rsidRDefault="00C25B9E" w:rsidP="000944F2">
      <w:pPr>
        <w:pStyle w:val="FootnoteText"/>
        <w:rPr>
          <w:szCs w:val="24"/>
        </w:rPr>
      </w:pPr>
      <w:r>
        <w:rPr>
          <w:rStyle w:val="FootnoteReference"/>
        </w:rPr>
        <w:footnoteRef/>
      </w:r>
      <w:r>
        <w:tab/>
        <w:t xml:space="preserve">UO = ugovorno osoblje; LO = lokalno osoblje; UNS = upućeni nacionalni stručnjaci; UsO = ustupljeno osoblje; MSD = mladi stručnjaci u delegacijama. </w:t>
      </w:r>
    </w:p>
  </w:footnote>
  <w:footnote w:id="52">
    <w:p w14:paraId="7A66775B" w14:textId="77777777" w:rsidR="00C25B9E" w:rsidRDefault="00C25B9E" w:rsidP="000944F2">
      <w:pPr>
        <w:pStyle w:val="FootnoteText"/>
        <w:rPr>
          <w:szCs w:val="24"/>
        </w:rPr>
      </w:pPr>
      <w:r>
        <w:rPr>
          <w:rStyle w:val="FootnoteReference"/>
        </w:rPr>
        <w:footnoteRef/>
      </w:r>
      <w:r>
        <w:tab/>
        <w:t>U okviru gornje granice za vanjsko osoblje iz odobrenih sredstava za poslovanje (prijašnje linije „BA”).</w:t>
      </w:r>
    </w:p>
  </w:footnote>
  <w:footnote w:id="53">
    <w:p w14:paraId="47FDD3FF" w14:textId="77777777" w:rsidR="00C25B9E" w:rsidRDefault="00C25B9E" w:rsidP="000944F2">
      <w:pPr>
        <w:pStyle w:val="FootnoteText"/>
      </w:pPr>
      <w:r>
        <w:rPr>
          <w:rStyle w:val="FootnoteReference"/>
        </w:rPr>
        <w:footnoteRef/>
      </w:r>
      <w:r>
        <w:tab/>
        <w:t>Godina N je godina početka provedbe prijedloga/inicijative. Umjesto „N” upisati predviđenu prvu godinu provedbe (na primjer: 2021.). Isto vrijedi i za ostale godine.</w:t>
      </w:r>
    </w:p>
  </w:footnote>
  <w:footnote w:id="54">
    <w:p w14:paraId="6FBAB3E0" w14:textId="77777777" w:rsidR="00C25B9E" w:rsidRDefault="00C25B9E" w:rsidP="000944F2">
      <w:pPr>
        <w:pStyle w:val="FootnoteText"/>
        <w:rPr>
          <w:szCs w:val="24"/>
        </w:rPr>
      </w:pPr>
      <w:r>
        <w:rPr>
          <w:rStyle w:val="FootnoteReference"/>
        </w:rPr>
        <w:footnoteRef/>
      </w:r>
      <w:r>
        <w:tab/>
        <w:t>Kad je riječ o tradicionalnim vlastitim sredstvima (carine, pristojbe na šećer), navedeni iznosi moraju biti neto iznosi, to jest bruto iznosi nakon odbitka od 20 % na ime troškova naplate.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0AABD5" w14:textId="77777777" w:rsidR="00176A4E" w:rsidRPr="00176A4E" w:rsidRDefault="00176A4E" w:rsidP="00176A4E">
    <w:pPr>
      <w:pStyle w:val="HeaderLandscap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9CA9C9" w14:textId="77777777" w:rsidR="00176A4E" w:rsidRPr="00176A4E" w:rsidRDefault="00176A4E" w:rsidP="00176A4E">
    <w:pPr>
      <w:pStyle w:val="HeaderLandscap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3DD8DD" w14:textId="77777777" w:rsidR="00C25B9E" w:rsidRPr="006365E5" w:rsidRDefault="00C25B9E" w:rsidP="00176A4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C8B93A" w14:textId="77777777" w:rsidR="00176A4E" w:rsidRPr="00176A4E" w:rsidRDefault="00176A4E" w:rsidP="00176A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3500AA5C"/>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9C7A6B6C"/>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44C008D0"/>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DE5C23C8"/>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9B90925E"/>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5D98F0BC"/>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318298FA"/>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4C6076FA"/>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062C6A95"/>
    <w:multiLevelType w:val="singleLevel"/>
    <w:tmpl w:val="02BAFA82"/>
    <w:name w:val="List Bullet 1"/>
    <w:lvl w:ilvl="0">
      <w:start w:val="1"/>
      <w:numFmt w:val="bullet"/>
      <w:pStyle w:val="ListBullet1"/>
      <w:lvlText w:val=""/>
      <w:lvlJc w:val="left"/>
      <w:pPr>
        <w:tabs>
          <w:tab w:val="num" w:pos="1134"/>
        </w:tabs>
        <w:ind w:left="1134" w:hanging="283"/>
      </w:pPr>
      <w:rPr>
        <w:rFonts w:ascii="Symbol" w:hAnsi="Symbol" w:hint="default"/>
      </w:rPr>
    </w:lvl>
  </w:abstractNum>
  <w:abstractNum w:abstractNumId="9"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10"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2"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3" w15:restartNumberingAfterBreak="0">
    <w:nsid w:val="2D820C1F"/>
    <w:multiLevelType w:val="singleLevel"/>
    <w:tmpl w:val="7896AADE"/>
    <w:name w:val="List Dash"/>
    <w:lvl w:ilvl="0">
      <w:start w:val="1"/>
      <w:numFmt w:val="bullet"/>
      <w:pStyle w:val="ListDash"/>
      <w:lvlText w:val="–"/>
      <w:lvlJc w:val="left"/>
      <w:pPr>
        <w:tabs>
          <w:tab w:val="num" w:pos="283"/>
        </w:tabs>
        <w:ind w:left="283" w:hanging="283"/>
      </w:pPr>
      <w:rPr>
        <w:rFonts w:ascii="Times New Roman" w:hAnsi="Times New Roman"/>
      </w:rPr>
    </w:lvl>
  </w:abstractNum>
  <w:abstractNum w:abstractNumId="14"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5"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6"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7"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8"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9"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0"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1"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2"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4"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6"/>
  </w:num>
  <w:num w:numId="6">
    <w:abstractNumId w:val="2"/>
  </w:num>
  <w:num w:numId="7">
    <w:abstractNumId w:val="1"/>
  </w:num>
  <w:num w:numId="8">
    <w:abstractNumId w:val="0"/>
  </w:num>
  <w:num w:numId="9">
    <w:abstractNumId w:val="8"/>
  </w:num>
  <w:num w:numId="10">
    <w:abstractNumId w:val="13"/>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1"/>
  </w:num>
  <w:num w:numId="13">
    <w:abstractNumId w:val="14"/>
  </w:num>
  <w:num w:numId="14">
    <w:abstractNumId w:val="23"/>
  </w:num>
  <w:num w:numId="15">
    <w:abstractNumId w:val="12"/>
  </w:num>
  <w:num w:numId="16">
    <w:abstractNumId w:val="15"/>
  </w:num>
  <w:num w:numId="17">
    <w:abstractNumId w:val="16"/>
  </w:num>
  <w:num w:numId="18">
    <w:abstractNumId w:val="10"/>
  </w:num>
  <w:num w:numId="19">
    <w:abstractNumId w:val="22"/>
  </w:num>
  <w:num w:numId="20">
    <w:abstractNumId w:val="9"/>
  </w:num>
  <w:num w:numId="21">
    <w:abstractNumId w:val="17"/>
  </w:num>
  <w:num w:numId="22">
    <w:abstractNumId w:val="19"/>
  </w:num>
  <w:num w:numId="23">
    <w:abstractNumId w:val="20"/>
  </w:num>
  <w:num w:numId="24">
    <w:abstractNumId w:val="11"/>
  </w:num>
  <w:num w:numId="25">
    <w:abstractNumId w:val="18"/>
  </w:num>
  <w:num w:numId="26">
    <w:abstractNumId w:val="24"/>
  </w:num>
  <w:num w:numId="27">
    <w:abstractNumId w:val="21"/>
  </w:num>
  <w:num w:numId="28">
    <w:abstractNumId w:val="14"/>
  </w:num>
  <w:num w:numId="29">
    <w:abstractNumId w:val="23"/>
  </w:num>
  <w:num w:numId="30">
    <w:abstractNumId w:val="12"/>
  </w:num>
  <w:num w:numId="31">
    <w:abstractNumId w:val="15"/>
  </w:num>
  <w:num w:numId="32">
    <w:abstractNumId w:val="16"/>
  </w:num>
  <w:num w:numId="33">
    <w:abstractNumId w:val="10"/>
  </w:num>
  <w:num w:numId="34">
    <w:abstractNumId w:val="22"/>
  </w:num>
  <w:num w:numId="35">
    <w:abstractNumId w:val="9"/>
  </w:num>
  <w:num w:numId="36">
    <w:abstractNumId w:val="17"/>
  </w:num>
  <w:num w:numId="37">
    <w:abstractNumId w:val="19"/>
  </w:num>
  <w:num w:numId="38">
    <w:abstractNumId w:val="20"/>
  </w:num>
  <w:num w:numId="39">
    <w:abstractNumId w:val="11"/>
  </w:num>
  <w:num w:numId="40">
    <w:abstractNumId w:val="18"/>
  </w:num>
  <w:num w:numId="41">
    <w:abstractNumId w:val="2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ctiveWritingStyle w:appName="MSWord" w:lang="pt-PT" w:vendorID="64" w:dllVersion="6" w:nlCheck="1" w:checkStyle="0"/>
  <w:activeWritingStyle w:appName="MSWord" w:lang="en-GB" w:vendorID="64" w:dllVersion="6" w:nlCheck="1" w:checkStyle="1"/>
  <w:activeWritingStyle w:appName="MSWord" w:lang="en-GB" w:vendorID="64" w:dllVersion="0" w:nlCheck="1" w:checkStyle="0"/>
  <w:activeWritingStyle w:appName="MSWord" w:lang="en-IE" w:vendorID="64" w:dllVersion="6" w:nlCheck="1" w:checkStyle="1"/>
  <w:activeWritingStyle w:appName="MSWord" w:lang="pt-PT" w:vendorID="64" w:dllVersion="0" w:nlCheck="1" w:checkStyle="0"/>
  <w:activeWritingStyle w:appName="MSWord" w:lang="en-US" w:vendorID="64" w:dllVersion="6" w:nlCheck="1" w:checkStyle="1"/>
  <w:activeWritingStyle w:appName="MSWord" w:lang="fr-BE" w:vendorID="64" w:dllVersion="6" w:nlCheck="1" w:checkStyle="0"/>
  <w:activeWritingStyle w:appName="MSWord" w:lang="en-IE" w:vendorID="64" w:dllVersion="0" w:nlCheck="1" w:checkStyle="0"/>
  <w:activeWritingStyle w:appName="MSWord" w:lang="en-US" w:vendorID="64" w:dllVersion="0" w:nlCheck="1" w:checkStyle="0"/>
  <w:activeWritingStyle w:appName="MSWord" w:lang="fr-BE" w:vendorID="64" w:dllVersion="0" w:nlCheck="1" w:checkStyle="0"/>
  <w:activeWritingStyle w:appName="MSWord" w:lang="en-GB" w:vendorID="64" w:dllVersion="131078" w:nlCheck="1" w:checkStyle="1"/>
  <w:activeWritingStyle w:appName="MSWord" w:lang="fr-BE" w:vendorID="64" w:dllVersion="131078" w:nlCheck="1" w:checkStyle="0"/>
  <w:attachedTemplate r:id="rId1"/>
  <w:revisionView w:markup="0"/>
  <w:defaultTabStop w:val="720"/>
  <w:hyphenationZone w:val="425"/>
  <w:characterSpacingControl w:val="doNotCompress"/>
  <w:hdrShapeDefaults>
    <o:shapedefaults v:ext="edit" spidmax="7577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QCDateTime" w:val="2023-01-25 19:29:21"/>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AKN_IMPORT" w:val="20221020"/>
    <w:docVar w:name="LW_CORRIGENDUM" w:val="&lt;UNUSED&gt;"/>
    <w:docVar w:name="LW_COVERPAGE_EXISTS" w:val="True"/>
    <w:docVar w:name="LW_COVERPAGE_GUID" w:val="89EF03B2-D6D9-4FC4-B505-67FA181C4B2E"/>
    <w:docVar w:name="LW_COVERPAGE_TYPE" w:val="1"/>
    <w:docVar w:name="LW_CROSSREFERENCE" w:val="{SEC(2022) 423 final} - {SWD(2022) 377 final} - {SWD(2022) 378 final}"/>
    <w:docVar w:name="LW_DocType" w:val="COM"/>
    <w:docVar w:name="LW_EMISSION" w:val="30.11.2022."/>
    <w:docVar w:name="LW_EMISSION_ISODATE" w:val="2022-11-30"/>
    <w:docVar w:name="LW_EMISSION_LOCATION" w:val="BRX"/>
    <w:docVar w:name="LW_EMISSION_PREFIX" w:val="Bruxelles, "/>
    <w:docVar w:name="LW_EMISSION_SUFFIX" w:val="&lt;EMPTY&gt;"/>
    <w:docVar w:name="LW_ID_DOCSIGNATURE" w:val="SJ-023"/>
    <w:docVar w:name="LW_ID_DOCSTRUCTURE" w:val="COM/PL/ORG"/>
    <w:docVar w:name="LW_ID_DOCTYPE" w:val="SJ-023"/>
    <w:docVar w:name="LW_ID_STATUT" w:val="SJ-023"/>
    <w:docVar w:name="LW_INTERETEEE.CP" w:val="&lt;UNUSED&gt;"/>
    <w:docVar w:name="LW_LANGUE" w:val="HR"/>
    <w:docVar w:name="LW_LEVEL_OF_SENSITIVITY" w:val="Standard treatment"/>
    <w:docVar w:name="LW_NOM.INST" w:val="EUROPSKA KOMISIJA"/>
    <w:docVar w:name="LW_NOM.INST_JOINTDOC" w:val="&lt;EMPTY&gt;"/>
    <w:docVar w:name="LW_PART_NBR" w:val="1"/>
    <w:docVar w:name="LW_PART_NBR_TOTAL" w:val="1"/>
    <w:docVar w:name="LW_REF.II.NEW.CP" w:val="COD"/>
    <w:docVar w:name="LW_REF.II.NEW.CP_NUMBER" w:val="0394"/>
    <w:docVar w:name="LW_REF.II.NEW.CP_YEAR" w:val="2022"/>
    <w:docVar w:name="LW_REF.INST.NEW" w:val="COM"/>
    <w:docVar w:name="LW_REF.INST.NEW_ADOPTED" w:val="final"/>
    <w:docVar w:name="LW_REF.INST.NEW_TEXT" w:val="(2022) 672"/>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Prijedlog"/>
    <w:docVar w:name="LW_SUPERTITRE" w:val="&lt;UNUSED&gt;"/>
    <w:docVar w:name="LW_TITRE.OBJ.CP" w:val="o uspostavljanju okvira Unije za certifikaciju uklanjanja ugljika"/>
    <w:docVar w:name="LW_TYPE.DOC.CP" w:val="UREDBE EUROPSKOG PARLAMENTA I VIJEĆA"/>
    <w:docVar w:name="LwApiVersions" w:val="LW4CoDe 1.23.2.0; LW 8.0, Build 20211117"/>
  </w:docVars>
  <w:rsids>
    <w:rsidRoot w:val="0029533F"/>
    <w:rsid w:val="00027188"/>
    <w:rsid w:val="000371BA"/>
    <w:rsid w:val="000411AD"/>
    <w:rsid w:val="00056B83"/>
    <w:rsid w:val="00065F29"/>
    <w:rsid w:val="0006743C"/>
    <w:rsid w:val="000944F2"/>
    <w:rsid w:val="00096CC5"/>
    <w:rsid w:val="000A307E"/>
    <w:rsid w:val="000A3B75"/>
    <w:rsid w:val="000A68BF"/>
    <w:rsid w:val="000B017E"/>
    <w:rsid w:val="000B1180"/>
    <w:rsid w:val="000B6CD6"/>
    <w:rsid w:val="000C3190"/>
    <w:rsid w:val="000D1F98"/>
    <w:rsid w:val="000E47B1"/>
    <w:rsid w:val="000E4EF2"/>
    <w:rsid w:val="000E60AD"/>
    <w:rsid w:val="0010571C"/>
    <w:rsid w:val="001065F5"/>
    <w:rsid w:val="00106A2C"/>
    <w:rsid w:val="001078B3"/>
    <w:rsid w:val="00111411"/>
    <w:rsid w:val="001238EF"/>
    <w:rsid w:val="001432C6"/>
    <w:rsid w:val="001456B6"/>
    <w:rsid w:val="0015156A"/>
    <w:rsid w:val="00153447"/>
    <w:rsid w:val="00156E1B"/>
    <w:rsid w:val="00164A1E"/>
    <w:rsid w:val="001750C1"/>
    <w:rsid w:val="00176A4E"/>
    <w:rsid w:val="001812DC"/>
    <w:rsid w:val="001862AD"/>
    <w:rsid w:val="00187F14"/>
    <w:rsid w:val="00191FF2"/>
    <w:rsid w:val="00192642"/>
    <w:rsid w:val="001949DE"/>
    <w:rsid w:val="00197613"/>
    <w:rsid w:val="001A6A17"/>
    <w:rsid w:val="001B75C8"/>
    <w:rsid w:val="001C6141"/>
    <w:rsid w:val="001D23EA"/>
    <w:rsid w:val="001E6C4E"/>
    <w:rsid w:val="001F62C4"/>
    <w:rsid w:val="00205ACD"/>
    <w:rsid w:val="00214308"/>
    <w:rsid w:val="00227BDE"/>
    <w:rsid w:val="00233DC7"/>
    <w:rsid w:val="00240785"/>
    <w:rsid w:val="00243DFC"/>
    <w:rsid w:val="00244B93"/>
    <w:rsid w:val="00247779"/>
    <w:rsid w:val="00252038"/>
    <w:rsid w:val="00270B0B"/>
    <w:rsid w:val="0027708B"/>
    <w:rsid w:val="00280736"/>
    <w:rsid w:val="00285BEE"/>
    <w:rsid w:val="0028747D"/>
    <w:rsid w:val="0029533F"/>
    <w:rsid w:val="00295D13"/>
    <w:rsid w:val="002B1E2F"/>
    <w:rsid w:val="002B30AF"/>
    <w:rsid w:val="002B5824"/>
    <w:rsid w:val="002D00E8"/>
    <w:rsid w:val="002F37E2"/>
    <w:rsid w:val="002F4050"/>
    <w:rsid w:val="003037D4"/>
    <w:rsid w:val="003178D2"/>
    <w:rsid w:val="003218BD"/>
    <w:rsid w:val="00325424"/>
    <w:rsid w:val="00331668"/>
    <w:rsid w:val="00331F0F"/>
    <w:rsid w:val="003322A5"/>
    <w:rsid w:val="003328F7"/>
    <w:rsid w:val="0033344A"/>
    <w:rsid w:val="003345BD"/>
    <w:rsid w:val="00334C1E"/>
    <w:rsid w:val="003474F9"/>
    <w:rsid w:val="0036559F"/>
    <w:rsid w:val="0038311B"/>
    <w:rsid w:val="00386210"/>
    <w:rsid w:val="003950CF"/>
    <w:rsid w:val="00397622"/>
    <w:rsid w:val="003A1E32"/>
    <w:rsid w:val="003A4962"/>
    <w:rsid w:val="003B0E88"/>
    <w:rsid w:val="003B73D6"/>
    <w:rsid w:val="003C266A"/>
    <w:rsid w:val="003C57E6"/>
    <w:rsid w:val="003C623A"/>
    <w:rsid w:val="003E1035"/>
    <w:rsid w:val="00420FCE"/>
    <w:rsid w:val="0042648E"/>
    <w:rsid w:val="0043255A"/>
    <w:rsid w:val="004342DB"/>
    <w:rsid w:val="00444BF9"/>
    <w:rsid w:val="0044688A"/>
    <w:rsid w:val="00472E06"/>
    <w:rsid w:val="004801F6"/>
    <w:rsid w:val="0049010F"/>
    <w:rsid w:val="00490C93"/>
    <w:rsid w:val="0049159F"/>
    <w:rsid w:val="004936D2"/>
    <w:rsid w:val="004A0E1B"/>
    <w:rsid w:val="004B65B3"/>
    <w:rsid w:val="004D2DA3"/>
    <w:rsid w:val="004D5528"/>
    <w:rsid w:val="004E23B4"/>
    <w:rsid w:val="004F01E2"/>
    <w:rsid w:val="004F667B"/>
    <w:rsid w:val="0050003A"/>
    <w:rsid w:val="005030AB"/>
    <w:rsid w:val="00507774"/>
    <w:rsid w:val="0051097A"/>
    <w:rsid w:val="00517DBA"/>
    <w:rsid w:val="00523B5E"/>
    <w:rsid w:val="005442D5"/>
    <w:rsid w:val="00545370"/>
    <w:rsid w:val="00546892"/>
    <w:rsid w:val="005519A6"/>
    <w:rsid w:val="005523E4"/>
    <w:rsid w:val="00593EDF"/>
    <w:rsid w:val="0059744A"/>
    <w:rsid w:val="005A4EEE"/>
    <w:rsid w:val="005B0456"/>
    <w:rsid w:val="005B1EB6"/>
    <w:rsid w:val="005D63A0"/>
    <w:rsid w:val="005D79F4"/>
    <w:rsid w:val="005E67D6"/>
    <w:rsid w:val="006023C2"/>
    <w:rsid w:val="00605C76"/>
    <w:rsid w:val="00606A0B"/>
    <w:rsid w:val="006126BE"/>
    <w:rsid w:val="00634BA2"/>
    <w:rsid w:val="006365E5"/>
    <w:rsid w:val="00640070"/>
    <w:rsid w:val="00640346"/>
    <w:rsid w:val="00645FDE"/>
    <w:rsid w:val="00657CF7"/>
    <w:rsid w:val="00666AB3"/>
    <w:rsid w:val="006742B4"/>
    <w:rsid w:val="006834ED"/>
    <w:rsid w:val="006910F7"/>
    <w:rsid w:val="00692C1F"/>
    <w:rsid w:val="0069712A"/>
    <w:rsid w:val="006A07E6"/>
    <w:rsid w:val="006D2342"/>
    <w:rsid w:val="006E1AC2"/>
    <w:rsid w:val="006E50A1"/>
    <w:rsid w:val="006E5A0A"/>
    <w:rsid w:val="006F0EE1"/>
    <w:rsid w:val="006F4786"/>
    <w:rsid w:val="006F4CE5"/>
    <w:rsid w:val="006F5869"/>
    <w:rsid w:val="006F7070"/>
    <w:rsid w:val="00763C67"/>
    <w:rsid w:val="00767ABA"/>
    <w:rsid w:val="00773331"/>
    <w:rsid w:val="007932EF"/>
    <w:rsid w:val="007A11E1"/>
    <w:rsid w:val="007A44C4"/>
    <w:rsid w:val="007A4BEC"/>
    <w:rsid w:val="007A6A78"/>
    <w:rsid w:val="007A7DDE"/>
    <w:rsid w:val="007B79C3"/>
    <w:rsid w:val="007B7C35"/>
    <w:rsid w:val="007C1E23"/>
    <w:rsid w:val="007C2EA1"/>
    <w:rsid w:val="007D7CAE"/>
    <w:rsid w:val="007E05B0"/>
    <w:rsid w:val="007E3937"/>
    <w:rsid w:val="007E54CF"/>
    <w:rsid w:val="008027B3"/>
    <w:rsid w:val="0082178D"/>
    <w:rsid w:val="0082218A"/>
    <w:rsid w:val="00825D54"/>
    <w:rsid w:val="008260C9"/>
    <w:rsid w:val="00841B89"/>
    <w:rsid w:val="00846A20"/>
    <w:rsid w:val="008477F1"/>
    <w:rsid w:val="00852531"/>
    <w:rsid w:val="00874D22"/>
    <w:rsid w:val="00884963"/>
    <w:rsid w:val="008850D1"/>
    <w:rsid w:val="00885C8F"/>
    <w:rsid w:val="008864EC"/>
    <w:rsid w:val="0089343B"/>
    <w:rsid w:val="008A2914"/>
    <w:rsid w:val="008A2AC5"/>
    <w:rsid w:val="008A364A"/>
    <w:rsid w:val="008B3BD5"/>
    <w:rsid w:val="008B61B4"/>
    <w:rsid w:val="008B6F17"/>
    <w:rsid w:val="008C0BE6"/>
    <w:rsid w:val="008E4D8E"/>
    <w:rsid w:val="008F322E"/>
    <w:rsid w:val="008F66CE"/>
    <w:rsid w:val="008F6730"/>
    <w:rsid w:val="0091490B"/>
    <w:rsid w:val="009200C1"/>
    <w:rsid w:val="0092612D"/>
    <w:rsid w:val="00932AC1"/>
    <w:rsid w:val="009332F7"/>
    <w:rsid w:val="009417C3"/>
    <w:rsid w:val="009504B0"/>
    <w:rsid w:val="00957327"/>
    <w:rsid w:val="0096440A"/>
    <w:rsid w:val="00970063"/>
    <w:rsid w:val="009A61FA"/>
    <w:rsid w:val="009A7151"/>
    <w:rsid w:val="009B40BF"/>
    <w:rsid w:val="009C37EC"/>
    <w:rsid w:val="009C4679"/>
    <w:rsid w:val="009C50B8"/>
    <w:rsid w:val="009D5F25"/>
    <w:rsid w:val="009E1848"/>
    <w:rsid w:val="009F3C6D"/>
    <w:rsid w:val="009F5C55"/>
    <w:rsid w:val="009F6BF4"/>
    <w:rsid w:val="00A014D8"/>
    <w:rsid w:val="00A04692"/>
    <w:rsid w:val="00A10E3F"/>
    <w:rsid w:val="00A3606D"/>
    <w:rsid w:val="00A3651E"/>
    <w:rsid w:val="00A37024"/>
    <w:rsid w:val="00A37E58"/>
    <w:rsid w:val="00A4248A"/>
    <w:rsid w:val="00A43B87"/>
    <w:rsid w:val="00A54A19"/>
    <w:rsid w:val="00A6076C"/>
    <w:rsid w:val="00A70CF8"/>
    <w:rsid w:val="00A7495C"/>
    <w:rsid w:val="00A7521E"/>
    <w:rsid w:val="00A77F9E"/>
    <w:rsid w:val="00A923F8"/>
    <w:rsid w:val="00AA15FA"/>
    <w:rsid w:val="00AB6381"/>
    <w:rsid w:val="00AC438C"/>
    <w:rsid w:val="00AD118D"/>
    <w:rsid w:val="00AE6D91"/>
    <w:rsid w:val="00AF21C9"/>
    <w:rsid w:val="00AF25A5"/>
    <w:rsid w:val="00AF4957"/>
    <w:rsid w:val="00B12B46"/>
    <w:rsid w:val="00B14131"/>
    <w:rsid w:val="00B17DE4"/>
    <w:rsid w:val="00B23532"/>
    <w:rsid w:val="00B253C5"/>
    <w:rsid w:val="00B46601"/>
    <w:rsid w:val="00B52356"/>
    <w:rsid w:val="00B5536F"/>
    <w:rsid w:val="00B61097"/>
    <w:rsid w:val="00B6713C"/>
    <w:rsid w:val="00B768C1"/>
    <w:rsid w:val="00B90EAD"/>
    <w:rsid w:val="00B937ED"/>
    <w:rsid w:val="00B93EFD"/>
    <w:rsid w:val="00BA0439"/>
    <w:rsid w:val="00BB02A9"/>
    <w:rsid w:val="00BC51F8"/>
    <w:rsid w:val="00BE04F7"/>
    <w:rsid w:val="00BE258C"/>
    <w:rsid w:val="00BF378D"/>
    <w:rsid w:val="00BF3A00"/>
    <w:rsid w:val="00BF6AEE"/>
    <w:rsid w:val="00BF7286"/>
    <w:rsid w:val="00C03A42"/>
    <w:rsid w:val="00C052D1"/>
    <w:rsid w:val="00C05A1F"/>
    <w:rsid w:val="00C11374"/>
    <w:rsid w:val="00C12301"/>
    <w:rsid w:val="00C224EF"/>
    <w:rsid w:val="00C25B9E"/>
    <w:rsid w:val="00C33731"/>
    <w:rsid w:val="00C40854"/>
    <w:rsid w:val="00C47430"/>
    <w:rsid w:val="00C51CA6"/>
    <w:rsid w:val="00C56601"/>
    <w:rsid w:val="00C67C1A"/>
    <w:rsid w:val="00C736AA"/>
    <w:rsid w:val="00C914D3"/>
    <w:rsid w:val="00C96287"/>
    <w:rsid w:val="00CB65C2"/>
    <w:rsid w:val="00CB7125"/>
    <w:rsid w:val="00CD2331"/>
    <w:rsid w:val="00CD57EB"/>
    <w:rsid w:val="00CD7689"/>
    <w:rsid w:val="00CE633B"/>
    <w:rsid w:val="00CF217B"/>
    <w:rsid w:val="00D05A6B"/>
    <w:rsid w:val="00D07B31"/>
    <w:rsid w:val="00D20381"/>
    <w:rsid w:val="00D23B5F"/>
    <w:rsid w:val="00D52EA7"/>
    <w:rsid w:val="00D61437"/>
    <w:rsid w:val="00D856C4"/>
    <w:rsid w:val="00DA74AC"/>
    <w:rsid w:val="00DB3C65"/>
    <w:rsid w:val="00DB4032"/>
    <w:rsid w:val="00DC03E6"/>
    <w:rsid w:val="00DC5EF5"/>
    <w:rsid w:val="00DC69A3"/>
    <w:rsid w:val="00DC777C"/>
    <w:rsid w:val="00DD4F81"/>
    <w:rsid w:val="00DD6EE8"/>
    <w:rsid w:val="00DE299A"/>
    <w:rsid w:val="00DF2B6E"/>
    <w:rsid w:val="00E02ABF"/>
    <w:rsid w:val="00E04369"/>
    <w:rsid w:val="00E06DBA"/>
    <w:rsid w:val="00E22E11"/>
    <w:rsid w:val="00E27EAA"/>
    <w:rsid w:val="00E35584"/>
    <w:rsid w:val="00E36132"/>
    <w:rsid w:val="00E42FF2"/>
    <w:rsid w:val="00E710EE"/>
    <w:rsid w:val="00E75959"/>
    <w:rsid w:val="00E821E9"/>
    <w:rsid w:val="00EA121D"/>
    <w:rsid w:val="00EA3205"/>
    <w:rsid w:val="00EB570D"/>
    <w:rsid w:val="00EB711C"/>
    <w:rsid w:val="00EC73CC"/>
    <w:rsid w:val="00ED4871"/>
    <w:rsid w:val="00EF0E11"/>
    <w:rsid w:val="00F10591"/>
    <w:rsid w:val="00F1460A"/>
    <w:rsid w:val="00F224BE"/>
    <w:rsid w:val="00F2337E"/>
    <w:rsid w:val="00F250ED"/>
    <w:rsid w:val="00F327F6"/>
    <w:rsid w:val="00F35475"/>
    <w:rsid w:val="00F409F0"/>
    <w:rsid w:val="00F41A56"/>
    <w:rsid w:val="00F52586"/>
    <w:rsid w:val="00F605DF"/>
    <w:rsid w:val="00F92B74"/>
    <w:rsid w:val="00F92E9F"/>
    <w:rsid w:val="00F967FA"/>
    <w:rsid w:val="00FA3C79"/>
    <w:rsid w:val="00FA7490"/>
    <w:rsid w:val="00FA7C52"/>
    <w:rsid w:val="00FC1278"/>
    <w:rsid w:val="00FC38F8"/>
    <w:rsid w:val="00FC76E6"/>
    <w:rsid w:val="00FD2503"/>
    <w:rsid w:val="00FE083B"/>
    <w:rsid w:val="00FE1ECA"/>
    <w:rsid w:val="00FE25B2"/>
    <w:rsid w:val="00FE2C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14:docId w14:val="0E4D94DA"/>
  <w15:docId w15:val="{E9C6BE0E-058B-40A7-9F6B-DC4C6876A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hr-HR"/>
    </w:rPr>
  </w:style>
  <w:style w:type="paragraph" w:styleId="Heading1">
    <w:name w:val="heading 1"/>
    <w:basedOn w:val="Normal"/>
    <w:next w:val="Text1"/>
    <w:link w:val="Heading1Char"/>
    <w:uiPriority w:val="9"/>
    <w:qFormat/>
    <w:pPr>
      <w:keepNext/>
      <w:numPr>
        <w:numId w:val="34"/>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4"/>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4"/>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4"/>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34"/>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34"/>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34"/>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mmentQuotedText">
    <w:name w:val="CommentQuotedText"/>
    <w:pPr>
      <w:pBdr>
        <w:left w:val="single" w:sz="18" w:space="5" w:color="0070C0"/>
      </w:pBdr>
    </w:pPr>
    <w:rPr>
      <w:i/>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hAnsi="Times New Roman" w:cs="Times New Roman"/>
      <w:sz w:val="20"/>
      <w:szCs w:val="20"/>
      <w:lang w:val="hr-HR"/>
    </w:rPr>
  </w:style>
  <w:style w:type="character" w:styleId="CommentReference">
    <w:name w:val="annotation reference"/>
    <w:basedOn w:val="DefaultParagraphFont"/>
    <w:uiPriority w:val="99"/>
    <w:unhideWhenUsed/>
    <w:rPr>
      <w:sz w:val="16"/>
      <w:szCs w:val="16"/>
    </w:rPr>
  </w:style>
  <w:style w:type="paragraph" w:styleId="ListBullet">
    <w:name w:val="List Bullet"/>
    <w:basedOn w:val="Normal"/>
    <w:unhideWhenUsed/>
    <w:rsid w:val="00386210"/>
    <w:pPr>
      <w:numPr>
        <w:numId w:val="1"/>
      </w:numPr>
      <w:contextualSpacing/>
    </w:pPr>
  </w:style>
  <w:style w:type="paragraph" w:styleId="ListBullet2">
    <w:name w:val="List Bullet 2"/>
    <w:basedOn w:val="Normal"/>
    <w:unhideWhenUsed/>
    <w:rsid w:val="00386210"/>
    <w:pPr>
      <w:numPr>
        <w:numId w:val="2"/>
      </w:numPr>
      <w:contextualSpacing/>
    </w:pPr>
  </w:style>
  <w:style w:type="paragraph" w:styleId="ListBullet3">
    <w:name w:val="List Bullet 3"/>
    <w:basedOn w:val="Normal"/>
    <w:unhideWhenUsed/>
    <w:rsid w:val="00386210"/>
    <w:pPr>
      <w:numPr>
        <w:numId w:val="3"/>
      </w:numPr>
      <w:contextualSpacing/>
    </w:pPr>
  </w:style>
  <w:style w:type="paragraph" w:styleId="ListBullet4">
    <w:name w:val="List Bullet 4"/>
    <w:basedOn w:val="Normal"/>
    <w:unhideWhenUsed/>
    <w:rsid w:val="00386210"/>
    <w:pPr>
      <w:numPr>
        <w:numId w:val="4"/>
      </w:numPr>
      <w:contextualSpacing/>
    </w:pPr>
  </w:style>
  <w:style w:type="paragraph" w:styleId="Caption">
    <w:name w:val="caption"/>
    <w:basedOn w:val="Normal"/>
    <w:next w:val="Normal"/>
    <w:unhideWhenUsed/>
    <w:qFormat/>
    <w:rsid w:val="00C914D3"/>
    <w:pPr>
      <w:spacing w:before="0" w:after="200"/>
    </w:pPr>
    <w:rPr>
      <w:i/>
      <w:iCs/>
      <w:color w:val="1F497D" w:themeColor="text2"/>
      <w:sz w:val="18"/>
      <w:szCs w:val="18"/>
    </w:rPr>
  </w:style>
  <w:style w:type="paragraph" w:styleId="TableofFigures">
    <w:name w:val="table of figures"/>
    <w:basedOn w:val="Normal"/>
    <w:next w:val="Normal"/>
    <w:unhideWhenUsed/>
    <w:rsid w:val="00C914D3"/>
    <w:pPr>
      <w:spacing w:after="0"/>
    </w:pPr>
  </w:style>
  <w:style w:type="paragraph" w:styleId="ListNumber">
    <w:name w:val="List Number"/>
    <w:basedOn w:val="Normal"/>
    <w:unhideWhenUsed/>
    <w:rsid w:val="00C914D3"/>
    <w:pPr>
      <w:numPr>
        <w:numId w:val="5"/>
      </w:numPr>
      <w:contextualSpacing/>
    </w:pPr>
  </w:style>
  <w:style w:type="paragraph" w:styleId="ListNumber2">
    <w:name w:val="List Number 2"/>
    <w:basedOn w:val="Normal"/>
    <w:unhideWhenUsed/>
    <w:rsid w:val="00C914D3"/>
    <w:pPr>
      <w:numPr>
        <w:numId w:val="6"/>
      </w:numPr>
      <w:contextualSpacing/>
    </w:pPr>
  </w:style>
  <w:style w:type="paragraph" w:styleId="ListNumber3">
    <w:name w:val="List Number 3"/>
    <w:basedOn w:val="Normal"/>
    <w:unhideWhenUsed/>
    <w:rsid w:val="00C914D3"/>
    <w:pPr>
      <w:numPr>
        <w:numId w:val="7"/>
      </w:numPr>
      <w:contextualSpacing/>
    </w:pPr>
  </w:style>
  <w:style w:type="paragraph" w:styleId="ListNumber4">
    <w:name w:val="List Number 4"/>
    <w:basedOn w:val="Normal"/>
    <w:unhideWhenUsed/>
    <w:rsid w:val="00C914D3"/>
    <w:pPr>
      <w:numPr>
        <w:numId w:val="8"/>
      </w:numPr>
      <w:contextualSpacing/>
    </w:pPr>
  </w:style>
  <w:style w:type="paragraph" w:styleId="CommentSubject">
    <w:name w:val="annotation subject"/>
    <w:basedOn w:val="CommentText"/>
    <w:next w:val="CommentText"/>
    <w:link w:val="CommentSubjectChar"/>
    <w:unhideWhenUsed/>
    <w:rsid w:val="009F3C6D"/>
    <w:rPr>
      <w:b/>
      <w:bCs/>
    </w:rPr>
  </w:style>
  <w:style w:type="character" w:customStyle="1" w:styleId="CommentSubjectChar">
    <w:name w:val="Comment Subject Char"/>
    <w:basedOn w:val="CommentTextChar"/>
    <w:link w:val="CommentSubject"/>
    <w:rsid w:val="009F3C6D"/>
    <w:rPr>
      <w:rFonts w:ascii="Times New Roman" w:hAnsi="Times New Roman" w:cs="Times New Roman"/>
      <w:b/>
      <w:bCs/>
      <w:sz w:val="20"/>
      <w:szCs w:val="20"/>
      <w:lang w:val="hr-HR"/>
    </w:rPr>
  </w:style>
  <w:style w:type="character" w:styleId="Hyperlink">
    <w:name w:val="Hyperlink"/>
    <w:basedOn w:val="DefaultParagraphFont"/>
    <w:uiPriority w:val="99"/>
    <w:unhideWhenUsed/>
    <w:rsid w:val="009F3C6D"/>
    <w:rPr>
      <w:color w:val="0000FF" w:themeColor="hyperlink"/>
      <w:u w:val="single"/>
    </w:rPr>
  </w:style>
  <w:style w:type="character" w:customStyle="1" w:styleId="UnresolvedMention1">
    <w:name w:val="Unresolved Mention1"/>
    <w:basedOn w:val="DefaultParagraphFont"/>
    <w:uiPriority w:val="99"/>
    <w:semiHidden/>
    <w:unhideWhenUsed/>
    <w:rsid w:val="009F3C6D"/>
    <w:rPr>
      <w:color w:val="605E5C"/>
      <w:shd w:val="clear" w:color="auto" w:fill="E1DFDD"/>
    </w:rPr>
  </w:style>
  <w:style w:type="character" w:customStyle="1" w:styleId="TOCHeadingChar">
    <w:name w:val="TOC Heading Char"/>
    <w:basedOn w:val="DefaultParagraphFont"/>
    <w:uiPriority w:val="39"/>
    <w:rsid w:val="00C33731"/>
    <w:rPr>
      <w:rFonts w:ascii="Times New Roman" w:hAnsi="Times New Roman" w:cs="Times New Roman"/>
      <w:b/>
      <w:sz w:val="28"/>
      <w:lang w:val="hr-HR"/>
    </w:rPr>
  </w:style>
  <w:style w:type="character" w:customStyle="1" w:styleId="markedcontent">
    <w:name w:val="markedcontent"/>
    <w:basedOn w:val="DefaultParagraphFont"/>
    <w:rsid w:val="006910F7"/>
  </w:style>
  <w:style w:type="paragraph" w:styleId="BalloonText">
    <w:name w:val="Balloon Text"/>
    <w:basedOn w:val="Normal"/>
    <w:link w:val="BalloonTextChar"/>
    <w:unhideWhenUsed/>
    <w:rsid w:val="006910F7"/>
    <w:pPr>
      <w:spacing w:before="0" w:after="0"/>
    </w:pPr>
    <w:rPr>
      <w:rFonts w:ascii="Segoe UI" w:hAnsi="Segoe UI" w:cs="Segoe UI"/>
      <w:sz w:val="18"/>
      <w:szCs w:val="18"/>
    </w:rPr>
  </w:style>
  <w:style w:type="character" w:customStyle="1" w:styleId="BalloonTextChar">
    <w:name w:val="Balloon Text Char"/>
    <w:basedOn w:val="DefaultParagraphFont"/>
    <w:link w:val="BalloonText"/>
    <w:rsid w:val="006910F7"/>
    <w:rPr>
      <w:rFonts w:ascii="Segoe UI" w:hAnsi="Segoe UI" w:cs="Segoe UI"/>
      <w:sz w:val="18"/>
      <w:szCs w:val="18"/>
      <w:lang w:val="hr-HR"/>
    </w:rPr>
  </w:style>
  <w:style w:type="paragraph" w:styleId="ListParagraph">
    <w:name w:val="List Paragraph"/>
    <w:basedOn w:val="Normal"/>
    <w:uiPriority w:val="34"/>
    <w:qFormat/>
    <w:rsid w:val="00545370"/>
    <w:pPr>
      <w:ind w:left="720"/>
      <w:contextualSpacing/>
    </w:pPr>
  </w:style>
  <w:style w:type="paragraph" w:customStyle="1" w:styleId="ListBullet1">
    <w:name w:val="List Bullet 1"/>
    <w:basedOn w:val="Normal"/>
    <w:rsid w:val="00C33731"/>
    <w:pPr>
      <w:numPr>
        <w:numId w:val="9"/>
      </w:numPr>
    </w:pPr>
    <w:rPr>
      <w:lang w:eastAsia="en-GB"/>
    </w:rPr>
  </w:style>
  <w:style w:type="paragraph" w:customStyle="1" w:styleId="ListDash">
    <w:name w:val="List Dash"/>
    <w:basedOn w:val="Normal"/>
    <w:rsid w:val="00C33731"/>
    <w:pPr>
      <w:numPr>
        <w:numId w:val="10"/>
      </w:numPr>
    </w:pPr>
    <w:rPr>
      <w:lang w:eastAsia="en-GB"/>
    </w:rPr>
  </w:style>
  <w:style w:type="paragraph" w:customStyle="1" w:styleId="ListDash1">
    <w:name w:val="List Dash 1"/>
    <w:basedOn w:val="Normal"/>
    <w:rsid w:val="00C33731"/>
    <w:rPr>
      <w:lang w:eastAsia="en-GB"/>
    </w:rPr>
  </w:style>
  <w:style w:type="paragraph" w:customStyle="1" w:styleId="ListDash2">
    <w:name w:val="List Dash 2"/>
    <w:basedOn w:val="Normal"/>
    <w:rsid w:val="00C33731"/>
    <w:rPr>
      <w:lang w:eastAsia="en-GB"/>
    </w:rPr>
  </w:style>
  <w:style w:type="paragraph" w:customStyle="1" w:styleId="ListNumberLevel2">
    <w:name w:val="List Number (Level 2)"/>
    <w:basedOn w:val="Normal"/>
    <w:rsid w:val="00C33731"/>
    <w:pPr>
      <w:tabs>
        <w:tab w:val="num" w:pos="1417"/>
      </w:tabs>
      <w:ind w:left="1417" w:hanging="708"/>
    </w:pPr>
    <w:rPr>
      <w:lang w:eastAsia="en-GB"/>
    </w:rPr>
  </w:style>
  <w:style w:type="paragraph" w:customStyle="1" w:styleId="ListNumberLevel3">
    <w:name w:val="List Number (Level 3)"/>
    <w:basedOn w:val="Normal"/>
    <w:rsid w:val="00C33731"/>
    <w:pPr>
      <w:tabs>
        <w:tab w:val="num" w:pos="2126"/>
      </w:tabs>
      <w:ind w:left="2126" w:hanging="709"/>
    </w:pPr>
    <w:rPr>
      <w:lang w:eastAsia="en-GB"/>
    </w:rPr>
  </w:style>
  <w:style w:type="paragraph" w:customStyle="1" w:styleId="ListNumberLevel4">
    <w:name w:val="List Number (Level 4)"/>
    <w:basedOn w:val="Normal"/>
    <w:rsid w:val="00C33731"/>
    <w:pPr>
      <w:tabs>
        <w:tab w:val="num" w:pos="2835"/>
      </w:tabs>
      <w:ind w:left="2835" w:hanging="709"/>
    </w:pPr>
    <w:rPr>
      <w:lang w:eastAsia="en-GB"/>
    </w:rPr>
  </w:style>
  <w:style w:type="paragraph" w:customStyle="1" w:styleId="Sous-titreobjet">
    <w:name w:val="Sous-titre objet"/>
    <w:basedOn w:val="Normal"/>
    <w:rsid w:val="00C33731"/>
    <w:pPr>
      <w:spacing w:before="0" w:after="0"/>
      <w:jc w:val="center"/>
    </w:pPr>
    <w:rPr>
      <w:b/>
      <w:lang w:eastAsia="en-GB"/>
    </w:rPr>
  </w:style>
  <w:style w:type="paragraph" w:customStyle="1" w:styleId="Sous-titreobjetPagedecouverture">
    <w:name w:val="Sous-titre objet (Page de couverture)"/>
    <w:basedOn w:val="Sous-titreobjet"/>
    <w:rsid w:val="00C33731"/>
  </w:style>
  <w:style w:type="character" w:styleId="FollowedHyperlink">
    <w:name w:val="FollowedHyperlink"/>
    <w:rsid w:val="00C33731"/>
    <w:rPr>
      <w:color w:val="800080"/>
      <w:u w:val="single"/>
    </w:rPr>
  </w:style>
  <w:style w:type="paragraph" w:customStyle="1" w:styleId="FooterCoverPage">
    <w:name w:val="Footer Cover Page"/>
    <w:basedOn w:val="Normal"/>
    <w:link w:val="FooterCoverPageChar"/>
    <w:rsid w:val="00C33731"/>
    <w:pPr>
      <w:tabs>
        <w:tab w:val="center" w:pos="4535"/>
        <w:tab w:val="right" w:pos="9071"/>
        <w:tab w:val="right" w:pos="9921"/>
      </w:tabs>
      <w:spacing w:before="360" w:after="0"/>
      <w:ind w:left="-850" w:right="-850"/>
      <w:jc w:val="left"/>
    </w:pPr>
  </w:style>
  <w:style w:type="character" w:customStyle="1" w:styleId="FooterCoverPageChar">
    <w:name w:val="Footer Cover Page Char"/>
    <w:basedOn w:val="TOCHeadingChar"/>
    <w:link w:val="FooterCoverPage"/>
    <w:rsid w:val="00C33731"/>
    <w:rPr>
      <w:rFonts w:ascii="Times New Roman" w:hAnsi="Times New Roman" w:cs="Times New Roman"/>
      <w:b w:val="0"/>
      <w:sz w:val="24"/>
      <w:lang w:val="hr-HR"/>
    </w:rPr>
  </w:style>
  <w:style w:type="paragraph" w:customStyle="1" w:styleId="HeaderCoverPage">
    <w:name w:val="Header Cover Page"/>
    <w:basedOn w:val="Normal"/>
    <w:link w:val="HeaderCoverPageChar"/>
    <w:rsid w:val="00C33731"/>
    <w:pPr>
      <w:tabs>
        <w:tab w:val="center" w:pos="4535"/>
        <w:tab w:val="right" w:pos="9071"/>
      </w:tabs>
      <w:spacing w:before="0"/>
    </w:pPr>
    <w:rPr>
      <w:lang w:eastAsia="en-GB"/>
    </w:rPr>
  </w:style>
  <w:style w:type="character" w:customStyle="1" w:styleId="HeaderCoverPageChar">
    <w:name w:val="Header Cover Page Char"/>
    <w:basedOn w:val="TOCHeadingChar"/>
    <w:link w:val="HeaderCoverPage"/>
    <w:rsid w:val="00C33731"/>
    <w:rPr>
      <w:rFonts w:ascii="Times New Roman" w:hAnsi="Times New Roman" w:cs="Times New Roman"/>
      <w:b w:val="0"/>
      <w:sz w:val="24"/>
      <w:lang w:val="hr-HR" w:eastAsia="en-GB"/>
    </w:rPr>
  </w:style>
  <w:style w:type="character" w:customStyle="1" w:styleId="A4">
    <w:name w:val="A4"/>
    <w:uiPriority w:val="99"/>
    <w:rsid w:val="00C33731"/>
    <w:rPr>
      <w:rFonts w:cs="Avenir Book"/>
      <w:color w:val="000000"/>
      <w:sz w:val="14"/>
      <w:szCs w:val="14"/>
    </w:rPr>
  </w:style>
  <w:style w:type="character" w:customStyle="1" w:styleId="Hyperlink1">
    <w:name w:val="Hyperlink.1"/>
    <w:basedOn w:val="DefaultParagraphFont"/>
    <w:rsid w:val="00C33731"/>
    <w:rPr>
      <w:rFonts w:ascii="Times New Roman" w:eastAsia="Times New Roman" w:hAnsi="Times New Roman" w:cs="Times New Roman"/>
      <w:lang w:val="hr-HR"/>
    </w:rPr>
  </w:style>
  <w:style w:type="paragraph" w:styleId="Revision">
    <w:name w:val="Revision"/>
    <w:hidden/>
    <w:uiPriority w:val="99"/>
    <w:semiHidden/>
    <w:rsid w:val="000944F2"/>
    <w:rPr>
      <w:sz w:val="24"/>
      <w:lang w:eastAsia="en-GB"/>
    </w:rPr>
  </w:style>
  <w:style w:type="paragraph" w:styleId="Header">
    <w:name w:val="header"/>
    <w:basedOn w:val="Normal"/>
    <w:link w:val="HeaderChar"/>
    <w:uiPriority w:val="99"/>
    <w:unhideWhenUsed/>
    <w:rsid w:val="00176A4E"/>
    <w:pPr>
      <w:tabs>
        <w:tab w:val="center" w:pos="4535"/>
        <w:tab w:val="right" w:pos="9071"/>
      </w:tabs>
      <w:spacing w:before="0"/>
    </w:pPr>
  </w:style>
  <w:style w:type="character" w:customStyle="1" w:styleId="HeaderChar">
    <w:name w:val="Header Char"/>
    <w:basedOn w:val="DefaultParagraphFont"/>
    <w:link w:val="Header"/>
    <w:uiPriority w:val="99"/>
    <w:rsid w:val="00176A4E"/>
    <w:rPr>
      <w:rFonts w:ascii="Times New Roman" w:hAnsi="Times New Roman" w:cs="Times New Roman"/>
      <w:sz w:val="24"/>
      <w:lang w:val="hr-HR"/>
    </w:rPr>
  </w:style>
  <w:style w:type="paragraph" w:styleId="Footer">
    <w:name w:val="footer"/>
    <w:basedOn w:val="Normal"/>
    <w:link w:val="FooterChar"/>
    <w:uiPriority w:val="99"/>
    <w:unhideWhenUsed/>
    <w:rsid w:val="00176A4E"/>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176A4E"/>
    <w:rPr>
      <w:rFonts w:ascii="Times New Roman" w:hAnsi="Times New Roman" w:cs="Times New Roman"/>
      <w:sz w:val="24"/>
      <w:lang w:val="hr-HR"/>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shd w:val="clear" w:color="auto" w:fill="auto"/>
      <w:lang w:val="en-GB"/>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shd w:val="clear" w:color="auto" w:fill="auto"/>
      <w:lang w:val="en-GB"/>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paragraph" w:customStyle="1" w:styleId="HeaderLandscape">
    <w:name w:val="HeaderLandscape"/>
    <w:basedOn w:val="Normal"/>
    <w:rsid w:val="00176A4E"/>
    <w:pPr>
      <w:tabs>
        <w:tab w:val="center" w:pos="7285"/>
        <w:tab w:val="right" w:pos="14003"/>
      </w:tabs>
      <w:spacing w:before="0"/>
    </w:pPr>
  </w:style>
  <w:style w:type="paragraph" w:customStyle="1" w:styleId="FooterLandscape">
    <w:name w:val="FooterLandscape"/>
    <w:basedOn w:val="Normal"/>
    <w:rsid w:val="00176A4E"/>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rsid w:val="00176A4E"/>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176A4E"/>
    <w:pPr>
      <w:spacing w:before="0"/>
      <w:jc w:val="right"/>
    </w:pPr>
    <w:rPr>
      <w:sz w:val="28"/>
    </w:rPr>
  </w:style>
  <w:style w:type="paragraph" w:customStyle="1" w:styleId="FooterSensitivity">
    <w:name w:val="Footer Sensitivity"/>
    <w:basedOn w:val="Normal"/>
    <w:rsid w:val="00176A4E"/>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27"/>
      </w:numPr>
    </w:pPr>
  </w:style>
  <w:style w:type="paragraph" w:customStyle="1" w:styleId="Tiret1">
    <w:name w:val="Tiret 1"/>
    <w:basedOn w:val="Point1"/>
    <w:pPr>
      <w:numPr>
        <w:numId w:val="28"/>
      </w:numPr>
    </w:pPr>
  </w:style>
  <w:style w:type="paragraph" w:customStyle="1" w:styleId="Tiret2">
    <w:name w:val="Tiret 2"/>
    <w:basedOn w:val="Point2"/>
    <w:pPr>
      <w:numPr>
        <w:numId w:val="29"/>
      </w:numPr>
    </w:pPr>
  </w:style>
  <w:style w:type="paragraph" w:customStyle="1" w:styleId="Tiret3">
    <w:name w:val="Tiret 3"/>
    <w:basedOn w:val="Point3"/>
    <w:pPr>
      <w:numPr>
        <w:numId w:val="30"/>
      </w:numPr>
    </w:pPr>
  </w:style>
  <w:style w:type="paragraph" w:customStyle="1" w:styleId="Tiret4">
    <w:name w:val="Tiret 4"/>
    <w:basedOn w:val="Point4"/>
    <w:pPr>
      <w:numPr>
        <w:numId w:val="31"/>
      </w:numPr>
    </w:pPr>
  </w:style>
  <w:style w:type="paragraph" w:customStyle="1" w:styleId="Tiret5">
    <w:name w:val="Tiret 5"/>
    <w:basedOn w:val="Point5"/>
    <w:pPr>
      <w:numPr>
        <w:numId w:val="32"/>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3"/>
      </w:numPr>
    </w:pPr>
  </w:style>
  <w:style w:type="paragraph" w:customStyle="1" w:styleId="NumPar2">
    <w:name w:val="NumPar 2"/>
    <w:basedOn w:val="Normal"/>
    <w:next w:val="Text1"/>
    <w:pPr>
      <w:numPr>
        <w:ilvl w:val="1"/>
        <w:numId w:val="33"/>
      </w:numPr>
    </w:pPr>
  </w:style>
  <w:style w:type="paragraph" w:customStyle="1" w:styleId="NumPar3">
    <w:name w:val="NumPar 3"/>
    <w:basedOn w:val="Normal"/>
    <w:next w:val="Text1"/>
    <w:pPr>
      <w:numPr>
        <w:ilvl w:val="2"/>
        <w:numId w:val="33"/>
      </w:numPr>
    </w:pPr>
  </w:style>
  <w:style w:type="paragraph" w:customStyle="1" w:styleId="NumPar4">
    <w:name w:val="NumPar 4"/>
    <w:basedOn w:val="Normal"/>
    <w:next w:val="Text1"/>
    <w:pPr>
      <w:numPr>
        <w:ilvl w:val="3"/>
        <w:numId w:val="33"/>
      </w:numPr>
    </w:pPr>
  </w:style>
  <w:style w:type="paragraph" w:customStyle="1" w:styleId="NumPar5">
    <w:name w:val="NumPar 5"/>
    <w:basedOn w:val="Normal"/>
    <w:next w:val="Text2"/>
    <w:pPr>
      <w:numPr>
        <w:ilvl w:val="4"/>
        <w:numId w:val="33"/>
      </w:numPr>
    </w:pPr>
  </w:style>
  <w:style w:type="paragraph" w:customStyle="1" w:styleId="NumPar6">
    <w:name w:val="NumPar 6"/>
    <w:basedOn w:val="Normal"/>
    <w:next w:val="Text2"/>
    <w:pPr>
      <w:numPr>
        <w:ilvl w:val="5"/>
        <w:numId w:val="33"/>
      </w:numPr>
    </w:pPr>
  </w:style>
  <w:style w:type="paragraph" w:customStyle="1" w:styleId="NumPar7">
    <w:name w:val="NumPar 7"/>
    <w:basedOn w:val="Normal"/>
    <w:next w:val="Text2"/>
    <w:pPr>
      <w:numPr>
        <w:ilvl w:val="6"/>
        <w:numId w:val="33"/>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sid w:val="000371BA"/>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5"/>
      </w:numPr>
    </w:pPr>
  </w:style>
  <w:style w:type="paragraph" w:customStyle="1" w:styleId="Point1number">
    <w:name w:val="Point 1 (number)"/>
    <w:basedOn w:val="Normal"/>
    <w:pPr>
      <w:numPr>
        <w:ilvl w:val="2"/>
        <w:numId w:val="35"/>
      </w:numPr>
    </w:pPr>
  </w:style>
  <w:style w:type="paragraph" w:customStyle="1" w:styleId="Point2number">
    <w:name w:val="Point 2 (number)"/>
    <w:basedOn w:val="Normal"/>
    <w:pPr>
      <w:numPr>
        <w:ilvl w:val="4"/>
        <w:numId w:val="35"/>
      </w:numPr>
    </w:pPr>
  </w:style>
  <w:style w:type="paragraph" w:customStyle="1" w:styleId="Point3number">
    <w:name w:val="Point 3 (number)"/>
    <w:basedOn w:val="Normal"/>
    <w:pPr>
      <w:numPr>
        <w:ilvl w:val="6"/>
        <w:numId w:val="35"/>
      </w:numPr>
    </w:pPr>
  </w:style>
  <w:style w:type="paragraph" w:customStyle="1" w:styleId="Point0letter">
    <w:name w:val="Point 0 (letter)"/>
    <w:basedOn w:val="Normal"/>
    <w:pPr>
      <w:numPr>
        <w:ilvl w:val="1"/>
        <w:numId w:val="35"/>
      </w:numPr>
    </w:pPr>
  </w:style>
  <w:style w:type="paragraph" w:customStyle="1" w:styleId="Point1letter">
    <w:name w:val="Point 1 (letter)"/>
    <w:basedOn w:val="Normal"/>
    <w:pPr>
      <w:numPr>
        <w:ilvl w:val="3"/>
        <w:numId w:val="35"/>
      </w:numPr>
    </w:pPr>
  </w:style>
  <w:style w:type="paragraph" w:customStyle="1" w:styleId="Point2letter">
    <w:name w:val="Point 2 (letter)"/>
    <w:basedOn w:val="Normal"/>
    <w:pPr>
      <w:numPr>
        <w:ilvl w:val="5"/>
        <w:numId w:val="35"/>
      </w:numPr>
    </w:pPr>
  </w:style>
  <w:style w:type="paragraph" w:customStyle="1" w:styleId="Point3letter">
    <w:name w:val="Point 3 (letter)"/>
    <w:basedOn w:val="Normal"/>
    <w:pPr>
      <w:numPr>
        <w:ilvl w:val="7"/>
        <w:numId w:val="35"/>
      </w:numPr>
    </w:pPr>
  </w:style>
  <w:style w:type="paragraph" w:customStyle="1" w:styleId="Point4letter">
    <w:name w:val="Point 4 (letter)"/>
    <w:basedOn w:val="Normal"/>
    <w:pPr>
      <w:numPr>
        <w:ilvl w:val="8"/>
        <w:numId w:val="35"/>
      </w:numPr>
    </w:pPr>
  </w:style>
  <w:style w:type="paragraph" w:customStyle="1" w:styleId="Bullet0">
    <w:name w:val="Bullet 0"/>
    <w:basedOn w:val="Normal"/>
    <w:pPr>
      <w:numPr>
        <w:numId w:val="36"/>
      </w:numPr>
    </w:pPr>
  </w:style>
  <w:style w:type="paragraph" w:customStyle="1" w:styleId="Bullet1">
    <w:name w:val="Bullet 1"/>
    <w:basedOn w:val="Normal"/>
    <w:pPr>
      <w:numPr>
        <w:numId w:val="37"/>
      </w:numPr>
    </w:pPr>
  </w:style>
  <w:style w:type="paragraph" w:customStyle="1" w:styleId="Bullet2">
    <w:name w:val="Bullet 2"/>
    <w:basedOn w:val="Normal"/>
    <w:pPr>
      <w:numPr>
        <w:numId w:val="38"/>
      </w:numPr>
    </w:pPr>
  </w:style>
  <w:style w:type="paragraph" w:customStyle="1" w:styleId="Bullet3">
    <w:name w:val="Bullet 3"/>
    <w:basedOn w:val="Normal"/>
    <w:pPr>
      <w:numPr>
        <w:numId w:val="39"/>
      </w:numPr>
    </w:pPr>
  </w:style>
  <w:style w:type="paragraph" w:customStyle="1" w:styleId="Bullet4">
    <w:name w:val="Bullet 4"/>
    <w:basedOn w:val="Normal"/>
    <w:pPr>
      <w:numPr>
        <w:numId w:val="40"/>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1"/>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8632697">
      <w:bodyDiv w:val="1"/>
      <w:marLeft w:val="0"/>
      <w:marRight w:val="0"/>
      <w:marTop w:val="0"/>
      <w:marBottom w:val="0"/>
      <w:divBdr>
        <w:top w:val="none" w:sz="0" w:space="0" w:color="auto"/>
        <w:left w:val="none" w:sz="0" w:space="0" w:color="auto"/>
        <w:bottom w:val="none" w:sz="0" w:space="0" w:color="auto"/>
        <w:right w:val="none" w:sz="0" w:space="0" w:color="auto"/>
      </w:divBdr>
    </w:div>
    <w:div w:id="485366653">
      <w:bodyDiv w:val="1"/>
      <w:marLeft w:val="0"/>
      <w:marRight w:val="0"/>
      <w:marTop w:val="0"/>
      <w:marBottom w:val="0"/>
      <w:divBdr>
        <w:top w:val="none" w:sz="0" w:space="0" w:color="auto"/>
        <w:left w:val="none" w:sz="0" w:space="0" w:color="auto"/>
        <w:bottom w:val="none" w:sz="0" w:space="0" w:color="auto"/>
        <w:right w:val="none" w:sz="0" w:space="0" w:color="auto"/>
      </w:divBdr>
    </w:div>
    <w:div w:id="534853875">
      <w:bodyDiv w:val="1"/>
      <w:marLeft w:val="0"/>
      <w:marRight w:val="0"/>
      <w:marTop w:val="0"/>
      <w:marBottom w:val="0"/>
      <w:divBdr>
        <w:top w:val="none" w:sz="0" w:space="0" w:color="auto"/>
        <w:left w:val="none" w:sz="0" w:space="0" w:color="auto"/>
        <w:bottom w:val="none" w:sz="0" w:space="0" w:color="auto"/>
        <w:right w:val="none" w:sz="0" w:space="0" w:color="auto"/>
      </w:divBdr>
    </w:div>
    <w:div w:id="552546582">
      <w:bodyDiv w:val="1"/>
      <w:marLeft w:val="0"/>
      <w:marRight w:val="0"/>
      <w:marTop w:val="0"/>
      <w:marBottom w:val="0"/>
      <w:divBdr>
        <w:top w:val="none" w:sz="0" w:space="0" w:color="auto"/>
        <w:left w:val="none" w:sz="0" w:space="0" w:color="auto"/>
        <w:bottom w:val="none" w:sz="0" w:space="0" w:color="auto"/>
        <w:right w:val="none" w:sz="0" w:space="0" w:color="auto"/>
      </w:divBdr>
      <w:divsChild>
        <w:div w:id="402411903">
          <w:marLeft w:val="0"/>
          <w:marRight w:val="0"/>
          <w:marTop w:val="0"/>
          <w:marBottom w:val="0"/>
          <w:divBdr>
            <w:top w:val="none" w:sz="0" w:space="0" w:color="auto"/>
            <w:left w:val="none" w:sz="0" w:space="0" w:color="auto"/>
            <w:bottom w:val="none" w:sz="0" w:space="0" w:color="auto"/>
            <w:right w:val="none" w:sz="0" w:space="0" w:color="auto"/>
          </w:divBdr>
          <w:divsChild>
            <w:div w:id="139966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294847">
      <w:bodyDiv w:val="1"/>
      <w:marLeft w:val="0"/>
      <w:marRight w:val="0"/>
      <w:marTop w:val="0"/>
      <w:marBottom w:val="0"/>
      <w:divBdr>
        <w:top w:val="none" w:sz="0" w:space="0" w:color="auto"/>
        <w:left w:val="none" w:sz="0" w:space="0" w:color="auto"/>
        <w:bottom w:val="none" w:sz="0" w:space="0" w:color="auto"/>
        <w:right w:val="none" w:sz="0" w:space="0" w:color="auto"/>
      </w:divBdr>
    </w:div>
    <w:div w:id="707069991">
      <w:bodyDiv w:val="1"/>
      <w:marLeft w:val="0"/>
      <w:marRight w:val="0"/>
      <w:marTop w:val="0"/>
      <w:marBottom w:val="0"/>
      <w:divBdr>
        <w:top w:val="none" w:sz="0" w:space="0" w:color="auto"/>
        <w:left w:val="none" w:sz="0" w:space="0" w:color="auto"/>
        <w:bottom w:val="none" w:sz="0" w:space="0" w:color="auto"/>
        <w:right w:val="none" w:sz="0" w:space="0" w:color="auto"/>
      </w:divBdr>
    </w:div>
    <w:div w:id="865215823">
      <w:bodyDiv w:val="1"/>
      <w:marLeft w:val="0"/>
      <w:marRight w:val="0"/>
      <w:marTop w:val="0"/>
      <w:marBottom w:val="0"/>
      <w:divBdr>
        <w:top w:val="none" w:sz="0" w:space="0" w:color="auto"/>
        <w:left w:val="none" w:sz="0" w:space="0" w:color="auto"/>
        <w:bottom w:val="none" w:sz="0" w:space="0" w:color="auto"/>
        <w:right w:val="none" w:sz="0" w:space="0" w:color="auto"/>
      </w:divBdr>
    </w:div>
    <w:div w:id="1146775542">
      <w:bodyDiv w:val="1"/>
      <w:marLeft w:val="0"/>
      <w:marRight w:val="0"/>
      <w:marTop w:val="0"/>
      <w:marBottom w:val="0"/>
      <w:divBdr>
        <w:top w:val="none" w:sz="0" w:space="0" w:color="auto"/>
        <w:left w:val="none" w:sz="0" w:space="0" w:color="auto"/>
        <w:bottom w:val="none" w:sz="0" w:space="0" w:color="auto"/>
        <w:right w:val="none" w:sz="0" w:space="0" w:color="auto"/>
      </w:divBdr>
    </w:div>
    <w:div w:id="1263758228">
      <w:bodyDiv w:val="1"/>
      <w:marLeft w:val="0"/>
      <w:marRight w:val="0"/>
      <w:marTop w:val="0"/>
      <w:marBottom w:val="0"/>
      <w:divBdr>
        <w:top w:val="none" w:sz="0" w:space="0" w:color="auto"/>
        <w:left w:val="none" w:sz="0" w:space="0" w:color="auto"/>
        <w:bottom w:val="none" w:sz="0" w:space="0" w:color="auto"/>
        <w:right w:val="none" w:sz="0" w:space="0" w:color="auto"/>
      </w:divBdr>
    </w:div>
    <w:div w:id="1823547818">
      <w:bodyDiv w:val="1"/>
      <w:marLeft w:val="0"/>
      <w:marRight w:val="0"/>
      <w:marTop w:val="0"/>
      <w:marBottom w:val="0"/>
      <w:divBdr>
        <w:top w:val="none" w:sz="0" w:space="0" w:color="auto"/>
        <w:left w:val="none" w:sz="0" w:space="0" w:color="auto"/>
        <w:bottom w:val="none" w:sz="0" w:space="0" w:color="auto"/>
        <w:right w:val="none" w:sz="0" w:space="0" w:color="auto"/>
      </w:divBdr>
      <w:divsChild>
        <w:div w:id="966815274">
          <w:marLeft w:val="0"/>
          <w:marRight w:val="0"/>
          <w:marTop w:val="0"/>
          <w:marBottom w:val="0"/>
          <w:divBdr>
            <w:top w:val="none" w:sz="0" w:space="0" w:color="auto"/>
            <w:left w:val="none" w:sz="0" w:space="0" w:color="auto"/>
            <w:bottom w:val="none" w:sz="0" w:space="0" w:color="auto"/>
            <w:right w:val="none" w:sz="0" w:space="0" w:color="auto"/>
          </w:divBdr>
          <w:divsChild>
            <w:div w:id="1015577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myintracomm.ec.europa.eu/corp/budget/financial-rules/legal-framework/internal-rules/Documents/2021-5-legislative-financial-statement-ann-en.docx" TargetMode="External"/><Relationship Id="rId23" Type="http://schemas.openxmlformats.org/officeDocument/2006/relationships/footer" Target="footer7.xml"/><Relationship Id="rId10" Type="http://schemas.openxmlformats.org/officeDocument/2006/relationships/endnotes" Target="end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header" Target="header4.xml"/></Relationships>
</file>

<file path=word/_rels/footnotes.xml.rels><?xml version="1.0" encoding="UTF-8" standalone="yes"?>
<Relationships xmlns="http://schemas.openxmlformats.org/package/2006/relationships"><Relationship Id="rId3" Type="http://schemas.openxmlformats.org/officeDocument/2006/relationships/hyperlink" Target="https://eur-lex.europa.eu/eli/reg_impl/2018/2066/oj?locale=hr%23" TargetMode="External"/><Relationship Id="rId2" Type="http://schemas.openxmlformats.org/officeDocument/2006/relationships/hyperlink" Target="https://ec.europa.eu/info/funding-tenders/opportunities/docs/2021-2027/innovfund/wp-call/call-annex_c_innovfund-lsc-2020-two-stage_en.pdf" TargetMode="External"/><Relationship Id="rId1" Type="http://schemas.openxmlformats.org/officeDocument/2006/relationships/hyperlink" Target="https://climate.ec.europa.eu/eu-action/funding-climate-action/innovation-fund_en" TargetMode="External"/><Relationship Id="rId4" Type="http://schemas.openxmlformats.org/officeDocument/2006/relationships/hyperlink" Target="https://myintracomm.ec.europa.eu/budgweb/EN/man/budgmanag/Pages/budgmanag.asp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29b9b01-a41b-4cdd-ba34-21bb9c415350">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TaxCatchAll xmlns="150bf796-665d-42d8-bec5-8541ade97521" xsi:nil="true"/>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1D7CDCA61137D46922835CA98C0641D" ma:contentTypeVersion="17" ma:contentTypeDescription="Create a new document." ma:contentTypeScope="" ma:versionID="e853f4fe33cb19db7260bc84e64b78c5">
  <xsd:schema xmlns:xsd="http://www.w3.org/2001/XMLSchema" xmlns:xs="http://www.w3.org/2001/XMLSchema" xmlns:p="http://schemas.microsoft.com/office/2006/metadata/properties" xmlns:ns1="http://schemas.microsoft.com/sharepoint/v3" xmlns:ns2="b29b9b01-a41b-4cdd-ba34-21bb9c415350" xmlns:ns3="150bf796-665d-42d8-bec5-8541ade97521" targetNamespace="http://schemas.microsoft.com/office/2006/metadata/properties" ma:root="true" ma:fieldsID="7365c982d4d4e3abd603e60c70a3f6d9" ns1:_="" ns2:_="" ns3:_="">
    <xsd:import namespace="http://schemas.microsoft.com/sharepoint/v3"/>
    <xsd:import namespace="b29b9b01-a41b-4cdd-ba34-21bb9c415350"/>
    <xsd:import namespace="150bf796-665d-42d8-bec5-8541ade9752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29b9b01-a41b-4cdd-ba34-21bb9c4153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50bf796-665d-42d8-bec5-8541ade9752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d38440e-5a9f-4b62-bae2-320b22c85e1b}" ma:internalName="TaxCatchAll" ma:showField="CatchAllData" ma:web="150bf796-665d-42d8-bec5-8541ade975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CE368F-CDBB-4B69-B033-F085352759C7}">
  <ds:schemaRefs>
    <ds:schemaRef ds:uri="http://schemas.microsoft.com/sharepoint/v3"/>
    <ds:schemaRef ds:uri="http://schemas.microsoft.com/office/2006/documentManagement/types"/>
    <ds:schemaRef ds:uri="b29b9b01-a41b-4cdd-ba34-21bb9c415350"/>
    <ds:schemaRef ds:uri="http://purl.org/dc/elements/1.1/"/>
    <ds:schemaRef ds:uri="http://purl.org/dc/dcmitype/"/>
    <ds:schemaRef ds:uri="http://schemas.microsoft.com/office/infopath/2007/PartnerControls"/>
    <ds:schemaRef ds:uri="http://schemas.microsoft.com/office/2006/metadata/properties"/>
    <ds:schemaRef ds:uri="http://schemas.openxmlformats.org/package/2006/metadata/core-properties"/>
    <ds:schemaRef ds:uri="150bf796-665d-42d8-bec5-8541ade97521"/>
    <ds:schemaRef ds:uri="http://www.w3.org/XML/1998/namespace"/>
    <ds:schemaRef ds:uri="http://purl.org/dc/terms/"/>
  </ds:schemaRefs>
</ds:datastoreItem>
</file>

<file path=customXml/itemProps2.xml><?xml version="1.0" encoding="utf-8"?>
<ds:datastoreItem xmlns:ds="http://schemas.openxmlformats.org/officeDocument/2006/customXml" ds:itemID="{07EDA0CE-A6D4-4951-A5A2-0621833D3967}">
  <ds:schemaRefs>
    <ds:schemaRef ds:uri="http://schemas.microsoft.com/sharepoint/v3/contenttype/forms"/>
  </ds:schemaRefs>
</ds:datastoreItem>
</file>

<file path=customXml/itemProps3.xml><?xml version="1.0" encoding="utf-8"?>
<ds:datastoreItem xmlns:ds="http://schemas.openxmlformats.org/officeDocument/2006/customXml" ds:itemID="{D3D7E9CD-43A1-4D3B-8B06-B1D007B171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29b9b01-a41b-4cdd-ba34-21bb9c415350"/>
    <ds:schemaRef ds:uri="150bf796-665d-42d8-bec5-8541ade975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1DC209C-57BE-468B-9815-DCC6AAA8A6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17</TotalTime>
  <Pages>48</Pages>
  <Words>15137</Words>
  <Characters>96124</Characters>
  <Application>Microsoft Office Word</Application>
  <DocSecurity>0</DocSecurity>
  <Lines>2344</Lines>
  <Paragraphs>911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110350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EC CoDe</cp:lastModifiedBy>
  <cp:revision>49</cp:revision>
  <dcterms:created xsi:type="dcterms:W3CDTF">2023-01-25T12:59:00Z</dcterms:created>
  <dcterms:modified xsi:type="dcterms:W3CDTF">2023-01-25T18:29:00Z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using">
    <vt:lpwstr>LW 8.1, Build 20221020</vt:lpwstr>
  </property>
  <property fmtid="{D5CDD505-2E9C-101B-9397-08002B2CF9AE}" pid="3" name="Category">
    <vt:lpwstr>COM/PL/ORG</vt:lpwstr>
  </property>
  <property fmtid="{D5CDD505-2E9C-101B-9397-08002B2CF9AE}" pid="4" name="Level of sensitivity">
    <vt:lpwstr>Standard treatment</vt:lpwstr>
  </property>
  <property fmtid="{D5CDD505-2E9C-101B-9397-08002B2CF9AE}" pid="5" name="LWTemplateID">
    <vt:lpwstr>SJ-023</vt:lpwstr>
  </property>
  <property fmtid="{D5CDD505-2E9C-101B-9397-08002B2CF9AE}" pid="6" name="Part">
    <vt:lpwstr>1</vt:lpwstr>
  </property>
  <property fmtid="{D5CDD505-2E9C-101B-9397-08002B2CF9AE}" pid="7" name="Total parts">
    <vt:lpwstr>1</vt:lpwstr>
  </property>
  <property fmtid="{D5CDD505-2E9C-101B-9397-08002B2CF9AE}" pid="8" name="Last edited using">
    <vt:lpwstr>LW 8.1, Build 20220902</vt:lpwstr>
  </property>
  <property fmtid="{D5CDD505-2E9C-101B-9397-08002B2CF9AE}" pid="9" name="MSIP_Label_6bd9ddd1-4d20-43f6-abfa-fc3c07406f94_Enabled">
    <vt:lpwstr>true</vt:lpwstr>
  </property>
  <property fmtid="{D5CDD505-2E9C-101B-9397-08002B2CF9AE}" pid="10" name="MSIP_Label_6bd9ddd1-4d20-43f6-abfa-fc3c07406f94_SetDate">
    <vt:lpwstr>2022-11-17T14:56:41Z</vt:lpwstr>
  </property>
  <property fmtid="{D5CDD505-2E9C-101B-9397-08002B2CF9AE}" pid="11" name="MSIP_Label_6bd9ddd1-4d20-43f6-abfa-fc3c07406f94_Method">
    <vt:lpwstr>Standard</vt:lpwstr>
  </property>
  <property fmtid="{D5CDD505-2E9C-101B-9397-08002B2CF9AE}" pid="12" name="MSIP_Label_6bd9ddd1-4d20-43f6-abfa-fc3c07406f94_Name">
    <vt:lpwstr>Commission Use</vt:lpwstr>
  </property>
  <property fmtid="{D5CDD505-2E9C-101B-9397-08002B2CF9AE}" pid="13" name="MSIP_Label_6bd9ddd1-4d20-43f6-abfa-fc3c07406f94_SiteId">
    <vt:lpwstr>b24c8b06-522c-46fe-9080-70926f8dddb1</vt:lpwstr>
  </property>
  <property fmtid="{D5CDD505-2E9C-101B-9397-08002B2CF9AE}" pid="14" name="MSIP_Label_6bd9ddd1-4d20-43f6-abfa-fc3c07406f94_ActionId">
    <vt:lpwstr>34e1b553-7b84-4af6-a6fe-75b5de51cfdd</vt:lpwstr>
  </property>
  <property fmtid="{D5CDD505-2E9C-101B-9397-08002B2CF9AE}" pid="15" name="MSIP_Label_6bd9ddd1-4d20-43f6-abfa-fc3c07406f94_ContentBits">
    <vt:lpwstr>0</vt:lpwstr>
  </property>
  <property fmtid="{D5CDD505-2E9C-101B-9397-08002B2CF9AE}" pid="16" name="ContentTypeId">
    <vt:lpwstr>0x01010021D7CDCA61137D46922835CA98C0641D</vt:lpwstr>
  </property>
  <property fmtid="{D5CDD505-2E9C-101B-9397-08002B2CF9AE}" pid="17" name="MediaServiceImageTags">
    <vt:lpwstr/>
  </property>
  <property fmtid="{D5CDD505-2E9C-101B-9397-08002B2CF9AE}" pid="18" name="DQCStatus">
    <vt:lpwstr>Green (DQC version 03)</vt:lpwstr>
  </property>
</Properties>
</file>