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B9F5A" w14:textId="3212E857" w:rsidR="007169AA" w:rsidRPr="00A41A48" w:rsidRDefault="0094691D" w:rsidP="0094691D">
      <w:pPr>
        <w:pStyle w:val="Pagedecouverture"/>
        <w:rPr>
          <w:noProof/>
        </w:rPr>
      </w:pPr>
      <w:bookmarkStart w:id="0" w:name="LW_BM_COVERPAGE"/>
      <w:r>
        <w:rPr>
          <w:noProof/>
        </w:rPr>
        <w:pict w14:anchorId="29E72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12C349E-FF59-4030-98B8-10FF81B53D40" style="width:455.25pt;height:365.25pt">
            <v:imagedata r:id="rId8" o:title=""/>
          </v:shape>
        </w:pict>
      </w:r>
    </w:p>
    <w:bookmarkEnd w:id="0"/>
    <w:p w14:paraId="40ECFF3C" w14:textId="77777777" w:rsidR="007169AA" w:rsidRPr="00A41A48" w:rsidRDefault="007169AA" w:rsidP="007169AA">
      <w:pPr>
        <w:rPr>
          <w:noProof/>
        </w:rPr>
        <w:sectPr w:rsidR="007169AA" w:rsidRPr="00A41A48" w:rsidSect="0094691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F087BD5" w14:textId="77777777" w:rsidR="00B4432B" w:rsidRPr="00A41A48" w:rsidRDefault="00B4432B" w:rsidP="00B4432B">
      <w:pPr>
        <w:pStyle w:val="Heading1"/>
        <w:rPr>
          <w:rFonts w:cs="Times New Roman"/>
          <w:smallCaps/>
          <w:noProof/>
        </w:rPr>
      </w:pPr>
      <w:bookmarkStart w:id="1" w:name="_GoBack"/>
      <w:bookmarkEnd w:id="1"/>
      <w:r>
        <w:rPr>
          <w:smallCaps/>
          <w:noProof/>
        </w:rPr>
        <w:lastRenderedPageBreak/>
        <w:t>Въведение</w:t>
      </w:r>
    </w:p>
    <w:p w14:paraId="63838ED1" w14:textId="77777777" w:rsidR="00B4432B" w:rsidRPr="00A41A48" w:rsidRDefault="00B4432B" w:rsidP="00B4432B">
      <w:pPr>
        <w:rPr>
          <w:rFonts w:cs="Times New Roman"/>
          <w:noProof/>
          <w:szCs w:val="24"/>
        </w:rPr>
      </w:pPr>
    </w:p>
    <w:p w14:paraId="490ACC1B" w14:textId="45C9B976" w:rsidR="00B4432B" w:rsidRPr="00A41A48" w:rsidRDefault="00B4432B" w:rsidP="00C87056">
      <w:pPr>
        <w:jc w:val="both"/>
        <w:rPr>
          <w:rFonts w:ascii="Times New Roman" w:hAnsi="Times New Roman" w:cs="Times New Roman"/>
          <w:noProof/>
          <w:sz w:val="24"/>
          <w:szCs w:val="24"/>
        </w:rPr>
      </w:pPr>
      <w:r>
        <w:rPr>
          <w:rFonts w:ascii="Times New Roman" w:hAnsi="Times New Roman"/>
          <w:noProof/>
          <w:sz w:val="24"/>
        </w:rPr>
        <w:t>Правото на правна помощ е залегнало в член 47, трета алинея от Хартата на основните права на Европейския съюз</w:t>
      </w:r>
      <w:r>
        <w:rPr>
          <w:rFonts w:ascii="Times New Roman" w:hAnsi="Times New Roman" w:cs="Times New Roman"/>
          <w:noProof/>
          <w:sz w:val="24"/>
          <w:szCs w:val="24"/>
          <w:vertAlign w:val="superscript"/>
        </w:rPr>
        <w:footnoteReference w:id="1"/>
      </w:r>
      <w:r>
        <w:rPr>
          <w:rFonts w:ascii="Times New Roman" w:hAnsi="Times New Roman"/>
          <w:noProof/>
          <w:sz w:val="24"/>
        </w:rPr>
        <w:t xml:space="preserve"> и в член 6, параграф 3, буква в) от Европейската конвенция за правата на човека.</w:t>
      </w:r>
      <w:r>
        <w:rPr>
          <w:rFonts w:ascii="Times New Roman" w:hAnsi="Times New Roman"/>
          <w:noProof/>
          <w:sz w:val="24"/>
          <w:shd w:val="clear" w:color="auto" w:fill="FFFFFF"/>
        </w:rPr>
        <w:t xml:space="preserve"> </w:t>
      </w:r>
    </w:p>
    <w:p w14:paraId="3E44FC07" w14:textId="58E53284" w:rsidR="00B4432B" w:rsidRPr="00A41A48" w:rsidRDefault="00B4432B" w:rsidP="00C87056">
      <w:pPr>
        <w:jc w:val="both"/>
        <w:rPr>
          <w:rFonts w:ascii="Times New Roman" w:hAnsi="Times New Roman" w:cs="Times New Roman"/>
          <w:noProof/>
          <w:sz w:val="24"/>
          <w:szCs w:val="24"/>
          <w:shd w:val="clear" w:color="auto" w:fill="FFFFFF"/>
        </w:rPr>
      </w:pPr>
      <w:r>
        <w:rPr>
          <w:rFonts w:ascii="Times New Roman" w:hAnsi="Times New Roman"/>
          <w:noProof/>
          <w:sz w:val="24"/>
        </w:rPr>
        <w:t>Директива (ЕС) 2016/1919 относно правната помощ за заподозрени и обвиняеми в рамките на наказателното производство и за искани за предаване лица в рамките на производството по европейска заповед за арест</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(„Директивата“) има за цел да укрепи правото на справедлив съдебен процес в наказателното производство чрез установяване на общи минимални правила относно правото на правна помощ.</w:t>
      </w:r>
      <w:r>
        <w:rPr>
          <w:rFonts w:ascii="Times New Roman" w:hAnsi="Times New Roman"/>
          <w:noProof/>
          <w:sz w:val="24"/>
          <w:shd w:val="clear" w:color="auto" w:fill="FFFFFF"/>
        </w:rPr>
        <w:t xml:space="preserve"> </w:t>
      </w:r>
    </w:p>
    <w:p w14:paraId="778578AC" w14:textId="680379C7" w:rsidR="00B4432B" w:rsidRPr="00A41A48" w:rsidRDefault="00B4432B" w:rsidP="00C87056">
      <w:pPr>
        <w:jc w:val="both"/>
        <w:rPr>
          <w:rFonts w:ascii="Times New Roman" w:hAnsi="Times New Roman" w:cs="Times New Roman"/>
          <w:noProof/>
          <w:sz w:val="24"/>
          <w:szCs w:val="24"/>
        </w:rPr>
      </w:pPr>
      <w:r>
        <w:rPr>
          <w:rFonts w:ascii="Times New Roman" w:hAnsi="Times New Roman"/>
          <w:noProof/>
          <w:sz w:val="24"/>
        </w:rPr>
        <w:t>Директивата е шестият инструмент, приет съгласно член 82, параграф 2, буква б) от Договора за функционирането на Европейския съюз (ДФЕС)</w:t>
      </w:r>
      <w:r>
        <w:rPr>
          <w:rStyle w:val="FootnoteReference"/>
          <w:rFonts w:ascii="Times New Roman" w:hAnsi="Times New Roman" w:cs="Times New Roman"/>
          <w:noProof/>
          <w:sz w:val="24"/>
          <w:szCs w:val="24"/>
        </w:rPr>
        <w:footnoteReference w:id="3"/>
      </w:r>
      <w:r>
        <w:rPr>
          <w:rFonts w:ascii="Times New Roman" w:hAnsi="Times New Roman"/>
          <w:noProof/>
          <w:sz w:val="24"/>
        </w:rPr>
        <w:t>, в който се съдържа правното основание за приемане на минимални правила относно „правата на лицата в наказателното производство“. Директивата се прилага в 25 държави членки</w:t>
      </w:r>
      <w:r>
        <w:rPr>
          <w:rStyle w:val="FootnoteReference"/>
          <w:rFonts w:ascii="Times New Roman" w:hAnsi="Times New Roman" w:cs="Times New Roman"/>
          <w:noProof/>
          <w:sz w:val="24"/>
          <w:szCs w:val="24"/>
        </w:rPr>
        <w:footnoteReference w:id="4"/>
      </w:r>
      <w:r>
        <w:rPr>
          <w:rFonts w:ascii="Times New Roman" w:hAnsi="Times New Roman"/>
          <w:noProof/>
          <w:sz w:val="24"/>
        </w:rPr>
        <w:t>.</w:t>
      </w:r>
    </w:p>
    <w:p w14:paraId="76A6506A" w14:textId="28E1E888" w:rsidR="009C2638" w:rsidRDefault="00B4432B" w:rsidP="00B508A8">
      <w:pPr>
        <w:jc w:val="both"/>
        <w:rPr>
          <w:rFonts w:ascii="Times New Roman" w:hAnsi="Times New Roman" w:cs="Times New Roman"/>
          <w:noProof/>
          <w:sz w:val="24"/>
          <w:szCs w:val="24"/>
        </w:rPr>
      </w:pPr>
      <w:r>
        <w:rPr>
          <w:rFonts w:ascii="Times New Roman" w:hAnsi="Times New Roman"/>
          <w:noProof/>
          <w:sz w:val="24"/>
        </w:rPr>
        <w:t>ЕС прие следните пет директиви в тази област:</w:t>
      </w:r>
    </w:p>
    <w:p w14:paraId="379968BA" w14:textId="3288316D" w:rsidR="009C2638" w:rsidRPr="001D7E8D" w:rsidRDefault="009C2638" w:rsidP="001D7E8D">
      <w:pPr>
        <w:pStyle w:val="ListParagraph"/>
        <w:numPr>
          <w:ilvl w:val="0"/>
          <w:numId w:val="10"/>
        </w:numPr>
        <w:ind w:left="714" w:hanging="357"/>
        <w:contextualSpacing w:val="0"/>
        <w:jc w:val="both"/>
        <w:rPr>
          <w:rFonts w:ascii="Times New Roman" w:hAnsi="Times New Roman" w:cs="Times New Roman"/>
          <w:noProof/>
          <w:sz w:val="24"/>
          <w:szCs w:val="24"/>
        </w:rPr>
      </w:pPr>
      <w:r>
        <w:rPr>
          <w:rFonts w:ascii="Times New Roman" w:hAnsi="Times New Roman"/>
          <w:noProof/>
          <w:sz w:val="24"/>
        </w:rPr>
        <w:t>Директивата относно правото на устен и писмен превод</w:t>
      </w:r>
      <w:r>
        <w:rPr>
          <w:rStyle w:val="FootnoteReference"/>
          <w:rFonts w:ascii="Times New Roman" w:hAnsi="Times New Roman" w:cs="Times New Roman"/>
          <w:noProof/>
          <w:sz w:val="24"/>
          <w:szCs w:val="24"/>
        </w:rPr>
        <w:footnoteReference w:id="5"/>
      </w:r>
      <w:r>
        <w:rPr>
          <w:rFonts w:ascii="Times New Roman" w:hAnsi="Times New Roman"/>
          <w:noProof/>
          <w:sz w:val="24"/>
        </w:rPr>
        <w:t>;</w:t>
      </w:r>
    </w:p>
    <w:p w14:paraId="2F410FEA" w14:textId="2DDCE25D" w:rsidR="009C2638" w:rsidRPr="001D7E8D" w:rsidRDefault="009C2638" w:rsidP="001D7E8D">
      <w:pPr>
        <w:pStyle w:val="ListParagraph"/>
        <w:numPr>
          <w:ilvl w:val="0"/>
          <w:numId w:val="10"/>
        </w:numPr>
        <w:ind w:left="714" w:hanging="357"/>
        <w:contextualSpacing w:val="0"/>
        <w:jc w:val="both"/>
        <w:rPr>
          <w:rFonts w:ascii="Times New Roman" w:hAnsi="Times New Roman" w:cs="Times New Roman"/>
          <w:noProof/>
          <w:sz w:val="24"/>
          <w:szCs w:val="24"/>
        </w:rPr>
      </w:pPr>
      <w:r>
        <w:rPr>
          <w:rFonts w:ascii="Times New Roman" w:hAnsi="Times New Roman"/>
          <w:noProof/>
          <w:sz w:val="24"/>
        </w:rPr>
        <w:t>Директивата относно правото на информация</w:t>
      </w:r>
      <w:r>
        <w:rPr>
          <w:rStyle w:val="FootnoteReference"/>
          <w:rFonts w:ascii="Times New Roman" w:hAnsi="Times New Roman" w:cs="Times New Roman"/>
          <w:noProof/>
          <w:sz w:val="24"/>
          <w:szCs w:val="24"/>
        </w:rPr>
        <w:footnoteReference w:id="6"/>
      </w:r>
      <w:r>
        <w:rPr>
          <w:rFonts w:ascii="Times New Roman" w:hAnsi="Times New Roman"/>
          <w:noProof/>
          <w:sz w:val="24"/>
        </w:rPr>
        <w:t>;</w:t>
      </w:r>
    </w:p>
    <w:p w14:paraId="632F2D45" w14:textId="1E8D7EDD" w:rsidR="009C2638" w:rsidRPr="001D7E8D" w:rsidRDefault="009C2638" w:rsidP="001D7E8D">
      <w:pPr>
        <w:pStyle w:val="ListParagraph"/>
        <w:numPr>
          <w:ilvl w:val="0"/>
          <w:numId w:val="10"/>
        </w:numPr>
        <w:ind w:left="714" w:hanging="357"/>
        <w:contextualSpacing w:val="0"/>
        <w:jc w:val="both"/>
        <w:rPr>
          <w:rFonts w:ascii="Times New Roman" w:hAnsi="Times New Roman" w:cs="Times New Roman"/>
          <w:noProof/>
          <w:sz w:val="24"/>
          <w:szCs w:val="24"/>
        </w:rPr>
      </w:pPr>
      <w:r>
        <w:rPr>
          <w:rFonts w:ascii="Times New Roman" w:hAnsi="Times New Roman"/>
          <w:noProof/>
          <w:sz w:val="24"/>
        </w:rPr>
        <w:t>Директивата относно правото на достъп до адвокат и на осъществяване на връзка с трети лица по време на задържането</w:t>
      </w:r>
      <w:r>
        <w:rPr>
          <w:rStyle w:val="FootnoteReference"/>
          <w:rFonts w:ascii="Times New Roman" w:hAnsi="Times New Roman" w:cs="Times New Roman"/>
          <w:noProof/>
          <w:sz w:val="24"/>
          <w:szCs w:val="24"/>
        </w:rPr>
        <w:footnoteReference w:id="7"/>
      </w:r>
      <w:r>
        <w:rPr>
          <w:rFonts w:ascii="Times New Roman" w:hAnsi="Times New Roman"/>
          <w:noProof/>
          <w:sz w:val="24"/>
        </w:rPr>
        <w:t>;</w:t>
      </w:r>
    </w:p>
    <w:p w14:paraId="79233906" w14:textId="77777777" w:rsidR="009C2638" w:rsidRPr="001D7E8D" w:rsidRDefault="009C2638" w:rsidP="001D7E8D">
      <w:pPr>
        <w:pStyle w:val="ListParagraph"/>
        <w:numPr>
          <w:ilvl w:val="0"/>
          <w:numId w:val="10"/>
        </w:numPr>
        <w:ind w:left="714" w:hanging="357"/>
        <w:contextualSpacing w:val="0"/>
        <w:jc w:val="both"/>
        <w:rPr>
          <w:rFonts w:ascii="Times New Roman" w:hAnsi="Times New Roman" w:cs="Times New Roman"/>
          <w:noProof/>
          <w:sz w:val="24"/>
          <w:szCs w:val="24"/>
        </w:rPr>
      </w:pPr>
      <w:r>
        <w:rPr>
          <w:rFonts w:ascii="Times New Roman" w:hAnsi="Times New Roman"/>
          <w:noProof/>
          <w:sz w:val="24"/>
        </w:rPr>
        <w:t>Директивата относно укрепването на някои аспекти на презумпцията за невинност и на правото на лицата да присъстват на съдебния процес</w:t>
      </w:r>
      <w:r>
        <w:rPr>
          <w:rStyle w:val="FootnoteReference"/>
          <w:rFonts w:ascii="Times New Roman" w:hAnsi="Times New Roman" w:cs="Times New Roman"/>
          <w:noProof/>
          <w:sz w:val="24"/>
          <w:szCs w:val="24"/>
        </w:rPr>
        <w:footnoteReference w:id="8"/>
      </w:r>
      <w:r>
        <w:rPr>
          <w:rFonts w:ascii="Times New Roman" w:hAnsi="Times New Roman"/>
          <w:noProof/>
          <w:sz w:val="24"/>
        </w:rPr>
        <w:t>; както и</w:t>
      </w:r>
    </w:p>
    <w:p w14:paraId="29E3014D" w14:textId="3EAAB1BA" w:rsidR="009C2638" w:rsidRPr="001D7E8D" w:rsidRDefault="009C2638" w:rsidP="001D7E8D">
      <w:pPr>
        <w:pStyle w:val="ListParagraph"/>
        <w:numPr>
          <w:ilvl w:val="0"/>
          <w:numId w:val="10"/>
        </w:numPr>
        <w:ind w:left="714" w:hanging="357"/>
        <w:contextualSpacing w:val="0"/>
        <w:jc w:val="both"/>
        <w:rPr>
          <w:rFonts w:ascii="Times New Roman" w:hAnsi="Times New Roman" w:cs="Times New Roman"/>
          <w:noProof/>
          <w:sz w:val="24"/>
          <w:szCs w:val="24"/>
        </w:rPr>
      </w:pPr>
      <w:r>
        <w:rPr>
          <w:rFonts w:ascii="Times New Roman" w:hAnsi="Times New Roman"/>
          <w:noProof/>
          <w:sz w:val="24"/>
        </w:rPr>
        <w:t>Директивата на ЕС относно процесуалните гаранции за децата</w:t>
      </w:r>
      <w:r>
        <w:rPr>
          <w:rStyle w:val="FootnoteReference"/>
          <w:rFonts w:ascii="Times New Roman" w:hAnsi="Times New Roman" w:cs="Times New Roman"/>
          <w:noProof/>
          <w:sz w:val="24"/>
          <w:szCs w:val="24"/>
        </w:rPr>
        <w:footnoteReference w:id="9"/>
      </w:r>
      <w:r>
        <w:rPr>
          <w:rFonts w:ascii="Times New Roman" w:hAnsi="Times New Roman"/>
          <w:noProof/>
          <w:sz w:val="24"/>
        </w:rPr>
        <w:t>.</w:t>
      </w:r>
    </w:p>
    <w:p w14:paraId="56736069" w14:textId="497D796F" w:rsidR="00B4432B" w:rsidRPr="00A41A48" w:rsidRDefault="001010ED" w:rsidP="00B508A8">
      <w:pPr>
        <w:jc w:val="both"/>
        <w:rPr>
          <w:rFonts w:ascii="Times New Roman" w:hAnsi="Times New Roman" w:cs="Times New Roman"/>
          <w:noProof/>
          <w:sz w:val="24"/>
          <w:szCs w:val="24"/>
          <w:shd w:val="clear" w:color="auto" w:fill="FFFFFF"/>
        </w:rPr>
      </w:pPr>
      <w:r>
        <w:rPr>
          <w:rFonts w:ascii="Times New Roman" w:hAnsi="Times New Roman"/>
          <w:noProof/>
          <w:sz w:val="24"/>
        </w:rPr>
        <w:t>Тези директиви спомагат за повишаване на взаимното доверие и по този начин за укрепване на принципа на взаимното признаване на присъдите и другите съдебни решения.</w:t>
      </w:r>
      <w:r>
        <w:rPr>
          <w:rFonts w:ascii="Times New Roman" w:hAnsi="Times New Roman"/>
          <w:noProof/>
          <w:sz w:val="24"/>
          <w:shd w:val="clear" w:color="auto" w:fill="FFFFFF"/>
        </w:rPr>
        <w:t xml:space="preserve"> </w:t>
      </w:r>
    </w:p>
    <w:p w14:paraId="234674C9" w14:textId="459EA727" w:rsidR="00B4432B" w:rsidRPr="00A41A48" w:rsidRDefault="001010ED" w:rsidP="00C87056">
      <w:pPr>
        <w:jc w:val="both"/>
        <w:rPr>
          <w:rFonts w:ascii="Times New Roman" w:hAnsi="Times New Roman" w:cs="Times New Roman"/>
          <w:noProof/>
          <w:sz w:val="24"/>
          <w:szCs w:val="24"/>
          <w:shd w:val="clear" w:color="auto" w:fill="FFFFFF"/>
        </w:rPr>
      </w:pPr>
      <w:r>
        <w:rPr>
          <w:rFonts w:ascii="Times New Roman" w:hAnsi="Times New Roman"/>
          <w:noProof/>
          <w:sz w:val="24"/>
        </w:rPr>
        <w:t>Европейската комисия вече представи доклади за изпълнението на първите четири директиви</w:t>
      </w:r>
      <w:r>
        <w:rPr>
          <w:rStyle w:val="FootnoteReference"/>
          <w:rFonts w:ascii="Times New Roman" w:hAnsi="Times New Roman" w:cs="Times New Roman"/>
          <w:noProof/>
          <w:sz w:val="24"/>
          <w:szCs w:val="24"/>
        </w:rPr>
        <w:footnoteReference w:id="10"/>
      </w:r>
      <w:r>
        <w:rPr>
          <w:rFonts w:ascii="Times New Roman" w:hAnsi="Times New Roman"/>
          <w:noProof/>
          <w:sz w:val="24"/>
        </w:rPr>
        <w:t xml:space="preserve">. </w:t>
      </w:r>
      <w:r w:rsidR="00E46630">
        <w:rPr>
          <w:rFonts w:ascii="Times New Roman" w:hAnsi="Times New Roman"/>
          <w:noProof/>
          <w:sz w:val="24"/>
          <w:shd w:val="clear" w:color="auto" w:fill="FFFFFF"/>
        </w:rPr>
        <w:t>Член 10, параграф</w:t>
      </w:r>
      <w:r>
        <w:rPr>
          <w:rFonts w:ascii="Times New Roman" w:hAnsi="Times New Roman"/>
          <w:noProof/>
          <w:sz w:val="24"/>
          <w:shd w:val="clear" w:color="auto" w:fill="FFFFFF"/>
        </w:rPr>
        <w:t> 2 от Директивата съдържа подобно изискване Комисията да представи на Европейския парламент и на Съвета доклад за нейното изпълнение.</w:t>
      </w:r>
    </w:p>
    <w:p w14:paraId="60FB1849" w14:textId="040545AC" w:rsidR="00B4432B" w:rsidRPr="00A41A48" w:rsidRDefault="00B4432B" w:rsidP="00C87056">
      <w:pPr>
        <w:jc w:val="both"/>
        <w:rPr>
          <w:rFonts w:ascii="Times New Roman" w:hAnsi="Times New Roman" w:cs="Times New Roman"/>
          <w:noProof/>
          <w:sz w:val="24"/>
          <w:szCs w:val="24"/>
        </w:rPr>
      </w:pPr>
      <w:r>
        <w:rPr>
          <w:rFonts w:ascii="Times New Roman" w:hAnsi="Times New Roman"/>
          <w:noProof/>
          <w:sz w:val="24"/>
        </w:rPr>
        <w:t>Настоящият доклад се основава главно на информацията, предоставена от дър</w:t>
      </w:r>
      <w:r w:rsidR="00E46630">
        <w:rPr>
          <w:rFonts w:ascii="Times New Roman" w:hAnsi="Times New Roman"/>
          <w:noProof/>
          <w:sz w:val="24"/>
        </w:rPr>
        <w:t xml:space="preserve">жавите членки на Комисията при </w:t>
      </w:r>
      <w:r>
        <w:rPr>
          <w:rFonts w:ascii="Times New Roman" w:hAnsi="Times New Roman"/>
          <w:noProof/>
          <w:sz w:val="24"/>
        </w:rPr>
        <w:t>съобщаването на националните мерки за транспониране на Директивата. Използвана е също публично достъпна информация от Агенцията на Европейския съюз за основните права</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и от финансирани от Комисията проучвания, проведени от външни заинтересовани страни</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w:t>
      </w:r>
    </w:p>
    <w:p w14:paraId="6CA96646" w14:textId="13C8FF5B" w:rsidR="00B4432B" w:rsidRPr="00A41A48" w:rsidRDefault="00B4432B" w:rsidP="00C87056">
      <w:pPr>
        <w:jc w:val="both"/>
        <w:rPr>
          <w:rFonts w:ascii="Times New Roman" w:hAnsi="Times New Roman" w:cs="Times New Roman"/>
          <w:noProof/>
          <w:sz w:val="24"/>
          <w:szCs w:val="24"/>
        </w:rPr>
      </w:pPr>
      <w:r>
        <w:rPr>
          <w:rFonts w:ascii="Times New Roman" w:hAnsi="Times New Roman"/>
          <w:noProof/>
          <w:sz w:val="24"/>
        </w:rPr>
        <w:t>В доклада се поставя акцент върху мерките, които държавите членки са предприели досега за транспониране на Директивата</w:t>
      </w:r>
      <w:r>
        <w:rPr>
          <w:rStyle w:val="FootnoteReference"/>
          <w:rFonts w:ascii="Times New Roman" w:hAnsi="Times New Roman" w:cs="Times New Roman"/>
          <w:noProof/>
          <w:sz w:val="24"/>
          <w:szCs w:val="24"/>
        </w:rPr>
        <w:footnoteReference w:id="13"/>
      </w:r>
      <w:r>
        <w:rPr>
          <w:rFonts w:ascii="Times New Roman" w:hAnsi="Times New Roman"/>
          <w:noProof/>
          <w:sz w:val="24"/>
        </w:rPr>
        <w:t>. В него се оценява дали държавите членки са транспонирали правилно и изцяло Директивата и дали националното законодателство постига целите и отговаря на изискванията на Директивата.</w:t>
      </w:r>
    </w:p>
    <w:p w14:paraId="39C58F87" w14:textId="052EC97E" w:rsidR="00B4432B" w:rsidRDefault="00B4432B" w:rsidP="00C87056">
      <w:pPr>
        <w:jc w:val="both"/>
        <w:rPr>
          <w:rFonts w:ascii="Times New Roman" w:hAnsi="Times New Roman" w:cs="Times New Roman"/>
          <w:noProof/>
          <w:sz w:val="24"/>
          <w:szCs w:val="24"/>
        </w:rPr>
      </w:pPr>
      <w:r>
        <w:rPr>
          <w:rFonts w:ascii="Times New Roman" w:hAnsi="Times New Roman"/>
          <w:noProof/>
          <w:sz w:val="24"/>
        </w:rPr>
        <w:t>Съдът на Европейския съюз е тълкувал на няколко пъти Директива 2013/48/ЕС</w:t>
      </w:r>
      <w:r>
        <w:rPr>
          <w:rStyle w:val="FootnoteReference"/>
          <w:rFonts w:ascii="Times New Roman" w:hAnsi="Times New Roman" w:cs="Times New Roman"/>
          <w:noProof/>
          <w:sz w:val="24"/>
          <w:szCs w:val="24"/>
        </w:rPr>
        <w:footnoteReference w:id="14"/>
      </w:r>
      <w:r>
        <w:rPr>
          <w:rFonts w:ascii="Times New Roman" w:hAnsi="Times New Roman"/>
          <w:noProof/>
          <w:sz w:val="24"/>
        </w:rPr>
        <w:t xml:space="preserve">. Това тълкуване е от значение и за оценката на съответствието с Директивата и е взето предвид в настоящия доклад. </w:t>
      </w:r>
    </w:p>
    <w:p w14:paraId="14627C25" w14:textId="77777777" w:rsidR="009D7340" w:rsidRPr="00A41A48" w:rsidRDefault="009D7340" w:rsidP="00C87056">
      <w:pPr>
        <w:jc w:val="both"/>
        <w:rPr>
          <w:rFonts w:ascii="Times New Roman" w:hAnsi="Times New Roman" w:cs="Times New Roman"/>
          <w:noProof/>
          <w:sz w:val="24"/>
          <w:szCs w:val="24"/>
        </w:rPr>
      </w:pPr>
    </w:p>
    <w:p w14:paraId="6B2010DF" w14:textId="77777777" w:rsidR="00B4432B" w:rsidRPr="00A41A48" w:rsidRDefault="00B4432B" w:rsidP="00B4432B">
      <w:pPr>
        <w:pStyle w:val="Heading1"/>
        <w:rPr>
          <w:rFonts w:cs="Times New Roman"/>
          <w:smallCaps/>
          <w:noProof/>
        </w:rPr>
      </w:pPr>
      <w:r>
        <w:rPr>
          <w:smallCaps/>
          <w:noProof/>
        </w:rPr>
        <w:t>Обща оценка</w:t>
      </w:r>
    </w:p>
    <w:p w14:paraId="48342B41" w14:textId="77777777" w:rsidR="00B4432B" w:rsidRPr="00A41A48" w:rsidRDefault="00B4432B" w:rsidP="00B4432B">
      <w:pPr>
        <w:spacing w:after="200"/>
        <w:jc w:val="both"/>
        <w:rPr>
          <w:rFonts w:ascii="Times New Roman" w:hAnsi="Times New Roman" w:cs="Times New Roman"/>
          <w:noProof/>
        </w:rPr>
      </w:pPr>
    </w:p>
    <w:p w14:paraId="146C3A5A" w14:textId="067E0882" w:rsidR="00B4432B" w:rsidRPr="00A41A48" w:rsidRDefault="00A10E4E" w:rsidP="00B4432B">
      <w:pPr>
        <w:spacing w:after="200"/>
        <w:jc w:val="both"/>
        <w:rPr>
          <w:rFonts w:ascii="Times New Roman" w:hAnsi="Times New Roman" w:cs="Times New Roman"/>
          <w:noProof/>
          <w:sz w:val="24"/>
          <w:szCs w:val="24"/>
        </w:rPr>
      </w:pPr>
      <w:r>
        <w:rPr>
          <w:rFonts w:ascii="Times New Roman" w:hAnsi="Times New Roman"/>
          <w:noProof/>
          <w:sz w:val="24"/>
        </w:rPr>
        <w:t>Съгласно член 12 от Директивата държавите членки трябваше да я транспонират в националното си законодателство до 25 май 2019 г. До тази дата 4 държави членки — Германия, Гърция, Хърватия и Малта — не бяха съобщили на Комисията всички необходими мерки. В резултат на това през юли 2019 г. Комисията започна производства за установяване на нарушение съгласно член 258 от ДФЕС срещу тези държави членки за несъобщаването на мерките за транспониране. Оттогава всички тези държави членки спазиха задължението си и производствата за установяване на нарушение бяха прекратени.</w:t>
      </w:r>
    </w:p>
    <w:p w14:paraId="17074B17" w14:textId="052DB14C" w:rsidR="00065E59" w:rsidRPr="00A41A48" w:rsidRDefault="00B4432B" w:rsidP="00B4432B">
      <w:pPr>
        <w:spacing w:after="200"/>
        <w:jc w:val="both"/>
        <w:rPr>
          <w:rFonts w:ascii="Times New Roman" w:hAnsi="Times New Roman" w:cs="Times New Roman"/>
          <w:noProof/>
          <w:sz w:val="24"/>
          <w:szCs w:val="24"/>
        </w:rPr>
      </w:pPr>
      <w:r>
        <w:rPr>
          <w:rFonts w:ascii="Times New Roman" w:hAnsi="Times New Roman"/>
          <w:noProof/>
          <w:sz w:val="24"/>
        </w:rPr>
        <w:t xml:space="preserve">Подходът за транспониране на Директивата варира в различните държави членки. Освен други правни или практически мерки за прилагане някои държави членки са въвели и специфични законодателни мерки, изрично транспониращи правата съгласно Директивата. Други държави членки считат, че техните съществуващи мерки вече до голяма степен са в съответствие с изискванията на Директивата и не са приели никакви конкретни мерки за транспониране. </w:t>
      </w:r>
    </w:p>
    <w:p w14:paraId="0DD87445" w14:textId="600425F7" w:rsidR="00065E59" w:rsidRPr="00A41A48" w:rsidRDefault="00B4432B" w:rsidP="00B4432B">
      <w:pPr>
        <w:spacing w:after="200"/>
        <w:jc w:val="both"/>
        <w:rPr>
          <w:rFonts w:ascii="Times New Roman" w:hAnsi="Times New Roman" w:cs="Times New Roman"/>
          <w:noProof/>
          <w:sz w:val="24"/>
          <w:szCs w:val="24"/>
        </w:rPr>
      </w:pPr>
      <w:r>
        <w:rPr>
          <w:rFonts w:ascii="Times New Roman" w:hAnsi="Times New Roman"/>
          <w:noProof/>
          <w:sz w:val="24"/>
        </w:rPr>
        <w:t xml:space="preserve">Въпреки че липсата на специални транспониращи разпоредби понякога се преодолява, поне до известна степен, чрез практически мерки за прилагане и съдебна практика, това не винаги е така. Поради това в редица държави членки (22 на брой) националните разпоредби не са достатъчни, за да се постигне пълно съответствие с някои ключови разпоредби на Директивата. Такъв по-специално е случаят, когато националните мерки имат по-тясно приложно поле от посоченото в член 2 от Директивата (11 държави членки са засегнати). </w:t>
      </w:r>
    </w:p>
    <w:p w14:paraId="43F13669" w14:textId="1A316F51" w:rsidR="00B4432B" w:rsidRPr="00A41A48" w:rsidRDefault="00B4432B" w:rsidP="00B4432B">
      <w:pPr>
        <w:spacing w:after="200"/>
        <w:jc w:val="both"/>
        <w:rPr>
          <w:rFonts w:ascii="Times New Roman" w:hAnsi="Times New Roman" w:cs="Times New Roman"/>
          <w:noProof/>
          <w:sz w:val="24"/>
          <w:szCs w:val="24"/>
        </w:rPr>
      </w:pPr>
      <w:r>
        <w:rPr>
          <w:rFonts w:ascii="Times New Roman" w:hAnsi="Times New Roman"/>
          <w:noProof/>
          <w:sz w:val="24"/>
        </w:rPr>
        <w:t>Оценката на съответствието разкри и други недостатъци в 22 държави членки, по-специално във връзка с изискването за предоставяне на правна помощ без ненужно забавяне и най-късно преди разпита или преди извършването на следствени действия или действия по събиране на доказателства.</w:t>
      </w:r>
    </w:p>
    <w:p w14:paraId="17C12E97" w14:textId="11416B64" w:rsidR="00B4432B" w:rsidRDefault="00B4432B" w:rsidP="00B4432B">
      <w:pPr>
        <w:spacing w:after="200"/>
        <w:jc w:val="both"/>
        <w:rPr>
          <w:rFonts w:ascii="Times New Roman" w:hAnsi="Times New Roman" w:cs="Times New Roman"/>
          <w:noProof/>
          <w:sz w:val="24"/>
          <w:szCs w:val="24"/>
        </w:rPr>
      </w:pPr>
      <w:r>
        <w:rPr>
          <w:rFonts w:ascii="Times New Roman" w:hAnsi="Times New Roman"/>
          <w:noProof/>
          <w:sz w:val="24"/>
        </w:rPr>
        <w:t>Това неспазване на всички разпоредби на Директивата оказва отрицателно въздействие върху ефективността на правата, предвидени в нея. Комисията ще предприеме всички подходящи мерки за отстраняване на установените недостатъци, включително посредством производства за установяване на нарушение съгласно член 258 от ДФЕС.</w:t>
      </w:r>
    </w:p>
    <w:p w14:paraId="64FFFBB5" w14:textId="77777777" w:rsidR="009D7340" w:rsidRPr="00A41A48" w:rsidRDefault="009D7340" w:rsidP="00B4432B">
      <w:pPr>
        <w:spacing w:after="200"/>
        <w:jc w:val="both"/>
        <w:rPr>
          <w:rFonts w:ascii="Times New Roman" w:hAnsi="Times New Roman" w:cs="Times New Roman"/>
          <w:noProof/>
          <w:sz w:val="24"/>
          <w:szCs w:val="24"/>
        </w:rPr>
      </w:pPr>
    </w:p>
    <w:p w14:paraId="69252587" w14:textId="77777777" w:rsidR="00B4432B" w:rsidRPr="00A41A48" w:rsidRDefault="00B4432B" w:rsidP="00B4432B">
      <w:pPr>
        <w:pStyle w:val="Heading1"/>
        <w:rPr>
          <w:rFonts w:cs="Times New Roman"/>
          <w:smallCaps/>
          <w:noProof/>
        </w:rPr>
      </w:pPr>
      <w:r>
        <w:rPr>
          <w:smallCaps/>
          <w:noProof/>
        </w:rPr>
        <w:t>Специфични елементи на оценяването</w:t>
      </w:r>
    </w:p>
    <w:p w14:paraId="511DA19B" w14:textId="77777777" w:rsidR="00B4432B" w:rsidRPr="00A41A48" w:rsidRDefault="00C91CC8" w:rsidP="00B4432B">
      <w:pPr>
        <w:pStyle w:val="Heading2"/>
        <w:rPr>
          <w:rFonts w:cs="Times New Roman"/>
          <w:noProof/>
        </w:rPr>
      </w:pPr>
      <w:r>
        <w:rPr>
          <w:noProof/>
        </w:rPr>
        <w:t>Обхват (член 2)</w:t>
      </w:r>
    </w:p>
    <w:p w14:paraId="78CD90EB" w14:textId="15C1939A" w:rsidR="0072429E" w:rsidRPr="00A41A48" w:rsidRDefault="00B4432B" w:rsidP="004935A1">
      <w:pPr>
        <w:spacing w:after="120"/>
        <w:jc w:val="both"/>
        <w:rPr>
          <w:rFonts w:ascii="Times New Roman" w:hAnsi="Times New Roman" w:cs="Times New Roman"/>
          <w:noProof/>
          <w:sz w:val="24"/>
          <w:szCs w:val="24"/>
        </w:rPr>
      </w:pPr>
      <w:r>
        <w:rPr>
          <w:rFonts w:ascii="Times New Roman" w:hAnsi="Times New Roman"/>
          <w:noProof/>
          <w:sz w:val="24"/>
        </w:rPr>
        <w:t>В член 2, параграф 1 се определя приложното поле на изискванията на Директивата. Директивата се прилага по отношение на заподозрени и обвиняеми лица в рамките на наказателно производство, които имат право на достъп до адвокат съгласно Директива 2013/48/ЕС и които:</w:t>
      </w:r>
    </w:p>
    <w:p w14:paraId="013D90DE" w14:textId="3E483E3B" w:rsidR="0072429E" w:rsidRPr="001D7E8D" w:rsidRDefault="0072429E" w:rsidP="001D7E8D">
      <w:pPr>
        <w:pStyle w:val="ListParagraph"/>
        <w:numPr>
          <w:ilvl w:val="0"/>
          <w:numId w:val="17"/>
        </w:numPr>
        <w:spacing w:after="120"/>
        <w:ind w:left="714" w:hanging="357"/>
        <w:contextualSpacing w:val="0"/>
        <w:jc w:val="both"/>
        <w:rPr>
          <w:rFonts w:ascii="Times New Roman" w:hAnsi="Times New Roman" w:cs="Times New Roman"/>
          <w:noProof/>
          <w:sz w:val="24"/>
          <w:szCs w:val="24"/>
        </w:rPr>
      </w:pPr>
      <w:r>
        <w:rPr>
          <w:rFonts w:ascii="Times New Roman" w:hAnsi="Times New Roman"/>
          <w:noProof/>
          <w:sz w:val="24"/>
        </w:rPr>
        <w:t>са задържани;</w:t>
      </w:r>
    </w:p>
    <w:p w14:paraId="31EB541D" w14:textId="381DE3FC" w:rsidR="0072429E" w:rsidRPr="001D7E8D" w:rsidRDefault="0072429E" w:rsidP="001D7E8D">
      <w:pPr>
        <w:pStyle w:val="ListParagraph"/>
        <w:numPr>
          <w:ilvl w:val="0"/>
          <w:numId w:val="17"/>
        </w:numPr>
        <w:spacing w:after="120"/>
        <w:ind w:left="714" w:hanging="357"/>
        <w:contextualSpacing w:val="0"/>
        <w:jc w:val="both"/>
        <w:rPr>
          <w:rFonts w:ascii="Times New Roman" w:hAnsi="Times New Roman" w:cs="Times New Roman"/>
          <w:noProof/>
          <w:sz w:val="24"/>
          <w:szCs w:val="24"/>
        </w:rPr>
      </w:pPr>
      <w:r>
        <w:rPr>
          <w:rFonts w:ascii="Times New Roman" w:hAnsi="Times New Roman"/>
          <w:noProof/>
          <w:sz w:val="24"/>
        </w:rPr>
        <w:t>трябва да бъдат подпомагани от адвокат в съответствие с правото на</w:t>
      </w:r>
      <w:r w:rsidR="00E46630">
        <w:rPr>
          <w:rFonts w:ascii="Times New Roman" w:hAnsi="Times New Roman"/>
          <w:noProof/>
          <w:sz w:val="24"/>
        </w:rPr>
        <w:t xml:space="preserve"> Съюза или националното право; </w:t>
      </w:r>
      <w:r>
        <w:rPr>
          <w:rFonts w:ascii="Times New Roman" w:hAnsi="Times New Roman"/>
          <w:noProof/>
          <w:sz w:val="24"/>
        </w:rPr>
        <w:t>или</w:t>
      </w:r>
    </w:p>
    <w:p w14:paraId="2C06B09B" w14:textId="2964029A" w:rsidR="0072429E" w:rsidRPr="001D7E8D" w:rsidRDefault="0072429E" w:rsidP="001D7E8D">
      <w:pPr>
        <w:pStyle w:val="ListParagraph"/>
        <w:numPr>
          <w:ilvl w:val="0"/>
          <w:numId w:val="17"/>
        </w:numPr>
        <w:spacing w:after="120"/>
        <w:ind w:left="714" w:hanging="357"/>
        <w:contextualSpacing w:val="0"/>
        <w:jc w:val="both"/>
        <w:rPr>
          <w:rFonts w:ascii="Times New Roman" w:hAnsi="Times New Roman" w:cs="Times New Roman"/>
          <w:noProof/>
          <w:sz w:val="24"/>
          <w:szCs w:val="24"/>
        </w:rPr>
      </w:pPr>
      <w:r>
        <w:rPr>
          <w:rFonts w:ascii="Times New Roman" w:hAnsi="Times New Roman"/>
          <w:noProof/>
          <w:sz w:val="24"/>
        </w:rPr>
        <w:t>трябва или е позволено да присъстват на следствени действия или действия по събиране на доказателства, включително следните като минимум:</w:t>
      </w:r>
    </w:p>
    <w:p w14:paraId="17B20802" w14:textId="7CC49E7D" w:rsidR="0072429E" w:rsidRPr="001D7E8D" w:rsidRDefault="0072429E" w:rsidP="001D7E8D">
      <w:pPr>
        <w:pStyle w:val="ListParagraph"/>
        <w:numPr>
          <w:ilvl w:val="1"/>
          <w:numId w:val="17"/>
        </w:numPr>
        <w:spacing w:after="0"/>
        <w:ind w:left="1797"/>
        <w:contextualSpacing w:val="0"/>
        <w:jc w:val="both"/>
        <w:rPr>
          <w:rFonts w:ascii="Times New Roman" w:hAnsi="Times New Roman" w:cs="Times New Roman"/>
          <w:noProof/>
          <w:sz w:val="24"/>
          <w:szCs w:val="24"/>
        </w:rPr>
      </w:pPr>
      <w:r>
        <w:rPr>
          <w:rFonts w:ascii="Times New Roman" w:hAnsi="Times New Roman"/>
          <w:noProof/>
          <w:sz w:val="24"/>
        </w:rPr>
        <w:t>разпознаване;</w:t>
      </w:r>
    </w:p>
    <w:p w14:paraId="23EA00D1" w14:textId="1E012BBB" w:rsidR="0072429E" w:rsidRPr="001D7E8D" w:rsidRDefault="0072429E" w:rsidP="001D7E8D">
      <w:pPr>
        <w:pStyle w:val="ListParagraph"/>
        <w:numPr>
          <w:ilvl w:val="1"/>
          <w:numId w:val="17"/>
        </w:numPr>
        <w:spacing w:after="0"/>
        <w:ind w:left="1797"/>
        <w:contextualSpacing w:val="0"/>
        <w:jc w:val="both"/>
        <w:rPr>
          <w:rFonts w:ascii="Times New Roman" w:hAnsi="Times New Roman" w:cs="Times New Roman"/>
          <w:noProof/>
          <w:sz w:val="24"/>
          <w:szCs w:val="24"/>
        </w:rPr>
      </w:pPr>
      <w:r>
        <w:rPr>
          <w:rFonts w:ascii="Times New Roman" w:hAnsi="Times New Roman"/>
          <w:noProof/>
          <w:sz w:val="24"/>
        </w:rPr>
        <w:t>очна ставка;</w:t>
      </w:r>
    </w:p>
    <w:p w14:paraId="632E2A14" w14:textId="2DF76466" w:rsidR="00B4432B" w:rsidRPr="001D7E8D" w:rsidRDefault="0072429E" w:rsidP="001D7E8D">
      <w:pPr>
        <w:pStyle w:val="ListParagraph"/>
        <w:numPr>
          <w:ilvl w:val="1"/>
          <w:numId w:val="17"/>
        </w:numPr>
        <w:spacing w:after="200"/>
        <w:ind w:left="1797"/>
        <w:contextualSpacing w:val="0"/>
        <w:jc w:val="both"/>
        <w:rPr>
          <w:rFonts w:ascii="Times New Roman" w:hAnsi="Times New Roman" w:cs="Times New Roman"/>
          <w:noProof/>
          <w:sz w:val="24"/>
          <w:szCs w:val="24"/>
        </w:rPr>
      </w:pPr>
      <w:r>
        <w:rPr>
          <w:rFonts w:ascii="Times New Roman" w:hAnsi="Times New Roman"/>
          <w:noProof/>
          <w:sz w:val="24"/>
        </w:rPr>
        <w:t xml:space="preserve">възстановка на местопрестъплението. </w:t>
      </w:r>
    </w:p>
    <w:p w14:paraId="7D1122C8" w14:textId="36C2961D" w:rsidR="00B4432B" w:rsidRPr="00A41A48" w:rsidRDefault="00EF2EE6" w:rsidP="00B4432B">
      <w:pPr>
        <w:spacing w:after="200"/>
        <w:jc w:val="both"/>
        <w:rPr>
          <w:rFonts w:ascii="Times New Roman" w:hAnsi="Times New Roman" w:cs="Times New Roman"/>
          <w:noProof/>
          <w:sz w:val="24"/>
          <w:szCs w:val="24"/>
        </w:rPr>
      </w:pPr>
      <w:r>
        <w:rPr>
          <w:rFonts w:ascii="Times New Roman" w:hAnsi="Times New Roman"/>
          <w:noProof/>
          <w:sz w:val="24"/>
        </w:rPr>
        <w:t>В много държави членки (14 на брой) националните мерки, които привеждат в действие правата по Директивата, са в съответствие с нея, въпреки че е възможно те да не транспонират изрично член 2, параграф 1. В националното законодателство на 11 държави членки обаче са установени проблеми със съответствието. Проблемите със съответствието, свързани с транспонирането на член 2, параграф 1, са особено сериозни, тъй като често оказват въздействие и върху обхвата на националните разпоредби за привеждане в изпълнение на специфични права по Директивата. Такъв е по-специално случаят, когато заподозрените лица по смисъла на Директивата не се признават като такива на национално равнище, когато правната помощ се предоставя едва след като бъде повдигнато официално обвинение или когато националното законодателство не обхваща всички форми на лишаване от свобода, при които следва да се предоставя правна помощ.</w:t>
      </w:r>
    </w:p>
    <w:p w14:paraId="15704F31" w14:textId="63C0A84A" w:rsidR="00EF2EE6" w:rsidRPr="00A41A48" w:rsidRDefault="00EF2EE6" w:rsidP="004F554D">
      <w:pPr>
        <w:spacing w:after="200"/>
        <w:jc w:val="both"/>
        <w:rPr>
          <w:rFonts w:ascii="Times New Roman" w:hAnsi="Times New Roman" w:cs="Times New Roman"/>
          <w:noProof/>
          <w:sz w:val="24"/>
          <w:szCs w:val="24"/>
        </w:rPr>
      </w:pPr>
      <w:r>
        <w:rPr>
          <w:rFonts w:ascii="Times New Roman" w:hAnsi="Times New Roman"/>
          <w:noProof/>
          <w:sz w:val="24"/>
        </w:rPr>
        <w:t>В член 2, параграф 2 от Директивата се предвижда, че правата на Директивата се предоставят по отношение на искани за предаване лица, които имат право на достъп до адвокат съгласно Директива 2013/48/ЕС при задържането им в изпълняващата държава членка. Проблеми със съответствието са установени в 12 държави членки, тъй като те не са транспонирали изискването „при задържане“.</w:t>
      </w:r>
    </w:p>
    <w:p w14:paraId="109ABA15" w14:textId="0392A3F5" w:rsidR="00B4432B" w:rsidRDefault="009F597D" w:rsidP="00B4432B">
      <w:pPr>
        <w:spacing w:after="200"/>
        <w:jc w:val="both"/>
        <w:rPr>
          <w:rFonts w:ascii="Times New Roman" w:hAnsi="Times New Roman" w:cs="Times New Roman"/>
          <w:noProof/>
          <w:sz w:val="24"/>
          <w:szCs w:val="24"/>
        </w:rPr>
      </w:pPr>
      <w:r>
        <w:rPr>
          <w:rFonts w:ascii="Times New Roman" w:hAnsi="Times New Roman"/>
          <w:noProof/>
          <w:sz w:val="24"/>
        </w:rPr>
        <w:t>От всички държави членки 7 се възползваха от възможността за изключване на леките престъпления от обхвата на мерките за транспониране (член 2, параграф 4 от Директивата).</w:t>
      </w:r>
      <w:r>
        <w:rPr>
          <w:rFonts w:ascii="Times New Roman" w:hAnsi="Times New Roman"/>
          <w:noProof/>
          <w:color w:val="000000"/>
          <w:sz w:val="24"/>
        </w:rPr>
        <w:t xml:space="preserve"> </w:t>
      </w:r>
      <w:r>
        <w:rPr>
          <w:rFonts w:ascii="Times New Roman" w:hAnsi="Times New Roman"/>
          <w:noProof/>
          <w:sz w:val="24"/>
        </w:rPr>
        <w:t>Въпреки че националното право на повечето държави членки (5 на брой), които са се възползвали от тази възможност, е в съответствие с ограниченията, предвидени в Директивата, националното законодателство на 2 държави членки изглежда, че не е в пълно съответствие.</w:t>
      </w:r>
    </w:p>
    <w:p w14:paraId="06D1659A" w14:textId="77777777" w:rsidR="009D7340" w:rsidRPr="00A41A48" w:rsidRDefault="009D7340" w:rsidP="00B4432B">
      <w:pPr>
        <w:spacing w:after="200"/>
        <w:jc w:val="both"/>
        <w:rPr>
          <w:rFonts w:ascii="Times New Roman" w:hAnsi="Times New Roman" w:cs="Times New Roman"/>
          <w:noProof/>
          <w:sz w:val="24"/>
          <w:szCs w:val="24"/>
        </w:rPr>
      </w:pPr>
    </w:p>
    <w:p w14:paraId="1AE182B6" w14:textId="77777777" w:rsidR="00B4432B" w:rsidRPr="00A41A48" w:rsidRDefault="003675CF" w:rsidP="00B4432B">
      <w:pPr>
        <w:pStyle w:val="Heading2"/>
        <w:rPr>
          <w:rFonts w:cs="Times New Roman"/>
          <w:noProof/>
        </w:rPr>
      </w:pPr>
      <w:r>
        <w:rPr>
          <w:noProof/>
        </w:rPr>
        <w:t>Определение (член 3)</w:t>
      </w:r>
    </w:p>
    <w:p w14:paraId="586033BE" w14:textId="64B8367A" w:rsidR="00900632" w:rsidRPr="00A41A48" w:rsidRDefault="00AF069B" w:rsidP="00AF069B">
      <w:pPr>
        <w:spacing w:after="200"/>
        <w:jc w:val="both"/>
        <w:rPr>
          <w:rFonts w:ascii="Times New Roman" w:hAnsi="Times New Roman" w:cs="Times New Roman"/>
          <w:noProof/>
          <w:sz w:val="24"/>
          <w:szCs w:val="24"/>
        </w:rPr>
      </w:pPr>
      <w:r>
        <w:rPr>
          <w:rFonts w:ascii="Times New Roman" w:hAnsi="Times New Roman"/>
          <w:noProof/>
          <w:sz w:val="24"/>
        </w:rPr>
        <w:t>Член 3 от Директивата определя правната помощ за целите на Директивата като финансиране от държава членка на а помощта от адвокат, осигуряваща упражняване на правото на достъп до адвокат. В съображение 8 от Директивата се посочва, че правната помощ следва да покрива разходите за защита на заподозрените, обвиняемите и исканите за предаване лица и че при предоставянето на правна помощ компетентните органи на държавите членки следва да могат да изискват от заподозрените, обвиняемите или исканите за предаване лица да поемат част от тези разходи в зависимост от финансовите си ресурси.</w:t>
      </w:r>
    </w:p>
    <w:p w14:paraId="7DADDFA1" w14:textId="7CD31DC5" w:rsidR="00B4432B" w:rsidRPr="00A41A48" w:rsidRDefault="00AF069B" w:rsidP="005036CD">
      <w:pPr>
        <w:spacing w:after="200"/>
        <w:jc w:val="both"/>
        <w:rPr>
          <w:rFonts w:ascii="Times New Roman" w:hAnsi="Times New Roman" w:cs="Times New Roman"/>
          <w:noProof/>
          <w:sz w:val="24"/>
          <w:szCs w:val="24"/>
        </w:rPr>
      </w:pPr>
      <w:r>
        <w:rPr>
          <w:rFonts w:ascii="Times New Roman" w:hAnsi="Times New Roman"/>
          <w:noProof/>
          <w:sz w:val="24"/>
        </w:rPr>
        <w:t xml:space="preserve">Освен посоченото в съображение 8, въпросът за възстановяването на разходи за правна помощ, макар и релевантен, не е пряко уреден в Директивата. Въпреки това в някои случаи националните разпоредби относно възстановяването на разходи могат да окажат въздействие върху оценката на специфичните изисквания на Директивата по отношение на момента, в който е взето решението за правна помощ, или по отношение на правната сигурност. </w:t>
      </w:r>
    </w:p>
    <w:p w14:paraId="12691B01" w14:textId="488B8413" w:rsidR="005036CD" w:rsidRPr="00A41A48" w:rsidRDefault="009D0822" w:rsidP="005036CD">
      <w:pPr>
        <w:spacing w:after="80"/>
        <w:jc w:val="both"/>
        <w:rPr>
          <w:rFonts w:ascii="Times New Roman" w:hAnsi="Times New Roman" w:cs="Times New Roman"/>
          <w:noProof/>
          <w:sz w:val="24"/>
          <w:szCs w:val="24"/>
        </w:rPr>
      </w:pPr>
      <w:r>
        <w:rPr>
          <w:rFonts w:ascii="Times New Roman" w:hAnsi="Times New Roman"/>
          <w:noProof/>
          <w:sz w:val="24"/>
        </w:rPr>
        <w:t>Деветнадесет от всички държави членки дават възможност за възстановяване на разходите при едно или повече специфични обстоятелства, като например:</w:t>
      </w:r>
    </w:p>
    <w:p w14:paraId="653D9E0C" w14:textId="385D2538" w:rsidR="005036CD" w:rsidRPr="001D7E8D" w:rsidDel="0059124A" w:rsidRDefault="000B2C17" w:rsidP="001D7E8D">
      <w:pPr>
        <w:pStyle w:val="ListParagraph"/>
        <w:numPr>
          <w:ilvl w:val="0"/>
          <w:numId w:val="11"/>
        </w:numPr>
        <w:spacing w:after="80"/>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в 12 държави членки — в случай на присъда, като надлежно се отчита финансовото и/или семейното положение на лицето или дори независимо от това положение, или когато наказателното производство е прекратено поради обстоятелства, които не оневиняват лицето, като например изтичане на давностния срок или амнистия; </w:t>
      </w:r>
    </w:p>
    <w:p w14:paraId="07E52467" w14:textId="39C00C41" w:rsidR="005036CD" w:rsidRPr="001D7E8D" w:rsidRDefault="000B2C17" w:rsidP="001D7E8D">
      <w:pPr>
        <w:pStyle w:val="ListParagraph"/>
        <w:numPr>
          <w:ilvl w:val="0"/>
          <w:numId w:val="11"/>
        </w:numPr>
        <w:spacing w:after="80"/>
        <w:ind w:left="714" w:hanging="357"/>
        <w:contextualSpacing w:val="0"/>
        <w:jc w:val="both"/>
        <w:rPr>
          <w:rFonts w:ascii="Times New Roman" w:hAnsi="Times New Roman" w:cs="Times New Roman"/>
          <w:noProof/>
          <w:sz w:val="24"/>
          <w:szCs w:val="24"/>
        </w:rPr>
      </w:pPr>
      <w:r>
        <w:rPr>
          <w:rFonts w:ascii="Times New Roman" w:hAnsi="Times New Roman"/>
          <w:noProof/>
          <w:sz w:val="24"/>
        </w:rPr>
        <w:t>в 8 държави членки — когато се установи, че лицето не е имало право на правна помощ, е представило неверни твърдения, не е оказало съдействие или е злоупотребило с правна помощ, или не е уведомило органите, че основанията за предоставяне на правна помощ вече не съществуват, или когато разходите за правна помощ са понесени поради небрежност; както и</w:t>
      </w:r>
    </w:p>
    <w:p w14:paraId="7CB2486C" w14:textId="17A2F6D4" w:rsidR="0059124A" w:rsidRPr="001D7E8D" w:rsidRDefault="000B2C17" w:rsidP="001D7E8D">
      <w:pPr>
        <w:pStyle w:val="ListParagraph"/>
        <w:numPr>
          <w:ilvl w:val="0"/>
          <w:numId w:val="11"/>
        </w:numPr>
        <w:spacing w:after="80"/>
        <w:ind w:left="714" w:hanging="357"/>
        <w:contextualSpacing w:val="0"/>
        <w:jc w:val="both"/>
        <w:rPr>
          <w:rFonts w:ascii="Times New Roman" w:hAnsi="Times New Roman" w:cs="Times New Roman"/>
          <w:noProof/>
          <w:sz w:val="24"/>
          <w:szCs w:val="24"/>
        </w:rPr>
      </w:pPr>
      <w:r>
        <w:rPr>
          <w:rFonts w:ascii="Times New Roman" w:hAnsi="Times New Roman"/>
          <w:noProof/>
          <w:sz w:val="24"/>
        </w:rPr>
        <w:t>в 4 държави членки, в които финансовото положение на получателя на правна помощ се е подобрило.</w:t>
      </w:r>
    </w:p>
    <w:p w14:paraId="1132B4D8" w14:textId="77777777" w:rsidR="009D7340" w:rsidRPr="00A41A48" w:rsidRDefault="009D7340" w:rsidP="005036CD">
      <w:pPr>
        <w:spacing w:after="80"/>
        <w:jc w:val="both"/>
        <w:rPr>
          <w:rFonts w:ascii="Times New Roman" w:hAnsi="Times New Roman" w:cs="Times New Roman"/>
          <w:noProof/>
          <w:sz w:val="24"/>
          <w:szCs w:val="24"/>
        </w:rPr>
      </w:pPr>
    </w:p>
    <w:p w14:paraId="5E916299" w14:textId="77777777" w:rsidR="00B4432B" w:rsidRPr="00A41A48" w:rsidRDefault="002B54FE" w:rsidP="00B4432B">
      <w:pPr>
        <w:pStyle w:val="Heading2"/>
        <w:rPr>
          <w:rFonts w:cs="Times New Roman"/>
          <w:noProof/>
        </w:rPr>
      </w:pPr>
      <w:r>
        <w:rPr>
          <w:noProof/>
        </w:rPr>
        <w:t>Правна помощ при наказателни производства (член 4)</w:t>
      </w:r>
    </w:p>
    <w:p w14:paraId="0A808218" w14:textId="7041489D" w:rsidR="003C13B7" w:rsidRPr="00A41A48" w:rsidRDefault="00F03546" w:rsidP="00F03546">
      <w:pPr>
        <w:spacing w:after="200"/>
        <w:jc w:val="both"/>
        <w:rPr>
          <w:rFonts w:ascii="Times New Roman" w:hAnsi="Times New Roman" w:cs="Times New Roman"/>
          <w:noProof/>
          <w:sz w:val="24"/>
          <w:szCs w:val="24"/>
        </w:rPr>
      </w:pPr>
      <w:r>
        <w:rPr>
          <w:rFonts w:ascii="Times New Roman" w:hAnsi="Times New Roman"/>
          <w:noProof/>
          <w:sz w:val="24"/>
        </w:rPr>
        <w:t>Член 4, параграфи 1 и 2 от Директивата изисква от държавите членки да гарантират, че заподозрените и обвиняемите имат право на правна помощ, когато не разполагат с достатъчно средства за заплащане на помощта от адвокат (проверка на средствата) и/или когато интересите на правосъдието го изискват (проверка на целесъобразността). Това оставя известна свобода на преценка на държавите членки. По принцип те могат да запазят структурата на различните си системи за правна помощ, доколкото прилагането на съответните им национални правила не ограничава или не дерогира правата и процесуалните гаранции, гарантирани от Хартата на основните права на Европейския съюз и Европейската конвенция за правата на човека, както се тълкуват от Съда на Европейския съюз и от Европейския съд по правата на човека (съображение 17, последно изречение от Директивата).</w:t>
      </w:r>
    </w:p>
    <w:p w14:paraId="7F0B8584" w14:textId="6F8C9764" w:rsidR="00B4432B" w:rsidRPr="00A41A48" w:rsidRDefault="00F03546" w:rsidP="00F03546">
      <w:pPr>
        <w:spacing w:after="200"/>
        <w:jc w:val="both"/>
        <w:rPr>
          <w:rFonts w:ascii="Times New Roman" w:hAnsi="Times New Roman" w:cs="Times New Roman"/>
          <w:noProof/>
          <w:sz w:val="24"/>
          <w:szCs w:val="24"/>
        </w:rPr>
      </w:pPr>
      <w:r>
        <w:rPr>
          <w:rFonts w:ascii="Times New Roman" w:hAnsi="Times New Roman"/>
          <w:noProof/>
          <w:sz w:val="24"/>
        </w:rPr>
        <w:t>Свързаното съображение 18 от Директивата гласи: „Държавите членки следва да установят практически правила във връзка с предоставянето на правна помощ. Такива правила биха могли да определят, че правна помощ се предоставя по искане на заподозрян, обвиняем или искано за предаване лице. С оглед на конкретните потребности на уязвимите лица, такова искане обаче не следва да бъде материално условие за предоставянето на правна помощ “.</w:t>
      </w:r>
    </w:p>
    <w:p w14:paraId="780E1EFF" w14:textId="414FD8CB" w:rsidR="006C14BF" w:rsidRPr="00A41A48" w:rsidRDefault="000A79E3" w:rsidP="00B4432B">
      <w:pPr>
        <w:spacing w:after="200"/>
        <w:jc w:val="both"/>
        <w:rPr>
          <w:rFonts w:ascii="Times New Roman" w:hAnsi="Times New Roman" w:cs="Times New Roman"/>
          <w:noProof/>
          <w:sz w:val="24"/>
          <w:szCs w:val="24"/>
        </w:rPr>
      </w:pPr>
      <w:r>
        <w:rPr>
          <w:rFonts w:ascii="Times New Roman" w:hAnsi="Times New Roman"/>
          <w:noProof/>
          <w:sz w:val="24"/>
        </w:rPr>
        <w:t>Бе установено, че 3 държави членки изискват подаването на официална молба за правна помощ и не предоставят никакви възможности за предоставяне на правна помощ служебно. Следователно изискването за подаване на официално искане в тези държави членки може да доведе до материално условие за предоставяне на правна помощ по смисъла на съображение 18 от Директивата. В една от тези държави членки обаче това се смекчава от факта, че националното законодателство гарантира, че наказателните органи информират засегнатото лице за правото му на правна помощ, и от факта, че националната адвокатска колегия може да извършва авансови плащания на разноски и такси до вземането на официално решение.</w:t>
      </w:r>
    </w:p>
    <w:p w14:paraId="50C81B31" w14:textId="7B255ABC" w:rsidR="003675CF" w:rsidRPr="00A41A48" w:rsidRDefault="006C14BF" w:rsidP="00B4432B">
      <w:pPr>
        <w:spacing w:after="200"/>
        <w:jc w:val="both"/>
        <w:rPr>
          <w:rFonts w:ascii="Times New Roman" w:hAnsi="Times New Roman" w:cs="Times New Roman"/>
          <w:noProof/>
          <w:sz w:val="24"/>
          <w:szCs w:val="24"/>
        </w:rPr>
      </w:pPr>
      <w:r>
        <w:rPr>
          <w:rFonts w:ascii="Times New Roman" w:hAnsi="Times New Roman"/>
          <w:noProof/>
          <w:sz w:val="24"/>
        </w:rPr>
        <w:t>Докато 5 държави членки прилагат само проверка на средствата, а 3 държави членки — само проверка на целесъобразността, 16 държави членки прилагат както проверка на средствата, така и проверка на целесъобразността. От всички държави членки една не е упражнила възможността да подложи правото на правна помощ на проверка на средствата или целесъобразността. В резултат на това правото на правна помощ е безусловно и държавата членка не е транспонирала член 4, параграфи 2 — 4, тъй като не е приложим в националния контекст.</w:t>
      </w:r>
    </w:p>
    <w:p w14:paraId="27C7F8B3" w14:textId="7BADD8F3" w:rsidR="00FE3E75" w:rsidRPr="00A41A48" w:rsidRDefault="006B422F" w:rsidP="00713FD4">
      <w:pPr>
        <w:spacing w:after="200"/>
        <w:jc w:val="both"/>
        <w:rPr>
          <w:rFonts w:ascii="Times New Roman" w:hAnsi="Times New Roman" w:cs="Times New Roman"/>
          <w:noProof/>
          <w:sz w:val="24"/>
          <w:szCs w:val="24"/>
        </w:rPr>
      </w:pPr>
      <w:r>
        <w:rPr>
          <w:rFonts w:ascii="Times New Roman" w:hAnsi="Times New Roman"/>
          <w:noProof/>
          <w:sz w:val="24"/>
        </w:rPr>
        <w:t>В 19 от държавите членки, прилагащи проверка на средствата, законът изглежда е в съответствие с член 4, параграф 3 от Директивата, който изисква от тези държави членки да вземат предвид всички релевантни и обективни фактори, като доходите, капитала и семейното положение на съответното лице, както и разходите за помощта от адвокат и жизнения стандарт в тази държава членка, за да определи дали, в съответствие с приложимите критерии в тази държава членка, заподозреният или обвиняемият не разполага с достатъчно средства за заплащане на помощ от адвокат. Държавите членки, които прилагат проверка на средствата, използват различни критерии за определяне на допустимостта за получаване на правна помощ. От всички държави членки 9 се основават на общи клаузи, например общи позовавания на социално-икономическото или финансовото положение на кандидата за правна помощ, като по този начин се дава възможност за по-голяма гъвкавост. От друга страна, 12 държави членки са предвидили по-подробни разпоредби, определящи специфични критерии и/или фиксиран праг. Само в 2 държави членки, които прилагат проверка на средствата, националните мерки не са в пълно съответствие с член 4, параграф 3 от Директивата. В една от тях това се дължи на презумпцията, че определени категории заподозрени и обвиняеми имат доходи над прага за получаване на достъп до правна помощ. Тази презумпция също така изключва възможността за предоставяне на правна помощ в бъдещи производства, независимо от естеството на тези производства и от процесуалния статус на заинтересованото лице. В другия случай неспазването на член 4, параграф 3 се дължи на липсата на конкретни критерии за оценка на финансовото положение на съответното лице, съчетано с факта, че проверката на средствата се прилага едва в края на производството, когато се взема решение относно евентуалното възстановяване на разноските.</w:t>
      </w:r>
      <w:r>
        <w:rPr>
          <w:rFonts w:ascii="Times New Roman" w:hAnsi="Times New Roman"/>
          <w:noProof/>
          <w:sz w:val="24"/>
        </w:rPr>
        <w:noBreakHyphen/>
      </w:r>
    </w:p>
    <w:p w14:paraId="3D9CB2F5" w14:textId="55C78CB4" w:rsidR="00A05E85" w:rsidRPr="00A41A48" w:rsidRDefault="00584EFF" w:rsidP="00B4432B">
      <w:pPr>
        <w:spacing w:after="200"/>
        <w:jc w:val="both"/>
        <w:rPr>
          <w:rFonts w:ascii="Times New Roman" w:hAnsi="Times New Roman" w:cs="Times New Roman"/>
          <w:noProof/>
          <w:sz w:val="24"/>
          <w:szCs w:val="24"/>
        </w:rPr>
      </w:pPr>
      <w:r>
        <w:rPr>
          <w:rFonts w:ascii="Times New Roman" w:hAnsi="Times New Roman"/>
          <w:noProof/>
          <w:sz w:val="24"/>
        </w:rPr>
        <w:t>Член 4, параграф 4, първо изречение от Директивата изисква държавите членки, които прилагат проверка на целесъобразността, да вземат предвид тежестта на престъплението, сложността на случая и сериозността на съответната санкция, за да определят дали интересите на правосъдието изискват предоставянето на правна помощ. От всички държави членки, които прилагат проверка на целесъобразността, 7 са определили специфични критерии за такива проверки в тесния смисъл на думата. По-голямата част (18) от държавите членки, които прилагат проверка на целесъобразността, разполагат със системи за задължителна защита, които представляват проверка на целесъобразността, както е посочено във връзка с член 2, параграф 1, буква б) от Директивата (вж. раздел 3.1 от настоящия доклад). Националните законодателства на 5 държави членки също съдържат общи позовавания на интересите на правосъдието, но само 1 държава членка, която прилага проверката за целесъобразността, използва само такова общо позоваване. В тази държава членка съдът прилага критерия „интереси на правосъдието“ по дискреционен начин в зависимост от обстоятелствата по делото. В действителност обаче, когато заподозрените или обвиняемите отговарят на изискванията за проверка на средствата, съдът — според посоченото от заинтересованите страни — автоматично приема, че предоставянето на правна помощ е в интерес на правосъдието, и следователно приема, че изискванията на проверката на целесъобразността също са изпълнени.</w:t>
      </w:r>
    </w:p>
    <w:p w14:paraId="3F8A493B" w14:textId="1C15BD45" w:rsidR="004935A1" w:rsidRPr="00A41A48" w:rsidRDefault="004935A1" w:rsidP="001D7FED">
      <w:pPr>
        <w:spacing w:after="120"/>
        <w:jc w:val="both"/>
        <w:rPr>
          <w:rFonts w:ascii="Times New Roman" w:hAnsi="Times New Roman" w:cs="Times New Roman"/>
          <w:noProof/>
          <w:sz w:val="24"/>
          <w:szCs w:val="24"/>
        </w:rPr>
      </w:pPr>
      <w:r>
        <w:rPr>
          <w:rFonts w:ascii="Times New Roman" w:hAnsi="Times New Roman"/>
          <w:noProof/>
          <w:sz w:val="24"/>
        </w:rPr>
        <w:t>Член 4, параграф 4, второ изречение от Директивата изброява случаите, в които изискванията за проверка на целесъобразността трябва да се считат за изпълнени, а именно:</w:t>
      </w:r>
    </w:p>
    <w:p w14:paraId="37282950" w14:textId="636DC110" w:rsidR="004935A1" w:rsidRPr="001D7E8D" w:rsidRDefault="004935A1" w:rsidP="001D7E8D">
      <w:pPr>
        <w:pStyle w:val="ListParagraph"/>
        <w:numPr>
          <w:ilvl w:val="0"/>
          <w:numId w:val="13"/>
        </w:numPr>
        <w:spacing w:after="120"/>
        <w:contextualSpacing w:val="0"/>
        <w:jc w:val="both"/>
        <w:rPr>
          <w:rFonts w:ascii="Times New Roman" w:hAnsi="Times New Roman" w:cs="Times New Roman"/>
          <w:noProof/>
          <w:sz w:val="24"/>
          <w:szCs w:val="24"/>
        </w:rPr>
      </w:pPr>
      <w:r>
        <w:rPr>
          <w:rFonts w:ascii="Times New Roman" w:hAnsi="Times New Roman"/>
          <w:noProof/>
          <w:sz w:val="24"/>
        </w:rPr>
        <w:t>когато заподозрян или обвиняем се яви пред компетентен съд или съдия с оглед вземане на решение относно задържане под стража на всеки етап на производството, попадащ в обхвата на Директивата; както и</w:t>
      </w:r>
    </w:p>
    <w:p w14:paraId="1AC5A37A" w14:textId="04945D54" w:rsidR="004935A1" w:rsidRPr="001D7E8D" w:rsidRDefault="004935A1" w:rsidP="001D7E8D">
      <w:pPr>
        <w:pStyle w:val="ListParagraph"/>
        <w:numPr>
          <w:ilvl w:val="0"/>
          <w:numId w:val="13"/>
        </w:numPr>
        <w:spacing w:after="200"/>
        <w:contextualSpacing w:val="0"/>
        <w:jc w:val="both"/>
        <w:rPr>
          <w:rFonts w:ascii="Times New Roman" w:hAnsi="Times New Roman" w:cs="Times New Roman"/>
          <w:noProof/>
          <w:sz w:val="24"/>
          <w:szCs w:val="24"/>
        </w:rPr>
      </w:pPr>
      <w:r>
        <w:rPr>
          <w:rFonts w:ascii="Times New Roman" w:hAnsi="Times New Roman"/>
          <w:noProof/>
          <w:sz w:val="24"/>
        </w:rPr>
        <w:t>по време на задържането.</w:t>
      </w:r>
    </w:p>
    <w:p w14:paraId="2B1D48C0" w14:textId="651D6042" w:rsidR="00584EFF" w:rsidRPr="00A41A48" w:rsidRDefault="006B3C17" w:rsidP="004935A1">
      <w:pPr>
        <w:spacing w:after="200"/>
        <w:jc w:val="both"/>
        <w:rPr>
          <w:rFonts w:ascii="Times New Roman" w:hAnsi="Times New Roman" w:cs="Times New Roman"/>
          <w:noProof/>
          <w:sz w:val="24"/>
          <w:szCs w:val="24"/>
        </w:rPr>
      </w:pPr>
      <w:r>
        <w:rPr>
          <w:rFonts w:ascii="Times New Roman" w:hAnsi="Times New Roman"/>
          <w:noProof/>
          <w:sz w:val="24"/>
        </w:rPr>
        <w:t>В 11 държави членки, които прилагат проверка на целесъобразността, бяха установени проблеми със съответствието, свързани предимно с буква а) по-горе. Тези въпроси се отнасят предимно до случаи, при които се взема решение за предварително задържане, докато дадено лице (все още) не е задържано.</w:t>
      </w:r>
      <w:r>
        <w:rPr>
          <w:rFonts w:ascii="Times New Roman" w:hAnsi="Times New Roman"/>
          <w:noProof/>
          <w:sz w:val="24"/>
        </w:rPr>
        <w:noBreakHyphen/>
        <w:t xml:space="preserve"> Бяха установени обаче и проблеми със съответствието в случаите, когато дадено лице вече е било задържано от полицията.</w:t>
      </w:r>
    </w:p>
    <w:p w14:paraId="1D7CC7E4" w14:textId="0D1496B0" w:rsidR="00A05E85" w:rsidRDefault="00DF1CC4" w:rsidP="00DF1CC4">
      <w:pPr>
        <w:spacing w:after="200"/>
        <w:jc w:val="both"/>
        <w:rPr>
          <w:rFonts w:ascii="Times New Roman" w:hAnsi="Times New Roman" w:cs="Times New Roman"/>
          <w:noProof/>
          <w:sz w:val="24"/>
          <w:szCs w:val="24"/>
        </w:rPr>
      </w:pPr>
      <w:r>
        <w:rPr>
          <w:rFonts w:ascii="Times New Roman" w:hAnsi="Times New Roman"/>
          <w:noProof/>
          <w:sz w:val="24"/>
        </w:rPr>
        <w:t>Член 4, параграф 5 от Директивата изисква от държавите членки да гарантират, че правната помощ се предоставя без ненужно забавяне и най-късно преди разпита от полицията, от друг правоприлагащ орган или съдебен орган, или преди следствените действия или действията по събиране на доказателства, посочени в член 2, параграф 1, буква в) от Директивата, да бъдат извършени. В този контекст се отбелязва, че 14 държави членки предвиждат временна или спешна правна помощ. Въпреки това в 22 държави членки бяха установени проблеми със съответствието по отношение на член 4, параграф 5. В много от тези държави членки (17) достъпът до адвокат може да бъде предоставен своевременно (като се прилага Директива 2013/48/ЕС), но правото на (временна) правна помощ, предвидено в член 4, параграф 5 от Директивата, не е ясно предвидено. Тези въпроси за съответствието са свързани с неправилното транспониране на приложното поле на Директивата и с графика, в който се предоставя правна помощ, както като цяло, така и в конкретни случаи. Освен това бяха установени проблеми със съответствието, когато подаването на официално искане е определено като материалноправно условие за предоставяне на правна помощ.</w:t>
      </w:r>
    </w:p>
    <w:p w14:paraId="67E349E9" w14:textId="77777777" w:rsidR="009D7340" w:rsidRPr="00A41A48" w:rsidRDefault="009D7340" w:rsidP="00DF1CC4">
      <w:pPr>
        <w:spacing w:after="200"/>
        <w:jc w:val="both"/>
        <w:rPr>
          <w:rFonts w:ascii="Times New Roman" w:hAnsi="Times New Roman" w:cs="Times New Roman"/>
          <w:noProof/>
          <w:sz w:val="24"/>
          <w:szCs w:val="24"/>
        </w:rPr>
      </w:pPr>
    </w:p>
    <w:p w14:paraId="570D3D02" w14:textId="77777777" w:rsidR="00DF1CC4" w:rsidRPr="00A41A48" w:rsidRDefault="00F46061" w:rsidP="00F46061">
      <w:pPr>
        <w:pStyle w:val="Heading2"/>
        <w:rPr>
          <w:rFonts w:cs="Times New Roman"/>
          <w:noProof/>
        </w:rPr>
      </w:pPr>
      <w:r>
        <w:rPr>
          <w:noProof/>
        </w:rPr>
        <w:t>Правна помощ в рамките на производството по европейската заповед за арест (член 5)</w:t>
      </w:r>
    </w:p>
    <w:p w14:paraId="31EA64FF" w14:textId="27B1F98D" w:rsidR="00F46061" w:rsidRPr="00A41A48" w:rsidRDefault="00827E35" w:rsidP="00DF1CC4">
      <w:pPr>
        <w:spacing w:after="200"/>
        <w:jc w:val="both"/>
        <w:rPr>
          <w:rFonts w:ascii="Times New Roman" w:hAnsi="Times New Roman" w:cs="Times New Roman"/>
          <w:noProof/>
          <w:sz w:val="24"/>
          <w:szCs w:val="24"/>
        </w:rPr>
      </w:pPr>
      <w:r>
        <w:rPr>
          <w:rFonts w:ascii="Times New Roman" w:hAnsi="Times New Roman"/>
          <w:noProof/>
          <w:sz w:val="24"/>
        </w:rPr>
        <w:t>Член 5, параграф 1 от Директивата изисква от държавите членки, изпълняващи европейска заповед за арест, да гарантират, че лицата, издирвани по силата на европейска заповед за арест, имат право на правна помощ от момента на арестуването им в тази държава членка до предаването им или докато решението относно непредаването им влезе в сила.</w:t>
      </w:r>
    </w:p>
    <w:p w14:paraId="08315A5D" w14:textId="608DFBD7" w:rsidR="00C27387" w:rsidRPr="00A41A48" w:rsidRDefault="00CE46E1" w:rsidP="00DF1CC4">
      <w:pPr>
        <w:spacing w:after="200"/>
        <w:jc w:val="both"/>
        <w:rPr>
          <w:rFonts w:ascii="Times New Roman" w:hAnsi="Times New Roman" w:cs="Times New Roman"/>
          <w:noProof/>
          <w:sz w:val="24"/>
          <w:szCs w:val="24"/>
        </w:rPr>
      </w:pPr>
      <w:r>
        <w:rPr>
          <w:rFonts w:ascii="Times New Roman" w:hAnsi="Times New Roman"/>
          <w:noProof/>
          <w:sz w:val="24"/>
        </w:rPr>
        <w:t>От всички държави членки 5 изрично са транспонирали правото на правна помощ за лица, издирвани по силата на европейска заповед за арест, като са предвидили специални, самостоятелни разпоредби. За разлика от това законодателството на по-голямата част (20) от държавите членки се основава на препратки към общи разпоредби относно правната помощ в наказателното производство.</w:t>
      </w:r>
    </w:p>
    <w:p w14:paraId="68645F73" w14:textId="778FC8A0" w:rsidR="00C27387" w:rsidRPr="00A41A48" w:rsidRDefault="00FA5854" w:rsidP="00C27387">
      <w:pPr>
        <w:spacing w:after="200"/>
        <w:jc w:val="both"/>
        <w:rPr>
          <w:rFonts w:ascii="Times New Roman" w:hAnsi="Times New Roman" w:cs="Times New Roman"/>
          <w:noProof/>
          <w:sz w:val="24"/>
          <w:szCs w:val="24"/>
        </w:rPr>
      </w:pPr>
      <w:r>
        <w:rPr>
          <w:rFonts w:ascii="Times New Roman" w:hAnsi="Times New Roman"/>
          <w:noProof/>
          <w:sz w:val="24"/>
        </w:rPr>
        <w:t xml:space="preserve">За 15 държави членки бяха установени проблеми със съответствието по отношение на член 5, параграф 1 от Директивата, които произтичат главно от липсата на транспониране на изискването за „от момента на арестуването им“, както беше споменато по-горе във връзка с член 2, параграф 2 (вж. раздел 3.1 от настоящия доклад). Други проблеми, свързани със съответствието, отбелязани в 6 държави членки, са свързани с националните правила, които обвързват предоставянето на правна помощ с официално искане, или с неправилното транспониране на сроковете за вземане на решение за предоставянето на правна помощ, което означава, че на практика, въпреки че по принцип може да съществува право на правна помощ към момента на арестуването, това няма да бъде гарантирано, докато не бъде взето решение. </w:t>
      </w:r>
    </w:p>
    <w:p w14:paraId="6DAEAB6C" w14:textId="623FC5DE" w:rsidR="00C27387" w:rsidRPr="00A41A48" w:rsidRDefault="00C27387" w:rsidP="00C27387">
      <w:pPr>
        <w:spacing w:after="200"/>
        <w:jc w:val="both"/>
        <w:rPr>
          <w:rFonts w:ascii="Times New Roman" w:hAnsi="Times New Roman" w:cs="Times New Roman"/>
          <w:noProof/>
          <w:sz w:val="24"/>
          <w:szCs w:val="24"/>
        </w:rPr>
      </w:pPr>
      <w:r>
        <w:rPr>
          <w:rFonts w:ascii="Times New Roman" w:hAnsi="Times New Roman"/>
          <w:noProof/>
          <w:sz w:val="24"/>
        </w:rPr>
        <w:t>Съгласно член 5, параграф 2 държавите членки, които издават европейска заповед за арест, трябва да гарантират, че исканите за предаване лица, за които има издадена европейска заповед за арест за целите на осъществяване на наказателно преследване, които упражняват правото си да им бъде назначен адвокат в издаващата държава членка, който да подпомага адвоката в изпълняващата държава членка в съответствие с член 10, параграфи 4 и 5 от Директива 2013/48/ЕС относн</w:t>
      </w:r>
      <w:r w:rsidR="00E46630">
        <w:rPr>
          <w:rFonts w:ascii="Times New Roman" w:hAnsi="Times New Roman"/>
          <w:noProof/>
          <w:sz w:val="24"/>
        </w:rPr>
        <w:t>о правото на достъп до адвокат,</w:t>
      </w:r>
      <w:r>
        <w:rPr>
          <w:rFonts w:ascii="Times New Roman" w:hAnsi="Times New Roman"/>
          <w:noProof/>
          <w:sz w:val="24"/>
        </w:rPr>
        <w:t xml:space="preserve"> имат право на правна помощ в издаващата държава за целите на такова производство в изпълняващата държава членка. Националното законодателство на 12 държави членки не е в пълно съответствие с член 5, параграф 2 от Директивата, главно поради липсата на конкретни разпоредби, които да привеждат в действие изискването на Директивата, или поради липсата на ясни препратки, разширяващи приложното поле на разпоредбите относно наказателното производство или правната помощ, така че да обхванат производствата по европейска заповед за арест.</w:t>
      </w:r>
    </w:p>
    <w:p w14:paraId="60F3369C" w14:textId="387659F4" w:rsidR="00C27387" w:rsidRDefault="002C2B48" w:rsidP="00C27387">
      <w:pPr>
        <w:spacing w:after="200"/>
        <w:jc w:val="both"/>
        <w:rPr>
          <w:rFonts w:ascii="Times New Roman" w:hAnsi="Times New Roman" w:cs="Times New Roman"/>
          <w:noProof/>
          <w:sz w:val="24"/>
          <w:szCs w:val="24"/>
        </w:rPr>
      </w:pPr>
      <w:r>
        <w:rPr>
          <w:rFonts w:ascii="Times New Roman" w:hAnsi="Times New Roman"/>
          <w:noProof/>
          <w:sz w:val="24"/>
        </w:rPr>
        <w:t xml:space="preserve">Член 5, параграф 3 от Директивата предвижда, че правото на правна помощ по член 5, параграфи 1 и 2 може да зависи от извършването на проверка на средствата в съответствие с член 4, параграф 3, който се прилага </w:t>
      </w:r>
      <w:r>
        <w:rPr>
          <w:rFonts w:ascii="Times New Roman" w:hAnsi="Times New Roman"/>
          <w:i/>
          <w:noProof/>
          <w:sz w:val="24"/>
        </w:rPr>
        <w:t>mutatis mutandis</w:t>
      </w:r>
      <w:r>
        <w:rPr>
          <w:rFonts w:ascii="Times New Roman" w:hAnsi="Times New Roman"/>
          <w:noProof/>
          <w:sz w:val="24"/>
        </w:rPr>
        <w:t>. Тази разпоредба обаче не предвижда възможността за проверка на целесъобразността в съответствие с член 4, параграф 4 от Директивата. Повече от половината (15) от държавите членки са избрали да прилагат проверка на средствата в съответствие с член 5, параграф 3. Въпреки това в 4 държави членки се отбелязват проблеми със съответствието, които произтичат от: i) прилагането на проверка на целесъобразността в допълнение към проверката на средствата; ii) липса на яснота по отношение на това дали се прилага само проверка на средствата; iii) или недостатъци при транспонирането на член 4, параграф 3 от Директивата, които оказват въздействие и върху съответствието на националното законодателство с член 5, параграф 3 от Директивата (вж. раздел 3.3 от настоящия доклад).</w:t>
      </w:r>
    </w:p>
    <w:p w14:paraId="6A914D32" w14:textId="77777777" w:rsidR="009D7340" w:rsidRPr="00A41A48" w:rsidRDefault="009D7340" w:rsidP="00C27387">
      <w:pPr>
        <w:spacing w:after="200"/>
        <w:jc w:val="both"/>
        <w:rPr>
          <w:rFonts w:ascii="Times New Roman" w:hAnsi="Times New Roman" w:cs="Times New Roman"/>
          <w:noProof/>
          <w:sz w:val="24"/>
          <w:szCs w:val="24"/>
        </w:rPr>
      </w:pPr>
    </w:p>
    <w:p w14:paraId="6D82D98F" w14:textId="77777777" w:rsidR="00827E35" w:rsidRPr="00A41A48" w:rsidRDefault="00745697" w:rsidP="00745697">
      <w:pPr>
        <w:pStyle w:val="Heading2"/>
        <w:rPr>
          <w:rFonts w:cs="Times New Roman"/>
          <w:noProof/>
        </w:rPr>
      </w:pPr>
      <w:r>
        <w:rPr>
          <w:noProof/>
        </w:rPr>
        <w:t>Решения относно предоставянето на правна помощ (член 6)</w:t>
      </w:r>
    </w:p>
    <w:p w14:paraId="4FE12973" w14:textId="2F65A794" w:rsidR="00471AD5" w:rsidRPr="00A41A48" w:rsidRDefault="00471AD5" w:rsidP="00471AD5">
      <w:pPr>
        <w:spacing w:after="200"/>
        <w:jc w:val="both"/>
        <w:rPr>
          <w:rFonts w:ascii="Times New Roman" w:hAnsi="Times New Roman" w:cs="Times New Roman"/>
          <w:noProof/>
          <w:sz w:val="24"/>
          <w:szCs w:val="24"/>
        </w:rPr>
      </w:pPr>
      <w:r>
        <w:rPr>
          <w:rFonts w:ascii="Times New Roman" w:hAnsi="Times New Roman"/>
          <w:noProof/>
          <w:sz w:val="24"/>
        </w:rPr>
        <w:t xml:space="preserve">Член 6, параграф 1 от Директивата изисква решенията относно това дали да се предостави правна помощ и относно назначаването на адвокати да се вземат без ненужно забавяне от компетентен орган. Държавите членки следва също така да вземат подходящи мерки, за да гарантират, че компетентният орган взема своите решения надлежно и при зачитане на правото на защита. </w:t>
      </w:r>
    </w:p>
    <w:p w14:paraId="0C000D34" w14:textId="3B0B2052" w:rsidR="00827E35" w:rsidRPr="00A41A48" w:rsidRDefault="00471AD5" w:rsidP="00471AD5">
      <w:pPr>
        <w:spacing w:after="200"/>
        <w:jc w:val="both"/>
        <w:rPr>
          <w:rFonts w:ascii="Times New Roman" w:hAnsi="Times New Roman" w:cs="Times New Roman"/>
          <w:noProof/>
          <w:sz w:val="24"/>
          <w:szCs w:val="24"/>
        </w:rPr>
      </w:pPr>
      <w:r>
        <w:rPr>
          <w:rFonts w:ascii="Times New Roman" w:hAnsi="Times New Roman"/>
          <w:noProof/>
          <w:sz w:val="24"/>
        </w:rPr>
        <w:t>В съображение 24 от Директивата се пояснява, че компетентният орган следва да бъде независим орган, който е компетентен за вземането на решения относно предоставянето на правна помощ, или съд, включително едноличен съдебен състав. В спешни случаи обаче временното участие на полицията и прокуратурата следва също да бъде възможно, доколкото това е необходимо за предоставянето на правна помощ своевременно.</w:t>
      </w:r>
    </w:p>
    <w:p w14:paraId="790730FF" w14:textId="5418C286" w:rsidR="00471AD5" w:rsidRPr="00A41A48" w:rsidRDefault="00471AD5" w:rsidP="00471AD5">
      <w:pPr>
        <w:spacing w:after="200"/>
        <w:jc w:val="both"/>
        <w:rPr>
          <w:rFonts w:ascii="Times New Roman" w:hAnsi="Times New Roman" w:cs="Times New Roman"/>
          <w:noProof/>
          <w:sz w:val="24"/>
          <w:szCs w:val="24"/>
        </w:rPr>
      </w:pPr>
      <w:r>
        <w:rPr>
          <w:rFonts w:ascii="Times New Roman" w:hAnsi="Times New Roman"/>
          <w:noProof/>
          <w:sz w:val="24"/>
        </w:rPr>
        <w:t>В повечето (23) държави членки решенията за предоставяне на правна помощ се вземат от съд или съдия и/или от служби за правна помощ. Адвокатите, предоставящи индивидуална правна помощ, обикновено се назначават в сътрудничество с националните адвокатски асоциации (обикновено адвокатската колегия). Адвокатите се назначават въз основа на списъци или електронни регистри на адвокатите, предоставящи правна помощ, които се предоставят или управляват от адвокатски асоциации, или се разпределят по отделни дела от самата асоциация. В 2 държави членки правната помощ се организира изцяло от националните адвокатски колегии и техните членове. От друга страна, в 4 държави членки адвокатските колегии не участват пряко.</w:t>
      </w:r>
    </w:p>
    <w:p w14:paraId="23EF8DD1" w14:textId="6F837309" w:rsidR="00E07404" w:rsidRPr="00A41A48" w:rsidRDefault="00471AD5" w:rsidP="00471AD5">
      <w:pPr>
        <w:spacing w:after="200"/>
        <w:jc w:val="both"/>
        <w:rPr>
          <w:rFonts w:ascii="Times New Roman" w:hAnsi="Times New Roman" w:cs="Times New Roman"/>
          <w:noProof/>
          <w:sz w:val="24"/>
          <w:szCs w:val="24"/>
        </w:rPr>
      </w:pPr>
      <w:r>
        <w:rPr>
          <w:rFonts w:ascii="Times New Roman" w:hAnsi="Times New Roman"/>
          <w:noProof/>
          <w:sz w:val="24"/>
        </w:rPr>
        <w:t xml:space="preserve">В 6 държави членки полицията и прокурорите също могат да участват в решението относно правната помощ: i) в специфични видове или етапи от производството; ii) при специфични обстоятелства, като например лишаване от свобода на заподозрян или обвиняем; iii) когато се прилага задължителна отбрана; или iv) във връзка с определени видове правна помощ. </w:t>
      </w:r>
    </w:p>
    <w:p w14:paraId="3820430C" w14:textId="1F5C2545" w:rsidR="00471AD5" w:rsidRPr="00A41A48" w:rsidRDefault="00235956" w:rsidP="00471AD5">
      <w:pPr>
        <w:spacing w:after="200"/>
        <w:jc w:val="both"/>
        <w:rPr>
          <w:rFonts w:ascii="Times New Roman" w:hAnsi="Times New Roman" w:cs="Times New Roman"/>
          <w:noProof/>
          <w:sz w:val="24"/>
          <w:szCs w:val="24"/>
        </w:rPr>
      </w:pPr>
      <w:r>
        <w:rPr>
          <w:rFonts w:ascii="Times New Roman" w:hAnsi="Times New Roman"/>
          <w:noProof/>
          <w:sz w:val="24"/>
        </w:rPr>
        <w:t>В над половината (15) от държавите членки бяха установени проблеми по отношение на транспонирането на член 6, параграф 1 от Директивата. Тези въпроси са свързани главно с момента на постановяване на решението за правна помощ (въпроси, свързани с транспонирането на член 4, параграф 5 от Директивата, като по този начин оказват въздействие и върху транспонирането на член 6, параграф 1 от Директивата) и/или с изискването компетентният орган да вземе решение.</w:t>
      </w:r>
    </w:p>
    <w:p w14:paraId="48B8FF12" w14:textId="33529264" w:rsidR="00831F1E" w:rsidRDefault="00875108" w:rsidP="00471AD5">
      <w:pPr>
        <w:spacing w:after="200"/>
        <w:jc w:val="both"/>
        <w:rPr>
          <w:rFonts w:ascii="Times New Roman" w:hAnsi="Times New Roman" w:cs="Times New Roman"/>
          <w:noProof/>
          <w:sz w:val="24"/>
          <w:szCs w:val="24"/>
        </w:rPr>
      </w:pPr>
      <w:r>
        <w:rPr>
          <w:rFonts w:ascii="Times New Roman" w:hAnsi="Times New Roman"/>
          <w:noProof/>
          <w:sz w:val="24"/>
        </w:rPr>
        <w:t>В 5 държави членки бяха установени проблеми със съответствието по отношение на член 6, параграф 2 от Директивата, който предвижда, че заподозрените, обвиняемите и исканите за предаване лица трябва да бъдат информирани писмено, ако молбата им за правна помощ бъде отхвърлена изцяло или частично.</w:t>
      </w:r>
    </w:p>
    <w:p w14:paraId="5F187AE0" w14:textId="77777777" w:rsidR="009D7340" w:rsidRPr="00A41A48" w:rsidRDefault="009D7340" w:rsidP="00471AD5">
      <w:pPr>
        <w:spacing w:after="200"/>
        <w:jc w:val="both"/>
        <w:rPr>
          <w:rFonts w:ascii="Times New Roman" w:hAnsi="Times New Roman" w:cs="Times New Roman"/>
          <w:noProof/>
          <w:sz w:val="24"/>
          <w:szCs w:val="24"/>
        </w:rPr>
      </w:pPr>
    </w:p>
    <w:p w14:paraId="7C1E3BF6" w14:textId="77777777" w:rsidR="00875108" w:rsidRPr="00A41A48" w:rsidRDefault="00875108" w:rsidP="00875108">
      <w:pPr>
        <w:pStyle w:val="Heading2"/>
        <w:rPr>
          <w:rFonts w:cs="Times New Roman"/>
          <w:noProof/>
        </w:rPr>
      </w:pPr>
      <w:r>
        <w:rPr>
          <w:noProof/>
        </w:rPr>
        <w:t>Качество на услугите и обучението по правна помощ (член 7)</w:t>
      </w:r>
    </w:p>
    <w:p w14:paraId="2EEF582F" w14:textId="77777777" w:rsidR="005974E0" w:rsidRPr="00A41A48" w:rsidRDefault="005974E0" w:rsidP="005974E0">
      <w:pPr>
        <w:spacing w:after="120"/>
        <w:jc w:val="both"/>
        <w:rPr>
          <w:rFonts w:ascii="Times New Roman" w:hAnsi="Times New Roman" w:cs="Times New Roman"/>
          <w:noProof/>
          <w:sz w:val="24"/>
          <w:szCs w:val="24"/>
        </w:rPr>
      </w:pPr>
      <w:r>
        <w:rPr>
          <w:rFonts w:ascii="Times New Roman" w:hAnsi="Times New Roman"/>
          <w:noProof/>
          <w:sz w:val="24"/>
        </w:rPr>
        <w:t xml:space="preserve">Член 7, параграф 1 от Директивата изисква от държавите членки да вземат необходимите мерки, включително по отношение на финансирането, за да гарантират, че: </w:t>
      </w:r>
    </w:p>
    <w:p w14:paraId="2F16DAD1" w14:textId="01C6CF2A" w:rsidR="005974E0" w:rsidRPr="001D7E8D" w:rsidRDefault="005974E0" w:rsidP="001D7E8D">
      <w:pPr>
        <w:pStyle w:val="ListParagraph"/>
        <w:numPr>
          <w:ilvl w:val="0"/>
          <w:numId w:val="15"/>
        </w:numPr>
        <w:spacing w:after="120"/>
        <w:ind w:left="714" w:hanging="357"/>
        <w:contextualSpacing w:val="0"/>
        <w:jc w:val="both"/>
        <w:rPr>
          <w:rFonts w:ascii="Times New Roman" w:hAnsi="Times New Roman" w:cs="Times New Roman"/>
          <w:noProof/>
          <w:sz w:val="24"/>
          <w:szCs w:val="24"/>
        </w:rPr>
      </w:pPr>
      <w:r>
        <w:rPr>
          <w:rFonts w:ascii="Times New Roman" w:hAnsi="Times New Roman"/>
          <w:noProof/>
          <w:sz w:val="24"/>
        </w:rPr>
        <w:t>съществува ефективна и с адекватно качество система за правна помощ; както и</w:t>
      </w:r>
    </w:p>
    <w:p w14:paraId="1AD5524E" w14:textId="430620A6" w:rsidR="005974E0" w:rsidRPr="001D7E8D" w:rsidRDefault="005974E0" w:rsidP="001D7E8D">
      <w:pPr>
        <w:pStyle w:val="ListParagraph"/>
        <w:numPr>
          <w:ilvl w:val="0"/>
          <w:numId w:val="15"/>
        </w:numPr>
        <w:spacing w:after="200"/>
        <w:ind w:left="714" w:hanging="357"/>
        <w:contextualSpacing w:val="0"/>
        <w:jc w:val="both"/>
        <w:rPr>
          <w:rFonts w:ascii="Times New Roman" w:hAnsi="Times New Roman" w:cs="Times New Roman"/>
          <w:noProof/>
          <w:sz w:val="24"/>
          <w:szCs w:val="24"/>
        </w:rPr>
      </w:pPr>
      <w:r>
        <w:rPr>
          <w:rFonts w:ascii="Times New Roman" w:hAnsi="Times New Roman"/>
          <w:noProof/>
          <w:sz w:val="24"/>
        </w:rPr>
        <w:t>услугите за правна помощ са с качество, което е адекватно за гарантиране на справедливостта на производствата, с надлежно зачитане на независимостта на юридическата професия.</w:t>
      </w:r>
    </w:p>
    <w:p w14:paraId="04C32DAA" w14:textId="0C334A39" w:rsidR="00471AD5" w:rsidRPr="00A41A48" w:rsidRDefault="005974E0" w:rsidP="005974E0">
      <w:pPr>
        <w:spacing w:after="200"/>
        <w:jc w:val="both"/>
        <w:rPr>
          <w:rFonts w:ascii="Times New Roman" w:hAnsi="Times New Roman" w:cs="Times New Roman"/>
          <w:noProof/>
          <w:sz w:val="24"/>
          <w:szCs w:val="24"/>
        </w:rPr>
      </w:pPr>
      <w:r>
        <w:rPr>
          <w:rFonts w:ascii="Times New Roman" w:hAnsi="Times New Roman"/>
          <w:noProof/>
          <w:sz w:val="24"/>
        </w:rPr>
        <w:t>Това изискване на Директивата е също така въпрос на практическо прилагане, което може не винаги да изисква транспониране чрез законодателни мерки, ако е налице подходяща правна рамка. В 3 държави членки обаче в националното право, с което се привежда в действие член 7, параграф 1 от Директивата, не могат да бъдат установени конкретни правила. Проблеми бяха открити и в 11 държави членки, които са предприели конкретни мерки по отношение на член 7, параграф 1 от Директивата. Тези проблеми се дължат главно на недостатъчното финансиране на системата за правна помощ, по-ниските хонорари, плащани на адвокатите, предоставящи правна помощ, или неадекватността на системите за подбор на адвокатите, предоставящи правна помощ, което може да има отрицателни последици за качеството на правната помощ. Специалните системи за акредитация или подбор на адвокатите, предоставящи правна помощ, създадени в 4 държави членки, също не са непременно достатъчни сами по себе си, за да се гарантира качеството на услугите за правна помощ.</w:t>
      </w:r>
    </w:p>
    <w:p w14:paraId="4EBB967E" w14:textId="6DA64CB8" w:rsidR="00BD3611" w:rsidRPr="00A41A48" w:rsidRDefault="00A143A8" w:rsidP="005974E0">
      <w:pPr>
        <w:spacing w:after="200"/>
        <w:jc w:val="both"/>
        <w:rPr>
          <w:rFonts w:ascii="Times New Roman" w:hAnsi="Times New Roman" w:cs="Times New Roman"/>
          <w:noProof/>
          <w:sz w:val="24"/>
          <w:szCs w:val="24"/>
        </w:rPr>
      </w:pPr>
      <w:r>
        <w:rPr>
          <w:rFonts w:ascii="Times New Roman" w:hAnsi="Times New Roman"/>
          <w:noProof/>
          <w:sz w:val="24"/>
        </w:rPr>
        <w:t>Повечето държави членки не са транспонирали конкретно разпоредбите на член 7, параграф 2 (23 държави членки) и параграф 3 (18 държави членки) от Директивата, свързани с обучението на персонала, участващ в процеса на вземане на решения относно правната помощ, и адвокатите. В повечето случаи могат да бъдат определени само подходящи мерки от общ характер. Както е посочено по-горе, за тези параграфи не са непременно необходими конкретни мерки за транспониране и тяхното прилагане може да бъде гарантирано на практика.</w:t>
      </w:r>
    </w:p>
    <w:p w14:paraId="0D894169" w14:textId="6E2D9A30" w:rsidR="00A143A8" w:rsidRDefault="00456A5C" w:rsidP="00456A5C">
      <w:pPr>
        <w:spacing w:after="200"/>
        <w:jc w:val="both"/>
        <w:rPr>
          <w:rFonts w:ascii="Times New Roman" w:hAnsi="Times New Roman" w:cs="Times New Roman"/>
          <w:noProof/>
          <w:sz w:val="24"/>
          <w:szCs w:val="24"/>
        </w:rPr>
      </w:pPr>
      <w:r>
        <w:rPr>
          <w:rFonts w:ascii="Times New Roman" w:hAnsi="Times New Roman"/>
          <w:noProof/>
          <w:sz w:val="24"/>
        </w:rPr>
        <w:t>Член 7, параграф 4 от Директивата изисква от държавите членки да гарантират, че заподозрените, обвиняемите и исканите за предаване лица имат право, при искане от тяхна страна, на замяна на адвоката, който е назначен да им предоставя услуги за правна помощ, когато това е оправдано от конкретните обстоятелства. В 11 държави членки бяха установени съответни проблеми със съответствието. В 5 от тези държави членки не бяха установени изрични мерки за транспониране, но разпоредбите относно свободния избор на адвокат, относно отношенията между клиенти и адвокати и относно професионалното и етично поведение на адвокатите могат да бъдат от определено значение. В 6 държави членки установените проблеми със съответствието са свързани с по-ограничения обхват на националните разпоредби или с липсата на правна яснота.</w:t>
      </w:r>
    </w:p>
    <w:p w14:paraId="20EFBAB9" w14:textId="77777777" w:rsidR="009D7340" w:rsidRPr="00A41A48" w:rsidRDefault="009D7340" w:rsidP="00456A5C">
      <w:pPr>
        <w:spacing w:after="200"/>
        <w:jc w:val="both"/>
        <w:rPr>
          <w:rFonts w:ascii="Times New Roman" w:hAnsi="Times New Roman" w:cs="Times New Roman"/>
          <w:noProof/>
          <w:sz w:val="24"/>
          <w:szCs w:val="24"/>
        </w:rPr>
      </w:pPr>
    </w:p>
    <w:p w14:paraId="659F0041" w14:textId="77777777" w:rsidR="00456A5C" w:rsidRPr="00A41A48" w:rsidRDefault="00456A5C" w:rsidP="00BB0150">
      <w:pPr>
        <w:pStyle w:val="Heading2"/>
        <w:rPr>
          <w:rFonts w:cs="Times New Roman"/>
          <w:noProof/>
        </w:rPr>
      </w:pPr>
      <w:r>
        <w:rPr>
          <w:noProof/>
        </w:rPr>
        <w:t>Средства за правна защита (член 8)</w:t>
      </w:r>
    </w:p>
    <w:p w14:paraId="1FD9B6C6" w14:textId="77777777" w:rsidR="00F30B5C" w:rsidRPr="00A41A48" w:rsidRDefault="00F30B5C" w:rsidP="00F30B5C">
      <w:pPr>
        <w:spacing w:after="200"/>
        <w:jc w:val="both"/>
        <w:rPr>
          <w:rFonts w:ascii="Times New Roman" w:hAnsi="Times New Roman" w:cs="Times New Roman"/>
          <w:noProof/>
          <w:sz w:val="24"/>
          <w:szCs w:val="24"/>
        </w:rPr>
      </w:pPr>
      <w:r>
        <w:rPr>
          <w:rFonts w:ascii="Times New Roman" w:hAnsi="Times New Roman"/>
          <w:noProof/>
          <w:sz w:val="24"/>
        </w:rPr>
        <w:t>В член 8 от Директивата изисква от държавите членки да гарантират, че заподозрените, обвиняемите и исканите за предаване лица разполагат с ефективни средства за правна защита съгласно националното право в случай на нарушаване на правата им по Директивата.</w:t>
      </w:r>
    </w:p>
    <w:p w14:paraId="7E4598C0" w14:textId="7D31DAB1" w:rsidR="00F30B5C" w:rsidRDefault="0038646A" w:rsidP="00F30B5C">
      <w:pPr>
        <w:spacing w:after="200"/>
        <w:jc w:val="both"/>
        <w:rPr>
          <w:rFonts w:ascii="Times New Roman" w:hAnsi="Times New Roman" w:cs="Times New Roman"/>
          <w:noProof/>
          <w:sz w:val="24"/>
          <w:szCs w:val="24"/>
        </w:rPr>
      </w:pPr>
      <w:r>
        <w:rPr>
          <w:rFonts w:ascii="Times New Roman" w:hAnsi="Times New Roman"/>
          <w:noProof/>
          <w:sz w:val="24"/>
        </w:rPr>
        <w:t>От всички държави членки 11 предвиждат конкретни средства за правна защита при нарушаване на правото на правна помощ, докато 14 държави членки разчитат единствено на общи средства за правна защита при нарушаване на процесуалните права. В държавите членки, които разполагат с конкретни средства за правна защита, съществуват и общи средства за правна защита при нарушаване на правото на защита.</w:t>
      </w:r>
    </w:p>
    <w:p w14:paraId="1B79E26F" w14:textId="77777777" w:rsidR="009D7340" w:rsidRPr="00A41A48" w:rsidRDefault="009D7340" w:rsidP="00F30B5C">
      <w:pPr>
        <w:spacing w:after="200"/>
        <w:jc w:val="both"/>
        <w:rPr>
          <w:rFonts w:ascii="Times New Roman" w:hAnsi="Times New Roman" w:cs="Times New Roman"/>
          <w:noProof/>
          <w:sz w:val="24"/>
          <w:szCs w:val="24"/>
        </w:rPr>
      </w:pPr>
    </w:p>
    <w:p w14:paraId="4F020140" w14:textId="77777777" w:rsidR="00D32685" w:rsidRPr="00A41A48" w:rsidRDefault="00DA71A2" w:rsidP="00DA71A2">
      <w:pPr>
        <w:pStyle w:val="Heading2"/>
        <w:rPr>
          <w:rFonts w:cs="Times New Roman"/>
          <w:noProof/>
        </w:rPr>
      </w:pPr>
      <w:r>
        <w:rPr>
          <w:noProof/>
        </w:rPr>
        <w:t>Уязвими лица (член 9)</w:t>
      </w:r>
    </w:p>
    <w:p w14:paraId="1AF6C5B3" w14:textId="148EC5F3" w:rsidR="00827E35" w:rsidRPr="00A41A48" w:rsidRDefault="00C12C32" w:rsidP="00C12C32">
      <w:pPr>
        <w:spacing w:after="200"/>
        <w:jc w:val="both"/>
        <w:rPr>
          <w:rFonts w:ascii="Times New Roman" w:hAnsi="Times New Roman" w:cs="Times New Roman"/>
          <w:noProof/>
          <w:sz w:val="24"/>
          <w:szCs w:val="24"/>
        </w:rPr>
      </w:pPr>
      <w:r>
        <w:rPr>
          <w:rFonts w:ascii="Times New Roman" w:hAnsi="Times New Roman"/>
          <w:noProof/>
          <w:sz w:val="24"/>
        </w:rPr>
        <w:t>В член 9 от Директивата се посочва, че държавите членки следва да гарантират, че при прилагането на Директивата се вземат предвид особените нужди на уязвими заподозрени, обвиняеми и искани за предаване лица.</w:t>
      </w:r>
    </w:p>
    <w:p w14:paraId="080B2884" w14:textId="240CD207" w:rsidR="00C12C32" w:rsidRDefault="00C12C32" w:rsidP="00C12C32">
      <w:pPr>
        <w:spacing w:after="200"/>
        <w:jc w:val="both"/>
        <w:rPr>
          <w:rFonts w:ascii="Times New Roman" w:hAnsi="Times New Roman" w:cs="Times New Roman"/>
          <w:noProof/>
          <w:sz w:val="24"/>
          <w:szCs w:val="24"/>
        </w:rPr>
      </w:pPr>
      <w:r>
        <w:rPr>
          <w:rFonts w:ascii="Times New Roman" w:hAnsi="Times New Roman"/>
          <w:noProof/>
          <w:sz w:val="24"/>
        </w:rPr>
        <w:t>Освен когато лицето е дете, в много (18) държави членки се вземат предвид и други специфични уязвимости, които обикновено водят до автоматично предоставяне на правна помощ. Това често се отнася за лица с физически или умствени увреждания, лица, по отношение на които има съмнения относно способността им да се защитават, или лица със специални нужди. Следва например да се вземе предвид и това дали лицето е търсещо убежище, разселено лице, непридружено малолетно или непълнолетно лице, чужденец или лице, което не говори или не разбира езика на държавата членка, в която се провежда производството.</w:t>
      </w:r>
    </w:p>
    <w:p w14:paraId="7C93566B" w14:textId="77777777" w:rsidR="009D7340" w:rsidRPr="00A41A48" w:rsidRDefault="009D7340" w:rsidP="00C12C32">
      <w:pPr>
        <w:spacing w:after="200"/>
        <w:jc w:val="both"/>
        <w:rPr>
          <w:rFonts w:ascii="Times New Roman" w:hAnsi="Times New Roman" w:cs="Times New Roman"/>
          <w:noProof/>
          <w:sz w:val="24"/>
          <w:szCs w:val="24"/>
        </w:rPr>
      </w:pPr>
    </w:p>
    <w:p w14:paraId="2F1E042E" w14:textId="77777777" w:rsidR="00B4432B" w:rsidRPr="00A41A48" w:rsidRDefault="00B4432B" w:rsidP="00B4432B">
      <w:pPr>
        <w:pStyle w:val="Heading1"/>
        <w:rPr>
          <w:rFonts w:cs="Times New Roman"/>
          <w:smallCaps/>
          <w:noProof/>
        </w:rPr>
      </w:pPr>
      <w:r>
        <w:rPr>
          <w:smallCaps/>
          <w:noProof/>
        </w:rPr>
        <w:t>Заключение</w:t>
      </w:r>
    </w:p>
    <w:p w14:paraId="2D932357" w14:textId="77777777" w:rsidR="00B4432B" w:rsidRPr="00A41A48" w:rsidRDefault="00B4432B" w:rsidP="00B4432B">
      <w:pPr>
        <w:rPr>
          <w:rFonts w:ascii="Times New Roman" w:hAnsi="Times New Roman" w:cs="Times New Roman"/>
          <w:noProof/>
          <w:szCs w:val="24"/>
        </w:rPr>
      </w:pPr>
    </w:p>
    <w:p w14:paraId="00BF9727" w14:textId="6DFA643A" w:rsidR="00B4432B" w:rsidRPr="00A41A48" w:rsidRDefault="00B4432B" w:rsidP="00B4432B">
      <w:pPr>
        <w:spacing w:after="200"/>
        <w:jc w:val="both"/>
        <w:rPr>
          <w:rFonts w:ascii="Times New Roman" w:hAnsi="Times New Roman" w:cs="Times New Roman"/>
          <w:noProof/>
          <w:sz w:val="24"/>
          <w:szCs w:val="24"/>
          <w:highlight w:val="yellow"/>
        </w:rPr>
      </w:pPr>
      <w:r>
        <w:rPr>
          <w:rFonts w:ascii="Times New Roman" w:hAnsi="Times New Roman"/>
          <w:noProof/>
          <w:sz w:val="24"/>
        </w:rPr>
        <w:t>Целта на Директивата беше да се подобри ефективното прилагане на правото на правна помощ за заподозрените и обвиняемите в рамките на наказателното производство и за искани за предаване лица в производствата по европейска заповед за арест. Като цяло Директивата осигури добавена стойност за ЕС чрез повишаване на нивото на защита на лицата, участващи в наказателни производства.</w:t>
      </w:r>
    </w:p>
    <w:p w14:paraId="51165EC7" w14:textId="631E84C9" w:rsidR="00B4432B" w:rsidRPr="00A41A48" w:rsidRDefault="00B4432B" w:rsidP="00B4432B">
      <w:pPr>
        <w:spacing w:after="200"/>
        <w:jc w:val="both"/>
        <w:rPr>
          <w:rFonts w:ascii="Times New Roman" w:hAnsi="Times New Roman" w:cs="Times New Roman"/>
          <w:noProof/>
          <w:sz w:val="24"/>
          <w:szCs w:val="24"/>
        </w:rPr>
      </w:pPr>
      <w:r>
        <w:rPr>
          <w:rFonts w:ascii="Times New Roman" w:hAnsi="Times New Roman"/>
          <w:noProof/>
          <w:sz w:val="24"/>
        </w:rPr>
        <w:t>В настоящия доклад обаче се подчертава, че все още се срещат някои трудности при изпълнението на основни разпоредби на Директивата. Това важи особено за националните мерки, които излизат от приложното поле на Директивата (член 2 от Директивата), и за недостатъците във връзка с навременното предоставяне на правна помощ (член 4, параграф 5, член 5, параграф 1 и член 6, параграф 1 от Директивата).</w:t>
      </w:r>
    </w:p>
    <w:p w14:paraId="623EC731" w14:textId="64EBCEA5" w:rsidR="00B4432B" w:rsidRPr="00A41A48" w:rsidRDefault="00B4432B" w:rsidP="00B4432B">
      <w:pPr>
        <w:spacing w:after="200"/>
        <w:jc w:val="both"/>
        <w:rPr>
          <w:rFonts w:ascii="Times New Roman" w:hAnsi="Times New Roman" w:cs="Times New Roman"/>
          <w:noProof/>
          <w:sz w:val="24"/>
          <w:szCs w:val="24"/>
        </w:rPr>
      </w:pPr>
      <w:r>
        <w:rPr>
          <w:rFonts w:ascii="Times New Roman" w:hAnsi="Times New Roman"/>
          <w:noProof/>
          <w:sz w:val="24"/>
        </w:rPr>
        <w:t xml:space="preserve">Комисията ще продължи да оценява съответствието на държавите членки с Директивата и ще предприеме всички подходящи мерки, за да гарантира спазване на нейните разпоредби навсякъде в ЕС. </w:t>
      </w:r>
    </w:p>
    <w:p w14:paraId="1D6C925F" w14:textId="77777777" w:rsidR="004D48A8" w:rsidRPr="00A41A48" w:rsidRDefault="004D48A8" w:rsidP="00B4432B">
      <w:pPr>
        <w:rPr>
          <w:rFonts w:ascii="Times New Roman" w:hAnsi="Times New Roman" w:cs="Times New Roman"/>
          <w:noProof/>
          <w:sz w:val="24"/>
          <w:szCs w:val="24"/>
        </w:rPr>
      </w:pPr>
    </w:p>
    <w:sectPr w:rsidR="004D48A8" w:rsidRPr="00A41A48" w:rsidSect="007169A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AC26" w16cex:dateUtc="2022-11-08T09:21:00Z"/>
  <w16cex:commentExtensible w16cex:durableId="2714B0A6" w16cex:dateUtc="2022-11-08T09:40:00Z"/>
  <w16cex:commentExtensible w16cex:durableId="2714F067" w16cex:dateUtc="2022-11-08T14:12:00Z"/>
  <w16cex:commentExtensible w16cex:durableId="2715F536" w16cex:dateUtc="2022-11-09T08:45:00Z"/>
  <w16cex:commentExtensible w16cex:durableId="27161249" w16cex:dateUtc="2022-11-09T10:49:00Z"/>
  <w16cex:commentExtensible w16cex:durableId="27164F7C" w16cex:dateUtc="2022-11-09T15:10:00Z"/>
  <w16cex:commentExtensible w16cex:durableId="271DE514" w16cex:dateUtc="2022-11-15T09:14:00Z"/>
  <w16cex:commentExtensible w16cex:durableId="27177554" w16cex:dateUtc="2022-11-10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6057C" w16cid:durableId="2714AC26"/>
  <w16cid:commentId w16cid:paraId="37A4F3B8" w16cid:durableId="2714B0A6"/>
  <w16cid:commentId w16cid:paraId="29AED532" w16cid:durableId="2714F067"/>
  <w16cid:commentId w16cid:paraId="59998314" w16cid:durableId="2715F536"/>
  <w16cid:commentId w16cid:paraId="648B54B5" w16cid:durableId="27161249"/>
  <w16cid:commentId w16cid:paraId="6A2508DC" w16cid:durableId="27164F7C"/>
  <w16cid:commentId w16cid:paraId="782C5565" w16cid:durableId="271DE514"/>
  <w16cid:commentId w16cid:paraId="1759AEA3" w16cid:durableId="271775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A1BF" w14:textId="77777777" w:rsidR="00D56870" w:rsidRDefault="00D56870" w:rsidP="007169AA">
      <w:pPr>
        <w:spacing w:after="0" w:line="240" w:lineRule="auto"/>
      </w:pPr>
      <w:r>
        <w:separator/>
      </w:r>
    </w:p>
  </w:endnote>
  <w:endnote w:type="continuationSeparator" w:id="0">
    <w:p w14:paraId="660C790E" w14:textId="77777777" w:rsidR="00D56870" w:rsidRDefault="00D56870" w:rsidP="0071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989A" w14:textId="77777777" w:rsidR="0094691D" w:rsidRPr="0094691D" w:rsidRDefault="0094691D" w:rsidP="00946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1F6CB" w14:textId="4642E874" w:rsidR="0094691D" w:rsidRPr="0094691D" w:rsidRDefault="0094691D" w:rsidP="0094691D">
    <w:pPr>
      <w:pStyle w:val="FooterCoverPage"/>
      <w:rPr>
        <w:rFonts w:ascii="Arial" w:hAnsi="Arial" w:cs="Arial"/>
        <w:b/>
        <w:sz w:val="48"/>
      </w:rPr>
    </w:pPr>
    <w:r w:rsidRPr="0094691D">
      <w:rPr>
        <w:rFonts w:ascii="Arial" w:hAnsi="Arial" w:cs="Arial"/>
        <w:b/>
        <w:sz w:val="48"/>
      </w:rPr>
      <w:t>BG</w:t>
    </w:r>
    <w:r w:rsidRPr="0094691D">
      <w:rPr>
        <w:rFonts w:ascii="Arial" w:hAnsi="Arial" w:cs="Arial"/>
        <w:b/>
        <w:sz w:val="48"/>
      </w:rPr>
      <w:tab/>
    </w:r>
    <w:r w:rsidRPr="0094691D">
      <w:rPr>
        <w:rFonts w:ascii="Arial" w:hAnsi="Arial" w:cs="Arial"/>
        <w:b/>
        <w:sz w:val="48"/>
      </w:rPr>
      <w:tab/>
    </w:r>
    <w:r w:rsidRPr="0094691D">
      <w:tab/>
    </w:r>
    <w:r w:rsidRPr="0094691D">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C1E7" w14:textId="77777777" w:rsidR="0094691D" w:rsidRPr="0094691D" w:rsidRDefault="0094691D" w:rsidP="0094691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95F7" w14:textId="77777777" w:rsidR="00D56870" w:rsidRDefault="00D568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68207"/>
      <w:docPartObj>
        <w:docPartGallery w:val="Page Numbers (Bottom of Page)"/>
        <w:docPartUnique/>
      </w:docPartObj>
    </w:sdtPr>
    <w:sdtEndPr>
      <w:rPr>
        <w:noProof/>
      </w:rPr>
    </w:sdtEndPr>
    <w:sdtContent>
      <w:p w14:paraId="60A173F1" w14:textId="66CAEE64" w:rsidR="00D56870" w:rsidRDefault="00D56870">
        <w:pPr>
          <w:pStyle w:val="Footer"/>
          <w:jc w:val="center"/>
        </w:pPr>
        <w:r>
          <w:fldChar w:fldCharType="begin"/>
        </w:r>
        <w:r>
          <w:instrText xml:space="preserve"> PAGE   \* MERGEFORMAT </w:instrText>
        </w:r>
        <w:r>
          <w:fldChar w:fldCharType="separate"/>
        </w:r>
        <w:r w:rsidR="0094691D">
          <w:rPr>
            <w:noProof/>
          </w:rPr>
          <w:t>1</w:t>
        </w:r>
        <w:r>
          <w:fldChar w:fldCharType="end"/>
        </w:r>
      </w:p>
    </w:sdtContent>
  </w:sdt>
  <w:p w14:paraId="2CE9C596" w14:textId="77777777" w:rsidR="00D56870" w:rsidRDefault="00D568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BDC3" w14:textId="77777777" w:rsidR="00D56870" w:rsidRDefault="00D5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E2C52" w14:textId="77777777" w:rsidR="00D56870" w:rsidRDefault="00D56870" w:rsidP="007169AA">
      <w:pPr>
        <w:spacing w:after="0" w:line="240" w:lineRule="auto"/>
      </w:pPr>
      <w:r>
        <w:separator/>
      </w:r>
    </w:p>
  </w:footnote>
  <w:footnote w:type="continuationSeparator" w:id="0">
    <w:p w14:paraId="37C53529" w14:textId="77777777" w:rsidR="00D56870" w:rsidRDefault="00D56870" w:rsidP="007169AA">
      <w:pPr>
        <w:spacing w:after="0" w:line="240" w:lineRule="auto"/>
      </w:pPr>
      <w:r>
        <w:continuationSeparator/>
      </w:r>
    </w:p>
  </w:footnote>
  <w:footnote w:id="1">
    <w:p w14:paraId="06BE803B" w14:textId="47C40A11" w:rsidR="00D56870" w:rsidRPr="009D7340" w:rsidRDefault="00D56870" w:rsidP="00B4432B">
      <w:pPr>
        <w:pStyle w:val="FootnoteText"/>
        <w:rPr>
          <w:rFonts w:cs="Times New Roman"/>
        </w:rPr>
      </w:pPr>
      <w:r>
        <w:rPr>
          <w:rFonts w:cs="Times New Roman"/>
          <w:vertAlign w:val="superscript"/>
        </w:rPr>
        <w:footnoteRef/>
      </w:r>
      <w:r w:rsidR="003C1505">
        <w:t xml:space="preserve"> </w:t>
      </w:r>
      <w:r>
        <w:t>ОВ L 326, 26.10.2012 г., стр. 391.</w:t>
      </w:r>
    </w:p>
  </w:footnote>
  <w:footnote w:id="2">
    <w:p w14:paraId="554A0DE8" w14:textId="4FD908BD" w:rsidR="00D56870" w:rsidRPr="009D7340" w:rsidRDefault="00D56870" w:rsidP="00B4432B">
      <w:pPr>
        <w:pStyle w:val="FootnoteText"/>
      </w:pPr>
      <w:r>
        <w:rPr>
          <w:rStyle w:val="FootnoteReference"/>
        </w:rPr>
        <w:footnoteRef/>
      </w:r>
      <w:r>
        <w:t xml:space="preserve"> ОВ L 297, 4.11.2016 г., стр. 1; поправка: ОВ L 91, 5.4.2017 г., стр. 40. </w:t>
      </w:r>
    </w:p>
  </w:footnote>
  <w:footnote w:id="3">
    <w:p w14:paraId="15045925" w14:textId="238D624F" w:rsidR="00D56870" w:rsidRPr="009D7340" w:rsidRDefault="00D56870" w:rsidP="00B4432B">
      <w:pPr>
        <w:pStyle w:val="FootnoteText"/>
      </w:pPr>
      <w:r>
        <w:rPr>
          <w:rStyle w:val="FootnoteReference"/>
        </w:rPr>
        <w:footnoteRef/>
      </w:r>
      <w:r w:rsidR="003C1505">
        <w:t xml:space="preserve"> </w:t>
      </w:r>
      <w:r>
        <w:t>ОВ L 326, 26.10.2012 г., стр. 47.</w:t>
      </w:r>
    </w:p>
  </w:footnote>
  <w:footnote w:id="4">
    <w:p w14:paraId="62DCAE71" w14:textId="162ADDCD" w:rsidR="00D56870" w:rsidRPr="009D7340" w:rsidRDefault="00D56870" w:rsidP="00B4432B">
      <w:pPr>
        <w:pStyle w:val="FootnoteText"/>
      </w:pPr>
      <w:r>
        <w:rPr>
          <w:rStyle w:val="FootnoteReference"/>
        </w:rPr>
        <w:footnoteRef/>
      </w:r>
      <w:r>
        <w:t xml:space="preserve"> В съответствие с Протокол № 21 и Протокол № 22 Ирландия и Дания съответно не са обвързани от Директивата. Поради това те не са взети предвид в настоящата оценка.</w:t>
      </w:r>
    </w:p>
  </w:footnote>
  <w:footnote w:id="5">
    <w:p w14:paraId="471D0243" w14:textId="77777777" w:rsidR="00D56870" w:rsidRPr="009D7340" w:rsidRDefault="00D56870" w:rsidP="00B4432B">
      <w:pPr>
        <w:pStyle w:val="FootnoteText"/>
        <w:rPr>
          <w:rFonts w:cs="Times New Roman"/>
        </w:rPr>
      </w:pPr>
      <w:r>
        <w:rPr>
          <w:rStyle w:val="FootnoteReference"/>
        </w:rPr>
        <w:footnoteRef/>
      </w:r>
      <w:r>
        <w:t xml:space="preserve"> Директива 2010/64/ЕС относно правото на устен и писмен превод в наказателното производство, ОВ L 280, 26.10.2010 г., стр. 1.</w:t>
      </w:r>
    </w:p>
  </w:footnote>
  <w:footnote w:id="6">
    <w:p w14:paraId="3EEC9CAE" w14:textId="77777777" w:rsidR="00D56870" w:rsidRPr="009D7340" w:rsidRDefault="00D56870" w:rsidP="00B4432B">
      <w:pPr>
        <w:pStyle w:val="FootnoteText"/>
        <w:rPr>
          <w:rFonts w:cs="Times New Roman"/>
        </w:rPr>
      </w:pPr>
      <w:r>
        <w:rPr>
          <w:rStyle w:val="FootnoteReference"/>
        </w:rPr>
        <w:footnoteRef/>
      </w:r>
      <w:r>
        <w:t xml:space="preserve"> Директива 2012/13/ЕС относно правото на информация в наказателното производство, ОВ L 142, 1.6.2012 г., стр. 1.</w:t>
      </w:r>
    </w:p>
  </w:footnote>
  <w:footnote w:id="7">
    <w:p w14:paraId="16439EF9" w14:textId="058BAF08" w:rsidR="00D56870" w:rsidRPr="009D7340" w:rsidRDefault="00D56870" w:rsidP="00B4432B">
      <w:pPr>
        <w:pStyle w:val="FootnoteText"/>
      </w:pPr>
      <w:r>
        <w:rPr>
          <w:rStyle w:val="FootnoteReference"/>
        </w:rPr>
        <w:footnoteRef/>
      </w:r>
      <w:r>
        <w:t xml:space="preserve"> Директива 2013/48/ЕС относно правото на достъп до адвокат в наказателното производство и в производството по европейска 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 ОВ L 294, 6.11.2013 г., стр. 1.</w:t>
      </w:r>
    </w:p>
  </w:footnote>
  <w:footnote w:id="8">
    <w:p w14:paraId="3B366F2E" w14:textId="77777777" w:rsidR="00D56870" w:rsidRPr="009D7340" w:rsidRDefault="00D56870" w:rsidP="001010ED">
      <w:pPr>
        <w:pStyle w:val="FootnoteText"/>
      </w:pPr>
      <w:r>
        <w:rPr>
          <w:rStyle w:val="FootnoteReference"/>
        </w:rPr>
        <w:footnoteRef/>
      </w:r>
      <w:r>
        <w:t xml:space="preserve"> Директива (EС) 2016/343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ОВ L 65, 11.3.2016 г., стр. 1.</w:t>
      </w:r>
    </w:p>
  </w:footnote>
  <w:footnote w:id="9">
    <w:p w14:paraId="3253FE72" w14:textId="77777777" w:rsidR="00D56870" w:rsidRPr="009D7340" w:rsidRDefault="00D56870" w:rsidP="00B4432B">
      <w:pPr>
        <w:pStyle w:val="FootnoteText"/>
      </w:pPr>
      <w:r>
        <w:rPr>
          <w:rStyle w:val="FootnoteReference"/>
        </w:rPr>
        <w:footnoteRef/>
      </w:r>
      <w:r>
        <w:t xml:space="preserve"> Директива (ЕС) 2016/800 относно процесуалните гаранции за децата, които са заподозрени или обвиняеми в рамките на наказателнoто производствo, ОВ L 132, 21.5.2016 г., стр. 1.</w:t>
      </w:r>
    </w:p>
  </w:footnote>
  <w:footnote w:id="10">
    <w:p w14:paraId="5B5520DF" w14:textId="77777777" w:rsidR="00D56870" w:rsidRPr="009D7340" w:rsidRDefault="00D56870" w:rsidP="001010ED">
      <w:pPr>
        <w:pStyle w:val="FootnoteText"/>
      </w:pPr>
      <w:r>
        <w:rPr>
          <w:rStyle w:val="FootnoteReference"/>
        </w:rPr>
        <w:footnoteRef/>
      </w:r>
      <w:r>
        <w:t xml:space="preserve"> COM(2018) 857 final, COM(2018) 858 final, COM(2019) 560 final и COM(2021) 144 final.</w:t>
      </w:r>
    </w:p>
  </w:footnote>
  <w:footnote w:id="11">
    <w:p w14:paraId="6BDAF376" w14:textId="48D1358A" w:rsidR="00D56870" w:rsidRPr="009D7340" w:rsidRDefault="00D56870" w:rsidP="003669A2">
      <w:pPr>
        <w:pStyle w:val="FootnoteText"/>
        <w:rPr>
          <w:rFonts w:cs="Times New Roman"/>
          <w:highlight w:val="yellow"/>
        </w:rPr>
      </w:pPr>
      <w:r>
        <w:rPr>
          <w:rStyle w:val="FootnoteReference"/>
        </w:rPr>
        <w:footnoteRef/>
      </w:r>
      <w:r w:rsidR="003C1505" w:rsidRPr="003C1505">
        <w:t xml:space="preserve"> </w:t>
      </w:r>
      <w:r>
        <w:t xml:space="preserve">Проучване, извършено от Агенцията на Европейския съюз за основните права, </w:t>
      </w:r>
      <w:r w:rsidR="00E46630">
        <w:rPr>
          <w:i/>
        </w:rPr>
        <w:t>Rights in practice:</w:t>
      </w:r>
      <w:r>
        <w:rPr>
          <w:i/>
        </w:rPr>
        <w:t xml:space="preserve"> access to a lawyer and procedural rights in criminal and European arrest warrant proceeding („Правата на практика: достъп до адвокат и процесуални права в наказателни производства и производства по европейска заповед за арест“).</w:t>
      </w:r>
      <w:r>
        <w:t xml:space="preserve"> На разположение на уебсайта </w:t>
      </w:r>
      <w:hyperlink r:id="rId1" w:history="1">
        <w:r>
          <w:rPr>
            <w:rStyle w:val="Hyperlink"/>
          </w:rPr>
          <w:t>Rights in practice:</w:t>
        </w:r>
      </w:hyperlink>
      <w:hyperlink r:id="rId2" w:history="1">
        <w:r>
          <w:rPr>
            <w:rStyle w:val="Hyperlink"/>
          </w:rPr>
          <w:t xml:space="preserve"> access to a lawyer and procedural rights in criminal and European arrest warrant proceedings (europa.eu)</w:t>
        </w:r>
      </w:hyperlink>
      <w:r>
        <w:rPr>
          <w:color w:val="1F497D"/>
        </w:rPr>
        <w:t>.</w:t>
      </w:r>
    </w:p>
  </w:footnote>
  <w:footnote w:id="12">
    <w:p w14:paraId="49BAD7A6" w14:textId="77A2AA24" w:rsidR="00D56870" w:rsidRPr="009D7340" w:rsidRDefault="00D56870" w:rsidP="00FB387C">
      <w:pPr>
        <w:pStyle w:val="FootnoteText"/>
        <w:rPr>
          <w:rFonts w:cs="Times New Roman"/>
        </w:rPr>
      </w:pPr>
      <w:r>
        <w:rPr>
          <w:rStyle w:val="FootnoteReference"/>
        </w:rPr>
        <w:footnoteRef/>
      </w:r>
      <w:r>
        <w:rPr>
          <w:rStyle w:val="FootnoteReference"/>
        </w:rPr>
        <w:t xml:space="preserve"> </w:t>
      </w:r>
      <w:r>
        <w:t xml:space="preserve">Вж. например проекта, координиран от Унгарския хелзинкски комитет относно правото на адвокат и на правна помощ при наказателни производства в пет европейски юрисдикции, сравнителен доклад, достъпен в </w:t>
      </w:r>
      <w:hyperlink r:id="rId3" w:history="1">
        <w:r>
          <w:rPr>
            <w:rStyle w:val="Hyperlink"/>
          </w:rPr>
          <w:t>Right_to_lawyer_and_legal_aid_COMPARATIVE_REPORT_2018.pdf (helsinki.hu)</w:t>
        </w:r>
      </w:hyperlink>
      <w:r>
        <w:t xml:space="preserve">, и проекта, ръководен от литовския правен институт, „Enhancing the quality of Legal Aid: Common Standards for Different Countries“ („Подобряване на качеството на правната помощ: общи стандарти за различни държави“), информация на разположение на уебсайта </w:t>
      </w:r>
      <w:hyperlink r:id="rId4" w:history="1">
        <w:r>
          <w:rPr>
            <w:rStyle w:val="Hyperlink"/>
          </w:rPr>
          <w:t>Enhancing the quality of Legal Aid:</w:t>
        </w:r>
      </w:hyperlink>
      <w:hyperlink r:id="rId5" w:history="1">
        <w:r>
          <w:rPr>
            <w:rStyle w:val="Hyperlink"/>
          </w:rPr>
          <w:t xml:space="preserve"> Common Standards for Different Countries |</w:t>
        </w:r>
      </w:hyperlink>
      <w:hyperlink r:id="rId6" w:history="1">
        <w:r>
          <w:rPr>
            <w:rStyle w:val="Hyperlink"/>
          </w:rPr>
          <w:t xml:space="preserve"> LTI (teise.org)</w:t>
        </w:r>
      </w:hyperlink>
      <w:r>
        <w:t>.</w:t>
      </w:r>
    </w:p>
  </w:footnote>
  <w:footnote w:id="13">
    <w:p w14:paraId="4F0FFB44" w14:textId="3CDD3904" w:rsidR="00D56870" w:rsidRPr="009D7340" w:rsidRDefault="00D56870" w:rsidP="00B4432B">
      <w:pPr>
        <w:pStyle w:val="FootnoteText"/>
      </w:pPr>
      <w:r>
        <w:rPr>
          <w:rStyle w:val="FootnoteReference"/>
        </w:rPr>
        <w:footnoteRef/>
      </w:r>
      <w:r>
        <w:t xml:space="preserve"> През януари и октомври 2018 г. Комисията организира две срещи на експерти с представители на държавите членки, чиято цел беше да се обсъди и улесни работата на държавите членки по транспонирането и прилагането на Директивата. </w:t>
      </w:r>
    </w:p>
  </w:footnote>
  <w:footnote w:id="14">
    <w:p w14:paraId="33275185" w14:textId="0DE12F30" w:rsidR="00D56870" w:rsidRPr="009D7340" w:rsidRDefault="00D56870" w:rsidP="003D6CE7">
      <w:pPr>
        <w:pStyle w:val="FootnoteText"/>
      </w:pPr>
      <w:r>
        <w:rPr>
          <w:rStyle w:val="FootnoteReference"/>
        </w:rPr>
        <w:footnoteRef/>
      </w:r>
      <w:r>
        <w:t xml:space="preserve"> Вж. по-специално решенията от 5 юни 2018 г., Колев и др., C-612/15; от 19 септември 2019 г., Районна прокуратура Лом, C-467/18; и от 12 март 2020 г., VW, C-659/18.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1E3F" w14:textId="77777777" w:rsidR="0094691D" w:rsidRPr="0094691D" w:rsidRDefault="0094691D" w:rsidP="00946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0F98" w14:textId="77777777" w:rsidR="0094691D" w:rsidRPr="0094691D" w:rsidRDefault="0094691D" w:rsidP="0094691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15368" w14:textId="77777777" w:rsidR="0094691D" w:rsidRPr="0094691D" w:rsidRDefault="0094691D" w:rsidP="0094691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7FB2" w14:textId="77777777" w:rsidR="00D56870" w:rsidRDefault="00D568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8376" w14:textId="77777777" w:rsidR="00D56870" w:rsidRDefault="00D568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92E6" w14:textId="77777777" w:rsidR="00D56870" w:rsidRDefault="00D56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74A"/>
    <w:multiLevelType w:val="hybridMultilevel"/>
    <w:tmpl w:val="6B18177C"/>
    <w:lvl w:ilvl="0" w:tplc="8A66D21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5975844"/>
    <w:multiLevelType w:val="hybridMultilevel"/>
    <w:tmpl w:val="41D88056"/>
    <w:lvl w:ilvl="0" w:tplc="0C5093B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AE6DC0"/>
    <w:multiLevelType w:val="multilevel"/>
    <w:tmpl w:val="167048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EAB10A9"/>
    <w:multiLevelType w:val="hybridMultilevel"/>
    <w:tmpl w:val="0508777A"/>
    <w:lvl w:ilvl="0" w:tplc="BFFEFE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75783"/>
    <w:multiLevelType w:val="hybridMultilevel"/>
    <w:tmpl w:val="9AA07E7A"/>
    <w:lvl w:ilvl="0" w:tplc="B33A340E">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D1C286D"/>
    <w:multiLevelType w:val="hybridMultilevel"/>
    <w:tmpl w:val="4600D1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DFC37EF"/>
    <w:multiLevelType w:val="hybridMultilevel"/>
    <w:tmpl w:val="3D4C20EA"/>
    <w:lvl w:ilvl="0" w:tplc="B33A340E">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1CD44BA2">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E841323"/>
    <w:multiLevelType w:val="hybridMultilevel"/>
    <w:tmpl w:val="CFE28A32"/>
    <w:lvl w:ilvl="0" w:tplc="98B83C3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5468FD"/>
    <w:multiLevelType w:val="hybridMultilevel"/>
    <w:tmpl w:val="656AFB58"/>
    <w:lvl w:ilvl="0" w:tplc="2F8ECCCC">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D83E89"/>
    <w:multiLevelType w:val="hybridMultilevel"/>
    <w:tmpl w:val="1AA6D704"/>
    <w:lvl w:ilvl="0" w:tplc="B33A340E">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E536048"/>
    <w:multiLevelType w:val="hybridMultilevel"/>
    <w:tmpl w:val="F41C5CA6"/>
    <w:lvl w:ilvl="0" w:tplc="A224BA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1323C"/>
    <w:multiLevelType w:val="multilevel"/>
    <w:tmpl w:val="E826A6D4"/>
    <w:lvl w:ilvl="0">
      <w:start w:val="3"/>
      <w:numFmt w:val="decimal"/>
      <w:lvlText w:val="%1"/>
      <w:lvlJc w:val="left"/>
      <w:pPr>
        <w:ind w:left="480" w:hanging="480"/>
      </w:pPr>
    </w:lvl>
    <w:lvl w:ilvl="1">
      <w:start w:val="2"/>
      <w:numFmt w:val="decimal"/>
      <w:lvlText w:val="%1.%2"/>
      <w:lvlJc w:val="left"/>
      <w:pPr>
        <w:ind w:left="1080" w:hanging="480"/>
      </w:pPr>
    </w:lvl>
    <w:lvl w:ilvl="2">
      <w:start w:val="8"/>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2" w15:restartNumberingAfterBreak="0">
    <w:nsid w:val="7FB76DB5"/>
    <w:multiLevelType w:val="hybridMultilevel"/>
    <w:tmpl w:val="29EE1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1"/>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2"/>
  </w:num>
  <w:num w:numId="6">
    <w:abstractNumId w:val="2"/>
  </w:num>
  <w:num w:numId="7">
    <w:abstractNumId w:val="2"/>
  </w:num>
  <w:num w:numId="8">
    <w:abstractNumId w:val="2"/>
  </w:num>
  <w:num w:numId="9">
    <w:abstractNumId w:val="2"/>
  </w:num>
  <w:num w:numId="10">
    <w:abstractNumId w:val="5"/>
  </w:num>
  <w:num w:numId="11">
    <w:abstractNumId w:val="12"/>
  </w:num>
  <w:num w:numId="12">
    <w:abstractNumId w:val="7"/>
  </w:num>
  <w:num w:numId="13">
    <w:abstractNumId w:val="4"/>
  </w:num>
  <w:num w:numId="14">
    <w:abstractNumId w:val="8"/>
  </w:num>
  <w:num w:numId="15">
    <w:abstractNumId w:val="9"/>
  </w:num>
  <w:num w:numId="16">
    <w:abstractNumId w:val="0"/>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6" w:nlCheck="1" w:checkStyle="0"/>
  <w:activeWritingStyle w:appName="MSWord" w:lang="en-GB" w:vendorID="64" w:dllVersion="6" w:nlCheck="1" w:checkStyle="1"/>
  <w:activeWritingStyle w:appName="MSWord" w:lang="pt-PT"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activeWritingStyle w:appName="MSWord" w:lang="pt-PT" w:vendorID="64" w:dllVersion="0" w:nlCheck="1" w:checkStyle="0"/>
  <w:activeWritingStyle w:appName="MSWord" w:lang="es-CU" w:vendorID="64" w:dllVersion="0" w:nlCheck="1" w:checkStyle="0"/>
  <w:activeWritingStyle w:appName="MSWord" w:lang="de-DE" w:vendorID="64" w:dllVersion="0" w:nlCheck="1" w:checkStyle="0"/>
  <w:activeWritingStyle w:appName="MSWord" w:lang="en-GB" w:vendorID="64" w:dllVersion="131078" w:nlCheck="1" w:checkStyle="1"/>
  <w:revisionView w:markup="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12C349E-FF59-4030-98B8-10FF81B53D40"/>
    <w:docVar w:name="LW_COVERPAGE_TYPE" w:val="1"/>
    <w:docVar w:name="LW_CROSSREFERENCE" w:val="&lt;UNUSED&gt;"/>
    <w:docVar w:name="LW_DocType" w:val="NORMAL"/>
    <w:docVar w:name="LW_EMISSION" w:val="1.2.2023"/>
    <w:docVar w:name="LW_EMISSION_ISODATE" w:val="2023-02-01"/>
    <w:docVar w:name="LW_EMISSION_LOCATION" w:val="BRX"/>
    <w:docVar w:name="LW_EMISSION_PREFIX" w:val="\u1041?\u1088?\u1102?\u1082?\u1089?\u1077?\u1083?,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относно прилагането на Директива (ЕС) 2016/1919 на Европейския парламент и на Съвета от 26 октомври 2016 г. относно правната помощ за заподозрени и обвиняеми в рамките на наказателното производство и за искани за предаване лица в рамките на производството по европейска заповед за арест_x000d__x000d__x000d__x000d__x000b__x000d__x000d__x000d__x000d__x000b_"/>
    <w:docVar w:name="LW_TYPE.DOC.CP" w:val="ДОКЛАД НА КОМИСИЯТА ДО ЕВРОПЕЙСКИЯ ПАРЛАМЕНТ И СЪВЕТА"/>
    <w:docVar w:name="LwApiVersions" w:val="LW4CoDe 1.23.2.0; LW 8.0, Build 20211117"/>
  </w:docVars>
  <w:rsids>
    <w:rsidRoot w:val="007169AA"/>
    <w:rsid w:val="0000639D"/>
    <w:rsid w:val="00006DF9"/>
    <w:rsid w:val="0001502F"/>
    <w:rsid w:val="00052BE2"/>
    <w:rsid w:val="000625F2"/>
    <w:rsid w:val="00063B8F"/>
    <w:rsid w:val="00065E59"/>
    <w:rsid w:val="00074664"/>
    <w:rsid w:val="000825D0"/>
    <w:rsid w:val="00092C32"/>
    <w:rsid w:val="000930B2"/>
    <w:rsid w:val="000935F2"/>
    <w:rsid w:val="00094CE3"/>
    <w:rsid w:val="000A79E3"/>
    <w:rsid w:val="000B2C17"/>
    <w:rsid w:val="000B53CE"/>
    <w:rsid w:val="000C39AD"/>
    <w:rsid w:val="000C7619"/>
    <w:rsid w:val="000E06AE"/>
    <w:rsid w:val="000E4631"/>
    <w:rsid w:val="000E503D"/>
    <w:rsid w:val="000E75FB"/>
    <w:rsid w:val="000F55F0"/>
    <w:rsid w:val="001010ED"/>
    <w:rsid w:val="00115B03"/>
    <w:rsid w:val="001415DE"/>
    <w:rsid w:val="00147545"/>
    <w:rsid w:val="00160D25"/>
    <w:rsid w:val="00166E96"/>
    <w:rsid w:val="00171315"/>
    <w:rsid w:val="00187CF4"/>
    <w:rsid w:val="00196170"/>
    <w:rsid w:val="001B12DF"/>
    <w:rsid w:val="001B6C90"/>
    <w:rsid w:val="001B70E9"/>
    <w:rsid w:val="001C4D8E"/>
    <w:rsid w:val="001D3EE8"/>
    <w:rsid w:val="001D5BD1"/>
    <w:rsid w:val="001D7E8D"/>
    <w:rsid w:val="001D7FED"/>
    <w:rsid w:val="001F4210"/>
    <w:rsid w:val="002050C7"/>
    <w:rsid w:val="00214E02"/>
    <w:rsid w:val="00217E15"/>
    <w:rsid w:val="00235956"/>
    <w:rsid w:val="002506A6"/>
    <w:rsid w:val="002560FD"/>
    <w:rsid w:val="00260A6D"/>
    <w:rsid w:val="00273C11"/>
    <w:rsid w:val="00276B00"/>
    <w:rsid w:val="00285228"/>
    <w:rsid w:val="00295CE2"/>
    <w:rsid w:val="002B54FE"/>
    <w:rsid w:val="002C06A6"/>
    <w:rsid w:val="002C2B48"/>
    <w:rsid w:val="002D3C21"/>
    <w:rsid w:val="002D431F"/>
    <w:rsid w:val="002F2DAD"/>
    <w:rsid w:val="0030689F"/>
    <w:rsid w:val="00313A0A"/>
    <w:rsid w:val="0032285F"/>
    <w:rsid w:val="00322F41"/>
    <w:rsid w:val="003360A1"/>
    <w:rsid w:val="00343405"/>
    <w:rsid w:val="0034480C"/>
    <w:rsid w:val="00352B3D"/>
    <w:rsid w:val="00356D25"/>
    <w:rsid w:val="003652B1"/>
    <w:rsid w:val="003653D6"/>
    <w:rsid w:val="003669A2"/>
    <w:rsid w:val="003675CF"/>
    <w:rsid w:val="003729FF"/>
    <w:rsid w:val="0038375A"/>
    <w:rsid w:val="0038646A"/>
    <w:rsid w:val="00392642"/>
    <w:rsid w:val="00393FE2"/>
    <w:rsid w:val="003B13D2"/>
    <w:rsid w:val="003C13B7"/>
    <w:rsid w:val="003C1505"/>
    <w:rsid w:val="003C6A70"/>
    <w:rsid w:val="003D6CE7"/>
    <w:rsid w:val="003E1843"/>
    <w:rsid w:val="0040562D"/>
    <w:rsid w:val="00407F71"/>
    <w:rsid w:val="0041071D"/>
    <w:rsid w:val="00430289"/>
    <w:rsid w:val="004415FC"/>
    <w:rsid w:val="00442A6F"/>
    <w:rsid w:val="00451F4A"/>
    <w:rsid w:val="0045611B"/>
    <w:rsid w:val="00456A5C"/>
    <w:rsid w:val="004613C2"/>
    <w:rsid w:val="00471AD5"/>
    <w:rsid w:val="00474844"/>
    <w:rsid w:val="004751BD"/>
    <w:rsid w:val="004935A1"/>
    <w:rsid w:val="0049535D"/>
    <w:rsid w:val="004A58AF"/>
    <w:rsid w:val="004B7642"/>
    <w:rsid w:val="004C527A"/>
    <w:rsid w:val="004D40AB"/>
    <w:rsid w:val="004D48A8"/>
    <w:rsid w:val="004E0915"/>
    <w:rsid w:val="004E10E9"/>
    <w:rsid w:val="004F1221"/>
    <w:rsid w:val="004F2DF1"/>
    <w:rsid w:val="004F39B4"/>
    <w:rsid w:val="004F554D"/>
    <w:rsid w:val="00501650"/>
    <w:rsid w:val="005036CD"/>
    <w:rsid w:val="00504D6C"/>
    <w:rsid w:val="00505FC0"/>
    <w:rsid w:val="00535AFD"/>
    <w:rsid w:val="0054367A"/>
    <w:rsid w:val="005634C7"/>
    <w:rsid w:val="00564696"/>
    <w:rsid w:val="00564F74"/>
    <w:rsid w:val="00566617"/>
    <w:rsid w:val="005671AA"/>
    <w:rsid w:val="00570C70"/>
    <w:rsid w:val="00574DFB"/>
    <w:rsid w:val="00584EFF"/>
    <w:rsid w:val="0059124A"/>
    <w:rsid w:val="00595F65"/>
    <w:rsid w:val="005974E0"/>
    <w:rsid w:val="00597FC2"/>
    <w:rsid w:val="005A1F45"/>
    <w:rsid w:val="005C1B5E"/>
    <w:rsid w:val="005C5947"/>
    <w:rsid w:val="005D0982"/>
    <w:rsid w:val="005D6733"/>
    <w:rsid w:val="005D779D"/>
    <w:rsid w:val="005F3BE3"/>
    <w:rsid w:val="005F689B"/>
    <w:rsid w:val="00601F65"/>
    <w:rsid w:val="00613991"/>
    <w:rsid w:val="006235D3"/>
    <w:rsid w:val="00642A45"/>
    <w:rsid w:val="00662FE2"/>
    <w:rsid w:val="00670184"/>
    <w:rsid w:val="00680D97"/>
    <w:rsid w:val="006814EB"/>
    <w:rsid w:val="006A47CE"/>
    <w:rsid w:val="006B3C17"/>
    <w:rsid w:val="006B422F"/>
    <w:rsid w:val="006C14BF"/>
    <w:rsid w:val="006C524A"/>
    <w:rsid w:val="006D4D4C"/>
    <w:rsid w:val="006E13E6"/>
    <w:rsid w:val="006E2D00"/>
    <w:rsid w:val="006E440E"/>
    <w:rsid w:val="007034A8"/>
    <w:rsid w:val="00713FD4"/>
    <w:rsid w:val="007169AA"/>
    <w:rsid w:val="0072429E"/>
    <w:rsid w:val="007245E5"/>
    <w:rsid w:val="00727E7A"/>
    <w:rsid w:val="00730E01"/>
    <w:rsid w:val="00745697"/>
    <w:rsid w:val="00753F45"/>
    <w:rsid w:val="00760623"/>
    <w:rsid w:val="00760840"/>
    <w:rsid w:val="00762492"/>
    <w:rsid w:val="00765DB9"/>
    <w:rsid w:val="00780056"/>
    <w:rsid w:val="00792E5D"/>
    <w:rsid w:val="007A3D99"/>
    <w:rsid w:val="007B47A1"/>
    <w:rsid w:val="007C3684"/>
    <w:rsid w:val="007D3DA0"/>
    <w:rsid w:val="007F305E"/>
    <w:rsid w:val="008113CD"/>
    <w:rsid w:val="008209B5"/>
    <w:rsid w:val="00827E35"/>
    <w:rsid w:val="00831F1E"/>
    <w:rsid w:val="00847CA7"/>
    <w:rsid w:val="00856B05"/>
    <w:rsid w:val="00861747"/>
    <w:rsid w:val="00862FDF"/>
    <w:rsid w:val="00874B28"/>
    <w:rsid w:val="00875108"/>
    <w:rsid w:val="008A0B17"/>
    <w:rsid w:val="008A4334"/>
    <w:rsid w:val="008C66E9"/>
    <w:rsid w:val="008D0145"/>
    <w:rsid w:val="008F255D"/>
    <w:rsid w:val="008F50C3"/>
    <w:rsid w:val="008F7155"/>
    <w:rsid w:val="00900632"/>
    <w:rsid w:val="00936D0A"/>
    <w:rsid w:val="009407F4"/>
    <w:rsid w:val="0094204D"/>
    <w:rsid w:val="00942F2A"/>
    <w:rsid w:val="0094691D"/>
    <w:rsid w:val="009819DB"/>
    <w:rsid w:val="00992DE8"/>
    <w:rsid w:val="0099509E"/>
    <w:rsid w:val="009A6B69"/>
    <w:rsid w:val="009B10B3"/>
    <w:rsid w:val="009B4C4C"/>
    <w:rsid w:val="009B564F"/>
    <w:rsid w:val="009B7C5D"/>
    <w:rsid w:val="009C096D"/>
    <w:rsid w:val="009C0AEB"/>
    <w:rsid w:val="009C2638"/>
    <w:rsid w:val="009C655A"/>
    <w:rsid w:val="009D0822"/>
    <w:rsid w:val="009D7340"/>
    <w:rsid w:val="009E5875"/>
    <w:rsid w:val="009E73AB"/>
    <w:rsid w:val="009F02BC"/>
    <w:rsid w:val="009F4B0C"/>
    <w:rsid w:val="009F597D"/>
    <w:rsid w:val="00A00796"/>
    <w:rsid w:val="00A05E85"/>
    <w:rsid w:val="00A10E4E"/>
    <w:rsid w:val="00A11D8D"/>
    <w:rsid w:val="00A139BB"/>
    <w:rsid w:val="00A143A8"/>
    <w:rsid w:val="00A1543E"/>
    <w:rsid w:val="00A16024"/>
    <w:rsid w:val="00A20007"/>
    <w:rsid w:val="00A25E7E"/>
    <w:rsid w:val="00A32549"/>
    <w:rsid w:val="00A41A48"/>
    <w:rsid w:val="00A4747D"/>
    <w:rsid w:val="00A5028F"/>
    <w:rsid w:val="00A55482"/>
    <w:rsid w:val="00A82862"/>
    <w:rsid w:val="00A85103"/>
    <w:rsid w:val="00AA3DE8"/>
    <w:rsid w:val="00AC45F8"/>
    <w:rsid w:val="00AD629E"/>
    <w:rsid w:val="00AE3504"/>
    <w:rsid w:val="00AF069B"/>
    <w:rsid w:val="00B066AE"/>
    <w:rsid w:val="00B217FE"/>
    <w:rsid w:val="00B34880"/>
    <w:rsid w:val="00B441C5"/>
    <w:rsid w:val="00B4432B"/>
    <w:rsid w:val="00B508A8"/>
    <w:rsid w:val="00B67322"/>
    <w:rsid w:val="00B87D9C"/>
    <w:rsid w:val="00BB0150"/>
    <w:rsid w:val="00BB2C76"/>
    <w:rsid w:val="00BB7999"/>
    <w:rsid w:val="00BC1B9F"/>
    <w:rsid w:val="00BC3C12"/>
    <w:rsid w:val="00BD0B28"/>
    <w:rsid w:val="00BD3611"/>
    <w:rsid w:val="00BE6624"/>
    <w:rsid w:val="00BF21BF"/>
    <w:rsid w:val="00BF3308"/>
    <w:rsid w:val="00BF470E"/>
    <w:rsid w:val="00C05262"/>
    <w:rsid w:val="00C0552B"/>
    <w:rsid w:val="00C12C32"/>
    <w:rsid w:val="00C141BE"/>
    <w:rsid w:val="00C2335D"/>
    <w:rsid w:val="00C27387"/>
    <w:rsid w:val="00C3400B"/>
    <w:rsid w:val="00C34A5E"/>
    <w:rsid w:val="00C34C4A"/>
    <w:rsid w:val="00C42AA6"/>
    <w:rsid w:val="00C42AF2"/>
    <w:rsid w:val="00C576AE"/>
    <w:rsid w:val="00C609F0"/>
    <w:rsid w:val="00C65A39"/>
    <w:rsid w:val="00C706A0"/>
    <w:rsid w:val="00C70D5A"/>
    <w:rsid w:val="00C71877"/>
    <w:rsid w:val="00C74CBC"/>
    <w:rsid w:val="00C87056"/>
    <w:rsid w:val="00C91CC8"/>
    <w:rsid w:val="00C95A45"/>
    <w:rsid w:val="00CA7C12"/>
    <w:rsid w:val="00CB6F6F"/>
    <w:rsid w:val="00CC6CFF"/>
    <w:rsid w:val="00CD24AB"/>
    <w:rsid w:val="00CD3CE8"/>
    <w:rsid w:val="00CD5E53"/>
    <w:rsid w:val="00CE173E"/>
    <w:rsid w:val="00CE46E1"/>
    <w:rsid w:val="00CE629D"/>
    <w:rsid w:val="00CF2E8D"/>
    <w:rsid w:val="00CF6D1E"/>
    <w:rsid w:val="00D00029"/>
    <w:rsid w:val="00D0222F"/>
    <w:rsid w:val="00D1068E"/>
    <w:rsid w:val="00D14CE8"/>
    <w:rsid w:val="00D1767C"/>
    <w:rsid w:val="00D24629"/>
    <w:rsid w:val="00D32685"/>
    <w:rsid w:val="00D36B35"/>
    <w:rsid w:val="00D47663"/>
    <w:rsid w:val="00D56870"/>
    <w:rsid w:val="00D5769C"/>
    <w:rsid w:val="00D654B1"/>
    <w:rsid w:val="00D75244"/>
    <w:rsid w:val="00D8639D"/>
    <w:rsid w:val="00D911E4"/>
    <w:rsid w:val="00D94E11"/>
    <w:rsid w:val="00DA69B5"/>
    <w:rsid w:val="00DA71A2"/>
    <w:rsid w:val="00DC359F"/>
    <w:rsid w:val="00DD1148"/>
    <w:rsid w:val="00DD6E75"/>
    <w:rsid w:val="00DE2104"/>
    <w:rsid w:val="00DF1CC4"/>
    <w:rsid w:val="00E021A8"/>
    <w:rsid w:val="00E057F4"/>
    <w:rsid w:val="00E0624A"/>
    <w:rsid w:val="00E07404"/>
    <w:rsid w:val="00E12D2C"/>
    <w:rsid w:val="00E13E6B"/>
    <w:rsid w:val="00E348D9"/>
    <w:rsid w:val="00E46630"/>
    <w:rsid w:val="00E560DD"/>
    <w:rsid w:val="00E85A1B"/>
    <w:rsid w:val="00E9200F"/>
    <w:rsid w:val="00E96551"/>
    <w:rsid w:val="00EC38C5"/>
    <w:rsid w:val="00ED6FEE"/>
    <w:rsid w:val="00EE4718"/>
    <w:rsid w:val="00EE4865"/>
    <w:rsid w:val="00EE63DB"/>
    <w:rsid w:val="00EF0A53"/>
    <w:rsid w:val="00EF2EE6"/>
    <w:rsid w:val="00EF69E6"/>
    <w:rsid w:val="00F03546"/>
    <w:rsid w:val="00F12294"/>
    <w:rsid w:val="00F252E5"/>
    <w:rsid w:val="00F30B5C"/>
    <w:rsid w:val="00F31B79"/>
    <w:rsid w:val="00F46061"/>
    <w:rsid w:val="00F46B7D"/>
    <w:rsid w:val="00F809C6"/>
    <w:rsid w:val="00F97CF2"/>
    <w:rsid w:val="00FA5854"/>
    <w:rsid w:val="00FB01FE"/>
    <w:rsid w:val="00FB0BD3"/>
    <w:rsid w:val="00FB387C"/>
    <w:rsid w:val="00FB3F3F"/>
    <w:rsid w:val="00FB5541"/>
    <w:rsid w:val="00FC6A5A"/>
    <w:rsid w:val="00FE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BDB3434"/>
  <w15:chartTrackingRefBased/>
  <w15:docId w15:val="{1F0D56D0-C05A-4619-AFC6-C10A4F71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432B"/>
    <w:pPr>
      <w:keepNext/>
      <w:keepLines/>
      <w:numPr>
        <w:numId w:val="1"/>
      </w:numPr>
      <w:spacing w:before="480" w:after="0" w:line="276" w:lineRule="auto"/>
      <w:jc w:val="both"/>
      <w:outlineLvl w:val="0"/>
    </w:pPr>
    <w:rPr>
      <w:rFonts w:ascii="Times New Roman" w:eastAsiaTheme="majorEastAsia" w:hAnsi="Times New Roman" w:cstheme="majorBidi"/>
      <w:b/>
      <w:bCs/>
      <w:sz w:val="28"/>
      <w:szCs w:val="28"/>
      <w:lang w:eastAsia="zh-CN"/>
    </w:rPr>
  </w:style>
  <w:style w:type="paragraph" w:styleId="Heading2">
    <w:name w:val="heading 2"/>
    <w:basedOn w:val="Normal"/>
    <w:next w:val="Normal"/>
    <w:link w:val="Heading2Char"/>
    <w:uiPriority w:val="9"/>
    <w:unhideWhenUsed/>
    <w:qFormat/>
    <w:rsid w:val="00B4432B"/>
    <w:pPr>
      <w:keepNext/>
      <w:keepLines/>
      <w:numPr>
        <w:ilvl w:val="1"/>
        <w:numId w:val="1"/>
      </w:numPr>
      <w:spacing w:before="240" w:after="200" w:line="276" w:lineRule="auto"/>
      <w:jc w:val="both"/>
      <w:outlineLvl w:val="1"/>
    </w:pPr>
    <w:rPr>
      <w:rFonts w:ascii="Times New Roman" w:eastAsiaTheme="majorEastAsia" w:hAnsi="Times New Roman" w:cstheme="majorBidi"/>
      <w:b/>
      <w:bCs/>
      <w:sz w:val="28"/>
      <w:szCs w:val="26"/>
      <w:lang w:eastAsia="zh-CN"/>
    </w:rPr>
  </w:style>
  <w:style w:type="paragraph" w:styleId="Heading3">
    <w:name w:val="heading 3"/>
    <w:basedOn w:val="Normal"/>
    <w:next w:val="Normal"/>
    <w:link w:val="Heading3Char"/>
    <w:uiPriority w:val="9"/>
    <w:unhideWhenUsed/>
    <w:qFormat/>
    <w:rsid w:val="00B4432B"/>
    <w:pPr>
      <w:keepNext/>
      <w:keepLines/>
      <w:numPr>
        <w:ilvl w:val="2"/>
        <w:numId w:val="1"/>
      </w:numPr>
      <w:spacing w:before="200" w:after="200" w:line="276" w:lineRule="auto"/>
      <w:jc w:val="both"/>
      <w:outlineLvl w:val="2"/>
    </w:pPr>
    <w:rPr>
      <w:rFonts w:ascii="Times New Roman" w:eastAsiaTheme="majorEastAsia" w:hAnsi="Times New Roman" w:cstheme="majorBidi"/>
      <w:b/>
      <w:bCs/>
      <w:sz w:val="24"/>
      <w:lang w:eastAsia="zh-CN"/>
    </w:rPr>
  </w:style>
  <w:style w:type="paragraph" w:styleId="Heading4">
    <w:name w:val="heading 4"/>
    <w:basedOn w:val="Normal"/>
    <w:next w:val="Normal"/>
    <w:link w:val="Heading4Char"/>
    <w:uiPriority w:val="9"/>
    <w:semiHidden/>
    <w:unhideWhenUsed/>
    <w:qFormat/>
    <w:rsid w:val="00B4432B"/>
    <w:pPr>
      <w:keepNext/>
      <w:keepLines/>
      <w:numPr>
        <w:ilvl w:val="3"/>
        <w:numId w:val="1"/>
      </w:numPr>
      <w:spacing w:before="200" w:after="0" w:line="276" w:lineRule="auto"/>
      <w:jc w:val="both"/>
      <w:outlineLvl w:val="3"/>
    </w:pPr>
    <w:rPr>
      <w:rFonts w:ascii="Times New Roman" w:eastAsiaTheme="majorEastAsia" w:hAnsi="Times New Roman" w:cstheme="majorBidi"/>
      <w:b/>
      <w:bCs/>
      <w:i/>
      <w:iCs/>
      <w:sz w:val="24"/>
      <w:lang w:eastAsia="zh-CN"/>
    </w:rPr>
  </w:style>
  <w:style w:type="paragraph" w:styleId="Heading5">
    <w:name w:val="heading 5"/>
    <w:basedOn w:val="Normal"/>
    <w:next w:val="Normal"/>
    <w:link w:val="Heading5Char"/>
    <w:uiPriority w:val="9"/>
    <w:semiHidden/>
    <w:unhideWhenUsed/>
    <w:qFormat/>
    <w:rsid w:val="00B4432B"/>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4"/>
      <w:lang w:eastAsia="zh-CN"/>
    </w:rPr>
  </w:style>
  <w:style w:type="paragraph" w:styleId="Heading6">
    <w:name w:val="heading 6"/>
    <w:basedOn w:val="Normal"/>
    <w:next w:val="Normal"/>
    <w:link w:val="Heading6Char"/>
    <w:uiPriority w:val="9"/>
    <w:semiHidden/>
    <w:unhideWhenUsed/>
    <w:qFormat/>
    <w:rsid w:val="00B4432B"/>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4"/>
      <w:lang w:eastAsia="zh-CN"/>
    </w:rPr>
  </w:style>
  <w:style w:type="paragraph" w:styleId="Heading7">
    <w:name w:val="heading 7"/>
    <w:basedOn w:val="Normal"/>
    <w:next w:val="Normal"/>
    <w:link w:val="Heading7Char"/>
    <w:uiPriority w:val="9"/>
    <w:semiHidden/>
    <w:unhideWhenUsed/>
    <w:qFormat/>
    <w:rsid w:val="00B4432B"/>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4"/>
      <w:lang w:eastAsia="zh-CN"/>
    </w:rPr>
  </w:style>
  <w:style w:type="paragraph" w:styleId="Heading8">
    <w:name w:val="heading 8"/>
    <w:basedOn w:val="Normal"/>
    <w:next w:val="Normal"/>
    <w:link w:val="Heading8Char"/>
    <w:uiPriority w:val="9"/>
    <w:semiHidden/>
    <w:unhideWhenUsed/>
    <w:qFormat/>
    <w:rsid w:val="00B4432B"/>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lang w:eastAsia="zh-CN"/>
    </w:rPr>
  </w:style>
  <w:style w:type="paragraph" w:styleId="Heading9">
    <w:name w:val="heading 9"/>
    <w:basedOn w:val="Normal"/>
    <w:next w:val="Normal"/>
    <w:link w:val="Heading9Char"/>
    <w:uiPriority w:val="9"/>
    <w:semiHidden/>
    <w:unhideWhenUsed/>
    <w:qFormat/>
    <w:rsid w:val="00B4432B"/>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alloonText"/>
    <w:next w:val="Normal"/>
    <w:autoRedefine/>
    <w:qFormat/>
    <w:rsid w:val="00C05262"/>
    <w:pPr>
      <w:autoSpaceDE w:val="0"/>
      <w:autoSpaceDN w:val="0"/>
      <w:adjustRightInd w:val="0"/>
      <w:ind w:left="680" w:hanging="453"/>
    </w:pPr>
    <w:rPr>
      <w:rFonts w:ascii="Times New Roman" w:hAnsi="Times New Roman" w:cs="Times New Roman"/>
      <w:sz w:val="28"/>
      <w:szCs w:val="22"/>
      <w:lang w:eastAsia="fr-BE"/>
    </w:rPr>
  </w:style>
  <w:style w:type="paragraph" w:styleId="BalloonText">
    <w:name w:val="Balloon Text"/>
    <w:basedOn w:val="Normal"/>
    <w:link w:val="BalloonTextChar"/>
    <w:rsid w:val="00F809C6"/>
    <w:pPr>
      <w:spacing w:after="0" w:line="240" w:lineRule="auto"/>
    </w:pPr>
    <w:rPr>
      <w:rFonts w:ascii="Arial" w:eastAsia="Times" w:hAnsi="Arial"/>
      <w:szCs w:val="16"/>
    </w:rPr>
  </w:style>
  <w:style w:type="character" w:customStyle="1" w:styleId="BalloonTextChar">
    <w:name w:val="Balloon Text Char"/>
    <w:link w:val="BalloonText"/>
    <w:rsid w:val="00F809C6"/>
    <w:rPr>
      <w:rFonts w:ascii="Arial" w:eastAsia="Times" w:hAnsi="Arial"/>
      <w:szCs w:val="16"/>
    </w:rPr>
  </w:style>
  <w:style w:type="character" w:customStyle="1" w:styleId="Marker">
    <w:name w:val="Marker"/>
    <w:basedOn w:val="DefaultParagraphFont"/>
    <w:rsid w:val="007169AA"/>
    <w:rPr>
      <w:color w:val="0000FF"/>
      <w:shd w:val="clear" w:color="auto" w:fill="auto"/>
    </w:rPr>
  </w:style>
  <w:style w:type="paragraph" w:customStyle="1" w:styleId="Pagedecouverture">
    <w:name w:val="Page de couverture"/>
    <w:basedOn w:val="Normal"/>
    <w:next w:val="Normal"/>
    <w:rsid w:val="007169AA"/>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16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9AA"/>
  </w:style>
  <w:style w:type="paragraph" w:styleId="Footer">
    <w:name w:val="footer"/>
    <w:basedOn w:val="Normal"/>
    <w:link w:val="FooterChar"/>
    <w:uiPriority w:val="99"/>
    <w:unhideWhenUsed/>
    <w:rsid w:val="00716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9AA"/>
  </w:style>
  <w:style w:type="paragraph" w:customStyle="1" w:styleId="FooterCoverPage">
    <w:name w:val="Footer Cover Page"/>
    <w:basedOn w:val="Normal"/>
    <w:link w:val="FooterCoverPageChar"/>
    <w:rsid w:val="007169A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169AA"/>
    <w:rPr>
      <w:rFonts w:ascii="Times New Roman" w:hAnsi="Times New Roman" w:cs="Times New Roman"/>
      <w:sz w:val="24"/>
    </w:rPr>
  </w:style>
  <w:style w:type="paragraph" w:customStyle="1" w:styleId="FooterSensitivity">
    <w:name w:val="Footer Sensitivity"/>
    <w:basedOn w:val="Normal"/>
    <w:link w:val="FooterSensitivityChar"/>
    <w:rsid w:val="007169A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169AA"/>
    <w:rPr>
      <w:rFonts w:ascii="Times New Roman" w:hAnsi="Times New Roman" w:cs="Times New Roman"/>
      <w:b/>
      <w:sz w:val="32"/>
    </w:rPr>
  </w:style>
  <w:style w:type="paragraph" w:customStyle="1" w:styleId="HeaderCoverPage">
    <w:name w:val="Header Cover Page"/>
    <w:basedOn w:val="Normal"/>
    <w:link w:val="HeaderCoverPageChar"/>
    <w:rsid w:val="007169A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169AA"/>
    <w:rPr>
      <w:rFonts w:ascii="Times New Roman" w:hAnsi="Times New Roman" w:cs="Times New Roman"/>
      <w:sz w:val="24"/>
    </w:rPr>
  </w:style>
  <w:style w:type="paragraph" w:customStyle="1" w:styleId="HeaderSensitivity">
    <w:name w:val="Header Sensitivity"/>
    <w:basedOn w:val="Normal"/>
    <w:link w:val="HeaderSensitivityChar"/>
    <w:rsid w:val="007169A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169AA"/>
    <w:rPr>
      <w:rFonts w:ascii="Times New Roman" w:hAnsi="Times New Roman" w:cs="Times New Roman"/>
      <w:b/>
      <w:sz w:val="32"/>
    </w:rPr>
  </w:style>
  <w:style w:type="paragraph" w:customStyle="1" w:styleId="HeaderSensitivityRight">
    <w:name w:val="Header Sensitivity Right"/>
    <w:basedOn w:val="Normal"/>
    <w:link w:val="HeaderSensitivityRightChar"/>
    <w:rsid w:val="007169A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169AA"/>
    <w:rPr>
      <w:rFonts w:ascii="Times New Roman" w:hAnsi="Times New Roman" w:cs="Times New Roman"/>
      <w:sz w:val="28"/>
    </w:rPr>
  </w:style>
  <w:style w:type="character" w:customStyle="1" w:styleId="Heading1Char">
    <w:name w:val="Heading 1 Char"/>
    <w:basedOn w:val="DefaultParagraphFont"/>
    <w:link w:val="Heading1"/>
    <w:uiPriority w:val="9"/>
    <w:rsid w:val="00B4432B"/>
    <w:rPr>
      <w:rFonts w:ascii="Times New Roman" w:eastAsiaTheme="majorEastAsia" w:hAnsi="Times New Roman" w:cstheme="majorBidi"/>
      <w:b/>
      <w:bCs/>
      <w:sz w:val="28"/>
      <w:szCs w:val="28"/>
      <w:lang w:eastAsia="zh-CN"/>
    </w:rPr>
  </w:style>
  <w:style w:type="character" w:customStyle="1" w:styleId="Heading2Char">
    <w:name w:val="Heading 2 Char"/>
    <w:basedOn w:val="DefaultParagraphFont"/>
    <w:link w:val="Heading2"/>
    <w:uiPriority w:val="9"/>
    <w:rsid w:val="00B4432B"/>
    <w:rPr>
      <w:rFonts w:ascii="Times New Roman" w:eastAsiaTheme="majorEastAsia" w:hAnsi="Times New Roman" w:cstheme="majorBidi"/>
      <w:b/>
      <w:bCs/>
      <w:sz w:val="28"/>
      <w:szCs w:val="26"/>
      <w:lang w:eastAsia="zh-CN"/>
    </w:rPr>
  </w:style>
  <w:style w:type="character" w:customStyle="1" w:styleId="Heading3Char">
    <w:name w:val="Heading 3 Char"/>
    <w:basedOn w:val="DefaultParagraphFont"/>
    <w:link w:val="Heading3"/>
    <w:uiPriority w:val="9"/>
    <w:rsid w:val="00B4432B"/>
    <w:rPr>
      <w:rFonts w:ascii="Times New Roman" w:eastAsiaTheme="majorEastAsia" w:hAnsi="Times New Roman" w:cstheme="majorBidi"/>
      <w:b/>
      <w:bCs/>
      <w:sz w:val="24"/>
      <w:lang w:eastAsia="zh-CN"/>
    </w:rPr>
  </w:style>
  <w:style w:type="character" w:customStyle="1" w:styleId="Heading4Char">
    <w:name w:val="Heading 4 Char"/>
    <w:basedOn w:val="DefaultParagraphFont"/>
    <w:link w:val="Heading4"/>
    <w:uiPriority w:val="9"/>
    <w:semiHidden/>
    <w:rsid w:val="00B4432B"/>
    <w:rPr>
      <w:rFonts w:ascii="Times New Roman" w:eastAsiaTheme="majorEastAsia" w:hAnsi="Times New Roman" w:cstheme="majorBidi"/>
      <w:b/>
      <w:bCs/>
      <w:i/>
      <w:iCs/>
      <w:sz w:val="24"/>
      <w:lang w:eastAsia="zh-CN"/>
    </w:rPr>
  </w:style>
  <w:style w:type="character" w:customStyle="1" w:styleId="Heading5Char">
    <w:name w:val="Heading 5 Char"/>
    <w:basedOn w:val="DefaultParagraphFont"/>
    <w:link w:val="Heading5"/>
    <w:uiPriority w:val="9"/>
    <w:semiHidden/>
    <w:rsid w:val="00B4432B"/>
    <w:rPr>
      <w:rFonts w:asciiTheme="majorHAnsi" w:eastAsiaTheme="majorEastAsia" w:hAnsiTheme="majorHAnsi" w:cstheme="majorBidi"/>
      <w:color w:val="1F4D78" w:themeColor="accent1" w:themeShade="7F"/>
      <w:sz w:val="24"/>
      <w:lang w:eastAsia="zh-CN"/>
    </w:rPr>
  </w:style>
  <w:style w:type="character" w:customStyle="1" w:styleId="Heading6Char">
    <w:name w:val="Heading 6 Char"/>
    <w:basedOn w:val="DefaultParagraphFont"/>
    <w:link w:val="Heading6"/>
    <w:uiPriority w:val="9"/>
    <w:semiHidden/>
    <w:rsid w:val="00B4432B"/>
    <w:rPr>
      <w:rFonts w:asciiTheme="majorHAnsi" w:eastAsiaTheme="majorEastAsia" w:hAnsiTheme="majorHAnsi" w:cstheme="majorBidi"/>
      <w:i/>
      <w:iCs/>
      <w:color w:val="1F4D78" w:themeColor="accent1" w:themeShade="7F"/>
      <w:sz w:val="24"/>
      <w:lang w:eastAsia="zh-CN"/>
    </w:rPr>
  </w:style>
  <w:style w:type="character" w:customStyle="1" w:styleId="Heading7Char">
    <w:name w:val="Heading 7 Char"/>
    <w:basedOn w:val="DefaultParagraphFont"/>
    <w:link w:val="Heading7"/>
    <w:uiPriority w:val="9"/>
    <w:semiHidden/>
    <w:rsid w:val="00B4432B"/>
    <w:rPr>
      <w:rFonts w:asciiTheme="majorHAnsi" w:eastAsiaTheme="majorEastAsia" w:hAnsiTheme="majorHAnsi" w:cstheme="majorBidi"/>
      <w:i/>
      <w:iCs/>
      <w:color w:val="404040" w:themeColor="text1" w:themeTint="BF"/>
      <w:sz w:val="24"/>
      <w:lang w:eastAsia="zh-CN"/>
    </w:rPr>
  </w:style>
  <w:style w:type="character" w:customStyle="1" w:styleId="Heading8Char">
    <w:name w:val="Heading 8 Char"/>
    <w:basedOn w:val="DefaultParagraphFont"/>
    <w:link w:val="Heading8"/>
    <w:uiPriority w:val="9"/>
    <w:semiHidden/>
    <w:rsid w:val="00B4432B"/>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B4432B"/>
    <w:rPr>
      <w:rFonts w:asciiTheme="majorHAnsi" w:eastAsiaTheme="majorEastAsia" w:hAnsiTheme="majorHAnsi" w:cstheme="majorBidi"/>
      <w:i/>
      <w:iCs/>
      <w:color w:val="404040" w:themeColor="text1" w:themeTint="BF"/>
      <w:sz w:val="20"/>
      <w:szCs w:val="20"/>
      <w:lang w:eastAsia="zh-CN"/>
    </w:rPr>
  </w:style>
  <w:style w:type="paragraph" w:styleId="FootnoteText">
    <w:name w:val="footnote text"/>
    <w:basedOn w:val="Normal"/>
    <w:link w:val="FootnoteTextChar"/>
    <w:uiPriority w:val="99"/>
    <w:unhideWhenUsed/>
    <w:rsid w:val="00B4432B"/>
    <w:pPr>
      <w:spacing w:after="0" w:line="240" w:lineRule="auto"/>
      <w:jc w:val="both"/>
    </w:pPr>
    <w:rPr>
      <w:rFonts w:ascii="Times New Roman" w:eastAsiaTheme="minorEastAsia" w:hAnsi="Times New Roman"/>
      <w:sz w:val="20"/>
      <w:szCs w:val="20"/>
      <w:lang w:eastAsia="zh-CN"/>
    </w:rPr>
  </w:style>
  <w:style w:type="character" w:customStyle="1" w:styleId="FootnoteTextChar">
    <w:name w:val="Footnote Text Char"/>
    <w:basedOn w:val="DefaultParagraphFont"/>
    <w:link w:val="FootnoteText"/>
    <w:uiPriority w:val="99"/>
    <w:rsid w:val="00B4432B"/>
    <w:rPr>
      <w:rFonts w:ascii="Times New Roman" w:eastAsiaTheme="minorEastAsia" w:hAnsi="Times New Roman"/>
      <w:sz w:val="20"/>
      <w:szCs w:val="20"/>
      <w:lang w:eastAsia="zh-CN"/>
    </w:rPr>
  </w:style>
  <w:style w:type="character" w:styleId="Hyperlink">
    <w:name w:val="Hyperlink"/>
    <w:basedOn w:val="DefaultParagraphFont"/>
    <w:uiPriority w:val="99"/>
    <w:unhideWhenUsed/>
    <w:rsid w:val="00B4432B"/>
    <w:rPr>
      <w:color w:val="0000FF"/>
      <w:u w:val="single"/>
    </w:rPr>
  </w:style>
  <w:style w:type="character" w:styleId="FootnoteReference">
    <w:name w:val="footnote reference"/>
    <w:basedOn w:val="DefaultParagraphFont"/>
    <w:uiPriority w:val="99"/>
    <w:unhideWhenUsed/>
    <w:qFormat/>
    <w:rsid w:val="00B4432B"/>
    <w:rPr>
      <w:vertAlign w:val="superscript"/>
    </w:rPr>
  </w:style>
  <w:style w:type="character" w:styleId="CommentReference">
    <w:name w:val="annotation reference"/>
    <w:basedOn w:val="DefaultParagraphFont"/>
    <w:uiPriority w:val="99"/>
    <w:semiHidden/>
    <w:unhideWhenUsed/>
    <w:rsid w:val="008C66E9"/>
    <w:rPr>
      <w:sz w:val="16"/>
      <w:szCs w:val="16"/>
    </w:rPr>
  </w:style>
  <w:style w:type="paragraph" w:styleId="CommentText">
    <w:name w:val="annotation text"/>
    <w:basedOn w:val="Normal"/>
    <w:link w:val="CommentTextChar"/>
    <w:uiPriority w:val="99"/>
    <w:unhideWhenUsed/>
    <w:rsid w:val="008C66E9"/>
    <w:pPr>
      <w:spacing w:line="240" w:lineRule="auto"/>
    </w:pPr>
    <w:rPr>
      <w:sz w:val="20"/>
      <w:szCs w:val="20"/>
    </w:rPr>
  </w:style>
  <w:style w:type="character" w:customStyle="1" w:styleId="CommentTextChar">
    <w:name w:val="Comment Text Char"/>
    <w:basedOn w:val="DefaultParagraphFont"/>
    <w:link w:val="CommentText"/>
    <w:uiPriority w:val="99"/>
    <w:rsid w:val="008C66E9"/>
    <w:rPr>
      <w:sz w:val="20"/>
      <w:szCs w:val="20"/>
    </w:rPr>
  </w:style>
  <w:style w:type="paragraph" w:styleId="CommentSubject">
    <w:name w:val="annotation subject"/>
    <w:basedOn w:val="CommentText"/>
    <w:next w:val="CommentText"/>
    <w:link w:val="CommentSubjectChar"/>
    <w:uiPriority w:val="99"/>
    <w:semiHidden/>
    <w:unhideWhenUsed/>
    <w:rsid w:val="008C66E9"/>
    <w:rPr>
      <w:b/>
      <w:bCs/>
    </w:rPr>
  </w:style>
  <w:style w:type="character" w:customStyle="1" w:styleId="CommentSubjectChar">
    <w:name w:val="Comment Subject Char"/>
    <w:basedOn w:val="CommentTextChar"/>
    <w:link w:val="CommentSubject"/>
    <w:uiPriority w:val="99"/>
    <w:semiHidden/>
    <w:rsid w:val="008C66E9"/>
    <w:rPr>
      <w:b/>
      <w:bCs/>
      <w:sz w:val="20"/>
      <w:szCs w:val="20"/>
    </w:rPr>
  </w:style>
  <w:style w:type="paragraph" w:styleId="ListParagraph">
    <w:name w:val="List Paragraph"/>
    <w:basedOn w:val="Normal"/>
    <w:uiPriority w:val="34"/>
    <w:qFormat/>
    <w:rsid w:val="005036CD"/>
    <w:pPr>
      <w:ind w:left="720"/>
      <w:contextualSpacing/>
    </w:pPr>
  </w:style>
  <w:style w:type="character" w:styleId="FollowedHyperlink">
    <w:name w:val="FollowedHyperlink"/>
    <w:basedOn w:val="DefaultParagraphFont"/>
    <w:uiPriority w:val="99"/>
    <w:semiHidden/>
    <w:unhideWhenUsed/>
    <w:rsid w:val="00C576AE"/>
    <w:rPr>
      <w:color w:val="954F72" w:themeColor="followedHyperlink"/>
      <w:u w:val="single"/>
    </w:rPr>
  </w:style>
  <w:style w:type="paragraph" w:styleId="Revision">
    <w:name w:val="Revision"/>
    <w:hidden/>
    <w:uiPriority w:val="99"/>
    <w:semiHidden/>
    <w:rsid w:val="00F97C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7533">
      <w:bodyDiv w:val="1"/>
      <w:marLeft w:val="0"/>
      <w:marRight w:val="0"/>
      <w:marTop w:val="0"/>
      <w:marBottom w:val="0"/>
      <w:divBdr>
        <w:top w:val="none" w:sz="0" w:space="0" w:color="auto"/>
        <w:left w:val="none" w:sz="0" w:space="0" w:color="auto"/>
        <w:bottom w:val="none" w:sz="0" w:space="0" w:color="auto"/>
        <w:right w:val="none" w:sz="0" w:space="0" w:color="auto"/>
      </w:divBdr>
    </w:div>
    <w:div w:id="20536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helsinki.hu/wp-content/uploads/Right_to_lawyer_and_legal_aid_COMPARATIVE_REPORT_2018.pdf" TargetMode="External"/><Relationship Id="rId2" Type="http://schemas.openxmlformats.org/officeDocument/2006/relationships/hyperlink" Target="https://fra.europa.eu/sites/default/files/fra_uploads/fra-2019-rights-in-practice-access-to-a-lawyer-and-procedural-rights-in-criminal-and-european-arrest-warrant-proceedings.pdf" TargetMode="External"/><Relationship Id="rId1" Type="http://schemas.openxmlformats.org/officeDocument/2006/relationships/hyperlink" Target="https://fra.europa.eu/sites/default/files/fra_uploads/fra-2019-rights-in-practice-access-to-a-lawyer-and-procedural-rights-in-criminal-and-european-arrest-warrant-proceedings.pdf" TargetMode="External"/><Relationship Id="rId6" Type="http://schemas.openxmlformats.org/officeDocument/2006/relationships/hyperlink" Target="https://teise.org/en/lti-veikla/projektines-veiklos/teisines-pagalbos-kokybes-didinimas-bendrieji-standartai-skirtingoms-salims/" TargetMode="External"/><Relationship Id="rId5" Type="http://schemas.openxmlformats.org/officeDocument/2006/relationships/hyperlink" Target="https://teise.org/en/lti-veikla/projektines-veiklos/teisines-pagalbos-kokybes-didinimas-bendrieji-standartai-skirtingoms-salims/" TargetMode="External"/><Relationship Id="rId4" Type="http://schemas.openxmlformats.org/officeDocument/2006/relationships/hyperlink" Target="https://teise.org/en/lti-veikla/projektines-veiklos/teisines-pagalbos-kokybes-didinimas-bendrieji-standartai-skirtingoms-sal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1B3D9F7-FBDA-406A-9DD7-9462CB6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4235</Words>
  <Characters>24273</Characters>
  <Application>Microsoft Office Word</Application>
  <DocSecurity>0</DocSecurity>
  <Lines>418</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2022-10-11T16:54:00Z</cp:lastPrinted>
  <dcterms:created xsi:type="dcterms:W3CDTF">2022-12-09T16:27:00Z</dcterms:created>
  <dcterms:modified xsi:type="dcterms:W3CDTF">2023-01-25T08:19:00Z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8.0, Build 20220128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2022-10-17T17:34:12Z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9eeb264a-323d-4160-9d2b-0438e614fb0b</vt:lpwstr>
  </property>
  <property fmtid="{D5CDD505-2E9C-101B-9397-08002B2CF9AE}" pid="15" name="MSIP_Label_6bd9ddd1-4d20-43f6-abfa-fc3c07406f94_ContentBits">
    <vt:lpwstr>0</vt:lpwstr>
  </property>
</Properties>
</file>